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BC" w:rsidRDefault="00DB379A">
      <w:pPr>
        <w:pBdr>
          <w:bottom w:val="single" w:sz="6" w:space="1" w:color="auto"/>
        </w:pBdr>
      </w:pPr>
      <w:r>
        <w:rPr>
          <w:noProof/>
        </w:rPr>
        <w:drawing>
          <wp:inline distT="0" distB="0" distL="0" distR="0">
            <wp:extent cx="5943600" cy="1077306"/>
            <wp:effectExtent l="19050" t="0" r="0" b="0"/>
            <wp:docPr id="1" name="Picture 1" descr="C:\Users\dbrady\AppData\Local\Microsoft\Windows\Temporary Internet Files\Content.Outlook\UJLJ0EN3\PIAC_Logo_H_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rady\AppData\Local\Microsoft\Windows\Temporary Internet Files\Content.Outlook\UJLJ0EN3\PIAC_Logo_H_Red.jpg"/>
                    <pic:cNvPicPr>
                      <a:picLocks noChangeAspect="1" noChangeArrowheads="1"/>
                    </pic:cNvPicPr>
                  </pic:nvPicPr>
                  <pic:blipFill>
                    <a:blip r:embed="rId9" cstate="print"/>
                    <a:srcRect/>
                    <a:stretch>
                      <a:fillRect/>
                    </a:stretch>
                  </pic:blipFill>
                  <pic:spPr bwMode="auto">
                    <a:xfrm>
                      <a:off x="0" y="0"/>
                      <a:ext cx="5943600" cy="1077306"/>
                    </a:xfrm>
                    <a:prstGeom prst="rect">
                      <a:avLst/>
                    </a:prstGeom>
                    <a:noFill/>
                    <a:ln w="9525">
                      <a:noFill/>
                      <a:miter lim="800000"/>
                      <a:headEnd/>
                      <a:tailEnd/>
                    </a:ln>
                  </pic:spPr>
                </pic:pic>
              </a:graphicData>
            </a:graphic>
          </wp:inline>
        </w:drawing>
      </w:r>
    </w:p>
    <w:p w:rsidR="00C0382E" w:rsidRPr="00AB1145" w:rsidRDefault="0043065E" w:rsidP="003101BE">
      <w:pPr>
        <w:rPr>
          <w:rFonts w:ascii="Arial" w:hAnsi="Arial" w:cs="Arial"/>
          <w:b/>
          <w:lang w:val="en-GB"/>
        </w:rPr>
      </w:pPr>
      <w:r>
        <w:rPr>
          <w:rFonts w:cs="Arial"/>
          <w:b/>
          <w:sz w:val="24"/>
          <w:szCs w:val="24"/>
        </w:rPr>
        <w:t>April</w:t>
      </w:r>
      <w:bookmarkStart w:id="0" w:name="_GoBack"/>
      <w:bookmarkEnd w:id="0"/>
      <w:r w:rsidR="006E5A50">
        <w:rPr>
          <w:rFonts w:cs="Arial"/>
          <w:b/>
          <w:sz w:val="24"/>
          <w:szCs w:val="24"/>
        </w:rPr>
        <w:t xml:space="preserve"> </w:t>
      </w:r>
      <w:r w:rsidR="00F56187">
        <w:rPr>
          <w:rFonts w:cs="Arial"/>
          <w:b/>
          <w:sz w:val="24"/>
          <w:szCs w:val="24"/>
        </w:rPr>
        <w:t>5</w:t>
      </w:r>
      <w:r w:rsidR="000A5EEE">
        <w:rPr>
          <w:rFonts w:cs="Arial"/>
          <w:b/>
          <w:sz w:val="24"/>
          <w:szCs w:val="24"/>
        </w:rPr>
        <w:t>, 2019</w:t>
      </w:r>
      <w:r w:rsidR="00C0382E" w:rsidRPr="00AB1145">
        <w:rPr>
          <w:rFonts w:cs="Arial"/>
          <w:b/>
          <w:sz w:val="24"/>
          <w:szCs w:val="24"/>
        </w:rPr>
        <w:t xml:space="preserve"> </w:t>
      </w:r>
      <w:r w:rsidR="003101BE" w:rsidRPr="00AB1145">
        <w:rPr>
          <w:rFonts w:ascii="Arial" w:hAnsi="Arial" w:cs="Arial"/>
          <w:b/>
          <w:sz w:val="24"/>
          <w:szCs w:val="24"/>
        </w:rPr>
        <w:tab/>
      </w:r>
      <w:r w:rsidR="003101BE" w:rsidRPr="00AB1145">
        <w:rPr>
          <w:rFonts w:ascii="Arial" w:hAnsi="Arial" w:cs="Arial"/>
        </w:rPr>
        <w:tab/>
      </w:r>
      <w:r w:rsidR="003101BE" w:rsidRPr="00AB1145">
        <w:rPr>
          <w:rFonts w:ascii="Arial" w:hAnsi="Arial" w:cs="Arial"/>
        </w:rPr>
        <w:tab/>
      </w:r>
      <w:r w:rsidR="003101BE" w:rsidRPr="00AB1145">
        <w:rPr>
          <w:rFonts w:ascii="Arial" w:hAnsi="Arial" w:cs="Arial"/>
        </w:rPr>
        <w:tab/>
      </w:r>
      <w:r w:rsidR="003101BE" w:rsidRPr="00AB1145">
        <w:rPr>
          <w:rFonts w:ascii="Arial" w:hAnsi="Arial" w:cs="Arial"/>
        </w:rPr>
        <w:tab/>
      </w:r>
      <w:r w:rsidR="003101BE" w:rsidRPr="00AB1145">
        <w:rPr>
          <w:rFonts w:ascii="Arial" w:hAnsi="Arial" w:cs="Arial"/>
        </w:rPr>
        <w:tab/>
      </w:r>
      <w:r w:rsidR="003101BE" w:rsidRPr="00AB1145">
        <w:rPr>
          <w:rFonts w:ascii="Arial" w:hAnsi="Arial" w:cs="Arial"/>
        </w:rPr>
        <w:tab/>
      </w:r>
      <w:r w:rsidR="003101BE" w:rsidRPr="00AB1145">
        <w:rPr>
          <w:rFonts w:ascii="Arial" w:hAnsi="Arial" w:cs="Arial"/>
        </w:rPr>
        <w:tab/>
      </w:r>
      <w:r w:rsidR="00C0382E" w:rsidRPr="00AB1145">
        <w:rPr>
          <w:rFonts w:ascii="Arial" w:hAnsi="Arial" w:cs="Arial"/>
          <w:b/>
          <w:lang w:val="en-GB"/>
        </w:rPr>
        <w:t>VIA E-MAIL</w:t>
      </w:r>
    </w:p>
    <w:p w:rsidR="00AB1145" w:rsidRDefault="00AB1145" w:rsidP="00C0382E">
      <w:pPr>
        <w:pStyle w:val="NoSpacing"/>
        <w:rPr>
          <w:lang w:val="en-GB"/>
        </w:rPr>
      </w:pPr>
    </w:p>
    <w:p w:rsidR="00AB1145" w:rsidRDefault="00AB1145" w:rsidP="00C0382E">
      <w:pPr>
        <w:pStyle w:val="NoSpacing"/>
        <w:rPr>
          <w:lang w:val="en-GB"/>
        </w:rPr>
      </w:pPr>
    </w:p>
    <w:p w:rsidR="00C0382E" w:rsidRPr="004C4A16" w:rsidRDefault="00C0382E" w:rsidP="00C0382E">
      <w:pPr>
        <w:pStyle w:val="NoSpacing"/>
        <w:rPr>
          <w:lang w:val="en-GB"/>
        </w:rPr>
      </w:pPr>
      <w:r>
        <w:rPr>
          <w:lang w:val="en-GB"/>
        </w:rPr>
        <w:t>Ms</w:t>
      </w:r>
      <w:r w:rsidRPr="004C4A16">
        <w:rPr>
          <w:lang w:val="en-GB"/>
        </w:rPr>
        <w:t xml:space="preserve">. </w:t>
      </w:r>
      <w:r>
        <w:rPr>
          <w:lang w:val="en-GB"/>
        </w:rPr>
        <w:t>Kirsten Walli</w:t>
      </w:r>
      <w:r w:rsidRPr="004C4A16">
        <w:rPr>
          <w:lang w:val="en-GB"/>
        </w:rPr>
        <w:t xml:space="preserve"> </w:t>
      </w:r>
    </w:p>
    <w:p w:rsidR="00C0382E" w:rsidRDefault="00C0382E" w:rsidP="00C0382E">
      <w:pPr>
        <w:pStyle w:val="NoSpacing"/>
        <w:rPr>
          <w:lang w:val="en-GB"/>
        </w:rPr>
      </w:pPr>
      <w:r w:rsidRPr="004C4A16">
        <w:rPr>
          <w:lang w:val="en-GB"/>
        </w:rPr>
        <w:t>Board Secretary</w:t>
      </w:r>
    </w:p>
    <w:p w:rsidR="00C0382E" w:rsidRPr="004C4A16" w:rsidRDefault="00C0382E" w:rsidP="00C0382E">
      <w:pPr>
        <w:pStyle w:val="NoSpacing"/>
        <w:rPr>
          <w:lang w:val="en-GB"/>
        </w:rPr>
      </w:pPr>
      <w:r>
        <w:rPr>
          <w:lang w:val="en-GB"/>
        </w:rPr>
        <w:t>Ontario Energy Board</w:t>
      </w:r>
    </w:p>
    <w:p w:rsidR="00C0382E" w:rsidRPr="004C4A16" w:rsidRDefault="00C0382E" w:rsidP="00C0382E">
      <w:pPr>
        <w:pStyle w:val="NoSpacing"/>
        <w:rPr>
          <w:lang w:val="en-GB"/>
        </w:rPr>
      </w:pPr>
      <w:r w:rsidRPr="004C4A16">
        <w:rPr>
          <w:lang w:val="en-GB"/>
        </w:rPr>
        <w:t>Toronto, ON</w:t>
      </w:r>
    </w:p>
    <w:p w:rsidR="00C0382E" w:rsidRDefault="00C0382E" w:rsidP="00C0382E">
      <w:pPr>
        <w:pStyle w:val="NoSpacing"/>
        <w:rPr>
          <w:lang w:val="en-GB"/>
        </w:rPr>
      </w:pPr>
    </w:p>
    <w:p w:rsidR="00AB1145" w:rsidRPr="004C4A16" w:rsidRDefault="00AB1145" w:rsidP="00C0382E">
      <w:pPr>
        <w:pStyle w:val="NoSpacing"/>
        <w:rPr>
          <w:lang w:val="en-GB"/>
        </w:rPr>
      </w:pPr>
    </w:p>
    <w:p w:rsidR="00C0382E" w:rsidRPr="004C4A16" w:rsidRDefault="00C0382E" w:rsidP="00C0382E">
      <w:pPr>
        <w:pStyle w:val="NoSpacing"/>
        <w:rPr>
          <w:lang w:val="en-GB"/>
        </w:rPr>
      </w:pPr>
      <w:r>
        <w:rPr>
          <w:lang w:val="en-GB"/>
        </w:rPr>
        <w:t>Dear Ms</w:t>
      </w:r>
      <w:r w:rsidRPr="004C4A16">
        <w:rPr>
          <w:lang w:val="en-GB"/>
        </w:rPr>
        <w:t xml:space="preserve">. </w:t>
      </w:r>
      <w:r>
        <w:rPr>
          <w:lang w:val="en-GB"/>
        </w:rPr>
        <w:t>Walli</w:t>
      </w:r>
      <w:r w:rsidRPr="004C4A16">
        <w:rPr>
          <w:lang w:val="en-GB"/>
        </w:rPr>
        <w:t xml:space="preserve">: </w:t>
      </w:r>
    </w:p>
    <w:p w:rsidR="00C0382E" w:rsidRPr="004C4A16" w:rsidRDefault="00C0382E" w:rsidP="00C0382E">
      <w:pPr>
        <w:pStyle w:val="NoSpacing"/>
        <w:rPr>
          <w:b/>
          <w:lang w:val="en-GB"/>
        </w:rPr>
      </w:pPr>
    </w:p>
    <w:p w:rsidR="004407D9" w:rsidRDefault="00C0382E" w:rsidP="00AB1145">
      <w:pPr>
        <w:pStyle w:val="NoSpacing"/>
        <w:rPr>
          <w:b/>
          <w:lang w:val="en-GB"/>
        </w:rPr>
      </w:pPr>
      <w:r w:rsidRPr="00AC07A4">
        <w:rPr>
          <w:b/>
          <w:lang w:val="en-GB"/>
        </w:rPr>
        <w:t>Re:</w:t>
      </w:r>
      <w:r w:rsidRPr="00AC07A4">
        <w:rPr>
          <w:b/>
          <w:lang w:val="en-GB"/>
        </w:rPr>
        <w:tab/>
      </w:r>
      <w:r w:rsidR="006E5A50" w:rsidRPr="006E5A50">
        <w:rPr>
          <w:b/>
          <w:lang w:val="en-GB"/>
        </w:rPr>
        <w:t>EB-2018-0305 Enbridge Gas Distribution Inc. and Union Gas Limited –2019 Rates</w:t>
      </w:r>
    </w:p>
    <w:p w:rsidR="00C0382E" w:rsidRDefault="003101BE" w:rsidP="00AB1145">
      <w:pPr>
        <w:pStyle w:val="NoSpacing"/>
        <w:pBdr>
          <w:bottom w:val="single" w:sz="6" w:space="1" w:color="auto"/>
        </w:pBdr>
        <w:ind w:firstLine="720"/>
        <w:rPr>
          <w:b/>
          <w:lang w:val="en-GB"/>
        </w:rPr>
      </w:pPr>
      <w:r>
        <w:rPr>
          <w:b/>
          <w:lang w:val="en-GB"/>
        </w:rPr>
        <w:t>Interrogatories of the</w:t>
      </w:r>
      <w:r w:rsidR="00C0382E">
        <w:rPr>
          <w:b/>
          <w:lang w:val="en-GB"/>
        </w:rPr>
        <w:t xml:space="preserve"> </w:t>
      </w:r>
      <w:r w:rsidR="00C0382E" w:rsidRPr="00E43FB9">
        <w:rPr>
          <w:b/>
          <w:lang w:val="en-GB"/>
        </w:rPr>
        <w:t>Vulnerable Energy Consumers Coalition (VECC)</w:t>
      </w:r>
    </w:p>
    <w:p w:rsidR="00AB1145" w:rsidRPr="00C0382E" w:rsidRDefault="00AB1145" w:rsidP="00AB1145">
      <w:pPr>
        <w:pStyle w:val="NoSpacing"/>
        <w:ind w:firstLine="720"/>
        <w:rPr>
          <w:b/>
          <w:lang w:val="en-GB"/>
        </w:rPr>
      </w:pPr>
    </w:p>
    <w:p w:rsidR="00C0382E" w:rsidRPr="00AC07A4" w:rsidRDefault="00C0382E" w:rsidP="00C0382E">
      <w:pPr>
        <w:pStyle w:val="NoSpacing"/>
        <w:rPr>
          <w:b/>
          <w:lang w:val="en-GB"/>
        </w:rPr>
      </w:pPr>
    </w:p>
    <w:p w:rsidR="00C0382E" w:rsidRDefault="00C0382E" w:rsidP="00C0382E">
      <w:pPr>
        <w:pStyle w:val="NoSpacing"/>
        <w:rPr>
          <w:lang w:val="en-GB"/>
        </w:rPr>
      </w:pPr>
      <w:r w:rsidRPr="004C4A16">
        <w:rPr>
          <w:lang w:val="en-GB"/>
        </w:rPr>
        <w:t xml:space="preserve">Please find </w:t>
      </w:r>
      <w:r w:rsidR="009220D5">
        <w:rPr>
          <w:lang w:val="en-GB"/>
        </w:rPr>
        <w:t xml:space="preserve">attached the interrogatories of </w:t>
      </w:r>
      <w:r>
        <w:rPr>
          <w:lang w:val="en-GB"/>
        </w:rPr>
        <w:t xml:space="preserve"> VECC in the above-noted proceeding. </w:t>
      </w:r>
      <w:r w:rsidRPr="004C4A16">
        <w:rPr>
          <w:lang w:val="en-GB"/>
        </w:rPr>
        <w:t xml:space="preserve">We </w:t>
      </w:r>
      <w:r>
        <w:rPr>
          <w:lang w:val="en-GB"/>
        </w:rPr>
        <w:t>have also directed</w:t>
      </w:r>
      <w:r w:rsidRPr="004C4A16">
        <w:rPr>
          <w:lang w:val="en-GB"/>
        </w:rPr>
        <w:t xml:space="preserve"> a copy of the same to the Applicant</w:t>
      </w:r>
      <w:r>
        <w:rPr>
          <w:lang w:val="en-GB"/>
        </w:rPr>
        <w:t xml:space="preserve">.   </w:t>
      </w:r>
    </w:p>
    <w:p w:rsidR="00C0382E" w:rsidRDefault="00C0382E" w:rsidP="00C0382E">
      <w:pPr>
        <w:pStyle w:val="NoSpacing"/>
        <w:rPr>
          <w:lang w:val="en-GB"/>
        </w:rPr>
      </w:pPr>
    </w:p>
    <w:p w:rsidR="00AB1145" w:rsidRDefault="00AB1145" w:rsidP="00C0382E">
      <w:pPr>
        <w:pStyle w:val="NoSpacing"/>
      </w:pPr>
    </w:p>
    <w:p w:rsidR="00C0382E" w:rsidRDefault="00C0382E" w:rsidP="00C0382E">
      <w:pPr>
        <w:pStyle w:val="NoSpacing"/>
      </w:pPr>
      <w:r w:rsidRPr="00C22168">
        <w:t>Yours truly,</w:t>
      </w:r>
    </w:p>
    <w:p w:rsidR="00C0382E" w:rsidRPr="00C22168" w:rsidRDefault="00C0382E" w:rsidP="00C0382E">
      <w:pPr>
        <w:pStyle w:val="NoSpacing"/>
      </w:pPr>
    </w:p>
    <w:p w:rsidR="00C0382E" w:rsidRPr="00C22168" w:rsidRDefault="000548DF" w:rsidP="00C0382E">
      <w:pPr>
        <w:pStyle w:val="NoSpacing"/>
      </w:pPr>
      <w:r w:rsidRPr="000548DF">
        <w:rPr>
          <w:rFonts w:ascii="Calibri" w:eastAsia="Calibri" w:hAnsi="Calibri" w:cs="Times New Roman"/>
          <w:noProof/>
        </w:rPr>
        <w:drawing>
          <wp:inline distT="0" distB="0" distL="0" distR="0" wp14:anchorId="07710C80" wp14:editId="16F94D30">
            <wp:extent cx="1800225" cy="46672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466725"/>
                    </a:xfrm>
                    <a:prstGeom prst="rect">
                      <a:avLst/>
                    </a:prstGeom>
                    <a:noFill/>
                    <a:ln>
                      <a:noFill/>
                    </a:ln>
                  </pic:spPr>
                </pic:pic>
              </a:graphicData>
            </a:graphic>
          </wp:inline>
        </w:drawing>
      </w:r>
    </w:p>
    <w:p w:rsidR="00C0382E" w:rsidRPr="00C22168" w:rsidRDefault="00C0382E" w:rsidP="00C0382E">
      <w:pPr>
        <w:pStyle w:val="NoSpacing"/>
      </w:pPr>
    </w:p>
    <w:p w:rsidR="00C0382E" w:rsidRPr="00C22168" w:rsidRDefault="00AB1145" w:rsidP="00C0382E">
      <w:pPr>
        <w:pStyle w:val="NoSpacing"/>
      </w:pPr>
      <w:r>
        <w:t>Mark Garner</w:t>
      </w:r>
    </w:p>
    <w:p w:rsidR="00C0382E" w:rsidRDefault="00AA32B6" w:rsidP="00C0382E">
      <w:pPr>
        <w:pStyle w:val="NoSpacing"/>
      </w:pPr>
      <w:r>
        <w:t>Consultant</w:t>
      </w:r>
      <w:r w:rsidR="00BC1186">
        <w:t>s</w:t>
      </w:r>
      <w:r>
        <w:t xml:space="preserve"> </w:t>
      </w:r>
      <w:r w:rsidR="00BC1186">
        <w:t>for</w:t>
      </w:r>
      <w:r w:rsidR="006B08A8">
        <w:t xml:space="preserve"> </w:t>
      </w:r>
      <w:r w:rsidR="00C0382E" w:rsidRPr="00C22168">
        <w:t>VECC</w:t>
      </w:r>
      <w:r w:rsidR="006B08A8">
        <w:t>/PIAC</w:t>
      </w:r>
    </w:p>
    <w:p w:rsidR="00323310" w:rsidRDefault="00323310" w:rsidP="00C0382E">
      <w:pPr>
        <w:pStyle w:val="NoSpacing"/>
        <w:rPr>
          <w:color w:val="0000FF"/>
        </w:rPr>
      </w:pPr>
    </w:p>
    <w:p w:rsidR="00AB1145" w:rsidRDefault="00AB1145" w:rsidP="006865D1">
      <w:pPr>
        <w:pStyle w:val="NoSpacing"/>
        <w:rPr>
          <w:rFonts w:eastAsia="Times New Roman" w:cs="Arial"/>
          <w:lang w:val="en-US" w:eastAsia="en-US"/>
        </w:rPr>
      </w:pPr>
    </w:p>
    <w:p w:rsidR="006E5A50" w:rsidRPr="006E5A50" w:rsidRDefault="006E5A50" w:rsidP="006E5A50">
      <w:pPr>
        <w:autoSpaceDE w:val="0"/>
        <w:autoSpaceDN w:val="0"/>
        <w:adjustRightInd w:val="0"/>
        <w:spacing w:after="0" w:line="240" w:lineRule="auto"/>
        <w:rPr>
          <w:rFonts w:eastAsia="Times New Roman" w:cs="Arial"/>
          <w:lang w:eastAsia="en-US"/>
        </w:rPr>
      </w:pPr>
      <w:r w:rsidRPr="006E5A50">
        <w:rPr>
          <w:rFonts w:eastAsia="Times New Roman" w:cs="Arial"/>
          <w:lang w:eastAsia="en-US"/>
        </w:rPr>
        <w:t>Kevin Culbert,  Manager Regulatory Policy and Strategy , Enbridge Gas Distribution Inc.</w:t>
      </w:r>
    </w:p>
    <w:p w:rsidR="006E5A50" w:rsidRDefault="00F400C0" w:rsidP="006E5A50">
      <w:pPr>
        <w:autoSpaceDE w:val="0"/>
        <w:autoSpaceDN w:val="0"/>
        <w:adjustRightInd w:val="0"/>
        <w:spacing w:after="0" w:line="240" w:lineRule="auto"/>
        <w:rPr>
          <w:rFonts w:eastAsia="Times New Roman" w:cs="Arial"/>
          <w:lang w:eastAsia="en-US"/>
        </w:rPr>
      </w:pPr>
      <w:hyperlink r:id="rId11" w:history="1">
        <w:r w:rsidR="006E5A50" w:rsidRPr="006E5A50">
          <w:rPr>
            <w:rStyle w:val="Hyperlink"/>
            <w:rFonts w:eastAsia="Times New Roman" w:cs="Arial"/>
            <w:lang w:eastAsia="en-US"/>
          </w:rPr>
          <w:t>EGDRegulatoryProceedings@enbridge.com</w:t>
        </w:r>
      </w:hyperlink>
    </w:p>
    <w:p w:rsidR="006E5A50" w:rsidRPr="006E5A50" w:rsidRDefault="006E5A50" w:rsidP="006E5A50">
      <w:pPr>
        <w:autoSpaceDE w:val="0"/>
        <w:autoSpaceDN w:val="0"/>
        <w:adjustRightInd w:val="0"/>
        <w:spacing w:after="0" w:line="240" w:lineRule="auto"/>
        <w:rPr>
          <w:rFonts w:eastAsia="Times New Roman" w:cs="Arial"/>
          <w:lang w:eastAsia="en-US"/>
        </w:rPr>
      </w:pPr>
    </w:p>
    <w:p w:rsidR="006E5A50" w:rsidRPr="006E5A50" w:rsidRDefault="006E5A50" w:rsidP="006E5A50">
      <w:pPr>
        <w:autoSpaceDE w:val="0"/>
        <w:autoSpaceDN w:val="0"/>
        <w:adjustRightInd w:val="0"/>
        <w:spacing w:after="0" w:line="240" w:lineRule="auto"/>
        <w:rPr>
          <w:rFonts w:eastAsia="Times New Roman" w:cs="Arial"/>
          <w:lang w:eastAsia="en-US"/>
        </w:rPr>
      </w:pPr>
      <w:r w:rsidRPr="006E5A50">
        <w:rPr>
          <w:rFonts w:eastAsia="Times New Roman" w:cs="Arial"/>
          <w:lang w:eastAsia="en-US"/>
        </w:rPr>
        <w:t>Vanessa Innis, Manager, Regulatory Applications , Union Gas Limited</w:t>
      </w:r>
    </w:p>
    <w:p w:rsidR="00C3520A" w:rsidRPr="00C3520A" w:rsidRDefault="00F400C0" w:rsidP="006E5A50">
      <w:pPr>
        <w:autoSpaceDE w:val="0"/>
        <w:autoSpaceDN w:val="0"/>
        <w:adjustRightInd w:val="0"/>
        <w:spacing w:after="0" w:line="240" w:lineRule="auto"/>
        <w:rPr>
          <w:rFonts w:eastAsia="Times New Roman" w:cs="Arial"/>
          <w:color w:val="0000FF"/>
          <w:lang w:val="en-US" w:eastAsia="en-US"/>
        </w:rPr>
      </w:pPr>
      <w:hyperlink r:id="rId12" w:history="1">
        <w:r w:rsidR="006E5A50" w:rsidRPr="006E5A50">
          <w:rPr>
            <w:rStyle w:val="Hyperlink"/>
            <w:rFonts w:eastAsia="Times New Roman" w:cs="Arial"/>
            <w:lang w:eastAsia="en-US"/>
          </w:rPr>
          <w:t>vinnis@uniongas.com</w:t>
        </w:r>
      </w:hyperlink>
      <w:r w:rsidR="00C3520A" w:rsidRPr="00C3520A">
        <w:rPr>
          <w:rFonts w:eastAsia="Times New Roman" w:cs="Arial"/>
          <w:color w:val="0000FF"/>
          <w:lang w:val="en-US" w:eastAsia="en-US"/>
        </w:rPr>
        <w:tab/>
      </w:r>
    </w:p>
    <w:p w:rsidR="00323310" w:rsidRPr="00C3520A" w:rsidRDefault="00323310" w:rsidP="00C0382E">
      <w:pPr>
        <w:pStyle w:val="NoSpacing"/>
        <w:rPr>
          <w:color w:val="0000FF"/>
        </w:rPr>
        <w:sectPr w:rsidR="00323310" w:rsidRPr="00C3520A" w:rsidSect="002C38BB">
          <w:footerReference w:type="default" r:id="rId13"/>
          <w:pgSz w:w="12240" w:h="15840"/>
          <w:pgMar w:top="1440" w:right="1440" w:bottom="1440" w:left="1440" w:header="1440" w:footer="1440" w:gutter="0"/>
          <w:pgNumType w:start="1"/>
          <w:cols w:space="720"/>
          <w:noEndnote/>
        </w:sectPr>
      </w:pPr>
    </w:p>
    <w:p w:rsidR="0019256C" w:rsidRPr="0019256C" w:rsidRDefault="0019256C" w:rsidP="0019256C">
      <w:pPr>
        <w:spacing w:after="0" w:line="240" w:lineRule="auto"/>
        <w:rPr>
          <w:rFonts w:ascii="Arial" w:eastAsia="Times New Roman" w:hAnsi="Arial" w:cs="Arial"/>
          <w:b/>
          <w:sz w:val="24"/>
          <w:szCs w:val="24"/>
          <w:u w:val="single"/>
          <w:lang w:val="en-US" w:eastAsia="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4428"/>
      </w:tblGrid>
      <w:tr w:rsidR="0019256C" w:rsidRPr="0019256C" w:rsidTr="00177439">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REQUESTOR NAME</w:t>
            </w:r>
          </w:p>
        </w:tc>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VECC</w:t>
            </w:r>
          </w:p>
        </w:tc>
      </w:tr>
      <w:tr w:rsidR="0019256C" w:rsidRPr="0019256C" w:rsidTr="00177439">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TO:</w:t>
            </w:r>
          </w:p>
        </w:tc>
        <w:tc>
          <w:tcPr>
            <w:tcW w:w="4428" w:type="dxa"/>
          </w:tcPr>
          <w:p w:rsidR="0019256C" w:rsidRPr="0019256C" w:rsidRDefault="00F231D7" w:rsidP="002D6D8C">
            <w:pPr>
              <w:spacing w:after="60"/>
              <w:outlineLvl w:val="0"/>
              <w:rPr>
                <w:rFonts w:ascii="Arial" w:hAnsi="Arial" w:cs="Arial"/>
                <w:b/>
                <w:bCs/>
                <w:kern w:val="28"/>
                <w:sz w:val="24"/>
                <w:szCs w:val="24"/>
                <w:lang w:val="en-US"/>
              </w:rPr>
            </w:pPr>
            <w:r>
              <w:rPr>
                <w:rFonts w:ascii="Arial" w:hAnsi="Arial" w:cs="Arial"/>
                <w:b/>
                <w:bCs/>
                <w:kern w:val="28"/>
                <w:sz w:val="24"/>
                <w:szCs w:val="24"/>
                <w:lang w:val="en-US"/>
              </w:rPr>
              <w:t xml:space="preserve">Enbridge Gas </w:t>
            </w:r>
            <w:r w:rsidR="002D6D8C">
              <w:rPr>
                <w:rFonts w:ascii="Arial" w:hAnsi="Arial" w:cs="Arial"/>
                <w:b/>
                <w:bCs/>
                <w:kern w:val="28"/>
                <w:sz w:val="24"/>
                <w:szCs w:val="24"/>
                <w:lang w:val="en-US"/>
              </w:rPr>
              <w:t>Inc.</w:t>
            </w:r>
            <w:r>
              <w:rPr>
                <w:rFonts w:ascii="Arial" w:hAnsi="Arial" w:cs="Arial"/>
                <w:b/>
                <w:bCs/>
                <w:kern w:val="28"/>
                <w:sz w:val="24"/>
                <w:szCs w:val="24"/>
                <w:lang w:val="en-US"/>
              </w:rPr>
              <w:t xml:space="preserve"> (EG</w:t>
            </w:r>
            <w:r w:rsidR="002D6D8C">
              <w:rPr>
                <w:rFonts w:ascii="Arial" w:hAnsi="Arial" w:cs="Arial"/>
                <w:b/>
                <w:bCs/>
                <w:kern w:val="28"/>
                <w:sz w:val="24"/>
                <w:szCs w:val="24"/>
                <w:lang w:val="en-US"/>
              </w:rPr>
              <w:t>I</w:t>
            </w:r>
            <w:r>
              <w:rPr>
                <w:rFonts w:ascii="Arial" w:hAnsi="Arial" w:cs="Arial"/>
                <w:b/>
                <w:bCs/>
                <w:kern w:val="28"/>
                <w:sz w:val="24"/>
                <w:szCs w:val="24"/>
                <w:lang w:val="en-US"/>
              </w:rPr>
              <w:t>)</w:t>
            </w:r>
          </w:p>
        </w:tc>
      </w:tr>
      <w:tr w:rsidR="0019256C" w:rsidRPr="0019256C" w:rsidTr="00177439">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DATE:</w:t>
            </w:r>
            <w:r w:rsidRPr="0019256C">
              <w:rPr>
                <w:rFonts w:ascii="Arial" w:hAnsi="Arial" w:cs="Arial"/>
                <w:b/>
                <w:bCs/>
                <w:kern w:val="28"/>
                <w:sz w:val="24"/>
                <w:szCs w:val="24"/>
                <w:lang w:val="en-US"/>
              </w:rPr>
              <w:tab/>
            </w:r>
          </w:p>
        </w:tc>
        <w:tc>
          <w:tcPr>
            <w:tcW w:w="4428" w:type="dxa"/>
          </w:tcPr>
          <w:p w:rsidR="0019256C" w:rsidRPr="0019256C" w:rsidRDefault="00F56187" w:rsidP="00F231D7">
            <w:pPr>
              <w:spacing w:after="60"/>
              <w:outlineLvl w:val="0"/>
              <w:rPr>
                <w:rFonts w:ascii="Arial" w:hAnsi="Arial" w:cs="Arial"/>
                <w:b/>
                <w:bCs/>
                <w:kern w:val="28"/>
                <w:sz w:val="24"/>
                <w:szCs w:val="24"/>
                <w:lang w:val="en-US"/>
              </w:rPr>
            </w:pPr>
            <w:r>
              <w:rPr>
                <w:rFonts w:ascii="Arial" w:hAnsi="Arial" w:cs="Arial"/>
                <w:b/>
                <w:bCs/>
                <w:kern w:val="28"/>
                <w:sz w:val="24"/>
                <w:szCs w:val="24"/>
                <w:lang w:val="en-US"/>
              </w:rPr>
              <w:t>April 5</w:t>
            </w:r>
            <w:r w:rsidR="0019256C" w:rsidRPr="0019256C">
              <w:rPr>
                <w:rFonts w:ascii="Arial" w:hAnsi="Arial" w:cs="Arial"/>
                <w:b/>
                <w:bCs/>
                <w:kern w:val="28"/>
                <w:sz w:val="24"/>
                <w:szCs w:val="24"/>
                <w:lang w:val="en-US"/>
              </w:rPr>
              <w:t>, 2019</w:t>
            </w:r>
          </w:p>
        </w:tc>
      </w:tr>
      <w:tr w:rsidR="0019256C" w:rsidRPr="0019256C" w:rsidTr="00177439">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CASE NO:</w:t>
            </w:r>
            <w:r w:rsidRPr="0019256C">
              <w:rPr>
                <w:rFonts w:ascii="Arial" w:hAnsi="Arial" w:cs="Arial"/>
                <w:bCs/>
                <w:kern w:val="28"/>
                <w:sz w:val="24"/>
                <w:szCs w:val="24"/>
                <w:lang w:val="en-US"/>
              </w:rPr>
              <w:tab/>
            </w:r>
          </w:p>
        </w:tc>
        <w:tc>
          <w:tcPr>
            <w:tcW w:w="4428" w:type="dxa"/>
          </w:tcPr>
          <w:p w:rsidR="0019256C" w:rsidRPr="0019256C" w:rsidRDefault="0019256C" w:rsidP="00F231D7">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EB-2018-0</w:t>
            </w:r>
            <w:r w:rsidR="00F231D7">
              <w:rPr>
                <w:rFonts w:ascii="Arial" w:hAnsi="Arial" w:cs="Arial"/>
                <w:b/>
                <w:bCs/>
                <w:kern w:val="28"/>
                <w:sz w:val="24"/>
                <w:szCs w:val="24"/>
                <w:lang w:val="en-US"/>
              </w:rPr>
              <w:t>305</w:t>
            </w:r>
          </w:p>
        </w:tc>
      </w:tr>
      <w:tr w:rsidR="0019256C" w:rsidRPr="0019256C" w:rsidTr="00177439">
        <w:tc>
          <w:tcPr>
            <w:tcW w:w="4428" w:type="dxa"/>
          </w:tcPr>
          <w:p w:rsidR="0019256C" w:rsidRPr="0019256C" w:rsidRDefault="0019256C" w:rsidP="0019256C">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APPLICATION NAME</w:t>
            </w:r>
          </w:p>
        </w:tc>
        <w:tc>
          <w:tcPr>
            <w:tcW w:w="4428" w:type="dxa"/>
          </w:tcPr>
          <w:p w:rsidR="0019256C" w:rsidRPr="0019256C" w:rsidRDefault="0019256C" w:rsidP="00F231D7">
            <w:pPr>
              <w:spacing w:after="60"/>
              <w:outlineLvl w:val="0"/>
              <w:rPr>
                <w:rFonts w:ascii="Arial" w:hAnsi="Arial" w:cs="Arial"/>
                <w:b/>
                <w:bCs/>
                <w:kern w:val="28"/>
                <w:sz w:val="24"/>
                <w:szCs w:val="24"/>
                <w:lang w:val="en-US"/>
              </w:rPr>
            </w:pPr>
            <w:r w:rsidRPr="0019256C">
              <w:rPr>
                <w:rFonts w:ascii="Arial" w:hAnsi="Arial" w:cs="Arial"/>
                <w:b/>
                <w:bCs/>
                <w:kern w:val="28"/>
                <w:sz w:val="24"/>
                <w:szCs w:val="24"/>
                <w:lang w:val="en-US"/>
              </w:rPr>
              <w:t xml:space="preserve">2019 </w:t>
            </w:r>
            <w:r w:rsidR="00F231D7">
              <w:rPr>
                <w:rFonts w:ascii="Arial" w:hAnsi="Arial" w:cs="Arial"/>
                <w:b/>
                <w:bCs/>
                <w:kern w:val="28"/>
                <w:sz w:val="24"/>
                <w:szCs w:val="24"/>
                <w:lang w:val="en-US"/>
              </w:rPr>
              <w:t>Rates</w:t>
            </w:r>
          </w:p>
        </w:tc>
      </w:tr>
    </w:tbl>
    <w:p w:rsidR="0019256C" w:rsidRPr="0019256C" w:rsidRDefault="0019256C" w:rsidP="0019256C">
      <w:pPr>
        <w:tabs>
          <w:tab w:val="right" w:leader="underscore" w:pos="8647"/>
        </w:tabs>
        <w:spacing w:after="60" w:line="240" w:lineRule="auto"/>
        <w:outlineLvl w:val="0"/>
        <w:rPr>
          <w:rFonts w:ascii="Arial" w:eastAsia="Times New Roman" w:hAnsi="Arial" w:cs="Arial"/>
          <w:bCs/>
          <w:kern w:val="28"/>
          <w:sz w:val="24"/>
          <w:szCs w:val="24"/>
          <w:lang w:val="en-US"/>
        </w:rPr>
      </w:pPr>
      <w:r w:rsidRPr="0019256C">
        <w:rPr>
          <w:rFonts w:ascii="Arial" w:eastAsia="Times New Roman" w:hAnsi="Arial" w:cs="Arial"/>
          <w:bCs/>
          <w:kern w:val="28"/>
          <w:sz w:val="24"/>
          <w:szCs w:val="24"/>
          <w:lang w:val="en-US"/>
        </w:rPr>
        <w:tab/>
      </w:r>
    </w:p>
    <w:p w:rsidR="0019256C" w:rsidRPr="0019256C" w:rsidRDefault="0019256C" w:rsidP="0019256C">
      <w:pPr>
        <w:widowControl w:val="0"/>
        <w:tabs>
          <w:tab w:val="left" w:pos="625"/>
          <w:tab w:val="left" w:pos="6090"/>
        </w:tabs>
        <w:spacing w:before="13" w:after="0"/>
        <w:ind w:right="360"/>
        <w:rPr>
          <w:rFonts w:ascii="Arial" w:eastAsia="Arial" w:hAnsi="Arial" w:cs="Arial"/>
          <w:b/>
          <w:sz w:val="24"/>
          <w:szCs w:val="24"/>
          <w:lang w:val="en-US" w:eastAsia="en-US"/>
        </w:rPr>
      </w:pPr>
    </w:p>
    <w:p w:rsidR="0019256C" w:rsidRPr="0019256C" w:rsidRDefault="0019256C" w:rsidP="007808A1">
      <w:pPr>
        <w:widowControl w:val="0"/>
        <w:tabs>
          <w:tab w:val="left" w:pos="625"/>
          <w:tab w:val="left" w:pos="6090"/>
        </w:tabs>
        <w:spacing w:after="0"/>
        <w:ind w:right="360"/>
        <w:rPr>
          <w:rFonts w:ascii="Arial" w:eastAsia="Arial" w:hAnsi="Arial" w:cs="Arial"/>
          <w:sz w:val="24"/>
          <w:szCs w:val="24"/>
          <w:lang w:val="en-US" w:eastAsia="en-US"/>
        </w:rPr>
      </w:pPr>
      <w:r w:rsidRPr="0019256C">
        <w:rPr>
          <w:rFonts w:ascii="Arial" w:eastAsia="Arial" w:hAnsi="Arial" w:cs="Arial"/>
          <w:b/>
          <w:sz w:val="24"/>
          <w:szCs w:val="24"/>
          <w:lang w:val="en-US" w:eastAsia="en-US"/>
        </w:rPr>
        <w:t>1.0</w:t>
      </w:r>
      <w:r w:rsidRPr="0019256C">
        <w:rPr>
          <w:rFonts w:ascii="Arial" w:eastAsia="Arial" w:hAnsi="Arial" w:cs="Arial"/>
          <w:b/>
          <w:sz w:val="24"/>
          <w:szCs w:val="24"/>
          <w:lang w:val="en-US" w:eastAsia="en-US"/>
        </w:rPr>
        <w:tab/>
      </w:r>
      <w:r w:rsidR="00F231D7">
        <w:rPr>
          <w:rFonts w:ascii="Arial" w:eastAsia="Arial" w:hAnsi="Arial" w:cs="Arial"/>
          <w:b/>
          <w:sz w:val="24"/>
          <w:szCs w:val="24"/>
          <w:lang w:val="en-US" w:eastAsia="en-US"/>
        </w:rPr>
        <w:t xml:space="preserve">EXHIBIT </w:t>
      </w:r>
      <w:r w:rsidR="000A25E0">
        <w:rPr>
          <w:rFonts w:ascii="Arial" w:eastAsia="Arial" w:hAnsi="Arial" w:cs="Arial"/>
          <w:b/>
          <w:sz w:val="24"/>
          <w:szCs w:val="24"/>
          <w:lang w:val="en-US" w:eastAsia="en-US"/>
        </w:rPr>
        <w:t>A</w:t>
      </w:r>
      <w:r w:rsidR="00F231D7">
        <w:rPr>
          <w:rFonts w:ascii="Arial" w:eastAsia="Arial" w:hAnsi="Arial" w:cs="Arial"/>
          <w:b/>
          <w:sz w:val="24"/>
          <w:szCs w:val="24"/>
          <w:lang w:val="en-US" w:eastAsia="en-US"/>
        </w:rPr>
        <w:t xml:space="preserve">1 – </w:t>
      </w:r>
      <w:r w:rsidRPr="0019256C">
        <w:rPr>
          <w:rFonts w:ascii="Arial" w:eastAsia="Arial" w:hAnsi="Arial" w:cs="Arial"/>
          <w:b/>
          <w:sz w:val="24"/>
          <w:szCs w:val="24"/>
          <w:lang w:val="en-US" w:eastAsia="en-US"/>
        </w:rPr>
        <w:t>ADMINISTRATION</w:t>
      </w:r>
      <w:r w:rsidR="00F231D7">
        <w:rPr>
          <w:rFonts w:ascii="Arial" w:eastAsia="Arial" w:hAnsi="Arial" w:cs="Arial"/>
          <w:b/>
          <w:sz w:val="24"/>
          <w:szCs w:val="24"/>
          <w:lang w:val="en-US" w:eastAsia="en-US"/>
        </w:rPr>
        <w:t xml:space="preserve"> / CONDITIONS OF SERVICE</w:t>
      </w:r>
      <w:r w:rsidRPr="0019256C">
        <w:rPr>
          <w:rFonts w:ascii="Arial" w:eastAsia="Arial" w:hAnsi="Arial" w:cs="Arial"/>
          <w:b/>
          <w:sz w:val="24"/>
          <w:szCs w:val="24"/>
          <w:lang w:val="en-US" w:eastAsia="en-US"/>
        </w:rPr>
        <w:tab/>
      </w:r>
    </w:p>
    <w:p w:rsidR="0019256C" w:rsidRPr="0019256C" w:rsidRDefault="0019256C" w:rsidP="007808A1">
      <w:pPr>
        <w:widowControl w:val="0"/>
        <w:tabs>
          <w:tab w:val="left" w:pos="625"/>
        </w:tabs>
        <w:spacing w:after="0"/>
        <w:ind w:right="360"/>
        <w:rPr>
          <w:rFonts w:ascii="Arial" w:eastAsia="Arial" w:hAnsi="Arial" w:cs="Arial"/>
          <w:sz w:val="24"/>
          <w:szCs w:val="24"/>
          <w:lang w:val="en-US" w:eastAsia="en-US"/>
        </w:rPr>
      </w:pPr>
    </w:p>
    <w:p w:rsidR="0019256C" w:rsidRPr="0019256C" w:rsidRDefault="0019256C" w:rsidP="007808A1">
      <w:pPr>
        <w:widowControl w:val="0"/>
        <w:tabs>
          <w:tab w:val="left" w:pos="625"/>
        </w:tabs>
        <w:spacing w:after="0"/>
        <w:ind w:right="357"/>
        <w:rPr>
          <w:rFonts w:ascii="Arial" w:eastAsia="Arial" w:hAnsi="Arial" w:cs="Arial"/>
          <w:sz w:val="24"/>
          <w:szCs w:val="24"/>
          <w:lang w:val="en-US" w:eastAsia="en-US"/>
        </w:rPr>
      </w:pPr>
      <w:r w:rsidRPr="0019256C">
        <w:rPr>
          <w:rFonts w:ascii="Arial" w:eastAsia="Arial" w:hAnsi="Arial" w:cs="Arial"/>
          <w:sz w:val="24"/>
          <w:szCs w:val="24"/>
          <w:lang w:val="en-US" w:eastAsia="en-US"/>
        </w:rPr>
        <w:tab/>
        <w:t>1.0-VECC-1</w:t>
      </w:r>
      <w:r w:rsidR="00741571">
        <w:rPr>
          <w:rFonts w:ascii="Arial" w:eastAsia="Arial" w:hAnsi="Arial" w:cs="Arial"/>
          <w:sz w:val="24"/>
          <w:szCs w:val="24"/>
          <w:lang w:val="en-US" w:eastAsia="en-US"/>
        </w:rPr>
        <w:t xml:space="preserve"> </w:t>
      </w:r>
      <w:r w:rsidR="00741571">
        <w:rPr>
          <w:rFonts w:ascii="Arial" w:eastAsia="Arial" w:hAnsi="Arial" w:cs="Arial"/>
          <w:sz w:val="24"/>
          <w:szCs w:val="24"/>
          <w:lang w:val="en-US" w:eastAsia="en-US"/>
        </w:rPr>
        <w:tab/>
        <w:t>(Issue 8.0)</w:t>
      </w:r>
    </w:p>
    <w:p w:rsidR="0019256C" w:rsidRPr="0019256C" w:rsidRDefault="0019256C" w:rsidP="007808A1">
      <w:pPr>
        <w:widowControl w:val="0"/>
        <w:tabs>
          <w:tab w:val="left" w:pos="625"/>
        </w:tabs>
        <w:spacing w:after="0"/>
        <w:ind w:right="360"/>
        <w:rPr>
          <w:rFonts w:ascii="Arial" w:eastAsia="Arial" w:hAnsi="Arial" w:cs="Arial"/>
          <w:sz w:val="24"/>
          <w:szCs w:val="24"/>
          <w:lang w:val="en-US" w:eastAsia="en-US"/>
        </w:rPr>
      </w:pPr>
      <w:r w:rsidRPr="0019256C">
        <w:rPr>
          <w:rFonts w:ascii="Arial" w:eastAsia="Arial" w:hAnsi="Arial" w:cs="Arial"/>
          <w:sz w:val="24"/>
          <w:szCs w:val="24"/>
          <w:lang w:val="en-US" w:eastAsia="en-US"/>
        </w:rPr>
        <w:tab/>
        <w:t>Reference:</w:t>
      </w:r>
      <w:r w:rsidRPr="0019256C">
        <w:rPr>
          <w:rFonts w:ascii="Arial" w:eastAsia="Arial" w:hAnsi="Arial" w:cs="Arial"/>
          <w:sz w:val="24"/>
          <w:szCs w:val="24"/>
          <w:lang w:val="en-US" w:eastAsia="en-US"/>
        </w:rPr>
        <w:tab/>
        <w:t>E</w:t>
      </w:r>
      <w:r w:rsidR="008357FA">
        <w:rPr>
          <w:rFonts w:ascii="Arial" w:eastAsia="Arial" w:hAnsi="Arial" w:cs="Arial"/>
          <w:sz w:val="24"/>
          <w:szCs w:val="24"/>
          <w:lang w:val="en-US" w:eastAsia="en-US"/>
        </w:rPr>
        <w:t>xhibit</w:t>
      </w:r>
      <w:r w:rsidRPr="0019256C">
        <w:rPr>
          <w:rFonts w:ascii="Arial" w:eastAsia="Arial" w:hAnsi="Arial" w:cs="Arial"/>
          <w:sz w:val="24"/>
          <w:szCs w:val="24"/>
          <w:lang w:val="en-US" w:eastAsia="en-US"/>
        </w:rPr>
        <w:t xml:space="preserve"> </w:t>
      </w:r>
      <w:r w:rsidR="005548A5">
        <w:rPr>
          <w:rFonts w:ascii="Arial" w:eastAsia="Arial" w:hAnsi="Arial" w:cs="Arial"/>
          <w:sz w:val="24"/>
          <w:szCs w:val="24"/>
          <w:lang w:val="en-US" w:eastAsia="en-US"/>
        </w:rPr>
        <w:t xml:space="preserve"> A1/T5/S1/pg.22</w:t>
      </w:r>
    </w:p>
    <w:p w:rsidR="0019256C" w:rsidRPr="0019256C" w:rsidRDefault="0019256C" w:rsidP="007808A1">
      <w:pPr>
        <w:widowControl w:val="0"/>
        <w:tabs>
          <w:tab w:val="left" w:pos="625"/>
        </w:tabs>
        <w:spacing w:after="0"/>
        <w:ind w:right="360"/>
        <w:rPr>
          <w:rFonts w:ascii="Arial" w:eastAsia="Arial" w:hAnsi="Arial" w:cs="Arial"/>
          <w:sz w:val="24"/>
          <w:szCs w:val="24"/>
          <w:lang w:val="en-US" w:eastAsia="en-US"/>
        </w:rPr>
      </w:pPr>
    </w:p>
    <w:p w:rsidR="004C2BF1" w:rsidRDefault="008357FA" w:rsidP="007748B0">
      <w:pPr>
        <w:widowControl w:val="0"/>
        <w:numPr>
          <w:ilvl w:val="0"/>
          <w:numId w:val="7"/>
        </w:numPr>
        <w:tabs>
          <w:tab w:val="left" w:pos="625"/>
        </w:tabs>
        <w:spacing w:after="0"/>
        <w:ind w:right="360"/>
        <w:rPr>
          <w:rFonts w:ascii="Arial" w:eastAsia="Arial" w:hAnsi="Arial" w:cs="Arial"/>
          <w:sz w:val="24"/>
          <w:szCs w:val="24"/>
          <w:lang w:val="en-US" w:eastAsia="en-US"/>
        </w:rPr>
      </w:pPr>
      <w:r>
        <w:rPr>
          <w:rFonts w:ascii="Arial" w:eastAsia="Arial" w:hAnsi="Arial" w:cs="Arial"/>
          <w:sz w:val="24"/>
          <w:szCs w:val="24"/>
          <w:lang w:val="en-US" w:eastAsia="en-US"/>
        </w:rPr>
        <w:t xml:space="preserve">With respect to the Conditions of Service for the EGD Rate Zone please explain </w:t>
      </w:r>
      <w:r w:rsidR="004C2BF1">
        <w:rPr>
          <w:rFonts w:ascii="Arial" w:eastAsia="Arial" w:hAnsi="Arial" w:cs="Arial"/>
          <w:sz w:val="24"/>
          <w:szCs w:val="24"/>
          <w:lang w:val="en-US" w:eastAsia="en-US"/>
        </w:rPr>
        <w:t xml:space="preserve">why it is </w:t>
      </w:r>
      <w:r w:rsidR="002C146B">
        <w:rPr>
          <w:rFonts w:ascii="Arial" w:eastAsia="Arial" w:hAnsi="Arial" w:cs="Arial"/>
          <w:sz w:val="24"/>
          <w:szCs w:val="24"/>
          <w:lang w:val="en-US" w:eastAsia="en-US"/>
        </w:rPr>
        <w:t xml:space="preserve">a pre-requisite </w:t>
      </w:r>
      <w:r w:rsidR="004C2BF1">
        <w:rPr>
          <w:rFonts w:ascii="Arial" w:eastAsia="Arial" w:hAnsi="Arial" w:cs="Arial"/>
          <w:sz w:val="24"/>
          <w:szCs w:val="24"/>
          <w:lang w:val="en-US" w:eastAsia="en-US"/>
        </w:rPr>
        <w:t>to have an account with a financial institution for an eligible low-income customer to have a security deposit waived.  Does this provision also apply to the Union Rate Zone?</w:t>
      </w:r>
    </w:p>
    <w:p w:rsidR="002732DE" w:rsidRDefault="002732DE" w:rsidP="002732DE">
      <w:pPr>
        <w:widowControl w:val="0"/>
        <w:tabs>
          <w:tab w:val="left" w:pos="625"/>
        </w:tabs>
        <w:spacing w:after="0"/>
        <w:ind w:left="990" w:right="360"/>
        <w:rPr>
          <w:rFonts w:ascii="Arial" w:eastAsia="Arial" w:hAnsi="Arial" w:cs="Arial"/>
          <w:sz w:val="24"/>
          <w:szCs w:val="24"/>
          <w:lang w:val="en-US" w:eastAsia="en-US"/>
        </w:rPr>
      </w:pPr>
    </w:p>
    <w:p w:rsidR="0019256C" w:rsidRDefault="004C2BF1" w:rsidP="007748B0">
      <w:pPr>
        <w:widowControl w:val="0"/>
        <w:numPr>
          <w:ilvl w:val="0"/>
          <w:numId w:val="7"/>
        </w:numPr>
        <w:tabs>
          <w:tab w:val="left" w:pos="625"/>
        </w:tabs>
        <w:spacing w:after="0"/>
        <w:ind w:right="360"/>
        <w:rPr>
          <w:rFonts w:ascii="Arial" w:eastAsia="Arial" w:hAnsi="Arial" w:cs="Arial"/>
          <w:sz w:val="24"/>
          <w:szCs w:val="24"/>
          <w:lang w:val="en-US" w:eastAsia="en-US"/>
        </w:rPr>
      </w:pPr>
      <w:r>
        <w:rPr>
          <w:rFonts w:ascii="Arial" w:eastAsia="Arial" w:hAnsi="Arial" w:cs="Arial"/>
          <w:sz w:val="24"/>
          <w:szCs w:val="24"/>
          <w:lang w:val="en-US" w:eastAsia="en-US"/>
        </w:rPr>
        <w:t>Is the United Way Greater Simcoe County the LEAP administrator for both the EGD and Union Rate Zones.  If not please provide the administrator name(s) for the Union Rate Zones</w:t>
      </w:r>
      <w:r w:rsidR="00310262">
        <w:rPr>
          <w:rFonts w:ascii="Arial" w:eastAsia="Arial" w:hAnsi="Arial" w:cs="Arial"/>
          <w:sz w:val="24"/>
          <w:szCs w:val="24"/>
          <w:lang w:val="en-US" w:eastAsia="en-US"/>
        </w:rPr>
        <w:t>.</w:t>
      </w:r>
    </w:p>
    <w:p w:rsidR="004C2BF1" w:rsidRDefault="004C2BF1" w:rsidP="004C2BF1">
      <w:pPr>
        <w:widowControl w:val="0"/>
        <w:tabs>
          <w:tab w:val="left" w:pos="625"/>
        </w:tabs>
        <w:spacing w:after="0"/>
        <w:ind w:left="990" w:right="360"/>
        <w:rPr>
          <w:rFonts w:ascii="Arial" w:eastAsia="Arial" w:hAnsi="Arial" w:cs="Arial"/>
          <w:sz w:val="24"/>
          <w:szCs w:val="24"/>
          <w:lang w:val="en-US" w:eastAsia="en-US"/>
        </w:rPr>
      </w:pPr>
    </w:p>
    <w:p w:rsidR="0093701F" w:rsidRDefault="0093701F" w:rsidP="0093701F">
      <w:pPr>
        <w:widowControl w:val="0"/>
        <w:tabs>
          <w:tab w:val="left" w:pos="625"/>
        </w:tabs>
        <w:spacing w:after="0"/>
        <w:ind w:right="360"/>
        <w:rPr>
          <w:rFonts w:ascii="Arial" w:eastAsia="Arial" w:hAnsi="Arial" w:cs="Arial"/>
          <w:sz w:val="24"/>
          <w:szCs w:val="24"/>
          <w:lang w:val="en-US" w:eastAsia="en-US"/>
        </w:rPr>
      </w:pPr>
    </w:p>
    <w:p w:rsidR="0093701F" w:rsidRDefault="0004358D" w:rsidP="0093701F">
      <w:pPr>
        <w:widowControl w:val="0"/>
        <w:tabs>
          <w:tab w:val="left" w:pos="625"/>
        </w:tabs>
        <w:spacing w:after="0"/>
        <w:ind w:right="360"/>
        <w:rPr>
          <w:rFonts w:ascii="Arial" w:eastAsia="Arial" w:hAnsi="Arial" w:cs="Arial"/>
          <w:sz w:val="24"/>
          <w:szCs w:val="24"/>
          <w:lang w:val="en-US" w:eastAsia="en-US"/>
        </w:rPr>
      </w:pPr>
      <w:r>
        <w:rPr>
          <w:rFonts w:ascii="Arial" w:eastAsia="Arial" w:hAnsi="Arial" w:cs="Arial"/>
          <w:sz w:val="24"/>
          <w:szCs w:val="24"/>
          <w:lang w:val="en-US" w:eastAsia="en-US"/>
        </w:rPr>
        <w:tab/>
        <w:t>1.0-VECC-2</w:t>
      </w:r>
    </w:p>
    <w:p w:rsidR="0093701F" w:rsidRDefault="0093701F" w:rsidP="0093701F">
      <w:pPr>
        <w:widowControl w:val="0"/>
        <w:tabs>
          <w:tab w:val="left" w:pos="625"/>
        </w:tabs>
        <w:spacing w:after="0"/>
        <w:ind w:right="360"/>
        <w:rPr>
          <w:rFonts w:ascii="Arial" w:eastAsia="Arial" w:hAnsi="Arial" w:cs="Arial"/>
          <w:sz w:val="24"/>
          <w:szCs w:val="24"/>
          <w:lang w:val="en-US" w:eastAsia="en-US"/>
        </w:rPr>
      </w:pPr>
      <w:r>
        <w:rPr>
          <w:rFonts w:ascii="Arial" w:eastAsia="Arial" w:hAnsi="Arial" w:cs="Arial"/>
          <w:sz w:val="24"/>
          <w:szCs w:val="24"/>
          <w:lang w:val="en-US" w:eastAsia="en-US"/>
        </w:rPr>
        <w:tab/>
        <w:t>Reference:</w:t>
      </w:r>
      <w:r>
        <w:rPr>
          <w:rFonts w:ascii="Arial" w:eastAsia="Arial" w:hAnsi="Arial" w:cs="Arial"/>
          <w:sz w:val="24"/>
          <w:szCs w:val="24"/>
          <w:lang w:val="en-US" w:eastAsia="en-US"/>
        </w:rPr>
        <w:tab/>
        <w:t xml:space="preserve">Exhibit </w:t>
      </w:r>
      <w:r w:rsidR="008357FA">
        <w:rPr>
          <w:rFonts w:ascii="Arial" w:eastAsia="Arial" w:hAnsi="Arial" w:cs="Arial"/>
          <w:sz w:val="24"/>
          <w:szCs w:val="24"/>
          <w:lang w:val="en-US" w:eastAsia="en-US"/>
        </w:rPr>
        <w:t>A</w:t>
      </w:r>
      <w:r>
        <w:rPr>
          <w:rFonts w:ascii="Arial" w:eastAsia="Arial" w:hAnsi="Arial" w:cs="Arial"/>
          <w:sz w:val="24"/>
          <w:szCs w:val="24"/>
          <w:lang w:val="en-US" w:eastAsia="en-US"/>
        </w:rPr>
        <w:t>1</w:t>
      </w:r>
      <w:r w:rsidR="004C2BF1">
        <w:rPr>
          <w:rFonts w:ascii="Arial" w:eastAsia="Arial" w:hAnsi="Arial" w:cs="Arial"/>
          <w:sz w:val="24"/>
          <w:szCs w:val="24"/>
          <w:lang w:val="en-US" w:eastAsia="en-US"/>
        </w:rPr>
        <w:t>/T5/S1/pg.23</w:t>
      </w:r>
    </w:p>
    <w:p w:rsidR="0093701F" w:rsidRDefault="0093701F" w:rsidP="0093701F">
      <w:pPr>
        <w:widowControl w:val="0"/>
        <w:tabs>
          <w:tab w:val="left" w:pos="625"/>
        </w:tabs>
        <w:spacing w:after="0"/>
        <w:ind w:right="360"/>
        <w:rPr>
          <w:rFonts w:ascii="Arial" w:eastAsia="Arial" w:hAnsi="Arial" w:cs="Arial"/>
          <w:sz w:val="24"/>
          <w:szCs w:val="24"/>
          <w:lang w:val="en-US" w:eastAsia="en-US"/>
        </w:rPr>
      </w:pPr>
    </w:p>
    <w:p w:rsidR="004C2BF1" w:rsidRDefault="0093701F"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a)</w:t>
      </w:r>
      <w:r>
        <w:rPr>
          <w:rFonts w:ascii="Arial" w:eastAsia="Arial" w:hAnsi="Arial" w:cs="Arial"/>
          <w:sz w:val="24"/>
          <w:szCs w:val="24"/>
          <w:lang w:val="en-US" w:eastAsia="en-US"/>
        </w:rPr>
        <w:tab/>
        <w:t xml:space="preserve">Please provide </w:t>
      </w:r>
      <w:r w:rsidR="004C2BF1">
        <w:rPr>
          <w:rFonts w:ascii="Arial" w:eastAsia="Arial" w:hAnsi="Arial" w:cs="Arial"/>
          <w:sz w:val="24"/>
          <w:szCs w:val="24"/>
          <w:lang w:val="en-US" w:eastAsia="en-US"/>
        </w:rPr>
        <w:t>the number (by category) of complaints escalated to the Enbridge Customer Ombudsman’s Office for the last calendar year (2018)</w:t>
      </w:r>
    </w:p>
    <w:p w:rsidR="002732DE" w:rsidRDefault="002732DE"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4C2BF1" w:rsidRDefault="00301173"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 xml:space="preserve">b) </w:t>
      </w:r>
      <w:r>
        <w:rPr>
          <w:rFonts w:ascii="Arial" w:eastAsia="Arial" w:hAnsi="Arial" w:cs="Arial"/>
          <w:sz w:val="24"/>
          <w:szCs w:val="24"/>
          <w:lang w:val="en-US" w:eastAsia="en-US"/>
        </w:rPr>
        <w:tab/>
      </w:r>
      <w:r w:rsidR="004C2BF1">
        <w:rPr>
          <w:rFonts w:ascii="Arial" w:eastAsia="Arial" w:hAnsi="Arial" w:cs="Arial"/>
          <w:sz w:val="24"/>
          <w:szCs w:val="24"/>
          <w:lang w:val="en-US" w:eastAsia="en-US"/>
        </w:rPr>
        <w:t>Does the Union Rate Zone have a similar office?  If so, please a similar report as in a) for this Rate Zone.</w:t>
      </w:r>
    </w:p>
    <w:p w:rsidR="004C2BF1" w:rsidRDefault="004C2BF1"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4C2BF1" w:rsidRDefault="004C2BF1"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4C2BF1" w:rsidRDefault="004C2BF1"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Pr>
          <w:rFonts w:ascii="Arial" w:eastAsia="Arial" w:hAnsi="Arial" w:cs="Arial"/>
          <w:sz w:val="24"/>
          <w:szCs w:val="24"/>
          <w:lang w:val="en-US" w:eastAsia="en-US"/>
        </w:rPr>
        <w:tab/>
        <w:t>1.0-VECC-3</w:t>
      </w:r>
    </w:p>
    <w:p w:rsidR="004C2BF1" w:rsidRDefault="004C2BF1"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Pr>
          <w:rFonts w:ascii="Arial" w:eastAsia="Arial" w:hAnsi="Arial" w:cs="Arial"/>
          <w:sz w:val="24"/>
          <w:szCs w:val="24"/>
          <w:lang w:val="en-US" w:eastAsia="en-US"/>
        </w:rPr>
        <w:tab/>
        <w:t>Reference:</w:t>
      </w:r>
      <w:r>
        <w:rPr>
          <w:rFonts w:ascii="Arial" w:eastAsia="Arial" w:hAnsi="Arial" w:cs="Arial"/>
          <w:sz w:val="24"/>
          <w:szCs w:val="24"/>
          <w:lang w:val="en-US" w:eastAsia="en-US"/>
        </w:rPr>
        <w:tab/>
        <w:t>Exhibit A1/T5/S3/pg.23</w:t>
      </w:r>
    </w:p>
    <w:p w:rsidR="004C2BF1" w:rsidRDefault="004C2BF1" w:rsidP="0093701F">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4C2BF1" w:rsidRDefault="004C2BF1"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 xml:space="preserve">a) </w:t>
      </w:r>
      <w:r w:rsidR="002732DE">
        <w:rPr>
          <w:rFonts w:ascii="Arial" w:eastAsia="Arial" w:hAnsi="Arial" w:cs="Arial"/>
          <w:sz w:val="24"/>
          <w:szCs w:val="24"/>
          <w:lang w:val="en-US" w:eastAsia="en-US"/>
        </w:rPr>
        <w:tab/>
      </w:r>
      <w:r>
        <w:rPr>
          <w:rFonts w:ascii="Arial" w:eastAsia="Arial" w:hAnsi="Arial" w:cs="Arial"/>
          <w:sz w:val="24"/>
          <w:szCs w:val="24"/>
          <w:lang w:val="en-US" w:eastAsia="en-US"/>
        </w:rPr>
        <w:t>The Security Deposit and Low</w:t>
      </w:r>
      <w:r w:rsidR="007F1E4D">
        <w:rPr>
          <w:rFonts w:ascii="Arial" w:eastAsia="Arial" w:hAnsi="Arial" w:cs="Arial"/>
          <w:sz w:val="24"/>
          <w:szCs w:val="24"/>
          <w:lang w:val="en-US" w:eastAsia="en-US"/>
        </w:rPr>
        <w:t>-Income Customer Policies of EGI</w:t>
      </w:r>
      <w:r>
        <w:rPr>
          <w:rFonts w:ascii="Arial" w:eastAsia="Arial" w:hAnsi="Arial" w:cs="Arial"/>
          <w:sz w:val="24"/>
          <w:szCs w:val="24"/>
          <w:lang w:val="en-US" w:eastAsia="en-US"/>
        </w:rPr>
        <w:t xml:space="preserve"> for its two different rate zones differ.  Please explain why and what plans are being made to harmonize these </w:t>
      </w:r>
      <w:r w:rsidR="007F1E4D">
        <w:rPr>
          <w:rFonts w:ascii="Arial" w:eastAsia="Arial" w:hAnsi="Arial" w:cs="Arial"/>
          <w:sz w:val="24"/>
          <w:szCs w:val="24"/>
          <w:lang w:val="en-US" w:eastAsia="en-US"/>
        </w:rPr>
        <w:t xml:space="preserve">specific </w:t>
      </w:r>
      <w:r>
        <w:rPr>
          <w:rFonts w:ascii="Arial" w:eastAsia="Arial" w:hAnsi="Arial" w:cs="Arial"/>
          <w:sz w:val="24"/>
          <w:szCs w:val="24"/>
          <w:lang w:val="en-US" w:eastAsia="en-US"/>
        </w:rPr>
        <w:t>conditions of service provision</w:t>
      </w:r>
      <w:r w:rsidR="007F1E4D">
        <w:rPr>
          <w:rFonts w:ascii="Arial" w:eastAsia="Arial" w:hAnsi="Arial" w:cs="Arial"/>
          <w:sz w:val="24"/>
          <w:szCs w:val="24"/>
          <w:lang w:val="en-US" w:eastAsia="en-US"/>
        </w:rPr>
        <w:t>s</w:t>
      </w:r>
      <w:r>
        <w:rPr>
          <w:rFonts w:ascii="Arial" w:eastAsia="Arial" w:hAnsi="Arial" w:cs="Arial"/>
          <w:sz w:val="24"/>
          <w:szCs w:val="24"/>
          <w:lang w:val="en-US" w:eastAsia="en-US"/>
        </w:rPr>
        <w:t>.</w:t>
      </w: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p>
    <w:p w:rsidR="00376994" w:rsidRPr="00376994" w:rsidRDefault="002732DE" w:rsidP="00376994">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Pr>
          <w:rFonts w:ascii="Arial" w:eastAsia="Arial" w:hAnsi="Arial" w:cs="Arial"/>
          <w:sz w:val="24"/>
          <w:szCs w:val="24"/>
          <w:lang w:val="en-US" w:eastAsia="en-US"/>
        </w:rPr>
        <w:lastRenderedPageBreak/>
        <w:tab/>
      </w:r>
      <w:r w:rsidR="00376994" w:rsidRPr="00376994">
        <w:rPr>
          <w:rFonts w:ascii="Arial" w:eastAsia="Arial" w:hAnsi="Arial" w:cs="Arial"/>
          <w:sz w:val="24"/>
          <w:szCs w:val="24"/>
          <w:lang w:val="en-US" w:eastAsia="en-US"/>
        </w:rPr>
        <w:t>1.0-VECC-</w:t>
      </w:r>
      <w:r w:rsidR="00376994">
        <w:rPr>
          <w:rFonts w:ascii="Arial" w:eastAsia="Arial" w:hAnsi="Arial" w:cs="Arial"/>
          <w:sz w:val="24"/>
          <w:szCs w:val="24"/>
          <w:lang w:val="en-US" w:eastAsia="en-US"/>
        </w:rPr>
        <w:t>4</w:t>
      </w:r>
    </w:p>
    <w:p w:rsidR="00376994" w:rsidRPr="00376994" w:rsidRDefault="00376994" w:rsidP="00376994">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sidRPr="00376994">
        <w:rPr>
          <w:rFonts w:ascii="Arial" w:eastAsia="Arial" w:hAnsi="Arial" w:cs="Arial"/>
          <w:sz w:val="24"/>
          <w:szCs w:val="24"/>
          <w:lang w:val="en-US" w:eastAsia="en-US"/>
        </w:rPr>
        <w:tab/>
        <w:t>Reference:</w:t>
      </w:r>
      <w:r w:rsidRPr="00376994">
        <w:rPr>
          <w:rFonts w:ascii="Arial" w:eastAsia="Arial" w:hAnsi="Arial" w:cs="Arial"/>
          <w:sz w:val="24"/>
          <w:szCs w:val="24"/>
          <w:lang w:val="en-US" w:eastAsia="en-US"/>
        </w:rPr>
        <w:tab/>
        <w:t>Exhibit A1/T5/S3/pg.23</w:t>
      </w:r>
    </w:p>
    <w:p w:rsidR="00376994" w:rsidRPr="00376994" w:rsidRDefault="00376994" w:rsidP="00376994">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CE3811" w:rsidRDefault="00376994" w:rsidP="00376994">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sidRPr="00376994">
        <w:rPr>
          <w:rFonts w:ascii="Arial" w:eastAsia="Arial" w:hAnsi="Arial" w:cs="Arial"/>
          <w:sz w:val="24"/>
          <w:szCs w:val="24"/>
          <w:lang w:val="en-US" w:eastAsia="en-US"/>
        </w:rPr>
        <w:tab/>
        <w:t xml:space="preserve">a) </w:t>
      </w:r>
      <w:r w:rsidRPr="00376994">
        <w:rPr>
          <w:rFonts w:ascii="Arial" w:eastAsia="Arial" w:hAnsi="Arial" w:cs="Arial"/>
          <w:sz w:val="24"/>
          <w:szCs w:val="24"/>
          <w:lang w:val="en-US" w:eastAsia="en-US"/>
        </w:rPr>
        <w:tab/>
      </w:r>
      <w:r>
        <w:rPr>
          <w:rFonts w:ascii="Arial" w:eastAsia="Arial" w:hAnsi="Arial" w:cs="Arial"/>
          <w:sz w:val="24"/>
          <w:szCs w:val="24"/>
          <w:lang w:val="en-US" w:eastAsia="en-US"/>
        </w:rPr>
        <w:t xml:space="preserve">With respect </w:t>
      </w:r>
      <w:r w:rsidR="007F1E4D">
        <w:rPr>
          <w:rFonts w:ascii="Arial" w:eastAsia="Arial" w:hAnsi="Arial" w:cs="Arial"/>
          <w:sz w:val="24"/>
          <w:szCs w:val="24"/>
          <w:lang w:val="en-US" w:eastAsia="en-US"/>
        </w:rPr>
        <w:t xml:space="preserve">reasons for </w:t>
      </w:r>
      <w:r>
        <w:rPr>
          <w:rFonts w:ascii="Arial" w:eastAsia="Arial" w:hAnsi="Arial" w:cs="Arial"/>
          <w:sz w:val="24"/>
          <w:szCs w:val="24"/>
          <w:lang w:val="en-US" w:eastAsia="en-US"/>
        </w:rPr>
        <w:t xml:space="preserve">the disconnection of service please explain (provide an example) of what constitutes a “fraudulent use of gas.” </w:t>
      </w:r>
      <w:r w:rsidR="007F1E4D">
        <w:rPr>
          <w:rFonts w:ascii="Arial" w:eastAsia="Arial" w:hAnsi="Arial" w:cs="Arial"/>
          <w:sz w:val="24"/>
          <w:szCs w:val="24"/>
          <w:lang w:val="en-US" w:eastAsia="en-US"/>
        </w:rPr>
        <w:t xml:space="preserve">  If this is meant to address service where illegal activity are suspected please explain what evidence of the activity in question is required.</w:t>
      </w:r>
    </w:p>
    <w:p w:rsidR="00CE3811" w:rsidRDefault="00CE3811" w:rsidP="002732DE">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CE3811" w:rsidRDefault="00CE3811" w:rsidP="002732DE">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2732DE" w:rsidRDefault="00CE3811" w:rsidP="002732DE">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Pr>
          <w:rFonts w:ascii="Arial" w:eastAsia="Arial" w:hAnsi="Arial" w:cs="Arial"/>
          <w:sz w:val="24"/>
          <w:szCs w:val="24"/>
          <w:lang w:val="en-US" w:eastAsia="en-US"/>
        </w:rPr>
        <w:tab/>
      </w:r>
      <w:r w:rsidR="002732DE">
        <w:rPr>
          <w:rFonts w:ascii="Arial" w:eastAsia="Arial" w:hAnsi="Arial" w:cs="Arial"/>
          <w:sz w:val="24"/>
          <w:szCs w:val="24"/>
          <w:lang w:val="en-US" w:eastAsia="en-US"/>
        </w:rPr>
        <w:t>1.0-VECC-</w:t>
      </w:r>
      <w:r>
        <w:rPr>
          <w:rFonts w:ascii="Arial" w:eastAsia="Arial" w:hAnsi="Arial" w:cs="Arial"/>
          <w:sz w:val="24"/>
          <w:szCs w:val="24"/>
          <w:lang w:val="en-US" w:eastAsia="en-US"/>
        </w:rPr>
        <w:t>5</w:t>
      </w:r>
    </w:p>
    <w:p w:rsidR="002732DE" w:rsidRDefault="002732DE" w:rsidP="002732DE">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r>
        <w:rPr>
          <w:rFonts w:ascii="Arial" w:eastAsia="Arial" w:hAnsi="Arial" w:cs="Arial"/>
          <w:sz w:val="24"/>
          <w:szCs w:val="24"/>
          <w:lang w:val="en-US" w:eastAsia="en-US"/>
        </w:rPr>
        <w:tab/>
        <w:t>Reference:</w:t>
      </w:r>
      <w:r>
        <w:rPr>
          <w:rFonts w:ascii="Arial" w:eastAsia="Arial" w:hAnsi="Arial" w:cs="Arial"/>
          <w:sz w:val="24"/>
          <w:szCs w:val="24"/>
          <w:lang w:val="en-US" w:eastAsia="en-US"/>
        </w:rPr>
        <w:tab/>
        <w:t>Exhibit A1/T5/S2/pg.7</w:t>
      </w:r>
    </w:p>
    <w:p w:rsidR="002732DE" w:rsidRDefault="002732DE" w:rsidP="002732DE">
      <w:pPr>
        <w:widowControl w:val="0"/>
        <w:tabs>
          <w:tab w:val="left" w:pos="625"/>
          <w:tab w:val="left" w:pos="993"/>
          <w:tab w:val="left" w:pos="1134"/>
        </w:tabs>
        <w:spacing w:after="0"/>
        <w:ind w:left="720" w:right="360" w:hanging="720"/>
        <w:rPr>
          <w:rFonts w:ascii="Arial" w:eastAsia="Arial" w:hAnsi="Arial" w:cs="Arial"/>
          <w:sz w:val="24"/>
          <w:szCs w:val="24"/>
          <w:lang w:val="en-US" w:eastAsia="en-US"/>
        </w:rPr>
      </w:pP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The preface to the EGD Conditions of Service state:</w:t>
      </w:r>
    </w:p>
    <w:p w:rsidR="002732DE" w:rsidRPr="002732DE" w:rsidRDefault="002732DE" w:rsidP="002732DE">
      <w:pPr>
        <w:widowControl w:val="0"/>
        <w:tabs>
          <w:tab w:val="left" w:pos="625"/>
          <w:tab w:val="left" w:pos="993"/>
          <w:tab w:val="left" w:pos="1134"/>
        </w:tabs>
        <w:spacing w:after="0"/>
        <w:ind w:left="993" w:right="360" w:hanging="993"/>
        <w:rPr>
          <w:rFonts w:ascii="Arial" w:eastAsia="Arial" w:hAnsi="Arial" w:cs="Arial"/>
          <w:sz w:val="20"/>
          <w:szCs w:val="20"/>
          <w:lang w:val="en-US" w:eastAsia="en-US"/>
        </w:rPr>
      </w:pPr>
    </w:p>
    <w:p w:rsidR="002732DE" w:rsidRPr="002732DE" w:rsidRDefault="002732DE" w:rsidP="002732DE">
      <w:pPr>
        <w:autoSpaceDE w:val="0"/>
        <w:autoSpaceDN w:val="0"/>
        <w:adjustRightInd w:val="0"/>
        <w:spacing w:after="0" w:line="240" w:lineRule="auto"/>
        <w:ind w:left="1440"/>
        <w:rPr>
          <w:rFonts w:ascii="Arial" w:eastAsia="Arial" w:hAnsi="Arial" w:cs="Arial"/>
          <w:sz w:val="20"/>
          <w:szCs w:val="20"/>
          <w:lang w:val="en-US" w:eastAsia="en-US"/>
        </w:rPr>
      </w:pPr>
      <w:r w:rsidRPr="002732DE">
        <w:rPr>
          <w:rFonts w:ascii="Arial" w:hAnsi="Arial" w:cs="Arial"/>
          <w:sz w:val="20"/>
          <w:szCs w:val="20"/>
        </w:rPr>
        <w:t>We reserve the right to modify the contents of the Conditions of Service at any time. These Conditions of Service are meant as guidelines and do not supersede any terms and conditions set out in Enbridge’s Rate Handbook, or agreed to in our contracts with you.</w:t>
      </w: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a)</w:t>
      </w:r>
      <w:r>
        <w:rPr>
          <w:rFonts w:ascii="Arial" w:eastAsia="Arial" w:hAnsi="Arial" w:cs="Arial"/>
          <w:sz w:val="24"/>
          <w:szCs w:val="24"/>
          <w:lang w:val="en-US" w:eastAsia="en-US"/>
        </w:rPr>
        <w:tab/>
        <w:t>Is it EG</w:t>
      </w:r>
      <w:r w:rsidR="002D6D8C">
        <w:rPr>
          <w:rFonts w:ascii="Arial" w:eastAsia="Arial" w:hAnsi="Arial" w:cs="Arial"/>
          <w:sz w:val="24"/>
          <w:szCs w:val="24"/>
          <w:lang w:val="en-US" w:eastAsia="en-US"/>
        </w:rPr>
        <w:t>I</w:t>
      </w:r>
      <w:r>
        <w:rPr>
          <w:rFonts w:ascii="Arial" w:eastAsia="Arial" w:hAnsi="Arial" w:cs="Arial"/>
          <w:sz w:val="24"/>
          <w:szCs w:val="24"/>
          <w:lang w:val="en-US" w:eastAsia="en-US"/>
        </w:rPr>
        <w:t>’s position that all of the provisions of its Conditions of Service (both Rate Zones) may be changed without prior approval of the Ontario Energy Board?</w:t>
      </w:r>
    </w:p>
    <w:p w:rsidR="007F1E4D" w:rsidRDefault="007F1E4D"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r>
        <w:rPr>
          <w:rFonts w:ascii="Arial" w:eastAsia="Arial" w:hAnsi="Arial" w:cs="Arial"/>
          <w:sz w:val="24"/>
          <w:szCs w:val="24"/>
          <w:lang w:val="en-US" w:eastAsia="en-US"/>
        </w:rPr>
        <w:tab/>
        <w:t>b)  If, it is EGI’s position that a subset of the provisions require Board approval whereas other provisions do not, please identify the provisions in question.</w:t>
      </w: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p>
    <w:p w:rsidR="002732DE" w:rsidRDefault="002732DE" w:rsidP="002732DE">
      <w:pPr>
        <w:widowControl w:val="0"/>
        <w:tabs>
          <w:tab w:val="left" w:pos="625"/>
          <w:tab w:val="left" w:pos="993"/>
          <w:tab w:val="left" w:pos="1134"/>
        </w:tabs>
        <w:spacing w:after="0"/>
        <w:ind w:left="993" w:right="360" w:hanging="993"/>
        <w:rPr>
          <w:rFonts w:ascii="Arial" w:eastAsia="Arial" w:hAnsi="Arial" w:cs="Arial"/>
          <w:sz w:val="24"/>
          <w:szCs w:val="24"/>
          <w:lang w:val="en-US" w:eastAsia="en-US"/>
        </w:rPr>
      </w:pPr>
    </w:p>
    <w:p w:rsidR="0019256C" w:rsidRPr="0019256C" w:rsidRDefault="0019256C" w:rsidP="007808A1">
      <w:pPr>
        <w:tabs>
          <w:tab w:val="left" w:pos="625"/>
          <w:tab w:val="left" w:pos="993"/>
        </w:tabs>
        <w:spacing w:after="0"/>
        <w:ind w:left="993" w:hanging="993"/>
        <w:rPr>
          <w:rFonts w:ascii="Arial" w:eastAsia="Arial" w:hAnsi="Arial" w:cs="Arial"/>
          <w:sz w:val="24"/>
          <w:szCs w:val="24"/>
          <w:lang w:val="en-US" w:eastAsia="en-US"/>
        </w:rPr>
      </w:pPr>
    </w:p>
    <w:p w:rsidR="0019256C" w:rsidRPr="0019256C" w:rsidRDefault="0019256C" w:rsidP="007808A1">
      <w:pPr>
        <w:widowControl w:val="0"/>
        <w:tabs>
          <w:tab w:val="left" w:pos="625"/>
        </w:tabs>
        <w:spacing w:after="0"/>
        <w:ind w:right="360"/>
        <w:rPr>
          <w:rFonts w:ascii="Arial" w:eastAsia="Arial" w:hAnsi="Arial" w:cs="Arial"/>
          <w:b/>
          <w:bCs/>
          <w:sz w:val="24"/>
          <w:szCs w:val="24"/>
          <w:lang w:val="en-US" w:eastAsia="en-US"/>
        </w:rPr>
      </w:pPr>
      <w:r w:rsidRPr="0019256C">
        <w:rPr>
          <w:rFonts w:ascii="Arial" w:eastAsia="Arial" w:hAnsi="Arial" w:cs="Arial"/>
          <w:b/>
          <w:bCs/>
          <w:sz w:val="24"/>
          <w:szCs w:val="24"/>
          <w:lang w:val="en-US" w:eastAsia="en-US"/>
        </w:rPr>
        <w:t>2.0</w:t>
      </w:r>
      <w:r w:rsidRPr="0019256C">
        <w:rPr>
          <w:rFonts w:ascii="Arial" w:eastAsia="Arial" w:hAnsi="Arial" w:cs="Arial"/>
          <w:b/>
          <w:bCs/>
          <w:sz w:val="24"/>
          <w:szCs w:val="24"/>
          <w:lang w:val="en-US" w:eastAsia="en-US"/>
        </w:rPr>
        <w:tab/>
        <w:t xml:space="preserve">EXHIBIT </w:t>
      </w:r>
      <w:r w:rsidR="009938EF">
        <w:rPr>
          <w:rFonts w:ascii="Arial" w:eastAsia="Arial" w:hAnsi="Arial" w:cs="Arial"/>
          <w:b/>
          <w:bCs/>
          <w:sz w:val="24"/>
          <w:szCs w:val="24"/>
          <w:lang w:val="en-US" w:eastAsia="en-US"/>
        </w:rPr>
        <w:t xml:space="preserve">B1 </w:t>
      </w:r>
      <w:r w:rsidR="00F231D7">
        <w:rPr>
          <w:rFonts w:ascii="Arial" w:eastAsia="Arial" w:hAnsi="Arial" w:cs="Arial"/>
          <w:b/>
          <w:bCs/>
          <w:sz w:val="24"/>
          <w:szCs w:val="24"/>
          <w:lang w:val="en-US" w:eastAsia="en-US"/>
        </w:rPr>
        <w:t xml:space="preserve"> – RATE SETTING MECHANISM</w:t>
      </w:r>
    </w:p>
    <w:p w:rsidR="0019256C" w:rsidRPr="0019256C" w:rsidRDefault="0019256C" w:rsidP="007808A1">
      <w:pPr>
        <w:widowControl w:val="0"/>
        <w:tabs>
          <w:tab w:val="left" w:pos="567"/>
        </w:tabs>
        <w:spacing w:after="0"/>
        <w:ind w:left="1134" w:right="360" w:hanging="540"/>
        <w:jc w:val="both"/>
        <w:rPr>
          <w:rFonts w:ascii="Arial" w:eastAsia="Arial" w:hAnsi="Arial" w:cs="Arial"/>
          <w:sz w:val="24"/>
          <w:szCs w:val="24"/>
          <w:lang w:val="en-US" w:eastAsia="en-US"/>
        </w:rPr>
      </w:pPr>
    </w:p>
    <w:p w:rsidR="00FC2C36" w:rsidRDefault="00FC2C36" w:rsidP="00820310">
      <w:pPr>
        <w:widowControl w:val="0"/>
        <w:tabs>
          <w:tab w:val="left" w:pos="625"/>
        </w:tabs>
        <w:spacing w:after="0"/>
        <w:ind w:left="624" w:right="357"/>
        <w:jc w:val="both"/>
        <w:rPr>
          <w:rFonts w:ascii="Arial" w:eastAsia="Arial" w:hAnsi="Arial" w:cs="Arial"/>
          <w:sz w:val="24"/>
          <w:szCs w:val="24"/>
          <w:lang w:val="en-US" w:eastAsia="en-US"/>
        </w:rPr>
      </w:pPr>
      <w:r>
        <w:rPr>
          <w:rFonts w:ascii="Arial" w:eastAsia="Arial" w:hAnsi="Arial" w:cs="Arial"/>
          <w:sz w:val="24"/>
          <w:szCs w:val="24"/>
          <w:lang w:val="en-US" w:eastAsia="en-US"/>
        </w:rPr>
        <w:t>2.0-VECC-</w:t>
      </w:r>
      <w:r w:rsidR="00F56187">
        <w:rPr>
          <w:rFonts w:ascii="Arial" w:eastAsia="Arial" w:hAnsi="Arial" w:cs="Arial"/>
          <w:sz w:val="24"/>
          <w:szCs w:val="24"/>
          <w:lang w:val="en-US" w:eastAsia="en-US"/>
        </w:rPr>
        <w:t>6</w:t>
      </w:r>
    </w:p>
    <w:p w:rsidR="009938EF" w:rsidRDefault="00FC2C36" w:rsidP="00820310">
      <w:pPr>
        <w:widowControl w:val="0"/>
        <w:tabs>
          <w:tab w:val="left" w:pos="625"/>
        </w:tabs>
        <w:spacing w:after="0"/>
        <w:ind w:left="624" w:right="357"/>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sidR="009938EF">
        <w:rPr>
          <w:rFonts w:ascii="Arial" w:eastAsia="Arial" w:hAnsi="Arial" w:cs="Arial"/>
          <w:sz w:val="24"/>
          <w:szCs w:val="24"/>
          <w:lang w:val="en-US" w:eastAsia="en-US"/>
        </w:rPr>
        <w:t>Exhibit B1/T1/S1/pg.5 Table 3</w:t>
      </w:r>
    </w:p>
    <w:p w:rsidR="009938EF" w:rsidRDefault="009938EF" w:rsidP="00820310">
      <w:pPr>
        <w:widowControl w:val="0"/>
        <w:tabs>
          <w:tab w:val="left" w:pos="625"/>
        </w:tabs>
        <w:spacing w:after="0"/>
        <w:ind w:left="624" w:right="357"/>
        <w:jc w:val="both"/>
        <w:rPr>
          <w:rFonts w:ascii="Arial" w:eastAsia="Arial" w:hAnsi="Arial" w:cs="Arial"/>
          <w:sz w:val="24"/>
          <w:szCs w:val="24"/>
          <w:lang w:val="en-US" w:eastAsia="en-US"/>
        </w:rPr>
      </w:pPr>
    </w:p>
    <w:p w:rsidR="007F1E4D" w:rsidRDefault="00FC2C36"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 xml:space="preserve">a)  Please </w:t>
      </w:r>
      <w:r w:rsidR="002D6D8C">
        <w:rPr>
          <w:rFonts w:ascii="Arial" w:eastAsia="Arial" w:hAnsi="Arial" w:cs="Arial"/>
          <w:sz w:val="24"/>
          <w:szCs w:val="24"/>
          <w:lang w:val="en-US" w:eastAsia="en-US"/>
        </w:rPr>
        <w:t>explain why EGI requires two OEB Cost Assessment Variance Accounts if there is a single Utility being assessed OEB costs</w:t>
      </w:r>
      <w:r w:rsidR="007F1E4D">
        <w:rPr>
          <w:rFonts w:ascii="Arial" w:eastAsia="Arial" w:hAnsi="Arial" w:cs="Arial"/>
          <w:sz w:val="24"/>
          <w:szCs w:val="24"/>
          <w:lang w:val="en-US" w:eastAsia="en-US"/>
        </w:rPr>
        <w:t xml:space="preserve"> upon amalgamation of the former utilities</w:t>
      </w:r>
    </w:p>
    <w:p w:rsidR="00FC2C36"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w:t>
      </w:r>
    </w:p>
    <w:p w:rsidR="00B851F3"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b)</w:t>
      </w:r>
      <w:r>
        <w:rPr>
          <w:rFonts w:ascii="Arial" w:eastAsia="Arial" w:hAnsi="Arial" w:cs="Arial"/>
          <w:sz w:val="24"/>
          <w:szCs w:val="24"/>
          <w:lang w:val="en-US" w:eastAsia="en-US"/>
        </w:rPr>
        <w:tab/>
        <w:t>The OEB Cost Assessment Variance accounts were generically established by the Board in order to capture the change in the Board’s assessment methodology.  Please confirm</w:t>
      </w:r>
      <w:r w:rsidR="00B851F3">
        <w:rPr>
          <w:rFonts w:ascii="Arial" w:eastAsia="Arial" w:hAnsi="Arial" w:cs="Arial"/>
          <w:sz w:val="24"/>
          <w:szCs w:val="24"/>
          <w:lang w:val="en-US" w:eastAsia="en-US"/>
        </w:rPr>
        <w:t xml:space="preserve"> (or otherwise explain)</w:t>
      </w:r>
      <w:r>
        <w:rPr>
          <w:rFonts w:ascii="Arial" w:eastAsia="Arial" w:hAnsi="Arial" w:cs="Arial"/>
          <w:sz w:val="24"/>
          <w:szCs w:val="24"/>
          <w:lang w:val="en-US" w:eastAsia="en-US"/>
        </w:rPr>
        <w:t xml:space="preserve"> that this change in methodology </w:t>
      </w:r>
      <w:r w:rsidR="00B851F3">
        <w:rPr>
          <w:rFonts w:ascii="Arial" w:eastAsia="Arial" w:hAnsi="Arial" w:cs="Arial"/>
          <w:sz w:val="24"/>
          <w:szCs w:val="24"/>
          <w:lang w:val="en-US" w:eastAsia="en-US"/>
        </w:rPr>
        <w:t xml:space="preserve">is from an assessment based on net revenues to, now, </w:t>
      </w:r>
      <w:r>
        <w:rPr>
          <w:rFonts w:ascii="Arial" w:eastAsia="Arial" w:hAnsi="Arial" w:cs="Arial"/>
          <w:sz w:val="24"/>
          <w:szCs w:val="24"/>
          <w:lang w:val="en-US" w:eastAsia="en-US"/>
        </w:rPr>
        <w:t xml:space="preserve">the 3 year average of customer numbers.  </w:t>
      </w:r>
    </w:p>
    <w:p w:rsidR="00B851F3" w:rsidRDefault="00B851F3" w:rsidP="009938EF">
      <w:pPr>
        <w:widowControl w:val="0"/>
        <w:tabs>
          <w:tab w:val="left" w:pos="709"/>
        </w:tabs>
        <w:spacing w:after="0"/>
        <w:ind w:left="993" w:right="357" w:hanging="369"/>
        <w:jc w:val="both"/>
        <w:rPr>
          <w:rFonts w:ascii="Arial" w:eastAsia="Arial" w:hAnsi="Arial" w:cs="Arial"/>
          <w:sz w:val="24"/>
          <w:szCs w:val="24"/>
          <w:lang w:val="en-US" w:eastAsia="en-US"/>
        </w:rPr>
      </w:pPr>
    </w:p>
    <w:p w:rsidR="002D6D8C"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p>
    <w:p w:rsidR="002D6D8C"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b/>
        <w:t>c)</w:t>
      </w:r>
      <w:r>
        <w:rPr>
          <w:rFonts w:ascii="Arial" w:eastAsia="Arial" w:hAnsi="Arial" w:cs="Arial"/>
          <w:sz w:val="24"/>
          <w:szCs w:val="24"/>
          <w:lang w:val="en-US" w:eastAsia="en-US"/>
        </w:rPr>
        <w:tab/>
        <w:t>Please explain how the new variance accounts distinguish</w:t>
      </w:r>
      <w:r w:rsidR="00B851F3">
        <w:rPr>
          <w:rFonts w:ascii="Arial" w:eastAsia="Arial" w:hAnsi="Arial" w:cs="Arial"/>
          <w:sz w:val="24"/>
          <w:szCs w:val="24"/>
          <w:lang w:val="en-US" w:eastAsia="en-US"/>
        </w:rPr>
        <w:t xml:space="preserve">es </w:t>
      </w:r>
      <w:r>
        <w:rPr>
          <w:rFonts w:ascii="Arial" w:eastAsia="Arial" w:hAnsi="Arial" w:cs="Arial"/>
          <w:sz w:val="24"/>
          <w:szCs w:val="24"/>
          <w:lang w:val="en-US" w:eastAsia="en-US"/>
        </w:rPr>
        <w:t xml:space="preserve">between the normal expected variance </w:t>
      </w:r>
      <w:r w:rsidR="00B851F3">
        <w:rPr>
          <w:rFonts w:ascii="Arial" w:eastAsia="Arial" w:hAnsi="Arial" w:cs="Arial"/>
          <w:sz w:val="24"/>
          <w:szCs w:val="24"/>
          <w:lang w:val="en-US" w:eastAsia="en-US"/>
        </w:rPr>
        <w:t xml:space="preserve">(formerly in revenues – now under the revised methodology in </w:t>
      </w:r>
      <w:r>
        <w:rPr>
          <w:rFonts w:ascii="Arial" w:eastAsia="Arial" w:hAnsi="Arial" w:cs="Arial"/>
          <w:sz w:val="24"/>
          <w:szCs w:val="24"/>
          <w:lang w:val="en-US" w:eastAsia="en-US"/>
        </w:rPr>
        <w:t xml:space="preserve"> number of customers</w:t>
      </w:r>
      <w:r w:rsidR="00B851F3">
        <w:rPr>
          <w:rFonts w:ascii="Arial" w:eastAsia="Arial" w:hAnsi="Arial" w:cs="Arial"/>
          <w:sz w:val="24"/>
          <w:szCs w:val="24"/>
          <w:lang w:val="en-US" w:eastAsia="en-US"/>
        </w:rPr>
        <w:t>) from the variance due only to the change in assessment methodology</w:t>
      </w:r>
      <w:r>
        <w:rPr>
          <w:rFonts w:ascii="Arial" w:eastAsia="Arial" w:hAnsi="Arial" w:cs="Arial"/>
          <w:sz w:val="24"/>
          <w:szCs w:val="24"/>
          <w:lang w:val="en-US" w:eastAsia="en-US"/>
        </w:rPr>
        <w:t>.</w:t>
      </w:r>
    </w:p>
    <w:p w:rsidR="00B851F3" w:rsidRDefault="00B851F3" w:rsidP="00B851F3">
      <w:pPr>
        <w:widowControl w:val="0"/>
        <w:tabs>
          <w:tab w:val="left" w:pos="709"/>
        </w:tabs>
        <w:spacing w:after="0"/>
        <w:ind w:right="357"/>
        <w:jc w:val="both"/>
        <w:rPr>
          <w:rFonts w:ascii="Arial" w:eastAsia="Arial" w:hAnsi="Arial" w:cs="Arial"/>
          <w:sz w:val="24"/>
          <w:szCs w:val="24"/>
          <w:lang w:val="en-US" w:eastAsia="en-US"/>
        </w:rPr>
      </w:pPr>
    </w:p>
    <w:p w:rsidR="00B851F3"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 xml:space="preserve">d)  </w:t>
      </w:r>
      <w:r w:rsidR="00B851F3">
        <w:rPr>
          <w:rFonts w:ascii="Arial" w:eastAsia="Arial" w:hAnsi="Arial" w:cs="Arial"/>
          <w:sz w:val="24"/>
          <w:szCs w:val="24"/>
          <w:lang w:val="en-US" w:eastAsia="en-US"/>
        </w:rPr>
        <w:t xml:space="preserve">Is it EGI’s understanding that the change in methodology affected both the inter and intra assessed OEB regulated payers?  That is, did the change in methodology only affect the amount paid as between natural gas utilities or both that and the amounts paid as between gas utilities and other assessed payers (e.g. electricity distributors, transmitters, and other licencees)? </w:t>
      </w:r>
    </w:p>
    <w:p w:rsidR="002D6D8C" w:rsidRDefault="002D6D8C" w:rsidP="009938EF">
      <w:pPr>
        <w:widowControl w:val="0"/>
        <w:tabs>
          <w:tab w:val="left" w:pos="709"/>
        </w:tabs>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 xml:space="preserve"> </w:t>
      </w:r>
    </w:p>
    <w:p w:rsidR="00FC2C36" w:rsidRDefault="00FC2C36" w:rsidP="00820310">
      <w:pPr>
        <w:widowControl w:val="0"/>
        <w:tabs>
          <w:tab w:val="left" w:pos="625"/>
        </w:tabs>
        <w:spacing w:after="0"/>
        <w:ind w:left="624" w:right="357"/>
        <w:jc w:val="both"/>
        <w:rPr>
          <w:rFonts w:ascii="Arial" w:eastAsia="Arial" w:hAnsi="Arial" w:cs="Arial"/>
          <w:sz w:val="24"/>
          <w:szCs w:val="24"/>
          <w:lang w:val="en-US" w:eastAsia="en-US"/>
        </w:rPr>
      </w:pPr>
    </w:p>
    <w:p w:rsidR="00820310" w:rsidRDefault="00820310" w:rsidP="00820310">
      <w:pPr>
        <w:widowControl w:val="0"/>
        <w:tabs>
          <w:tab w:val="left" w:pos="625"/>
        </w:tabs>
        <w:spacing w:after="0"/>
        <w:ind w:left="624" w:right="357"/>
        <w:jc w:val="both"/>
        <w:rPr>
          <w:rFonts w:ascii="Arial" w:eastAsia="Arial" w:hAnsi="Arial" w:cs="Arial"/>
          <w:sz w:val="24"/>
          <w:szCs w:val="24"/>
          <w:lang w:val="en-US" w:eastAsia="en-US"/>
        </w:rPr>
      </w:pPr>
      <w:r>
        <w:rPr>
          <w:rFonts w:ascii="Arial" w:eastAsia="Arial" w:hAnsi="Arial" w:cs="Arial"/>
          <w:sz w:val="24"/>
          <w:szCs w:val="24"/>
          <w:lang w:val="en-US" w:eastAsia="en-US"/>
        </w:rPr>
        <w:t>2.0-VECC-</w:t>
      </w:r>
      <w:r w:rsidR="00F56187">
        <w:rPr>
          <w:rFonts w:ascii="Arial" w:eastAsia="Arial" w:hAnsi="Arial" w:cs="Arial"/>
          <w:sz w:val="24"/>
          <w:szCs w:val="24"/>
          <w:lang w:val="en-US" w:eastAsia="en-US"/>
        </w:rPr>
        <w:t>7</w:t>
      </w:r>
    </w:p>
    <w:p w:rsidR="00820310" w:rsidRDefault="00820310" w:rsidP="00820310">
      <w:pPr>
        <w:widowControl w:val="0"/>
        <w:tabs>
          <w:tab w:val="left" w:pos="625"/>
        </w:tabs>
        <w:spacing w:after="0"/>
        <w:ind w:left="624" w:right="357"/>
        <w:jc w:val="both"/>
        <w:rPr>
          <w:rFonts w:ascii="Arial" w:eastAsia="Arial" w:hAnsi="Arial" w:cs="Arial"/>
          <w:sz w:val="24"/>
          <w:szCs w:val="24"/>
          <w:lang w:val="en-US" w:eastAsia="en-US"/>
        </w:rPr>
      </w:pPr>
      <w:r>
        <w:rPr>
          <w:rFonts w:ascii="Arial" w:eastAsia="Arial" w:hAnsi="Arial" w:cs="Arial"/>
          <w:sz w:val="24"/>
          <w:szCs w:val="24"/>
          <w:lang w:val="en-US" w:eastAsia="en-US"/>
        </w:rPr>
        <w:t xml:space="preserve">Reference:  </w:t>
      </w:r>
      <w:r w:rsidR="00194965">
        <w:rPr>
          <w:rFonts w:ascii="Arial" w:eastAsia="Arial" w:hAnsi="Arial" w:cs="Arial"/>
          <w:sz w:val="24"/>
          <w:szCs w:val="24"/>
          <w:lang w:val="en-US" w:eastAsia="en-US"/>
        </w:rPr>
        <w:t>Exhibit B1, Tab 2, Schedule 1</w:t>
      </w:r>
    </w:p>
    <w:p w:rsidR="00820310" w:rsidRDefault="00820310" w:rsidP="00820310">
      <w:pPr>
        <w:widowControl w:val="0"/>
        <w:tabs>
          <w:tab w:val="left" w:pos="625"/>
        </w:tabs>
        <w:spacing w:after="0"/>
        <w:ind w:left="624" w:right="357"/>
        <w:jc w:val="both"/>
        <w:rPr>
          <w:rFonts w:ascii="Arial" w:eastAsia="Arial" w:hAnsi="Arial" w:cs="Arial"/>
          <w:sz w:val="24"/>
          <w:szCs w:val="24"/>
          <w:lang w:val="en-US" w:eastAsia="en-US"/>
        </w:rPr>
      </w:pPr>
    </w:p>
    <w:p w:rsidR="00820310" w:rsidRDefault="00194965"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w:t>
      </w:r>
      <w:r>
        <w:rPr>
          <w:rFonts w:ascii="Arial" w:eastAsia="Arial" w:hAnsi="Arial" w:cs="Arial"/>
          <w:sz w:val="24"/>
          <w:szCs w:val="24"/>
          <w:lang w:val="en-US" w:eastAsia="en-US"/>
        </w:rPr>
        <w:tab/>
        <w:t xml:space="preserve">Why did EGI not calculate two materiality thresholds – one for distribution function and another for transmissions </w:t>
      </w:r>
      <w:r w:rsidR="00B851F3">
        <w:rPr>
          <w:rFonts w:ascii="Arial" w:eastAsia="Arial" w:hAnsi="Arial" w:cs="Arial"/>
          <w:sz w:val="24"/>
          <w:szCs w:val="24"/>
          <w:lang w:val="en-US" w:eastAsia="en-US"/>
        </w:rPr>
        <w:t xml:space="preserve">(e.g. Dawn-Parkway) </w:t>
      </w:r>
      <w:r>
        <w:rPr>
          <w:rFonts w:ascii="Arial" w:eastAsia="Arial" w:hAnsi="Arial" w:cs="Arial"/>
          <w:sz w:val="24"/>
          <w:szCs w:val="24"/>
          <w:lang w:val="en-US" w:eastAsia="en-US"/>
        </w:rPr>
        <w:t xml:space="preserve">capital expenditures?  </w:t>
      </w:r>
    </w:p>
    <w:p w:rsidR="00194965" w:rsidRDefault="00194965" w:rsidP="00820310">
      <w:pPr>
        <w:widowControl w:val="0"/>
        <w:spacing w:after="0"/>
        <w:ind w:left="993" w:right="357" w:hanging="369"/>
        <w:jc w:val="both"/>
        <w:rPr>
          <w:rFonts w:ascii="Arial" w:eastAsia="Arial" w:hAnsi="Arial" w:cs="Arial"/>
          <w:sz w:val="24"/>
          <w:szCs w:val="24"/>
          <w:lang w:val="en-US" w:eastAsia="en-US"/>
        </w:rPr>
      </w:pPr>
    </w:p>
    <w:p w:rsidR="00194965" w:rsidRDefault="00820310"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b)</w:t>
      </w:r>
      <w:r>
        <w:rPr>
          <w:rFonts w:ascii="Arial" w:eastAsia="Arial" w:hAnsi="Arial" w:cs="Arial"/>
          <w:sz w:val="24"/>
          <w:szCs w:val="24"/>
          <w:lang w:val="en-US" w:eastAsia="en-US"/>
        </w:rPr>
        <w:tab/>
      </w:r>
      <w:r w:rsidR="005832CC">
        <w:rPr>
          <w:rFonts w:ascii="Arial" w:eastAsia="Arial" w:hAnsi="Arial" w:cs="Arial"/>
          <w:sz w:val="24"/>
          <w:szCs w:val="24"/>
          <w:lang w:val="en-US" w:eastAsia="en-US"/>
        </w:rPr>
        <w:t>For the purpose of calculating and ICM/ACM threshold value w</w:t>
      </w:r>
      <w:r w:rsidR="00E04619">
        <w:rPr>
          <w:rFonts w:ascii="Arial" w:eastAsia="Arial" w:hAnsi="Arial" w:cs="Arial"/>
          <w:sz w:val="24"/>
          <w:szCs w:val="24"/>
          <w:lang w:val="en-US" w:eastAsia="en-US"/>
        </w:rPr>
        <w:t>hy should</w:t>
      </w:r>
      <w:r w:rsidR="00194965">
        <w:rPr>
          <w:rFonts w:ascii="Arial" w:eastAsia="Arial" w:hAnsi="Arial" w:cs="Arial"/>
          <w:sz w:val="24"/>
          <w:szCs w:val="24"/>
          <w:lang w:val="en-US" w:eastAsia="en-US"/>
        </w:rPr>
        <w:t xml:space="preserve"> EGI</w:t>
      </w:r>
      <w:r w:rsidR="00E04619">
        <w:rPr>
          <w:rFonts w:ascii="Arial" w:eastAsia="Arial" w:hAnsi="Arial" w:cs="Arial"/>
          <w:sz w:val="24"/>
          <w:szCs w:val="24"/>
          <w:lang w:val="en-US" w:eastAsia="en-US"/>
        </w:rPr>
        <w:t xml:space="preserve">’s transmission business </w:t>
      </w:r>
      <w:r w:rsidR="00194965">
        <w:rPr>
          <w:rFonts w:ascii="Arial" w:eastAsia="Arial" w:hAnsi="Arial" w:cs="Arial"/>
          <w:sz w:val="24"/>
          <w:szCs w:val="24"/>
          <w:lang w:val="en-US" w:eastAsia="en-US"/>
        </w:rPr>
        <w:t xml:space="preserve">not be </w:t>
      </w:r>
      <w:r w:rsidR="00E04619">
        <w:rPr>
          <w:rFonts w:ascii="Arial" w:eastAsia="Arial" w:hAnsi="Arial" w:cs="Arial"/>
          <w:sz w:val="24"/>
          <w:szCs w:val="24"/>
          <w:lang w:val="en-US" w:eastAsia="en-US"/>
        </w:rPr>
        <w:t xml:space="preserve">considered </w:t>
      </w:r>
      <w:r w:rsidR="00194965">
        <w:rPr>
          <w:rFonts w:ascii="Arial" w:eastAsia="Arial" w:hAnsi="Arial" w:cs="Arial"/>
          <w:sz w:val="24"/>
          <w:szCs w:val="24"/>
          <w:lang w:val="en-US" w:eastAsia="en-US"/>
        </w:rPr>
        <w:t xml:space="preserve">analogous to </w:t>
      </w:r>
      <w:r w:rsidR="005832CC">
        <w:rPr>
          <w:rFonts w:ascii="Arial" w:eastAsia="Arial" w:hAnsi="Arial" w:cs="Arial"/>
          <w:sz w:val="24"/>
          <w:szCs w:val="24"/>
          <w:lang w:val="en-US" w:eastAsia="en-US"/>
        </w:rPr>
        <w:t>H</w:t>
      </w:r>
      <w:r w:rsidR="00194965">
        <w:rPr>
          <w:rFonts w:ascii="Arial" w:eastAsia="Arial" w:hAnsi="Arial" w:cs="Arial"/>
          <w:sz w:val="24"/>
          <w:szCs w:val="24"/>
          <w:lang w:val="en-US" w:eastAsia="en-US"/>
        </w:rPr>
        <w:t xml:space="preserve">ydro One Inc. </w:t>
      </w:r>
      <w:r w:rsidR="005832CC">
        <w:rPr>
          <w:rFonts w:ascii="Arial" w:eastAsia="Arial" w:hAnsi="Arial" w:cs="Arial"/>
          <w:sz w:val="24"/>
          <w:szCs w:val="24"/>
          <w:lang w:val="en-US" w:eastAsia="en-US"/>
        </w:rPr>
        <w:t xml:space="preserve">where the threshold values for the </w:t>
      </w:r>
      <w:r w:rsidR="00E04619">
        <w:rPr>
          <w:rFonts w:ascii="Arial" w:eastAsia="Arial" w:hAnsi="Arial" w:cs="Arial"/>
          <w:sz w:val="24"/>
          <w:szCs w:val="24"/>
          <w:lang w:val="en-US" w:eastAsia="en-US"/>
        </w:rPr>
        <w:t>transmission business</w:t>
      </w:r>
      <w:r w:rsidR="005832CC">
        <w:rPr>
          <w:rFonts w:ascii="Arial" w:eastAsia="Arial" w:hAnsi="Arial" w:cs="Arial"/>
          <w:sz w:val="24"/>
          <w:szCs w:val="24"/>
          <w:lang w:val="en-US" w:eastAsia="en-US"/>
        </w:rPr>
        <w:t xml:space="preserve"> would be calculated separately from those of the distribution operations</w:t>
      </w:r>
      <w:r w:rsidR="00E04619">
        <w:rPr>
          <w:rFonts w:ascii="Arial" w:eastAsia="Arial" w:hAnsi="Arial" w:cs="Arial"/>
          <w:sz w:val="24"/>
          <w:szCs w:val="24"/>
          <w:lang w:val="en-US" w:eastAsia="en-US"/>
        </w:rPr>
        <w:t xml:space="preserve">?  </w:t>
      </w:r>
      <w:r w:rsidR="00194965">
        <w:rPr>
          <w:rFonts w:ascii="Arial" w:eastAsia="Arial" w:hAnsi="Arial" w:cs="Arial"/>
          <w:sz w:val="24"/>
          <w:szCs w:val="24"/>
          <w:lang w:val="en-US" w:eastAsia="en-US"/>
        </w:rPr>
        <w:t xml:space="preserve"> </w:t>
      </w:r>
    </w:p>
    <w:p w:rsidR="000114D2" w:rsidRDefault="000114D2" w:rsidP="00820310">
      <w:pPr>
        <w:widowControl w:val="0"/>
        <w:spacing w:after="0"/>
        <w:ind w:left="993" w:right="357" w:hanging="369"/>
        <w:jc w:val="both"/>
        <w:rPr>
          <w:rFonts w:ascii="Arial" w:eastAsia="Arial" w:hAnsi="Arial" w:cs="Arial"/>
          <w:sz w:val="24"/>
          <w:szCs w:val="24"/>
          <w:lang w:val="en-US" w:eastAsia="en-US"/>
        </w:rPr>
      </w:pPr>
    </w:p>
    <w:p w:rsidR="000114D2" w:rsidRDefault="00194965" w:rsidP="00172386">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c)</w:t>
      </w:r>
      <w:r>
        <w:rPr>
          <w:rFonts w:ascii="Arial" w:eastAsia="Arial" w:hAnsi="Arial" w:cs="Arial"/>
          <w:sz w:val="24"/>
          <w:szCs w:val="24"/>
          <w:lang w:val="en-US" w:eastAsia="en-US"/>
        </w:rPr>
        <w:tab/>
      </w:r>
      <w:r w:rsidR="000114D2">
        <w:rPr>
          <w:rFonts w:ascii="Arial" w:eastAsia="Arial" w:hAnsi="Arial" w:cs="Arial"/>
          <w:sz w:val="24"/>
          <w:szCs w:val="24"/>
          <w:lang w:val="en-US" w:eastAsia="en-US"/>
        </w:rPr>
        <w:t xml:space="preserve">Is it possible to amend Table 3 to show the ICM </w:t>
      </w:r>
      <w:r w:rsidR="00975012">
        <w:rPr>
          <w:rFonts w:ascii="Arial" w:eastAsia="Arial" w:hAnsi="Arial" w:cs="Arial"/>
          <w:sz w:val="24"/>
          <w:szCs w:val="24"/>
          <w:lang w:val="en-US" w:eastAsia="en-US"/>
        </w:rPr>
        <w:t>threshold</w:t>
      </w:r>
      <w:r w:rsidR="000114D2">
        <w:rPr>
          <w:rFonts w:ascii="Arial" w:eastAsia="Arial" w:hAnsi="Arial" w:cs="Arial"/>
          <w:sz w:val="24"/>
          <w:szCs w:val="24"/>
          <w:lang w:val="en-US" w:eastAsia="en-US"/>
        </w:rPr>
        <w:t xml:space="preserve"> </w:t>
      </w:r>
      <w:r w:rsidR="00975012">
        <w:rPr>
          <w:rFonts w:ascii="Arial" w:eastAsia="Arial" w:hAnsi="Arial" w:cs="Arial"/>
          <w:sz w:val="24"/>
          <w:szCs w:val="24"/>
          <w:lang w:val="en-US" w:eastAsia="en-US"/>
        </w:rPr>
        <w:t>Capital</w:t>
      </w:r>
      <w:r w:rsidR="000114D2">
        <w:rPr>
          <w:rFonts w:ascii="Arial" w:eastAsia="Arial" w:hAnsi="Arial" w:cs="Arial"/>
          <w:sz w:val="24"/>
          <w:szCs w:val="24"/>
          <w:lang w:val="en-US" w:eastAsia="en-US"/>
        </w:rPr>
        <w:t xml:space="preserve"> </w:t>
      </w:r>
      <w:r w:rsidR="00975012">
        <w:rPr>
          <w:rFonts w:ascii="Arial" w:eastAsia="Arial" w:hAnsi="Arial" w:cs="Arial"/>
          <w:sz w:val="24"/>
          <w:szCs w:val="24"/>
          <w:lang w:val="en-US" w:eastAsia="en-US"/>
        </w:rPr>
        <w:t>Expenditure</w:t>
      </w:r>
      <w:r w:rsidR="000114D2">
        <w:rPr>
          <w:rFonts w:ascii="Arial" w:eastAsia="Arial" w:hAnsi="Arial" w:cs="Arial"/>
          <w:sz w:val="24"/>
          <w:szCs w:val="24"/>
          <w:lang w:val="en-US" w:eastAsia="en-US"/>
        </w:rPr>
        <w:t xml:space="preserve"> Calculation by Rate Zone and for the Union Rate Zone by transmission and distribution functions</w:t>
      </w:r>
      <w:r w:rsidR="00975012">
        <w:rPr>
          <w:rFonts w:ascii="Arial" w:eastAsia="Arial" w:hAnsi="Arial" w:cs="Arial"/>
          <w:sz w:val="24"/>
          <w:szCs w:val="24"/>
          <w:lang w:val="en-US" w:eastAsia="en-US"/>
        </w:rPr>
        <w:t>?</w:t>
      </w:r>
      <w:r w:rsidR="000114D2">
        <w:rPr>
          <w:rFonts w:ascii="Arial" w:eastAsia="Arial" w:hAnsi="Arial" w:cs="Arial"/>
          <w:sz w:val="24"/>
          <w:szCs w:val="24"/>
          <w:lang w:val="en-US" w:eastAsia="en-US"/>
        </w:rPr>
        <w:t xml:space="preserve">  If yes, please provide that calculation.  If no</w:t>
      </w:r>
      <w:r w:rsidR="00975012">
        <w:rPr>
          <w:rFonts w:ascii="Arial" w:eastAsia="Arial" w:hAnsi="Arial" w:cs="Arial"/>
          <w:sz w:val="24"/>
          <w:szCs w:val="24"/>
          <w:lang w:val="en-US" w:eastAsia="en-US"/>
        </w:rPr>
        <w:t>t</w:t>
      </w:r>
      <w:r w:rsidR="000114D2">
        <w:rPr>
          <w:rFonts w:ascii="Arial" w:eastAsia="Arial" w:hAnsi="Arial" w:cs="Arial"/>
          <w:sz w:val="24"/>
          <w:szCs w:val="24"/>
          <w:lang w:val="en-US" w:eastAsia="en-US"/>
        </w:rPr>
        <w:t xml:space="preserve">, please explain </w:t>
      </w:r>
      <w:r w:rsidR="00975012">
        <w:rPr>
          <w:rFonts w:ascii="Arial" w:eastAsia="Arial" w:hAnsi="Arial" w:cs="Arial"/>
          <w:sz w:val="24"/>
          <w:szCs w:val="24"/>
          <w:lang w:val="en-US" w:eastAsia="en-US"/>
        </w:rPr>
        <w:t>the impediments to making this calculation</w:t>
      </w:r>
      <w:r w:rsidR="000114D2">
        <w:rPr>
          <w:rFonts w:ascii="Arial" w:eastAsia="Arial" w:hAnsi="Arial" w:cs="Arial"/>
          <w:sz w:val="24"/>
          <w:szCs w:val="24"/>
          <w:lang w:val="en-US" w:eastAsia="en-US"/>
        </w:rPr>
        <w:t>.</w:t>
      </w:r>
    </w:p>
    <w:p w:rsidR="00172386" w:rsidRDefault="00172386" w:rsidP="00172386">
      <w:pPr>
        <w:widowControl w:val="0"/>
        <w:spacing w:after="0"/>
        <w:ind w:left="993" w:right="357" w:hanging="369"/>
        <w:jc w:val="both"/>
        <w:rPr>
          <w:rFonts w:ascii="Arial" w:eastAsia="Arial" w:hAnsi="Arial" w:cs="Arial"/>
          <w:sz w:val="24"/>
          <w:szCs w:val="24"/>
          <w:lang w:val="en-US" w:eastAsia="en-US"/>
        </w:rPr>
      </w:pPr>
    </w:p>
    <w:p w:rsidR="00114B48" w:rsidRDefault="00114B48" w:rsidP="00820310">
      <w:pPr>
        <w:widowControl w:val="0"/>
        <w:spacing w:after="0"/>
        <w:ind w:left="993" w:right="357" w:hanging="369"/>
        <w:jc w:val="both"/>
        <w:rPr>
          <w:rFonts w:ascii="Arial" w:eastAsia="Arial" w:hAnsi="Arial" w:cs="Arial"/>
          <w:sz w:val="24"/>
          <w:szCs w:val="24"/>
          <w:lang w:val="en-US" w:eastAsia="en-US"/>
        </w:rPr>
      </w:pPr>
    </w:p>
    <w:p w:rsidR="00AB2E7C" w:rsidRDefault="00F56187" w:rsidP="00AB2E7C">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2.0-VECC-8</w:t>
      </w:r>
    </w:p>
    <w:p w:rsidR="00AB2E7C" w:rsidRDefault="00AB2E7C" w:rsidP="00AB2E7C">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Reference:</w:t>
      </w:r>
      <w:r>
        <w:rPr>
          <w:rFonts w:ascii="Arial" w:eastAsia="Arial" w:hAnsi="Arial" w:cs="Arial"/>
          <w:sz w:val="24"/>
          <w:szCs w:val="24"/>
          <w:lang w:val="en-US" w:eastAsia="en-US"/>
        </w:rPr>
        <w:tab/>
      </w:r>
      <w:r w:rsidR="000114D2">
        <w:rPr>
          <w:rFonts w:ascii="Arial" w:eastAsia="Arial" w:hAnsi="Arial" w:cs="Arial"/>
          <w:sz w:val="24"/>
          <w:szCs w:val="24"/>
          <w:lang w:val="en-US" w:eastAsia="en-US"/>
        </w:rPr>
        <w:t>Exhibit B/T2/S1/pgs. 12-</w:t>
      </w:r>
    </w:p>
    <w:p w:rsidR="00AB2E7C" w:rsidRDefault="00AB2E7C" w:rsidP="00AB2E7C">
      <w:pPr>
        <w:widowControl w:val="0"/>
        <w:spacing w:after="0"/>
        <w:ind w:left="993" w:right="357" w:hanging="369"/>
        <w:jc w:val="both"/>
        <w:rPr>
          <w:rFonts w:ascii="Arial" w:eastAsia="Arial" w:hAnsi="Arial" w:cs="Arial"/>
          <w:sz w:val="24"/>
          <w:szCs w:val="24"/>
          <w:lang w:val="en-US" w:eastAsia="en-US"/>
        </w:rPr>
      </w:pPr>
    </w:p>
    <w:p w:rsidR="00975012" w:rsidRDefault="00975012" w:rsidP="00AB2E7C">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w:t>
      </w:r>
      <w:r>
        <w:rPr>
          <w:rFonts w:ascii="Arial" w:eastAsia="Arial" w:hAnsi="Arial" w:cs="Arial"/>
          <w:sz w:val="24"/>
          <w:szCs w:val="24"/>
          <w:lang w:val="en-US" w:eastAsia="en-US"/>
        </w:rPr>
        <w:tab/>
        <w:t>EGI explains that</w:t>
      </w:r>
      <w:r w:rsidR="00A3397C">
        <w:rPr>
          <w:rFonts w:ascii="Arial" w:eastAsia="Arial" w:hAnsi="Arial" w:cs="Arial"/>
          <w:sz w:val="24"/>
          <w:szCs w:val="24"/>
          <w:lang w:val="en-US" w:eastAsia="en-US"/>
        </w:rPr>
        <w:t xml:space="preserve"> </w:t>
      </w:r>
      <w:r w:rsidR="00C277EE">
        <w:rPr>
          <w:rFonts w:ascii="Arial" w:eastAsia="Arial" w:hAnsi="Arial" w:cs="Arial"/>
          <w:sz w:val="24"/>
          <w:szCs w:val="24"/>
          <w:lang w:val="en-US" w:eastAsia="en-US"/>
        </w:rPr>
        <w:t xml:space="preserve">it has used a </w:t>
      </w:r>
      <w:r>
        <w:rPr>
          <w:rFonts w:ascii="Arial" w:eastAsia="Arial" w:hAnsi="Arial" w:cs="Arial"/>
          <w:sz w:val="24"/>
          <w:szCs w:val="24"/>
          <w:lang w:val="en-US" w:eastAsia="en-US"/>
        </w:rPr>
        <w:t xml:space="preserve">weather-normalized revenue for the calculation of the growth factor.  Is the weather normalization methodology used for the EGD and Union Rate Zones the same? </w:t>
      </w:r>
    </w:p>
    <w:p w:rsidR="00975012" w:rsidRDefault="00975012" w:rsidP="00AB2E7C">
      <w:pPr>
        <w:widowControl w:val="0"/>
        <w:spacing w:after="0"/>
        <w:ind w:left="993" w:right="357" w:hanging="369"/>
        <w:jc w:val="both"/>
        <w:rPr>
          <w:rFonts w:ascii="Arial" w:eastAsia="Arial" w:hAnsi="Arial" w:cs="Arial"/>
          <w:sz w:val="24"/>
          <w:szCs w:val="24"/>
          <w:lang w:val="en-US" w:eastAsia="en-US"/>
        </w:rPr>
      </w:pPr>
    </w:p>
    <w:p w:rsidR="00975012" w:rsidRDefault="00975012" w:rsidP="00AB2E7C">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lastRenderedPageBreak/>
        <w:t>b)</w:t>
      </w:r>
      <w:r>
        <w:rPr>
          <w:rFonts w:ascii="Arial" w:eastAsia="Arial" w:hAnsi="Arial" w:cs="Arial"/>
          <w:sz w:val="24"/>
          <w:szCs w:val="24"/>
          <w:lang w:val="en-US" w:eastAsia="en-US"/>
        </w:rPr>
        <w:tab/>
        <w:t xml:space="preserve"> For the both rate zones please calculate the growth rate if only revenues derived from the fixed charge were used in the calculation (i.e. showing the growth in fixed charge revenues only).</w:t>
      </w:r>
    </w:p>
    <w:p w:rsidR="00975012" w:rsidRDefault="00975012" w:rsidP="00AB2E7C">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 xml:space="preserve"> </w:t>
      </w:r>
    </w:p>
    <w:p w:rsidR="00975012" w:rsidRDefault="00975012" w:rsidP="00AB2E7C">
      <w:pPr>
        <w:widowControl w:val="0"/>
        <w:spacing w:after="0"/>
        <w:ind w:left="993" w:right="357" w:hanging="369"/>
        <w:jc w:val="both"/>
        <w:rPr>
          <w:rFonts w:ascii="Arial" w:eastAsia="Arial" w:hAnsi="Arial" w:cs="Arial"/>
          <w:sz w:val="24"/>
          <w:szCs w:val="24"/>
          <w:lang w:val="en-US" w:eastAsia="en-US"/>
        </w:rPr>
      </w:pPr>
    </w:p>
    <w:p w:rsidR="00114B48" w:rsidRDefault="00F56187"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2.0-VECC-9</w:t>
      </w:r>
    </w:p>
    <w:p w:rsidR="00114B48" w:rsidRDefault="00114B48"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Reference:</w:t>
      </w:r>
      <w:r>
        <w:rPr>
          <w:rFonts w:ascii="Arial" w:eastAsia="Arial" w:hAnsi="Arial" w:cs="Arial"/>
          <w:sz w:val="24"/>
          <w:szCs w:val="24"/>
          <w:lang w:val="en-US" w:eastAsia="en-US"/>
        </w:rPr>
        <w:tab/>
      </w:r>
      <w:r w:rsidR="000E2B2B">
        <w:rPr>
          <w:rFonts w:ascii="Arial" w:eastAsia="Arial" w:hAnsi="Arial" w:cs="Arial"/>
          <w:sz w:val="24"/>
          <w:szCs w:val="24"/>
          <w:lang w:val="en-US" w:eastAsia="en-US"/>
        </w:rPr>
        <w:t>Exhibit B1/T2/S1/pg.19</w:t>
      </w:r>
    </w:p>
    <w:p w:rsidR="000E2B2B" w:rsidRDefault="000E2B2B" w:rsidP="00820310">
      <w:pPr>
        <w:widowControl w:val="0"/>
        <w:spacing w:after="0"/>
        <w:ind w:left="993" w:right="357" w:hanging="369"/>
        <w:jc w:val="both"/>
        <w:rPr>
          <w:rFonts w:ascii="Arial" w:eastAsia="Arial" w:hAnsi="Arial" w:cs="Arial"/>
          <w:sz w:val="24"/>
          <w:szCs w:val="24"/>
          <w:lang w:val="en-US" w:eastAsia="en-US"/>
        </w:rPr>
      </w:pPr>
    </w:p>
    <w:p w:rsidR="000E2B2B" w:rsidRDefault="000E2B2B"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At the above reference the evidence states:</w:t>
      </w:r>
    </w:p>
    <w:p w:rsidR="006A5DCD" w:rsidRDefault="006A5DCD" w:rsidP="0096661F">
      <w:pPr>
        <w:autoSpaceDE w:val="0"/>
        <w:autoSpaceDN w:val="0"/>
        <w:adjustRightInd w:val="0"/>
        <w:spacing w:after="0" w:line="240" w:lineRule="auto"/>
        <w:ind w:left="720"/>
        <w:rPr>
          <w:rFonts w:ascii="Times New Roman" w:hAnsi="Times New Roman" w:cs="Times New Roman"/>
          <w:sz w:val="24"/>
          <w:szCs w:val="24"/>
        </w:rPr>
      </w:pPr>
    </w:p>
    <w:p w:rsidR="0096661F" w:rsidRDefault="0096661F" w:rsidP="0096661F">
      <w:pPr>
        <w:autoSpaceDE w:val="0"/>
        <w:autoSpaceDN w:val="0"/>
        <w:adjustRightInd w:val="0"/>
        <w:spacing w:after="0" w:line="240" w:lineRule="auto"/>
        <w:ind w:left="720"/>
        <w:rPr>
          <w:rFonts w:ascii="Arial" w:eastAsia="Arial" w:hAnsi="Arial" w:cs="Arial"/>
          <w:sz w:val="24"/>
          <w:szCs w:val="24"/>
          <w:lang w:val="en-US" w:eastAsia="en-US"/>
        </w:rPr>
      </w:pPr>
      <w:r>
        <w:rPr>
          <w:rFonts w:ascii="Times New Roman" w:hAnsi="Times New Roman" w:cs="Times New Roman"/>
          <w:sz w:val="24"/>
          <w:szCs w:val="24"/>
        </w:rPr>
        <w:t>Given the magnitude of the $95.3 million investment in th</w:t>
      </w:r>
      <w:r w:rsidR="00C277EE">
        <w:rPr>
          <w:rFonts w:ascii="Times New Roman" w:hAnsi="Times New Roman" w:cs="Times New Roman"/>
          <w:sz w:val="24"/>
          <w:szCs w:val="24"/>
        </w:rPr>
        <w:t xml:space="preserve">e Sudbury Replacement project, </w:t>
      </w:r>
      <w:r>
        <w:rPr>
          <w:rFonts w:ascii="Times New Roman" w:hAnsi="Times New Roman" w:cs="Times New Roman"/>
          <w:sz w:val="24"/>
          <w:szCs w:val="24"/>
        </w:rPr>
        <w:t>incremental funding of the project is required. The cumulative rev</w:t>
      </w:r>
      <w:r w:rsidR="00C277EE">
        <w:rPr>
          <w:rFonts w:ascii="Times New Roman" w:hAnsi="Times New Roman" w:cs="Times New Roman"/>
          <w:sz w:val="24"/>
          <w:szCs w:val="24"/>
        </w:rPr>
        <w:t>enue requirement of the project</w:t>
      </w:r>
      <w:r>
        <w:rPr>
          <w:rFonts w:ascii="Times New Roman" w:hAnsi="Times New Roman" w:cs="Times New Roman"/>
          <w:sz w:val="24"/>
          <w:szCs w:val="24"/>
        </w:rPr>
        <w:t xml:space="preserve"> from 2018 through 2023 is over $47 million. Union was not able to reprioritize 2018 Capital investment in order to fund this investment using existing rates.</w:t>
      </w:r>
    </w:p>
    <w:p w:rsidR="00114B48" w:rsidRDefault="00114B48" w:rsidP="00820310">
      <w:pPr>
        <w:widowControl w:val="0"/>
        <w:spacing w:after="0"/>
        <w:ind w:left="993" w:right="357" w:hanging="369"/>
        <w:jc w:val="both"/>
        <w:rPr>
          <w:rFonts w:ascii="Arial" w:eastAsia="Arial" w:hAnsi="Arial" w:cs="Arial"/>
          <w:sz w:val="24"/>
          <w:szCs w:val="24"/>
          <w:lang w:val="en-US" w:eastAsia="en-US"/>
        </w:rPr>
      </w:pPr>
    </w:p>
    <w:p w:rsidR="00834AA0" w:rsidRDefault="0096661F"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w:t>
      </w:r>
      <w:r>
        <w:rPr>
          <w:rFonts w:ascii="Arial" w:eastAsia="Arial" w:hAnsi="Arial" w:cs="Arial"/>
          <w:sz w:val="24"/>
          <w:szCs w:val="24"/>
          <w:lang w:val="en-US" w:eastAsia="en-US"/>
        </w:rPr>
        <w:tab/>
        <w:t xml:space="preserve">Please provide the list of projects that were considered </w:t>
      </w:r>
      <w:r w:rsidR="00C277EE">
        <w:rPr>
          <w:rFonts w:ascii="Arial" w:eastAsia="Arial" w:hAnsi="Arial" w:cs="Arial"/>
          <w:sz w:val="24"/>
          <w:szCs w:val="24"/>
          <w:lang w:val="en-US" w:eastAsia="en-US"/>
        </w:rPr>
        <w:t xml:space="preserve">(and subsequently rejected as per the evidence above) </w:t>
      </w:r>
      <w:r>
        <w:rPr>
          <w:rFonts w:ascii="Arial" w:eastAsia="Arial" w:hAnsi="Arial" w:cs="Arial"/>
          <w:sz w:val="24"/>
          <w:szCs w:val="24"/>
          <w:lang w:val="en-US" w:eastAsia="en-US"/>
        </w:rPr>
        <w:t xml:space="preserve">in </w:t>
      </w:r>
      <w:r w:rsidR="00C277EE">
        <w:rPr>
          <w:rFonts w:ascii="Arial" w:eastAsia="Arial" w:hAnsi="Arial" w:cs="Arial"/>
          <w:sz w:val="24"/>
          <w:szCs w:val="24"/>
          <w:lang w:val="en-US" w:eastAsia="en-US"/>
        </w:rPr>
        <w:t xml:space="preserve">considering the need for the </w:t>
      </w:r>
      <w:r>
        <w:rPr>
          <w:rFonts w:ascii="Arial" w:eastAsia="Arial" w:hAnsi="Arial" w:cs="Arial"/>
          <w:sz w:val="24"/>
          <w:szCs w:val="24"/>
          <w:lang w:val="en-US" w:eastAsia="en-US"/>
        </w:rPr>
        <w:t xml:space="preserve"> Sudbury Replacement Project.  </w:t>
      </w:r>
    </w:p>
    <w:p w:rsidR="00834AA0" w:rsidRDefault="00834AA0" w:rsidP="00820310">
      <w:pPr>
        <w:widowControl w:val="0"/>
        <w:spacing w:after="0"/>
        <w:ind w:left="993" w:right="357" w:hanging="369"/>
        <w:jc w:val="both"/>
        <w:rPr>
          <w:rFonts w:ascii="Arial" w:eastAsia="Arial" w:hAnsi="Arial" w:cs="Arial"/>
          <w:sz w:val="24"/>
          <w:szCs w:val="24"/>
          <w:lang w:val="en-US" w:eastAsia="en-US"/>
        </w:rPr>
      </w:pPr>
    </w:p>
    <w:p w:rsidR="00114B48" w:rsidRDefault="00834AA0" w:rsidP="00820310">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b)</w:t>
      </w:r>
      <w:r>
        <w:rPr>
          <w:rFonts w:ascii="Arial" w:eastAsia="Arial" w:hAnsi="Arial" w:cs="Arial"/>
          <w:sz w:val="24"/>
          <w:szCs w:val="24"/>
          <w:lang w:val="en-US" w:eastAsia="en-US"/>
        </w:rPr>
        <w:tab/>
        <w:t xml:space="preserve">Please provide the minutes/presentation or other evidence that </w:t>
      </w:r>
      <w:r w:rsidR="00C277EE">
        <w:rPr>
          <w:rFonts w:ascii="Arial" w:eastAsia="Arial" w:hAnsi="Arial" w:cs="Arial"/>
          <w:sz w:val="24"/>
          <w:szCs w:val="24"/>
          <w:lang w:val="en-US" w:eastAsia="en-US"/>
        </w:rPr>
        <w:t xml:space="preserve">is demonstrative of the exercise </w:t>
      </w:r>
      <w:r>
        <w:rPr>
          <w:rFonts w:ascii="Arial" w:eastAsia="Arial" w:hAnsi="Arial" w:cs="Arial"/>
          <w:sz w:val="24"/>
          <w:szCs w:val="24"/>
          <w:lang w:val="en-US" w:eastAsia="en-US"/>
        </w:rPr>
        <w:t>EGI went through</w:t>
      </w:r>
      <w:r w:rsidR="00C277EE">
        <w:rPr>
          <w:rFonts w:ascii="Arial" w:eastAsia="Arial" w:hAnsi="Arial" w:cs="Arial"/>
          <w:sz w:val="24"/>
          <w:szCs w:val="24"/>
          <w:lang w:val="en-US" w:eastAsia="en-US"/>
        </w:rPr>
        <w:t xml:space="preserve"> to consider what projects might be deferred in order </w:t>
      </w:r>
      <w:r>
        <w:rPr>
          <w:rFonts w:ascii="Arial" w:eastAsia="Arial" w:hAnsi="Arial" w:cs="Arial"/>
          <w:sz w:val="24"/>
          <w:szCs w:val="24"/>
          <w:lang w:val="en-US" w:eastAsia="en-US"/>
        </w:rPr>
        <w:t xml:space="preserve">to complete the Sudbury Replacement Project </w:t>
      </w:r>
      <w:r w:rsidR="00C277EE">
        <w:rPr>
          <w:rFonts w:ascii="Arial" w:eastAsia="Arial" w:hAnsi="Arial" w:cs="Arial"/>
          <w:sz w:val="24"/>
          <w:szCs w:val="24"/>
          <w:lang w:val="en-US" w:eastAsia="en-US"/>
        </w:rPr>
        <w:t>without the need for an ICM.</w:t>
      </w:r>
    </w:p>
    <w:p w:rsidR="00E62410" w:rsidRDefault="00E62410" w:rsidP="00820310">
      <w:pPr>
        <w:widowControl w:val="0"/>
        <w:spacing w:after="0"/>
        <w:ind w:left="993" w:right="357" w:hanging="369"/>
        <w:jc w:val="both"/>
        <w:rPr>
          <w:rFonts w:ascii="Arial" w:eastAsia="Arial" w:hAnsi="Arial" w:cs="Arial"/>
          <w:sz w:val="24"/>
          <w:szCs w:val="24"/>
          <w:lang w:val="en-US" w:eastAsia="en-US"/>
        </w:rPr>
      </w:pPr>
    </w:p>
    <w:p w:rsidR="00E62410" w:rsidRDefault="00E62410" w:rsidP="00E62410">
      <w:pPr>
        <w:widowControl w:val="0"/>
        <w:spacing w:after="0"/>
        <w:ind w:left="993" w:right="357" w:hanging="369"/>
        <w:jc w:val="both"/>
        <w:rPr>
          <w:rFonts w:ascii="Arial" w:eastAsia="Arial" w:hAnsi="Arial" w:cs="Arial"/>
          <w:sz w:val="24"/>
          <w:szCs w:val="24"/>
          <w:lang w:val="en-US" w:eastAsia="en-US"/>
        </w:rPr>
      </w:pPr>
    </w:p>
    <w:p w:rsidR="007F5F87" w:rsidRDefault="007F5F87" w:rsidP="00820310">
      <w:pPr>
        <w:widowControl w:val="0"/>
        <w:spacing w:after="0"/>
        <w:ind w:left="993" w:right="357" w:hanging="369"/>
        <w:jc w:val="both"/>
        <w:rPr>
          <w:rFonts w:ascii="Arial" w:eastAsia="Arial" w:hAnsi="Arial" w:cs="Arial"/>
          <w:sz w:val="24"/>
          <w:szCs w:val="24"/>
          <w:lang w:val="en-US" w:eastAsia="en-US"/>
        </w:rPr>
      </w:pPr>
    </w:p>
    <w:p w:rsidR="007F5F87" w:rsidRDefault="00F56187" w:rsidP="007F5F87">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2.0-VECC-10</w:t>
      </w:r>
    </w:p>
    <w:p w:rsidR="007F5F87" w:rsidRDefault="007F5F87" w:rsidP="007F5F87">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Reference:</w:t>
      </w:r>
      <w:r>
        <w:rPr>
          <w:rFonts w:ascii="Arial" w:eastAsia="Arial" w:hAnsi="Arial" w:cs="Arial"/>
          <w:sz w:val="24"/>
          <w:szCs w:val="24"/>
          <w:lang w:val="en-US" w:eastAsia="en-US"/>
        </w:rPr>
        <w:tab/>
        <w:t xml:space="preserve">Exhibit </w:t>
      </w:r>
      <w:r w:rsidR="00925B2B">
        <w:rPr>
          <w:rFonts w:ascii="Arial" w:eastAsia="Arial" w:hAnsi="Arial" w:cs="Arial"/>
          <w:sz w:val="24"/>
          <w:szCs w:val="24"/>
          <w:lang w:val="en-US" w:eastAsia="en-US"/>
        </w:rPr>
        <w:t>B1/T2/S1/pg.33</w:t>
      </w:r>
    </w:p>
    <w:p w:rsidR="007F5F87" w:rsidRDefault="007F5F87" w:rsidP="007F5F87">
      <w:pPr>
        <w:widowControl w:val="0"/>
        <w:spacing w:after="0"/>
        <w:ind w:left="993" w:right="357" w:hanging="369"/>
        <w:jc w:val="both"/>
        <w:rPr>
          <w:rFonts w:ascii="Arial" w:eastAsia="Arial" w:hAnsi="Arial" w:cs="Arial"/>
          <w:sz w:val="24"/>
          <w:szCs w:val="24"/>
          <w:lang w:val="en-US" w:eastAsia="en-US"/>
        </w:rPr>
      </w:pPr>
    </w:p>
    <w:p w:rsidR="00C32FB7" w:rsidRDefault="007F5F87" w:rsidP="007F5F87">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w:t>
      </w:r>
      <w:r>
        <w:rPr>
          <w:rFonts w:ascii="Arial" w:eastAsia="Arial" w:hAnsi="Arial" w:cs="Arial"/>
          <w:sz w:val="24"/>
          <w:szCs w:val="24"/>
          <w:lang w:val="en-US" w:eastAsia="en-US"/>
        </w:rPr>
        <w:tab/>
      </w:r>
      <w:r w:rsidR="00C32FB7">
        <w:rPr>
          <w:rFonts w:ascii="Arial" w:eastAsia="Arial" w:hAnsi="Arial" w:cs="Arial"/>
          <w:sz w:val="24"/>
          <w:szCs w:val="24"/>
          <w:lang w:val="en-US" w:eastAsia="en-US"/>
        </w:rPr>
        <w:t>With respect to the Sudbury Replacement project please compare/contrast the proposed cost allocation methodology (peak demand and average demand factor) with the method used to alloc</w:t>
      </w:r>
      <w:r w:rsidR="00C277EE">
        <w:rPr>
          <w:rFonts w:ascii="Arial" w:eastAsia="Arial" w:hAnsi="Arial" w:cs="Arial"/>
          <w:sz w:val="24"/>
          <w:szCs w:val="24"/>
          <w:lang w:val="en-US" w:eastAsia="en-US"/>
        </w:rPr>
        <w:t>ate the existing Sudbury assets being replaced.</w:t>
      </w:r>
    </w:p>
    <w:p w:rsidR="00F92A0B" w:rsidRDefault="00F92A0B" w:rsidP="007F5F87">
      <w:pPr>
        <w:widowControl w:val="0"/>
        <w:spacing w:after="0"/>
        <w:ind w:left="993" w:right="357" w:hanging="369"/>
        <w:jc w:val="both"/>
        <w:rPr>
          <w:rFonts w:ascii="Arial" w:eastAsia="Arial" w:hAnsi="Arial" w:cs="Arial"/>
          <w:sz w:val="24"/>
          <w:szCs w:val="24"/>
          <w:lang w:val="en-US" w:eastAsia="en-US"/>
        </w:rPr>
      </w:pPr>
    </w:p>
    <w:p w:rsidR="00C32FB7" w:rsidRDefault="00C32FB7" w:rsidP="007F5F87">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b)</w:t>
      </w:r>
      <w:r>
        <w:rPr>
          <w:rFonts w:ascii="Arial" w:eastAsia="Arial" w:hAnsi="Arial" w:cs="Arial"/>
          <w:sz w:val="24"/>
          <w:szCs w:val="24"/>
          <w:lang w:val="en-US" w:eastAsia="en-US"/>
        </w:rPr>
        <w:tab/>
        <w:t xml:space="preserve">Please do the same for the Don River Replacement, and the Kingsville and Stratford Replacement projects, pointing out any differences </w:t>
      </w:r>
      <w:r w:rsidR="00F92A0B">
        <w:rPr>
          <w:rFonts w:ascii="Arial" w:eastAsia="Arial" w:hAnsi="Arial" w:cs="Arial"/>
          <w:sz w:val="24"/>
          <w:szCs w:val="24"/>
          <w:lang w:val="en-US" w:eastAsia="en-US"/>
        </w:rPr>
        <w:t xml:space="preserve">(if any) </w:t>
      </w:r>
      <w:r>
        <w:rPr>
          <w:rFonts w:ascii="Arial" w:eastAsia="Arial" w:hAnsi="Arial" w:cs="Arial"/>
          <w:sz w:val="24"/>
          <w:szCs w:val="24"/>
          <w:lang w:val="en-US" w:eastAsia="en-US"/>
        </w:rPr>
        <w:t xml:space="preserve">between how </w:t>
      </w:r>
      <w:r w:rsidR="00F92A0B">
        <w:rPr>
          <w:rFonts w:ascii="Arial" w:eastAsia="Arial" w:hAnsi="Arial" w:cs="Arial"/>
          <w:sz w:val="24"/>
          <w:szCs w:val="24"/>
          <w:lang w:val="en-US" w:eastAsia="en-US"/>
        </w:rPr>
        <w:t xml:space="preserve">the </w:t>
      </w:r>
      <w:r>
        <w:rPr>
          <w:rFonts w:ascii="Arial" w:eastAsia="Arial" w:hAnsi="Arial" w:cs="Arial"/>
          <w:sz w:val="24"/>
          <w:szCs w:val="24"/>
          <w:lang w:val="en-US" w:eastAsia="en-US"/>
        </w:rPr>
        <w:t xml:space="preserve">existing and replacement assets </w:t>
      </w:r>
      <w:r w:rsidR="00F92A0B">
        <w:rPr>
          <w:rFonts w:ascii="Arial" w:eastAsia="Arial" w:hAnsi="Arial" w:cs="Arial"/>
          <w:sz w:val="24"/>
          <w:szCs w:val="24"/>
          <w:lang w:val="en-US" w:eastAsia="en-US"/>
        </w:rPr>
        <w:t>are</w:t>
      </w:r>
      <w:r>
        <w:rPr>
          <w:rFonts w:ascii="Arial" w:eastAsia="Arial" w:hAnsi="Arial" w:cs="Arial"/>
          <w:sz w:val="24"/>
          <w:szCs w:val="24"/>
          <w:lang w:val="en-US" w:eastAsia="en-US"/>
        </w:rPr>
        <w:t xml:space="preserve"> allocated.</w:t>
      </w:r>
    </w:p>
    <w:p w:rsidR="00C32FB7" w:rsidRDefault="00C32FB7" w:rsidP="007F5F87">
      <w:pPr>
        <w:widowControl w:val="0"/>
        <w:spacing w:after="0"/>
        <w:ind w:left="993" w:right="357" w:hanging="369"/>
        <w:jc w:val="both"/>
        <w:rPr>
          <w:rFonts w:ascii="Arial" w:eastAsia="Arial" w:hAnsi="Arial" w:cs="Arial"/>
          <w:sz w:val="24"/>
          <w:szCs w:val="24"/>
          <w:lang w:val="en-US" w:eastAsia="en-US"/>
        </w:rPr>
      </w:pPr>
    </w:p>
    <w:p w:rsidR="0074141D" w:rsidRDefault="0074141D" w:rsidP="0074141D">
      <w:pPr>
        <w:widowControl w:val="0"/>
        <w:spacing w:after="0"/>
        <w:ind w:left="993" w:right="357" w:hanging="369"/>
        <w:jc w:val="both"/>
        <w:rPr>
          <w:rFonts w:ascii="Arial" w:eastAsia="Arial" w:hAnsi="Arial" w:cs="Arial"/>
          <w:sz w:val="24"/>
          <w:szCs w:val="24"/>
          <w:lang w:val="en-US" w:eastAsia="en-US"/>
        </w:rPr>
      </w:pPr>
    </w:p>
    <w:p w:rsidR="00820310" w:rsidRDefault="00820310" w:rsidP="00820310">
      <w:pPr>
        <w:widowControl w:val="0"/>
        <w:tabs>
          <w:tab w:val="left" w:pos="625"/>
        </w:tabs>
        <w:spacing w:after="0"/>
        <w:ind w:right="360"/>
        <w:jc w:val="both"/>
        <w:rPr>
          <w:rFonts w:ascii="Arial" w:eastAsia="Arial" w:hAnsi="Arial" w:cs="Arial"/>
          <w:sz w:val="24"/>
          <w:szCs w:val="24"/>
          <w:lang w:val="en-US" w:eastAsia="en-US"/>
        </w:rPr>
      </w:pPr>
    </w:p>
    <w:p w:rsidR="0019256C" w:rsidRPr="0019256C" w:rsidRDefault="00C32FB7" w:rsidP="007808A1">
      <w:pPr>
        <w:widowControl w:val="0"/>
        <w:tabs>
          <w:tab w:val="left" w:pos="625"/>
        </w:tabs>
        <w:spacing w:after="0"/>
        <w:ind w:right="360"/>
        <w:rPr>
          <w:rFonts w:ascii="Arial" w:eastAsia="Arial" w:hAnsi="Arial" w:cs="Arial"/>
          <w:sz w:val="24"/>
          <w:szCs w:val="24"/>
          <w:lang w:val="en-US" w:eastAsia="en-US"/>
        </w:rPr>
      </w:pPr>
      <w:r>
        <w:rPr>
          <w:rFonts w:ascii="Arial" w:eastAsia="Arial" w:hAnsi="Arial" w:cs="Arial"/>
          <w:b/>
          <w:bCs/>
          <w:sz w:val="24"/>
          <w:szCs w:val="24"/>
          <w:lang w:val="en-US" w:eastAsia="en-US"/>
        </w:rPr>
        <w:lastRenderedPageBreak/>
        <w:t>3.0</w:t>
      </w:r>
      <w:r>
        <w:rPr>
          <w:rFonts w:ascii="Arial" w:eastAsia="Arial" w:hAnsi="Arial" w:cs="Arial"/>
          <w:b/>
          <w:bCs/>
          <w:sz w:val="24"/>
          <w:szCs w:val="24"/>
          <w:lang w:val="en-US" w:eastAsia="en-US"/>
        </w:rPr>
        <w:tab/>
      </w:r>
      <w:r w:rsidR="0019256C" w:rsidRPr="0019256C">
        <w:rPr>
          <w:rFonts w:ascii="Arial" w:eastAsia="Arial" w:hAnsi="Arial" w:cs="Arial"/>
          <w:b/>
          <w:bCs/>
          <w:sz w:val="24"/>
          <w:szCs w:val="24"/>
          <w:lang w:val="en-US" w:eastAsia="en-US"/>
        </w:rPr>
        <w:t xml:space="preserve">EXHIBIT </w:t>
      </w:r>
      <w:r>
        <w:rPr>
          <w:rFonts w:ascii="Arial" w:eastAsia="Arial" w:hAnsi="Arial" w:cs="Arial"/>
          <w:b/>
          <w:bCs/>
          <w:sz w:val="24"/>
          <w:szCs w:val="24"/>
          <w:lang w:val="en-US" w:eastAsia="en-US"/>
        </w:rPr>
        <w:t>C – EGI UTILITY SYSTEM PLAN</w:t>
      </w:r>
    </w:p>
    <w:p w:rsidR="0019256C" w:rsidRPr="0019256C" w:rsidRDefault="0019256C" w:rsidP="007808A1">
      <w:pPr>
        <w:widowControl w:val="0"/>
        <w:tabs>
          <w:tab w:val="left" w:pos="625"/>
        </w:tabs>
        <w:spacing w:after="0"/>
        <w:ind w:left="625" w:right="360"/>
        <w:jc w:val="both"/>
        <w:rPr>
          <w:rFonts w:ascii="Arial" w:eastAsia="Arial" w:hAnsi="Arial" w:cs="Arial"/>
          <w:sz w:val="24"/>
          <w:szCs w:val="24"/>
          <w:lang w:val="en-US" w:eastAsia="en-US"/>
        </w:rPr>
      </w:pPr>
    </w:p>
    <w:p w:rsidR="0019256C" w:rsidRPr="0019256C" w:rsidRDefault="0019256C" w:rsidP="007808A1">
      <w:pPr>
        <w:widowControl w:val="0"/>
        <w:tabs>
          <w:tab w:val="left" w:pos="625"/>
        </w:tabs>
        <w:spacing w:after="0"/>
        <w:ind w:left="625" w:right="360"/>
        <w:jc w:val="both"/>
        <w:rPr>
          <w:rFonts w:ascii="Arial" w:eastAsia="Arial" w:hAnsi="Arial" w:cs="Arial"/>
          <w:sz w:val="24"/>
          <w:szCs w:val="24"/>
          <w:lang w:val="en-US" w:eastAsia="en-US"/>
        </w:rPr>
      </w:pPr>
      <w:r w:rsidRPr="0019256C">
        <w:rPr>
          <w:rFonts w:ascii="Arial" w:eastAsia="Arial" w:hAnsi="Arial" w:cs="Arial"/>
          <w:sz w:val="24"/>
          <w:szCs w:val="24"/>
          <w:lang w:val="en-US" w:eastAsia="en-US"/>
        </w:rPr>
        <w:t>3.0-</w:t>
      </w:r>
      <w:r w:rsidR="00AA1543">
        <w:rPr>
          <w:rFonts w:ascii="Arial" w:eastAsia="Arial" w:hAnsi="Arial" w:cs="Arial"/>
          <w:sz w:val="24"/>
          <w:szCs w:val="24"/>
          <w:lang w:val="en-US" w:eastAsia="en-US"/>
        </w:rPr>
        <w:t>VECC-</w:t>
      </w:r>
      <w:r w:rsidR="00F56187">
        <w:rPr>
          <w:rFonts w:ascii="Arial" w:eastAsia="Arial" w:hAnsi="Arial" w:cs="Arial"/>
          <w:sz w:val="24"/>
          <w:szCs w:val="24"/>
          <w:lang w:val="en-US" w:eastAsia="en-US"/>
        </w:rPr>
        <w:t>11</w:t>
      </w:r>
    </w:p>
    <w:p w:rsidR="0019256C" w:rsidRPr="0019256C" w:rsidRDefault="0019256C" w:rsidP="007808A1">
      <w:pPr>
        <w:spacing w:after="0"/>
        <w:ind w:firstLine="624"/>
        <w:contextualSpacing/>
        <w:outlineLvl w:val="0"/>
        <w:rPr>
          <w:rFonts w:ascii="Arial" w:eastAsia="Times New Roman" w:hAnsi="Arial" w:cs="Arial"/>
          <w:sz w:val="24"/>
          <w:szCs w:val="24"/>
          <w:lang w:eastAsia="en-US"/>
        </w:rPr>
      </w:pPr>
      <w:r w:rsidRPr="0019256C">
        <w:rPr>
          <w:rFonts w:ascii="Arial" w:eastAsia="Times New Roman" w:hAnsi="Arial" w:cs="Arial"/>
          <w:sz w:val="24"/>
          <w:szCs w:val="24"/>
          <w:lang w:val="en-US" w:eastAsia="en-US"/>
        </w:rPr>
        <w:t>Reference:</w:t>
      </w:r>
      <w:r w:rsidRPr="0019256C">
        <w:rPr>
          <w:rFonts w:ascii="Arial" w:eastAsia="Times New Roman" w:hAnsi="Arial" w:cs="Arial"/>
          <w:sz w:val="24"/>
          <w:szCs w:val="24"/>
          <w:lang w:val="en-US" w:eastAsia="en-US"/>
        </w:rPr>
        <w:tab/>
      </w:r>
      <w:r w:rsidRPr="0019256C">
        <w:rPr>
          <w:rFonts w:ascii="Arial" w:eastAsia="Times New Roman" w:hAnsi="Arial" w:cs="Arial"/>
          <w:sz w:val="24"/>
          <w:szCs w:val="24"/>
          <w:lang w:eastAsia="en-US"/>
        </w:rPr>
        <w:t xml:space="preserve">Exhibit </w:t>
      </w:r>
      <w:r w:rsidR="00AA1543">
        <w:rPr>
          <w:rFonts w:ascii="Arial" w:eastAsia="Times New Roman" w:hAnsi="Arial" w:cs="Arial"/>
          <w:sz w:val="24"/>
          <w:szCs w:val="24"/>
          <w:lang w:eastAsia="en-US"/>
        </w:rPr>
        <w:t>C1/T1/S1 Figures 6 (pg. 39) and 9 (pg.51)</w:t>
      </w:r>
    </w:p>
    <w:p w:rsidR="0019256C" w:rsidRPr="0019256C" w:rsidRDefault="0019256C" w:rsidP="007808A1">
      <w:pPr>
        <w:spacing w:after="0"/>
        <w:rPr>
          <w:rFonts w:ascii="Arial" w:hAnsi="Arial" w:cs="Arial"/>
          <w:sz w:val="24"/>
          <w:szCs w:val="24"/>
          <w:lang w:eastAsia="en-US"/>
        </w:rPr>
      </w:pPr>
      <w:r w:rsidRPr="0019256C">
        <w:rPr>
          <w:lang w:eastAsia="en-US"/>
        </w:rPr>
        <w:tab/>
      </w:r>
      <w:r w:rsidRPr="0019256C">
        <w:rPr>
          <w:lang w:eastAsia="en-US"/>
        </w:rPr>
        <w:tab/>
      </w:r>
      <w:r w:rsidRPr="0019256C">
        <w:rPr>
          <w:lang w:eastAsia="en-US"/>
        </w:rPr>
        <w:tab/>
      </w:r>
    </w:p>
    <w:p w:rsidR="00AA1543" w:rsidRDefault="00AA1543" w:rsidP="007748B0">
      <w:pPr>
        <w:numPr>
          <w:ilvl w:val="0"/>
          <w:numId w:val="13"/>
        </w:numPr>
        <w:spacing w:after="0"/>
        <w:outlineLvl w:val="1"/>
        <w:rPr>
          <w:rFonts w:ascii="Arial" w:eastAsia="Times New Roman" w:hAnsi="Arial" w:cs="Arial"/>
          <w:sz w:val="24"/>
          <w:szCs w:val="24"/>
          <w:lang w:val="en-US" w:eastAsia="en-US"/>
        </w:rPr>
      </w:pPr>
      <w:r>
        <w:rPr>
          <w:rFonts w:ascii="Arial" w:eastAsia="Times New Roman" w:hAnsi="Arial" w:cs="Arial"/>
          <w:sz w:val="24"/>
          <w:szCs w:val="24"/>
          <w:lang w:val="en-US" w:eastAsia="en-US"/>
        </w:rPr>
        <w:t>Please clarify the relationship between these two figures.  Specifically does Figure 6 show the forecast total EGI capital expenditures net of ICM spending?  If yes, please explain why the some annual totals in Figure 6 are less than those in Figure 9 (see, for example, 2020 $1037 vs $1024 ENBRIDGE GAS Total).</w:t>
      </w:r>
    </w:p>
    <w:p w:rsidR="006A5DCD" w:rsidRDefault="006A5DCD" w:rsidP="006A5DCD">
      <w:pPr>
        <w:spacing w:after="0"/>
        <w:ind w:left="1080"/>
        <w:outlineLvl w:val="1"/>
        <w:rPr>
          <w:rFonts w:ascii="Arial" w:eastAsia="Times New Roman" w:hAnsi="Arial" w:cs="Arial"/>
          <w:sz w:val="24"/>
          <w:szCs w:val="24"/>
          <w:lang w:val="en-US" w:eastAsia="en-US"/>
        </w:rPr>
      </w:pPr>
    </w:p>
    <w:p w:rsidR="0019256C" w:rsidRPr="0019256C" w:rsidRDefault="00376ABD" w:rsidP="007808A1">
      <w:pPr>
        <w:widowControl w:val="0"/>
        <w:tabs>
          <w:tab w:val="left" w:pos="625"/>
        </w:tabs>
        <w:spacing w:after="0"/>
        <w:ind w:left="625" w:right="360"/>
        <w:jc w:val="both"/>
        <w:rPr>
          <w:rFonts w:ascii="Arial" w:eastAsia="Arial" w:hAnsi="Arial" w:cs="Arial"/>
          <w:sz w:val="24"/>
          <w:szCs w:val="24"/>
          <w:lang w:val="en-US" w:eastAsia="en-US"/>
        </w:rPr>
      </w:pPr>
      <w:r>
        <w:rPr>
          <w:rFonts w:ascii="Arial" w:eastAsia="Arial" w:hAnsi="Arial" w:cs="Arial"/>
          <w:sz w:val="24"/>
          <w:szCs w:val="24"/>
          <w:lang w:val="en-US" w:eastAsia="en-US"/>
        </w:rPr>
        <w:t>3.0-VECC-</w:t>
      </w:r>
      <w:r w:rsidR="00AA1543">
        <w:rPr>
          <w:rFonts w:ascii="Arial" w:eastAsia="Arial" w:hAnsi="Arial" w:cs="Arial"/>
          <w:sz w:val="24"/>
          <w:szCs w:val="24"/>
          <w:lang w:val="en-US" w:eastAsia="en-US"/>
        </w:rPr>
        <w:t>1</w:t>
      </w:r>
      <w:r>
        <w:rPr>
          <w:rFonts w:ascii="Arial" w:eastAsia="Arial" w:hAnsi="Arial" w:cs="Arial"/>
          <w:sz w:val="24"/>
          <w:szCs w:val="24"/>
          <w:lang w:val="en-US" w:eastAsia="en-US"/>
        </w:rPr>
        <w:t>0</w:t>
      </w:r>
    </w:p>
    <w:p w:rsidR="0019256C" w:rsidRDefault="0019256C" w:rsidP="00243025">
      <w:pPr>
        <w:spacing w:after="0"/>
        <w:ind w:left="2160" w:hanging="1535"/>
        <w:outlineLvl w:val="0"/>
        <w:rPr>
          <w:rFonts w:ascii="Arial" w:eastAsia="Times New Roman" w:hAnsi="Arial" w:cs="Arial"/>
          <w:sz w:val="24"/>
          <w:szCs w:val="24"/>
          <w:lang w:eastAsia="en-US"/>
        </w:rPr>
      </w:pPr>
      <w:r w:rsidRPr="0019256C">
        <w:rPr>
          <w:rFonts w:ascii="Arial" w:eastAsia="Times New Roman" w:hAnsi="Arial" w:cs="Arial"/>
          <w:sz w:val="24"/>
          <w:szCs w:val="24"/>
          <w:lang w:val="en-US" w:eastAsia="en-US"/>
        </w:rPr>
        <w:t>Reference:</w:t>
      </w:r>
      <w:r w:rsidRPr="0019256C">
        <w:rPr>
          <w:rFonts w:ascii="Arial" w:eastAsia="Times New Roman" w:hAnsi="Arial" w:cs="Arial"/>
          <w:sz w:val="24"/>
          <w:szCs w:val="24"/>
          <w:lang w:val="en-US" w:eastAsia="en-US"/>
        </w:rPr>
        <w:tab/>
      </w:r>
      <w:r w:rsidRPr="0019256C">
        <w:rPr>
          <w:rFonts w:ascii="Arial" w:eastAsia="Times New Roman" w:hAnsi="Arial" w:cs="Arial"/>
          <w:sz w:val="24"/>
          <w:szCs w:val="24"/>
          <w:lang w:eastAsia="en-US"/>
        </w:rPr>
        <w:t xml:space="preserve">Exhibit </w:t>
      </w:r>
      <w:r w:rsidR="00243025">
        <w:rPr>
          <w:rFonts w:ascii="Arial" w:eastAsia="Times New Roman" w:hAnsi="Arial" w:cs="Arial"/>
          <w:sz w:val="24"/>
          <w:szCs w:val="24"/>
          <w:lang w:eastAsia="en-US"/>
        </w:rPr>
        <w:t>C1/T2/S1/  pgs. 694 – NPS 20 Don River Relocation &amp; pgs.-pg.854  Service Relay</w:t>
      </w:r>
    </w:p>
    <w:p w:rsidR="00243025" w:rsidRDefault="00243025" w:rsidP="00243025">
      <w:pPr>
        <w:spacing w:after="0"/>
        <w:ind w:left="2160" w:hanging="1535"/>
        <w:outlineLvl w:val="0"/>
        <w:rPr>
          <w:rFonts w:ascii="Arial" w:eastAsia="Times New Roman" w:hAnsi="Arial" w:cs="Arial"/>
          <w:sz w:val="24"/>
          <w:szCs w:val="24"/>
          <w:lang w:eastAsia="en-US"/>
        </w:rPr>
      </w:pPr>
      <w:r>
        <w:rPr>
          <w:rFonts w:ascii="Arial" w:eastAsia="Times New Roman" w:hAnsi="Arial" w:cs="Arial"/>
          <w:sz w:val="24"/>
          <w:szCs w:val="24"/>
          <w:lang w:eastAsia="en-US"/>
        </w:rPr>
        <w:t xml:space="preserve">Pre-amble: </w:t>
      </w:r>
      <w:r>
        <w:rPr>
          <w:rFonts w:ascii="Arial" w:eastAsia="Times New Roman" w:hAnsi="Arial" w:cs="Arial"/>
          <w:sz w:val="24"/>
          <w:szCs w:val="24"/>
          <w:lang w:eastAsia="en-US"/>
        </w:rPr>
        <w:tab/>
        <w:t xml:space="preserve">The purpose of this interrogatory is to </w:t>
      </w:r>
      <w:r w:rsidR="00554E3D">
        <w:rPr>
          <w:rFonts w:ascii="Arial" w:eastAsia="Times New Roman" w:hAnsi="Arial" w:cs="Arial"/>
          <w:sz w:val="24"/>
          <w:szCs w:val="24"/>
          <w:lang w:eastAsia="en-US"/>
        </w:rPr>
        <w:t xml:space="preserve">better </w:t>
      </w:r>
      <w:r>
        <w:rPr>
          <w:rFonts w:ascii="Arial" w:eastAsia="Times New Roman" w:hAnsi="Arial" w:cs="Arial"/>
          <w:sz w:val="24"/>
          <w:szCs w:val="24"/>
          <w:lang w:eastAsia="en-US"/>
        </w:rPr>
        <w:t>understand the calculation and relative use of the Lifetime Risk Return on Investment Analysis</w:t>
      </w:r>
    </w:p>
    <w:p w:rsidR="00243025" w:rsidRPr="0019256C" w:rsidRDefault="00243025" w:rsidP="007808A1">
      <w:pPr>
        <w:spacing w:after="0"/>
        <w:ind w:firstLine="625"/>
        <w:outlineLvl w:val="0"/>
        <w:rPr>
          <w:rFonts w:ascii="Arial" w:eastAsia="Times New Roman" w:hAnsi="Arial" w:cs="Arial"/>
          <w:sz w:val="24"/>
          <w:szCs w:val="24"/>
          <w:lang w:eastAsia="en-US"/>
        </w:rPr>
      </w:pPr>
    </w:p>
    <w:p w:rsidR="00243025" w:rsidRDefault="00243025" w:rsidP="007748B0">
      <w:pPr>
        <w:numPr>
          <w:ilvl w:val="0"/>
          <w:numId w:val="17"/>
        </w:numPr>
        <w:spacing w:after="0"/>
        <w:outlineLvl w:val="1"/>
        <w:rPr>
          <w:rFonts w:ascii="Arial" w:eastAsia="Times New Roman" w:hAnsi="Arial" w:cs="Arial"/>
          <w:sz w:val="24"/>
          <w:szCs w:val="24"/>
          <w:lang w:val="en-US" w:eastAsia="en-US"/>
        </w:rPr>
      </w:pPr>
      <w:r>
        <w:rPr>
          <w:rFonts w:ascii="Arial" w:eastAsia="Times New Roman" w:hAnsi="Arial" w:cs="Arial"/>
          <w:sz w:val="24"/>
          <w:szCs w:val="24"/>
          <w:lang w:val="en-US" w:eastAsia="en-US"/>
        </w:rPr>
        <w:t xml:space="preserve">Please provide the actual calculation for the LRROI for these two </w:t>
      </w:r>
      <w:r w:rsidR="006A5DCD">
        <w:rPr>
          <w:rFonts w:ascii="Arial" w:eastAsia="Times New Roman" w:hAnsi="Arial" w:cs="Arial"/>
          <w:sz w:val="24"/>
          <w:szCs w:val="24"/>
          <w:lang w:val="en-US" w:eastAsia="en-US"/>
        </w:rPr>
        <w:t>projects</w:t>
      </w:r>
      <w:r>
        <w:rPr>
          <w:rFonts w:ascii="Arial" w:eastAsia="Times New Roman" w:hAnsi="Arial" w:cs="Arial"/>
          <w:sz w:val="24"/>
          <w:szCs w:val="24"/>
          <w:lang w:val="en-US" w:eastAsia="en-US"/>
        </w:rPr>
        <w:t>.  Specifically show how the variables “</w:t>
      </w:r>
      <w:r w:rsidRPr="00243025">
        <w:rPr>
          <w:rFonts w:ascii="Arial" w:eastAsia="Times New Roman" w:hAnsi="Arial" w:cs="Arial"/>
          <w:i/>
          <w:sz w:val="24"/>
          <w:szCs w:val="24"/>
          <w:lang w:val="en-US" w:eastAsia="en-US"/>
        </w:rPr>
        <w:t>Safety Risk Mit, Fin Risk Mit, CSAT Risk Mit</w:t>
      </w:r>
      <w:r>
        <w:rPr>
          <w:rFonts w:ascii="Arial" w:eastAsia="Times New Roman" w:hAnsi="Arial" w:cs="Arial"/>
          <w:sz w:val="24"/>
          <w:szCs w:val="24"/>
          <w:lang w:val="en-US" w:eastAsia="en-US"/>
        </w:rPr>
        <w:t>” are determined for each project.</w:t>
      </w:r>
    </w:p>
    <w:p w:rsidR="00243025" w:rsidRDefault="00243025" w:rsidP="00243025">
      <w:pPr>
        <w:spacing w:after="0"/>
        <w:ind w:left="1080"/>
        <w:outlineLvl w:val="1"/>
        <w:rPr>
          <w:rFonts w:ascii="Arial" w:eastAsia="Times New Roman" w:hAnsi="Arial" w:cs="Arial"/>
          <w:sz w:val="24"/>
          <w:szCs w:val="24"/>
          <w:lang w:val="en-US" w:eastAsia="en-US"/>
        </w:rPr>
      </w:pPr>
    </w:p>
    <w:p w:rsidR="0019256C" w:rsidRDefault="00243025" w:rsidP="007808A1">
      <w:pPr>
        <w:numPr>
          <w:ilvl w:val="0"/>
          <w:numId w:val="17"/>
        </w:numPr>
        <w:spacing w:after="0"/>
        <w:outlineLvl w:val="1"/>
        <w:rPr>
          <w:rFonts w:ascii="Arial" w:eastAsia="Times New Roman" w:hAnsi="Arial" w:cs="Arial"/>
          <w:sz w:val="24"/>
          <w:szCs w:val="24"/>
          <w:lang w:val="en-US" w:eastAsia="en-US"/>
        </w:rPr>
      </w:pPr>
      <w:r w:rsidRPr="00243025">
        <w:rPr>
          <w:rFonts w:ascii="Arial" w:eastAsia="Times New Roman" w:hAnsi="Arial" w:cs="Arial"/>
          <w:sz w:val="24"/>
          <w:szCs w:val="24"/>
          <w:lang w:val="en-US" w:eastAsia="en-US"/>
        </w:rPr>
        <w:t xml:space="preserve">The Don River Relocation project has an LRROI of 119.  The Relays project has an LRROI of 24.  </w:t>
      </w:r>
      <w:r>
        <w:rPr>
          <w:rFonts w:ascii="Arial" w:eastAsia="Times New Roman" w:hAnsi="Arial" w:cs="Arial"/>
          <w:sz w:val="24"/>
          <w:szCs w:val="24"/>
          <w:lang w:val="en-US" w:eastAsia="en-US"/>
        </w:rPr>
        <w:t xml:space="preserve">In terms of the relative need between these two projects please explain how the LRROI informs the selection of the projects to be included (or excluded) in the </w:t>
      </w:r>
      <w:r w:rsidRPr="00243025">
        <w:rPr>
          <w:rFonts w:ascii="Arial" w:eastAsia="Times New Roman" w:hAnsi="Arial" w:cs="Arial"/>
          <w:sz w:val="24"/>
          <w:szCs w:val="24"/>
          <w:lang w:val="en-US" w:eastAsia="en-US"/>
        </w:rPr>
        <w:t>capital plans of the Utility.</w:t>
      </w:r>
    </w:p>
    <w:p w:rsidR="00F80D5E" w:rsidRDefault="00F80D5E" w:rsidP="00F80D5E">
      <w:pPr>
        <w:spacing w:after="0"/>
        <w:ind w:left="1080"/>
        <w:outlineLvl w:val="1"/>
        <w:rPr>
          <w:rFonts w:ascii="Arial" w:eastAsia="Times New Roman" w:hAnsi="Arial" w:cs="Arial"/>
          <w:sz w:val="24"/>
          <w:szCs w:val="24"/>
          <w:lang w:val="en-US" w:eastAsia="en-US"/>
        </w:rPr>
      </w:pPr>
    </w:p>
    <w:p w:rsidR="00F80D5E" w:rsidRDefault="00F80D5E" w:rsidP="007808A1">
      <w:pPr>
        <w:numPr>
          <w:ilvl w:val="0"/>
          <w:numId w:val="17"/>
        </w:numPr>
        <w:spacing w:after="0"/>
        <w:outlineLvl w:val="1"/>
        <w:rPr>
          <w:rFonts w:ascii="Arial" w:eastAsia="Times New Roman" w:hAnsi="Arial" w:cs="Arial"/>
          <w:sz w:val="24"/>
          <w:szCs w:val="24"/>
          <w:lang w:val="en-US" w:eastAsia="en-US"/>
        </w:rPr>
      </w:pPr>
      <w:r>
        <w:rPr>
          <w:rFonts w:ascii="Arial" w:eastAsia="Times New Roman" w:hAnsi="Arial" w:cs="Arial"/>
          <w:sz w:val="24"/>
          <w:szCs w:val="24"/>
          <w:lang w:val="en-US" w:eastAsia="en-US"/>
        </w:rPr>
        <w:t>Do the capital projects considered in the Union Rate Zone go through the same</w:t>
      </w:r>
      <w:r w:rsidR="00554E3D">
        <w:rPr>
          <w:rFonts w:ascii="Arial" w:eastAsia="Times New Roman" w:hAnsi="Arial" w:cs="Arial"/>
          <w:sz w:val="24"/>
          <w:szCs w:val="24"/>
          <w:lang w:val="en-US" w:eastAsia="en-US"/>
        </w:rPr>
        <w:t xml:space="preserve"> LRROI</w:t>
      </w:r>
      <w:r>
        <w:rPr>
          <w:rFonts w:ascii="Arial" w:eastAsia="Times New Roman" w:hAnsi="Arial" w:cs="Arial"/>
          <w:sz w:val="24"/>
          <w:szCs w:val="24"/>
          <w:lang w:val="en-US" w:eastAsia="en-US"/>
        </w:rPr>
        <w:t xml:space="preserve"> process as those in the EGD rate zone?</w:t>
      </w:r>
    </w:p>
    <w:p w:rsidR="00243025" w:rsidRPr="00243025" w:rsidRDefault="00243025" w:rsidP="00243025">
      <w:pPr>
        <w:spacing w:after="0"/>
        <w:ind w:left="1080"/>
        <w:outlineLvl w:val="1"/>
        <w:rPr>
          <w:rFonts w:ascii="Arial" w:eastAsia="Times New Roman" w:hAnsi="Arial" w:cs="Arial"/>
          <w:sz w:val="24"/>
          <w:szCs w:val="24"/>
          <w:lang w:val="en-US" w:eastAsia="en-US"/>
        </w:rPr>
      </w:pPr>
    </w:p>
    <w:p w:rsidR="0019256C" w:rsidRPr="0019256C" w:rsidRDefault="0019256C" w:rsidP="007808A1">
      <w:pPr>
        <w:widowControl w:val="0"/>
        <w:tabs>
          <w:tab w:val="left" w:pos="625"/>
        </w:tabs>
        <w:spacing w:after="0"/>
        <w:ind w:right="360"/>
        <w:rPr>
          <w:rFonts w:ascii="Arial" w:eastAsia="Arial" w:hAnsi="Arial" w:cs="Arial"/>
          <w:sz w:val="24"/>
          <w:szCs w:val="24"/>
          <w:lang w:val="en-US" w:eastAsia="en-US"/>
        </w:rPr>
      </w:pPr>
      <w:r w:rsidRPr="0019256C">
        <w:rPr>
          <w:rFonts w:ascii="Arial" w:eastAsia="Arial" w:hAnsi="Arial" w:cs="Arial"/>
          <w:b/>
          <w:bCs/>
          <w:sz w:val="24"/>
          <w:szCs w:val="24"/>
          <w:lang w:val="en-US" w:eastAsia="en-US"/>
        </w:rPr>
        <w:t>4.0</w:t>
      </w:r>
      <w:r w:rsidRPr="0019256C">
        <w:rPr>
          <w:rFonts w:ascii="Arial" w:eastAsia="Arial" w:hAnsi="Arial" w:cs="Arial"/>
          <w:b/>
          <w:bCs/>
          <w:sz w:val="24"/>
          <w:szCs w:val="24"/>
          <w:lang w:val="en-US" w:eastAsia="en-US"/>
        </w:rPr>
        <w:tab/>
        <w:t xml:space="preserve">EXHIBIT </w:t>
      </w:r>
      <w:r w:rsidR="00E438DC">
        <w:rPr>
          <w:rFonts w:ascii="Arial" w:eastAsia="Arial" w:hAnsi="Arial" w:cs="Arial"/>
          <w:b/>
          <w:bCs/>
          <w:sz w:val="24"/>
          <w:szCs w:val="24"/>
          <w:lang w:val="en-US" w:eastAsia="en-US"/>
        </w:rPr>
        <w:t>D – Customer Engagement</w:t>
      </w:r>
    </w:p>
    <w:p w:rsidR="0019256C" w:rsidRPr="0019256C" w:rsidRDefault="0019256C" w:rsidP="007808A1">
      <w:pPr>
        <w:widowControl w:val="0"/>
        <w:tabs>
          <w:tab w:val="left" w:pos="625"/>
        </w:tabs>
        <w:spacing w:after="0"/>
        <w:ind w:right="357"/>
        <w:jc w:val="both"/>
        <w:rPr>
          <w:rFonts w:ascii="Arial" w:eastAsia="Arial" w:hAnsi="Arial" w:cs="Arial"/>
          <w:b/>
          <w:bCs/>
          <w:sz w:val="24"/>
          <w:szCs w:val="24"/>
          <w:lang w:val="en-US" w:eastAsia="en-US"/>
        </w:rPr>
      </w:pPr>
    </w:p>
    <w:p w:rsidR="00934876" w:rsidRDefault="00FC2C36" w:rsidP="00310262">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4.0-VECC-</w:t>
      </w:r>
      <w:r w:rsidR="00F56187">
        <w:rPr>
          <w:rFonts w:ascii="Arial" w:eastAsia="Arial" w:hAnsi="Arial" w:cs="Arial"/>
          <w:sz w:val="24"/>
          <w:szCs w:val="24"/>
          <w:lang w:val="en-US" w:eastAsia="en-US"/>
        </w:rPr>
        <w:t>12</w:t>
      </w:r>
    </w:p>
    <w:p w:rsidR="00FC2C36" w:rsidRDefault="00FC2C36" w:rsidP="00310262">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Reference:</w:t>
      </w:r>
      <w:r>
        <w:rPr>
          <w:rFonts w:ascii="Arial" w:eastAsia="Arial" w:hAnsi="Arial" w:cs="Arial"/>
          <w:sz w:val="24"/>
          <w:szCs w:val="24"/>
          <w:lang w:val="en-US" w:eastAsia="en-US"/>
        </w:rPr>
        <w:tab/>
      </w:r>
      <w:r w:rsidR="006A5DCD">
        <w:rPr>
          <w:rFonts w:ascii="Arial" w:eastAsia="Arial" w:hAnsi="Arial" w:cs="Arial"/>
          <w:sz w:val="24"/>
          <w:szCs w:val="24"/>
          <w:lang w:val="en-US" w:eastAsia="en-US"/>
        </w:rPr>
        <w:t>Exhibit D</w:t>
      </w:r>
    </w:p>
    <w:p w:rsidR="00FC2C36" w:rsidRDefault="00FC2C36" w:rsidP="00310262">
      <w:pPr>
        <w:widowControl w:val="0"/>
        <w:spacing w:after="0"/>
        <w:ind w:left="993" w:right="357" w:hanging="369"/>
        <w:jc w:val="both"/>
        <w:rPr>
          <w:rFonts w:ascii="Arial" w:eastAsia="Arial" w:hAnsi="Arial" w:cs="Arial"/>
          <w:sz w:val="24"/>
          <w:szCs w:val="24"/>
          <w:lang w:val="en-US" w:eastAsia="en-US"/>
        </w:rPr>
      </w:pPr>
    </w:p>
    <w:p w:rsidR="00FC2C36" w:rsidRDefault="00FC2C36" w:rsidP="00310262">
      <w:pPr>
        <w:widowControl w:val="0"/>
        <w:spacing w:after="0"/>
        <w:ind w:left="993" w:right="357" w:hanging="369"/>
        <w:jc w:val="both"/>
        <w:rPr>
          <w:rFonts w:ascii="Arial" w:eastAsia="Arial" w:hAnsi="Arial" w:cs="Arial"/>
          <w:sz w:val="24"/>
          <w:szCs w:val="24"/>
          <w:lang w:val="en-US" w:eastAsia="en-US"/>
        </w:rPr>
      </w:pPr>
      <w:r>
        <w:rPr>
          <w:rFonts w:ascii="Arial" w:eastAsia="Arial" w:hAnsi="Arial" w:cs="Arial"/>
          <w:sz w:val="24"/>
          <w:szCs w:val="24"/>
          <w:lang w:val="en-US" w:eastAsia="en-US"/>
        </w:rPr>
        <w:t>a)</w:t>
      </w:r>
      <w:r>
        <w:rPr>
          <w:rFonts w:ascii="Arial" w:eastAsia="Arial" w:hAnsi="Arial" w:cs="Arial"/>
          <w:sz w:val="24"/>
          <w:szCs w:val="24"/>
          <w:lang w:val="en-US" w:eastAsia="en-US"/>
        </w:rPr>
        <w:tab/>
        <w:t xml:space="preserve">Please </w:t>
      </w:r>
      <w:r w:rsidR="006A5DCD">
        <w:rPr>
          <w:rFonts w:ascii="Arial" w:eastAsia="Arial" w:hAnsi="Arial" w:cs="Arial"/>
          <w:sz w:val="24"/>
          <w:szCs w:val="24"/>
          <w:lang w:val="en-US" w:eastAsia="en-US"/>
        </w:rPr>
        <w:t>provide the total cost of the customer engagement exercise for this application distinguishing between (1) contractor/consultant costs and (2) internal allocated – or tracked costs).</w:t>
      </w:r>
    </w:p>
    <w:p w:rsidR="006A5DCD" w:rsidRDefault="006A5DCD" w:rsidP="00310262">
      <w:pPr>
        <w:widowControl w:val="0"/>
        <w:spacing w:after="0"/>
        <w:ind w:left="993" w:right="357" w:hanging="369"/>
        <w:jc w:val="both"/>
        <w:rPr>
          <w:rFonts w:ascii="Arial" w:eastAsia="Arial" w:hAnsi="Arial" w:cs="Arial"/>
          <w:sz w:val="24"/>
          <w:szCs w:val="24"/>
          <w:lang w:val="en-US" w:eastAsia="en-US"/>
        </w:rPr>
      </w:pPr>
    </w:p>
    <w:p w:rsidR="006A5DCD" w:rsidRDefault="006A5DCD" w:rsidP="006A5DCD">
      <w:pPr>
        <w:widowControl w:val="0"/>
        <w:spacing w:after="0"/>
        <w:ind w:left="993" w:right="357" w:hanging="369"/>
        <w:jc w:val="center"/>
        <w:rPr>
          <w:rFonts w:ascii="Arial" w:eastAsia="Arial" w:hAnsi="Arial" w:cs="Arial"/>
          <w:sz w:val="24"/>
          <w:szCs w:val="24"/>
          <w:lang w:val="en-US" w:eastAsia="en-US"/>
        </w:rPr>
      </w:pPr>
      <w:r w:rsidRPr="006A5DCD">
        <w:rPr>
          <w:rFonts w:ascii="Arial" w:eastAsia="Arial" w:hAnsi="Arial" w:cs="Arial"/>
          <w:b/>
          <w:sz w:val="24"/>
          <w:szCs w:val="24"/>
          <w:lang w:val="en-US" w:eastAsia="en-US"/>
        </w:rPr>
        <w:t>END OF DOCUMENT</w:t>
      </w:r>
    </w:p>
    <w:sectPr w:rsidR="006A5DCD" w:rsidSect="00D55C7C">
      <w:footerReference w:type="even" r:id="rId14"/>
      <w:footerReference w:type="default" r:id="rId15"/>
      <w:pgSz w:w="12240" w:h="15840"/>
      <w:pgMar w:top="1440" w:right="1440" w:bottom="1440" w:left="1440"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00C0" w:rsidRDefault="00F400C0" w:rsidP="003726CC">
      <w:pPr>
        <w:spacing w:after="0" w:line="240" w:lineRule="auto"/>
      </w:pPr>
      <w:r>
        <w:separator/>
      </w:r>
    </w:p>
  </w:endnote>
  <w:endnote w:type="continuationSeparator" w:id="0">
    <w:p w:rsidR="00F400C0" w:rsidRDefault="00F400C0" w:rsidP="00372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39" w:rsidRDefault="00177439" w:rsidP="00AB1145">
    <w:pPr>
      <w:pStyle w:val="Footer"/>
      <w:rPr>
        <w:sz w:val="20"/>
        <w:szCs w:val="20"/>
      </w:rPr>
    </w:pPr>
    <w:r>
      <w:rPr>
        <w:sz w:val="20"/>
        <w:szCs w:val="20"/>
      </w:rPr>
      <w:t xml:space="preserve">For interrogatory clarifications please contact Mark Garner at 647-408-4501 or </w:t>
    </w:r>
    <w:hyperlink r:id="rId1" w:history="1">
      <w:r w:rsidRPr="00A123C9">
        <w:rPr>
          <w:rStyle w:val="Hyperlink"/>
          <w:sz w:val="20"/>
          <w:szCs w:val="20"/>
        </w:rPr>
        <w:t>markgarner@rogers.com</w:t>
      </w:r>
    </w:hyperlink>
  </w:p>
  <w:p w:rsidR="00177439" w:rsidRDefault="00177439" w:rsidP="00AB1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39" w:rsidRDefault="00177439"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7439" w:rsidRDefault="00177439" w:rsidP="00187E9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39" w:rsidRDefault="00177439" w:rsidP="00187E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065E">
      <w:rPr>
        <w:rStyle w:val="PageNumber"/>
        <w:noProof/>
      </w:rPr>
      <w:t>5</w:t>
    </w:r>
    <w:r>
      <w:rPr>
        <w:rStyle w:val="PageNumber"/>
      </w:rPr>
      <w:fldChar w:fldCharType="end"/>
    </w:r>
  </w:p>
  <w:p w:rsidR="00177439" w:rsidRDefault="00177439" w:rsidP="00187E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00C0" w:rsidRDefault="00F400C0" w:rsidP="003726CC">
      <w:pPr>
        <w:spacing w:after="0" w:line="240" w:lineRule="auto"/>
      </w:pPr>
      <w:r>
        <w:separator/>
      </w:r>
    </w:p>
  </w:footnote>
  <w:footnote w:type="continuationSeparator" w:id="0">
    <w:p w:rsidR="00F400C0" w:rsidRDefault="00F400C0" w:rsidP="003726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0000402"/>
    <w:multiLevelType w:val="multilevel"/>
    <w:tmpl w:val="00000885"/>
    <w:lvl w:ilvl="0">
      <w:numFmt w:val="bullet"/>
      <w:lvlText w:val=""/>
      <w:lvlJc w:val="left"/>
      <w:pPr>
        <w:ind w:left="1353" w:hanging="360"/>
      </w:pPr>
      <w:rPr>
        <w:rFonts w:ascii="Symbol" w:hAnsi="Symbol" w:cs="Symbol"/>
        <w:b w:val="0"/>
        <w:bCs w:val="0"/>
        <w:sz w:val="24"/>
        <w:szCs w:val="24"/>
      </w:rPr>
    </w:lvl>
    <w:lvl w:ilvl="1">
      <w:numFmt w:val="bullet"/>
      <w:lvlText w:val="•"/>
      <w:lvlJc w:val="left"/>
      <w:pPr>
        <w:ind w:left="2220" w:hanging="360"/>
      </w:pPr>
    </w:lvl>
    <w:lvl w:ilvl="2">
      <w:numFmt w:val="bullet"/>
      <w:lvlText w:val="•"/>
      <w:lvlJc w:val="left"/>
      <w:pPr>
        <w:ind w:left="3086" w:hanging="360"/>
      </w:pPr>
    </w:lvl>
    <w:lvl w:ilvl="3">
      <w:numFmt w:val="bullet"/>
      <w:lvlText w:val="•"/>
      <w:lvlJc w:val="left"/>
      <w:pPr>
        <w:ind w:left="3953" w:hanging="360"/>
      </w:pPr>
    </w:lvl>
    <w:lvl w:ilvl="4">
      <w:numFmt w:val="bullet"/>
      <w:lvlText w:val="•"/>
      <w:lvlJc w:val="left"/>
      <w:pPr>
        <w:ind w:left="4820" w:hanging="360"/>
      </w:pPr>
    </w:lvl>
    <w:lvl w:ilvl="5">
      <w:numFmt w:val="bullet"/>
      <w:lvlText w:val="•"/>
      <w:lvlJc w:val="left"/>
      <w:pPr>
        <w:ind w:left="5687" w:hanging="360"/>
      </w:pPr>
    </w:lvl>
    <w:lvl w:ilvl="6">
      <w:numFmt w:val="bullet"/>
      <w:lvlText w:val="•"/>
      <w:lvlJc w:val="left"/>
      <w:pPr>
        <w:ind w:left="6554" w:hanging="360"/>
      </w:pPr>
    </w:lvl>
    <w:lvl w:ilvl="7">
      <w:numFmt w:val="bullet"/>
      <w:lvlText w:val="•"/>
      <w:lvlJc w:val="left"/>
      <w:pPr>
        <w:ind w:left="7421" w:hanging="360"/>
      </w:pPr>
    </w:lvl>
    <w:lvl w:ilvl="8">
      <w:numFmt w:val="bullet"/>
      <w:lvlText w:val="•"/>
      <w:lvlJc w:val="left"/>
      <w:pPr>
        <w:ind w:left="8288" w:hanging="360"/>
      </w:pPr>
    </w:lvl>
  </w:abstractNum>
  <w:abstractNum w:abstractNumId="3">
    <w:nsid w:val="0F3801FA"/>
    <w:multiLevelType w:val="hybridMultilevel"/>
    <w:tmpl w:val="E29043D4"/>
    <w:lvl w:ilvl="0" w:tplc="D674B6C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32B0D8C"/>
    <w:multiLevelType w:val="hybridMultilevel"/>
    <w:tmpl w:val="7902A8F0"/>
    <w:lvl w:ilvl="0" w:tplc="203E39E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5EC45F6"/>
    <w:multiLevelType w:val="hybridMultilevel"/>
    <w:tmpl w:val="BC7C53F4"/>
    <w:lvl w:ilvl="0" w:tplc="10090017">
      <w:start w:val="1"/>
      <w:numFmt w:val="lowerLetter"/>
      <w:lvlText w:val="%1)"/>
      <w:lvlJc w:val="left"/>
      <w:pPr>
        <w:ind w:left="985" w:hanging="360"/>
      </w:pPr>
      <w:rPr>
        <w:rFonts w:hint="default"/>
      </w:rPr>
    </w:lvl>
    <w:lvl w:ilvl="1" w:tplc="1009001B">
      <w:start w:val="1"/>
      <w:numFmt w:val="lowerRoman"/>
      <w:lvlText w:val="%2."/>
      <w:lvlJc w:val="righ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abstractNum w:abstractNumId="7">
    <w:nsid w:val="16087181"/>
    <w:multiLevelType w:val="hybridMultilevel"/>
    <w:tmpl w:val="62A6D6E0"/>
    <w:lvl w:ilvl="0" w:tplc="EFE260E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B4840B7"/>
    <w:multiLevelType w:val="hybridMultilevel"/>
    <w:tmpl w:val="78CA7050"/>
    <w:lvl w:ilvl="0" w:tplc="074E8366">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49622C"/>
    <w:multiLevelType w:val="hybridMultilevel"/>
    <w:tmpl w:val="496E9714"/>
    <w:lvl w:ilvl="0" w:tplc="366C1A1A">
      <w:start w:val="1"/>
      <w:numFmt w:val="lowerLetter"/>
      <w:lvlText w:val="%1)"/>
      <w:lvlJc w:val="left"/>
      <w:pPr>
        <w:ind w:left="990" w:hanging="360"/>
      </w:pPr>
      <w:rPr>
        <w:rFonts w:hint="default"/>
      </w:rPr>
    </w:lvl>
    <w:lvl w:ilvl="1" w:tplc="10090001">
      <w:start w:val="1"/>
      <w:numFmt w:val="bullet"/>
      <w:lvlText w:val=""/>
      <w:lvlJc w:val="left"/>
      <w:pPr>
        <w:ind w:left="1710" w:hanging="360"/>
      </w:pPr>
      <w:rPr>
        <w:rFonts w:ascii="Symbol" w:hAnsi="Symbol" w:hint="default"/>
      </w:r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0">
    <w:nsid w:val="25572734"/>
    <w:multiLevelType w:val="hybridMultilevel"/>
    <w:tmpl w:val="54107B0E"/>
    <w:lvl w:ilvl="0" w:tplc="C5361B8C">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7633E93"/>
    <w:multiLevelType w:val="hybridMultilevel"/>
    <w:tmpl w:val="78CA7050"/>
    <w:lvl w:ilvl="0" w:tplc="074E8366">
      <w:start w:val="1"/>
      <w:numFmt w:val="lowerLetter"/>
      <w:lvlText w:val="%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FA467D3"/>
    <w:multiLevelType w:val="hybridMultilevel"/>
    <w:tmpl w:val="D0D0323E"/>
    <w:lvl w:ilvl="0" w:tplc="10090017">
      <w:start w:val="1"/>
      <w:numFmt w:val="lowerLetter"/>
      <w:lvlText w:val="%1)"/>
      <w:lvlJc w:val="left"/>
      <w:pPr>
        <w:ind w:left="984" w:hanging="360"/>
      </w:pPr>
      <w:rPr>
        <w:rFonts w:hint="default"/>
        <w:b w:val="0"/>
      </w:rPr>
    </w:lvl>
    <w:lvl w:ilvl="1" w:tplc="10090019" w:tentative="1">
      <w:start w:val="1"/>
      <w:numFmt w:val="lowerLetter"/>
      <w:lvlText w:val="%2."/>
      <w:lvlJc w:val="left"/>
      <w:pPr>
        <w:ind w:left="1704" w:hanging="360"/>
      </w:pPr>
    </w:lvl>
    <w:lvl w:ilvl="2" w:tplc="1009001B" w:tentative="1">
      <w:start w:val="1"/>
      <w:numFmt w:val="lowerRoman"/>
      <w:lvlText w:val="%3."/>
      <w:lvlJc w:val="right"/>
      <w:pPr>
        <w:ind w:left="2424" w:hanging="180"/>
      </w:pPr>
    </w:lvl>
    <w:lvl w:ilvl="3" w:tplc="1009000F" w:tentative="1">
      <w:start w:val="1"/>
      <w:numFmt w:val="decimal"/>
      <w:lvlText w:val="%4."/>
      <w:lvlJc w:val="left"/>
      <w:pPr>
        <w:ind w:left="3144" w:hanging="360"/>
      </w:pPr>
    </w:lvl>
    <w:lvl w:ilvl="4" w:tplc="10090019" w:tentative="1">
      <w:start w:val="1"/>
      <w:numFmt w:val="lowerLetter"/>
      <w:lvlText w:val="%5."/>
      <w:lvlJc w:val="left"/>
      <w:pPr>
        <w:ind w:left="3864" w:hanging="360"/>
      </w:pPr>
    </w:lvl>
    <w:lvl w:ilvl="5" w:tplc="1009001B" w:tentative="1">
      <w:start w:val="1"/>
      <w:numFmt w:val="lowerRoman"/>
      <w:lvlText w:val="%6."/>
      <w:lvlJc w:val="right"/>
      <w:pPr>
        <w:ind w:left="4584" w:hanging="180"/>
      </w:pPr>
    </w:lvl>
    <w:lvl w:ilvl="6" w:tplc="1009000F" w:tentative="1">
      <w:start w:val="1"/>
      <w:numFmt w:val="decimal"/>
      <w:lvlText w:val="%7."/>
      <w:lvlJc w:val="left"/>
      <w:pPr>
        <w:ind w:left="5304" w:hanging="360"/>
      </w:pPr>
    </w:lvl>
    <w:lvl w:ilvl="7" w:tplc="10090019" w:tentative="1">
      <w:start w:val="1"/>
      <w:numFmt w:val="lowerLetter"/>
      <w:lvlText w:val="%8."/>
      <w:lvlJc w:val="left"/>
      <w:pPr>
        <w:ind w:left="6024" w:hanging="360"/>
      </w:pPr>
    </w:lvl>
    <w:lvl w:ilvl="8" w:tplc="1009001B" w:tentative="1">
      <w:start w:val="1"/>
      <w:numFmt w:val="lowerRoman"/>
      <w:lvlText w:val="%9."/>
      <w:lvlJc w:val="right"/>
      <w:pPr>
        <w:ind w:left="6744" w:hanging="180"/>
      </w:pPr>
    </w:lvl>
  </w:abstractNum>
  <w:abstractNum w:abstractNumId="13">
    <w:nsid w:val="3374355C"/>
    <w:multiLevelType w:val="hybridMultilevel"/>
    <w:tmpl w:val="C246A222"/>
    <w:lvl w:ilvl="0" w:tplc="F9DAE214">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14">
    <w:nsid w:val="36C43B15"/>
    <w:multiLevelType w:val="hybridMultilevel"/>
    <w:tmpl w:val="24E82584"/>
    <w:lvl w:ilvl="0" w:tplc="BA4C7F90">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4A4F6D8D"/>
    <w:multiLevelType w:val="hybridMultilevel"/>
    <w:tmpl w:val="0400B5B8"/>
    <w:lvl w:ilvl="0" w:tplc="60DE92E2">
      <w:start w:val="1"/>
      <w:numFmt w:val="lowerLetter"/>
      <w:lvlText w:val="%1)"/>
      <w:lvlJc w:val="left"/>
      <w:pPr>
        <w:ind w:left="10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C3A2346"/>
    <w:multiLevelType w:val="hybridMultilevel"/>
    <w:tmpl w:val="B15A506C"/>
    <w:lvl w:ilvl="0" w:tplc="A1387A98">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5C0047CB"/>
    <w:multiLevelType w:val="hybridMultilevel"/>
    <w:tmpl w:val="E7704EB0"/>
    <w:lvl w:ilvl="0" w:tplc="EBF84A96">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E9C5084"/>
    <w:multiLevelType w:val="hybridMultilevel"/>
    <w:tmpl w:val="223CC274"/>
    <w:lvl w:ilvl="0" w:tplc="91BEBA96">
      <w:start w:val="1"/>
      <w:numFmt w:val="lowerLetter"/>
      <w:lvlText w:val="%1)"/>
      <w:lvlJc w:val="left"/>
      <w:pPr>
        <w:ind w:left="9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6033465B"/>
    <w:multiLevelType w:val="hybridMultilevel"/>
    <w:tmpl w:val="E31A10C8"/>
    <w:lvl w:ilvl="0" w:tplc="684234DA">
      <w:start w:val="1"/>
      <w:numFmt w:val="lowerLetter"/>
      <w:lvlText w:val="%1)"/>
      <w:lvlJc w:val="left"/>
      <w:pPr>
        <w:ind w:left="990" w:hanging="360"/>
      </w:pPr>
      <w:rPr>
        <w:rFonts w:hint="default"/>
      </w:rPr>
    </w:lvl>
    <w:lvl w:ilvl="1" w:tplc="10090019" w:tentative="1">
      <w:start w:val="1"/>
      <w:numFmt w:val="lowerLetter"/>
      <w:lvlText w:val="%2."/>
      <w:lvlJc w:val="left"/>
      <w:pPr>
        <w:ind w:left="1710" w:hanging="360"/>
      </w:pPr>
    </w:lvl>
    <w:lvl w:ilvl="2" w:tplc="1009001B" w:tentative="1">
      <w:start w:val="1"/>
      <w:numFmt w:val="lowerRoman"/>
      <w:lvlText w:val="%3."/>
      <w:lvlJc w:val="right"/>
      <w:pPr>
        <w:ind w:left="2430" w:hanging="180"/>
      </w:pPr>
    </w:lvl>
    <w:lvl w:ilvl="3" w:tplc="1009000F" w:tentative="1">
      <w:start w:val="1"/>
      <w:numFmt w:val="decimal"/>
      <w:lvlText w:val="%4."/>
      <w:lvlJc w:val="left"/>
      <w:pPr>
        <w:ind w:left="3150" w:hanging="360"/>
      </w:pPr>
    </w:lvl>
    <w:lvl w:ilvl="4" w:tplc="10090019" w:tentative="1">
      <w:start w:val="1"/>
      <w:numFmt w:val="lowerLetter"/>
      <w:lvlText w:val="%5."/>
      <w:lvlJc w:val="left"/>
      <w:pPr>
        <w:ind w:left="3870" w:hanging="360"/>
      </w:pPr>
    </w:lvl>
    <w:lvl w:ilvl="5" w:tplc="1009001B" w:tentative="1">
      <w:start w:val="1"/>
      <w:numFmt w:val="lowerRoman"/>
      <w:lvlText w:val="%6."/>
      <w:lvlJc w:val="right"/>
      <w:pPr>
        <w:ind w:left="4590" w:hanging="180"/>
      </w:pPr>
    </w:lvl>
    <w:lvl w:ilvl="6" w:tplc="1009000F" w:tentative="1">
      <w:start w:val="1"/>
      <w:numFmt w:val="decimal"/>
      <w:lvlText w:val="%7."/>
      <w:lvlJc w:val="left"/>
      <w:pPr>
        <w:ind w:left="5310" w:hanging="360"/>
      </w:pPr>
    </w:lvl>
    <w:lvl w:ilvl="7" w:tplc="10090019" w:tentative="1">
      <w:start w:val="1"/>
      <w:numFmt w:val="lowerLetter"/>
      <w:lvlText w:val="%8."/>
      <w:lvlJc w:val="left"/>
      <w:pPr>
        <w:ind w:left="6030" w:hanging="360"/>
      </w:pPr>
    </w:lvl>
    <w:lvl w:ilvl="8" w:tplc="1009001B" w:tentative="1">
      <w:start w:val="1"/>
      <w:numFmt w:val="lowerRoman"/>
      <w:lvlText w:val="%9."/>
      <w:lvlJc w:val="right"/>
      <w:pPr>
        <w:ind w:left="6750" w:hanging="180"/>
      </w:pPr>
    </w:lvl>
  </w:abstractNum>
  <w:abstractNum w:abstractNumId="20">
    <w:nsid w:val="62F06286"/>
    <w:multiLevelType w:val="hybridMultilevel"/>
    <w:tmpl w:val="ACA6F158"/>
    <w:lvl w:ilvl="0" w:tplc="578291BC">
      <w:start w:val="1"/>
      <w:numFmt w:val="lowerLetter"/>
      <w:lvlText w:val="%1)"/>
      <w:lvlJc w:val="left"/>
      <w:pPr>
        <w:ind w:left="1345" w:hanging="360"/>
      </w:pPr>
      <w:rPr>
        <w:rFonts w:hint="default"/>
      </w:rPr>
    </w:lvl>
    <w:lvl w:ilvl="1" w:tplc="10090019" w:tentative="1">
      <w:start w:val="1"/>
      <w:numFmt w:val="lowerLetter"/>
      <w:lvlText w:val="%2."/>
      <w:lvlJc w:val="left"/>
      <w:pPr>
        <w:ind w:left="2065" w:hanging="360"/>
      </w:pPr>
    </w:lvl>
    <w:lvl w:ilvl="2" w:tplc="1009001B" w:tentative="1">
      <w:start w:val="1"/>
      <w:numFmt w:val="lowerRoman"/>
      <w:lvlText w:val="%3."/>
      <w:lvlJc w:val="right"/>
      <w:pPr>
        <w:ind w:left="2785" w:hanging="180"/>
      </w:pPr>
    </w:lvl>
    <w:lvl w:ilvl="3" w:tplc="1009000F" w:tentative="1">
      <w:start w:val="1"/>
      <w:numFmt w:val="decimal"/>
      <w:lvlText w:val="%4."/>
      <w:lvlJc w:val="left"/>
      <w:pPr>
        <w:ind w:left="3505" w:hanging="360"/>
      </w:pPr>
    </w:lvl>
    <w:lvl w:ilvl="4" w:tplc="10090019" w:tentative="1">
      <w:start w:val="1"/>
      <w:numFmt w:val="lowerLetter"/>
      <w:lvlText w:val="%5."/>
      <w:lvlJc w:val="left"/>
      <w:pPr>
        <w:ind w:left="4225" w:hanging="360"/>
      </w:pPr>
    </w:lvl>
    <w:lvl w:ilvl="5" w:tplc="1009001B" w:tentative="1">
      <w:start w:val="1"/>
      <w:numFmt w:val="lowerRoman"/>
      <w:lvlText w:val="%6."/>
      <w:lvlJc w:val="right"/>
      <w:pPr>
        <w:ind w:left="4945" w:hanging="180"/>
      </w:pPr>
    </w:lvl>
    <w:lvl w:ilvl="6" w:tplc="1009000F" w:tentative="1">
      <w:start w:val="1"/>
      <w:numFmt w:val="decimal"/>
      <w:lvlText w:val="%7."/>
      <w:lvlJc w:val="left"/>
      <w:pPr>
        <w:ind w:left="5665" w:hanging="360"/>
      </w:pPr>
    </w:lvl>
    <w:lvl w:ilvl="7" w:tplc="10090019" w:tentative="1">
      <w:start w:val="1"/>
      <w:numFmt w:val="lowerLetter"/>
      <w:lvlText w:val="%8."/>
      <w:lvlJc w:val="left"/>
      <w:pPr>
        <w:ind w:left="6385" w:hanging="360"/>
      </w:pPr>
    </w:lvl>
    <w:lvl w:ilvl="8" w:tplc="1009001B" w:tentative="1">
      <w:start w:val="1"/>
      <w:numFmt w:val="lowerRoman"/>
      <w:lvlText w:val="%9."/>
      <w:lvlJc w:val="right"/>
      <w:pPr>
        <w:ind w:left="7105" w:hanging="180"/>
      </w:pPr>
    </w:lvl>
  </w:abstractNum>
  <w:abstractNum w:abstractNumId="21">
    <w:nsid w:val="65CF07F8"/>
    <w:multiLevelType w:val="hybridMultilevel"/>
    <w:tmpl w:val="590A6CD2"/>
    <w:lvl w:ilvl="0" w:tplc="10090017">
      <w:start w:val="1"/>
      <w:numFmt w:val="lowerLetter"/>
      <w:lvlText w:val="%1)"/>
      <w:lvlJc w:val="left"/>
      <w:pPr>
        <w:ind w:left="985" w:hanging="360"/>
      </w:pPr>
      <w:rPr>
        <w:rFonts w:hint="default"/>
      </w:rPr>
    </w:lvl>
    <w:lvl w:ilvl="1" w:tplc="10090019">
      <w:start w:val="1"/>
      <w:numFmt w:val="lowerLetter"/>
      <w:lvlText w:val="%2."/>
      <w:lvlJc w:val="left"/>
      <w:pPr>
        <w:ind w:left="1705" w:hanging="360"/>
      </w:pPr>
    </w:lvl>
    <w:lvl w:ilvl="2" w:tplc="1009001B" w:tentative="1">
      <w:start w:val="1"/>
      <w:numFmt w:val="lowerRoman"/>
      <w:lvlText w:val="%3."/>
      <w:lvlJc w:val="right"/>
      <w:pPr>
        <w:ind w:left="2425" w:hanging="180"/>
      </w:pPr>
    </w:lvl>
    <w:lvl w:ilvl="3" w:tplc="1009000F" w:tentative="1">
      <w:start w:val="1"/>
      <w:numFmt w:val="decimal"/>
      <w:lvlText w:val="%4."/>
      <w:lvlJc w:val="left"/>
      <w:pPr>
        <w:ind w:left="3145" w:hanging="360"/>
      </w:pPr>
    </w:lvl>
    <w:lvl w:ilvl="4" w:tplc="10090019" w:tentative="1">
      <w:start w:val="1"/>
      <w:numFmt w:val="lowerLetter"/>
      <w:lvlText w:val="%5."/>
      <w:lvlJc w:val="left"/>
      <w:pPr>
        <w:ind w:left="3865" w:hanging="360"/>
      </w:pPr>
    </w:lvl>
    <w:lvl w:ilvl="5" w:tplc="1009001B" w:tentative="1">
      <w:start w:val="1"/>
      <w:numFmt w:val="lowerRoman"/>
      <w:lvlText w:val="%6."/>
      <w:lvlJc w:val="right"/>
      <w:pPr>
        <w:ind w:left="4585" w:hanging="180"/>
      </w:pPr>
    </w:lvl>
    <w:lvl w:ilvl="6" w:tplc="1009000F" w:tentative="1">
      <w:start w:val="1"/>
      <w:numFmt w:val="decimal"/>
      <w:lvlText w:val="%7."/>
      <w:lvlJc w:val="left"/>
      <w:pPr>
        <w:ind w:left="5305" w:hanging="360"/>
      </w:pPr>
    </w:lvl>
    <w:lvl w:ilvl="7" w:tplc="10090019" w:tentative="1">
      <w:start w:val="1"/>
      <w:numFmt w:val="lowerLetter"/>
      <w:lvlText w:val="%8."/>
      <w:lvlJc w:val="left"/>
      <w:pPr>
        <w:ind w:left="6025" w:hanging="360"/>
      </w:pPr>
    </w:lvl>
    <w:lvl w:ilvl="8" w:tplc="1009001B" w:tentative="1">
      <w:start w:val="1"/>
      <w:numFmt w:val="lowerRoman"/>
      <w:lvlText w:val="%9."/>
      <w:lvlJc w:val="right"/>
      <w:pPr>
        <w:ind w:left="6745" w:hanging="180"/>
      </w:pPr>
    </w:lvl>
  </w:abstractNum>
  <w:num w:numId="1">
    <w:abstractNumId w:val="4"/>
  </w:num>
  <w:num w:numId="2">
    <w:abstractNumId w:val="5"/>
  </w:num>
  <w:num w:numId="3">
    <w:abstractNumId w:val="14"/>
  </w:num>
  <w:num w:numId="4">
    <w:abstractNumId w:val="16"/>
  </w:num>
  <w:num w:numId="5">
    <w:abstractNumId w:val="3"/>
  </w:num>
  <w:num w:numId="6">
    <w:abstractNumId w:val="13"/>
  </w:num>
  <w:num w:numId="7">
    <w:abstractNumId w:val="19"/>
  </w:num>
  <w:num w:numId="8">
    <w:abstractNumId w:val="15"/>
  </w:num>
  <w:num w:numId="9">
    <w:abstractNumId w:val="6"/>
  </w:num>
  <w:num w:numId="10">
    <w:abstractNumId w:val="12"/>
  </w:num>
  <w:num w:numId="11">
    <w:abstractNumId w:val="21"/>
  </w:num>
  <w:num w:numId="12">
    <w:abstractNumId w:val="9"/>
  </w:num>
  <w:num w:numId="13">
    <w:abstractNumId w:val="7"/>
  </w:num>
  <w:num w:numId="14">
    <w:abstractNumId w:val="11"/>
  </w:num>
  <w:num w:numId="15">
    <w:abstractNumId w:val="20"/>
  </w:num>
  <w:num w:numId="16">
    <w:abstractNumId w:val="8"/>
  </w:num>
  <w:num w:numId="17">
    <w:abstractNumId w:val="10"/>
  </w:num>
  <w:num w:numId="18">
    <w:abstractNumId w:val="2"/>
  </w:num>
  <w:num w:numId="19">
    <w:abstractNumId w:val="18"/>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9A"/>
    <w:rsid w:val="00003F9D"/>
    <w:rsid w:val="00004629"/>
    <w:rsid w:val="00010961"/>
    <w:rsid w:val="000114D2"/>
    <w:rsid w:val="000133C9"/>
    <w:rsid w:val="000251BE"/>
    <w:rsid w:val="00031DA4"/>
    <w:rsid w:val="00041874"/>
    <w:rsid w:val="0004358D"/>
    <w:rsid w:val="000462DE"/>
    <w:rsid w:val="000471D7"/>
    <w:rsid w:val="000479C0"/>
    <w:rsid w:val="0005378E"/>
    <w:rsid w:val="000548DF"/>
    <w:rsid w:val="0007500D"/>
    <w:rsid w:val="0007594E"/>
    <w:rsid w:val="0008097F"/>
    <w:rsid w:val="00081587"/>
    <w:rsid w:val="000863D0"/>
    <w:rsid w:val="0009297E"/>
    <w:rsid w:val="00093817"/>
    <w:rsid w:val="000941CC"/>
    <w:rsid w:val="000A25E0"/>
    <w:rsid w:val="000A5EEE"/>
    <w:rsid w:val="000B5A90"/>
    <w:rsid w:val="000B6206"/>
    <w:rsid w:val="000C32D0"/>
    <w:rsid w:val="000C7353"/>
    <w:rsid w:val="000D172E"/>
    <w:rsid w:val="000D3394"/>
    <w:rsid w:val="000D70C5"/>
    <w:rsid w:val="000D7773"/>
    <w:rsid w:val="000E2B2B"/>
    <w:rsid w:val="000E3D1D"/>
    <w:rsid w:val="000F11E9"/>
    <w:rsid w:val="000F38EB"/>
    <w:rsid w:val="000F62B2"/>
    <w:rsid w:val="00105516"/>
    <w:rsid w:val="00110488"/>
    <w:rsid w:val="00114B48"/>
    <w:rsid w:val="001314B6"/>
    <w:rsid w:val="00161FAB"/>
    <w:rsid w:val="00167282"/>
    <w:rsid w:val="00172386"/>
    <w:rsid w:val="0017484B"/>
    <w:rsid w:val="00177439"/>
    <w:rsid w:val="00187E9A"/>
    <w:rsid w:val="0019256C"/>
    <w:rsid w:val="00194965"/>
    <w:rsid w:val="001B2A5E"/>
    <w:rsid w:val="001B59FA"/>
    <w:rsid w:val="001C1B0D"/>
    <w:rsid w:val="001C4938"/>
    <w:rsid w:val="001E2756"/>
    <w:rsid w:val="001E29C0"/>
    <w:rsid w:val="001E5423"/>
    <w:rsid w:val="001E737E"/>
    <w:rsid w:val="001F2BD3"/>
    <w:rsid w:val="001F746E"/>
    <w:rsid w:val="0020461A"/>
    <w:rsid w:val="00210647"/>
    <w:rsid w:val="0021726A"/>
    <w:rsid w:val="00243025"/>
    <w:rsid w:val="00257CBC"/>
    <w:rsid w:val="002608AA"/>
    <w:rsid w:val="002626FF"/>
    <w:rsid w:val="00262A12"/>
    <w:rsid w:val="002711E7"/>
    <w:rsid w:val="002732DE"/>
    <w:rsid w:val="0029449A"/>
    <w:rsid w:val="0029722F"/>
    <w:rsid w:val="002A3076"/>
    <w:rsid w:val="002A345A"/>
    <w:rsid w:val="002A4604"/>
    <w:rsid w:val="002B416B"/>
    <w:rsid w:val="002C146B"/>
    <w:rsid w:val="002C28C3"/>
    <w:rsid w:val="002C38BB"/>
    <w:rsid w:val="002D6D8C"/>
    <w:rsid w:val="002D7DE2"/>
    <w:rsid w:val="002E134B"/>
    <w:rsid w:val="002F3393"/>
    <w:rsid w:val="002F4A13"/>
    <w:rsid w:val="00301173"/>
    <w:rsid w:val="003041D6"/>
    <w:rsid w:val="003101BE"/>
    <w:rsid w:val="00310262"/>
    <w:rsid w:val="00315A70"/>
    <w:rsid w:val="00321672"/>
    <w:rsid w:val="00323310"/>
    <w:rsid w:val="00350D99"/>
    <w:rsid w:val="00351911"/>
    <w:rsid w:val="0036713A"/>
    <w:rsid w:val="003726CC"/>
    <w:rsid w:val="00372C2E"/>
    <w:rsid w:val="00376994"/>
    <w:rsid w:val="00376ABD"/>
    <w:rsid w:val="00377051"/>
    <w:rsid w:val="003817AF"/>
    <w:rsid w:val="003862C7"/>
    <w:rsid w:val="003A43C1"/>
    <w:rsid w:val="003B0C64"/>
    <w:rsid w:val="003B27D4"/>
    <w:rsid w:val="003E00A6"/>
    <w:rsid w:val="003E07F6"/>
    <w:rsid w:val="003E24CD"/>
    <w:rsid w:val="003F1885"/>
    <w:rsid w:val="003F4218"/>
    <w:rsid w:val="004000C9"/>
    <w:rsid w:val="00416F86"/>
    <w:rsid w:val="00427419"/>
    <w:rsid w:val="0043065E"/>
    <w:rsid w:val="004407D9"/>
    <w:rsid w:val="00441455"/>
    <w:rsid w:val="004422C6"/>
    <w:rsid w:val="0044695A"/>
    <w:rsid w:val="0044789C"/>
    <w:rsid w:val="004513F1"/>
    <w:rsid w:val="00467E23"/>
    <w:rsid w:val="00476980"/>
    <w:rsid w:val="00481500"/>
    <w:rsid w:val="0048404C"/>
    <w:rsid w:val="004A0633"/>
    <w:rsid w:val="004A216C"/>
    <w:rsid w:val="004A3DC1"/>
    <w:rsid w:val="004B0542"/>
    <w:rsid w:val="004C28F7"/>
    <w:rsid w:val="004C2BF1"/>
    <w:rsid w:val="004C3A0E"/>
    <w:rsid w:val="004C4939"/>
    <w:rsid w:val="004D1BDE"/>
    <w:rsid w:val="004D3108"/>
    <w:rsid w:val="004E18D8"/>
    <w:rsid w:val="004F265A"/>
    <w:rsid w:val="004F6984"/>
    <w:rsid w:val="005021AF"/>
    <w:rsid w:val="00516ABE"/>
    <w:rsid w:val="00531149"/>
    <w:rsid w:val="005548A5"/>
    <w:rsid w:val="00554E3D"/>
    <w:rsid w:val="005560BA"/>
    <w:rsid w:val="005573F7"/>
    <w:rsid w:val="00581E27"/>
    <w:rsid w:val="00582197"/>
    <w:rsid w:val="005832CC"/>
    <w:rsid w:val="005A79CE"/>
    <w:rsid w:val="005B1DDC"/>
    <w:rsid w:val="005C00FB"/>
    <w:rsid w:val="005C1130"/>
    <w:rsid w:val="005C7EF6"/>
    <w:rsid w:val="005E1BF0"/>
    <w:rsid w:val="005E306D"/>
    <w:rsid w:val="005E6A1A"/>
    <w:rsid w:val="005F6BCA"/>
    <w:rsid w:val="006116D4"/>
    <w:rsid w:val="0063418C"/>
    <w:rsid w:val="00635D91"/>
    <w:rsid w:val="00644779"/>
    <w:rsid w:val="00656D40"/>
    <w:rsid w:val="006618FC"/>
    <w:rsid w:val="00662093"/>
    <w:rsid w:val="00670B40"/>
    <w:rsid w:val="006822CF"/>
    <w:rsid w:val="00685C3E"/>
    <w:rsid w:val="006865D1"/>
    <w:rsid w:val="0069381B"/>
    <w:rsid w:val="006949FD"/>
    <w:rsid w:val="0069523C"/>
    <w:rsid w:val="00696034"/>
    <w:rsid w:val="006A13C9"/>
    <w:rsid w:val="006A22A9"/>
    <w:rsid w:val="006A5DCD"/>
    <w:rsid w:val="006B08A8"/>
    <w:rsid w:val="006B4E98"/>
    <w:rsid w:val="006B5533"/>
    <w:rsid w:val="006B64B6"/>
    <w:rsid w:val="006C0464"/>
    <w:rsid w:val="006C2A62"/>
    <w:rsid w:val="006D68AA"/>
    <w:rsid w:val="006E43AE"/>
    <w:rsid w:val="006E5A50"/>
    <w:rsid w:val="006F345F"/>
    <w:rsid w:val="006F36FB"/>
    <w:rsid w:val="006F445A"/>
    <w:rsid w:val="00702894"/>
    <w:rsid w:val="00711800"/>
    <w:rsid w:val="00720641"/>
    <w:rsid w:val="00732061"/>
    <w:rsid w:val="0074141D"/>
    <w:rsid w:val="00741571"/>
    <w:rsid w:val="007748B0"/>
    <w:rsid w:val="00777174"/>
    <w:rsid w:val="007808A1"/>
    <w:rsid w:val="00782110"/>
    <w:rsid w:val="007914F1"/>
    <w:rsid w:val="007916FC"/>
    <w:rsid w:val="007944DB"/>
    <w:rsid w:val="007971A9"/>
    <w:rsid w:val="007A10D4"/>
    <w:rsid w:val="007A3725"/>
    <w:rsid w:val="007A4CED"/>
    <w:rsid w:val="007B0105"/>
    <w:rsid w:val="007C655F"/>
    <w:rsid w:val="007D417C"/>
    <w:rsid w:val="007D7C39"/>
    <w:rsid w:val="007F1E4D"/>
    <w:rsid w:val="007F3E8E"/>
    <w:rsid w:val="007F5511"/>
    <w:rsid w:val="007F5F87"/>
    <w:rsid w:val="00807068"/>
    <w:rsid w:val="008114A3"/>
    <w:rsid w:val="00820310"/>
    <w:rsid w:val="00820D1E"/>
    <w:rsid w:val="00821B4F"/>
    <w:rsid w:val="00824BAB"/>
    <w:rsid w:val="00834AA0"/>
    <w:rsid w:val="00834E7D"/>
    <w:rsid w:val="008356FE"/>
    <w:rsid w:val="008357FA"/>
    <w:rsid w:val="00837425"/>
    <w:rsid w:val="0084462E"/>
    <w:rsid w:val="008600A5"/>
    <w:rsid w:val="00860FD7"/>
    <w:rsid w:val="00880EFD"/>
    <w:rsid w:val="00881E73"/>
    <w:rsid w:val="00887A16"/>
    <w:rsid w:val="0089215D"/>
    <w:rsid w:val="008922AA"/>
    <w:rsid w:val="0089706A"/>
    <w:rsid w:val="008A2FDF"/>
    <w:rsid w:val="008B7197"/>
    <w:rsid w:val="008F3698"/>
    <w:rsid w:val="009040B1"/>
    <w:rsid w:val="00910122"/>
    <w:rsid w:val="00914459"/>
    <w:rsid w:val="009220D5"/>
    <w:rsid w:val="00925B2B"/>
    <w:rsid w:val="00931972"/>
    <w:rsid w:val="00934876"/>
    <w:rsid w:val="0093701F"/>
    <w:rsid w:val="009637DD"/>
    <w:rsid w:val="0096661F"/>
    <w:rsid w:val="00972A99"/>
    <w:rsid w:val="00975012"/>
    <w:rsid w:val="0098153D"/>
    <w:rsid w:val="009843E9"/>
    <w:rsid w:val="009914BD"/>
    <w:rsid w:val="009919C6"/>
    <w:rsid w:val="009927E7"/>
    <w:rsid w:val="00992B3A"/>
    <w:rsid w:val="009938EF"/>
    <w:rsid w:val="009E1071"/>
    <w:rsid w:val="009F2247"/>
    <w:rsid w:val="00A0661B"/>
    <w:rsid w:val="00A225C3"/>
    <w:rsid w:val="00A2443F"/>
    <w:rsid w:val="00A25DDB"/>
    <w:rsid w:val="00A33604"/>
    <w:rsid w:val="00A337D9"/>
    <w:rsid w:val="00A3397C"/>
    <w:rsid w:val="00A45971"/>
    <w:rsid w:val="00A84D82"/>
    <w:rsid w:val="00A86AE7"/>
    <w:rsid w:val="00AA1543"/>
    <w:rsid w:val="00AA32B6"/>
    <w:rsid w:val="00AA7384"/>
    <w:rsid w:val="00AB1145"/>
    <w:rsid w:val="00AB136F"/>
    <w:rsid w:val="00AB2E7C"/>
    <w:rsid w:val="00AB5E27"/>
    <w:rsid w:val="00AB5F18"/>
    <w:rsid w:val="00AD3BF0"/>
    <w:rsid w:val="00AD6EC1"/>
    <w:rsid w:val="00AE0173"/>
    <w:rsid w:val="00AE3A74"/>
    <w:rsid w:val="00AE552F"/>
    <w:rsid w:val="00AF56CD"/>
    <w:rsid w:val="00B0271A"/>
    <w:rsid w:val="00B15F87"/>
    <w:rsid w:val="00B22BD4"/>
    <w:rsid w:val="00B573C2"/>
    <w:rsid w:val="00B6325B"/>
    <w:rsid w:val="00B851F3"/>
    <w:rsid w:val="00B854BE"/>
    <w:rsid w:val="00B964C9"/>
    <w:rsid w:val="00BA0DED"/>
    <w:rsid w:val="00BB74C8"/>
    <w:rsid w:val="00BC1186"/>
    <w:rsid w:val="00BC2CA6"/>
    <w:rsid w:val="00BD50FC"/>
    <w:rsid w:val="00BD6D20"/>
    <w:rsid w:val="00BD7568"/>
    <w:rsid w:val="00BF4B34"/>
    <w:rsid w:val="00C0382E"/>
    <w:rsid w:val="00C063DF"/>
    <w:rsid w:val="00C06F32"/>
    <w:rsid w:val="00C06FD0"/>
    <w:rsid w:val="00C13EF2"/>
    <w:rsid w:val="00C158A4"/>
    <w:rsid w:val="00C17D97"/>
    <w:rsid w:val="00C277EE"/>
    <w:rsid w:val="00C32FB7"/>
    <w:rsid w:val="00C3520A"/>
    <w:rsid w:val="00C35232"/>
    <w:rsid w:val="00C37DD7"/>
    <w:rsid w:val="00C57535"/>
    <w:rsid w:val="00C640D5"/>
    <w:rsid w:val="00C6449D"/>
    <w:rsid w:val="00C70426"/>
    <w:rsid w:val="00C77928"/>
    <w:rsid w:val="00C808A4"/>
    <w:rsid w:val="00CA0CC7"/>
    <w:rsid w:val="00CB52BC"/>
    <w:rsid w:val="00CC29E5"/>
    <w:rsid w:val="00CD1677"/>
    <w:rsid w:val="00CE342C"/>
    <w:rsid w:val="00CE3811"/>
    <w:rsid w:val="00CE7CC8"/>
    <w:rsid w:val="00D07C7F"/>
    <w:rsid w:val="00D16663"/>
    <w:rsid w:val="00D16996"/>
    <w:rsid w:val="00D349C7"/>
    <w:rsid w:val="00D542B7"/>
    <w:rsid w:val="00D55C7C"/>
    <w:rsid w:val="00D603C9"/>
    <w:rsid w:val="00D6317A"/>
    <w:rsid w:val="00D67C19"/>
    <w:rsid w:val="00D8346A"/>
    <w:rsid w:val="00D85B69"/>
    <w:rsid w:val="00D909FE"/>
    <w:rsid w:val="00DB379A"/>
    <w:rsid w:val="00DB43A8"/>
    <w:rsid w:val="00DC600C"/>
    <w:rsid w:val="00DD4C71"/>
    <w:rsid w:val="00DD63FF"/>
    <w:rsid w:val="00DE0200"/>
    <w:rsid w:val="00E00F6E"/>
    <w:rsid w:val="00E04619"/>
    <w:rsid w:val="00E115D5"/>
    <w:rsid w:val="00E2305B"/>
    <w:rsid w:val="00E438DC"/>
    <w:rsid w:val="00E51D34"/>
    <w:rsid w:val="00E5533C"/>
    <w:rsid w:val="00E56BA1"/>
    <w:rsid w:val="00E62410"/>
    <w:rsid w:val="00E67564"/>
    <w:rsid w:val="00E73D11"/>
    <w:rsid w:val="00E7506D"/>
    <w:rsid w:val="00E77CA2"/>
    <w:rsid w:val="00E85E5E"/>
    <w:rsid w:val="00E930BD"/>
    <w:rsid w:val="00EA2F9F"/>
    <w:rsid w:val="00EC2F94"/>
    <w:rsid w:val="00ED438C"/>
    <w:rsid w:val="00ED4627"/>
    <w:rsid w:val="00EE609B"/>
    <w:rsid w:val="00EF49C1"/>
    <w:rsid w:val="00EF5ED2"/>
    <w:rsid w:val="00EF7F7A"/>
    <w:rsid w:val="00F00166"/>
    <w:rsid w:val="00F11FD2"/>
    <w:rsid w:val="00F231D7"/>
    <w:rsid w:val="00F35932"/>
    <w:rsid w:val="00F400C0"/>
    <w:rsid w:val="00F4680D"/>
    <w:rsid w:val="00F56187"/>
    <w:rsid w:val="00F57B83"/>
    <w:rsid w:val="00F66DA3"/>
    <w:rsid w:val="00F66F5D"/>
    <w:rsid w:val="00F67D28"/>
    <w:rsid w:val="00F71B0A"/>
    <w:rsid w:val="00F72F79"/>
    <w:rsid w:val="00F75DE5"/>
    <w:rsid w:val="00F80645"/>
    <w:rsid w:val="00F80D5E"/>
    <w:rsid w:val="00F822AF"/>
    <w:rsid w:val="00F91893"/>
    <w:rsid w:val="00F92A0B"/>
    <w:rsid w:val="00FA1451"/>
    <w:rsid w:val="00FA3357"/>
    <w:rsid w:val="00FB3183"/>
    <w:rsid w:val="00FB5F80"/>
    <w:rsid w:val="00FC2C36"/>
    <w:rsid w:val="00FC38DF"/>
    <w:rsid w:val="00FC3E13"/>
    <w:rsid w:val="00FC3FFC"/>
    <w:rsid w:val="00FC55C6"/>
    <w:rsid w:val="00FD7247"/>
    <w:rsid w:val="00FF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character" w:styleId="FollowedHyperlink">
    <w:name w:val="FollowedHyperlink"/>
    <w:basedOn w:val="DefaultParagraphFont"/>
    <w:uiPriority w:val="99"/>
    <w:semiHidden/>
    <w:unhideWhenUsed/>
    <w:rsid w:val="004513F1"/>
    <w:rPr>
      <w:color w:val="800080" w:themeColor="followedHyperlink"/>
      <w:u w:val="single"/>
    </w:rPr>
  </w:style>
  <w:style w:type="table" w:styleId="TableGrid">
    <w:name w:val="Table Grid"/>
    <w:basedOn w:val="TableNormal"/>
    <w:uiPriority w:val="59"/>
    <w:rsid w:val="00F8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2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2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7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79A"/>
    <w:rPr>
      <w:rFonts w:ascii="Tahoma" w:hAnsi="Tahoma" w:cs="Tahoma"/>
      <w:sz w:val="16"/>
      <w:szCs w:val="16"/>
    </w:rPr>
  </w:style>
  <w:style w:type="paragraph" w:styleId="Header">
    <w:name w:val="header"/>
    <w:basedOn w:val="Normal"/>
    <w:link w:val="HeaderChar"/>
    <w:uiPriority w:val="99"/>
    <w:unhideWhenUsed/>
    <w:rsid w:val="00372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6CC"/>
  </w:style>
  <w:style w:type="paragraph" w:styleId="Footer">
    <w:name w:val="footer"/>
    <w:basedOn w:val="Normal"/>
    <w:link w:val="FooterChar"/>
    <w:uiPriority w:val="99"/>
    <w:unhideWhenUsed/>
    <w:rsid w:val="00372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6CC"/>
  </w:style>
  <w:style w:type="character" w:styleId="Hyperlink">
    <w:name w:val="Hyperlink"/>
    <w:basedOn w:val="DefaultParagraphFont"/>
    <w:uiPriority w:val="99"/>
    <w:unhideWhenUsed/>
    <w:rsid w:val="003726CC"/>
    <w:rPr>
      <w:color w:val="0000FF" w:themeColor="hyperlink"/>
      <w:u w:val="single"/>
    </w:rPr>
  </w:style>
  <w:style w:type="paragraph" w:customStyle="1" w:styleId="Default">
    <w:name w:val="Default"/>
    <w:rsid w:val="00C0382E"/>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uiPriority w:val="1"/>
    <w:qFormat/>
    <w:rsid w:val="00C0382E"/>
    <w:pPr>
      <w:spacing w:after="0" w:line="240" w:lineRule="auto"/>
    </w:pPr>
  </w:style>
  <w:style w:type="character" w:styleId="PageNumber">
    <w:name w:val="page number"/>
    <w:uiPriority w:val="99"/>
    <w:rsid w:val="002C38BB"/>
    <w:rPr>
      <w:rFonts w:cs="Times New Roman"/>
    </w:rPr>
  </w:style>
  <w:style w:type="paragraph" w:customStyle="1" w:styleId="Level1">
    <w:name w:val="Level 1"/>
    <w:basedOn w:val="Normal"/>
    <w:uiPriority w:val="99"/>
    <w:rsid w:val="002C38BB"/>
    <w:pPr>
      <w:widowControl w:val="0"/>
      <w:numPr>
        <w:numId w:val="1"/>
      </w:numPr>
      <w:autoSpaceDE w:val="0"/>
      <w:autoSpaceDN w:val="0"/>
      <w:adjustRightInd w:val="0"/>
      <w:spacing w:after="0" w:line="240" w:lineRule="auto"/>
      <w:ind w:hanging="720"/>
      <w:outlineLvl w:val="0"/>
    </w:pPr>
    <w:rPr>
      <w:rFonts w:ascii="Courier" w:eastAsia="Times New Roman" w:hAnsi="Courier" w:cs="Times New Roman"/>
      <w:sz w:val="24"/>
      <w:szCs w:val="24"/>
    </w:rPr>
  </w:style>
  <w:style w:type="paragraph" w:styleId="BodyText">
    <w:name w:val="Body Text"/>
    <w:basedOn w:val="Default"/>
    <w:next w:val="Default"/>
    <w:link w:val="BodyTextChar"/>
    <w:uiPriority w:val="99"/>
    <w:rsid w:val="002C38BB"/>
    <w:rPr>
      <w:color w:val="auto"/>
    </w:rPr>
  </w:style>
  <w:style w:type="character" w:customStyle="1" w:styleId="BodyTextChar">
    <w:name w:val="Body Text Char"/>
    <w:basedOn w:val="DefaultParagraphFont"/>
    <w:link w:val="BodyText"/>
    <w:uiPriority w:val="99"/>
    <w:rsid w:val="002C38BB"/>
    <w:rPr>
      <w:rFonts w:ascii="Arial" w:eastAsia="Times New Roman" w:hAnsi="Arial" w:cs="Arial"/>
      <w:sz w:val="24"/>
      <w:szCs w:val="24"/>
    </w:rPr>
  </w:style>
  <w:style w:type="paragraph" w:styleId="ListParagraph">
    <w:name w:val="List Paragraph"/>
    <w:basedOn w:val="Normal"/>
    <w:uiPriority w:val="34"/>
    <w:qFormat/>
    <w:rsid w:val="0044695A"/>
    <w:pPr>
      <w:ind w:left="720"/>
      <w:contextualSpacing/>
    </w:pPr>
  </w:style>
  <w:style w:type="character" w:styleId="FollowedHyperlink">
    <w:name w:val="FollowedHyperlink"/>
    <w:basedOn w:val="DefaultParagraphFont"/>
    <w:uiPriority w:val="99"/>
    <w:semiHidden/>
    <w:unhideWhenUsed/>
    <w:rsid w:val="004513F1"/>
    <w:rPr>
      <w:color w:val="800080" w:themeColor="followedHyperlink"/>
      <w:u w:val="single"/>
    </w:rPr>
  </w:style>
  <w:style w:type="table" w:styleId="TableGrid">
    <w:name w:val="Table Grid"/>
    <w:basedOn w:val="TableNormal"/>
    <w:uiPriority w:val="59"/>
    <w:rsid w:val="00F80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822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92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676669">
      <w:bodyDiv w:val="1"/>
      <w:marLeft w:val="0"/>
      <w:marRight w:val="0"/>
      <w:marTop w:val="0"/>
      <w:marBottom w:val="0"/>
      <w:divBdr>
        <w:top w:val="none" w:sz="0" w:space="0" w:color="auto"/>
        <w:left w:val="none" w:sz="0" w:space="0" w:color="auto"/>
        <w:bottom w:val="none" w:sz="0" w:space="0" w:color="auto"/>
        <w:right w:val="none" w:sz="0" w:space="0" w:color="auto"/>
      </w:divBdr>
    </w:div>
    <w:div w:id="1765345445">
      <w:bodyDiv w:val="1"/>
      <w:marLeft w:val="0"/>
      <w:marRight w:val="0"/>
      <w:marTop w:val="0"/>
      <w:marBottom w:val="0"/>
      <w:divBdr>
        <w:top w:val="none" w:sz="0" w:space="0" w:color="auto"/>
        <w:left w:val="none" w:sz="0" w:space="0" w:color="auto"/>
        <w:bottom w:val="none" w:sz="0" w:space="0" w:color="auto"/>
        <w:right w:val="none" w:sz="0" w:space="0" w:color="auto"/>
      </w:divBdr>
    </w:div>
    <w:div w:id="200759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innis@unionga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DRegulatoryProceedings@enbridge.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markgarner@ro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7D45-7233-496F-BE2D-96083A128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1322</Words>
  <Characters>7194</Characters>
  <Application>Microsoft Office Word</Application>
  <DocSecurity>0</DocSecurity>
  <Lines>256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dbrady</dc:creator>
  <cp:lastModifiedBy>Mark Garner</cp:lastModifiedBy>
  <cp:revision>3</cp:revision>
  <cp:lastPrinted>2018-10-03T14:11:00Z</cp:lastPrinted>
  <dcterms:created xsi:type="dcterms:W3CDTF">2019-04-05T14:58:00Z</dcterms:created>
  <dcterms:modified xsi:type="dcterms:W3CDTF">2019-04-05T15:02:00Z</dcterms:modified>
</cp:coreProperties>
</file>