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43C9" w14:textId="1DA7C31A" w:rsidR="00BB1FA2" w:rsidRPr="008F4209" w:rsidRDefault="00DA4D9C" w:rsidP="008F4209">
      <w:pPr>
        <w:spacing w:after="0"/>
        <w:jc w:val="center"/>
        <w:rPr>
          <w:rFonts w:ascii="Arial" w:hAnsi="Arial" w:cs="Arial"/>
          <w:b/>
          <w:sz w:val="24"/>
          <w:szCs w:val="24"/>
        </w:rPr>
      </w:pPr>
      <w:r>
        <w:rPr>
          <w:rFonts w:ascii="Arial" w:hAnsi="Arial" w:cs="Arial"/>
          <w:b/>
          <w:sz w:val="24"/>
          <w:szCs w:val="24"/>
        </w:rPr>
        <w:t>C</w:t>
      </w:r>
      <w:r w:rsidR="005A3424" w:rsidRPr="005A3424">
        <w:rPr>
          <w:rFonts w:ascii="Arial" w:hAnsi="Arial" w:cs="Arial"/>
          <w:b/>
          <w:sz w:val="24"/>
          <w:szCs w:val="24"/>
        </w:rPr>
        <w:t>hapleau Public Utilities Corporation</w:t>
      </w:r>
    </w:p>
    <w:p w14:paraId="08CF3319" w14:textId="7315D991" w:rsidR="00602702" w:rsidRPr="008F4209" w:rsidRDefault="00602702" w:rsidP="008F4209">
      <w:pPr>
        <w:spacing w:after="0"/>
        <w:jc w:val="center"/>
        <w:rPr>
          <w:rFonts w:ascii="Arial" w:hAnsi="Arial" w:cs="Arial"/>
          <w:b/>
          <w:sz w:val="24"/>
          <w:szCs w:val="24"/>
        </w:rPr>
      </w:pPr>
      <w:r w:rsidRPr="008F4209">
        <w:rPr>
          <w:rFonts w:ascii="Arial" w:eastAsia="Times New Roman" w:hAnsi="Arial" w:cs="Arial"/>
          <w:b/>
          <w:noProof/>
          <w:snapToGrid w:val="0"/>
          <w:sz w:val="24"/>
          <w:szCs w:val="24"/>
        </w:rPr>
        <w:t>201</w:t>
      </w:r>
      <w:r w:rsidR="005A3424">
        <w:rPr>
          <w:rFonts w:ascii="Arial" w:eastAsia="Times New Roman" w:hAnsi="Arial" w:cs="Arial"/>
          <w:b/>
          <w:noProof/>
          <w:snapToGrid w:val="0"/>
          <w:sz w:val="24"/>
          <w:szCs w:val="24"/>
        </w:rPr>
        <w:t>9</w:t>
      </w:r>
      <w:r w:rsidRPr="008F4209">
        <w:rPr>
          <w:rFonts w:ascii="Arial" w:eastAsia="Times New Roman" w:hAnsi="Arial" w:cs="Arial"/>
          <w:b/>
          <w:noProof/>
          <w:snapToGrid w:val="0"/>
          <w:sz w:val="24"/>
          <w:szCs w:val="24"/>
        </w:rPr>
        <w:t xml:space="preserve"> Cost of Service Electricity Distribution Rate Application – </w:t>
      </w:r>
      <w:r w:rsidR="00BB1FA2" w:rsidRPr="008F4209">
        <w:rPr>
          <w:rFonts w:ascii="Arial" w:hAnsi="Arial" w:cs="Arial"/>
          <w:b/>
          <w:sz w:val="24"/>
          <w:szCs w:val="24"/>
        </w:rPr>
        <w:t>EB-201</w:t>
      </w:r>
      <w:r w:rsidR="005A3424">
        <w:rPr>
          <w:rFonts w:ascii="Arial" w:hAnsi="Arial" w:cs="Arial"/>
          <w:b/>
          <w:sz w:val="24"/>
          <w:szCs w:val="24"/>
        </w:rPr>
        <w:t>8-0087</w:t>
      </w:r>
    </w:p>
    <w:p w14:paraId="039A84E0" w14:textId="3EE30523" w:rsidR="00BB1FA2" w:rsidRPr="008F4209" w:rsidRDefault="00BB1FA2" w:rsidP="008F4209">
      <w:pPr>
        <w:spacing w:after="0"/>
        <w:jc w:val="center"/>
        <w:rPr>
          <w:rFonts w:ascii="Arial" w:hAnsi="Arial" w:cs="Arial"/>
          <w:b/>
          <w:sz w:val="24"/>
          <w:szCs w:val="24"/>
        </w:rPr>
      </w:pPr>
      <w:r w:rsidRPr="008F4209">
        <w:rPr>
          <w:rFonts w:ascii="Arial" w:hAnsi="Arial" w:cs="Arial"/>
          <w:b/>
          <w:sz w:val="24"/>
          <w:szCs w:val="24"/>
        </w:rPr>
        <w:t>OEB Staff Interrogatories</w:t>
      </w:r>
      <w:r w:rsidR="005F5790">
        <w:rPr>
          <w:rFonts w:ascii="Arial" w:hAnsi="Arial" w:cs="Arial"/>
          <w:b/>
          <w:sz w:val="24"/>
          <w:szCs w:val="24"/>
        </w:rPr>
        <w:t xml:space="preserve"> – Supplemental IRs</w:t>
      </w:r>
    </w:p>
    <w:p w14:paraId="3C109DEC" w14:textId="211D1CF9" w:rsidR="00BB1FA2" w:rsidRDefault="005F5790" w:rsidP="008F4209">
      <w:pPr>
        <w:spacing w:after="0"/>
        <w:jc w:val="center"/>
        <w:rPr>
          <w:rFonts w:ascii="Arial" w:hAnsi="Arial" w:cs="Arial"/>
          <w:b/>
          <w:sz w:val="24"/>
          <w:szCs w:val="24"/>
        </w:rPr>
      </w:pPr>
      <w:r>
        <w:rPr>
          <w:rFonts w:ascii="Arial" w:hAnsi="Arial" w:cs="Arial"/>
          <w:b/>
          <w:sz w:val="24"/>
          <w:szCs w:val="24"/>
        </w:rPr>
        <w:t>April 8</w:t>
      </w:r>
      <w:r w:rsidR="005A3424" w:rsidRPr="006E41C5">
        <w:rPr>
          <w:rFonts w:ascii="Arial" w:hAnsi="Arial" w:cs="Arial"/>
          <w:b/>
          <w:sz w:val="24"/>
          <w:szCs w:val="24"/>
        </w:rPr>
        <w:t>,</w:t>
      </w:r>
      <w:r w:rsidR="005A3424">
        <w:rPr>
          <w:rFonts w:ascii="Arial" w:hAnsi="Arial" w:cs="Arial"/>
          <w:b/>
          <w:sz w:val="24"/>
          <w:szCs w:val="24"/>
        </w:rPr>
        <w:t xml:space="preserve"> 2019</w:t>
      </w:r>
    </w:p>
    <w:p w14:paraId="79FCFD31" w14:textId="04E8426A" w:rsidR="002E0FE0" w:rsidRDefault="002E0FE0" w:rsidP="008F4209">
      <w:pPr>
        <w:spacing w:after="0"/>
        <w:rPr>
          <w:rFonts w:ascii="Arial" w:hAnsi="Arial" w:cs="Arial"/>
          <w:sz w:val="24"/>
          <w:szCs w:val="24"/>
        </w:rPr>
      </w:pPr>
    </w:p>
    <w:p w14:paraId="6AD35EA9" w14:textId="77777777" w:rsidR="00752686" w:rsidRDefault="00752686" w:rsidP="00752686">
      <w:pPr>
        <w:pStyle w:val="Heading2"/>
        <w:numPr>
          <w:ilvl w:val="0"/>
          <w:numId w:val="0"/>
        </w:numPr>
      </w:pPr>
      <w:r>
        <w:t xml:space="preserve">2-Staff-31 </w:t>
      </w:r>
    </w:p>
    <w:p w14:paraId="49E37327" w14:textId="77777777" w:rsidR="00752686" w:rsidRPr="003F0028" w:rsidRDefault="00752686" w:rsidP="00752686">
      <w:pPr>
        <w:pStyle w:val="CommentText"/>
        <w:spacing w:after="0" w:line="276" w:lineRule="auto"/>
        <w:rPr>
          <w:rFonts w:ascii="Arial" w:hAnsi="Arial"/>
        </w:rPr>
      </w:pPr>
    </w:p>
    <w:p w14:paraId="35C57F74" w14:textId="77777777" w:rsidR="00752686" w:rsidRDefault="00752686" w:rsidP="00752686">
      <w:pPr>
        <w:pStyle w:val="CommentText"/>
        <w:spacing w:after="0" w:line="276" w:lineRule="auto"/>
        <w:rPr>
          <w:rFonts w:ascii="Arial" w:hAnsi="Arial" w:cs="Arial"/>
          <w:b/>
          <w:sz w:val="24"/>
          <w:szCs w:val="24"/>
        </w:rPr>
      </w:pPr>
      <w:r>
        <w:rPr>
          <w:rFonts w:ascii="Arial" w:hAnsi="Arial" w:cs="Arial"/>
          <w:b/>
          <w:sz w:val="24"/>
          <w:szCs w:val="24"/>
        </w:rPr>
        <w:t>Ref:</w:t>
      </w:r>
      <w:r>
        <w:rPr>
          <w:rFonts w:ascii="Arial" w:hAnsi="Arial" w:cs="Arial"/>
          <w:b/>
          <w:sz w:val="24"/>
          <w:szCs w:val="24"/>
        </w:rPr>
        <w:tab/>
        <w:t>Exhibit 2, DSP Table 5 and Table 24</w:t>
      </w:r>
    </w:p>
    <w:p w14:paraId="74B74846" w14:textId="77777777" w:rsidR="00752686" w:rsidRDefault="00752686" w:rsidP="00752686">
      <w:pPr>
        <w:pStyle w:val="CommentText"/>
        <w:spacing w:after="0" w:line="276" w:lineRule="auto"/>
        <w:rPr>
          <w:rFonts w:ascii="Arial" w:hAnsi="Arial" w:cs="Arial"/>
          <w:b/>
          <w:sz w:val="24"/>
          <w:szCs w:val="24"/>
        </w:rPr>
      </w:pPr>
      <w:r>
        <w:rPr>
          <w:rFonts w:ascii="Arial" w:hAnsi="Arial" w:cs="Arial"/>
          <w:b/>
          <w:sz w:val="24"/>
          <w:szCs w:val="24"/>
        </w:rPr>
        <w:tab/>
        <w:t>Excel Appendix 2-AB</w:t>
      </w:r>
    </w:p>
    <w:p w14:paraId="365C9C0B" w14:textId="77777777" w:rsidR="00752686" w:rsidRPr="003F0028" w:rsidRDefault="00752686" w:rsidP="00752686">
      <w:pPr>
        <w:pStyle w:val="CommentText"/>
        <w:spacing w:after="0" w:line="276" w:lineRule="auto"/>
        <w:rPr>
          <w:rFonts w:ascii="Arial" w:hAnsi="Arial"/>
          <w:b/>
        </w:rPr>
      </w:pPr>
    </w:p>
    <w:p w14:paraId="19DB1A28" w14:textId="77777777" w:rsidR="00752686" w:rsidRDefault="00752686" w:rsidP="00752686">
      <w:pPr>
        <w:autoSpaceDE w:val="0"/>
        <w:autoSpaceDN w:val="0"/>
        <w:adjustRightInd w:val="0"/>
        <w:rPr>
          <w:rFonts w:ascii="Arial" w:hAnsi="Arial" w:cs="Arial"/>
          <w:b/>
        </w:rPr>
      </w:pPr>
      <w:r>
        <w:rPr>
          <w:rFonts w:ascii="Arial" w:hAnsi="Arial" w:cs="Arial"/>
          <w:b/>
        </w:rPr>
        <w:t>Preamble:</w:t>
      </w:r>
    </w:p>
    <w:p w14:paraId="058720F0" w14:textId="77777777" w:rsidR="00752686" w:rsidRPr="003F0028" w:rsidRDefault="00752686" w:rsidP="00752686">
      <w:pPr>
        <w:autoSpaceDE w:val="0"/>
        <w:autoSpaceDN w:val="0"/>
        <w:adjustRightInd w:val="0"/>
        <w:rPr>
          <w:rFonts w:ascii="Arial" w:hAnsi="Arial"/>
          <w:sz w:val="20"/>
        </w:rPr>
      </w:pPr>
    </w:p>
    <w:p w14:paraId="2C0757B4" w14:textId="77777777" w:rsidR="00752686" w:rsidRDefault="00752686" w:rsidP="00752686">
      <w:pPr>
        <w:autoSpaceDE w:val="0"/>
        <w:autoSpaceDN w:val="0"/>
        <w:adjustRightInd w:val="0"/>
        <w:rPr>
          <w:rFonts w:ascii="Arial" w:hAnsi="Arial" w:cs="Arial"/>
        </w:rPr>
      </w:pPr>
      <w:r>
        <w:rPr>
          <w:rFonts w:ascii="Arial" w:hAnsi="Arial" w:cs="Arial"/>
        </w:rPr>
        <w:t xml:space="preserve">OEB staff has compared the revised November 26, 2018 version of Table 5 and Table 24 in the DSP to Excel Table 2-AB. There are still some very minor discrepancies between the two tables relating to Capital Expenditures, but these items do not require updating due to </w:t>
      </w:r>
      <w:r w:rsidRPr="00A12388">
        <w:rPr>
          <w:rFonts w:ascii="Arial" w:hAnsi="Arial" w:cs="Arial"/>
          <w:noProof/>
        </w:rPr>
        <w:t>small</w:t>
      </w:r>
      <w:r>
        <w:rPr>
          <w:rFonts w:ascii="Arial" w:hAnsi="Arial" w:cs="Arial"/>
        </w:rPr>
        <w:t xml:space="preserve"> size of the discrepancies. However, there are major discrepancies between the System O&amp;M in Table 5 and Table 24 of the DSP to the Excel Appendix 2-AB. </w:t>
      </w:r>
    </w:p>
    <w:p w14:paraId="30BC56EE" w14:textId="77777777" w:rsidR="00752686" w:rsidRPr="003F0028" w:rsidRDefault="00752686" w:rsidP="00752686">
      <w:pPr>
        <w:autoSpaceDE w:val="0"/>
        <w:autoSpaceDN w:val="0"/>
        <w:adjustRightInd w:val="0"/>
        <w:rPr>
          <w:rFonts w:ascii="Arial" w:hAnsi="Arial"/>
          <w:sz w:val="20"/>
        </w:rPr>
      </w:pPr>
    </w:p>
    <w:p w14:paraId="445FA753" w14:textId="77777777" w:rsidR="00752686" w:rsidRDefault="00752686" w:rsidP="00752686">
      <w:pPr>
        <w:autoSpaceDE w:val="0"/>
        <w:autoSpaceDN w:val="0"/>
        <w:adjustRightInd w:val="0"/>
        <w:rPr>
          <w:rFonts w:ascii="Arial" w:hAnsi="Arial" w:cs="Arial"/>
        </w:rPr>
      </w:pPr>
      <w:r>
        <w:rPr>
          <w:rFonts w:ascii="Arial" w:hAnsi="Arial" w:cs="Arial"/>
        </w:rPr>
        <w:t>For example, comparing Table 5 and Table 24 of the DSP to the Excel Appendix 2-AB:</w:t>
      </w:r>
    </w:p>
    <w:p w14:paraId="1CE50BB2" w14:textId="77777777" w:rsidR="00752686" w:rsidRPr="00752686" w:rsidRDefault="00752686" w:rsidP="00752686">
      <w:pPr>
        <w:pStyle w:val="NoSpacing"/>
        <w:rPr>
          <w:rFonts w:ascii="Arial" w:hAnsi="Arial" w:cs="Arial"/>
          <w:sz w:val="20"/>
        </w:rPr>
      </w:pPr>
      <w:r w:rsidRPr="00752686">
        <w:rPr>
          <w:rFonts w:ascii="Arial" w:hAnsi="Arial" w:cs="Arial"/>
          <w:sz w:val="20"/>
        </w:rPr>
        <w:t>2014 Actual System O&amp;M shows $744,700 in the DSP and $223,211 in the Excel Appendix 2-AB</w:t>
      </w:r>
    </w:p>
    <w:p w14:paraId="19FE661C" w14:textId="77777777" w:rsidR="00752686" w:rsidRPr="00752686" w:rsidRDefault="00752686" w:rsidP="00752686">
      <w:pPr>
        <w:pStyle w:val="NoSpacing"/>
        <w:rPr>
          <w:rFonts w:ascii="Arial" w:hAnsi="Arial" w:cs="Arial"/>
          <w:sz w:val="20"/>
        </w:rPr>
      </w:pPr>
      <w:r w:rsidRPr="00752686">
        <w:rPr>
          <w:rFonts w:ascii="Arial" w:hAnsi="Arial" w:cs="Arial"/>
          <w:sz w:val="20"/>
        </w:rPr>
        <w:t>2015 Actual System O&amp;M shows $730,600 in the DSP and $208,239 in the Excel Appendix 2-AB</w:t>
      </w:r>
    </w:p>
    <w:p w14:paraId="4FA00DB9" w14:textId="77777777" w:rsidR="00752686" w:rsidRPr="00752686" w:rsidRDefault="00752686" w:rsidP="00752686">
      <w:pPr>
        <w:pStyle w:val="NoSpacing"/>
        <w:rPr>
          <w:rFonts w:ascii="Arial" w:hAnsi="Arial" w:cs="Arial"/>
          <w:sz w:val="20"/>
        </w:rPr>
      </w:pPr>
      <w:r w:rsidRPr="00752686">
        <w:rPr>
          <w:rFonts w:ascii="Arial" w:hAnsi="Arial" w:cs="Arial"/>
          <w:sz w:val="20"/>
        </w:rPr>
        <w:t>2016 Actual System O&amp;M shows $744,000 in the DSP and $236,332 in the Excel Appendix 2-AB</w:t>
      </w:r>
    </w:p>
    <w:p w14:paraId="4A3B4BF9" w14:textId="77777777" w:rsidR="00752686" w:rsidRPr="00752686" w:rsidRDefault="00752686" w:rsidP="00752686">
      <w:pPr>
        <w:pStyle w:val="NoSpacing"/>
        <w:rPr>
          <w:rFonts w:ascii="Arial" w:hAnsi="Arial" w:cs="Arial"/>
          <w:sz w:val="20"/>
        </w:rPr>
      </w:pPr>
      <w:r w:rsidRPr="00752686">
        <w:rPr>
          <w:rFonts w:ascii="Arial" w:hAnsi="Arial" w:cs="Arial"/>
          <w:sz w:val="20"/>
        </w:rPr>
        <w:t>2017 Actual System O&amp;M shows $716,600 in the DSP and $237,909 in the Excel Appendix 2-AB</w:t>
      </w:r>
    </w:p>
    <w:p w14:paraId="5FDE5A29" w14:textId="77777777" w:rsidR="00752686" w:rsidRPr="00752686" w:rsidRDefault="00752686" w:rsidP="00752686">
      <w:pPr>
        <w:pStyle w:val="NoSpacing"/>
        <w:rPr>
          <w:rFonts w:ascii="Arial" w:hAnsi="Arial" w:cs="Arial"/>
          <w:sz w:val="20"/>
        </w:rPr>
      </w:pPr>
      <w:r w:rsidRPr="00752686">
        <w:rPr>
          <w:rFonts w:ascii="Arial" w:hAnsi="Arial" w:cs="Arial"/>
          <w:sz w:val="20"/>
        </w:rPr>
        <w:t>2018 Actual System O&amp;M shows $797,800 in the DSP and $247,400 in the Excel Appendix 2-AB</w:t>
      </w:r>
    </w:p>
    <w:p w14:paraId="7035B467" w14:textId="77777777" w:rsidR="00752686" w:rsidRPr="00752686" w:rsidRDefault="00752686" w:rsidP="00752686">
      <w:pPr>
        <w:pStyle w:val="NoSpacing"/>
        <w:rPr>
          <w:rFonts w:ascii="Arial" w:hAnsi="Arial" w:cs="Arial"/>
          <w:b/>
          <w:sz w:val="14"/>
        </w:rPr>
      </w:pPr>
    </w:p>
    <w:p w14:paraId="5756C7A1" w14:textId="77777777" w:rsidR="00752686" w:rsidRPr="00752686" w:rsidRDefault="00752686" w:rsidP="00752686">
      <w:pPr>
        <w:pStyle w:val="NoSpacing"/>
        <w:rPr>
          <w:rFonts w:ascii="Arial" w:hAnsi="Arial" w:cs="Arial"/>
          <w:sz w:val="20"/>
        </w:rPr>
      </w:pPr>
      <w:r w:rsidRPr="00752686">
        <w:rPr>
          <w:rFonts w:ascii="Arial" w:hAnsi="Arial" w:cs="Arial"/>
          <w:sz w:val="20"/>
        </w:rPr>
        <w:t>For example, comparing Table 24 of the DSP to the Excel Appendix 2-AB (Note that Table 5 of the DSP does not have “Plan” System O&amp;M for 2014 through 2018, only “Actual”):</w:t>
      </w:r>
    </w:p>
    <w:p w14:paraId="37356134" w14:textId="77777777" w:rsidR="00752686" w:rsidRPr="00752686" w:rsidRDefault="00752686" w:rsidP="00752686">
      <w:pPr>
        <w:pStyle w:val="NoSpacing"/>
        <w:rPr>
          <w:rFonts w:ascii="Arial" w:hAnsi="Arial" w:cs="Arial"/>
          <w:sz w:val="14"/>
        </w:rPr>
      </w:pPr>
    </w:p>
    <w:p w14:paraId="15DEC915" w14:textId="77777777" w:rsidR="00752686" w:rsidRPr="00752686" w:rsidRDefault="00752686" w:rsidP="00752686">
      <w:pPr>
        <w:pStyle w:val="NoSpacing"/>
        <w:rPr>
          <w:rFonts w:ascii="Arial" w:hAnsi="Arial" w:cs="Arial"/>
          <w:sz w:val="20"/>
        </w:rPr>
      </w:pPr>
      <w:r w:rsidRPr="00752686">
        <w:rPr>
          <w:rFonts w:ascii="Arial" w:hAnsi="Arial" w:cs="Arial"/>
          <w:sz w:val="20"/>
        </w:rPr>
        <w:t>2014 Plan System O&amp;M shows $0 in the DSP and $205,440 in the Excel Appendix 2-AB</w:t>
      </w:r>
    </w:p>
    <w:p w14:paraId="1ED4DF28" w14:textId="77777777" w:rsidR="00752686" w:rsidRPr="00752686" w:rsidRDefault="00752686" w:rsidP="00752686">
      <w:pPr>
        <w:pStyle w:val="NoSpacing"/>
        <w:rPr>
          <w:rFonts w:ascii="Arial" w:hAnsi="Arial" w:cs="Arial"/>
          <w:sz w:val="20"/>
        </w:rPr>
      </w:pPr>
      <w:r w:rsidRPr="00752686">
        <w:rPr>
          <w:rFonts w:ascii="Arial" w:hAnsi="Arial" w:cs="Arial"/>
          <w:sz w:val="20"/>
        </w:rPr>
        <w:t>2015 Plan System O&amp;M shows $0 in the DSP and $205,440 in the Excel Appendix 2-AB</w:t>
      </w:r>
    </w:p>
    <w:p w14:paraId="6781C1AB" w14:textId="77777777" w:rsidR="00752686" w:rsidRPr="00752686" w:rsidRDefault="00752686" w:rsidP="00752686">
      <w:pPr>
        <w:pStyle w:val="NoSpacing"/>
        <w:rPr>
          <w:rFonts w:ascii="Arial" w:hAnsi="Arial" w:cs="Arial"/>
          <w:sz w:val="20"/>
        </w:rPr>
      </w:pPr>
      <w:r w:rsidRPr="00752686">
        <w:rPr>
          <w:rFonts w:ascii="Arial" w:hAnsi="Arial" w:cs="Arial"/>
          <w:sz w:val="20"/>
        </w:rPr>
        <w:t>2016 Plan System O&amp;M shows $328,000 in the DSP and $205,440 in the Excel Appendix 2-AB</w:t>
      </w:r>
    </w:p>
    <w:p w14:paraId="77EFA98A" w14:textId="77777777" w:rsidR="00752686" w:rsidRPr="00752686" w:rsidRDefault="00752686" w:rsidP="00752686">
      <w:pPr>
        <w:pStyle w:val="NoSpacing"/>
        <w:rPr>
          <w:rFonts w:ascii="Arial" w:hAnsi="Arial" w:cs="Arial"/>
          <w:sz w:val="20"/>
        </w:rPr>
      </w:pPr>
      <w:r w:rsidRPr="00752686">
        <w:rPr>
          <w:rFonts w:ascii="Arial" w:hAnsi="Arial" w:cs="Arial"/>
          <w:sz w:val="20"/>
        </w:rPr>
        <w:t>2017 Plan System O&amp;M shows $321,200 in the DSP and $205,440 in the Excel Appendix 2-AB</w:t>
      </w:r>
    </w:p>
    <w:p w14:paraId="40480CF7" w14:textId="77777777" w:rsidR="00752686" w:rsidRPr="00752686" w:rsidRDefault="00752686" w:rsidP="00752686">
      <w:pPr>
        <w:pStyle w:val="NoSpacing"/>
        <w:rPr>
          <w:rFonts w:ascii="Arial" w:hAnsi="Arial" w:cs="Arial"/>
          <w:sz w:val="20"/>
        </w:rPr>
      </w:pPr>
      <w:r w:rsidRPr="00752686">
        <w:rPr>
          <w:rFonts w:ascii="Arial" w:hAnsi="Arial" w:cs="Arial"/>
          <w:sz w:val="20"/>
        </w:rPr>
        <w:t>2018 Plan System O&amp;M shows $327,600 in the DSP and $205,440 in the Excel Appendix 2-AB</w:t>
      </w:r>
    </w:p>
    <w:p w14:paraId="2726470F" w14:textId="77777777" w:rsidR="00752686" w:rsidRPr="00752686" w:rsidRDefault="00752686" w:rsidP="00752686">
      <w:pPr>
        <w:pStyle w:val="NoSpacing"/>
        <w:rPr>
          <w:rFonts w:ascii="Arial" w:hAnsi="Arial" w:cs="Arial"/>
          <w:sz w:val="20"/>
        </w:rPr>
      </w:pPr>
      <w:r w:rsidRPr="00752686">
        <w:rPr>
          <w:rFonts w:ascii="Arial" w:hAnsi="Arial" w:cs="Arial"/>
          <w:sz w:val="20"/>
        </w:rPr>
        <w:t>2019 Plan System O&amp;M shows $813,800 in the DSP and $244,370 in the Excel Appendix 2-AB</w:t>
      </w:r>
    </w:p>
    <w:p w14:paraId="0280D070" w14:textId="77777777" w:rsidR="00752686" w:rsidRPr="00752686" w:rsidRDefault="00752686" w:rsidP="00752686">
      <w:pPr>
        <w:pStyle w:val="NoSpacing"/>
        <w:rPr>
          <w:rFonts w:ascii="Arial" w:hAnsi="Arial" w:cs="Arial"/>
          <w:sz w:val="20"/>
        </w:rPr>
      </w:pPr>
      <w:r w:rsidRPr="00752686">
        <w:rPr>
          <w:rFonts w:ascii="Arial" w:hAnsi="Arial" w:cs="Arial"/>
          <w:sz w:val="20"/>
        </w:rPr>
        <w:t>2020 Plan System O&amp;M shows $805,800 in the DSP and blank in the Excel Appendix 2-AB</w:t>
      </w:r>
    </w:p>
    <w:p w14:paraId="22C8FED4" w14:textId="77777777" w:rsidR="00752686" w:rsidRPr="00752686" w:rsidRDefault="00752686" w:rsidP="00752686">
      <w:pPr>
        <w:pStyle w:val="NoSpacing"/>
        <w:rPr>
          <w:rFonts w:ascii="Arial" w:hAnsi="Arial" w:cs="Arial"/>
          <w:sz w:val="20"/>
        </w:rPr>
      </w:pPr>
      <w:r w:rsidRPr="00752686">
        <w:rPr>
          <w:rFonts w:ascii="Arial" w:hAnsi="Arial" w:cs="Arial"/>
          <w:sz w:val="20"/>
        </w:rPr>
        <w:t>2021 Plan System O&amp;M shows $809,800 in the DSP and blank in the Excel Appendix 2-AB</w:t>
      </w:r>
    </w:p>
    <w:p w14:paraId="13E4CFF4" w14:textId="77777777" w:rsidR="00752686" w:rsidRPr="00752686" w:rsidRDefault="00752686" w:rsidP="00752686">
      <w:pPr>
        <w:pStyle w:val="NoSpacing"/>
        <w:rPr>
          <w:rFonts w:ascii="Arial" w:hAnsi="Arial" w:cs="Arial"/>
          <w:sz w:val="20"/>
        </w:rPr>
      </w:pPr>
      <w:r w:rsidRPr="00752686">
        <w:rPr>
          <w:rFonts w:ascii="Arial" w:hAnsi="Arial" w:cs="Arial"/>
          <w:sz w:val="20"/>
        </w:rPr>
        <w:t>2022 Plan System O&amp;M shows $807,800 in the DSP and blank in the Excel Appendix 2-AB</w:t>
      </w:r>
    </w:p>
    <w:p w14:paraId="4C0A9251" w14:textId="77777777" w:rsidR="00752686" w:rsidRPr="00752686" w:rsidRDefault="00752686" w:rsidP="00752686">
      <w:pPr>
        <w:pStyle w:val="NoSpacing"/>
        <w:rPr>
          <w:rFonts w:ascii="Arial" w:hAnsi="Arial" w:cs="Arial"/>
          <w:b/>
          <w:sz w:val="20"/>
        </w:rPr>
      </w:pPr>
      <w:r w:rsidRPr="00752686">
        <w:rPr>
          <w:rFonts w:ascii="Arial" w:hAnsi="Arial" w:cs="Arial"/>
          <w:sz w:val="20"/>
        </w:rPr>
        <w:t>2023 Plan System O&amp;M shows $808,800 in the DSP and blank in the Excel Appendix 2-AB</w:t>
      </w:r>
    </w:p>
    <w:p w14:paraId="4C9BFCA0" w14:textId="77777777" w:rsidR="00752686" w:rsidRPr="003F0028" w:rsidRDefault="00752686" w:rsidP="00752686">
      <w:pPr>
        <w:pStyle w:val="CommentText"/>
        <w:spacing w:after="0" w:line="276" w:lineRule="auto"/>
        <w:rPr>
          <w:rFonts w:ascii="Arial" w:hAnsi="Arial"/>
          <w:color w:val="00B050"/>
        </w:rPr>
      </w:pPr>
    </w:p>
    <w:p w14:paraId="17375FBE" w14:textId="77777777" w:rsidR="00752686" w:rsidRDefault="00752686" w:rsidP="00752686">
      <w:pPr>
        <w:autoSpaceDE w:val="0"/>
        <w:autoSpaceDN w:val="0"/>
        <w:adjustRightInd w:val="0"/>
        <w:rPr>
          <w:rFonts w:ascii="Arial" w:hAnsi="Arial" w:cs="Arial"/>
          <w:b/>
        </w:rPr>
      </w:pPr>
      <w:r>
        <w:rPr>
          <w:rFonts w:ascii="Arial" w:hAnsi="Arial" w:cs="Arial"/>
          <w:b/>
        </w:rPr>
        <w:t>Question:</w:t>
      </w:r>
    </w:p>
    <w:p w14:paraId="4260B8CA" w14:textId="77777777" w:rsidR="00752686" w:rsidRPr="003F0028" w:rsidRDefault="00752686" w:rsidP="00752686">
      <w:pPr>
        <w:autoSpaceDE w:val="0"/>
        <w:autoSpaceDN w:val="0"/>
        <w:adjustRightInd w:val="0"/>
        <w:rPr>
          <w:rFonts w:ascii="Arial" w:hAnsi="Arial"/>
          <w:b/>
          <w:sz w:val="20"/>
        </w:rPr>
      </w:pPr>
    </w:p>
    <w:p w14:paraId="139E0323" w14:textId="77777777" w:rsidR="00752686" w:rsidRDefault="00752686" w:rsidP="00E2382A">
      <w:pPr>
        <w:pStyle w:val="ListParagraph"/>
        <w:numPr>
          <w:ilvl w:val="0"/>
          <w:numId w:val="34"/>
        </w:numPr>
        <w:autoSpaceDE w:val="0"/>
        <w:autoSpaceDN w:val="0"/>
        <w:adjustRightInd w:val="0"/>
        <w:spacing w:after="0"/>
        <w:rPr>
          <w:rFonts w:ascii="Arial" w:hAnsi="Arial" w:cs="Arial"/>
          <w:sz w:val="24"/>
          <w:szCs w:val="24"/>
        </w:rPr>
      </w:pPr>
      <w:r>
        <w:rPr>
          <w:rFonts w:ascii="Arial" w:hAnsi="Arial" w:cs="Arial"/>
          <w:sz w:val="24"/>
          <w:szCs w:val="24"/>
        </w:rPr>
        <w:t xml:space="preserve">Please resolve the </w:t>
      </w:r>
      <w:r w:rsidRPr="00A12388">
        <w:rPr>
          <w:rFonts w:ascii="Arial" w:hAnsi="Arial" w:cs="Arial"/>
          <w:noProof/>
          <w:sz w:val="24"/>
          <w:szCs w:val="24"/>
        </w:rPr>
        <w:t>above</w:t>
      </w:r>
      <w:r>
        <w:rPr>
          <w:rFonts w:ascii="Arial" w:hAnsi="Arial" w:cs="Arial"/>
          <w:noProof/>
          <w:sz w:val="24"/>
          <w:szCs w:val="24"/>
        </w:rPr>
        <w:t>-</w:t>
      </w:r>
      <w:r w:rsidRPr="00A12388">
        <w:rPr>
          <w:rFonts w:ascii="Arial" w:hAnsi="Arial" w:cs="Arial"/>
          <w:noProof/>
          <w:sz w:val="24"/>
          <w:szCs w:val="24"/>
        </w:rPr>
        <w:t>noted</w:t>
      </w:r>
      <w:r>
        <w:rPr>
          <w:rFonts w:ascii="Arial" w:hAnsi="Arial" w:cs="Arial"/>
          <w:sz w:val="24"/>
          <w:szCs w:val="24"/>
        </w:rPr>
        <w:t xml:space="preserve"> discrepancies.</w:t>
      </w:r>
    </w:p>
    <w:p w14:paraId="2FEB22D1" w14:textId="77777777" w:rsidR="00752686" w:rsidRPr="003F0028" w:rsidRDefault="00752686" w:rsidP="00752686">
      <w:pPr>
        <w:pStyle w:val="ListParagraph"/>
        <w:autoSpaceDE w:val="0"/>
        <w:autoSpaceDN w:val="0"/>
        <w:adjustRightInd w:val="0"/>
        <w:spacing w:after="0"/>
        <w:rPr>
          <w:rFonts w:ascii="Arial" w:hAnsi="Arial"/>
          <w:sz w:val="20"/>
        </w:rPr>
      </w:pPr>
    </w:p>
    <w:p w14:paraId="1DC867F5" w14:textId="77777777" w:rsidR="00752686" w:rsidRDefault="00752686" w:rsidP="00752686">
      <w:pPr>
        <w:rPr>
          <w:rFonts w:ascii="Arial" w:hAnsi="Arial" w:cs="Arial"/>
          <w:color w:val="0070C0"/>
        </w:rPr>
      </w:pPr>
      <w:r>
        <w:rPr>
          <w:rFonts w:ascii="Arial" w:hAnsi="Arial" w:cs="Arial"/>
          <w:color w:val="0070C0"/>
        </w:rPr>
        <w:t xml:space="preserve">Responses: </w:t>
      </w:r>
    </w:p>
    <w:p w14:paraId="01693EE7" w14:textId="4E0F3F4D" w:rsidR="00752686" w:rsidRDefault="00752686" w:rsidP="00752686">
      <w:pPr>
        <w:jc w:val="both"/>
        <w:rPr>
          <w:rFonts w:ascii="Arial" w:hAnsi="Arial" w:cs="Arial"/>
          <w:color w:val="0070C0"/>
        </w:rPr>
      </w:pPr>
      <w:r>
        <w:rPr>
          <w:rFonts w:ascii="Arial" w:hAnsi="Arial" w:cs="Arial"/>
          <w:color w:val="0070C0"/>
        </w:rPr>
        <w:t xml:space="preserve">CPUC provides a </w:t>
      </w:r>
      <w:r w:rsidR="00A27B94">
        <w:rPr>
          <w:rFonts w:ascii="Arial" w:hAnsi="Arial" w:cs="Arial"/>
          <w:color w:val="0070C0"/>
        </w:rPr>
        <w:t>revised version Appendices 2-AA and 2-AB</w:t>
      </w:r>
      <w:r>
        <w:rPr>
          <w:rFonts w:ascii="Arial" w:hAnsi="Arial" w:cs="Arial"/>
          <w:color w:val="0070C0"/>
        </w:rPr>
        <w:t xml:space="preserve"> that are </w:t>
      </w:r>
      <w:r w:rsidRPr="00A12388">
        <w:rPr>
          <w:rFonts w:ascii="Arial" w:hAnsi="Arial" w:cs="Arial"/>
          <w:noProof/>
          <w:color w:val="0070C0"/>
        </w:rPr>
        <w:t>pa</w:t>
      </w:r>
      <w:r>
        <w:rPr>
          <w:rFonts w:ascii="Arial" w:hAnsi="Arial" w:cs="Arial"/>
          <w:noProof/>
          <w:color w:val="0070C0"/>
        </w:rPr>
        <w:t>r</w:t>
      </w:r>
      <w:r w:rsidRPr="00A12388">
        <w:rPr>
          <w:rFonts w:ascii="Arial" w:hAnsi="Arial" w:cs="Arial"/>
          <w:noProof/>
          <w:color w:val="0070C0"/>
        </w:rPr>
        <w:t>t</w:t>
      </w:r>
      <w:r>
        <w:rPr>
          <w:rFonts w:ascii="Arial" w:hAnsi="Arial" w:cs="Arial"/>
          <w:color w:val="0070C0"/>
        </w:rPr>
        <w:t xml:space="preserve"> of its DSP </w:t>
      </w:r>
      <w:r w:rsidR="00A27B94">
        <w:rPr>
          <w:rFonts w:ascii="Arial" w:hAnsi="Arial" w:cs="Arial"/>
          <w:color w:val="0070C0"/>
        </w:rPr>
        <w:t>in 2.0 VECC-3 (next IR)</w:t>
      </w:r>
      <w:r>
        <w:rPr>
          <w:rFonts w:ascii="Arial" w:hAnsi="Arial" w:cs="Arial"/>
          <w:color w:val="0070C0"/>
        </w:rPr>
        <w:t>.</w:t>
      </w:r>
    </w:p>
    <w:p w14:paraId="116C72DC" w14:textId="5961385A" w:rsidR="00752686" w:rsidRDefault="00752686" w:rsidP="00752686">
      <w:pPr>
        <w:pStyle w:val="ListParagraph"/>
        <w:spacing w:after="0"/>
        <w:ind w:left="0"/>
        <w:jc w:val="both"/>
        <w:rPr>
          <w:rFonts w:ascii="Arial" w:eastAsia="Times New Roman" w:hAnsi="Arial" w:cs="Arial"/>
          <w:color w:val="0070C0"/>
          <w:sz w:val="24"/>
          <w:szCs w:val="24"/>
        </w:rPr>
      </w:pPr>
      <w:r>
        <w:rPr>
          <w:rFonts w:ascii="Arial" w:eastAsia="Times New Roman" w:hAnsi="Arial" w:cs="Arial"/>
          <w:color w:val="0070C0"/>
          <w:sz w:val="24"/>
          <w:szCs w:val="24"/>
        </w:rPr>
        <w:t>Over the 2014-2018 period, the CPUC experienced an annual increase of 3%. O&amp;M costs are driven by the need to maintain the system’s service and its assets. CPUC projects its forecast O&amp;M expenditures to be in line with historical performance.</w:t>
      </w:r>
      <w:r w:rsidR="00A27B94">
        <w:rPr>
          <w:rFonts w:ascii="Arial" w:eastAsia="Times New Roman" w:hAnsi="Arial" w:cs="Arial"/>
          <w:color w:val="0070C0"/>
          <w:sz w:val="24"/>
          <w:szCs w:val="24"/>
        </w:rPr>
        <w:t xml:space="preserve"> </w:t>
      </w:r>
      <w:r w:rsidR="001321EF">
        <w:rPr>
          <w:rFonts w:ascii="Arial" w:eastAsia="Times New Roman" w:hAnsi="Arial" w:cs="Arial"/>
          <w:color w:val="0070C0"/>
          <w:sz w:val="24"/>
          <w:szCs w:val="24"/>
        </w:rPr>
        <w:t xml:space="preserve">Please see our response to 4-Staff-44 for further information on the application of inflation. </w:t>
      </w:r>
    </w:p>
    <w:p w14:paraId="087F1C98" w14:textId="77777777" w:rsidR="00752686" w:rsidRPr="00AA4B12" w:rsidRDefault="00752686" w:rsidP="00752686">
      <w:pPr>
        <w:pStyle w:val="CommentText"/>
        <w:spacing w:after="0" w:line="276" w:lineRule="auto"/>
        <w:rPr>
          <w:rFonts w:ascii="Arial" w:hAnsi="Arial" w:cs="Arial"/>
          <w:sz w:val="24"/>
          <w:szCs w:val="24"/>
        </w:rPr>
      </w:pPr>
      <w:r>
        <w:rPr>
          <w:rFonts w:ascii="Arial" w:eastAsia="Times New Roman" w:hAnsi="Arial" w:cs="Arial"/>
          <w:color w:val="0070C0"/>
          <w:sz w:val="24"/>
          <w:szCs w:val="24"/>
        </w:rPr>
        <w:br w:type="page"/>
      </w:r>
    </w:p>
    <w:p w14:paraId="546EC441" w14:textId="7A92CC03" w:rsidR="00BB7E37" w:rsidRDefault="00BB7E37" w:rsidP="00BB7E37">
      <w:pPr>
        <w:widowControl w:val="0"/>
        <w:tabs>
          <w:tab w:val="left" w:pos="625"/>
        </w:tabs>
        <w:spacing w:after="0"/>
        <w:ind w:right="360"/>
        <w:rPr>
          <w:rFonts w:ascii="Arial" w:eastAsia="Arial" w:hAnsi="Arial" w:cs="Arial"/>
          <w:b/>
          <w:bCs/>
          <w:sz w:val="24"/>
          <w:szCs w:val="24"/>
          <w:lang w:val="en-US"/>
        </w:rPr>
      </w:pPr>
      <w:r>
        <w:rPr>
          <w:rFonts w:ascii="Arial" w:eastAsia="Arial" w:hAnsi="Arial" w:cs="Arial"/>
          <w:b/>
          <w:bCs/>
          <w:sz w:val="24"/>
          <w:szCs w:val="24"/>
          <w:lang w:val="en-US"/>
        </w:rPr>
        <w:lastRenderedPageBreak/>
        <w:t>2.0</w:t>
      </w:r>
      <w:r>
        <w:rPr>
          <w:rFonts w:ascii="Arial" w:eastAsia="Arial" w:hAnsi="Arial" w:cs="Arial"/>
          <w:b/>
          <w:bCs/>
          <w:sz w:val="24"/>
          <w:szCs w:val="24"/>
          <w:lang w:val="en-US"/>
        </w:rPr>
        <w:tab/>
        <w:t>RATE BASE (EXHIBIT 2)</w:t>
      </w:r>
    </w:p>
    <w:p w14:paraId="386BE467" w14:textId="77777777" w:rsidR="00BB7E37" w:rsidRDefault="00BB7E37" w:rsidP="00BB7E37">
      <w:pPr>
        <w:widowControl w:val="0"/>
        <w:tabs>
          <w:tab w:val="left" w:pos="567"/>
        </w:tabs>
        <w:spacing w:after="0"/>
        <w:ind w:left="1134" w:right="360" w:hanging="540"/>
        <w:jc w:val="both"/>
        <w:rPr>
          <w:rFonts w:ascii="Arial" w:eastAsia="Arial" w:hAnsi="Arial" w:cs="Arial"/>
          <w:sz w:val="24"/>
          <w:szCs w:val="24"/>
          <w:lang w:val="en-US"/>
        </w:rPr>
      </w:pPr>
    </w:p>
    <w:p w14:paraId="1E2627C0" w14:textId="77777777" w:rsidR="00BB7E37" w:rsidRDefault="00BB7E37" w:rsidP="00BB7E37">
      <w:pPr>
        <w:widowControl w:val="0"/>
        <w:tabs>
          <w:tab w:val="left" w:pos="625"/>
        </w:tabs>
        <w:spacing w:after="0"/>
        <w:ind w:left="624" w:right="357"/>
        <w:jc w:val="both"/>
        <w:rPr>
          <w:rFonts w:ascii="Arial" w:eastAsia="Arial" w:hAnsi="Arial" w:cs="Arial"/>
          <w:sz w:val="24"/>
          <w:szCs w:val="24"/>
          <w:lang w:val="en-US"/>
        </w:rPr>
      </w:pPr>
      <w:r>
        <w:rPr>
          <w:rFonts w:ascii="Arial" w:eastAsia="Arial" w:hAnsi="Arial" w:cs="Arial"/>
          <w:sz w:val="24"/>
          <w:szCs w:val="24"/>
          <w:lang w:val="en-US"/>
        </w:rPr>
        <w:t>2.0-VECC-3</w:t>
      </w:r>
    </w:p>
    <w:p w14:paraId="38CFAC8B" w14:textId="77777777" w:rsidR="00BB7E37" w:rsidRDefault="00BB7E37" w:rsidP="00BB7E37">
      <w:pPr>
        <w:widowControl w:val="0"/>
        <w:tabs>
          <w:tab w:val="left" w:pos="625"/>
        </w:tabs>
        <w:spacing w:after="0"/>
        <w:ind w:left="624" w:right="357"/>
        <w:jc w:val="both"/>
        <w:rPr>
          <w:rFonts w:ascii="Arial" w:eastAsia="Arial" w:hAnsi="Arial" w:cs="Arial"/>
          <w:sz w:val="24"/>
          <w:szCs w:val="24"/>
          <w:lang w:val="en-US"/>
        </w:rPr>
      </w:pPr>
      <w:r>
        <w:rPr>
          <w:rFonts w:ascii="Arial" w:eastAsia="Arial" w:hAnsi="Arial" w:cs="Arial"/>
          <w:sz w:val="24"/>
          <w:szCs w:val="24"/>
          <w:lang w:val="en-US"/>
        </w:rPr>
        <w:t>Reference:  Appendix 2-AA and 2-AB</w:t>
      </w:r>
    </w:p>
    <w:p w14:paraId="121B2864" w14:textId="77777777" w:rsidR="00BB7E37" w:rsidRDefault="00BB7E37" w:rsidP="00BB7E37">
      <w:pPr>
        <w:widowControl w:val="0"/>
        <w:tabs>
          <w:tab w:val="left" w:pos="625"/>
        </w:tabs>
        <w:spacing w:after="0"/>
        <w:ind w:left="624" w:right="357"/>
        <w:jc w:val="both"/>
        <w:rPr>
          <w:rFonts w:ascii="Arial" w:eastAsia="Arial" w:hAnsi="Arial" w:cs="Arial"/>
          <w:sz w:val="24"/>
          <w:szCs w:val="24"/>
          <w:lang w:val="en-US"/>
        </w:rPr>
      </w:pPr>
    </w:p>
    <w:p w14:paraId="36E93A47" w14:textId="41A06602" w:rsidR="00BB7E37" w:rsidRDefault="00BB7E37" w:rsidP="00E2382A">
      <w:pPr>
        <w:pStyle w:val="ListParagraph"/>
        <w:widowControl w:val="0"/>
        <w:numPr>
          <w:ilvl w:val="0"/>
          <w:numId w:val="35"/>
        </w:numPr>
        <w:tabs>
          <w:tab w:val="left" w:pos="625"/>
        </w:tabs>
        <w:spacing w:after="0"/>
        <w:ind w:right="357"/>
        <w:jc w:val="both"/>
        <w:rPr>
          <w:rFonts w:ascii="Arial" w:eastAsia="Arial" w:hAnsi="Arial" w:cs="Arial"/>
          <w:sz w:val="24"/>
          <w:szCs w:val="24"/>
          <w:lang w:val="en-US"/>
        </w:rPr>
      </w:pPr>
      <w:r w:rsidRPr="0065509F">
        <w:rPr>
          <w:rFonts w:ascii="Arial" w:eastAsia="Arial" w:hAnsi="Arial" w:cs="Arial"/>
          <w:sz w:val="24"/>
          <w:szCs w:val="24"/>
          <w:lang w:val="en-US"/>
        </w:rPr>
        <w:t>Please update the referenced tables for 2018 actual financial results.</w:t>
      </w:r>
    </w:p>
    <w:p w14:paraId="3E099691" w14:textId="77777777" w:rsidR="003B7606" w:rsidRPr="00E55CF7" w:rsidRDefault="003B7606" w:rsidP="003B7606">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10E200E9" w14:textId="588AAB0D" w:rsidR="003B7606" w:rsidRDefault="003D5FA1" w:rsidP="003D5FA1">
      <w:pPr>
        <w:pStyle w:val="ListParagraph"/>
        <w:numPr>
          <w:ilvl w:val="0"/>
          <w:numId w:val="38"/>
        </w:numPr>
        <w:spacing w:after="0"/>
        <w:rPr>
          <w:rFonts w:ascii="Arial" w:eastAsia="Times New Roman" w:hAnsi="Arial" w:cs="Arial"/>
          <w:color w:val="0070C0"/>
          <w:sz w:val="24"/>
          <w:szCs w:val="24"/>
        </w:rPr>
      </w:pPr>
      <w:r>
        <w:rPr>
          <w:rFonts w:ascii="Arial" w:eastAsia="Times New Roman" w:hAnsi="Arial" w:cs="Arial"/>
          <w:color w:val="0070C0"/>
          <w:sz w:val="24"/>
          <w:szCs w:val="24"/>
        </w:rPr>
        <w:t>See tables below</w:t>
      </w:r>
    </w:p>
    <w:p w14:paraId="5AD0F201" w14:textId="20F46A60" w:rsidR="003D5FA1" w:rsidRDefault="003D5FA1" w:rsidP="003D5FA1">
      <w:pPr>
        <w:spacing w:after="0"/>
        <w:rPr>
          <w:rFonts w:ascii="Arial" w:eastAsia="Times New Roman" w:hAnsi="Arial" w:cs="Arial"/>
          <w:color w:val="0070C0"/>
          <w:sz w:val="24"/>
          <w:szCs w:val="24"/>
        </w:rPr>
      </w:pPr>
    </w:p>
    <w:p w14:paraId="5BA1A802" w14:textId="63B74B56" w:rsidR="003D5FA1" w:rsidRDefault="003D5FA1" w:rsidP="003D5FA1">
      <w:pPr>
        <w:spacing w:after="0"/>
        <w:rPr>
          <w:rFonts w:ascii="Arial" w:eastAsia="Times New Roman" w:hAnsi="Arial" w:cs="Arial"/>
          <w:color w:val="0070C0"/>
          <w:sz w:val="24"/>
          <w:szCs w:val="24"/>
        </w:rPr>
      </w:pPr>
    </w:p>
    <w:p w14:paraId="46AE28DF" w14:textId="77777777" w:rsidR="003D5FA1" w:rsidRDefault="003D5FA1" w:rsidP="003D5FA1">
      <w:pPr>
        <w:spacing w:after="0" w:line="240" w:lineRule="auto"/>
        <w:jc w:val="center"/>
        <w:rPr>
          <w:rFonts w:ascii="Arial Narrow" w:eastAsia="Times New Roman" w:hAnsi="Arial Narrow" w:cs="Arial"/>
          <w:b/>
          <w:bCs/>
          <w:sz w:val="28"/>
          <w:szCs w:val="28"/>
          <w:lang w:eastAsia="en-CA"/>
        </w:rPr>
        <w:sectPr w:rsidR="003D5FA1" w:rsidSect="00A225BC">
          <w:headerReference w:type="first" r:id="rId8"/>
          <w:footerReference w:type="first" r:id="rId9"/>
          <w:pgSz w:w="12240" w:h="15840"/>
          <w:pgMar w:top="1440" w:right="1440" w:bottom="1440" w:left="1440" w:header="720" w:footer="720" w:gutter="0"/>
          <w:pgNumType w:start="2"/>
          <w:cols w:space="720"/>
          <w:titlePg/>
          <w:docGrid w:linePitch="360"/>
        </w:sectPr>
      </w:pPr>
    </w:p>
    <w:tbl>
      <w:tblPr>
        <w:tblW w:w="4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3631"/>
        <w:gridCol w:w="727"/>
        <w:gridCol w:w="484"/>
        <w:gridCol w:w="695"/>
        <w:gridCol w:w="632"/>
        <w:gridCol w:w="701"/>
        <w:gridCol w:w="701"/>
        <w:gridCol w:w="9"/>
        <w:gridCol w:w="627"/>
        <w:gridCol w:w="7"/>
        <w:gridCol w:w="627"/>
        <w:gridCol w:w="9"/>
        <w:gridCol w:w="690"/>
        <w:gridCol w:w="8"/>
        <w:gridCol w:w="627"/>
      </w:tblGrid>
      <w:tr w:rsidR="003D5FA1" w:rsidRPr="003D5FA1" w14:paraId="0AED0626" w14:textId="77777777" w:rsidTr="003D5FA1">
        <w:trPr>
          <w:trHeight w:val="238"/>
        </w:trPr>
        <w:tc>
          <w:tcPr>
            <w:tcW w:w="3867" w:type="pct"/>
            <w:gridSpan w:val="9"/>
            <w:shd w:val="clear" w:color="auto" w:fill="auto"/>
            <w:noWrap/>
            <w:vAlign w:val="center"/>
            <w:hideMark/>
          </w:tcPr>
          <w:p w14:paraId="4975573B" w14:textId="7CBF019F" w:rsidR="003D5FA1" w:rsidRPr="003D5FA1" w:rsidRDefault="003D5FA1" w:rsidP="003D5FA1">
            <w:pPr>
              <w:pStyle w:val="NoSpacing"/>
              <w:jc w:val="center"/>
              <w:rPr>
                <w:rFonts w:ascii="Arial Narrow" w:hAnsi="Arial Narrow"/>
                <w:sz w:val="22"/>
                <w:szCs w:val="16"/>
                <w:lang w:eastAsia="en-CA"/>
              </w:rPr>
            </w:pPr>
            <w:r w:rsidRPr="003D5FA1">
              <w:rPr>
                <w:rFonts w:ascii="Arial Narrow" w:hAnsi="Arial Narrow"/>
                <w:sz w:val="22"/>
                <w:szCs w:val="16"/>
                <w:lang w:eastAsia="en-CA"/>
              </w:rPr>
              <w:lastRenderedPageBreak/>
              <w:t>Appendix 2-AA</w:t>
            </w:r>
          </w:p>
        </w:tc>
        <w:tc>
          <w:tcPr>
            <w:tcW w:w="276" w:type="pct"/>
            <w:gridSpan w:val="2"/>
            <w:shd w:val="clear" w:color="auto" w:fill="auto"/>
            <w:noWrap/>
            <w:vAlign w:val="center"/>
            <w:hideMark/>
          </w:tcPr>
          <w:p w14:paraId="35A03C17" w14:textId="77777777" w:rsidR="003D5FA1" w:rsidRPr="003D5FA1" w:rsidRDefault="003D5FA1" w:rsidP="003D5FA1">
            <w:pPr>
              <w:pStyle w:val="NoSpacing"/>
              <w:jc w:val="center"/>
              <w:rPr>
                <w:rFonts w:ascii="Arial Narrow" w:hAnsi="Arial Narrow"/>
                <w:sz w:val="22"/>
                <w:szCs w:val="16"/>
                <w:lang w:eastAsia="en-CA"/>
              </w:rPr>
            </w:pPr>
          </w:p>
        </w:tc>
        <w:tc>
          <w:tcPr>
            <w:tcW w:w="276" w:type="pct"/>
            <w:gridSpan w:val="2"/>
            <w:shd w:val="clear" w:color="auto" w:fill="auto"/>
            <w:noWrap/>
            <w:vAlign w:val="center"/>
            <w:hideMark/>
          </w:tcPr>
          <w:p w14:paraId="5F2E0709" w14:textId="77777777" w:rsidR="003D5FA1" w:rsidRPr="003D5FA1" w:rsidRDefault="003D5FA1" w:rsidP="003D5FA1">
            <w:pPr>
              <w:pStyle w:val="NoSpacing"/>
              <w:jc w:val="center"/>
              <w:rPr>
                <w:rFonts w:ascii="Arial Narrow" w:hAnsi="Arial Narrow" w:cs="Times New Roman"/>
                <w:sz w:val="22"/>
                <w:szCs w:val="16"/>
                <w:lang w:eastAsia="en-CA"/>
              </w:rPr>
            </w:pPr>
          </w:p>
        </w:tc>
        <w:tc>
          <w:tcPr>
            <w:tcW w:w="304" w:type="pct"/>
            <w:gridSpan w:val="2"/>
            <w:shd w:val="clear" w:color="auto" w:fill="auto"/>
            <w:noWrap/>
            <w:vAlign w:val="center"/>
            <w:hideMark/>
          </w:tcPr>
          <w:p w14:paraId="03D0C575" w14:textId="77777777" w:rsidR="003D5FA1" w:rsidRPr="003D5FA1" w:rsidRDefault="003D5FA1" w:rsidP="003D5FA1">
            <w:pPr>
              <w:pStyle w:val="NoSpacing"/>
              <w:jc w:val="center"/>
              <w:rPr>
                <w:rFonts w:ascii="Arial Narrow" w:hAnsi="Arial Narrow" w:cs="Times New Roman"/>
                <w:sz w:val="22"/>
                <w:szCs w:val="16"/>
                <w:lang w:eastAsia="en-CA"/>
              </w:rPr>
            </w:pPr>
          </w:p>
        </w:tc>
        <w:tc>
          <w:tcPr>
            <w:tcW w:w="277" w:type="pct"/>
            <w:shd w:val="clear" w:color="auto" w:fill="auto"/>
            <w:noWrap/>
            <w:vAlign w:val="center"/>
            <w:hideMark/>
          </w:tcPr>
          <w:p w14:paraId="7B33BD2B" w14:textId="77777777" w:rsidR="003D5FA1" w:rsidRPr="003D5FA1" w:rsidRDefault="003D5FA1" w:rsidP="003D5FA1">
            <w:pPr>
              <w:pStyle w:val="NoSpacing"/>
              <w:jc w:val="center"/>
              <w:rPr>
                <w:rFonts w:ascii="Arial Narrow" w:hAnsi="Arial Narrow" w:cs="Times New Roman"/>
                <w:sz w:val="22"/>
                <w:szCs w:val="16"/>
                <w:lang w:eastAsia="en-CA"/>
              </w:rPr>
            </w:pPr>
          </w:p>
        </w:tc>
      </w:tr>
      <w:tr w:rsidR="003D5FA1" w:rsidRPr="003D5FA1" w14:paraId="0C6C2F21" w14:textId="77777777" w:rsidTr="003D5FA1">
        <w:trPr>
          <w:trHeight w:val="238"/>
        </w:trPr>
        <w:tc>
          <w:tcPr>
            <w:tcW w:w="3867" w:type="pct"/>
            <w:gridSpan w:val="9"/>
            <w:shd w:val="clear" w:color="auto" w:fill="auto"/>
            <w:noWrap/>
            <w:vAlign w:val="center"/>
            <w:hideMark/>
          </w:tcPr>
          <w:p w14:paraId="42118618" w14:textId="77777777" w:rsidR="003D5FA1" w:rsidRPr="003D5FA1" w:rsidRDefault="003D5FA1" w:rsidP="003D5FA1">
            <w:pPr>
              <w:pStyle w:val="NoSpacing"/>
              <w:jc w:val="center"/>
              <w:rPr>
                <w:rFonts w:ascii="Arial Narrow" w:hAnsi="Arial Narrow"/>
                <w:sz w:val="22"/>
                <w:szCs w:val="16"/>
                <w:lang w:eastAsia="en-CA"/>
              </w:rPr>
            </w:pPr>
            <w:r w:rsidRPr="003D5FA1">
              <w:rPr>
                <w:rFonts w:ascii="Arial Narrow" w:hAnsi="Arial Narrow"/>
                <w:sz w:val="22"/>
                <w:szCs w:val="16"/>
                <w:lang w:eastAsia="en-CA"/>
              </w:rPr>
              <w:t>Capital Projects Table</w:t>
            </w:r>
          </w:p>
        </w:tc>
        <w:tc>
          <w:tcPr>
            <w:tcW w:w="276" w:type="pct"/>
            <w:gridSpan w:val="2"/>
            <w:shd w:val="clear" w:color="auto" w:fill="auto"/>
            <w:noWrap/>
            <w:vAlign w:val="center"/>
            <w:hideMark/>
          </w:tcPr>
          <w:p w14:paraId="35521997" w14:textId="77777777" w:rsidR="003D5FA1" w:rsidRPr="003D5FA1" w:rsidRDefault="003D5FA1" w:rsidP="003D5FA1">
            <w:pPr>
              <w:pStyle w:val="NoSpacing"/>
              <w:jc w:val="center"/>
              <w:rPr>
                <w:rFonts w:ascii="Arial Narrow" w:hAnsi="Arial Narrow"/>
                <w:sz w:val="22"/>
                <w:szCs w:val="16"/>
                <w:lang w:eastAsia="en-CA"/>
              </w:rPr>
            </w:pPr>
          </w:p>
        </w:tc>
        <w:tc>
          <w:tcPr>
            <w:tcW w:w="276" w:type="pct"/>
            <w:gridSpan w:val="2"/>
            <w:shd w:val="clear" w:color="auto" w:fill="auto"/>
            <w:noWrap/>
            <w:vAlign w:val="center"/>
            <w:hideMark/>
          </w:tcPr>
          <w:p w14:paraId="29AC8BA6" w14:textId="77777777" w:rsidR="003D5FA1" w:rsidRPr="003D5FA1" w:rsidRDefault="003D5FA1" w:rsidP="003D5FA1">
            <w:pPr>
              <w:pStyle w:val="NoSpacing"/>
              <w:jc w:val="center"/>
              <w:rPr>
                <w:rFonts w:ascii="Arial Narrow" w:hAnsi="Arial Narrow" w:cs="Times New Roman"/>
                <w:sz w:val="22"/>
                <w:szCs w:val="16"/>
                <w:lang w:eastAsia="en-CA"/>
              </w:rPr>
            </w:pPr>
          </w:p>
        </w:tc>
        <w:tc>
          <w:tcPr>
            <w:tcW w:w="304" w:type="pct"/>
            <w:gridSpan w:val="2"/>
            <w:shd w:val="clear" w:color="auto" w:fill="auto"/>
            <w:noWrap/>
            <w:vAlign w:val="center"/>
            <w:hideMark/>
          </w:tcPr>
          <w:p w14:paraId="5B763851" w14:textId="77777777" w:rsidR="003D5FA1" w:rsidRPr="003D5FA1" w:rsidRDefault="003D5FA1" w:rsidP="003D5FA1">
            <w:pPr>
              <w:pStyle w:val="NoSpacing"/>
              <w:jc w:val="center"/>
              <w:rPr>
                <w:rFonts w:ascii="Arial Narrow" w:hAnsi="Arial Narrow" w:cs="Times New Roman"/>
                <w:sz w:val="22"/>
                <w:szCs w:val="16"/>
                <w:lang w:eastAsia="en-CA"/>
              </w:rPr>
            </w:pPr>
          </w:p>
        </w:tc>
        <w:tc>
          <w:tcPr>
            <w:tcW w:w="277" w:type="pct"/>
            <w:shd w:val="clear" w:color="auto" w:fill="auto"/>
            <w:noWrap/>
            <w:vAlign w:val="center"/>
            <w:hideMark/>
          </w:tcPr>
          <w:p w14:paraId="615B7389" w14:textId="77777777" w:rsidR="003D5FA1" w:rsidRPr="003D5FA1" w:rsidRDefault="003D5FA1" w:rsidP="003D5FA1">
            <w:pPr>
              <w:pStyle w:val="NoSpacing"/>
              <w:jc w:val="center"/>
              <w:rPr>
                <w:rFonts w:ascii="Arial Narrow" w:hAnsi="Arial Narrow" w:cs="Times New Roman"/>
                <w:sz w:val="22"/>
                <w:szCs w:val="16"/>
                <w:lang w:eastAsia="en-CA"/>
              </w:rPr>
            </w:pPr>
          </w:p>
        </w:tc>
      </w:tr>
      <w:tr w:rsidR="003D5FA1" w:rsidRPr="003D5FA1" w14:paraId="354A1003" w14:textId="77777777" w:rsidTr="003D5FA1">
        <w:trPr>
          <w:trHeight w:val="168"/>
        </w:trPr>
        <w:tc>
          <w:tcPr>
            <w:tcW w:w="555" w:type="pct"/>
            <w:shd w:val="clear" w:color="auto" w:fill="auto"/>
            <w:noWrap/>
            <w:vAlign w:val="center"/>
            <w:hideMark/>
          </w:tcPr>
          <w:p w14:paraId="2D58CF18" w14:textId="77777777" w:rsidR="003D5FA1" w:rsidRPr="003D5FA1" w:rsidRDefault="003D5FA1" w:rsidP="003D5FA1">
            <w:pPr>
              <w:pStyle w:val="NoSpacing"/>
              <w:jc w:val="center"/>
              <w:rPr>
                <w:rFonts w:ascii="Arial Narrow" w:hAnsi="Arial Narrow" w:cs="Times New Roman"/>
                <w:sz w:val="22"/>
                <w:szCs w:val="16"/>
                <w:lang w:eastAsia="en-CA"/>
              </w:rPr>
            </w:pPr>
          </w:p>
        </w:tc>
        <w:tc>
          <w:tcPr>
            <w:tcW w:w="1587" w:type="pct"/>
            <w:shd w:val="clear" w:color="auto" w:fill="auto"/>
            <w:noWrap/>
            <w:vAlign w:val="center"/>
            <w:hideMark/>
          </w:tcPr>
          <w:p w14:paraId="430D97D9" w14:textId="77777777" w:rsidR="003D5FA1" w:rsidRPr="003D5FA1" w:rsidRDefault="003D5FA1" w:rsidP="003D5FA1">
            <w:pPr>
              <w:pStyle w:val="NoSpacing"/>
              <w:jc w:val="center"/>
              <w:rPr>
                <w:rFonts w:ascii="Arial Narrow" w:hAnsi="Arial Narrow" w:cs="Times New Roman"/>
                <w:sz w:val="22"/>
                <w:szCs w:val="16"/>
                <w:lang w:eastAsia="en-CA"/>
              </w:rPr>
            </w:pPr>
          </w:p>
        </w:tc>
        <w:tc>
          <w:tcPr>
            <w:tcW w:w="318" w:type="pct"/>
            <w:shd w:val="clear" w:color="auto" w:fill="auto"/>
            <w:noWrap/>
            <w:vAlign w:val="center"/>
            <w:hideMark/>
          </w:tcPr>
          <w:p w14:paraId="7B872849" w14:textId="77777777" w:rsidR="003D5FA1" w:rsidRPr="003D5FA1" w:rsidRDefault="003D5FA1" w:rsidP="003D5FA1">
            <w:pPr>
              <w:pStyle w:val="NoSpacing"/>
              <w:jc w:val="center"/>
              <w:rPr>
                <w:rFonts w:ascii="Arial Narrow" w:hAnsi="Arial Narrow" w:cs="Times New Roman"/>
                <w:sz w:val="22"/>
                <w:szCs w:val="16"/>
                <w:lang w:eastAsia="en-CA"/>
              </w:rPr>
            </w:pPr>
          </w:p>
        </w:tc>
        <w:tc>
          <w:tcPr>
            <w:tcW w:w="212" w:type="pct"/>
            <w:shd w:val="clear" w:color="auto" w:fill="auto"/>
            <w:noWrap/>
            <w:vAlign w:val="center"/>
            <w:hideMark/>
          </w:tcPr>
          <w:p w14:paraId="0B216B2A" w14:textId="77777777" w:rsidR="003D5FA1" w:rsidRPr="003D5FA1" w:rsidRDefault="003D5FA1" w:rsidP="003D5FA1">
            <w:pPr>
              <w:pStyle w:val="NoSpacing"/>
              <w:jc w:val="center"/>
              <w:rPr>
                <w:rFonts w:ascii="Arial Narrow" w:hAnsi="Arial Narrow" w:cs="Times New Roman"/>
                <w:sz w:val="22"/>
                <w:szCs w:val="16"/>
                <w:lang w:eastAsia="en-CA"/>
              </w:rPr>
            </w:pPr>
          </w:p>
        </w:tc>
        <w:tc>
          <w:tcPr>
            <w:tcW w:w="304" w:type="pct"/>
            <w:shd w:val="clear" w:color="auto" w:fill="auto"/>
            <w:noWrap/>
            <w:vAlign w:val="center"/>
            <w:hideMark/>
          </w:tcPr>
          <w:p w14:paraId="1C18DA70" w14:textId="77777777" w:rsidR="003D5FA1" w:rsidRPr="003D5FA1" w:rsidRDefault="003D5FA1" w:rsidP="003D5FA1">
            <w:pPr>
              <w:pStyle w:val="NoSpacing"/>
              <w:jc w:val="center"/>
              <w:rPr>
                <w:rFonts w:ascii="Arial Narrow" w:hAnsi="Arial Narrow" w:cs="Times New Roman"/>
                <w:sz w:val="22"/>
                <w:szCs w:val="16"/>
                <w:lang w:eastAsia="en-CA"/>
              </w:rPr>
            </w:pPr>
          </w:p>
        </w:tc>
        <w:tc>
          <w:tcPr>
            <w:tcW w:w="276" w:type="pct"/>
            <w:shd w:val="clear" w:color="auto" w:fill="auto"/>
            <w:noWrap/>
            <w:vAlign w:val="center"/>
            <w:hideMark/>
          </w:tcPr>
          <w:p w14:paraId="0080CCAA" w14:textId="77777777" w:rsidR="003D5FA1" w:rsidRPr="003D5FA1" w:rsidRDefault="003D5FA1" w:rsidP="003D5FA1">
            <w:pPr>
              <w:pStyle w:val="NoSpacing"/>
              <w:jc w:val="center"/>
              <w:rPr>
                <w:rFonts w:ascii="Arial Narrow" w:hAnsi="Arial Narrow" w:cs="Times New Roman"/>
                <w:sz w:val="22"/>
                <w:szCs w:val="16"/>
                <w:lang w:eastAsia="en-CA"/>
              </w:rPr>
            </w:pPr>
          </w:p>
        </w:tc>
        <w:tc>
          <w:tcPr>
            <w:tcW w:w="306" w:type="pct"/>
            <w:shd w:val="clear" w:color="auto" w:fill="auto"/>
            <w:noWrap/>
            <w:vAlign w:val="center"/>
            <w:hideMark/>
          </w:tcPr>
          <w:p w14:paraId="68383E4B" w14:textId="77777777" w:rsidR="003D5FA1" w:rsidRPr="003D5FA1" w:rsidRDefault="003D5FA1" w:rsidP="003D5FA1">
            <w:pPr>
              <w:pStyle w:val="NoSpacing"/>
              <w:jc w:val="center"/>
              <w:rPr>
                <w:rFonts w:ascii="Arial Narrow" w:hAnsi="Arial Narrow" w:cs="Times New Roman"/>
                <w:sz w:val="22"/>
                <w:szCs w:val="16"/>
                <w:lang w:eastAsia="en-CA"/>
              </w:rPr>
            </w:pPr>
          </w:p>
        </w:tc>
        <w:tc>
          <w:tcPr>
            <w:tcW w:w="307" w:type="pct"/>
            <w:shd w:val="clear" w:color="auto" w:fill="auto"/>
            <w:noWrap/>
            <w:vAlign w:val="center"/>
            <w:hideMark/>
          </w:tcPr>
          <w:p w14:paraId="50BAA75A" w14:textId="77777777" w:rsidR="003D5FA1" w:rsidRPr="003D5FA1" w:rsidRDefault="003D5FA1" w:rsidP="003D5FA1">
            <w:pPr>
              <w:pStyle w:val="NoSpacing"/>
              <w:jc w:val="center"/>
              <w:rPr>
                <w:rFonts w:ascii="Arial Narrow" w:hAnsi="Arial Narrow" w:cs="Times New Roman"/>
                <w:sz w:val="22"/>
                <w:szCs w:val="16"/>
                <w:lang w:eastAsia="en-CA"/>
              </w:rPr>
            </w:pPr>
          </w:p>
        </w:tc>
        <w:tc>
          <w:tcPr>
            <w:tcW w:w="276" w:type="pct"/>
            <w:gridSpan w:val="2"/>
            <w:shd w:val="clear" w:color="auto" w:fill="auto"/>
            <w:noWrap/>
            <w:vAlign w:val="center"/>
            <w:hideMark/>
          </w:tcPr>
          <w:p w14:paraId="23B3006A" w14:textId="77777777" w:rsidR="003D5FA1" w:rsidRPr="003D5FA1" w:rsidRDefault="003D5FA1" w:rsidP="003D5FA1">
            <w:pPr>
              <w:pStyle w:val="NoSpacing"/>
              <w:jc w:val="center"/>
              <w:rPr>
                <w:rFonts w:ascii="Arial Narrow" w:hAnsi="Arial Narrow" w:cs="Times New Roman"/>
                <w:sz w:val="22"/>
                <w:szCs w:val="16"/>
                <w:lang w:eastAsia="en-CA"/>
              </w:rPr>
            </w:pPr>
          </w:p>
        </w:tc>
        <w:tc>
          <w:tcPr>
            <w:tcW w:w="276" w:type="pct"/>
            <w:gridSpan w:val="2"/>
            <w:shd w:val="clear" w:color="auto" w:fill="auto"/>
            <w:noWrap/>
            <w:vAlign w:val="center"/>
            <w:hideMark/>
          </w:tcPr>
          <w:p w14:paraId="25239862" w14:textId="77777777" w:rsidR="003D5FA1" w:rsidRPr="003D5FA1" w:rsidRDefault="003D5FA1" w:rsidP="003D5FA1">
            <w:pPr>
              <w:pStyle w:val="NoSpacing"/>
              <w:jc w:val="center"/>
              <w:rPr>
                <w:rFonts w:ascii="Arial Narrow" w:hAnsi="Arial Narrow" w:cs="Times New Roman"/>
                <w:sz w:val="22"/>
                <w:szCs w:val="16"/>
                <w:lang w:eastAsia="en-CA"/>
              </w:rPr>
            </w:pPr>
          </w:p>
        </w:tc>
        <w:tc>
          <w:tcPr>
            <w:tcW w:w="304" w:type="pct"/>
            <w:gridSpan w:val="2"/>
            <w:shd w:val="clear" w:color="auto" w:fill="auto"/>
            <w:noWrap/>
            <w:vAlign w:val="center"/>
            <w:hideMark/>
          </w:tcPr>
          <w:p w14:paraId="6199B214" w14:textId="77777777" w:rsidR="003D5FA1" w:rsidRPr="003D5FA1" w:rsidRDefault="003D5FA1" w:rsidP="003D5FA1">
            <w:pPr>
              <w:pStyle w:val="NoSpacing"/>
              <w:jc w:val="center"/>
              <w:rPr>
                <w:rFonts w:ascii="Arial Narrow" w:hAnsi="Arial Narrow" w:cs="Times New Roman"/>
                <w:sz w:val="22"/>
                <w:szCs w:val="16"/>
                <w:lang w:eastAsia="en-CA"/>
              </w:rPr>
            </w:pPr>
          </w:p>
        </w:tc>
        <w:tc>
          <w:tcPr>
            <w:tcW w:w="277" w:type="pct"/>
            <w:gridSpan w:val="2"/>
            <w:shd w:val="clear" w:color="auto" w:fill="auto"/>
            <w:noWrap/>
            <w:vAlign w:val="center"/>
            <w:hideMark/>
          </w:tcPr>
          <w:p w14:paraId="6051983C" w14:textId="77777777" w:rsidR="003D5FA1" w:rsidRPr="003D5FA1" w:rsidRDefault="003D5FA1" w:rsidP="003D5FA1">
            <w:pPr>
              <w:pStyle w:val="NoSpacing"/>
              <w:jc w:val="center"/>
              <w:rPr>
                <w:rFonts w:ascii="Arial Narrow" w:hAnsi="Arial Narrow" w:cs="Times New Roman"/>
                <w:sz w:val="22"/>
                <w:szCs w:val="16"/>
                <w:lang w:eastAsia="en-CA"/>
              </w:rPr>
            </w:pPr>
          </w:p>
        </w:tc>
      </w:tr>
      <w:tr w:rsidR="003D5FA1" w:rsidRPr="003D5FA1" w14:paraId="5B833C4E" w14:textId="77777777" w:rsidTr="003D5FA1">
        <w:trPr>
          <w:trHeight w:val="238"/>
        </w:trPr>
        <w:tc>
          <w:tcPr>
            <w:tcW w:w="5000" w:type="pct"/>
            <w:gridSpan w:val="16"/>
            <w:shd w:val="clear" w:color="auto" w:fill="auto"/>
            <w:noWrap/>
            <w:vAlign w:val="center"/>
            <w:hideMark/>
          </w:tcPr>
          <w:p w14:paraId="7555113D" w14:textId="77777777" w:rsidR="003D5FA1" w:rsidRPr="003D5FA1" w:rsidRDefault="003D5FA1" w:rsidP="003D5FA1">
            <w:pPr>
              <w:pStyle w:val="NoSpacing"/>
              <w:jc w:val="center"/>
              <w:rPr>
                <w:rFonts w:ascii="Arial Narrow" w:hAnsi="Arial Narrow"/>
                <w:sz w:val="22"/>
                <w:szCs w:val="16"/>
                <w:lang w:eastAsia="en-CA"/>
              </w:rPr>
            </w:pPr>
            <w:r w:rsidRPr="003D5FA1">
              <w:rPr>
                <w:rFonts w:ascii="Arial Narrow" w:hAnsi="Arial Narrow"/>
                <w:sz w:val="22"/>
                <w:szCs w:val="16"/>
                <w:lang w:eastAsia="en-CA"/>
              </w:rPr>
              <w:t>Capital projects table</w:t>
            </w:r>
          </w:p>
        </w:tc>
      </w:tr>
      <w:tr w:rsidR="003D5FA1" w:rsidRPr="003D5FA1" w14:paraId="6AE57C6A" w14:textId="77777777" w:rsidTr="003D5FA1">
        <w:trPr>
          <w:trHeight w:val="178"/>
        </w:trPr>
        <w:tc>
          <w:tcPr>
            <w:tcW w:w="555" w:type="pct"/>
            <w:shd w:val="clear" w:color="auto" w:fill="auto"/>
            <w:noWrap/>
            <w:vAlign w:val="center"/>
            <w:hideMark/>
          </w:tcPr>
          <w:p w14:paraId="54AD72F2" w14:textId="7777777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1D1F9C5C"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60BE4538"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7E726056"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04E6D222"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261824D1"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07491DD3"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1B09EE76"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670DF14B"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1CEEAE94"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0BAC1F90"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654388D7"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13784EEE" w14:textId="77777777" w:rsidTr="003D5FA1">
        <w:trPr>
          <w:trHeight w:val="178"/>
        </w:trPr>
        <w:tc>
          <w:tcPr>
            <w:tcW w:w="555" w:type="pct"/>
            <w:shd w:val="clear" w:color="auto" w:fill="auto"/>
            <w:noWrap/>
            <w:vAlign w:val="center"/>
            <w:hideMark/>
          </w:tcPr>
          <w:p w14:paraId="00E2E65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Reporting basis</w:t>
            </w:r>
          </w:p>
        </w:tc>
        <w:tc>
          <w:tcPr>
            <w:tcW w:w="1587" w:type="pct"/>
            <w:shd w:val="clear" w:color="auto" w:fill="auto"/>
            <w:noWrap/>
            <w:vAlign w:val="center"/>
            <w:hideMark/>
          </w:tcPr>
          <w:p w14:paraId="1BAA9C5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Reporting basis</w:t>
            </w:r>
          </w:p>
        </w:tc>
        <w:tc>
          <w:tcPr>
            <w:tcW w:w="318" w:type="pct"/>
            <w:shd w:val="clear" w:color="auto" w:fill="auto"/>
            <w:noWrap/>
            <w:vAlign w:val="center"/>
            <w:hideMark/>
          </w:tcPr>
          <w:p w14:paraId="7B3CE3E3" w14:textId="2AC9BEC0"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9FF73D6" w14:textId="18A7A4C4"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080BBE6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Cgaap</w:t>
            </w:r>
          </w:p>
        </w:tc>
        <w:tc>
          <w:tcPr>
            <w:tcW w:w="276" w:type="pct"/>
            <w:shd w:val="clear" w:color="auto" w:fill="auto"/>
            <w:noWrap/>
            <w:vAlign w:val="center"/>
            <w:hideMark/>
          </w:tcPr>
          <w:p w14:paraId="4594FB5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Cgaap</w:t>
            </w:r>
          </w:p>
        </w:tc>
        <w:tc>
          <w:tcPr>
            <w:tcW w:w="306" w:type="pct"/>
            <w:shd w:val="clear" w:color="auto" w:fill="auto"/>
            <w:noWrap/>
            <w:vAlign w:val="center"/>
            <w:hideMark/>
          </w:tcPr>
          <w:p w14:paraId="7F7C1F9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Newgaap</w:t>
            </w:r>
          </w:p>
        </w:tc>
        <w:tc>
          <w:tcPr>
            <w:tcW w:w="307" w:type="pct"/>
            <w:shd w:val="clear" w:color="auto" w:fill="auto"/>
            <w:noWrap/>
            <w:vAlign w:val="center"/>
            <w:hideMark/>
          </w:tcPr>
          <w:p w14:paraId="57D4A08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Newgaap</w:t>
            </w:r>
          </w:p>
        </w:tc>
        <w:tc>
          <w:tcPr>
            <w:tcW w:w="276" w:type="pct"/>
            <w:gridSpan w:val="2"/>
            <w:shd w:val="clear" w:color="auto" w:fill="auto"/>
            <w:noWrap/>
            <w:vAlign w:val="center"/>
            <w:hideMark/>
          </w:tcPr>
          <w:p w14:paraId="131FF9C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Mifrs</w:t>
            </w:r>
          </w:p>
        </w:tc>
        <w:tc>
          <w:tcPr>
            <w:tcW w:w="276" w:type="pct"/>
            <w:gridSpan w:val="2"/>
            <w:shd w:val="clear" w:color="auto" w:fill="auto"/>
            <w:noWrap/>
            <w:vAlign w:val="center"/>
            <w:hideMark/>
          </w:tcPr>
          <w:p w14:paraId="4CBEBFE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Cgaap</w:t>
            </w:r>
          </w:p>
        </w:tc>
        <w:tc>
          <w:tcPr>
            <w:tcW w:w="304" w:type="pct"/>
            <w:gridSpan w:val="2"/>
            <w:shd w:val="clear" w:color="auto" w:fill="auto"/>
            <w:noWrap/>
            <w:vAlign w:val="center"/>
            <w:hideMark/>
          </w:tcPr>
          <w:p w14:paraId="4CD4F4FB"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Mifrs</w:t>
            </w:r>
          </w:p>
        </w:tc>
        <w:tc>
          <w:tcPr>
            <w:tcW w:w="277" w:type="pct"/>
            <w:gridSpan w:val="2"/>
            <w:shd w:val="clear" w:color="auto" w:fill="auto"/>
            <w:noWrap/>
            <w:vAlign w:val="center"/>
            <w:hideMark/>
          </w:tcPr>
          <w:p w14:paraId="20C728E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Mifrs</w:t>
            </w:r>
          </w:p>
        </w:tc>
      </w:tr>
      <w:tr w:rsidR="003D5FA1" w:rsidRPr="003D5FA1" w14:paraId="3DFDA857" w14:textId="77777777" w:rsidTr="003D5FA1">
        <w:trPr>
          <w:trHeight w:val="178"/>
        </w:trPr>
        <w:tc>
          <w:tcPr>
            <w:tcW w:w="555" w:type="pct"/>
            <w:shd w:val="clear" w:color="auto" w:fill="auto"/>
            <w:noWrap/>
            <w:vAlign w:val="center"/>
            <w:hideMark/>
          </w:tcPr>
          <w:p w14:paraId="0978B85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Projects</w:t>
            </w:r>
          </w:p>
        </w:tc>
        <w:tc>
          <w:tcPr>
            <w:tcW w:w="1587" w:type="pct"/>
            <w:shd w:val="clear" w:color="auto" w:fill="auto"/>
            <w:noWrap/>
            <w:vAlign w:val="center"/>
            <w:hideMark/>
          </w:tcPr>
          <w:p w14:paraId="7745683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Projects</w:t>
            </w:r>
          </w:p>
        </w:tc>
        <w:tc>
          <w:tcPr>
            <w:tcW w:w="318" w:type="pct"/>
            <w:shd w:val="clear" w:color="auto" w:fill="auto"/>
            <w:vAlign w:val="center"/>
            <w:hideMark/>
          </w:tcPr>
          <w:p w14:paraId="3CBC6BD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2012 test year</w:t>
            </w:r>
          </w:p>
        </w:tc>
        <w:tc>
          <w:tcPr>
            <w:tcW w:w="212" w:type="pct"/>
            <w:shd w:val="clear" w:color="auto" w:fill="auto"/>
            <w:noWrap/>
            <w:vAlign w:val="center"/>
            <w:hideMark/>
          </w:tcPr>
          <w:p w14:paraId="2382BB41" w14:textId="7268C4F2"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Usoa</w:t>
            </w:r>
          </w:p>
        </w:tc>
        <w:tc>
          <w:tcPr>
            <w:tcW w:w="304" w:type="pct"/>
            <w:shd w:val="clear" w:color="auto" w:fill="auto"/>
            <w:noWrap/>
            <w:vAlign w:val="center"/>
            <w:hideMark/>
          </w:tcPr>
          <w:p w14:paraId="69566867"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2012</w:t>
            </w:r>
          </w:p>
        </w:tc>
        <w:tc>
          <w:tcPr>
            <w:tcW w:w="276" w:type="pct"/>
            <w:shd w:val="clear" w:color="auto" w:fill="auto"/>
            <w:noWrap/>
            <w:vAlign w:val="center"/>
            <w:hideMark/>
          </w:tcPr>
          <w:p w14:paraId="32F035A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2013</w:t>
            </w:r>
          </w:p>
        </w:tc>
        <w:tc>
          <w:tcPr>
            <w:tcW w:w="306" w:type="pct"/>
            <w:shd w:val="clear" w:color="auto" w:fill="auto"/>
            <w:noWrap/>
            <w:vAlign w:val="center"/>
            <w:hideMark/>
          </w:tcPr>
          <w:p w14:paraId="4447E3C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2014</w:t>
            </w:r>
          </w:p>
        </w:tc>
        <w:tc>
          <w:tcPr>
            <w:tcW w:w="307" w:type="pct"/>
            <w:shd w:val="clear" w:color="auto" w:fill="auto"/>
            <w:noWrap/>
            <w:vAlign w:val="center"/>
            <w:hideMark/>
          </w:tcPr>
          <w:p w14:paraId="14FADA8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2015</w:t>
            </w:r>
          </w:p>
        </w:tc>
        <w:tc>
          <w:tcPr>
            <w:tcW w:w="276" w:type="pct"/>
            <w:gridSpan w:val="2"/>
            <w:shd w:val="clear" w:color="auto" w:fill="auto"/>
            <w:noWrap/>
            <w:vAlign w:val="center"/>
            <w:hideMark/>
          </w:tcPr>
          <w:p w14:paraId="769F646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2016</w:t>
            </w:r>
          </w:p>
        </w:tc>
        <w:tc>
          <w:tcPr>
            <w:tcW w:w="276" w:type="pct"/>
            <w:gridSpan w:val="2"/>
            <w:shd w:val="clear" w:color="auto" w:fill="auto"/>
            <w:noWrap/>
            <w:vAlign w:val="center"/>
            <w:hideMark/>
          </w:tcPr>
          <w:p w14:paraId="5BDCD0E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2017</w:t>
            </w:r>
          </w:p>
        </w:tc>
        <w:tc>
          <w:tcPr>
            <w:tcW w:w="304" w:type="pct"/>
            <w:gridSpan w:val="2"/>
            <w:shd w:val="clear" w:color="auto" w:fill="auto"/>
            <w:noWrap/>
            <w:vAlign w:val="center"/>
            <w:hideMark/>
          </w:tcPr>
          <w:p w14:paraId="41476BB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2018</w:t>
            </w:r>
          </w:p>
        </w:tc>
        <w:tc>
          <w:tcPr>
            <w:tcW w:w="277" w:type="pct"/>
            <w:gridSpan w:val="2"/>
            <w:shd w:val="clear" w:color="auto" w:fill="auto"/>
            <w:noWrap/>
            <w:vAlign w:val="center"/>
            <w:hideMark/>
          </w:tcPr>
          <w:p w14:paraId="6BFC02A0"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2019</w:t>
            </w:r>
          </w:p>
        </w:tc>
      </w:tr>
      <w:tr w:rsidR="003D5FA1" w:rsidRPr="003D5FA1" w14:paraId="44363CF8" w14:textId="77777777" w:rsidTr="003D5FA1">
        <w:trPr>
          <w:trHeight w:val="178"/>
        </w:trPr>
        <w:tc>
          <w:tcPr>
            <w:tcW w:w="555" w:type="pct"/>
            <w:shd w:val="clear" w:color="auto" w:fill="auto"/>
            <w:noWrap/>
            <w:vAlign w:val="center"/>
            <w:hideMark/>
          </w:tcPr>
          <w:p w14:paraId="472FE0F4" w14:textId="7777777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12D5D832"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30D3AAB1"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43480871"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3D789D1C"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57300EA4"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69AE90C1"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68F41A85"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77AA5B6C"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5D8228C8"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656365E2"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31487827"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71586341" w14:textId="77777777" w:rsidTr="003D5FA1">
        <w:trPr>
          <w:trHeight w:val="168"/>
        </w:trPr>
        <w:tc>
          <w:tcPr>
            <w:tcW w:w="555" w:type="pct"/>
            <w:shd w:val="clear" w:color="auto" w:fill="auto"/>
            <w:noWrap/>
            <w:vAlign w:val="center"/>
            <w:hideMark/>
          </w:tcPr>
          <w:p w14:paraId="6FCDD6E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System access</w:t>
            </w:r>
          </w:p>
        </w:tc>
        <w:tc>
          <w:tcPr>
            <w:tcW w:w="1587" w:type="pct"/>
            <w:shd w:val="clear" w:color="auto" w:fill="auto"/>
            <w:noWrap/>
            <w:vAlign w:val="center"/>
            <w:hideMark/>
          </w:tcPr>
          <w:p w14:paraId="46BA297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System access</w:t>
            </w:r>
          </w:p>
        </w:tc>
        <w:tc>
          <w:tcPr>
            <w:tcW w:w="318" w:type="pct"/>
            <w:shd w:val="clear" w:color="auto" w:fill="auto"/>
            <w:noWrap/>
            <w:vAlign w:val="center"/>
            <w:hideMark/>
          </w:tcPr>
          <w:p w14:paraId="6ED5BA6E" w14:textId="38587EA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85E0600" w14:textId="35FEFD78"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A18E12C" w14:textId="124EBEA9"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57835782" w14:textId="71F5199B"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64C10019" w14:textId="62E442B2"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B2DB22C" w14:textId="69DF9C6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3191BD4" w14:textId="427EF66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54D3F52" w14:textId="1BC08E7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F832C8C" w14:textId="4527118C"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650B5B9" w14:textId="06D91449"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88AAEC1" w14:textId="77777777" w:rsidTr="003D5FA1">
        <w:trPr>
          <w:trHeight w:val="168"/>
        </w:trPr>
        <w:tc>
          <w:tcPr>
            <w:tcW w:w="555" w:type="pct"/>
            <w:shd w:val="clear" w:color="auto" w:fill="auto"/>
            <w:noWrap/>
            <w:vAlign w:val="center"/>
            <w:hideMark/>
          </w:tcPr>
          <w:p w14:paraId="66E4A7C7" w14:textId="50EBE1A0"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D055E2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 transfer computer software capital for 2008,2009,2010,2011&amp;</w:t>
            </w:r>
          </w:p>
        </w:tc>
        <w:tc>
          <w:tcPr>
            <w:tcW w:w="318" w:type="pct"/>
            <w:shd w:val="clear" w:color="auto" w:fill="auto"/>
            <w:noWrap/>
            <w:vAlign w:val="center"/>
            <w:hideMark/>
          </w:tcPr>
          <w:p w14:paraId="01FAB8DF" w14:textId="043B9E4E"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A92F24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1611</w:t>
            </w:r>
          </w:p>
        </w:tc>
        <w:tc>
          <w:tcPr>
            <w:tcW w:w="304" w:type="pct"/>
            <w:shd w:val="clear" w:color="auto" w:fill="auto"/>
            <w:noWrap/>
            <w:vAlign w:val="center"/>
            <w:hideMark/>
          </w:tcPr>
          <w:p w14:paraId="4265F254" w14:textId="7E34CE61"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5C0E4B22" w14:textId="4ADE5A58"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B6544F9" w14:textId="4F3CCC9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713D454" w14:textId="6A81A8E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EC58C7A" w14:textId="0B397CE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BAB2F16" w14:textId="3779CC10"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13A481D" w14:textId="56965E59"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3ED7ABE" w14:textId="61AE62A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58894868" w14:textId="77777777" w:rsidTr="003D5FA1">
        <w:trPr>
          <w:trHeight w:val="168"/>
        </w:trPr>
        <w:tc>
          <w:tcPr>
            <w:tcW w:w="555" w:type="pct"/>
            <w:shd w:val="clear" w:color="auto" w:fill="auto"/>
            <w:noWrap/>
            <w:vAlign w:val="center"/>
            <w:hideMark/>
          </w:tcPr>
          <w:p w14:paraId="6B5EF2E2" w14:textId="7A0CB20E"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3498C0F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2012 to computer software from smart meter variance acct.</w:t>
            </w:r>
          </w:p>
        </w:tc>
        <w:tc>
          <w:tcPr>
            <w:tcW w:w="318" w:type="pct"/>
            <w:shd w:val="clear" w:color="auto" w:fill="auto"/>
            <w:noWrap/>
            <w:vAlign w:val="center"/>
            <w:hideMark/>
          </w:tcPr>
          <w:p w14:paraId="632F76C1" w14:textId="5417C529"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EEBBEB4" w14:textId="2EF39C5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24FFCB2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$57,476</w:t>
            </w:r>
          </w:p>
        </w:tc>
        <w:tc>
          <w:tcPr>
            <w:tcW w:w="276" w:type="pct"/>
            <w:shd w:val="clear" w:color="auto" w:fill="auto"/>
            <w:noWrap/>
            <w:vAlign w:val="center"/>
            <w:hideMark/>
          </w:tcPr>
          <w:p w14:paraId="0421166C" w14:textId="52C0DB3E"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0465E7C2" w14:textId="4BA7B11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478ABA2" w14:textId="7B428C5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45D3B7F" w14:textId="430EA12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7C04236" w14:textId="2349FE69"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5B911F9" w14:textId="68B1CB6C"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7F336C7" w14:textId="07D5E0CE"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829D68B" w14:textId="77777777" w:rsidTr="003D5FA1">
        <w:trPr>
          <w:trHeight w:val="168"/>
        </w:trPr>
        <w:tc>
          <w:tcPr>
            <w:tcW w:w="555" w:type="pct"/>
            <w:shd w:val="clear" w:color="auto" w:fill="auto"/>
            <w:noWrap/>
            <w:vAlign w:val="center"/>
            <w:hideMark/>
          </w:tcPr>
          <w:p w14:paraId="25ABAF00" w14:textId="331DE7E6"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46655815" w14:textId="1D562AB7"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38F1099A" w14:textId="0DB15EE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20A28F9" w14:textId="6891EAFA"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2AD28BA2" w14:textId="40F061B8"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A43A203" w14:textId="60E1B512"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FAB36F7" w14:textId="4DEC5C9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6686E75" w14:textId="7FA8D9A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F625859" w14:textId="0BB2E2D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AE3F9A4" w14:textId="68B51FA7"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6ECE1F8" w14:textId="078C49CD"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8A5B551" w14:textId="2BF7E1D0"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D78CF80" w14:textId="77777777" w:rsidTr="003D5FA1">
        <w:trPr>
          <w:trHeight w:val="168"/>
        </w:trPr>
        <w:tc>
          <w:tcPr>
            <w:tcW w:w="555" w:type="pct"/>
            <w:shd w:val="clear" w:color="auto" w:fill="auto"/>
            <w:noWrap/>
            <w:vAlign w:val="center"/>
            <w:hideMark/>
          </w:tcPr>
          <w:p w14:paraId="38185E79" w14:textId="5F9EC612"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19ED28D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Meters &amp; smart meters</w:t>
            </w:r>
          </w:p>
        </w:tc>
        <w:tc>
          <w:tcPr>
            <w:tcW w:w="318" w:type="pct"/>
            <w:shd w:val="clear" w:color="auto" w:fill="auto"/>
            <w:noWrap/>
            <w:vAlign w:val="center"/>
            <w:hideMark/>
          </w:tcPr>
          <w:p w14:paraId="3A4494A0"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1,500</w:t>
            </w:r>
          </w:p>
        </w:tc>
        <w:tc>
          <w:tcPr>
            <w:tcW w:w="212" w:type="pct"/>
            <w:shd w:val="clear" w:color="auto" w:fill="auto"/>
            <w:noWrap/>
            <w:vAlign w:val="center"/>
            <w:hideMark/>
          </w:tcPr>
          <w:p w14:paraId="740693C4" w14:textId="692194C0"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3B5FB7A5" w14:textId="48547F63"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2150F14" w14:textId="6CA7D98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CF05FCF" w14:textId="7E51AED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C987779" w14:textId="1EAE60C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502C0651" w14:textId="22C37BF3"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3FB3575" w14:textId="4076E1F5"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173E8FCA" w14:textId="2BC75530"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61EFA65" w14:textId="191BDC78"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C8F86FF" w14:textId="77777777" w:rsidTr="003D5FA1">
        <w:trPr>
          <w:trHeight w:val="168"/>
        </w:trPr>
        <w:tc>
          <w:tcPr>
            <w:tcW w:w="555" w:type="pct"/>
            <w:shd w:val="clear" w:color="auto" w:fill="auto"/>
            <w:noWrap/>
            <w:vAlign w:val="center"/>
            <w:hideMark/>
          </w:tcPr>
          <w:p w14:paraId="1EBD6766" w14:textId="5CE5ACC0"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3347E4F" w14:textId="722134B0"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6FDE76C3" w14:textId="7EEF363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47EFD6B" w14:textId="39FF42E1"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6CCBEF9" w14:textId="10B5916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07C72CC7" w14:textId="2098B45A"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7F0D8B5B" w14:textId="1D4BAB8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5A823AF" w14:textId="7B01054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5E6DD3B4" w14:textId="71356D4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65F8625" w14:textId="29AF3FC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9AA068C" w14:textId="432F55B1"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AC9D8D0" w14:textId="09F74650"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3749288" w14:textId="77777777" w:rsidTr="003D5FA1">
        <w:trPr>
          <w:trHeight w:val="168"/>
        </w:trPr>
        <w:tc>
          <w:tcPr>
            <w:tcW w:w="555" w:type="pct"/>
            <w:shd w:val="clear" w:color="auto" w:fill="auto"/>
            <w:noWrap/>
            <w:vAlign w:val="center"/>
            <w:hideMark/>
          </w:tcPr>
          <w:p w14:paraId="793A9988" w14:textId="6E512AD3"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820FFC0"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Watt hour meters</w:t>
            </w:r>
          </w:p>
        </w:tc>
        <w:tc>
          <w:tcPr>
            <w:tcW w:w="318" w:type="pct"/>
            <w:shd w:val="clear" w:color="auto" w:fill="auto"/>
            <w:noWrap/>
            <w:vAlign w:val="center"/>
            <w:hideMark/>
          </w:tcPr>
          <w:p w14:paraId="050040A5" w14:textId="3AE4D099"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5BCAFE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1860</w:t>
            </w:r>
          </w:p>
        </w:tc>
        <w:tc>
          <w:tcPr>
            <w:tcW w:w="304" w:type="pct"/>
            <w:shd w:val="clear" w:color="auto" w:fill="auto"/>
            <w:noWrap/>
            <w:vAlign w:val="center"/>
            <w:hideMark/>
          </w:tcPr>
          <w:p w14:paraId="62B48F4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$1,108</w:t>
            </w:r>
          </w:p>
        </w:tc>
        <w:tc>
          <w:tcPr>
            <w:tcW w:w="276" w:type="pct"/>
            <w:shd w:val="clear" w:color="auto" w:fill="auto"/>
            <w:noWrap/>
            <w:vAlign w:val="center"/>
            <w:hideMark/>
          </w:tcPr>
          <w:p w14:paraId="43E95B5A" w14:textId="77233F71"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6A626D40" w14:textId="1E45C54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D061D1F" w14:textId="75AE8FC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E98052E" w14:textId="44CFCF9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90B8429" w14:textId="735ABFB8"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9D9F98E" w14:textId="7B79F212"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0A477C34" w14:textId="1048A30A"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7EC0691" w14:textId="77777777" w:rsidTr="003D5FA1">
        <w:trPr>
          <w:trHeight w:val="168"/>
        </w:trPr>
        <w:tc>
          <w:tcPr>
            <w:tcW w:w="555" w:type="pct"/>
            <w:shd w:val="clear" w:color="auto" w:fill="auto"/>
            <w:noWrap/>
            <w:vAlign w:val="center"/>
            <w:hideMark/>
          </w:tcPr>
          <w:p w14:paraId="5A265BB9" w14:textId="4DA36BE8"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0C99ACD7"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Transfer smart meter acct</w:t>
            </w:r>
          </w:p>
        </w:tc>
        <w:tc>
          <w:tcPr>
            <w:tcW w:w="318" w:type="pct"/>
            <w:shd w:val="clear" w:color="auto" w:fill="auto"/>
            <w:noWrap/>
            <w:vAlign w:val="center"/>
            <w:hideMark/>
          </w:tcPr>
          <w:p w14:paraId="7E886568" w14:textId="116F82BE"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1A7348D" w14:textId="7DF7763B"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1697E31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$381,117</w:t>
            </w:r>
          </w:p>
        </w:tc>
        <w:tc>
          <w:tcPr>
            <w:tcW w:w="276" w:type="pct"/>
            <w:shd w:val="clear" w:color="auto" w:fill="auto"/>
            <w:noWrap/>
            <w:vAlign w:val="center"/>
            <w:hideMark/>
          </w:tcPr>
          <w:p w14:paraId="5BF07380" w14:textId="197FB304"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28BD689" w14:textId="5303646A"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9B201DD" w14:textId="443006A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CFE48AF" w14:textId="017D28B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23753C4" w14:textId="398EBBDC"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5F955926" w14:textId="33C9AB2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7F89E390" w14:textId="5AB8FB38"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95A23FC" w14:textId="77777777" w:rsidTr="003D5FA1">
        <w:trPr>
          <w:trHeight w:val="168"/>
        </w:trPr>
        <w:tc>
          <w:tcPr>
            <w:tcW w:w="555" w:type="pct"/>
            <w:shd w:val="clear" w:color="auto" w:fill="auto"/>
            <w:noWrap/>
            <w:vAlign w:val="center"/>
            <w:hideMark/>
          </w:tcPr>
          <w:p w14:paraId="64C4E13C" w14:textId="058A88AF"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70019E99" w14:textId="2EAA6649"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092E51B1" w14:textId="5A22C7A6"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1009B63" w14:textId="03520FF0"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1F5605A0" w14:textId="7E3A1B7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2228ABD" w14:textId="163D782F"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423156AB" w14:textId="4F38718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9D6A812" w14:textId="4368025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AFAC575" w14:textId="082E833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175EA5A" w14:textId="7B6CDD59"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3AC5828" w14:textId="1A748FA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5BEF216" w14:textId="04B7B7F0"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C4CE621" w14:textId="77777777" w:rsidTr="003D5FA1">
        <w:trPr>
          <w:trHeight w:val="168"/>
        </w:trPr>
        <w:tc>
          <w:tcPr>
            <w:tcW w:w="555" w:type="pct"/>
            <w:shd w:val="clear" w:color="auto" w:fill="auto"/>
            <w:noWrap/>
            <w:vAlign w:val="center"/>
            <w:hideMark/>
          </w:tcPr>
          <w:p w14:paraId="42236D43" w14:textId="1718237E"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42380B3" w14:textId="1416602F"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Meter purchase</w:t>
            </w:r>
          </w:p>
        </w:tc>
        <w:tc>
          <w:tcPr>
            <w:tcW w:w="318" w:type="pct"/>
            <w:shd w:val="clear" w:color="auto" w:fill="auto"/>
            <w:noWrap/>
            <w:vAlign w:val="center"/>
            <w:hideMark/>
          </w:tcPr>
          <w:p w14:paraId="410D394E" w14:textId="3974A286"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35C3CD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1860</w:t>
            </w:r>
          </w:p>
        </w:tc>
        <w:tc>
          <w:tcPr>
            <w:tcW w:w="304" w:type="pct"/>
            <w:shd w:val="clear" w:color="auto" w:fill="auto"/>
            <w:noWrap/>
            <w:vAlign w:val="center"/>
            <w:hideMark/>
          </w:tcPr>
          <w:p w14:paraId="74975707" w14:textId="4A8BB20A"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CF28D9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$687</w:t>
            </w:r>
          </w:p>
        </w:tc>
        <w:tc>
          <w:tcPr>
            <w:tcW w:w="306" w:type="pct"/>
            <w:shd w:val="clear" w:color="auto" w:fill="auto"/>
            <w:noWrap/>
            <w:vAlign w:val="center"/>
            <w:hideMark/>
          </w:tcPr>
          <w:p w14:paraId="302EE958" w14:textId="6C3A0EC9"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12BAA8D1" w14:textId="0A56171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DEB1738" w14:textId="23C1117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5EE68926" w14:textId="40C7037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4D284D6C" w14:textId="2DDC4618"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1E2F012D" w14:textId="7679CF19"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A5A14BA" w14:textId="77777777" w:rsidTr="003D5FA1">
        <w:trPr>
          <w:trHeight w:val="168"/>
        </w:trPr>
        <w:tc>
          <w:tcPr>
            <w:tcW w:w="555" w:type="pct"/>
            <w:shd w:val="clear" w:color="auto" w:fill="auto"/>
            <w:noWrap/>
            <w:vAlign w:val="center"/>
            <w:hideMark/>
          </w:tcPr>
          <w:p w14:paraId="7D253E1A" w14:textId="3A0ADDC1"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18CC5B8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"a" to "s" adapter</w:t>
            </w:r>
          </w:p>
        </w:tc>
        <w:tc>
          <w:tcPr>
            <w:tcW w:w="318" w:type="pct"/>
            <w:shd w:val="clear" w:color="auto" w:fill="auto"/>
            <w:noWrap/>
            <w:vAlign w:val="center"/>
            <w:hideMark/>
          </w:tcPr>
          <w:p w14:paraId="72E08CC7" w14:textId="4DEA0FB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B85B1B8" w14:textId="27693705"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2FFAA66" w14:textId="0A70915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538DAA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$193</w:t>
            </w:r>
          </w:p>
        </w:tc>
        <w:tc>
          <w:tcPr>
            <w:tcW w:w="306" w:type="pct"/>
            <w:shd w:val="clear" w:color="auto" w:fill="auto"/>
            <w:noWrap/>
            <w:vAlign w:val="center"/>
            <w:hideMark/>
          </w:tcPr>
          <w:p w14:paraId="51282895" w14:textId="1B854865"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CA9AAA8" w14:textId="6337199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404B04B" w14:textId="53DD99F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2EC0F1B" w14:textId="77683F9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550C3AD3" w14:textId="755D74A6"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1399D73" w14:textId="1D510602"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F05C053" w14:textId="77777777" w:rsidTr="003D5FA1">
        <w:trPr>
          <w:trHeight w:val="168"/>
        </w:trPr>
        <w:tc>
          <w:tcPr>
            <w:tcW w:w="555" w:type="pct"/>
            <w:shd w:val="clear" w:color="auto" w:fill="auto"/>
            <w:noWrap/>
            <w:vAlign w:val="center"/>
            <w:hideMark/>
          </w:tcPr>
          <w:p w14:paraId="5CD9F624" w14:textId="48603E63"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30C4A35D" w14:textId="2F4636A1"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02BBE9ED" w14:textId="33AA9016"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E09D2FB" w14:textId="31666E6A"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9EFD5A1" w14:textId="41A6AAD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0E3685D" w14:textId="31F55EF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0F27A0B0" w14:textId="2D47ECB0"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E4C3ECD" w14:textId="3B4FEB1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E122786" w14:textId="03F9977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9830CA2" w14:textId="19344AC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3886B3C" w14:textId="0624B37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386A21B" w14:textId="4906B965"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C082583" w14:textId="77777777" w:rsidTr="003D5FA1">
        <w:trPr>
          <w:trHeight w:val="168"/>
        </w:trPr>
        <w:tc>
          <w:tcPr>
            <w:tcW w:w="555" w:type="pct"/>
            <w:shd w:val="clear" w:color="auto" w:fill="auto"/>
            <w:noWrap/>
            <w:vAlign w:val="center"/>
            <w:hideMark/>
          </w:tcPr>
          <w:p w14:paraId="3AAFF3D0" w14:textId="2203429E"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0B294D3B"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Meter rings</w:t>
            </w:r>
          </w:p>
        </w:tc>
        <w:tc>
          <w:tcPr>
            <w:tcW w:w="318" w:type="pct"/>
            <w:shd w:val="clear" w:color="auto" w:fill="auto"/>
            <w:noWrap/>
            <w:vAlign w:val="center"/>
            <w:hideMark/>
          </w:tcPr>
          <w:p w14:paraId="4A847BAB" w14:textId="721F629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789218B"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1860</w:t>
            </w:r>
          </w:p>
        </w:tc>
        <w:tc>
          <w:tcPr>
            <w:tcW w:w="304" w:type="pct"/>
            <w:shd w:val="clear" w:color="auto" w:fill="auto"/>
            <w:noWrap/>
            <w:vAlign w:val="center"/>
            <w:hideMark/>
          </w:tcPr>
          <w:p w14:paraId="42D8A3D8" w14:textId="391627BA"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0C1260DA" w14:textId="21FEE19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81A3455" w14:textId="4A2026B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056700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$521</w:t>
            </w:r>
          </w:p>
        </w:tc>
        <w:tc>
          <w:tcPr>
            <w:tcW w:w="276" w:type="pct"/>
            <w:gridSpan w:val="2"/>
            <w:shd w:val="clear" w:color="auto" w:fill="auto"/>
            <w:noWrap/>
            <w:vAlign w:val="center"/>
            <w:hideMark/>
          </w:tcPr>
          <w:p w14:paraId="6F13A902" w14:textId="4E7AB07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04798FA" w14:textId="53D0D1F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35C49459" w14:textId="0D130F6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17BF8E4" w14:textId="2F4297C5"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05D1194" w14:textId="77777777" w:rsidTr="003D5FA1">
        <w:trPr>
          <w:trHeight w:val="168"/>
        </w:trPr>
        <w:tc>
          <w:tcPr>
            <w:tcW w:w="555" w:type="pct"/>
            <w:shd w:val="clear" w:color="auto" w:fill="auto"/>
            <w:noWrap/>
            <w:vAlign w:val="center"/>
            <w:hideMark/>
          </w:tcPr>
          <w:p w14:paraId="7F93CE87" w14:textId="28C520A2"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4671D3B" w14:textId="2D81A5F1"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62D95AF1" w14:textId="61C7E624"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782A8B7" w14:textId="4CD4D9E1"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A8F5429" w14:textId="1CB76EAC"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79CA75F" w14:textId="441D7F78"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7FCDD8BA" w14:textId="3AB00745"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17004305" w14:textId="0E13B26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017DC94" w14:textId="24AF756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E75D15D" w14:textId="7A36D5EA"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8EDAE15" w14:textId="24B95D62"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13C462D" w14:textId="76403750"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BD9776C" w14:textId="77777777" w:rsidTr="003D5FA1">
        <w:trPr>
          <w:trHeight w:val="168"/>
        </w:trPr>
        <w:tc>
          <w:tcPr>
            <w:tcW w:w="555" w:type="pct"/>
            <w:shd w:val="clear" w:color="auto" w:fill="auto"/>
            <w:noWrap/>
            <w:vAlign w:val="center"/>
            <w:hideMark/>
          </w:tcPr>
          <w:p w14:paraId="5D781D73" w14:textId="1896F98B"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40EB7F1"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Meter service provider</w:t>
            </w:r>
          </w:p>
        </w:tc>
        <w:tc>
          <w:tcPr>
            <w:tcW w:w="318" w:type="pct"/>
            <w:shd w:val="clear" w:color="auto" w:fill="auto"/>
            <w:noWrap/>
            <w:vAlign w:val="center"/>
            <w:hideMark/>
          </w:tcPr>
          <w:p w14:paraId="23B3795C" w14:textId="72EFF82C"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7438BF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1860</w:t>
            </w:r>
          </w:p>
        </w:tc>
        <w:tc>
          <w:tcPr>
            <w:tcW w:w="304" w:type="pct"/>
            <w:shd w:val="clear" w:color="auto" w:fill="auto"/>
            <w:noWrap/>
            <w:vAlign w:val="center"/>
            <w:hideMark/>
          </w:tcPr>
          <w:p w14:paraId="355DA939" w14:textId="7B10B667"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531BA69" w14:textId="4B328886"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FC92BA8" w14:textId="6CAC674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39C99E2" w14:textId="2D03E10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9C8426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$1,000</w:t>
            </w:r>
          </w:p>
        </w:tc>
        <w:tc>
          <w:tcPr>
            <w:tcW w:w="276" w:type="pct"/>
            <w:gridSpan w:val="2"/>
            <w:shd w:val="clear" w:color="auto" w:fill="auto"/>
            <w:noWrap/>
            <w:vAlign w:val="center"/>
            <w:hideMark/>
          </w:tcPr>
          <w:p w14:paraId="22A73D76" w14:textId="08DC53F6"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4ED9084" w14:textId="078DC15D"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28CDD7B8" w14:textId="643FBAB7"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39A57E7" w14:textId="77777777" w:rsidTr="003D5FA1">
        <w:trPr>
          <w:trHeight w:val="168"/>
        </w:trPr>
        <w:tc>
          <w:tcPr>
            <w:tcW w:w="555" w:type="pct"/>
            <w:shd w:val="clear" w:color="auto" w:fill="auto"/>
            <w:noWrap/>
            <w:vAlign w:val="center"/>
            <w:hideMark/>
          </w:tcPr>
          <w:p w14:paraId="60C7524F" w14:textId="7BEAE594"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9AD8613" w14:textId="7D765C91"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70FD7DE3" w14:textId="40CA25FB"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7D35863" w14:textId="261FD90A"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11F2AF99" w14:textId="2ED619B8"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6474E0F" w14:textId="66A56D73"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88A683F" w14:textId="7364CB29"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10CE07B7" w14:textId="7CD2E3C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B0AAE41" w14:textId="4179E55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3CBC4FC" w14:textId="7C6051E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B50DB6D" w14:textId="1632410B"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17FEC362" w14:textId="20F5F2E1"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322C56D" w14:textId="77777777" w:rsidTr="003D5FA1">
        <w:trPr>
          <w:trHeight w:val="168"/>
        </w:trPr>
        <w:tc>
          <w:tcPr>
            <w:tcW w:w="555" w:type="pct"/>
            <w:shd w:val="clear" w:color="auto" w:fill="auto"/>
            <w:noWrap/>
            <w:vAlign w:val="center"/>
            <w:hideMark/>
          </w:tcPr>
          <w:p w14:paraId="732AEF77" w14:textId="167357D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1318B0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Meter sampling</w:t>
            </w:r>
          </w:p>
        </w:tc>
        <w:tc>
          <w:tcPr>
            <w:tcW w:w="318" w:type="pct"/>
            <w:shd w:val="clear" w:color="auto" w:fill="auto"/>
            <w:noWrap/>
            <w:vAlign w:val="center"/>
            <w:hideMark/>
          </w:tcPr>
          <w:p w14:paraId="74B0AEC4" w14:textId="61FD8C20"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92D79C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1860</w:t>
            </w:r>
          </w:p>
        </w:tc>
        <w:tc>
          <w:tcPr>
            <w:tcW w:w="304" w:type="pct"/>
            <w:shd w:val="clear" w:color="auto" w:fill="auto"/>
            <w:noWrap/>
            <w:vAlign w:val="center"/>
            <w:hideMark/>
          </w:tcPr>
          <w:p w14:paraId="20A4D854" w14:textId="56F58A3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F0BC19D" w14:textId="24C4D4C6"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10F9F98" w14:textId="2E237384"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F6A51ED" w14:textId="211362A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CD5C46A" w14:textId="7FBC500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5FDD161C"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$19,668</w:t>
            </w:r>
          </w:p>
        </w:tc>
        <w:tc>
          <w:tcPr>
            <w:tcW w:w="304" w:type="pct"/>
            <w:gridSpan w:val="2"/>
            <w:shd w:val="clear" w:color="auto" w:fill="auto"/>
            <w:noWrap/>
            <w:vAlign w:val="center"/>
            <w:hideMark/>
          </w:tcPr>
          <w:p w14:paraId="3FA616E6" w14:textId="7656C839"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1C95084" w14:textId="7A4C2F03"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F854D51" w14:textId="77777777" w:rsidTr="003D5FA1">
        <w:trPr>
          <w:trHeight w:val="168"/>
        </w:trPr>
        <w:tc>
          <w:tcPr>
            <w:tcW w:w="555" w:type="pct"/>
            <w:shd w:val="clear" w:color="auto" w:fill="auto"/>
            <w:noWrap/>
            <w:vAlign w:val="center"/>
            <w:hideMark/>
          </w:tcPr>
          <w:p w14:paraId="67FCA888" w14:textId="57B46D1D"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2DA639D" w14:textId="3FCAE872"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6F2C78B1" w14:textId="6644415E"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81F0568" w14:textId="638C98D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91F17DB" w14:textId="23CFC327"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38E32BCA" w14:textId="747E633E"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7E13A857" w14:textId="2FB22494"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32E0824" w14:textId="603220B3"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7FB34B5" w14:textId="7E1D522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B21BF3F" w14:textId="45E6C923"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8B2B645" w14:textId="41BF2B7E"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B073B93" w14:textId="5DF44A3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EC0438A" w14:textId="77777777" w:rsidTr="003D5FA1">
        <w:trPr>
          <w:trHeight w:val="168"/>
        </w:trPr>
        <w:tc>
          <w:tcPr>
            <w:tcW w:w="555" w:type="pct"/>
            <w:shd w:val="clear" w:color="auto" w:fill="auto"/>
            <w:noWrap/>
            <w:vAlign w:val="center"/>
            <w:hideMark/>
          </w:tcPr>
          <w:p w14:paraId="67F4113D" w14:textId="7FCF870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194631E5" w14:textId="577C0516"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Meter reverification</w:t>
            </w:r>
          </w:p>
        </w:tc>
        <w:tc>
          <w:tcPr>
            <w:tcW w:w="318" w:type="pct"/>
            <w:shd w:val="clear" w:color="auto" w:fill="auto"/>
            <w:noWrap/>
            <w:vAlign w:val="center"/>
            <w:hideMark/>
          </w:tcPr>
          <w:p w14:paraId="34F4E4C6" w14:textId="4BDC0C69"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1F95DD1"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1860</w:t>
            </w:r>
          </w:p>
        </w:tc>
        <w:tc>
          <w:tcPr>
            <w:tcW w:w="304" w:type="pct"/>
            <w:shd w:val="clear" w:color="auto" w:fill="auto"/>
            <w:noWrap/>
            <w:vAlign w:val="center"/>
            <w:hideMark/>
          </w:tcPr>
          <w:p w14:paraId="4690E541" w14:textId="53D4F5CE"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3FB7CFA5" w14:textId="2BE6BBA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09A5CF67" w14:textId="4DB8B028"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9124975" w14:textId="414ACFD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D98D956" w14:textId="6E15294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BD664D3" w14:textId="3CDC5F88"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FFFF00"/>
            <w:noWrap/>
            <w:vAlign w:val="center"/>
            <w:hideMark/>
          </w:tcPr>
          <w:p w14:paraId="2AE6CF6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$10,866</w:t>
            </w:r>
          </w:p>
        </w:tc>
        <w:tc>
          <w:tcPr>
            <w:tcW w:w="277" w:type="pct"/>
            <w:gridSpan w:val="2"/>
            <w:shd w:val="clear" w:color="auto" w:fill="auto"/>
            <w:noWrap/>
            <w:vAlign w:val="center"/>
            <w:hideMark/>
          </w:tcPr>
          <w:p w14:paraId="73AFEA66" w14:textId="6D49B1CE"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234887A" w14:textId="77777777" w:rsidTr="003D5FA1">
        <w:trPr>
          <w:trHeight w:val="168"/>
        </w:trPr>
        <w:tc>
          <w:tcPr>
            <w:tcW w:w="555" w:type="pct"/>
            <w:shd w:val="clear" w:color="auto" w:fill="auto"/>
            <w:noWrap/>
            <w:vAlign w:val="center"/>
            <w:hideMark/>
          </w:tcPr>
          <w:p w14:paraId="70EBE1F7" w14:textId="3F371E0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448C2F5" w14:textId="4087C57D"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166BFF28" w14:textId="33B0292C"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8286651" w14:textId="082851E2"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0EA0186" w14:textId="0DD9F6D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3C495230" w14:textId="7DE032C1"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63E2D37A" w14:textId="1D08185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FD7D992" w14:textId="5A9A8FC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6C27F3E" w14:textId="7689CA4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E98591F" w14:textId="1F213C71"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459FCDCF" w14:textId="59187545"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1EA745FC" w14:textId="1A57B71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22EBCC9" w14:textId="77777777" w:rsidTr="003D5FA1">
        <w:trPr>
          <w:trHeight w:val="168"/>
        </w:trPr>
        <w:tc>
          <w:tcPr>
            <w:tcW w:w="555" w:type="pct"/>
            <w:shd w:val="clear" w:color="auto" w:fill="auto"/>
            <w:noWrap/>
            <w:vAlign w:val="center"/>
            <w:hideMark/>
          </w:tcPr>
          <w:p w14:paraId="04645F14" w14:textId="32173A08"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19A042EE" w14:textId="401A0E7C"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Sub-total  system access</w:t>
            </w:r>
          </w:p>
        </w:tc>
        <w:tc>
          <w:tcPr>
            <w:tcW w:w="318" w:type="pct"/>
            <w:shd w:val="clear" w:color="auto" w:fill="auto"/>
            <w:noWrap/>
            <w:vAlign w:val="center"/>
            <w:hideMark/>
          </w:tcPr>
          <w:p w14:paraId="343474EF" w14:textId="42AA931F"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B76D1CF" w14:textId="24DAF191"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85BDBF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$439,701</w:t>
            </w:r>
          </w:p>
        </w:tc>
        <w:tc>
          <w:tcPr>
            <w:tcW w:w="276" w:type="pct"/>
            <w:shd w:val="clear" w:color="auto" w:fill="auto"/>
            <w:noWrap/>
            <w:vAlign w:val="center"/>
            <w:hideMark/>
          </w:tcPr>
          <w:p w14:paraId="7713B1C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$880</w:t>
            </w:r>
          </w:p>
        </w:tc>
        <w:tc>
          <w:tcPr>
            <w:tcW w:w="306" w:type="pct"/>
            <w:shd w:val="clear" w:color="auto" w:fill="auto"/>
            <w:noWrap/>
            <w:vAlign w:val="center"/>
            <w:hideMark/>
          </w:tcPr>
          <w:p w14:paraId="49973D8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auto" w:fill="auto"/>
            <w:noWrap/>
            <w:vAlign w:val="center"/>
            <w:hideMark/>
          </w:tcPr>
          <w:p w14:paraId="4A1FA2E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$521</w:t>
            </w:r>
          </w:p>
        </w:tc>
        <w:tc>
          <w:tcPr>
            <w:tcW w:w="276" w:type="pct"/>
            <w:gridSpan w:val="2"/>
            <w:shd w:val="clear" w:color="auto" w:fill="auto"/>
            <w:noWrap/>
            <w:vAlign w:val="center"/>
            <w:hideMark/>
          </w:tcPr>
          <w:p w14:paraId="3ABA643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$1,000</w:t>
            </w:r>
          </w:p>
        </w:tc>
        <w:tc>
          <w:tcPr>
            <w:tcW w:w="276" w:type="pct"/>
            <w:gridSpan w:val="2"/>
            <w:shd w:val="clear" w:color="auto" w:fill="auto"/>
            <w:noWrap/>
            <w:vAlign w:val="center"/>
            <w:hideMark/>
          </w:tcPr>
          <w:p w14:paraId="1BA3976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$19,668</w:t>
            </w:r>
          </w:p>
        </w:tc>
        <w:tc>
          <w:tcPr>
            <w:tcW w:w="304" w:type="pct"/>
            <w:gridSpan w:val="2"/>
            <w:shd w:val="clear" w:color="auto" w:fill="auto"/>
            <w:noWrap/>
            <w:vAlign w:val="center"/>
            <w:hideMark/>
          </w:tcPr>
          <w:p w14:paraId="6DF51DB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$10,866</w:t>
            </w:r>
          </w:p>
        </w:tc>
        <w:tc>
          <w:tcPr>
            <w:tcW w:w="277" w:type="pct"/>
            <w:gridSpan w:val="2"/>
            <w:shd w:val="clear" w:color="auto" w:fill="auto"/>
            <w:noWrap/>
            <w:vAlign w:val="center"/>
            <w:hideMark/>
          </w:tcPr>
          <w:p w14:paraId="6F80FB1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2D15E45C" w14:textId="77777777" w:rsidTr="003D5FA1">
        <w:trPr>
          <w:trHeight w:val="168"/>
        </w:trPr>
        <w:tc>
          <w:tcPr>
            <w:tcW w:w="555" w:type="pct"/>
            <w:shd w:val="clear" w:color="auto" w:fill="auto"/>
            <w:noWrap/>
            <w:vAlign w:val="center"/>
            <w:hideMark/>
          </w:tcPr>
          <w:p w14:paraId="160D53D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1587" w:type="pct"/>
            <w:shd w:val="clear" w:color="000000" w:fill="D9D9D9"/>
            <w:noWrap/>
            <w:vAlign w:val="center"/>
            <w:hideMark/>
          </w:tcPr>
          <w:p w14:paraId="185663BB" w14:textId="7E721154"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453CC3BE" w14:textId="790FB28E"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472E1C73" w14:textId="6A41F947"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4F064C1B" w14:textId="00051734"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3FA289F7" w14:textId="5E57C369"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5993A09F" w14:textId="67F082B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0F85D014" w14:textId="10D3799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1B8C3A5A" w14:textId="1BEBE71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6DA7532D" w14:textId="440D9D19"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472EE64D" w14:textId="59509AF4"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6D45E2AC" w14:textId="04555870"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260DDAA" w14:textId="77777777" w:rsidTr="003D5FA1">
        <w:trPr>
          <w:trHeight w:val="168"/>
        </w:trPr>
        <w:tc>
          <w:tcPr>
            <w:tcW w:w="555" w:type="pct"/>
            <w:shd w:val="clear" w:color="auto" w:fill="auto"/>
            <w:noWrap/>
            <w:vAlign w:val="center"/>
            <w:hideMark/>
          </w:tcPr>
          <w:p w14:paraId="3BE66B46" w14:textId="592E7356"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11AE2BB5" w14:textId="660BA25A"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61CF78F9" w14:textId="6760370D"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6F60C777" w14:textId="712CDE30"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6ED1065B" w14:textId="6154C9ED"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63EDC113" w14:textId="0CD377E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3314E506" w14:textId="27AC3EA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43A2D8F8" w14:textId="15EC3CB3"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596A6800" w14:textId="22E1631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6224B3E5" w14:textId="3BA233F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3516479C" w14:textId="58AFFAF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32C60955" w14:textId="723CDCEE"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9C7075F" w14:textId="77777777" w:rsidTr="003D5FA1">
        <w:trPr>
          <w:trHeight w:val="168"/>
        </w:trPr>
        <w:tc>
          <w:tcPr>
            <w:tcW w:w="555" w:type="pct"/>
            <w:shd w:val="clear" w:color="auto" w:fill="auto"/>
            <w:noWrap/>
            <w:vAlign w:val="center"/>
            <w:hideMark/>
          </w:tcPr>
          <w:p w14:paraId="0924B028" w14:textId="23F47D90"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5F86A980" w14:textId="7581D4C0"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4C216B77" w14:textId="10CBC8FB"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39249783" w14:textId="74EA0924"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4BD549EA" w14:textId="516DA09D"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5081813B" w14:textId="75B78EA8"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13478B81" w14:textId="1DE8CB41"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3ABF89E3" w14:textId="06CA38C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6119A1E1" w14:textId="16F1250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2F641B77" w14:textId="3C264540"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2E7E7F32" w14:textId="233B7B93"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45E26845" w14:textId="3C006947"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99D44C2" w14:textId="77777777" w:rsidTr="003D5FA1">
        <w:trPr>
          <w:trHeight w:val="168"/>
        </w:trPr>
        <w:tc>
          <w:tcPr>
            <w:tcW w:w="555" w:type="pct"/>
            <w:shd w:val="clear" w:color="auto" w:fill="auto"/>
            <w:noWrap/>
            <w:vAlign w:val="center"/>
            <w:hideMark/>
          </w:tcPr>
          <w:p w14:paraId="037274FF" w14:textId="76D3AF71"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58FF17ED" w14:textId="31FE7C69"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4D45CF44" w14:textId="0AF79373"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0A2D3A53" w14:textId="56E06B4F"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042334BC" w14:textId="7A8188F1"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55AAB4B6" w14:textId="566F7E2F"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10E38E99" w14:textId="0E48BC00"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04E24D51" w14:textId="1761073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78BCC5B5" w14:textId="005DCFA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7CF9B42D" w14:textId="29F4D067"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12821345" w14:textId="2FEBCDD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2329E75B" w14:textId="0445ACB2"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77972B5" w14:textId="77777777" w:rsidTr="003D5FA1">
        <w:trPr>
          <w:trHeight w:val="168"/>
        </w:trPr>
        <w:tc>
          <w:tcPr>
            <w:tcW w:w="555" w:type="pct"/>
            <w:shd w:val="clear" w:color="auto" w:fill="auto"/>
            <w:noWrap/>
            <w:vAlign w:val="center"/>
            <w:hideMark/>
          </w:tcPr>
          <w:p w14:paraId="416390E1" w14:textId="7FFEE37B"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23B9EFBE" w14:textId="7069D613"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2F2F03FF" w14:textId="2746826D"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39B91B6A" w14:textId="57065C40"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0D5D79D1" w14:textId="2A0DD61F"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56170544" w14:textId="6FDC390D"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4C31E056" w14:textId="6E85A719"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30782CE4" w14:textId="1868623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0D5F0504" w14:textId="778BD23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11502A4C" w14:textId="4A0D18DE"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4B734FCB" w14:textId="737FEB2A"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21C902B4" w14:textId="0D6DA76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DA3DAF6" w14:textId="77777777" w:rsidTr="003D5FA1">
        <w:trPr>
          <w:trHeight w:val="168"/>
        </w:trPr>
        <w:tc>
          <w:tcPr>
            <w:tcW w:w="555" w:type="pct"/>
            <w:shd w:val="clear" w:color="auto" w:fill="auto"/>
            <w:noWrap/>
            <w:vAlign w:val="center"/>
            <w:hideMark/>
          </w:tcPr>
          <w:p w14:paraId="49324FE3" w14:textId="42BB67FE"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2A2F91E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318" w:type="pct"/>
            <w:shd w:val="clear" w:color="000000" w:fill="D9D9D9"/>
            <w:noWrap/>
            <w:vAlign w:val="center"/>
            <w:hideMark/>
          </w:tcPr>
          <w:p w14:paraId="7DFD2DF8" w14:textId="2A914BC0"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74D9883D" w14:textId="2313BB60"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584C83D2" w14:textId="4708154F"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0A69EC4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6" w:type="pct"/>
            <w:shd w:val="clear" w:color="000000" w:fill="D9D9D9"/>
            <w:noWrap/>
            <w:vAlign w:val="center"/>
            <w:hideMark/>
          </w:tcPr>
          <w:p w14:paraId="1C9A233B"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000000" w:fill="D9D9D9"/>
            <w:noWrap/>
            <w:vAlign w:val="center"/>
            <w:hideMark/>
          </w:tcPr>
          <w:p w14:paraId="6046543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0518B9C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209B3F2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000000" w:fill="D9D9D9"/>
            <w:noWrap/>
            <w:vAlign w:val="center"/>
            <w:hideMark/>
          </w:tcPr>
          <w:p w14:paraId="7ED1FE9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7" w:type="pct"/>
            <w:gridSpan w:val="2"/>
            <w:shd w:val="clear" w:color="000000" w:fill="D9D9D9"/>
            <w:noWrap/>
            <w:vAlign w:val="center"/>
            <w:hideMark/>
          </w:tcPr>
          <w:p w14:paraId="592222F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0A392DFD" w14:textId="77777777" w:rsidTr="003D5FA1">
        <w:trPr>
          <w:trHeight w:val="178"/>
        </w:trPr>
        <w:tc>
          <w:tcPr>
            <w:tcW w:w="555" w:type="pct"/>
            <w:shd w:val="clear" w:color="auto" w:fill="auto"/>
            <w:noWrap/>
            <w:vAlign w:val="center"/>
            <w:hideMark/>
          </w:tcPr>
          <w:p w14:paraId="6213CD8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access</w:t>
            </w:r>
          </w:p>
        </w:tc>
        <w:tc>
          <w:tcPr>
            <w:tcW w:w="1587" w:type="pct"/>
            <w:shd w:val="clear" w:color="auto" w:fill="auto"/>
            <w:noWrap/>
            <w:vAlign w:val="center"/>
            <w:hideMark/>
          </w:tcPr>
          <w:p w14:paraId="2CC1B7A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access</w:t>
            </w:r>
          </w:p>
        </w:tc>
        <w:tc>
          <w:tcPr>
            <w:tcW w:w="318" w:type="pct"/>
            <w:shd w:val="clear" w:color="auto" w:fill="auto"/>
            <w:noWrap/>
            <w:vAlign w:val="center"/>
            <w:hideMark/>
          </w:tcPr>
          <w:p w14:paraId="1EAF26D6" w14:textId="1C2663D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07196D1" w14:textId="07D04D41"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0B396C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$439,701</w:t>
            </w:r>
          </w:p>
        </w:tc>
        <w:tc>
          <w:tcPr>
            <w:tcW w:w="276" w:type="pct"/>
            <w:shd w:val="clear" w:color="auto" w:fill="auto"/>
            <w:noWrap/>
            <w:vAlign w:val="center"/>
            <w:hideMark/>
          </w:tcPr>
          <w:p w14:paraId="64AD569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$880</w:t>
            </w:r>
          </w:p>
        </w:tc>
        <w:tc>
          <w:tcPr>
            <w:tcW w:w="306" w:type="pct"/>
            <w:shd w:val="clear" w:color="auto" w:fill="auto"/>
            <w:noWrap/>
            <w:vAlign w:val="center"/>
            <w:hideMark/>
          </w:tcPr>
          <w:p w14:paraId="68DFE56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auto" w:fill="auto"/>
            <w:noWrap/>
            <w:vAlign w:val="center"/>
            <w:hideMark/>
          </w:tcPr>
          <w:p w14:paraId="7071692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$521</w:t>
            </w:r>
          </w:p>
        </w:tc>
        <w:tc>
          <w:tcPr>
            <w:tcW w:w="276" w:type="pct"/>
            <w:gridSpan w:val="2"/>
            <w:shd w:val="clear" w:color="auto" w:fill="auto"/>
            <w:noWrap/>
            <w:vAlign w:val="center"/>
            <w:hideMark/>
          </w:tcPr>
          <w:p w14:paraId="49DAEB5B"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$1,000</w:t>
            </w:r>
          </w:p>
        </w:tc>
        <w:tc>
          <w:tcPr>
            <w:tcW w:w="276" w:type="pct"/>
            <w:gridSpan w:val="2"/>
            <w:shd w:val="clear" w:color="auto" w:fill="auto"/>
            <w:noWrap/>
            <w:vAlign w:val="center"/>
            <w:hideMark/>
          </w:tcPr>
          <w:p w14:paraId="6E83F04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$19,668</w:t>
            </w:r>
          </w:p>
        </w:tc>
        <w:tc>
          <w:tcPr>
            <w:tcW w:w="304" w:type="pct"/>
            <w:gridSpan w:val="2"/>
            <w:shd w:val="clear" w:color="auto" w:fill="auto"/>
            <w:noWrap/>
            <w:vAlign w:val="center"/>
            <w:hideMark/>
          </w:tcPr>
          <w:p w14:paraId="56A5B50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$10,866</w:t>
            </w:r>
          </w:p>
        </w:tc>
        <w:tc>
          <w:tcPr>
            <w:tcW w:w="277" w:type="pct"/>
            <w:gridSpan w:val="2"/>
            <w:shd w:val="clear" w:color="auto" w:fill="auto"/>
            <w:noWrap/>
            <w:vAlign w:val="center"/>
            <w:hideMark/>
          </w:tcPr>
          <w:p w14:paraId="2E1F84D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6FC67DBF" w14:textId="77777777" w:rsidTr="003D5FA1">
        <w:trPr>
          <w:trHeight w:val="168"/>
        </w:trPr>
        <w:tc>
          <w:tcPr>
            <w:tcW w:w="555" w:type="pct"/>
            <w:shd w:val="clear" w:color="auto" w:fill="auto"/>
            <w:noWrap/>
            <w:vAlign w:val="center"/>
            <w:hideMark/>
          </w:tcPr>
          <w:p w14:paraId="4EA6079E"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527F27E4"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732A3A74"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3611722C"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5655C98A"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34219EE1"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08D8FF39"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07C3ED40"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027164EE"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5339A62C"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65A8CA2A"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1760987C"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6DD55850" w14:textId="77777777" w:rsidTr="003D5FA1">
        <w:trPr>
          <w:trHeight w:val="178"/>
        </w:trPr>
        <w:tc>
          <w:tcPr>
            <w:tcW w:w="555" w:type="pct"/>
            <w:shd w:val="clear" w:color="auto" w:fill="auto"/>
            <w:noWrap/>
            <w:vAlign w:val="center"/>
            <w:hideMark/>
          </w:tcPr>
          <w:p w14:paraId="2CD30B23" w14:textId="77777777" w:rsidR="003D5FA1" w:rsidRPr="003D5FA1" w:rsidRDefault="003D5FA1" w:rsidP="003D5FA1">
            <w:pPr>
              <w:pStyle w:val="NoSpacing"/>
              <w:jc w:val="center"/>
              <w:rPr>
                <w:rFonts w:ascii="Arial Narrow" w:hAnsi="Arial Narrow" w:cs="Times New Roman"/>
                <w:sz w:val="14"/>
                <w:szCs w:val="16"/>
                <w:lang w:eastAsia="en-CA"/>
              </w:rPr>
            </w:pPr>
          </w:p>
        </w:tc>
        <w:tc>
          <w:tcPr>
            <w:tcW w:w="1587" w:type="pct"/>
            <w:shd w:val="clear" w:color="auto" w:fill="auto"/>
            <w:noWrap/>
            <w:vAlign w:val="center"/>
            <w:hideMark/>
          </w:tcPr>
          <w:p w14:paraId="375F1635"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55E3B696"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1BE06F56"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0C1BFDBA"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28E186FD"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6F045726"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14903256"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7AE7C583"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28911C3E"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61F52E7E"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16058BEA"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20DBBA23" w14:textId="77777777" w:rsidTr="003D5FA1">
        <w:trPr>
          <w:trHeight w:val="178"/>
        </w:trPr>
        <w:tc>
          <w:tcPr>
            <w:tcW w:w="555" w:type="pct"/>
            <w:shd w:val="clear" w:color="auto" w:fill="auto"/>
            <w:vAlign w:val="center"/>
            <w:hideMark/>
          </w:tcPr>
          <w:p w14:paraId="2CA9D9C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System renewal</w:t>
            </w:r>
          </w:p>
        </w:tc>
        <w:tc>
          <w:tcPr>
            <w:tcW w:w="1587" w:type="pct"/>
            <w:shd w:val="clear" w:color="auto" w:fill="auto"/>
            <w:vAlign w:val="center"/>
            <w:hideMark/>
          </w:tcPr>
          <w:p w14:paraId="0B1412D7"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System renewal</w:t>
            </w:r>
          </w:p>
        </w:tc>
        <w:tc>
          <w:tcPr>
            <w:tcW w:w="318" w:type="pct"/>
            <w:shd w:val="clear" w:color="auto" w:fill="auto"/>
            <w:vAlign w:val="center"/>
            <w:hideMark/>
          </w:tcPr>
          <w:p w14:paraId="1C238565" w14:textId="5D30618C"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9C12B84" w14:textId="241B14C6"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Usoa</w:t>
            </w:r>
          </w:p>
        </w:tc>
        <w:tc>
          <w:tcPr>
            <w:tcW w:w="304" w:type="pct"/>
            <w:shd w:val="clear" w:color="auto" w:fill="auto"/>
            <w:noWrap/>
            <w:vAlign w:val="center"/>
            <w:hideMark/>
          </w:tcPr>
          <w:p w14:paraId="22AF26CB"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2012</w:t>
            </w:r>
          </w:p>
        </w:tc>
        <w:tc>
          <w:tcPr>
            <w:tcW w:w="276" w:type="pct"/>
            <w:shd w:val="clear" w:color="auto" w:fill="auto"/>
            <w:noWrap/>
            <w:vAlign w:val="center"/>
            <w:hideMark/>
          </w:tcPr>
          <w:p w14:paraId="34700A4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2013</w:t>
            </w:r>
          </w:p>
        </w:tc>
        <w:tc>
          <w:tcPr>
            <w:tcW w:w="306" w:type="pct"/>
            <w:shd w:val="clear" w:color="auto" w:fill="auto"/>
            <w:noWrap/>
            <w:vAlign w:val="center"/>
            <w:hideMark/>
          </w:tcPr>
          <w:p w14:paraId="4947C33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2014</w:t>
            </w:r>
          </w:p>
        </w:tc>
        <w:tc>
          <w:tcPr>
            <w:tcW w:w="307" w:type="pct"/>
            <w:shd w:val="clear" w:color="auto" w:fill="auto"/>
            <w:noWrap/>
            <w:vAlign w:val="center"/>
            <w:hideMark/>
          </w:tcPr>
          <w:p w14:paraId="6118613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2015</w:t>
            </w:r>
          </w:p>
        </w:tc>
        <w:tc>
          <w:tcPr>
            <w:tcW w:w="276" w:type="pct"/>
            <w:gridSpan w:val="2"/>
            <w:shd w:val="clear" w:color="auto" w:fill="auto"/>
            <w:noWrap/>
            <w:vAlign w:val="center"/>
            <w:hideMark/>
          </w:tcPr>
          <w:p w14:paraId="7F55F46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2016</w:t>
            </w:r>
          </w:p>
        </w:tc>
        <w:tc>
          <w:tcPr>
            <w:tcW w:w="276" w:type="pct"/>
            <w:gridSpan w:val="2"/>
            <w:shd w:val="clear" w:color="auto" w:fill="auto"/>
            <w:noWrap/>
            <w:vAlign w:val="center"/>
            <w:hideMark/>
          </w:tcPr>
          <w:p w14:paraId="1F8D546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2017</w:t>
            </w:r>
          </w:p>
        </w:tc>
        <w:tc>
          <w:tcPr>
            <w:tcW w:w="304" w:type="pct"/>
            <w:gridSpan w:val="2"/>
            <w:shd w:val="clear" w:color="auto" w:fill="auto"/>
            <w:noWrap/>
            <w:vAlign w:val="center"/>
            <w:hideMark/>
          </w:tcPr>
          <w:p w14:paraId="0BEBD68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2018</w:t>
            </w:r>
          </w:p>
        </w:tc>
        <w:tc>
          <w:tcPr>
            <w:tcW w:w="277" w:type="pct"/>
            <w:gridSpan w:val="2"/>
            <w:shd w:val="clear" w:color="auto" w:fill="auto"/>
            <w:noWrap/>
            <w:vAlign w:val="center"/>
            <w:hideMark/>
          </w:tcPr>
          <w:p w14:paraId="71929E9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2019</w:t>
            </w:r>
          </w:p>
        </w:tc>
      </w:tr>
      <w:tr w:rsidR="003D5FA1" w:rsidRPr="003D5FA1" w14:paraId="10C72076" w14:textId="77777777" w:rsidTr="003D5FA1">
        <w:trPr>
          <w:trHeight w:val="168"/>
        </w:trPr>
        <w:tc>
          <w:tcPr>
            <w:tcW w:w="555" w:type="pct"/>
            <w:shd w:val="clear" w:color="auto" w:fill="auto"/>
            <w:noWrap/>
            <w:vAlign w:val="center"/>
            <w:hideMark/>
          </w:tcPr>
          <w:p w14:paraId="2880A71C" w14:textId="7777777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A97A13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Poles ,towers &amp; fixtures with some contract work</w:t>
            </w:r>
          </w:p>
        </w:tc>
        <w:tc>
          <w:tcPr>
            <w:tcW w:w="318" w:type="pct"/>
            <w:shd w:val="clear" w:color="auto" w:fill="auto"/>
            <w:noWrap/>
            <w:vAlign w:val="center"/>
            <w:hideMark/>
          </w:tcPr>
          <w:p w14:paraId="56104565" w14:textId="3DF8AC66"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943170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1830</w:t>
            </w:r>
          </w:p>
        </w:tc>
        <w:tc>
          <w:tcPr>
            <w:tcW w:w="304" w:type="pct"/>
            <w:shd w:val="clear" w:color="auto" w:fill="auto"/>
            <w:noWrap/>
            <w:vAlign w:val="center"/>
            <w:hideMark/>
          </w:tcPr>
          <w:p w14:paraId="2DD7FBA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$2,502</w:t>
            </w:r>
          </w:p>
        </w:tc>
        <w:tc>
          <w:tcPr>
            <w:tcW w:w="276" w:type="pct"/>
            <w:shd w:val="clear" w:color="auto" w:fill="auto"/>
            <w:noWrap/>
            <w:vAlign w:val="center"/>
            <w:hideMark/>
          </w:tcPr>
          <w:p w14:paraId="51DE1CC5" w14:textId="07FA8EF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1028902" w14:textId="324A4469"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94EEA9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$40,267</w:t>
            </w:r>
          </w:p>
        </w:tc>
        <w:tc>
          <w:tcPr>
            <w:tcW w:w="276" w:type="pct"/>
            <w:gridSpan w:val="2"/>
            <w:shd w:val="clear" w:color="auto" w:fill="auto"/>
            <w:noWrap/>
            <w:vAlign w:val="center"/>
            <w:hideMark/>
          </w:tcPr>
          <w:p w14:paraId="138A8D08" w14:textId="662F44F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5512E2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$4,389</w:t>
            </w:r>
          </w:p>
        </w:tc>
        <w:tc>
          <w:tcPr>
            <w:tcW w:w="304" w:type="pct"/>
            <w:gridSpan w:val="2"/>
            <w:shd w:val="clear" w:color="auto" w:fill="auto"/>
            <w:noWrap/>
            <w:vAlign w:val="center"/>
            <w:hideMark/>
          </w:tcPr>
          <w:p w14:paraId="56640ACC" w14:textId="3E7582E2"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6FF074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14C5003D" w14:textId="77777777" w:rsidTr="003D5FA1">
        <w:trPr>
          <w:trHeight w:val="168"/>
        </w:trPr>
        <w:tc>
          <w:tcPr>
            <w:tcW w:w="555" w:type="pct"/>
            <w:shd w:val="clear" w:color="auto" w:fill="auto"/>
            <w:noWrap/>
            <w:vAlign w:val="center"/>
            <w:hideMark/>
          </w:tcPr>
          <w:p w14:paraId="42351766"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09CF774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Contractor truck&amp; labour</w:t>
            </w:r>
          </w:p>
        </w:tc>
        <w:tc>
          <w:tcPr>
            <w:tcW w:w="318" w:type="pct"/>
            <w:shd w:val="clear" w:color="auto" w:fill="auto"/>
            <w:noWrap/>
            <w:vAlign w:val="center"/>
            <w:hideMark/>
          </w:tcPr>
          <w:p w14:paraId="7720973E" w14:textId="3D2AF90F"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857104C" w14:textId="34A18FF0"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F19074D" w14:textId="351BBBB6"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E3A110D" w14:textId="03FD0093"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4AD1823" w14:textId="1C0BB782"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F83A64B" w14:textId="088BC13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88F7234" w14:textId="7480C77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21CD809" w14:textId="0B7090E0"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7988C04" w14:textId="78728BDB"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2240388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$56,985</w:t>
            </w:r>
          </w:p>
        </w:tc>
      </w:tr>
      <w:tr w:rsidR="003D5FA1" w:rsidRPr="003D5FA1" w14:paraId="5813CCAE" w14:textId="77777777" w:rsidTr="003D5FA1">
        <w:trPr>
          <w:trHeight w:val="367"/>
        </w:trPr>
        <w:tc>
          <w:tcPr>
            <w:tcW w:w="555" w:type="pct"/>
            <w:shd w:val="clear" w:color="auto" w:fill="auto"/>
            <w:noWrap/>
            <w:vAlign w:val="center"/>
            <w:hideMark/>
          </w:tcPr>
          <w:p w14:paraId="64A6E74B"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72041EDB"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Poles towers fixtures only</w:t>
            </w:r>
          </w:p>
        </w:tc>
        <w:tc>
          <w:tcPr>
            <w:tcW w:w="318" w:type="pct"/>
            <w:shd w:val="clear" w:color="auto" w:fill="auto"/>
            <w:noWrap/>
            <w:vAlign w:val="center"/>
            <w:hideMark/>
          </w:tcPr>
          <w:p w14:paraId="2320A601"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23,162</w:t>
            </w:r>
          </w:p>
        </w:tc>
        <w:tc>
          <w:tcPr>
            <w:tcW w:w="212" w:type="pct"/>
            <w:shd w:val="clear" w:color="auto" w:fill="auto"/>
            <w:noWrap/>
            <w:vAlign w:val="center"/>
            <w:hideMark/>
          </w:tcPr>
          <w:p w14:paraId="368D4450" w14:textId="5D6C506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48283A2" w14:textId="1F54BB4F"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E00BE22" w14:textId="10A29B45"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7D8B07D9" w14:textId="492B6A2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9B90671" w14:textId="21951E7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A390B92" w14:textId="70BE4DB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97DB6CE" w14:textId="4FB9205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16DAE3B7" w14:textId="0C1A1A40"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65EA604" w14:textId="606DB3A8"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BB42ACC" w14:textId="77777777" w:rsidTr="003D5FA1">
        <w:trPr>
          <w:trHeight w:val="377"/>
        </w:trPr>
        <w:tc>
          <w:tcPr>
            <w:tcW w:w="555" w:type="pct"/>
            <w:shd w:val="clear" w:color="auto" w:fill="auto"/>
            <w:noWrap/>
            <w:vAlign w:val="center"/>
            <w:hideMark/>
          </w:tcPr>
          <w:p w14:paraId="0AA01844"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3ACF8F24" w14:textId="6B922CE3"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47B338E3" w14:textId="61D10024"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19A2A04" w14:textId="29FF52B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24AB537" w14:textId="43146CE7"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716F00D" w14:textId="01A2A586"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6603D9DE" w14:textId="57B4C3B8"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CCA0DDD" w14:textId="4CC552F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E82A690" w14:textId="490CD35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53C9C88" w14:textId="0C141230"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14DEC6A" w14:textId="790A78A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057384A4" w14:textId="21C387D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8908EFB" w14:textId="77777777" w:rsidTr="003D5FA1">
        <w:trPr>
          <w:trHeight w:val="357"/>
        </w:trPr>
        <w:tc>
          <w:tcPr>
            <w:tcW w:w="555" w:type="pct"/>
            <w:shd w:val="clear" w:color="auto" w:fill="auto"/>
            <w:noWrap/>
            <w:vAlign w:val="center"/>
            <w:hideMark/>
          </w:tcPr>
          <w:p w14:paraId="09DA95D3"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21B27E9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Line transformers</w:t>
            </w:r>
          </w:p>
        </w:tc>
        <w:tc>
          <w:tcPr>
            <w:tcW w:w="318" w:type="pct"/>
            <w:shd w:val="clear" w:color="auto" w:fill="auto"/>
            <w:noWrap/>
            <w:vAlign w:val="center"/>
            <w:hideMark/>
          </w:tcPr>
          <w:p w14:paraId="57AF56D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$8,863.00</w:t>
            </w:r>
          </w:p>
        </w:tc>
        <w:tc>
          <w:tcPr>
            <w:tcW w:w="212" w:type="pct"/>
            <w:shd w:val="clear" w:color="auto" w:fill="auto"/>
            <w:noWrap/>
            <w:vAlign w:val="center"/>
            <w:hideMark/>
          </w:tcPr>
          <w:p w14:paraId="7CA4980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1650</w:t>
            </w:r>
          </w:p>
        </w:tc>
        <w:tc>
          <w:tcPr>
            <w:tcW w:w="304" w:type="pct"/>
            <w:shd w:val="clear" w:color="auto" w:fill="auto"/>
            <w:noWrap/>
            <w:vAlign w:val="center"/>
            <w:hideMark/>
          </w:tcPr>
          <w:p w14:paraId="516A324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$4,439</w:t>
            </w:r>
          </w:p>
        </w:tc>
        <w:tc>
          <w:tcPr>
            <w:tcW w:w="276" w:type="pct"/>
            <w:shd w:val="clear" w:color="auto" w:fill="auto"/>
            <w:noWrap/>
            <w:vAlign w:val="center"/>
            <w:hideMark/>
          </w:tcPr>
          <w:p w14:paraId="72174B2B" w14:textId="65402A62"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02ABA31E" w14:textId="69A6F08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D9D57FF" w14:textId="44665FB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845778D" w14:textId="2672757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C08499E" w14:textId="1011912E"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FFFF00"/>
            <w:noWrap/>
            <w:vAlign w:val="center"/>
            <w:hideMark/>
          </w:tcPr>
          <w:p w14:paraId="74FD13B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$5,278</w:t>
            </w:r>
          </w:p>
        </w:tc>
        <w:tc>
          <w:tcPr>
            <w:tcW w:w="277" w:type="pct"/>
            <w:gridSpan w:val="2"/>
            <w:shd w:val="clear" w:color="auto" w:fill="auto"/>
            <w:noWrap/>
            <w:vAlign w:val="center"/>
            <w:hideMark/>
          </w:tcPr>
          <w:p w14:paraId="2BEAC4E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4F1649D1" w14:textId="77777777" w:rsidTr="003D5FA1">
        <w:trPr>
          <w:trHeight w:val="168"/>
        </w:trPr>
        <w:tc>
          <w:tcPr>
            <w:tcW w:w="555" w:type="pct"/>
            <w:shd w:val="clear" w:color="auto" w:fill="auto"/>
            <w:noWrap/>
            <w:vAlign w:val="center"/>
            <w:hideMark/>
          </w:tcPr>
          <w:p w14:paraId="0CCA34D0"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4458CC2E" w14:textId="0CFB4C9C"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1D9DD888" w14:textId="1FB6A74F"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B888863" w14:textId="3D3D42BD"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FE51388" w14:textId="7236199C"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22B32E2" w14:textId="2081646B"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6E4BBFD9" w14:textId="1EF62255"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B0BC710" w14:textId="638FD8F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DE0ABEC" w14:textId="20835D8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F3040FE" w14:textId="6AA74600"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93A3C52" w14:textId="2E355EEB"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3A28ECEE" w14:textId="50872CF2"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59DBD843" w14:textId="77777777" w:rsidTr="003D5FA1">
        <w:trPr>
          <w:trHeight w:val="168"/>
        </w:trPr>
        <w:tc>
          <w:tcPr>
            <w:tcW w:w="555" w:type="pct"/>
            <w:shd w:val="clear" w:color="auto" w:fill="auto"/>
            <w:noWrap/>
            <w:vAlign w:val="center"/>
            <w:hideMark/>
          </w:tcPr>
          <w:p w14:paraId="251AAB39"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0B276A7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Poles (guelph utility poles)highline power supply equipment &amp;</w:t>
            </w:r>
          </w:p>
        </w:tc>
        <w:tc>
          <w:tcPr>
            <w:tcW w:w="318" w:type="pct"/>
            <w:shd w:val="clear" w:color="auto" w:fill="auto"/>
            <w:noWrap/>
            <w:vAlign w:val="center"/>
            <w:hideMark/>
          </w:tcPr>
          <w:p w14:paraId="022B6EDC" w14:textId="6CD41601"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748A06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1830</w:t>
            </w:r>
          </w:p>
        </w:tc>
        <w:tc>
          <w:tcPr>
            <w:tcW w:w="304" w:type="pct"/>
            <w:shd w:val="clear" w:color="auto" w:fill="auto"/>
            <w:noWrap/>
            <w:vAlign w:val="center"/>
            <w:hideMark/>
          </w:tcPr>
          <w:p w14:paraId="183F396A" w14:textId="1F5D1941"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C8A4A62" w14:textId="519E93E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70547840" w14:textId="4B9BDA3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396299B" w14:textId="350FEBD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2C710F9" w14:textId="3ED6775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9E30F6E" w14:textId="44ADD45F"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6D3A2CF" w14:textId="5BB91315"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019D3B6" w14:textId="661DECE9"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952F4C2" w14:textId="77777777" w:rsidTr="003D5FA1">
        <w:trPr>
          <w:trHeight w:val="168"/>
        </w:trPr>
        <w:tc>
          <w:tcPr>
            <w:tcW w:w="555" w:type="pct"/>
            <w:shd w:val="clear" w:color="auto" w:fill="auto"/>
            <w:noWrap/>
            <w:vAlign w:val="center"/>
            <w:hideMark/>
          </w:tcPr>
          <w:p w14:paraId="620478CD"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609B30FB"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Labour, material from local store</w:t>
            </w:r>
          </w:p>
        </w:tc>
        <w:tc>
          <w:tcPr>
            <w:tcW w:w="318" w:type="pct"/>
            <w:shd w:val="clear" w:color="auto" w:fill="auto"/>
            <w:noWrap/>
            <w:vAlign w:val="center"/>
            <w:hideMark/>
          </w:tcPr>
          <w:p w14:paraId="3CB2E53A" w14:textId="2516902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610A5F5" w14:textId="6DA4ABB0"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37BB7136" w14:textId="615B6D61"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CF2E9D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$8,956</w:t>
            </w:r>
          </w:p>
        </w:tc>
        <w:tc>
          <w:tcPr>
            <w:tcW w:w="306" w:type="pct"/>
            <w:shd w:val="clear" w:color="auto" w:fill="auto"/>
            <w:noWrap/>
            <w:vAlign w:val="center"/>
            <w:hideMark/>
          </w:tcPr>
          <w:p w14:paraId="7E0223BD" w14:textId="0B80188E"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321F7CE" w14:textId="4C3AABC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92C7446" w14:textId="01DD6B0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975847B" w14:textId="265FD50B"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C6867D5" w14:textId="457CD73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3C6427AD" w14:textId="615A6AF8"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B9E6980" w14:textId="77777777" w:rsidTr="003D5FA1">
        <w:trPr>
          <w:trHeight w:val="168"/>
        </w:trPr>
        <w:tc>
          <w:tcPr>
            <w:tcW w:w="555" w:type="pct"/>
            <w:shd w:val="clear" w:color="auto" w:fill="auto"/>
            <w:noWrap/>
            <w:vAlign w:val="center"/>
            <w:hideMark/>
          </w:tcPr>
          <w:p w14:paraId="2E84994F"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2FFA3594" w14:textId="64C69930"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2CE64C5A" w14:textId="31EFB24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A0BED84" w14:textId="5396766D"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6A3AC1B" w14:textId="4E4A1561"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00E68C4" w14:textId="0B2305A8"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3D602B1" w14:textId="599CA238"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43211D2" w14:textId="6908344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FE2971A" w14:textId="7ACA843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2CBBD46" w14:textId="464059C6"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3D2917F2" w14:textId="2DC0E88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C887FDE" w14:textId="5CA67171"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6B0D434" w14:textId="77777777" w:rsidTr="003D5FA1">
        <w:trPr>
          <w:trHeight w:val="168"/>
        </w:trPr>
        <w:tc>
          <w:tcPr>
            <w:tcW w:w="555" w:type="pct"/>
            <w:shd w:val="clear" w:color="auto" w:fill="auto"/>
            <w:noWrap/>
            <w:vAlign w:val="center"/>
            <w:hideMark/>
          </w:tcPr>
          <w:p w14:paraId="1742251A"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5F960280"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Poles, towers, fixtures, engineering work, contractor material &amp;</w:t>
            </w:r>
          </w:p>
        </w:tc>
        <w:tc>
          <w:tcPr>
            <w:tcW w:w="318" w:type="pct"/>
            <w:shd w:val="clear" w:color="auto" w:fill="auto"/>
            <w:noWrap/>
            <w:vAlign w:val="center"/>
            <w:hideMark/>
          </w:tcPr>
          <w:p w14:paraId="18EAE136" w14:textId="785ADE6E"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5CEA000" w14:textId="51140EC2"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2DCC922" w14:textId="0986F86E"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B1D12D7" w14:textId="19F5402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56894C1" w14:textId="70AB91E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81F7101" w14:textId="0109346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93EF261" w14:textId="592CBD1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EE543DD" w14:textId="24601659"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C6939D7" w14:textId="1546093C"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BDCF506" w14:textId="3ADCFF6A"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F254053" w14:textId="77777777" w:rsidTr="003D5FA1">
        <w:trPr>
          <w:trHeight w:val="168"/>
        </w:trPr>
        <w:tc>
          <w:tcPr>
            <w:tcW w:w="555" w:type="pct"/>
            <w:shd w:val="clear" w:color="auto" w:fill="auto"/>
            <w:noWrap/>
            <w:vAlign w:val="center"/>
            <w:hideMark/>
          </w:tcPr>
          <w:p w14:paraId="18C98D75"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07448EA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Labour</w:t>
            </w:r>
          </w:p>
        </w:tc>
        <w:tc>
          <w:tcPr>
            <w:tcW w:w="318" w:type="pct"/>
            <w:shd w:val="clear" w:color="auto" w:fill="auto"/>
            <w:noWrap/>
            <w:vAlign w:val="center"/>
            <w:hideMark/>
          </w:tcPr>
          <w:p w14:paraId="6C22867F" w14:textId="4B3F5D5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38E957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1830</w:t>
            </w:r>
          </w:p>
        </w:tc>
        <w:tc>
          <w:tcPr>
            <w:tcW w:w="304" w:type="pct"/>
            <w:shd w:val="clear" w:color="auto" w:fill="auto"/>
            <w:noWrap/>
            <w:vAlign w:val="center"/>
            <w:hideMark/>
          </w:tcPr>
          <w:p w14:paraId="1008120E" w14:textId="58EC0E7F"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0A95C2F" w14:textId="72F4F3B4"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C423A4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$13,973</w:t>
            </w:r>
          </w:p>
        </w:tc>
        <w:tc>
          <w:tcPr>
            <w:tcW w:w="307" w:type="pct"/>
            <w:shd w:val="clear" w:color="auto" w:fill="auto"/>
            <w:noWrap/>
            <w:vAlign w:val="center"/>
            <w:hideMark/>
          </w:tcPr>
          <w:p w14:paraId="33C2D9BD" w14:textId="3A362AD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5527EB9F" w14:textId="4B173E7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78702EF" w14:textId="55C467CC"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1188724E" w14:textId="6ACECDA8"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3A95C7F8" w14:textId="1AB489FD"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942AAB1" w14:textId="77777777" w:rsidTr="003D5FA1">
        <w:trPr>
          <w:trHeight w:val="168"/>
        </w:trPr>
        <w:tc>
          <w:tcPr>
            <w:tcW w:w="555" w:type="pct"/>
            <w:shd w:val="clear" w:color="auto" w:fill="auto"/>
            <w:noWrap/>
            <w:vAlign w:val="center"/>
            <w:hideMark/>
          </w:tcPr>
          <w:p w14:paraId="732171B6"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651450D8" w14:textId="1B1E6E61"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576E66E1" w14:textId="797D2CF1"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16D9B9B" w14:textId="5232121C"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24F7694B" w14:textId="65EDA00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28F2FDF" w14:textId="6821F16E"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0A2C5EBF" w14:textId="7937F993"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33B8BF8" w14:textId="736E7CD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E7586FA" w14:textId="70B7B7B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DC81582" w14:textId="5310CF0F"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FEE239E" w14:textId="46E466F6"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DD96D4A" w14:textId="434ED68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EBE6A9E" w14:textId="77777777" w:rsidTr="003D5FA1">
        <w:trPr>
          <w:trHeight w:val="168"/>
        </w:trPr>
        <w:tc>
          <w:tcPr>
            <w:tcW w:w="555" w:type="pct"/>
            <w:shd w:val="clear" w:color="auto" w:fill="auto"/>
            <w:noWrap/>
            <w:vAlign w:val="center"/>
            <w:hideMark/>
          </w:tcPr>
          <w:p w14:paraId="1D9B170E"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61D023E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Line tx</w:t>
            </w:r>
          </w:p>
        </w:tc>
        <w:tc>
          <w:tcPr>
            <w:tcW w:w="318" w:type="pct"/>
            <w:shd w:val="clear" w:color="auto" w:fill="auto"/>
            <w:noWrap/>
            <w:vAlign w:val="center"/>
            <w:hideMark/>
          </w:tcPr>
          <w:p w14:paraId="08FDB753" w14:textId="4288560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86EA84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1850</w:t>
            </w:r>
          </w:p>
        </w:tc>
        <w:tc>
          <w:tcPr>
            <w:tcW w:w="304" w:type="pct"/>
            <w:shd w:val="clear" w:color="auto" w:fill="auto"/>
            <w:noWrap/>
            <w:vAlign w:val="center"/>
            <w:hideMark/>
          </w:tcPr>
          <w:p w14:paraId="183B277B" w14:textId="035A113C"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3066522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$3,691</w:t>
            </w:r>
          </w:p>
        </w:tc>
        <w:tc>
          <w:tcPr>
            <w:tcW w:w="306" w:type="pct"/>
            <w:shd w:val="clear" w:color="auto" w:fill="auto"/>
            <w:noWrap/>
            <w:vAlign w:val="center"/>
            <w:hideMark/>
          </w:tcPr>
          <w:p w14:paraId="606B86E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$4,950</w:t>
            </w:r>
          </w:p>
        </w:tc>
        <w:tc>
          <w:tcPr>
            <w:tcW w:w="307" w:type="pct"/>
            <w:shd w:val="clear" w:color="auto" w:fill="auto"/>
            <w:noWrap/>
            <w:vAlign w:val="center"/>
            <w:hideMark/>
          </w:tcPr>
          <w:p w14:paraId="18231DB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$5,588</w:t>
            </w:r>
          </w:p>
        </w:tc>
        <w:tc>
          <w:tcPr>
            <w:tcW w:w="276" w:type="pct"/>
            <w:gridSpan w:val="2"/>
            <w:shd w:val="clear" w:color="auto" w:fill="auto"/>
            <w:noWrap/>
            <w:vAlign w:val="center"/>
            <w:hideMark/>
          </w:tcPr>
          <w:p w14:paraId="1638C2FD" w14:textId="3153DC7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A9D29E5" w14:textId="793DF83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1A5D02B2" w14:textId="5967D275"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7D3D2B98" w14:textId="7F01BE2C"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8915DEA" w14:textId="77777777" w:rsidTr="003D5FA1">
        <w:trPr>
          <w:trHeight w:val="168"/>
        </w:trPr>
        <w:tc>
          <w:tcPr>
            <w:tcW w:w="555" w:type="pct"/>
            <w:shd w:val="clear" w:color="auto" w:fill="auto"/>
            <w:noWrap/>
            <w:vAlign w:val="center"/>
            <w:hideMark/>
          </w:tcPr>
          <w:p w14:paraId="5A0D07BD"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40EEBD6B" w14:textId="00E99EDD"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21E590F5" w14:textId="1D8047F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EF6CDBC" w14:textId="5D54E994"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D3F911E" w14:textId="1D91AFDE"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AAF146C" w14:textId="79149264"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9AF5BFC" w14:textId="2540EFC1"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768A9D7" w14:textId="473A887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5486809" w14:textId="2B9236C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5CBED53" w14:textId="234BC88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B5C4AA3" w14:textId="2D57EBC2"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1EA845FB" w14:textId="20FC44B9"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1AEBAE9" w14:textId="77777777" w:rsidTr="003D5FA1">
        <w:trPr>
          <w:trHeight w:val="168"/>
        </w:trPr>
        <w:tc>
          <w:tcPr>
            <w:tcW w:w="555" w:type="pct"/>
            <w:shd w:val="clear" w:color="auto" w:fill="auto"/>
            <w:noWrap/>
            <w:vAlign w:val="center"/>
            <w:hideMark/>
          </w:tcPr>
          <w:p w14:paraId="3BCCA889"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356A510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Poles, towers, fixtures, contractor work</w:t>
            </w:r>
          </w:p>
        </w:tc>
        <w:tc>
          <w:tcPr>
            <w:tcW w:w="318" w:type="pct"/>
            <w:shd w:val="clear" w:color="auto" w:fill="auto"/>
            <w:noWrap/>
            <w:vAlign w:val="center"/>
            <w:hideMark/>
          </w:tcPr>
          <w:p w14:paraId="4AB381C3" w14:textId="08E53F7B"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385F83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1830</w:t>
            </w:r>
          </w:p>
        </w:tc>
        <w:tc>
          <w:tcPr>
            <w:tcW w:w="304" w:type="pct"/>
            <w:shd w:val="clear" w:color="auto" w:fill="auto"/>
            <w:noWrap/>
            <w:vAlign w:val="center"/>
            <w:hideMark/>
          </w:tcPr>
          <w:p w14:paraId="25906924" w14:textId="5DC11617"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301E5A07" w14:textId="53796A56"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770911E" w14:textId="73F15A5A"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47BE5D1" w14:textId="0D242B3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02C6C6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$35,193</w:t>
            </w:r>
          </w:p>
        </w:tc>
        <w:tc>
          <w:tcPr>
            <w:tcW w:w="276" w:type="pct"/>
            <w:gridSpan w:val="2"/>
            <w:shd w:val="clear" w:color="auto" w:fill="auto"/>
            <w:noWrap/>
            <w:vAlign w:val="center"/>
            <w:hideMark/>
          </w:tcPr>
          <w:p w14:paraId="334861D9" w14:textId="3F9B25B7"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FFFF00"/>
            <w:noWrap/>
            <w:vAlign w:val="center"/>
            <w:hideMark/>
          </w:tcPr>
          <w:p w14:paraId="7ADE89E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$45,940</w:t>
            </w:r>
          </w:p>
        </w:tc>
        <w:tc>
          <w:tcPr>
            <w:tcW w:w="277" w:type="pct"/>
            <w:gridSpan w:val="2"/>
            <w:shd w:val="clear" w:color="auto" w:fill="auto"/>
            <w:noWrap/>
            <w:vAlign w:val="center"/>
            <w:hideMark/>
          </w:tcPr>
          <w:p w14:paraId="465DA5CE" w14:textId="3E02A88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63E0383" w14:textId="77777777" w:rsidTr="003D5FA1">
        <w:trPr>
          <w:trHeight w:val="168"/>
        </w:trPr>
        <w:tc>
          <w:tcPr>
            <w:tcW w:w="555" w:type="pct"/>
            <w:shd w:val="clear" w:color="auto" w:fill="auto"/>
            <w:noWrap/>
            <w:vAlign w:val="center"/>
            <w:hideMark/>
          </w:tcPr>
          <w:p w14:paraId="774545C6"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3792A18F" w14:textId="07094FF1"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0F4CC2B2" w14:textId="0B4C89C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ED5CEAE" w14:textId="124F284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3B669C8A" w14:textId="01C83AF5"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A901DDE" w14:textId="798A6759"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5D6AF48" w14:textId="4DABB0D4"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80F2AA3" w14:textId="4EAB8A5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8E35BA6" w14:textId="25E7C0F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553FBE21" w14:textId="46E3946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96DD521" w14:textId="23C051B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595FDFF" w14:textId="240B925A"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2987883" w14:textId="77777777" w:rsidTr="003D5FA1">
        <w:trPr>
          <w:trHeight w:val="168"/>
        </w:trPr>
        <w:tc>
          <w:tcPr>
            <w:tcW w:w="555" w:type="pct"/>
            <w:shd w:val="clear" w:color="auto" w:fill="auto"/>
            <w:noWrap/>
            <w:vAlign w:val="center"/>
            <w:hideMark/>
          </w:tcPr>
          <w:p w14:paraId="4419BDAA"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2A8DED0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Poles towers fixtures cpuc work&amp;materials</w:t>
            </w:r>
          </w:p>
        </w:tc>
        <w:tc>
          <w:tcPr>
            <w:tcW w:w="318" w:type="pct"/>
            <w:shd w:val="clear" w:color="auto" w:fill="auto"/>
            <w:noWrap/>
            <w:vAlign w:val="center"/>
            <w:hideMark/>
          </w:tcPr>
          <w:p w14:paraId="21CA6628" w14:textId="6AFA5B5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CBDCCBE" w14:textId="218FE25E"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864886A" w14:textId="27EBF310"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53D219DB" w14:textId="21D86828"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E36CE1C" w14:textId="06209AF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78DE30F" w14:textId="2BE6377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94C9CF3" w14:textId="39EBD256"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B2E02B4" w14:textId="26F106DC"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F2A6092" w14:textId="07A0E2B1"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17C7AF3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$23,682</w:t>
            </w:r>
          </w:p>
        </w:tc>
      </w:tr>
      <w:tr w:rsidR="003D5FA1" w:rsidRPr="003D5FA1" w14:paraId="03AC5A33" w14:textId="77777777" w:rsidTr="003D5FA1">
        <w:trPr>
          <w:trHeight w:val="168"/>
        </w:trPr>
        <w:tc>
          <w:tcPr>
            <w:tcW w:w="555" w:type="pct"/>
            <w:shd w:val="clear" w:color="auto" w:fill="auto"/>
            <w:noWrap/>
            <w:vAlign w:val="center"/>
            <w:hideMark/>
          </w:tcPr>
          <w:p w14:paraId="0E541CA6" w14:textId="42255FB1"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4BDBC4B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Sub-total  system renewal</w:t>
            </w:r>
          </w:p>
        </w:tc>
        <w:tc>
          <w:tcPr>
            <w:tcW w:w="318" w:type="pct"/>
            <w:shd w:val="clear" w:color="auto" w:fill="auto"/>
            <w:noWrap/>
            <w:vAlign w:val="center"/>
            <w:hideMark/>
          </w:tcPr>
          <w:p w14:paraId="4916E4CB" w14:textId="2ED4D66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E5415B1" w14:textId="363203BC"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AD0E7E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$6,941</w:t>
            </w:r>
          </w:p>
        </w:tc>
        <w:tc>
          <w:tcPr>
            <w:tcW w:w="276" w:type="pct"/>
            <w:shd w:val="clear" w:color="auto" w:fill="auto"/>
            <w:noWrap/>
            <w:vAlign w:val="center"/>
            <w:hideMark/>
          </w:tcPr>
          <w:p w14:paraId="4B5CDF5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$12,647</w:t>
            </w:r>
          </w:p>
        </w:tc>
        <w:tc>
          <w:tcPr>
            <w:tcW w:w="306" w:type="pct"/>
            <w:shd w:val="clear" w:color="auto" w:fill="auto"/>
            <w:noWrap/>
            <w:vAlign w:val="center"/>
            <w:hideMark/>
          </w:tcPr>
          <w:p w14:paraId="44F0A0FC"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$18,923</w:t>
            </w:r>
          </w:p>
        </w:tc>
        <w:tc>
          <w:tcPr>
            <w:tcW w:w="307" w:type="pct"/>
            <w:shd w:val="clear" w:color="auto" w:fill="auto"/>
            <w:noWrap/>
            <w:vAlign w:val="center"/>
            <w:hideMark/>
          </w:tcPr>
          <w:p w14:paraId="5E5CCCF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$45,855</w:t>
            </w:r>
          </w:p>
        </w:tc>
        <w:tc>
          <w:tcPr>
            <w:tcW w:w="276" w:type="pct"/>
            <w:gridSpan w:val="2"/>
            <w:shd w:val="clear" w:color="auto" w:fill="auto"/>
            <w:noWrap/>
            <w:vAlign w:val="center"/>
            <w:hideMark/>
          </w:tcPr>
          <w:p w14:paraId="293035B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$35,193</w:t>
            </w:r>
          </w:p>
        </w:tc>
        <w:tc>
          <w:tcPr>
            <w:tcW w:w="276" w:type="pct"/>
            <w:gridSpan w:val="2"/>
            <w:shd w:val="clear" w:color="auto" w:fill="auto"/>
            <w:noWrap/>
            <w:vAlign w:val="center"/>
            <w:hideMark/>
          </w:tcPr>
          <w:p w14:paraId="398A5FD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$4,389</w:t>
            </w:r>
          </w:p>
        </w:tc>
        <w:tc>
          <w:tcPr>
            <w:tcW w:w="304" w:type="pct"/>
            <w:gridSpan w:val="2"/>
            <w:shd w:val="clear" w:color="auto" w:fill="auto"/>
            <w:noWrap/>
            <w:vAlign w:val="center"/>
            <w:hideMark/>
          </w:tcPr>
          <w:p w14:paraId="0C8C70B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$51,218</w:t>
            </w:r>
          </w:p>
        </w:tc>
        <w:tc>
          <w:tcPr>
            <w:tcW w:w="277" w:type="pct"/>
            <w:gridSpan w:val="2"/>
            <w:shd w:val="clear" w:color="auto" w:fill="auto"/>
            <w:noWrap/>
            <w:vAlign w:val="center"/>
            <w:hideMark/>
          </w:tcPr>
          <w:p w14:paraId="02CCBE4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$80,667</w:t>
            </w:r>
          </w:p>
        </w:tc>
      </w:tr>
      <w:tr w:rsidR="003D5FA1" w:rsidRPr="003D5FA1" w14:paraId="71A492D4" w14:textId="77777777" w:rsidTr="003D5FA1">
        <w:trPr>
          <w:trHeight w:val="168"/>
        </w:trPr>
        <w:tc>
          <w:tcPr>
            <w:tcW w:w="555" w:type="pct"/>
            <w:shd w:val="clear" w:color="auto" w:fill="auto"/>
            <w:noWrap/>
            <w:vAlign w:val="center"/>
            <w:hideMark/>
          </w:tcPr>
          <w:p w14:paraId="060D170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1587" w:type="pct"/>
            <w:shd w:val="clear" w:color="000000" w:fill="D9D9D9"/>
            <w:noWrap/>
            <w:vAlign w:val="center"/>
            <w:hideMark/>
          </w:tcPr>
          <w:p w14:paraId="3F39DA87" w14:textId="37C626BA"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298139F3" w14:textId="47C888D5"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5D98E81B" w14:textId="7336365B"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4E0D42ED" w14:textId="01D03F3E"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6DCD663F" w14:textId="2D16DC81"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7BD86B28" w14:textId="6116166F"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3893C981" w14:textId="27677B7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18A629F7" w14:textId="47F74CB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9A4A2E0" w14:textId="754781F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7C09436A" w14:textId="5352C1DE"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0A6C23C2" w14:textId="28E43E56"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54197C0" w14:textId="77777777" w:rsidTr="003D5FA1">
        <w:trPr>
          <w:trHeight w:val="168"/>
        </w:trPr>
        <w:tc>
          <w:tcPr>
            <w:tcW w:w="555" w:type="pct"/>
            <w:shd w:val="clear" w:color="auto" w:fill="auto"/>
            <w:noWrap/>
            <w:vAlign w:val="center"/>
            <w:hideMark/>
          </w:tcPr>
          <w:p w14:paraId="51A1C88C" w14:textId="5738372B"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469794AD" w14:textId="22A942DE"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402F8751" w14:textId="5276F4BF"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7A66F96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1995</w:t>
            </w:r>
          </w:p>
        </w:tc>
        <w:tc>
          <w:tcPr>
            <w:tcW w:w="304" w:type="pct"/>
            <w:shd w:val="clear" w:color="000000" w:fill="D9D9D9"/>
            <w:noWrap/>
            <w:vAlign w:val="center"/>
            <w:hideMark/>
          </w:tcPr>
          <w:p w14:paraId="5B7BC3FB" w14:textId="389822C5"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361A57EA" w14:textId="3F7AC22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2BAB7CC8" w14:textId="6377ED52"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6CDED726" w14:textId="0AD84CB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BF0CC7C" w14:textId="2704C25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1FE1784E" w14:textId="7CA0F2C6"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27D11836" w14:textId="458E8E5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1B9A9B39" w14:textId="08F7758D"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5AE4A53B" w14:textId="77777777" w:rsidTr="003D5FA1">
        <w:trPr>
          <w:trHeight w:val="168"/>
        </w:trPr>
        <w:tc>
          <w:tcPr>
            <w:tcW w:w="555" w:type="pct"/>
            <w:shd w:val="clear" w:color="auto" w:fill="auto"/>
            <w:noWrap/>
            <w:vAlign w:val="center"/>
            <w:hideMark/>
          </w:tcPr>
          <w:p w14:paraId="10676384" w14:textId="186562D0"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69616C5C" w14:textId="048C8F12"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5986E21B" w14:textId="1F596049"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269D1A19" w14:textId="42CF9395"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73FF0752" w14:textId="305D8469"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19C8D79E" w14:textId="0EAD7C5A"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49048192" w14:textId="308831C2"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4CEB8838" w14:textId="73E9A7A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02D59F71" w14:textId="65D0C89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58527662" w14:textId="15AD3C6E"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6E94809E" w14:textId="31F3F212"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52171745" w14:textId="769A7986"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2D005DE" w14:textId="77777777" w:rsidTr="003D5FA1">
        <w:trPr>
          <w:trHeight w:val="168"/>
        </w:trPr>
        <w:tc>
          <w:tcPr>
            <w:tcW w:w="555" w:type="pct"/>
            <w:shd w:val="clear" w:color="auto" w:fill="auto"/>
            <w:noWrap/>
            <w:vAlign w:val="center"/>
            <w:hideMark/>
          </w:tcPr>
          <w:p w14:paraId="10A3A93F" w14:textId="1F34F37B"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71A07D12" w14:textId="4D6D7B71"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34EB1BAB" w14:textId="7C257C02"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3A9139FA" w14:textId="45135063"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7069F0E7" w14:textId="10FFC2F4"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2B4BB9E4" w14:textId="3EE6CE14"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13272FEE" w14:textId="377C9B0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6166779B" w14:textId="4254132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3074D5A" w14:textId="2E6F1D6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A2F3995" w14:textId="77C6C8C8"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40C0D256" w14:textId="2011A9DA"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4051F27A" w14:textId="60ADDA26"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57E6D41" w14:textId="77777777" w:rsidTr="003D5FA1">
        <w:trPr>
          <w:trHeight w:val="168"/>
        </w:trPr>
        <w:tc>
          <w:tcPr>
            <w:tcW w:w="555" w:type="pct"/>
            <w:shd w:val="clear" w:color="auto" w:fill="auto"/>
            <w:noWrap/>
            <w:vAlign w:val="center"/>
            <w:hideMark/>
          </w:tcPr>
          <w:p w14:paraId="217DDD6F" w14:textId="0896C85D"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74A49F3F" w14:textId="1B91421F"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6A7E2F5E" w14:textId="2EA26ACA"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05EC102E" w14:textId="27E7A4D2"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4C355ED2" w14:textId="7CAAD32B"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36837B47" w14:textId="40741261"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6D1D163A" w14:textId="3FF1F385"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0FEA9B32" w14:textId="40181ED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65084D6" w14:textId="7863082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4A04DE02" w14:textId="0A3D6E6F"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37C5CB84" w14:textId="71C241E8"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3A1D6A29" w14:textId="44675A37"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075790A" w14:textId="77777777" w:rsidTr="003D5FA1">
        <w:trPr>
          <w:trHeight w:val="168"/>
        </w:trPr>
        <w:tc>
          <w:tcPr>
            <w:tcW w:w="555" w:type="pct"/>
            <w:shd w:val="clear" w:color="auto" w:fill="auto"/>
            <w:noWrap/>
            <w:vAlign w:val="center"/>
            <w:hideMark/>
          </w:tcPr>
          <w:p w14:paraId="2E321F98" w14:textId="4BFCD06A"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53F2E0E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318" w:type="pct"/>
            <w:shd w:val="clear" w:color="000000" w:fill="D9D9D9"/>
            <w:noWrap/>
            <w:vAlign w:val="center"/>
            <w:hideMark/>
          </w:tcPr>
          <w:p w14:paraId="27AB2A8E" w14:textId="3CD44395"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6C8C503E" w14:textId="36317323"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5DEF3F6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shd w:val="clear" w:color="000000" w:fill="D9D9D9"/>
            <w:noWrap/>
            <w:vAlign w:val="center"/>
            <w:hideMark/>
          </w:tcPr>
          <w:p w14:paraId="3E5F329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6" w:type="pct"/>
            <w:shd w:val="clear" w:color="000000" w:fill="D9D9D9"/>
            <w:noWrap/>
            <w:vAlign w:val="center"/>
            <w:hideMark/>
          </w:tcPr>
          <w:p w14:paraId="6524E08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000000" w:fill="D9D9D9"/>
            <w:noWrap/>
            <w:vAlign w:val="center"/>
            <w:hideMark/>
          </w:tcPr>
          <w:p w14:paraId="52C7CB0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55C3C54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5273D51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000000" w:fill="D9D9D9"/>
            <w:noWrap/>
            <w:vAlign w:val="center"/>
            <w:hideMark/>
          </w:tcPr>
          <w:p w14:paraId="40C291D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7" w:type="pct"/>
            <w:gridSpan w:val="2"/>
            <w:shd w:val="clear" w:color="000000" w:fill="D9D9D9"/>
            <w:noWrap/>
            <w:vAlign w:val="center"/>
            <w:hideMark/>
          </w:tcPr>
          <w:p w14:paraId="0361F80B"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5A213660" w14:textId="77777777" w:rsidTr="003D5FA1">
        <w:trPr>
          <w:trHeight w:val="178"/>
        </w:trPr>
        <w:tc>
          <w:tcPr>
            <w:tcW w:w="555" w:type="pct"/>
            <w:shd w:val="clear" w:color="auto" w:fill="auto"/>
            <w:noWrap/>
            <w:vAlign w:val="center"/>
            <w:hideMark/>
          </w:tcPr>
          <w:p w14:paraId="15B1539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renewal</w:t>
            </w:r>
          </w:p>
        </w:tc>
        <w:tc>
          <w:tcPr>
            <w:tcW w:w="1587" w:type="pct"/>
            <w:shd w:val="clear" w:color="auto" w:fill="auto"/>
            <w:noWrap/>
            <w:vAlign w:val="center"/>
            <w:hideMark/>
          </w:tcPr>
          <w:p w14:paraId="4EDFC0D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renewal</w:t>
            </w:r>
          </w:p>
        </w:tc>
        <w:tc>
          <w:tcPr>
            <w:tcW w:w="318" w:type="pct"/>
            <w:shd w:val="clear" w:color="auto" w:fill="auto"/>
            <w:noWrap/>
            <w:vAlign w:val="center"/>
            <w:hideMark/>
          </w:tcPr>
          <w:p w14:paraId="78F59F71" w14:textId="221ACE8C"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1F299C1" w14:textId="7972999D"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301439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$6,941</w:t>
            </w:r>
          </w:p>
        </w:tc>
        <w:tc>
          <w:tcPr>
            <w:tcW w:w="276" w:type="pct"/>
            <w:shd w:val="clear" w:color="auto" w:fill="auto"/>
            <w:noWrap/>
            <w:vAlign w:val="center"/>
            <w:hideMark/>
          </w:tcPr>
          <w:p w14:paraId="728A3CA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$12,647</w:t>
            </w:r>
          </w:p>
        </w:tc>
        <w:tc>
          <w:tcPr>
            <w:tcW w:w="306" w:type="pct"/>
            <w:shd w:val="clear" w:color="auto" w:fill="auto"/>
            <w:noWrap/>
            <w:vAlign w:val="center"/>
            <w:hideMark/>
          </w:tcPr>
          <w:p w14:paraId="3C462392"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$18,923</w:t>
            </w:r>
          </w:p>
        </w:tc>
        <w:tc>
          <w:tcPr>
            <w:tcW w:w="307" w:type="pct"/>
            <w:shd w:val="clear" w:color="auto" w:fill="auto"/>
            <w:noWrap/>
            <w:vAlign w:val="center"/>
            <w:hideMark/>
          </w:tcPr>
          <w:p w14:paraId="69CF5B6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$45,855</w:t>
            </w:r>
          </w:p>
        </w:tc>
        <w:tc>
          <w:tcPr>
            <w:tcW w:w="276" w:type="pct"/>
            <w:gridSpan w:val="2"/>
            <w:shd w:val="clear" w:color="auto" w:fill="auto"/>
            <w:noWrap/>
            <w:vAlign w:val="center"/>
            <w:hideMark/>
          </w:tcPr>
          <w:p w14:paraId="52F23D3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$35,193</w:t>
            </w:r>
          </w:p>
        </w:tc>
        <w:tc>
          <w:tcPr>
            <w:tcW w:w="276" w:type="pct"/>
            <w:gridSpan w:val="2"/>
            <w:shd w:val="clear" w:color="auto" w:fill="auto"/>
            <w:noWrap/>
            <w:vAlign w:val="center"/>
            <w:hideMark/>
          </w:tcPr>
          <w:p w14:paraId="3222FC5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$4,389</w:t>
            </w:r>
          </w:p>
        </w:tc>
        <w:tc>
          <w:tcPr>
            <w:tcW w:w="304" w:type="pct"/>
            <w:gridSpan w:val="2"/>
            <w:shd w:val="clear" w:color="auto" w:fill="auto"/>
            <w:noWrap/>
            <w:vAlign w:val="center"/>
            <w:hideMark/>
          </w:tcPr>
          <w:p w14:paraId="0337402B"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$51,218</w:t>
            </w:r>
          </w:p>
        </w:tc>
        <w:tc>
          <w:tcPr>
            <w:tcW w:w="277" w:type="pct"/>
            <w:gridSpan w:val="2"/>
            <w:shd w:val="clear" w:color="auto" w:fill="auto"/>
            <w:noWrap/>
            <w:vAlign w:val="center"/>
            <w:hideMark/>
          </w:tcPr>
          <w:p w14:paraId="79A56BB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$80,667</w:t>
            </w:r>
          </w:p>
        </w:tc>
      </w:tr>
      <w:tr w:rsidR="003D5FA1" w:rsidRPr="003D5FA1" w14:paraId="657C3B7C" w14:textId="77777777" w:rsidTr="003D5FA1">
        <w:trPr>
          <w:trHeight w:val="178"/>
        </w:trPr>
        <w:tc>
          <w:tcPr>
            <w:tcW w:w="555" w:type="pct"/>
            <w:shd w:val="clear" w:color="auto" w:fill="auto"/>
            <w:noWrap/>
            <w:vAlign w:val="center"/>
            <w:hideMark/>
          </w:tcPr>
          <w:p w14:paraId="472FDFF5"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12AFA71A"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77AA55E7"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5CAE675E"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29C06315"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54A5DF9D"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7A8072B5"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2CBD8071"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7CF53E19"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675C371F"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57BB8BC8"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50EE6A98"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1BCB0B28" w14:textId="77777777" w:rsidTr="003D5FA1">
        <w:trPr>
          <w:trHeight w:val="178"/>
        </w:trPr>
        <w:tc>
          <w:tcPr>
            <w:tcW w:w="555" w:type="pct"/>
            <w:shd w:val="clear" w:color="auto" w:fill="auto"/>
            <w:vAlign w:val="center"/>
            <w:hideMark/>
          </w:tcPr>
          <w:p w14:paraId="6A02DDF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System service</w:t>
            </w:r>
          </w:p>
        </w:tc>
        <w:tc>
          <w:tcPr>
            <w:tcW w:w="1587" w:type="pct"/>
            <w:shd w:val="clear" w:color="auto" w:fill="auto"/>
            <w:vAlign w:val="center"/>
            <w:hideMark/>
          </w:tcPr>
          <w:p w14:paraId="0B09FF0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System service</w:t>
            </w:r>
          </w:p>
        </w:tc>
        <w:tc>
          <w:tcPr>
            <w:tcW w:w="318" w:type="pct"/>
            <w:shd w:val="clear" w:color="auto" w:fill="auto"/>
            <w:vAlign w:val="center"/>
            <w:hideMark/>
          </w:tcPr>
          <w:p w14:paraId="1988C4FF" w14:textId="3C7C0430"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EFA393D" w14:textId="7CB96B7E"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Usoa</w:t>
            </w:r>
          </w:p>
        </w:tc>
        <w:tc>
          <w:tcPr>
            <w:tcW w:w="304" w:type="pct"/>
            <w:shd w:val="clear" w:color="auto" w:fill="auto"/>
            <w:noWrap/>
            <w:vAlign w:val="center"/>
            <w:hideMark/>
          </w:tcPr>
          <w:p w14:paraId="5072A16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2012</w:t>
            </w:r>
          </w:p>
        </w:tc>
        <w:tc>
          <w:tcPr>
            <w:tcW w:w="276" w:type="pct"/>
            <w:shd w:val="clear" w:color="auto" w:fill="auto"/>
            <w:noWrap/>
            <w:vAlign w:val="center"/>
            <w:hideMark/>
          </w:tcPr>
          <w:p w14:paraId="58A65710"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2013</w:t>
            </w:r>
          </w:p>
        </w:tc>
        <w:tc>
          <w:tcPr>
            <w:tcW w:w="306" w:type="pct"/>
            <w:shd w:val="clear" w:color="auto" w:fill="auto"/>
            <w:noWrap/>
            <w:vAlign w:val="center"/>
            <w:hideMark/>
          </w:tcPr>
          <w:p w14:paraId="0066E39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2014</w:t>
            </w:r>
          </w:p>
        </w:tc>
        <w:tc>
          <w:tcPr>
            <w:tcW w:w="307" w:type="pct"/>
            <w:shd w:val="clear" w:color="auto" w:fill="auto"/>
            <w:noWrap/>
            <w:vAlign w:val="center"/>
            <w:hideMark/>
          </w:tcPr>
          <w:p w14:paraId="06351AF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2015</w:t>
            </w:r>
          </w:p>
        </w:tc>
        <w:tc>
          <w:tcPr>
            <w:tcW w:w="276" w:type="pct"/>
            <w:gridSpan w:val="2"/>
            <w:shd w:val="clear" w:color="auto" w:fill="auto"/>
            <w:noWrap/>
            <w:vAlign w:val="center"/>
            <w:hideMark/>
          </w:tcPr>
          <w:p w14:paraId="3E57BDF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2016</w:t>
            </w:r>
          </w:p>
        </w:tc>
        <w:tc>
          <w:tcPr>
            <w:tcW w:w="276" w:type="pct"/>
            <w:gridSpan w:val="2"/>
            <w:shd w:val="clear" w:color="auto" w:fill="auto"/>
            <w:noWrap/>
            <w:vAlign w:val="center"/>
            <w:hideMark/>
          </w:tcPr>
          <w:p w14:paraId="47204F5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2017</w:t>
            </w:r>
          </w:p>
        </w:tc>
        <w:tc>
          <w:tcPr>
            <w:tcW w:w="304" w:type="pct"/>
            <w:gridSpan w:val="2"/>
            <w:shd w:val="clear" w:color="auto" w:fill="auto"/>
            <w:noWrap/>
            <w:vAlign w:val="center"/>
            <w:hideMark/>
          </w:tcPr>
          <w:p w14:paraId="3D917C2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2018</w:t>
            </w:r>
          </w:p>
        </w:tc>
        <w:tc>
          <w:tcPr>
            <w:tcW w:w="277" w:type="pct"/>
            <w:gridSpan w:val="2"/>
            <w:shd w:val="clear" w:color="auto" w:fill="auto"/>
            <w:noWrap/>
            <w:vAlign w:val="center"/>
            <w:hideMark/>
          </w:tcPr>
          <w:p w14:paraId="1155989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2019</w:t>
            </w:r>
          </w:p>
        </w:tc>
      </w:tr>
      <w:tr w:rsidR="003D5FA1" w:rsidRPr="003D5FA1" w14:paraId="677A26C9" w14:textId="77777777" w:rsidTr="003D5FA1">
        <w:trPr>
          <w:trHeight w:val="168"/>
        </w:trPr>
        <w:tc>
          <w:tcPr>
            <w:tcW w:w="555" w:type="pct"/>
            <w:shd w:val="clear" w:color="auto" w:fill="auto"/>
            <w:noWrap/>
            <w:vAlign w:val="center"/>
            <w:hideMark/>
          </w:tcPr>
          <w:p w14:paraId="5777C982" w14:textId="705DBA9B"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97A611C" w14:textId="56CCB3A2"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Tx station equipment, re-furbished regulators x3. Replace oil in</w:t>
            </w:r>
          </w:p>
        </w:tc>
        <w:tc>
          <w:tcPr>
            <w:tcW w:w="318" w:type="pct"/>
            <w:shd w:val="clear" w:color="auto" w:fill="auto"/>
            <w:noWrap/>
            <w:vAlign w:val="center"/>
            <w:hideMark/>
          </w:tcPr>
          <w:p w14:paraId="56EC43B1" w14:textId="06143A4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0EDB2F2" w14:textId="510C62E6"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9F6B8FD" w14:textId="633AF8B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0923C244" w14:textId="6864FC57"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BE06406" w14:textId="053190B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A6A124C" w14:textId="598980A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24CB877" w14:textId="0B19DED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44D7251" w14:textId="7A8692DA"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A275308" w14:textId="17BCB09B"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1A9504B" w14:textId="3CCFE41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86E6054" w14:textId="77777777" w:rsidTr="003D5FA1">
        <w:trPr>
          <w:trHeight w:val="168"/>
        </w:trPr>
        <w:tc>
          <w:tcPr>
            <w:tcW w:w="555" w:type="pct"/>
            <w:shd w:val="clear" w:color="auto" w:fill="auto"/>
            <w:noWrap/>
            <w:vAlign w:val="center"/>
            <w:hideMark/>
          </w:tcPr>
          <w:p w14:paraId="542EC92E" w14:textId="0E6DAED5"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1E8D39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Same, dispose of old oil, new reg, control for one of the refurbished</w:t>
            </w:r>
          </w:p>
        </w:tc>
        <w:tc>
          <w:tcPr>
            <w:tcW w:w="318" w:type="pct"/>
            <w:shd w:val="clear" w:color="auto" w:fill="auto"/>
            <w:noWrap/>
            <w:vAlign w:val="center"/>
            <w:hideMark/>
          </w:tcPr>
          <w:p w14:paraId="7C09EE37" w14:textId="20D8D382"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404B42F" w14:textId="3936E98F"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38140D2" w14:textId="0AAAE9C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0A098A5" w14:textId="59D7D83A"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C0CE268" w14:textId="488F0DD9"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556A258" w14:textId="3313237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79EFFC2" w14:textId="00433ED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9C67DA2" w14:textId="2ECF0FC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5ECE869E" w14:textId="589C41CB"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340F4247" w14:textId="7D94F96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5E4B42FE" w14:textId="77777777" w:rsidTr="003D5FA1">
        <w:trPr>
          <w:trHeight w:val="168"/>
        </w:trPr>
        <w:tc>
          <w:tcPr>
            <w:tcW w:w="555" w:type="pct"/>
            <w:shd w:val="clear" w:color="auto" w:fill="auto"/>
            <w:noWrap/>
            <w:vAlign w:val="center"/>
            <w:hideMark/>
          </w:tcPr>
          <w:p w14:paraId="4D725BBE" w14:textId="57321EB8"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3736711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Reg.</w:t>
            </w:r>
          </w:p>
        </w:tc>
        <w:tc>
          <w:tcPr>
            <w:tcW w:w="318" w:type="pct"/>
            <w:shd w:val="clear" w:color="auto" w:fill="auto"/>
            <w:noWrap/>
            <w:vAlign w:val="center"/>
            <w:hideMark/>
          </w:tcPr>
          <w:p w14:paraId="3E9CB2B4" w14:textId="38D15B60"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C80843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1815</w:t>
            </w:r>
          </w:p>
        </w:tc>
        <w:tc>
          <w:tcPr>
            <w:tcW w:w="304" w:type="pct"/>
            <w:shd w:val="clear" w:color="auto" w:fill="auto"/>
            <w:noWrap/>
            <w:vAlign w:val="center"/>
            <w:hideMark/>
          </w:tcPr>
          <w:p w14:paraId="095C661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$15,406</w:t>
            </w:r>
          </w:p>
        </w:tc>
        <w:tc>
          <w:tcPr>
            <w:tcW w:w="276" w:type="pct"/>
            <w:shd w:val="clear" w:color="auto" w:fill="auto"/>
            <w:noWrap/>
            <w:vAlign w:val="center"/>
            <w:hideMark/>
          </w:tcPr>
          <w:p w14:paraId="38C4E708" w14:textId="52AB463E"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74DFE89B" w14:textId="0FB2A699"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CEB862F" w14:textId="53ADE88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28786EE" w14:textId="51BECF5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4500160" w14:textId="2026562A"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C517A19" w14:textId="79C45D40"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CC5E0BB" w14:textId="7D3A51D6"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729EDBA" w14:textId="77777777" w:rsidTr="003D5FA1">
        <w:trPr>
          <w:trHeight w:val="168"/>
        </w:trPr>
        <w:tc>
          <w:tcPr>
            <w:tcW w:w="555" w:type="pct"/>
            <w:shd w:val="clear" w:color="auto" w:fill="auto"/>
            <w:noWrap/>
            <w:vAlign w:val="center"/>
            <w:hideMark/>
          </w:tcPr>
          <w:p w14:paraId="0855FB0B" w14:textId="41628D08"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58C96A2" w14:textId="7CC94358"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5D7BA32F" w14:textId="50298632"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B303636" w14:textId="640E167C"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339CA44A" w14:textId="0B818996"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B57694D" w14:textId="0388009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036F6E37" w14:textId="138C0E3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4E3F325" w14:textId="7F0AB1B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7F3B101" w14:textId="584FBF5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ADA2FAD" w14:textId="066C907A"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1F640885" w14:textId="0DEF5551"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BA795C8" w14:textId="31A8B25C"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5A33BC02" w14:textId="77777777" w:rsidTr="003D5FA1">
        <w:trPr>
          <w:trHeight w:val="168"/>
        </w:trPr>
        <w:tc>
          <w:tcPr>
            <w:tcW w:w="555" w:type="pct"/>
            <w:shd w:val="clear" w:color="auto" w:fill="auto"/>
            <w:noWrap/>
            <w:vAlign w:val="center"/>
            <w:hideMark/>
          </w:tcPr>
          <w:p w14:paraId="2E91CAC5" w14:textId="2FCF3429"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A1CA50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Station tx work</w:t>
            </w:r>
          </w:p>
        </w:tc>
        <w:tc>
          <w:tcPr>
            <w:tcW w:w="318" w:type="pct"/>
            <w:shd w:val="clear" w:color="auto" w:fill="auto"/>
            <w:noWrap/>
            <w:vAlign w:val="center"/>
            <w:hideMark/>
          </w:tcPr>
          <w:p w14:paraId="27F3157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19,765</w:t>
            </w:r>
          </w:p>
        </w:tc>
        <w:tc>
          <w:tcPr>
            <w:tcW w:w="212" w:type="pct"/>
            <w:shd w:val="clear" w:color="auto" w:fill="auto"/>
            <w:noWrap/>
            <w:vAlign w:val="center"/>
            <w:hideMark/>
          </w:tcPr>
          <w:p w14:paraId="338B6AF8" w14:textId="3B10E056"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069385C9" w14:textId="117B1C1C"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48033C1" w14:textId="3AF221F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54E54BF" w14:textId="760E82C8"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915F0DD" w14:textId="25BC226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9C62114" w14:textId="3D7F901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0EFF173" w14:textId="61C8C788"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400ECC47" w14:textId="6E9B972D"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12BF913E" w14:textId="6203935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BC404AE" w14:textId="77777777" w:rsidTr="003D5FA1">
        <w:trPr>
          <w:trHeight w:val="168"/>
        </w:trPr>
        <w:tc>
          <w:tcPr>
            <w:tcW w:w="555" w:type="pct"/>
            <w:shd w:val="clear" w:color="auto" w:fill="auto"/>
            <w:noWrap/>
            <w:vAlign w:val="center"/>
            <w:hideMark/>
          </w:tcPr>
          <w:p w14:paraId="0DC07351" w14:textId="3E37F2A1"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B14B50E" w14:textId="0363E0A9"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5472B0A1" w14:textId="29AE628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EEEE276" w14:textId="22069230"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3D7297C4" w14:textId="7122F74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0351E4E" w14:textId="65764A31"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40D889F3" w14:textId="06093882"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E31139B" w14:textId="2AC98CA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BCA0377" w14:textId="11248ED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FF3C420" w14:textId="4288E191"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5B7B592" w14:textId="18423D23"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3BD99D9" w14:textId="403029CD"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EBC2B6F" w14:textId="77777777" w:rsidTr="003D5FA1">
        <w:trPr>
          <w:trHeight w:val="168"/>
        </w:trPr>
        <w:tc>
          <w:tcPr>
            <w:tcW w:w="555" w:type="pct"/>
            <w:shd w:val="clear" w:color="auto" w:fill="auto"/>
            <w:noWrap/>
            <w:vAlign w:val="center"/>
            <w:hideMark/>
          </w:tcPr>
          <w:p w14:paraId="19F461CD" w14:textId="12C07F42"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4F58C01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Usf engineering cost</w:t>
            </w:r>
          </w:p>
        </w:tc>
        <w:tc>
          <w:tcPr>
            <w:tcW w:w="318" w:type="pct"/>
            <w:shd w:val="clear" w:color="auto" w:fill="auto"/>
            <w:noWrap/>
            <w:vAlign w:val="center"/>
            <w:hideMark/>
          </w:tcPr>
          <w:p w14:paraId="1ACE7BFD" w14:textId="7DDEBC06"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E776AE1"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1990</w:t>
            </w:r>
          </w:p>
        </w:tc>
        <w:tc>
          <w:tcPr>
            <w:tcW w:w="304" w:type="pct"/>
            <w:shd w:val="clear" w:color="auto" w:fill="auto"/>
            <w:noWrap/>
            <w:vAlign w:val="center"/>
            <w:hideMark/>
          </w:tcPr>
          <w:p w14:paraId="464C2F00" w14:textId="64E02318"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3B3F72D" w14:textId="05AF45B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A1E73EE" w14:textId="3012F3FF"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5D525198" w14:textId="6227480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A110FC8" w14:textId="18038FA3"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B974426" w14:textId="5BAA182F"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351E2D23" w14:textId="276EB73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61B66E8E" w14:textId="5D778149"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A8B1C76" w14:textId="77777777" w:rsidTr="003D5FA1">
        <w:trPr>
          <w:trHeight w:val="168"/>
        </w:trPr>
        <w:tc>
          <w:tcPr>
            <w:tcW w:w="555" w:type="pct"/>
            <w:shd w:val="clear" w:color="auto" w:fill="auto"/>
            <w:noWrap/>
            <w:vAlign w:val="center"/>
            <w:hideMark/>
          </w:tcPr>
          <w:p w14:paraId="03DAFFBE" w14:textId="4CA7B239"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0391DB44" w14:textId="586D1357"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0D957EDF" w14:textId="6B8BDA41"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B30E935" w14:textId="6F40CDCC"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E6F78EF" w14:textId="2423F163"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57F4B21" w14:textId="11F03A8F"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F7216D1" w14:textId="48034063"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6E22412" w14:textId="3FC9F7E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C8E9FB4" w14:textId="4237F58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6919C13" w14:textId="77D397CE"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B1D5D19" w14:textId="0B73B08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0089338B" w14:textId="7047D3BA"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6C3AD5C" w14:textId="77777777" w:rsidTr="003D5FA1">
        <w:trPr>
          <w:trHeight w:val="168"/>
        </w:trPr>
        <w:tc>
          <w:tcPr>
            <w:tcW w:w="555" w:type="pct"/>
            <w:shd w:val="clear" w:color="auto" w:fill="auto"/>
            <w:noWrap/>
            <w:vAlign w:val="center"/>
            <w:hideMark/>
          </w:tcPr>
          <w:p w14:paraId="35CFA0DA" w14:textId="0E92789D"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795AA33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Computer software</w:t>
            </w:r>
          </w:p>
        </w:tc>
        <w:tc>
          <w:tcPr>
            <w:tcW w:w="318" w:type="pct"/>
            <w:shd w:val="clear" w:color="auto" w:fill="auto"/>
            <w:noWrap/>
            <w:vAlign w:val="center"/>
            <w:hideMark/>
          </w:tcPr>
          <w:p w14:paraId="2533AF26"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$5,000.00</w:t>
            </w:r>
          </w:p>
        </w:tc>
        <w:tc>
          <w:tcPr>
            <w:tcW w:w="212" w:type="pct"/>
            <w:shd w:val="clear" w:color="auto" w:fill="auto"/>
            <w:noWrap/>
            <w:vAlign w:val="center"/>
            <w:hideMark/>
          </w:tcPr>
          <w:p w14:paraId="4AD3138E" w14:textId="2429E432"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1EA204C1" w14:textId="76241EB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89D359B" w14:textId="62BC2AED"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21E5ED0" w14:textId="67C7A01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22833CA" w14:textId="70554B9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B57D19C" w14:textId="1342241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310FFA6" w14:textId="6B6F7BC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E2C630F" w14:textId="2EEC003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07E13BE6" w14:textId="2ED2360C"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6A85B9C" w14:textId="77777777" w:rsidTr="003D5FA1">
        <w:trPr>
          <w:trHeight w:val="168"/>
        </w:trPr>
        <w:tc>
          <w:tcPr>
            <w:tcW w:w="555" w:type="pct"/>
            <w:shd w:val="clear" w:color="auto" w:fill="auto"/>
            <w:noWrap/>
            <w:vAlign w:val="center"/>
            <w:hideMark/>
          </w:tcPr>
          <w:p w14:paraId="7BDE9535" w14:textId="517036EF"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50F1CF3" w14:textId="58F86117"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4FD65225" w14:textId="4BB1894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C1A344C" w14:textId="74EBF4B4"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455462A" w14:textId="1B179906"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6718B28" w14:textId="735649ED"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CF44577" w14:textId="505F05A1"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219A817" w14:textId="6867C72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D526D99" w14:textId="704F2E6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E4347FF" w14:textId="28B50BF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62DCB10" w14:textId="449848F6"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05D42552" w14:textId="2133DD7C"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668608D" w14:textId="77777777" w:rsidTr="003D5FA1">
        <w:trPr>
          <w:trHeight w:val="168"/>
        </w:trPr>
        <w:tc>
          <w:tcPr>
            <w:tcW w:w="555" w:type="pct"/>
            <w:shd w:val="clear" w:color="auto" w:fill="auto"/>
            <w:noWrap/>
            <w:vAlign w:val="center"/>
            <w:hideMark/>
          </w:tcPr>
          <w:p w14:paraId="73CF3893" w14:textId="5DC4A8E6"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FBA557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Computer software- asset management</w:t>
            </w:r>
          </w:p>
        </w:tc>
        <w:tc>
          <w:tcPr>
            <w:tcW w:w="318" w:type="pct"/>
            <w:shd w:val="clear" w:color="auto" w:fill="auto"/>
            <w:noWrap/>
            <w:vAlign w:val="center"/>
            <w:hideMark/>
          </w:tcPr>
          <w:p w14:paraId="5A6E8070" w14:textId="5C906B00"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C423568"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1925</w:t>
            </w:r>
          </w:p>
        </w:tc>
        <w:tc>
          <w:tcPr>
            <w:tcW w:w="304" w:type="pct"/>
            <w:shd w:val="clear" w:color="auto" w:fill="auto"/>
            <w:noWrap/>
            <w:vAlign w:val="center"/>
            <w:hideMark/>
          </w:tcPr>
          <w:p w14:paraId="7307C61F" w14:textId="2B65CAF9"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0C489052" w14:textId="7B28827A"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6D5536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$25,000</w:t>
            </w:r>
          </w:p>
        </w:tc>
        <w:tc>
          <w:tcPr>
            <w:tcW w:w="307" w:type="pct"/>
            <w:shd w:val="clear" w:color="auto" w:fill="auto"/>
            <w:noWrap/>
            <w:vAlign w:val="center"/>
            <w:hideMark/>
          </w:tcPr>
          <w:p w14:paraId="50EDB0C5" w14:textId="5C22823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9A3564C" w14:textId="32EAA0F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A328E8F" w14:textId="6E2D2E6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093BB79" w14:textId="5659A14C"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5E8BDB49" w14:textId="478DBAE6"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CF58F69" w14:textId="77777777" w:rsidTr="003D5FA1">
        <w:trPr>
          <w:trHeight w:val="168"/>
        </w:trPr>
        <w:tc>
          <w:tcPr>
            <w:tcW w:w="555" w:type="pct"/>
            <w:shd w:val="clear" w:color="auto" w:fill="auto"/>
            <w:noWrap/>
            <w:vAlign w:val="center"/>
            <w:hideMark/>
          </w:tcPr>
          <w:p w14:paraId="5D4CE3AD" w14:textId="2347DEAD"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9C7579C" w14:textId="17365383"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1F78EDDD" w14:textId="1A2E9911"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D4A0A3A" w14:textId="08B2D7CD"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1C775633" w14:textId="500D96E8"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9329136" w14:textId="34632E67"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3F97E51" w14:textId="5BF80360"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56F97A8" w14:textId="54A6718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519E4A6" w14:textId="105E71A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D6554E6" w14:textId="123C030B"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4376D5EB" w14:textId="234D86E1"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0F97475" w14:textId="703C1CF5"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785B943" w14:textId="77777777" w:rsidTr="003D5FA1">
        <w:trPr>
          <w:trHeight w:val="168"/>
        </w:trPr>
        <w:tc>
          <w:tcPr>
            <w:tcW w:w="555" w:type="pct"/>
            <w:shd w:val="clear" w:color="auto" w:fill="auto"/>
            <w:noWrap/>
            <w:vAlign w:val="center"/>
            <w:hideMark/>
          </w:tcPr>
          <w:p w14:paraId="338B7FFE" w14:textId="4D2FDE2F"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09BA0CB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Usf standards</w:t>
            </w:r>
          </w:p>
        </w:tc>
        <w:tc>
          <w:tcPr>
            <w:tcW w:w="318" w:type="pct"/>
            <w:shd w:val="clear" w:color="auto" w:fill="auto"/>
            <w:noWrap/>
            <w:vAlign w:val="center"/>
            <w:hideMark/>
          </w:tcPr>
          <w:p w14:paraId="418783DB" w14:textId="406BA29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6DA303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1990</w:t>
            </w:r>
          </w:p>
        </w:tc>
        <w:tc>
          <w:tcPr>
            <w:tcW w:w="304" w:type="pct"/>
            <w:shd w:val="clear" w:color="auto" w:fill="auto"/>
            <w:noWrap/>
            <w:vAlign w:val="center"/>
            <w:hideMark/>
          </w:tcPr>
          <w:p w14:paraId="7B779426" w14:textId="7C495BCF"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357B7988" w14:textId="2554160D"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CF21678" w14:textId="25DEC252"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E54DF0C" w14:textId="6DD1963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8FDA6F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$100</w:t>
            </w:r>
          </w:p>
        </w:tc>
        <w:tc>
          <w:tcPr>
            <w:tcW w:w="276" w:type="pct"/>
            <w:gridSpan w:val="2"/>
            <w:shd w:val="clear" w:color="auto" w:fill="auto"/>
            <w:noWrap/>
            <w:vAlign w:val="center"/>
            <w:hideMark/>
          </w:tcPr>
          <w:p w14:paraId="25FA9F15" w14:textId="1C7C67F7"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1AB5A433" w14:textId="6BAD3A2E"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568FB83" w14:textId="6F9DF38A"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8E4439F" w14:textId="77777777" w:rsidTr="003D5FA1">
        <w:trPr>
          <w:trHeight w:val="168"/>
        </w:trPr>
        <w:tc>
          <w:tcPr>
            <w:tcW w:w="555" w:type="pct"/>
            <w:shd w:val="clear" w:color="auto" w:fill="auto"/>
            <w:noWrap/>
            <w:vAlign w:val="center"/>
            <w:hideMark/>
          </w:tcPr>
          <w:p w14:paraId="10213608" w14:textId="1994E6A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65227997" w14:textId="00614F57"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769F87E5" w14:textId="302D78B3"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12D4790" w14:textId="5B7C386E"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211F4465" w14:textId="478DAE2D"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78F8B71" w14:textId="215FC28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68E54318" w14:textId="71B56D48"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E4BCFC7" w14:textId="582E599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D6ED9E2" w14:textId="0530E2F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0A9B614" w14:textId="3F809631"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9BAE439" w14:textId="430EBBEE"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01D23913" w14:textId="274C630B"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2E0A3F7" w14:textId="77777777" w:rsidTr="003D5FA1">
        <w:trPr>
          <w:trHeight w:val="168"/>
        </w:trPr>
        <w:tc>
          <w:tcPr>
            <w:tcW w:w="555" w:type="pct"/>
            <w:shd w:val="clear" w:color="auto" w:fill="auto"/>
            <w:noWrap/>
            <w:vAlign w:val="center"/>
            <w:hideMark/>
          </w:tcPr>
          <w:p w14:paraId="68033408" w14:textId="38805EB6"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DEFFED5" w14:textId="2FBE2B0F"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Distrubution station moisture testing</w:t>
            </w:r>
          </w:p>
        </w:tc>
        <w:tc>
          <w:tcPr>
            <w:tcW w:w="318" w:type="pct"/>
            <w:shd w:val="clear" w:color="auto" w:fill="auto"/>
            <w:noWrap/>
            <w:vAlign w:val="center"/>
            <w:hideMark/>
          </w:tcPr>
          <w:p w14:paraId="5B1008BE" w14:textId="2D86A81B"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12C594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1815</w:t>
            </w:r>
          </w:p>
        </w:tc>
        <w:tc>
          <w:tcPr>
            <w:tcW w:w="304" w:type="pct"/>
            <w:shd w:val="clear" w:color="auto" w:fill="auto"/>
            <w:noWrap/>
            <w:vAlign w:val="center"/>
            <w:hideMark/>
          </w:tcPr>
          <w:p w14:paraId="6D6A0D73" w14:textId="21EBDC7E"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892DD01" w14:textId="70768897"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5353C50" w14:textId="0E62F940"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657B7CE" w14:textId="0600D16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E334583" w14:textId="686E75B8"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FFE66D1" w14:textId="70A7061B"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FFFF00"/>
            <w:noWrap/>
            <w:vAlign w:val="center"/>
            <w:hideMark/>
          </w:tcPr>
          <w:p w14:paraId="4DBB2A8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$53,000</w:t>
            </w:r>
          </w:p>
        </w:tc>
        <w:tc>
          <w:tcPr>
            <w:tcW w:w="277" w:type="pct"/>
            <w:gridSpan w:val="2"/>
            <w:shd w:val="clear" w:color="auto" w:fill="auto"/>
            <w:noWrap/>
            <w:vAlign w:val="center"/>
            <w:hideMark/>
          </w:tcPr>
          <w:p w14:paraId="205C6021" w14:textId="52A23A16"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41F2A3D" w14:textId="77777777" w:rsidTr="003D5FA1">
        <w:trPr>
          <w:trHeight w:val="168"/>
        </w:trPr>
        <w:tc>
          <w:tcPr>
            <w:tcW w:w="555" w:type="pct"/>
            <w:shd w:val="clear" w:color="auto" w:fill="auto"/>
            <w:noWrap/>
            <w:vAlign w:val="center"/>
            <w:hideMark/>
          </w:tcPr>
          <w:p w14:paraId="4EFEE344" w14:textId="349B36A2"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3618BCF" w14:textId="418BBA1F"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703D5173" w14:textId="287005D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B6A8D07" w14:textId="6C9DB78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1B1473E" w14:textId="799620AF"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4906FF8C" w14:textId="0F70E2C5"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C867886" w14:textId="78B86984"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3DCA7E47" w14:textId="55B4F7D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C5B3C37" w14:textId="1A95F6D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321DC53" w14:textId="062C2F64"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750E4DE4" w14:textId="6822BE28"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hideMark/>
          </w:tcPr>
          <w:p w14:paraId="40CF19D7" w14:textId="17E5F287"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004AAE9" w14:textId="77777777" w:rsidTr="003D5FA1">
        <w:trPr>
          <w:trHeight w:val="168"/>
        </w:trPr>
        <w:tc>
          <w:tcPr>
            <w:tcW w:w="555" w:type="pct"/>
            <w:shd w:val="clear" w:color="auto" w:fill="auto"/>
            <w:noWrap/>
            <w:vAlign w:val="center"/>
            <w:hideMark/>
          </w:tcPr>
          <w:p w14:paraId="1AA45DE6" w14:textId="6B95F164"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EB2FE12"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Sub-total  system service</w:t>
            </w:r>
          </w:p>
        </w:tc>
        <w:tc>
          <w:tcPr>
            <w:tcW w:w="318" w:type="pct"/>
            <w:shd w:val="clear" w:color="auto" w:fill="auto"/>
            <w:noWrap/>
            <w:vAlign w:val="center"/>
            <w:hideMark/>
          </w:tcPr>
          <w:p w14:paraId="23C9D740" w14:textId="725A8D0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11537C82" w14:textId="16E21227"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ADC3AE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$15,406</w:t>
            </w:r>
          </w:p>
        </w:tc>
        <w:tc>
          <w:tcPr>
            <w:tcW w:w="276" w:type="pct"/>
            <w:shd w:val="clear" w:color="auto" w:fill="auto"/>
            <w:noWrap/>
            <w:vAlign w:val="center"/>
            <w:hideMark/>
          </w:tcPr>
          <w:p w14:paraId="7DCD7CAC"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6" w:type="pct"/>
            <w:shd w:val="clear" w:color="auto" w:fill="auto"/>
            <w:noWrap/>
            <w:vAlign w:val="center"/>
            <w:hideMark/>
          </w:tcPr>
          <w:p w14:paraId="4F34C5E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$25,000</w:t>
            </w:r>
          </w:p>
        </w:tc>
        <w:tc>
          <w:tcPr>
            <w:tcW w:w="307" w:type="pct"/>
            <w:shd w:val="clear" w:color="auto" w:fill="auto"/>
            <w:noWrap/>
            <w:vAlign w:val="center"/>
            <w:hideMark/>
          </w:tcPr>
          <w:p w14:paraId="3697F1B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auto" w:fill="auto"/>
            <w:noWrap/>
            <w:vAlign w:val="center"/>
            <w:hideMark/>
          </w:tcPr>
          <w:p w14:paraId="7E212DC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$100</w:t>
            </w:r>
          </w:p>
        </w:tc>
        <w:tc>
          <w:tcPr>
            <w:tcW w:w="276" w:type="pct"/>
            <w:gridSpan w:val="2"/>
            <w:shd w:val="clear" w:color="auto" w:fill="auto"/>
            <w:noWrap/>
            <w:vAlign w:val="center"/>
            <w:hideMark/>
          </w:tcPr>
          <w:p w14:paraId="59E5465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auto" w:fill="auto"/>
            <w:noWrap/>
            <w:vAlign w:val="center"/>
            <w:hideMark/>
          </w:tcPr>
          <w:p w14:paraId="4BC9445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$53,000</w:t>
            </w:r>
          </w:p>
        </w:tc>
        <w:tc>
          <w:tcPr>
            <w:tcW w:w="277" w:type="pct"/>
            <w:gridSpan w:val="2"/>
            <w:shd w:val="clear" w:color="auto" w:fill="auto"/>
            <w:noWrap/>
            <w:vAlign w:val="center"/>
            <w:hideMark/>
          </w:tcPr>
          <w:p w14:paraId="035070D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03053028" w14:textId="77777777" w:rsidTr="003D5FA1">
        <w:trPr>
          <w:trHeight w:val="168"/>
        </w:trPr>
        <w:tc>
          <w:tcPr>
            <w:tcW w:w="555" w:type="pct"/>
            <w:shd w:val="clear" w:color="auto" w:fill="auto"/>
            <w:noWrap/>
            <w:vAlign w:val="center"/>
            <w:hideMark/>
          </w:tcPr>
          <w:p w14:paraId="0E1D943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1587" w:type="pct"/>
            <w:shd w:val="clear" w:color="000000" w:fill="D9D9D9"/>
            <w:noWrap/>
            <w:vAlign w:val="center"/>
            <w:hideMark/>
          </w:tcPr>
          <w:p w14:paraId="1FCB340F" w14:textId="79DF2154"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5198DA85" w14:textId="000E9871"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70040D8F" w14:textId="4AFAE384"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668920B5" w14:textId="15F72F33" w:rsidR="003D5FA1" w:rsidRPr="003D5FA1" w:rsidRDefault="003D5FA1" w:rsidP="003D5FA1">
            <w:pPr>
              <w:pStyle w:val="NoSpacing"/>
              <w:jc w:val="center"/>
              <w:rPr>
                <w:rFonts w:ascii="Arial Narrow" w:hAnsi="Arial Narrow"/>
                <w:color w:val="000000"/>
                <w:sz w:val="14"/>
                <w:szCs w:val="16"/>
                <w:lang w:eastAsia="en-CA"/>
              </w:rPr>
            </w:pPr>
          </w:p>
        </w:tc>
        <w:tc>
          <w:tcPr>
            <w:tcW w:w="276" w:type="pct"/>
            <w:shd w:val="clear" w:color="000000" w:fill="D9D9D9"/>
            <w:noWrap/>
            <w:vAlign w:val="center"/>
            <w:hideMark/>
          </w:tcPr>
          <w:p w14:paraId="35B8A00A" w14:textId="46DA7C63"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06E062C6" w14:textId="46E2B908"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6939EFD0" w14:textId="02E1444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6EB1ED01" w14:textId="1705C9A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ADE3587" w14:textId="54163F1F"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79B840C0" w14:textId="74807A3A"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2C98F53F" w14:textId="7FDDE778"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EB9DF3E" w14:textId="77777777" w:rsidTr="003D5FA1">
        <w:trPr>
          <w:trHeight w:val="168"/>
        </w:trPr>
        <w:tc>
          <w:tcPr>
            <w:tcW w:w="555" w:type="pct"/>
            <w:shd w:val="clear" w:color="auto" w:fill="auto"/>
            <w:noWrap/>
            <w:vAlign w:val="center"/>
            <w:hideMark/>
          </w:tcPr>
          <w:p w14:paraId="79151FD5" w14:textId="7F05F614"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3A731C27" w14:textId="22BE577A"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6D0BD29E" w14:textId="7B2EA0AF"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799BD80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1995</w:t>
            </w:r>
          </w:p>
        </w:tc>
        <w:tc>
          <w:tcPr>
            <w:tcW w:w="304" w:type="pct"/>
            <w:shd w:val="clear" w:color="000000" w:fill="D9D9D9"/>
            <w:noWrap/>
            <w:vAlign w:val="center"/>
            <w:hideMark/>
          </w:tcPr>
          <w:p w14:paraId="6ABC7736" w14:textId="46D750B6"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5B3642A2" w14:textId="4D4028C3" w:rsidR="003D5FA1" w:rsidRPr="003D5FA1" w:rsidRDefault="003D5FA1" w:rsidP="003D5FA1">
            <w:pPr>
              <w:pStyle w:val="NoSpacing"/>
              <w:jc w:val="center"/>
              <w:rPr>
                <w:rFonts w:ascii="Arial Narrow" w:hAnsi="Arial Narrow"/>
                <w:sz w:val="14"/>
                <w:szCs w:val="16"/>
                <w:lang w:eastAsia="en-CA"/>
              </w:rPr>
            </w:pPr>
          </w:p>
        </w:tc>
        <w:tc>
          <w:tcPr>
            <w:tcW w:w="306" w:type="pct"/>
            <w:shd w:val="clear" w:color="000000" w:fill="D9D9D9"/>
            <w:noWrap/>
            <w:vAlign w:val="center"/>
            <w:hideMark/>
          </w:tcPr>
          <w:p w14:paraId="4BA72FE5" w14:textId="3168A818" w:rsidR="003D5FA1" w:rsidRPr="003D5FA1" w:rsidRDefault="003D5FA1" w:rsidP="003D5FA1">
            <w:pPr>
              <w:pStyle w:val="NoSpacing"/>
              <w:jc w:val="center"/>
              <w:rPr>
                <w:rFonts w:ascii="Arial Narrow" w:hAnsi="Arial Narrow"/>
                <w:sz w:val="14"/>
                <w:szCs w:val="16"/>
                <w:lang w:eastAsia="en-CA"/>
              </w:rPr>
            </w:pPr>
          </w:p>
        </w:tc>
        <w:tc>
          <w:tcPr>
            <w:tcW w:w="307" w:type="pct"/>
            <w:shd w:val="clear" w:color="000000" w:fill="D9D9D9"/>
            <w:noWrap/>
            <w:vAlign w:val="center"/>
            <w:hideMark/>
          </w:tcPr>
          <w:p w14:paraId="67E5455F" w14:textId="17055FBC" w:rsidR="003D5FA1" w:rsidRPr="003D5FA1" w:rsidRDefault="003D5FA1" w:rsidP="003D5FA1">
            <w:pPr>
              <w:pStyle w:val="NoSpacing"/>
              <w:jc w:val="center"/>
              <w:rPr>
                <w:rFonts w:ascii="Arial Narrow" w:hAnsi="Arial Narrow"/>
                <w:sz w:val="14"/>
                <w:szCs w:val="16"/>
                <w:lang w:eastAsia="en-CA"/>
              </w:rPr>
            </w:pPr>
          </w:p>
        </w:tc>
        <w:tc>
          <w:tcPr>
            <w:tcW w:w="276" w:type="pct"/>
            <w:gridSpan w:val="2"/>
            <w:shd w:val="clear" w:color="000000" w:fill="D9D9D9"/>
            <w:noWrap/>
            <w:vAlign w:val="center"/>
            <w:hideMark/>
          </w:tcPr>
          <w:p w14:paraId="61A33DE7" w14:textId="44367FEB" w:rsidR="003D5FA1" w:rsidRPr="003D5FA1" w:rsidRDefault="003D5FA1" w:rsidP="003D5FA1">
            <w:pPr>
              <w:pStyle w:val="NoSpacing"/>
              <w:jc w:val="center"/>
              <w:rPr>
                <w:rFonts w:ascii="Arial Narrow" w:hAnsi="Arial Narrow"/>
                <w:sz w:val="14"/>
                <w:szCs w:val="16"/>
                <w:lang w:eastAsia="en-CA"/>
              </w:rPr>
            </w:pPr>
          </w:p>
        </w:tc>
        <w:tc>
          <w:tcPr>
            <w:tcW w:w="276" w:type="pct"/>
            <w:gridSpan w:val="2"/>
            <w:shd w:val="clear" w:color="000000" w:fill="D9D9D9"/>
            <w:noWrap/>
            <w:vAlign w:val="center"/>
            <w:hideMark/>
          </w:tcPr>
          <w:p w14:paraId="4E8AB271" w14:textId="79D6454A" w:rsidR="003D5FA1" w:rsidRPr="003D5FA1" w:rsidRDefault="003D5FA1" w:rsidP="003D5FA1">
            <w:pPr>
              <w:pStyle w:val="NoSpacing"/>
              <w:jc w:val="center"/>
              <w:rPr>
                <w:rFonts w:ascii="Arial Narrow" w:hAnsi="Arial Narrow"/>
                <w:sz w:val="14"/>
                <w:szCs w:val="16"/>
                <w:lang w:eastAsia="en-CA"/>
              </w:rPr>
            </w:pPr>
          </w:p>
        </w:tc>
        <w:tc>
          <w:tcPr>
            <w:tcW w:w="304" w:type="pct"/>
            <w:gridSpan w:val="2"/>
            <w:shd w:val="clear" w:color="000000" w:fill="D9D9D9"/>
            <w:noWrap/>
            <w:vAlign w:val="center"/>
            <w:hideMark/>
          </w:tcPr>
          <w:p w14:paraId="39EC65A1" w14:textId="2C2D2FCE" w:rsidR="003D5FA1" w:rsidRPr="003D5FA1" w:rsidRDefault="003D5FA1" w:rsidP="003D5FA1">
            <w:pPr>
              <w:pStyle w:val="NoSpacing"/>
              <w:jc w:val="center"/>
              <w:rPr>
                <w:rFonts w:ascii="Arial Narrow" w:hAnsi="Arial Narrow"/>
                <w:sz w:val="14"/>
                <w:szCs w:val="16"/>
                <w:lang w:eastAsia="en-CA"/>
              </w:rPr>
            </w:pPr>
          </w:p>
        </w:tc>
        <w:tc>
          <w:tcPr>
            <w:tcW w:w="277" w:type="pct"/>
            <w:gridSpan w:val="2"/>
            <w:shd w:val="clear" w:color="000000" w:fill="D9D9D9"/>
            <w:noWrap/>
            <w:vAlign w:val="center"/>
            <w:hideMark/>
          </w:tcPr>
          <w:p w14:paraId="3D039D64" w14:textId="5C8FB87E" w:rsidR="003D5FA1" w:rsidRPr="003D5FA1" w:rsidRDefault="003D5FA1" w:rsidP="003D5FA1">
            <w:pPr>
              <w:pStyle w:val="NoSpacing"/>
              <w:jc w:val="center"/>
              <w:rPr>
                <w:rFonts w:ascii="Arial Narrow" w:hAnsi="Arial Narrow"/>
                <w:sz w:val="14"/>
                <w:szCs w:val="16"/>
                <w:lang w:eastAsia="en-CA"/>
              </w:rPr>
            </w:pPr>
          </w:p>
        </w:tc>
      </w:tr>
      <w:tr w:rsidR="003D5FA1" w:rsidRPr="003D5FA1" w14:paraId="7EBA807A" w14:textId="77777777" w:rsidTr="003D5FA1">
        <w:trPr>
          <w:trHeight w:val="168"/>
        </w:trPr>
        <w:tc>
          <w:tcPr>
            <w:tcW w:w="555" w:type="pct"/>
            <w:shd w:val="clear" w:color="auto" w:fill="auto"/>
            <w:noWrap/>
            <w:vAlign w:val="center"/>
            <w:hideMark/>
          </w:tcPr>
          <w:p w14:paraId="4BB6262A" w14:textId="10A59EA1"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25E2EE87" w14:textId="3CC34CB2"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0DE57FA5" w14:textId="2B622A13"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385EA52C" w14:textId="6FF4D378"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21F366B9" w14:textId="1E61A81E" w:rsidR="003D5FA1" w:rsidRPr="003D5FA1" w:rsidRDefault="003D5FA1" w:rsidP="003D5FA1">
            <w:pPr>
              <w:pStyle w:val="NoSpacing"/>
              <w:jc w:val="center"/>
              <w:rPr>
                <w:rFonts w:ascii="Arial Narrow" w:hAnsi="Arial Narrow"/>
                <w:color w:val="000000"/>
                <w:sz w:val="14"/>
                <w:szCs w:val="16"/>
                <w:lang w:eastAsia="en-CA"/>
              </w:rPr>
            </w:pPr>
          </w:p>
        </w:tc>
        <w:tc>
          <w:tcPr>
            <w:tcW w:w="276" w:type="pct"/>
            <w:shd w:val="clear" w:color="000000" w:fill="D9D9D9"/>
            <w:noWrap/>
            <w:vAlign w:val="center"/>
            <w:hideMark/>
          </w:tcPr>
          <w:p w14:paraId="11B8839A" w14:textId="237B54C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6E9D6DDB" w14:textId="4D6F190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288C4C44" w14:textId="3A1FDBC3"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2956A126" w14:textId="733EA6D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7B70FD7A" w14:textId="4593B8F6"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38B926E2" w14:textId="4F2B7F05"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321585CB" w14:textId="52B4D1DC"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B7A2826" w14:textId="77777777" w:rsidTr="003D5FA1">
        <w:trPr>
          <w:trHeight w:val="168"/>
        </w:trPr>
        <w:tc>
          <w:tcPr>
            <w:tcW w:w="555" w:type="pct"/>
            <w:shd w:val="clear" w:color="auto" w:fill="auto"/>
            <w:noWrap/>
            <w:vAlign w:val="center"/>
            <w:hideMark/>
          </w:tcPr>
          <w:p w14:paraId="53DFD050" w14:textId="7DE3C61A"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4C4780FA" w14:textId="2633C3D7"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6E2BD095" w14:textId="2AECD444"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21EDD533" w14:textId="5A980147"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3C18BCC0" w14:textId="1475F310" w:rsidR="003D5FA1" w:rsidRPr="003D5FA1" w:rsidRDefault="003D5FA1" w:rsidP="003D5FA1">
            <w:pPr>
              <w:pStyle w:val="NoSpacing"/>
              <w:jc w:val="center"/>
              <w:rPr>
                <w:rFonts w:ascii="Arial Narrow" w:hAnsi="Arial Narrow"/>
                <w:color w:val="000000"/>
                <w:sz w:val="14"/>
                <w:szCs w:val="16"/>
                <w:lang w:eastAsia="en-CA"/>
              </w:rPr>
            </w:pPr>
          </w:p>
        </w:tc>
        <w:tc>
          <w:tcPr>
            <w:tcW w:w="276" w:type="pct"/>
            <w:shd w:val="clear" w:color="000000" w:fill="D9D9D9"/>
            <w:noWrap/>
            <w:vAlign w:val="center"/>
            <w:hideMark/>
          </w:tcPr>
          <w:p w14:paraId="1C0DE692" w14:textId="0BFA605E"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5C533A31" w14:textId="1F4FA86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7FEC4AC1" w14:textId="4DFD32D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26FCCFF7" w14:textId="05953D4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4BC30854" w14:textId="495B887B"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142350F1" w14:textId="578FB46B"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29E4D989" w14:textId="3F094FA1"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110C355" w14:textId="77777777" w:rsidTr="003D5FA1">
        <w:trPr>
          <w:trHeight w:val="168"/>
        </w:trPr>
        <w:tc>
          <w:tcPr>
            <w:tcW w:w="555" w:type="pct"/>
            <w:shd w:val="clear" w:color="auto" w:fill="auto"/>
            <w:noWrap/>
            <w:vAlign w:val="center"/>
            <w:hideMark/>
          </w:tcPr>
          <w:p w14:paraId="2863094E" w14:textId="63409666"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7A68C475" w14:textId="3FD6A8C3"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2045B584" w14:textId="29151549"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2D5149EB" w14:textId="28DE6032"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228D825B" w14:textId="761D2D5C" w:rsidR="003D5FA1" w:rsidRPr="003D5FA1" w:rsidRDefault="003D5FA1" w:rsidP="003D5FA1">
            <w:pPr>
              <w:pStyle w:val="NoSpacing"/>
              <w:jc w:val="center"/>
              <w:rPr>
                <w:rFonts w:ascii="Arial Narrow" w:hAnsi="Arial Narrow"/>
                <w:color w:val="000000"/>
                <w:sz w:val="14"/>
                <w:szCs w:val="16"/>
                <w:lang w:eastAsia="en-CA"/>
              </w:rPr>
            </w:pPr>
          </w:p>
        </w:tc>
        <w:tc>
          <w:tcPr>
            <w:tcW w:w="276" w:type="pct"/>
            <w:shd w:val="clear" w:color="000000" w:fill="D9D9D9"/>
            <w:noWrap/>
            <w:vAlign w:val="center"/>
            <w:hideMark/>
          </w:tcPr>
          <w:p w14:paraId="29CEA990" w14:textId="58622266"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784BBE3E" w14:textId="47CE862F"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0CCE54ED" w14:textId="58FE9ED3"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629CBA13" w14:textId="3B1FF81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19B4AA9" w14:textId="547E6D37"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2D8C147B" w14:textId="1130BA6A"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71FA796A" w14:textId="156C2969"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E2CB94B" w14:textId="77777777" w:rsidTr="003D5FA1">
        <w:trPr>
          <w:trHeight w:val="168"/>
        </w:trPr>
        <w:tc>
          <w:tcPr>
            <w:tcW w:w="555" w:type="pct"/>
            <w:shd w:val="clear" w:color="auto" w:fill="auto"/>
            <w:noWrap/>
            <w:vAlign w:val="center"/>
            <w:hideMark/>
          </w:tcPr>
          <w:p w14:paraId="6B22560A" w14:textId="717D5DC2"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1F4BA66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318" w:type="pct"/>
            <w:shd w:val="clear" w:color="000000" w:fill="D9D9D9"/>
            <w:noWrap/>
            <w:vAlign w:val="center"/>
            <w:hideMark/>
          </w:tcPr>
          <w:p w14:paraId="343AD50B" w14:textId="7182D9A7"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500BDFDC" w14:textId="43E4D760"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7297E51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shd w:val="clear" w:color="000000" w:fill="D9D9D9"/>
            <w:noWrap/>
            <w:vAlign w:val="center"/>
            <w:hideMark/>
          </w:tcPr>
          <w:p w14:paraId="483CB252"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6" w:type="pct"/>
            <w:shd w:val="clear" w:color="000000" w:fill="D9D9D9"/>
            <w:noWrap/>
            <w:vAlign w:val="center"/>
            <w:hideMark/>
          </w:tcPr>
          <w:p w14:paraId="5B91BD2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000000" w:fill="D9D9D9"/>
            <w:noWrap/>
            <w:vAlign w:val="center"/>
            <w:hideMark/>
          </w:tcPr>
          <w:p w14:paraId="0112079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2BBADD5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3ACA1B2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000000" w:fill="D9D9D9"/>
            <w:noWrap/>
            <w:vAlign w:val="center"/>
            <w:hideMark/>
          </w:tcPr>
          <w:p w14:paraId="767FEC7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7" w:type="pct"/>
            <w:gridSpan w:val="2"/>
            <w:shd w:val="clear" w:color="000000" w:fill="D9D9D9"/>
            <w:noWrap/>
            <w:vAlign w:val="center"/>
            <w:hideMark/>
          </w:tcPr>
          <w:p w14:paraId="249F4BD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4C6FE9B0" w14:textId="77777777" w:rsidTr="003D5FA1">
        <w:trPr>
          <w:trHeight w:val="178"/>
        </w:trPr>
        <w:tc>
          <w:tcPr>
            <w:tcW w:w="555" w:type="pct"/>
            <w:shd w:val="clear" w:color="auto" w:fill="auto"/>
            <w:noWrap/>
            <w:vAlign w:val="center"/>
            <w:hideMark/>
          </w:tcPr>
          <w:p w14:paraId="64CD2B57"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service</w:t>
            </w:r>
          </w:p>
        </w:tc>
        <w:tc>
          <w:tcPr>
            <w:tcW w:w="1587" w:type="pct"/>
            <w:shd w:val="clear" w:color="auto" w:fill="auto"/>
            <w:noWrap/>
            <w:vAlign w:val="center"/>
            <w:hideMark/>
          </w:tcPr>
          <w:p w14:paraId="2E04922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service</w:t>
            </w:r>
          </w:p>
        </w:tc>
        <w:tc>
          <w:tcPr>
            <w:tcW w:w="318" w:type="pct"/>
            <w:shd w:val="clear" w:color="auto" w:fill="auto"/>
            <w:noWrap/>
            <w:vAlign w:val="center"/>
            <w:hideMark/>
          </w:tcPr>
          <w:p w14:paraId="0068C5EF" w14:textId="3D27538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E7DFF6C" w14:textId="28BBE065"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2BCA26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$15,406</w:t>
            </w:r>
          </w:p>
        </w:tc>
        <w:tc>
          <w:tcPr>
            <w:tcW w:w="276" w:type="pct"/>
            <w:shd w:val="clear" w:color="auto" w:fill="auto"/>
            <w:noWrap/>
            <w:vAlign w:val="center"/>
            <w:hideMark/>
          </w:tcPr>
          <w:p w14:paraId="29AF65A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6" w:type="pct"/>
            <w:shd w:val="clear" w:color="auto" w:fill="auto"/>
            <w:noWrap/>
            <w:vAlign w:val="center"/>
            <w:hideMark/>
          </w:tcPr>
          <w:p w14:paraId="48DB3A1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$25,000</w:t>
            </w:r>
          </w:p>
        </w:tc>
        <w:tc>
          <w:tcPr>
            <w:tcW w:w="307" w:type="pct"/>
            <w:shd w:val="clear" w:color="auto" w:fill="auto"/>
            <w:noWrap/>
            <w:vAlign w:val="center"/>
            <w:hideMark/>
          </w:tcPr>
          <w:p w14:paraId="1D4F70D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auto" w:fill="auto"/>
            <w:noWrap/>
            <w:vAlign w:val="center"/>
            <w:hideMark/>
          </w:tcPr>
          <w:p w14:paraId="0BA80F8B"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$100</w:t>
            </w:r>
          </w:p>
        </w:tc>
        <w:tc>
          <w:tcPr>
            <w:tcW w:w="276" w:type="pct"/>
            <w:gridSpan w:val="2"/>
            <w:shd w:val="clear" w:color="auto" w:fill="auto"/>
            <w:noWrap/>
            <w:vAlign w:val="center"/>
            <w:hideMark/>
          </w:tcPr>
          <w:p w14:paraId="4969068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auto" w:fill="auto"/>
            <w:noWrap/>
            <w:vAlign w:val="center"/>
            <w:hideMark/>
          </w:tcPr>
          <w:p w14:paraId="5D2BA03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$53,000</w:t>
            </w:r>
          </w:p>
        </w:tc>
        <w:tc>
          <w:tcPr>
            <w:tcW w:w="277" w:type="pct"/>
            <w:gridSpan w:val="2"/>
            <w:shd w:val="clear" w:color="auto" w:fill="auto"/>
            <w:noWrap/>
            <w:vAlign w:val="center"/>
            <w:hideMark/>
          </w:tcPr>
          <w:p w14:paraId="6DAE228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7D9F1220" w14:textId="77777777" w:rsidTr="003D5FA1">
        <w:trPr>
          <w:trHeight w:val="168"/>
        </w:trPr>
        <w:tc>
          <w:tcPr>
            <w:tcW w:w="555" w:type="pct"/>
            <w:shd w:val="clear" w:color="auto" w:fill="auto"/>
            <w:noWrap/>
            <w:vAlign w:val="center"/>
            <w:hideMark/>
          </w:tcPr>
          <w:p w14:paraId="7C64F1F4"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47A328DB"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59634647"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508C0123"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26147269"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7975DFB0"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3A134FF5"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11EF4EEF"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24B3F401"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26A4814A"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1000ACD5"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04F31CA8"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0C6BB327" w14:textId="77777777" w:rsidTr="003D5FA1">
        <w:trPr>
          <w:trHeight w:val="178"/>
        </w:trPr>
        <w:tc>
          <w:tcPr>
            <w:tcW w:w="555" w:type="pct"/>
            <w:shd w:val="clear" w:color="auto" w:fill="auto"/>
            <w:noWrap/>
            <w:vAlign w:val="center"/>
            <w:hideMark/>
          </w:tcPr>
          <w:p w14:paraId="5A873F33" w14:textId="77777777" w:rsidR="003D5FA1" w:rsidRPr="003D5FA1" w:rsidRDefault="003D5FA1" w:rsidP="003D5FA1">
            <w:pPr>
              <w:pStyle w:val="NoSpacing"/>
              <w:jc w:val="center"/>
              <w:rPr>
                <w:rFonts w:ascii="Arial Narrow" w:hAnsi="Arial Narrow" w:cs="Times New Roman"/>
                <w:sz w:val="14"/>
                <w:szCs w:val="16"/>
                <w:lang w:eastAsia="en-CA"/>
              </w:rPr>
            </w:pPr>
          </w:p>
        </w:tc>
        <w:tc>
          <w:tcPr>
            <w:tcW w:w="1587" w:type="pct"/>
            <w:shd w:val="clear" w:color="auto" w:fill="auto"/>
            <w:noWrap/>
            <w:vAlign w:val="center"/>
            <w:hideMark/>
          </w:tcPr>
          <w:p w14:paraId="11905ED2"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6A926937"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0DDB5566"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3267EB8B"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57C403E5"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15D63E36"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571D652C"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1DBF34BC"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4B56CB6A"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5BC68769"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6A45A22E"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285D5512" w14:textId="77777777" w:rsidTr="003D5FA1">
        <w:trPr>
          <w:trHeight w:val="178"/>
        </w:trPr>
        <w:tc>
          <w:tcPr>
            <w:tcW w:w="555" w:type="pct"/>
            <w:shd w:val="clear" w:color="auto" w:fill="auto"/>
            <w:vAlign w:val="center"/>
            <w:hideMark/>
          </w:tcPr>
          <w:p w14:paraId="1AC49CF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General plant</w:t>
            </w:r>
          </w:p>
        </w:tc>
        <w:tc>
          <w:tcPr>
            <w:tcW w:w="1587" w:type="pct"/>
            <w:shd w:val="clear" w:color="auto" w:fill="auto"/>
            <w:vAlign w:val="center"/>
            <w:hideMark/>
          </w:tcPr>
          <w:p w14:paraId="03C743C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General plant</w:t>
            </w:r>
          </w:p>
        </w:tc>
        <w:tc>
          <w:tcPr>
            <w:tcW w:w="318" w:type="pct"/>
            <w:shd w:val="clear" w:color="auto" w:fill="auto"/>
            <w:vAlign w:val="center"/>
            <w:hideMark/>
          </w:tcPr>
          <w:p w14:paraId="0E7F9657" w14:textId="4A9C5CAE"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FB73CCE" w14:textId="6B9C5ED1"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Usoa</w:t>
            </w:r>
          </w:p>
        </w:tc>
        <w:tc>
          <w:tcPr>
            <w:tcW w:w="304" w:type="pct"/>
            <w:shd w:val="clear" w:color="auto" w:fill="auto"/>
            <w:noWrap/>
            <w:vAlign w:val="center"/>
            <w:hideMark/>
          </w:tcPr>
          <w:p w14:paraId="43A4835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2012</w:t>
            </w:r>
          </w:p>
        </w:tc>
        <w:tc>
          <w:tcPr>
            <w:tcW w:w="276" w:type="pct"/>
            <w:shd w:val="clear" w:color="auto" w:fill="auto"/>
            <w:noWrap/>
            <w:vAlign w:val="center"/>
            <w:hideMark/>
          </w:tcPr>
          <w:p w14:paraId="194EF4DA"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2013</w:t>
            </w:r>
          </w:p>
        </w:tc>
        <w:tc>
          <w:tcPr>
            <w:tcW w:w="306" w:type="pct"/>
            <w:shd w:val="clear" w:color="auto" w:fill="auto"/>
            <w:noWrap/>
            <w:vAlign w:val="center"/>
            <w:hideMark/>
          </w:tcPr>
          <w:p w14:paraId="0513FFAE"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2014</w:t>
            </w:r>
          </w:p>
        </w:tc>
        <w:tc>
          <w:tcPr>
            <w:tcW w:w="307" w:type="pct"/>
            <w:shd w:val="clear" w:color="auto" w:fill="auto"/>
            <w:noWrap/>
            <w:vAlign w:val="center"/>
            <w:hideMark/>
          </w:tcPr>
          <w:p w14:paraId="6B44575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2015</w:t>
            </w:r>
          </w:p>
        </w:tc>
        <w:tc>
          <w:tcPr>
            <w:tcW w:w="276" w:type="pct"/>
            <w:gridSpan w:val="2"/>
            <w:shd w:val="clear" w:color="auto" w:fill="auto"/>
            <w:noWrap/>
            <w:vAlign w:val="center"/>
            <w:hideMark/>
          </w:tcPr>
          <w:p w14:paraId="37D7164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2016</w:t>
            </w:r>
          </w:p>
        </w:tc>
        <w:tc>
          <w:tcPr>
            <w:tcW w:w="276" w:type="pct"/>
            <w:gridSpan w:val="2"/>
            <w:shd w:val="clear" w:color="auto" w:fill="auto"/>
            <w:noWrap/>
            <w:vAlign w:val="center"/>
            <w:hideMark/>
          </w:tcPr>
          <w:p w14:paraId="517F20E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2017</w:t>
            </w:r>
          </w:p>
        </w:tc>
        <w:tc>
          <w:tcPr>
            <w:tcW w:w="304" w:type="pct"/>
            <w:gridSpan w:val="2"/>
            <w:shd w:val="clear" w:color="auto" w:fill="auto"/>
            <w:noWrap/>
            <w:vAlign w:val="center"/>
            <w:hideMark/>
          </w:tcPr>
          <w:p w14:paraId="151EEA3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2018</w:t>
            </w:r>
          </w:p>
        </w:tc>
        <w:tc>
          <w:tcPr>
            <w:tcW w:w="277" w:type="pct"/>
            <w:gridSpan w:val="2"/>
            <w:shd w:val="clear" w:color="auto" w:fill="auto"/>
            <w:noWrap/>
            <w:vAlign w:val="center"/>
            <w:hideMark/>
          </w:tcPr>
          <w:p w14:paraId="5E0CB3D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2019</w:t>
            </w:r>
          </w:p>
        </w:tc>
      </w:tr>
      <w:tr w:rsidR="003D5FA1" w:rsidRPr="003D5FA1" w14:paraId="6AEEBCF5" w14:textId="77777777" w:rsidTr="003D5FA1">
        <w:trPr>
          <w:trHeight w:val="168"/>
        </w:trPr>
        <w:tc>
          <w:tcPr>
            <w:tcW w:w="555" w:type="pct"/>
            <w:shd w:val="clear" w:color="auto" w:fill="auto"/>
            <w:noWrap/>
            <w:vAlign w:val="center"/>
            <w:hideMark/>
          </w:tcPr>
          <w:p w14:paraId="1F954BF6" w14:textId="68EE6F6F"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3D8FED97"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Burman energy-asset management plan</w:t>
            </w:r>
          </w:p>
        </w:tc>
        <w:tc>
          <w:tcPr>
            <w:tcW w:w="318" w:type="pct"/>
            <w:shd w:val="clear" w:color="auto" w:fill="auto"/>
            <w:noWrap/>
            <w:vAlign w:val="center"/>
            <w:hideMark/>
          </w:tcPr>
          <w:p w14:paraId="559A8FCC" w14:textId="1E35EAB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58B6C10"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1925</w:t>
            </w:r>
          </w:p>
        </w:tc>
        <w:tc>
          <w:tcPr>
            <w:tcW w:w="304" w:type="pct"/>
            <w:shd w:val="clear" w:color="auto" w:fill="auto"/>
            <w:noWrap/>
            <w:vAlign w:val="center"/>
            <w:hideMark/>
          </w:tcPr>
          <w:p w14:paraId="70BD6B51" w14:textId="157B2057"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DCAE38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$40,000</w:t>
            </w:r>
          </w:p>
        </w:tc>
        <w:tc>
          <w:tcPr>
            <w:tcW w:w="306" w:type="pct"/>
            <w:shd w:val="clear" w:color="auto" w:fill="auto"/>
            <w:noWrap/>
            <w:vAlign w:val="center"/>
            <w:hideMark/>
          </w:tcPr>
          <w:p w14:paraId="5B87C1D4" w14:textId="2F946E9E"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223D1AA" w14:textId="6C64620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32F0C99" w14:textId="6211EDC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2F031902" w14:textId="64DBC488"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24E340E3" w14:textId="5E0F7C0E"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3D3D122A" w14:textId="13171F72"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4E3F240A" w14:textId="77777777" w:rsidTr="003D5FA1">
        <w:trPr>
          <w:trHeight w:val="168"/>
        </w:trPr>
        <w:tc>
          <w:tcPr>
            <w:tcW w:w="555" w:type="pct"/>
            <w:shd w:val="clear" w:color="auto" w:fill="auto"/>
            <w:noWrap/>
            <w:vAlign w:val="center"/>
            <w:hideMark/>
          </w:tcPr>
          <w:p w14:paraId="63D3EBD4" w14:textId="791E23A4"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40B0259" w14:textId="144A3282"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45660479" w14:textId="7D80564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5C65E43" w14:textId="3F7BC734"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61B150B" w14:textId="0A95D9D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680325A1" w14:textId="31D3505F"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BC77B23" w14:textId="12BF0DA1"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0ECBCBE7" w14:textId="467A870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B5A1CC2" w14:textId="659B9B9E"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B0E0F07" w14:textId="1DADE873"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35633D23" w14:textId="33BB3468"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3B2D2708" w14:textId="2FD64F33"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5E46CE0" w14:textId="77777777" w:rsidTr="003D5FA1">
        <w:trPr>
          <w:trHeight w:val="168"/>
        </w:trPr>
        <w:tc>
          <w:tcPr>
            <w:tcW w:w="555" w:type="pct"/>
            <w:shd w:val="clear" w:color="auto" w:fill="auto"/>
            <w:noWrap/>
            <w:vAlign w:val="center"/>
            <w:hideMark/>
          </w:tcPr>
          <w:p w14:paraId="67566E12" w14:textId="4BA93410"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79C98B97"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Substation tx's re-inhibit and clean oil (stark international)</w:t>
            </w:r>
          </w:p>
        </w:tc>
        <w:tc>
          <w:tcPr>
            <w:tcW w:w="318" w:type="pct"/>
            <w:shd w:val="clear" w:color="auto" w:fill="auto"/>
            <w:noWrap/>
            <w:vAlign w:val="center"/>
            <w:hideMark/>
          </w:tcPr>
          <w:p w14:paraId="43FD2501" w14:textId="353F302A"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18168A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1815</w:t>
            </w:r>
          </w:p>
        </w:tc>
        <w:tc>
          <w:tcPr>
            <w:tcW w:w="304" w:type="pct"/>
            <w:shd w:val="clear" w:color="auto" w:fill="auto"/>
            <w:noWrap/>
            <w:vAlign w:val="center"/>
            <w:hideMark/>
          </w:tcPr>
          <w:p w14:paraId="3C98F84E" w14:textId="542799BE"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537AAB2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$34,700</w:t>
            </w:r>
          </w:p>
        </w:tc>
        <w:tc>
          <w:tcPr>
            <w:tcW w:w="306" w:type="pct"/>
            <w:shd w:val="clear" w:color="auto" w:fill="auto"/>
            <w:noWrap/>
            <w:vAlign w:val="center"/>
            <w:hideMark/>
          </w:tcPr>
          <w:p w14:paraId="24055A81" w14:textId="0E41E9BD"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7C6DBE15" w14:textId="11B0B7B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92226D0" w14:textId="438519A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E37C4B7" w14:textId="64363FFC"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4C828170" w14:textId="10418D5A"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45AC812D" w14:textId="3DD87144"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5801DAE" w14:textId="77777777" w:rsidTr="003D5FA1">
        <w:trPr>
          <w:trHeight w:val="168"/>
        </w:trPr>
        <w:tc>
          <w:tcPr>
            <w:tcW w:w="555" w:type="pct"/>
            <w:shd w:val="clear" w:color="auto" w:fill="auto"/>
            <w:noWrap/>
            <w:vAlign w:val="center"/>
            <w:hideMark/>
          </w:tcPr>
          <w:p w14:paraId="27317277" w14:textId="337E00B1"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F0115B3" w14:textId="03ED489E"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57AA3F08" w14:textId="41077F5C"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940E8ED" w14:textId="57ADBB78"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0A34AFD5" w14:textId="3EFDDCA3"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24A28CA" w14:textId="2C061E3A"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120B9FE2" w14:textId="01C255B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301540D" w14:textId="175EFB4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5026458" w14:textId="31DA128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7D053D9" w14:textId="1604D58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5E2D5112" w14:textId="52815145"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0B8C03F2" w14:textId="4617B61B"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9470E03" w14:textId="77777777" w:rsidTr="003D5FA1">
        <w:trPr>
          <w:trHeight w:val="168"/>
        </w:trPr>
        <w:tc>
          <w:tcPr>
            <w:tcW w:w="555" w:type="pct"/>
            <w:shd w:val="clear" w:color="auto" w:fill="auto"/>
            <w:noWrap/>
            <w:vAlign w:val="center"/>
            <w:hideMark/>
          </w:tcPr>
          <w:p w14:paraId="6EFF499D" w14:textId="16B2152F"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2B80F15"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Burman energy survey  &amp; software support</w:t>
            </w:r>
          </w:p>
        </w:tc>
        <w:tc>
          <w:tcPr>
            <w:tcW w:w="318" w:type="pct"/>
            <w:shd w:val="clear" w:color="auto" w:fill="auto"/>
            <w:noWrap/>
            <w:vAlign w:val="center"/>
            <w:hideMark/>
          </w:tcPr>
          <w:p w14:paraId="7A278CFD" w14:textId="48E36AB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A58C97C"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1925</w:t>
            </w:r>
          </w:p>
        </w:tc>
        <w:tc>
          <w:tcPr>
            <w:tcW w:w="304" w:type="pct"/>
            <w:shd w:val="clear" w:color="auto" w:fill="auto"/>
            <w:noWrap/>
            <w:vAlign w:val="center"/>
            <w:hideMark/>
          </w:tcPr>
          <w:p w14:paraId="1B367264" w14:textId="5781C2A0"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2CF1FBA" w14:textId="28144D4B"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F00DB4B" w14:textId="2DE5EF91"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EE992F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$54,800</w:t>
            </w:r>
          </w:p>
        </w:tc>
        <w:tc>
          <w:tcPr>
            <w:tcW w:w="276" w:type="pct"/>
            <w:gridSpan w:val="2"/>
            <w:shd w:val="clear" w:color="auto" w:fill="auto"/>
            <w:noWrap/>
            <w:vAlign w:val="center"/>
            <w:hideMark/>
          </w:tcPr>
          <w:p w14:paraId="71B86CA4" w14:textId="692465C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B2CB807" w14:textId="3461E79A"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0D9CC67A" w14:textId="2AFEC408"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5276F94E" w14:textId="0AB32C85"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3324FB89" w14:textId="77777777" w:rsidTr="003D5FA1">
        <w:trPr>
          <w:trHeight w:val="168"/>
        </w:trPr>
        <w:tc>
          <w:tcPr>
            <w:tcW w:w="555" w:type="pct"/>
            <w:shd w:val="clear" w:color="auto" w:fill="auto"/>
            <w:noWrap/>
            <w:vAlign w:val="center"/>
            <w:hideMark/>
          </w:tcPr>
          <w:p w14:paraId="75F15969" w14:textId="16BF93FB"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4700068F" w14:textId="4E9CB75C"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670867B3" w14:textId="6D33209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487F305E" w14:textId="5D75DE00"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26F6708" w14:textId="0DD2992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6D0726E" w14:textId="634AC110"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5C2953D" w14:textId="45DD76BA"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4E4369B" w14:textId="5C20975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20F8BEF" w14:textId="695A88F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09782F70" w14:textId="5144896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2C08678" w14:textId="4D58E873"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0EF39EEF" w14:textId="66DA530D"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96992A2" w14:textId="77777777" w:rsidTr="003D5FA1">
        <w:trPr>
          <w:trHeight w:val="168"/>
        </w:trPr>
        <w:tc>
          <w:tcPr>
            <w:tcW w:w="555" w:type="pct"/>
            <w:shd w:val="clear" w:color="auto" w:fill="auto"/>
            <w:noWrap/>
            <w:vAlign w:val="center"/>
            <w:hideMark/>
          </w:tcPr>
          <w:p w14:paraId="2CD27FE7" w14:textId="60B0FA4E"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2817F2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Boom truck</w:t>
            </w:r>
          </w:p>
        </w:tc>
        <w:tc>
          <w:tcPr>
            <w:tcW w:w="318" w:type="pct"/>
            <w:shd w:val="clear" w:color="auto" w:fill="auto"/>
            <w:noWrap/>
            <w:vAlign w:val="center"/>
            <w:hideMark/>
          </w:tcPr>
          <w:p w14:paraId="5CF905BD" w14:textId="007F6159"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585E116E" w14:textId="31C65319"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2BCF86C6" w14:textId="206EAFAA"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53721D4A" w14:textId="5155D9F8"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BDA8509" w14:textId="6597F30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692E8C59" w14:textId="1153DD6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39CB299E" w14:textId="59610A7C"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20872D5" w14:textId="7ADC29FC"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FFFF00"/>
            <w:noWrap/>
            <w:vAlign w:val="center"/>
            <w:hideMark/>
          </w:tcPr>
          <w:p w14:paraId="592A267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$389,010</w:t>
            </w:r>
          </w:p>
        </w:tc>
        <w:tc>
          <w:tcPr>
            <w:tcW w:w="277" w:type="pct"/>
            <w:gridSpan w:val="2"/>
            <w:shd w:val="clear" w:color="auto" w:fill="auto"/>
            <w:noWrap/>
            <w:vAlign w:val="center"/>
            <w:hideMark/>
          </w:tcPr>
          <w:p w14:paraId="4111F826" w14:textId="6B439AC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A5CECCC" w14:textId="77777777" w:rsidTr="003D5FA1">
        <w:trPr>
          <w:trHeight w:val="168"/>
        </w:trPr>
        <w:tc>
          <w:tcPr>
            <w:tcW w:w="555" w:type="pct"/>
            <w:shd w:val="clear" w:color="auto" w:fill="auto"/>
            <w:noWrap/>
            <w:vAlign w:val="center"/>
            <w:hideMark/>
          </w:tcPr>
          <w:p w14:paraId="122B3FF9" w14:textId="1B96F78E"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041F53F" w14:textId="09A3BBE9"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1D6A37CC" w14:textId="696C8B6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EEB52A5" w14:textId="042C92E9"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4CE4CFE" w14:textId="3D0CB9B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296CB04C" w14:textId="2C3E008B"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49B42F8C" w14:textId="61A7A485"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090E2D5" w14:textId="775F5BDA"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15AB81A" w14:textId="2053BCB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055BC86" w14:textId="477BC8DE"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342E3CEB" w14:textId="72D5C74F"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6CE3CDD9" w14:textId="0E4C19AA"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0ABDCCD5" w14:textId="77777777" w:rsidTr="003D5FA1">
        <w:trPr>
          <w:trHeight w:val="168"/>
        </w:trPr>
        <w:tc>
          <w:tcPr>
            <w:tcW w:w="555" w:type="pct"/>
            <w:shd w:val="clear" w:color="auto" w:fill="auto"/>
            <w:noWrap/>
            <w:vAlign w:val="center"/>
            <w:hideMark/>
          </w:tcPr>
          <w:p w14:paraId="59F54EC3" w14:textId="18813AE5"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32DB6409" w14:textId="30BD1625"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Computer upgrade and purchase</w:t>
            </w:r>
          </w:p>
        </w:tc>
        <w:tc>
          <w:tcPr>
            <w:tcW w:w="318" w:type="pct"/>
            <w:shd w:val="clear" w:color="auto" w:fill="auto"/>
            <w:noWrap/>
            <w:vAlign w:val="center"/>
            <w:hideMark/>
          </w:tcPr>
          <w:p w14:paraId="259974E7" w14:textId="610750B2"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B268E46" w14:textId="70AFB2E6"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12CCA6D" w14:textId="1F6F1386"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0E5E9DE1" w14:textId="034CB9CD"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5EDB71E4" w14:textId="318090D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3AD17AA" w14:textId="2C4157C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2719472" w14:textId="61D07B2D"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1A58C264" w14:textId="1612550D"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FFFF00"/>
            <w:noWrap/>
            <w:vAlign w:val="center"/>
            <w:hideMark/>
          </w:tcPr>
          <w:p w14:paraId="5A263C29"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$8,001</w:t>
            </w:r>
          </w:p>
        </w:tc>
        <w:tc>
          <w:tcPr>
            <w:tcW w:w="277" w:type="pct"/>
            <w:gridSpan w:val="2"/>
            <w:shd w:val="clear" w:color="auto" w:fill="auto"/>
            <w:noWrap/>
            <w:vAlign w:val="center"/>
            <w:hideMark/>
          </w:tcPr>
          <w:p w14:paraId="07DED5D4" w14:textId="5855962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5301FE93" w14:textId="77777777" w:rsidTr="003D5FA1">
        <w:trPr>
          <w:trHeight w:val="168"/>
        </w:trPr>
        <w:tc>
          <w:tcPr>
            <w:tcW w:w="555" w:type="pct"/>
            <w:shd w:val="clear" w:color="auto" w:fill="auto"/>
            <w:noWrap/>
            <w:vAlign w:val="center"/>
            <w:hideMark/>
          </w:tcPr>
          <w:p w14:paraId="2E67BE4E" w14:textId="666F6755"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5CFC6F48" w14:textId="5ADC150C"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5B45F8CB" w14:textId="48206026"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6666335" w14:textId="1D157623"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40F8AB77" w14:textId="5B61D882"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1ED6CB73" w14:textId="53BBCB1E"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3147BEBD" w14:textId="666C1A35"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286D28D6" w14:textId="5C365B1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7EC45ADA" w14:textId="2C505FA9"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DDE577A" w14:textId="2272B0FC"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65CECDF1" w14:textId="24FC7E2D"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49BF8299" w14:textId="05815AE5"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9E30C5A" w14:textId="77777777" w:rsidTr="003D5FA1">
        <w:trPr>
          <w:trHeight w:val="168"/>
        </w:trPr>
        <w:tc>
          <w:tcPr>
            <w:tcW w:w="555" w:type="pct"/>
            <w:shd w:val="clear" w:color="auto" w:fill="auto"/>
            <w:noWrap/>
            <w:vAlign w:val="center"/>
            <w:hideMark/>
          </w:tcPr>
          <w:p w14:paraId="0E9022D3" w14:textId="4E88AECD"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4A94AED3" w14:textId="6CA6BD5F"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4503BB01" w14:textId="53BBC99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3B29F3D9" w14:textId="66327FA6"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537CA78B" w14:textId="3A57E78F"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703465EC" w14:textId="595B3423"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hideMark/>
          </w:tcPr>
          <w:p w14:paraId="2536F430" w14:textId="1AEBFEBB"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hideMark/>
          </w:tcPr>
          <w:p w14:paraId="4842AD2E" w14:textId="6A98018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40FA8C16" w14:textId="647EAD3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hideMark/>
          </w:tcPr>
          <w:p w14:paraId="66DD01AE" w14:textId="6AC73040"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hideMark/>
          </w:tcPr>
          <w:p w14:paraId="47965A4F" w14:textId="76930653" w:rsidR="003D5FA1" w:rsidRPr="003D5FA1" w:rsidRDefault="003D5FA1" w:rsidP="003D5FA1">
            <w:pPr>
              <w:pStyle w:val="NoSpacing"/>
              <w:jc w:val="center"/>
              <w:rPr>
                <w:rFonts w:ascii="Arial Narrow" w:hAnsi="Arial Narrow"/>
                <w:color w:val="FF0000"/>
                <w:sz w:val="14"/>
                <w:szCs w:val="16"/>
                <w:lang w:eastAsia="en-CA"/>
              </w:rPr>
            </w:pPr>
          </w:p>
        </w:tc>
        <w:tc>
          <w:tcPr>
            <w:tcW w:w="277" w:type="pct"/>
            <w:gridSpan w:val="2"/>
            <w:shd w:val="clear" w:color="auto" w:fill="auto"/>
            <w:noWrap/>
            <w:vAlign w:val="center"/>
            <w:hideMark/>
          </w:tcPr>
          <w:p w14:paraId="6E136A54" w14:textId="0166A0C2"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7EB74772" w14:textId="77777777" w:rsidTr="003D5FA1">
        <w:trPr>
          <w:trHeight w:val="168"/>
        </w:trPr>
        <w:tc>
          <w:tcPr>
            <w:tcW w:w="555" w:type="pct"/>
            <w:shd w:val="clear" w:color="auto" w:fill="auto"/>
            <w:noWrap/>
            <w:vAlign w:val="center"/>
            <w:hideMark/>
          </w:tcPr>
          <w:p w14:paraId="165DD202" w14:textId="5931D6AA"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284E4D3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Sub-total  general plant</w:t>
            </w:r>
          </w:p>
        </w:tc>
        <w:tc>
          <w:tcPr>
            <w:tcW w:w="318" w:type="pct"/>
            <w:shd w:val="clear" w:color="auto" w:fill="auto"/>
            <w:noWrap/>
            <w:vAlign w:val="center"/>
            <w:hideMark/>
          </w:tcPr>
          <w:p w14:paraId="5EF47963" w14:textId="68052DB2"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63E1BF54" w14:textId="29B6E739"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6675D6B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shd w:val="clear" w:color="auto" w:fill="auto"/>
            <w:noWrap/>
            <w:vAlign w:val="center"/>
            <w:hideMark/>
          </w:tcPr>
          <w:p w14:paraId="51BB75E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$74,700</w:t>
            </w:r>
          </w:p>
        </w:tc>
        <w:tc>
          <w:tcPr>
            <w:tcW w:w="306" w:type="pct"/>
            <w:shd w:val="clear" w:color="auto" w:fill="auto"/>
            <w:noWrap/>
            <w:vAlign w:val="center"/>
            <w:hideMark/>
          </w:tcPr>
          <w:p w14:paraId="1FA74B6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auto" w:fill="auto"/>
            <w:noWrap/>
            <w:vAlign w:val="center"/>
            <w:hideMark/>
          </w:tcPr>
          <w:p w14:paraId="70048D8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$54,800</w:t>
            </w:r>
          </w:p>
        </w:tc>
        <w:tc>
          <w:tcPr>
            <w:tcW w:w="276" w:type="pct"/>
            <w:gridSpan w:val="2"/>
            <w:shd w:val="clear" w:color="auto" w:fill="auto"/>
            <w:noWrap/>
            <w:vAlign w:val="center"/>
            <w:hideMark/>
          </w:tcPr>
          <w:p w14:paraId="79B5549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auto" w:fill="auto"/>
            <w:noWrap/>
            <w:vAlign w:val="center"/>
            <w:hideMark/>
          </w:tcPr>
          <w:p w14:paraId="3C7B370B"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auto" w:fill="auto"/>
            <w:noWrap/>
            <w:vAlign w:val="center"/>
            <w:hideMark/>
          </w:tcPr>
          <w:p w14:paraId="5DFB632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$397,011</w:t>
            </w:r>
          </w:p>
        </w:tc>
        <w:tc>
          <w:tcPr>
            <w:tcW w:w="277" w:type="pct"/>
            <w:gridSpan w:val="2"/>
            <w:shd w:val="clear" w:color="auto" w:fill="auto"/>
            <w:noWrap/>
            <w:vAlign w:val="center"/>
            <w:hideMark/>
          </w:tcPr>
          <w:p w14:paraId="1017DE4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7584DC55" w14:textId="77777777" w:rsidTr="003D5FA1">
        <w:trPr>
          <w:trHeight w:val="168"/>
        </w:trPr>
        <w:tc>
          <w:tcPr>
            <w:tcW w:w="555" w:type="pct"/>
            <w:shd w:val="clear" w:color="auto" w:fill="auto"/>
            <w:noWrap/>
            <w:vAlign w:val="center"/>
            <w:hideMark/>
          </w:tcPr>
          <w:p w14:paraId="583CD1B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1587" w:type="pct"/>
            <w:shd w:val="clear" w:color="000000" w:fill="D9D9D9"/>
            <w:noWrap/>
            <w:vAlign w:val="center"/>
            <w:hideMark/>
          </w:tcPr>
          <w:p w14:paraId="3045D8CF" w14:textId="68D13C36"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029B3EB1" w14:textId="3DFFE0E6"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18C0B657" w14:textId="1C63A602"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341FD743" w14:textId="35E45506"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449203E6" w14:textId="139E86CC"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30AC713D" w14:textId="43A5FBC1"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6280ED1A" w14:textId="51B7E511"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0714E447" w14:textId="16DBA1BB"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47862580" w14:textId="02D853A3"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005971B3" w14:textId="400D3961"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026B9D79" w14:textId="565F1BAD"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911273D" w14:textId="77777777" w:rsidTr="003D5FA1">
        <w:trPr>
          <w:trHeight w:val="168"/>
        </w:trPr>
        <w:tc>
          <w:tcPr>
            <w:tcW w:w="555" w:type="pct"/>
            <w:shd w:val="clear" w:color="auto" w:fill="auto"/>
            <w:noWrap/>
            <w:vAlign w:val="center"/>
            <w:hideMark/>
          </w:tcPr>
          <w:p w14:paraId="0505ABFF" w14:textId="19B599BC"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45A40451" w14:textId="66D78BA0"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4046777C" w14:textId="76145A27"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6A62A4A3"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1995</w:t>
            </w:r>
          </w:p>
        </w:tc>
        <w:tc>
          <w:tcPr>
            <w:tcW w:w="304" w:type="pct"/>
            <w:shd w:val="clear" w:color="000000" w:fill="D9D9D9"/>
            <w:noWrap/>
            <w:vAlign w:val="center"/>
            <w:hideMark/>
          </w:tcPr>
          <w:p w14:paraId="65530430" w14:textId="05D392FE"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3CD492C2" w14:textId="20BAC177" w:rsidR="003D5FA1" w:rsidRPr="003D5FA1" w:rsidRDefault="003D5FA1" w:rsidP="003D5FA1">
            <w:pPr>
              <w:pStyle w:val="NoSpacing"/>
              <w:jc w:val="center"/>
              <w:rPr>
                <w:rFonts w:ascii="Arial Narrow" w:hAnsi="Arial Narrow"/>
                <w:sz w:val="14"/>
                <w:szCs w:val="16"/>
                <w:lang w:eastAsia="en-CA"/>
              </w:rPr>
            </w:pPr>
          </w:p>
        </w:tc>
        <w:tc>
          <w:tcPr>
            <w:tcW w:w="306" w:type="pct"/>
            <w:shd w:val="clear" w:color="000000" w:fill="D9D9D9"/>
            <w:noWrap/>
            <w:vAlign w:val="center"/>
            <w:hideMark/>
          </w:tcPr>
          <w:p w14:paraId="420EF6D7" w14:textId="379CA5A2" w:rsidR="003D5FA1" w:rsidRPr="003D5FA1" w:rsidRDefault="003D5FA1" w:rsidP="003D5FA1">
            <w:pPr>
              <w:pStyle w:val="NoSpacing"/>
              <w:jc w:val="center"/>
              <w:rPr>
                <w:rFonts w:ascii="Arial Narrow" w:hAnsi="Arial Narrow"/>
                <w:sz w:val="14"/>
                <w:szCs w:val="16"/>
                <w:lang w:eastAsia="en-CA"/>
              </w:rPr>
            </w:pPr>
          </w:p>
        </w:tc>
        <w:tc>
          <w:tcPr>
            <w:tcW w:w="307" w:type="pct"/>
            <w:shd w:val="clear" w:color="000000" w:fill="D9D9D9"/>
            <w:noWrap/>
            <w:vAlign w:val="center"/>
            <w:hideMark/>
          </w:tcPr>
          <w:p w14:paraId="53207231" w14:textId="0F8B028F" w:rsidR="003D5FA1" w:rsidRPr="003D5FA1" w:rsidRDefault="003D5FA1" w:rsidP="003D5FA1">
            <w:pPr>
              <w:pStyle w:val="NoSpacing"/>
              <w:jc w:val="center"/>
              <w:rPr>
                <w:rFonts w:ascii="Arial Narrow" w:hAnsi="Arial Narrow"/>
                <w:sz w:val="14"/>
                <w:szCs w:val="16"/>
                <w:lang w:eastAsia="en-CA"/>
              </w:rPr>
            </w:pPr>
          </w:p>
        </w:tc>
        <w:tc>
          <w:tcPr>
            <w:tcW w:w="276" w:type="pct"/>
            <w:gridSpan w:val="2"/>
            <w:shd w:val="clear" w:color="000000" w:fill="D9D9D9"/>
            <w:noWrap/>
            <w:vAlign w:val="center"/>
            <w:hideMark/>
          </w:tcPr>
          <w:p w14:paraId="1EC9A4B5" w14:textId="62EDDF18" w:rsidR="003D5FA1" w:rsidRPr="003D5FA1" w:rsidRDefault="003D5FA1" w:rsidP="003D5FA1">
            <w:pPr>
              <w:pStyle w:val="NoSpacing"/>
              <w:jc w:val="center"/>
              <w:rPr>
                <w:rFonts w:ascii="Arial Narrow" w:hAnsi="Arial Narrow"/>
                <w:sz w:val="14"/>
                <w:szCs w:val="16"/>
                <w:lang w:eastAsia="en-CA"/>
              </w:rPr>
            </w:pPr>
          </w:p>
        </w:tc>
        <w:tc>
          <w:tcPr>
            <w:tcW w:w="276" w:type="pct"/>
            <w:gridSpan w:val="2"/>
            <w:shd w:val="clear" w:color="000000" w:fill="D9D9D9"/>
            <w:noWrap/>
            <w:vAlign w:val="center"/>
            <w:hideMark/>
          </w:tcPr>
          <w:p w14:paraId="38C0849A" w14:textId="5A948FEE" w:rsidR="003D5FA1" w:rsidRPr="003D5FA1" w:rsidRDefault="003D5FA1" w:rsidP="003D5FA1">
            <w:pPr>
              <w:pStyle w:val="NoSpacing"/>
              <w:jc w:val="center"/>
              <w:rPr>
                <w:rFonts w:ascii="Arial Narrow" w:hAnsi="Arial Narrow"/>
                <w:sz w:val="14"/>
                <w:szCs w:val="16"/>
                <w:lang w:eastAsia="en-CA"/>
              </w:rPr>
            </w:pPr>
          </w:p>
        </w:tc>
        <w:tc>
          <w:tcPr>
            <w:tcW w:w="304" w:type="pct"/>
            <w:gridSpan w:val="2"/>
            <w:shd w:val="clear" w:color="000000" w:fill="D9D9D9"/>
            <w:noWrap/>
            <w:vAlign w:val="center"/>
            <w:hideMark/>
          </w:tcPr>
          <w:p w14:paraId="4CABE169" w14:textId="1062931A" w:rsidR="003D5FA1" w:rsidRPr="003D5FA1" w:rsidRDefault="003D5FA1" w:rsidP="003D5FA1">
            <w:pPr>
              <w:pStyle w:val="NoSpacing"/>
              <w:jc w:val="center"/>
              <w:rPr>
                <w:rFonts w:ascii="Arial Narrow" w:hAnsi="Arial Narrow"/>
                <w:sz w:val="14"/>
                <w:szCs w:val="16"/>
                <w:lang w:eastAsia="en-CA"/>
              </w:rPr>
            </w:pPr>
          </w:p>
        </w:tc>
        <w:tc>
          <w:tcPr>
            <w:tcW w:w="277" w:type="pct"/>
            <w:gridSpan w:val="2"/>
            <w:shd w:val="clear" w:color="000000" w:fill="D9D9D9"/>
            <w:noWrap/>
            <w:vAlign w:val="center"/>
            <w:hideMark/>
          </w:tcPr>
          <w:p w14:paraId="78F34E56" w14:textId="30B206AA" w:rsidR="003D5FA1" w:rsidRPr="003D5FA1" w:rsidRDefault="003D5FA1" w:rsidP="003D5FA1">
            <w:pPr>
              <w:pStyle w:val="NoSpacing"/>
              <w:jc w:val="center"/>
              <w:rPr>
                <w:rFonts w:ascii="Arial Narrow" w:hAnsi="Arial Narrow"/>
                <w:sz w:val="14"/>
                <w:szCs w:val="16"/>
                <w:lang w:eastAsia="en-CA"/>
              </w:rPr>
            </w:pPr>
          </w:p>
        </w:tc>
      </w:tr>
      <w:tr w:rsidR="003D5FA1" w:rsidRPr="003D5FA1" w14:paraId="3E279D1B" w14:textId="77777777" w:rsidTr="003D5FA1">
        <w:trPr>
          <w:trHeight w:val="168"/>
        </w:trPr>
        <w:tc>
          <w:tcPr>
            <w:tcW w:w="555" w:type="pct"/>
            <w:shd w:val="clear" w:color="auto" w:fill="auto"/>
            <w:noWrap/>
            <w:vAlign w:val="center"/>
            <w:hideMark/>
          </w:tcPr>
          <w:p w14:paraId="121B1B84" w14:textId="38B686C5"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34FB4DF4" w14:textId="4D5CF354"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27EA498E" w14:textId="01EFCD76"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6214A41A" w14:textId="67A9E994"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4CE85947" w14:textId="7C72B811"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08B5DED9" w14:textId="580C6B32"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4432ED71" w14:textId="6F79434A"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70CBF43F" w14:textId="1A175DD4"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5B65F9D0" w14:textId="0D774FE2"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722D942D" w14:textId="3540379E"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599A669A" w14:textId="7BA269CF"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135EFD49" w14:textId="20C219FF"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1613DEEB" w14:textId="77777777" w:rsidTr="003D5FA1">
        <w:trPr>
          <w:trHeight w:val="168"/>
        </w:trPr>
        <w:tc>
          <w:tcPr>
            <w:tcW w:w="555" w:type="pct"/>
            <w:shd w:val="clear" w:color="auto" w:fill="auto"/>
            <w:noWrap/>
            <w:vAlign w:val="center"/>
            <w:hideMark/>
          </w:tcPr>
          <w:p w14:paraId="10C2E882" w14:textId="516BFF69"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205E7295" w14:textId="37324CB1"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625E902C" w14:textId="1FB4EB35"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60CDE437" w14:textId="7AB01FF9"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55B8F1F6" w14:textId="51C79DD9"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33275E5B" w14:textId="71FF7A8D"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085BA9CB" w14:textId="710D6290"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3F8D9754" w14:textId="298B2B85"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35F34F67" w14:textId="5B1154D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5239ECBF" w14:textId="42F1DAC2"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133C3C6C" w14:textId="536225F5"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08E6B755" w14:textId="77570DE7"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68C2A45C" w14:textId="77777777" w:rsidTr="003D5FA1">
        <w:trPr>
          <w:trHeight w:val="168"/>
        </w:trPr>
        <w:tc>
          <w:tcPr>
            <w:tcW w:w="555" w:type="pct"/>
            <w:shd w:val="clear" w:color="auto" w:fill="auto"/>
            <w:noWrap/>
            <w:vAlign w:val="center"/>
            <w:hideMark/>
          </w:tcPr>
          <w:p w14:paraId="135BA934" w14:textId="61BD5851"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3E76DC79" w14:textId="37F20FF1" w:rsidR="003D5FA1" w:rsidRPr="003D5FA1" w:rsidRDefault="003D5FA1" w:rsidP="003D5FA1">
            <w:pPr>
              <w:pStyle w:val="NoSpacing"/>
              <w:jc w:val="center"/>
              <w:rPr>
                <w:rFonts w:ascii="Arial Narrow" w:hAnsi="Arial Narrow"/>
                <w:sz w:val="14"/>
                <w:szCs w:val="16"/>
                <w:lang w:eastAsia="en-CA"/>
              </w:rPr>
            </w:pPr>
          </w:p>
        </w:tc>
        <w:tc>
          <w:tcPr>
            <w:tcW w:w="318" w:type="pct"/>
            <w:shd w:val="clear" w:color="000000" w:fill="D9D9D9"/>
            <w:noWrap/>
            <w:vAlign w:val="center"/>
            <w:hideMark/>
          </w:tcPr>
          <w:p w14:paraId="70F4EAB7" w14:textId="5C5A5555"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7EDD69BC" w14:textId="10889458"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0F2E49DC" w14:textId="62AFAE1C" w:rsidR="003D5FA1" w:rsidRPr="003D5FA1" w:rsidRDefault="003D5FA1" w:rsidP="003D5FA1">
            <w:pPr>
              <w:pStyle w:val="NoSpacing"/>
              <w:jc w:val="center"/>
              <w:rPr>
                <w:rFonts w:ascii="Arial Narrow" w:hAnsi="Arial Narrow"/>
                <w:sz w:val="14"/>
                <w:szCs w:val="16"/>
                <w:lang w:eastAsia="en-CA"/>
              </w:rPr>
            </w:pPr>
          </w:p>
        </w:tc>
        <w:tc>
          <w:tcPr>
            <w:tcW w:w="276" w:type="pct"/>
            <w:shd w:val="clear" w:color="000000" w:fill="D9D9D9"/>
            <w:noWrap/>
            <w:vAlign w:val="center"/>
            <w:hideMark/>
          </w:tcPr>
          <w:p w14:paraId="7DD43A6F" w14:textId="08B76694"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000000" w:fill="D9D9D9"/>
            <w:noWrap/>
            <w:vAlign w:val="center"/>
            <w:hideMark/>
          </w:tcPr>
          <w:p w14:paraId="51D2B965" w14:textId="7EE6FFA6"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000000" w:fill="D9D9D9"/>
            <w:noWrap/>
            <w:vAlign w:val="center"/>
            <w:hideMark/>
          </w:tcPr>
          <w:p w14:paraId="1C1F4850" w14:textId="7EEA72DF"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7725D8C3" w14:textId="0345C0B0"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000000" w:fill="D9D9D9"/>
            <w:noWrap/>
            <w:vAlign w:val="center"/>
            <w:hideMark/>
          </w:tcPr>
          <w:p w14:paraId="01F9976C" w14:textId="25FDD42A"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000000" w:fill="D9D9D9"/>
            <w:noWrap/>
            <w:vAlign w:val="center"/>
            <w:hideMark/>
          </w:tcPr>
          <w:p w14:paraId="5F32B0F9" w14:textId="15C119E4"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000000" w:fill="D9D9D9"/>
            <w:noWrap/>
            <w:vAlign w:val="center"/>
            <w:hideMark/>
          </w:tcPr>
          <w:p w14:paraId="36BC16C7" w14:textId="2C0B0703" w:rsidR="003D5FA1" w:rsidRPr="003D5FA1" w:rsidRDefault="003D5FA1" w:rsidP="003D5FA1">
            <w:pPr>
              <w:pStyle w:val="NoSpacing"/>
              <w:jc w:val="center"/>
              <w:rPr>
                <w:rFonts w:ascii="Arial Narrow" w:hAnsi="Arial Narrow"/>
                <w:color w:val="000000"/>
                <w:sz w:val="14"/>
                <w:szCs w:val="16"/>
                <w:lang w:eastAsia="en-CA"/>
              </w:rPr>
            </w:pPr>
          </w:p>
        </w:tc>
      </w:tr>
      <w:tr w:rsidR="003D5FA1" w:rsidRPr="003D5FA1" w14:paraId="28665A01" w14:textId="77777777" w:rsidTr="003D5FA1">
        <w:trPr>
          <w:trHeight w:val="168"/>
        </w:trPr>
        <w:tc>
          <w:tcPr>
            <w:tcW w:w="555" w:type="pct"/>
            <w:shd w:val="clear" w:color="auto" w:fill="auto"/>
            <w:noWrap/>
            <w:vAlign w:val="center"/>
            <w:hideMark/>
          </w:tcPr>
          <w:p w14:paraId="0E2855FC" w14:textId="3E18C6FF" w:rsidR="003D5FA1" w:rsidRPr="003D5FA1" w:rsidRDefault="003D5FA1" w:rsidP="003D5FA1">
            <w:pPr>
              <w:pStyle w:val="NoSpacing"/>
              <w:jc w:val="center"/>
              <w:rPr>
                <w:rFonts w:ascii="Arial Narrow" w:hAnsi="Arial Narrow"/>
                <w:sz w:val="14"/>
                <w:szCs w:val="16"/>
                <w:lang w:eastAsia="en-CA"/>
              </w:rPr>
            </w:pPr>
          </w:p>
        </w:tc>
        <w:tc>
          <w:tcPr>
            <w:tcW w:w="1587" w:type="pct"/>
            <w:shd w:val="clear" w:color="000000" w:fill="D9D9D9"/>
            <w:noWrap/>
            <w:vAlign w:val="center"/>
            <w:hideMark/>
          </w:tcPr>
          <w:p w14:paraId="3C7761F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Contributed capital</w:t>
            </w:r>
          </w:p>
        </w:tc>
        <w:tc>
          <w:tcPr>
            <w:tcW w:w="318" w:type="pct"/>
            <w:shd w:val="clear" w:color="000000" w:fill="D9D9D9"/>
            <w:noWrap/>
            <w:vAlign w:val="center"/>
            <w:hideMark/>
          </w:tcPr>
          <w:p w14:paraId="4AF6FEA7" w14:textId="5796F45C" w:rsidR="003D5FA1" w:rsidRPr="003D5FA1" w:rsidRDefault="003D5FA1" w:rsidP="003D5FA1">
            <w:pPr>
              <w:pStyle w:val="NoSpacing"/>
              <w:jc w:val="center"/>
              <w:rPr>
                <w:rFonts w:ascii="Arial Narrow" w:hAnsi="Arial Narrow"/>
                <w:sz w:val="14"/>
                <w:szCs w:val="16"/>
                <w:lang w:eastAsia="en-CA"/>
              </w:rPr>
            </w:pPr>
          </w:p>
        </w:tc>
        <w:tc>
          <w:tcPr>
            <w:tcW w:w="212" w:type="pct"/>
            <w:shd w:val="clear" w:color="000000" w:fill="D9D9D9"/>
            <w:noWrap/>
            <w:vAlign w:val="center"/>
            <w:hideMark/>
          </w:tcPr>
          <w:p w14:paraId="00941B0C" w14:textId="55295173" w:rsidR="003D5FA1" w:rsidRPr="003D5FA1" w:rsidRDefault="003D5FA1" w:rsidP="003D5FA1">
            <w:pPr>
              <w:pStyle w:val="NoSpacing"/>
              <w:jc w:val="center"/>
              <w:rPr>
                <w:rFonts w:ascii="Arial Narrow" w:hAnsi="Arial Narrow"/>
                <w:sz w:val="14"/>
                <w:szCs w:val="16"/>
                <w:lang w:eastAsia="en-CA"/>
              </w:rPr>
            </w:pPr>
          </w:p>
        </w:tc>
        <w:tc>
          <w:tcPr>
            <w:tcW w:w="304" w:type="pct"/>
            <w:shd w:val="clear" w:color="000000" w:fill="D9D9D9"/>
            <w:noWrap/>
            <w:vAlign w:val="center"/>
            <w:hideMark/>
          </w:tcPr>
          <w:p w14:paraId="4CDE4EA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shd w:val="clear" w:color="000000" w:fill="D9D9D9"/>
            <w:noWrap/>
            <w:vAlign w:val="center"/>
            <w:hideMark/>
          </w:tcPr>
          <w:p w14:paraId="077D79AD"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6" w:type="pct"/>
            <w:shd w:val="clear" w:color="000000" w:fill="D9D9D9"/>
            <w:noWrap/>
            <w:vAlign w:val="center"/>
            <w:hideMark/>
          </w:tcPr>
          <w:p w14:paraId="73B1A89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000000" w:fill="D9D9D9"/>
            <w:noWrap/>
            <w:vAlign w:val="center"/>
            <w:hideMark/>
          </w:tcPr>
          <w:p w14:paraId="019D2197"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041E600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000000" w:fill="D9D9D9"/>
            <w:noWrap/>
            <w:vAlign w:val="center"/>
            <w:hideMark/>
          </w:tcPr>
          <w:p w14:paraId="1C56623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000000" w:fill="D9D9D9"/>
            <w:noWrap/>
            <w:vAlign w:val="center"/>
            <w:hideMark/>
          </w:tcPr>
          <w:p w14:paraId="390247AE"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7" w:type="pct"/>
            <w:gridSpan w:val="2"/>
            <w:shd w:val="clear" w:color="000000" w:fill="D9D9D9"/>
            <w:noWrap/>
            <w:vAlign w:val="center"/>
            <w:hideMark/>
          </w:tcPr>
          <w:p w14:paraId="2784B02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68BA735C" w14:textId="77777777" w:rsidTr="003D5FA1">
        <w:trPr>
          <w:trHeight w:val="178"/>
        </w:trPr>
        <w:tc>
          <w:tcPr>
            <w:tcW w:w="555" w:type="pct"/>
            <w:shd w:val="clear" w:color="auto" w:fill="auto"/>
            <w:noWrap/>
            <w:vAlign w:val="center"/>
            <w:hideMark/>
          </w:tcPr>
          <w:p w14:paraId="799794A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service</w:t>
            </w:r>
          </w:p>
        </w:tc>
        <w:tc>
          <w:tcPr>
            <w:tcW w:w="1587" w:type="pct"/>
            <w:shd w:val="clear" w:color="auto" w:fill="auto"/>
            <w:noWrap/>
            <w:vAlign w:val="center"/>
            <w:hideMark/>
          </w:tcPr>
          <w:p w14:paraId="472FB984"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system service</w:t>
            </w:r>
          </w:p>
        </w:tc>
        <w:tc>
          <w:tcPr>
            <w:tcW w:w="318" w:type="pct"/>
            <w:shd w:val="clear" w:color="auto" w:fill="auto"/>
            <w:noWrap/>
            <w:vAlign w:val="center"/>
            <w:hideMark/>
          </w:tcPr>
          <w:p w14:paraId="0CECE2C9" w14:textId="2D26956D"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76C4E6B9" w14:textId="3C3F389C"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7AD43FC3"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shd w:val="clear" w:color="auto" w:fill="auto"/>
            <w:noWrap/>
            <w:vAlign w:val="center"/>
            <w:hideMark/>
          </w:tcPr>
          <w:p w14:paraId="3B9F2615"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$74,700</w:t>
            </w:r>
          </w:p>
        </w:tc>
        <w:tc>
          <w:tcPr>
            <w:tcW w:w="306" w:type="pct"/>
            <w:shd w:val="clear" w:color="auto" w:fill="auto"/>
            <w:noWrap/>
            <w:vAlign w:val="center"/>
            <w:hideMark/>
          </w:tcPr>
          <w:p w14:paraId="6384D26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7" w:type="pct"/>
            <w:shd w:val="clear" w:color="auto" w:fill="auto"/>
            <w:noWrap/>
            <w:vAlign w:val="center"/>
            <w:hideMark/>
          </w:tcPr>
          <w:p w14:paraId="7988FDB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$54,800</w:t>
            </w:r>
          </w:p>
        </w:tc>
        <w:tc>
          <w:tcPr>
            <w:tcW w:w="276" w:type="pct"/>
            <w:gridSpan w:val="2"/>
            <w:shd w:val="clear" w:color="auto" w:fill="auto"/>
            <w:noWrap/>
            <w:vAlign w:val="center"/>
            <w:hideMark/>
          </w:tcPr>
          <w:p w14:paraId="177AC4E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276" w:type="pct"/>
            <w:gridSpan w:val="2"/>
            <w:shd w:val="clear" w:color="auto" w:fill="auto"/>
            <w:noWrap/>
            <w:vAlign w:val="center"/>
            <w:hideMark/>
          </w:tcPr>
          <w:p w14:paraId="5BDFAC6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c>
          <w:tcPr>
            <w:tcW w:w="304" w:type="pct"/>
            <w:gridSpan w:val="2"/>
            <w:shd w:val="clear" w:color="auto" w:fill="auto"/>
            <w:noWrap/>
            <w:vAlign w:val="center"/>
            <w:hideMark/>
          </w:tcPr>
          <w:p w14:paraId="2EE5BBE4"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$397,011</w:t>
            </w:r>
          </w:p>
        </w:tc>
        <w:tc>
          <w:tcPr>
            <w:tcW w:w="277" w:type="pct"/>
            <w:gridSpan w:val="2"/>
            <w:shd w:val="clear" w:color="auto" w:fill="auto"/>
            <w:noWrap/>
            <w:vAlign w:val="center"/>
            <w:hideMark/>
          </w:tcPr>
          <w:p w14:paraId="3E65F6D1"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$0</w:t>
            </w:r>
          </w:p>
        </w:tc>
      </w:tr>
      <w:tr w:rsidR="003D5FA1" w:rsidRPr="003D5FA1" w14:paraId="284CFEE1" w14:textId="77777777" w:rsidTr="003D5FA1">
        <w:trPr>
          <w:trHeight w:val="178"/>
        </w:trPr>
        <w:tc>
          <w:tcPr>
            <w:tcW w:w="555" w:type="pct"/>
            <w:shd w:val="clear" w:color="auto" w:fill="auto"/>
            <w:noWrap/>
            <w:vAlign w:val="center"/>
            <w:hideMark/>
          </w:tcPr>
          <w:p w14:paraId="53E87C8B" w14:textId="77777777" w:rsidR="003D5FA1" w:rsidRPr="003D5FA1" w:rsidRDefault="003D5FA1" w:rsidP="003D5FA1">
            <w:pPr>
              <w:pStyle w:val="NoSpacing"/>
              <w:jc w:val="center"/>
              <w:rPr>
                <w:rFonts w:ascii="Arial Narrow" w:hAnsi="Arial Narrow"/>
                <w:color w:val="000000"/>
                <w:sz w:val="14"/>
                <w:szCs w:val="16"/>
                <w:lang w:eastAsia="en-CA"/>
              </w:rPr>
            </w:pPr>
          </w:p>
        </w:tc>
        <w:tc>
          <w:tcPr>
            <w:tcW w:w="1587" w:type="pct"/>
            <w:shd w:val="clear" w:color="auto" w:fill="auto"/>
            <w:noWrap/>
            <w:vAlign w:val="center"/>
            <w:hideMark/>
          </w:tcPr>
          <w:p w14:paraId="18FEBE75"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7FDD5FCC"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6AB11862"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27014A6F"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77914E33"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1C71FE7B"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5C3C6336"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13B7071B"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6F984D47"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40D99F05"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77B650F7"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05F40EA0" w14:textId="77777777" w:rsidTr="003D5FA1">
        <w:trPr>
          <w:trHeight w:val="178"/>
        </w:trPr>
        <w:tc>
          <w:tcPr>
            <w:tcW w:w="555" w:type="pct"/>
            <w:shd w:val="clear" w:color="auto" w:fill="auto"/>
            <w:noWrap/>
            <w:vAlign w:val="center"/>
            <w:hideMark/>
          </w:tcPr>
          <w:p w14:paraId="2CDACDFD"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Transfer of assets from affiliate</w:t>
            </w:r>
          </w:p>
        </w:tc>
        <w:tc>
          <w:tcPr>
            <w:tcW w:w="1587" w:type="pct"/>
            <w:shd w:val="clear" w:color="auto" w:fill="auto"/>
            <w:noWrap/>
            <w:vAlign w:val="center"/>
            <w:hideMark/>
          </w:tcPr>
          <w:p w14:paraId="611D2AFD" w14:textId="606B937C"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37072213" w14:textId="1A05DB9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27B2F78A" w14:textId="6DC5AD4E"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17CF2B4C" w14:textId="539682CB" w:rsidR="003D5FA1" w:rsidRPr="003D5FA1" w:rsidRDefault="003D5FA1" w:rsidP="003D5FA1">
            <w:pPr>
              <w:pStyle w:val="NoSpacing"/>
              <w:jc w:val="center"/>
              <w:rPr>
                <w:rFonts w:ascii="Arial Narrow" w:hAnsi="Arial Narrow"/>
                <w:sz w:val="14"/>
                <w:szCs w:val="16"/>
                <w:lang w:eastAsia="en-CA"/>
              </w:rPr>
            </w:pPr>
          </w:p>
        </w:tc>
        <w:tc>
          <w:tcPr>
            <w:tcW w:w="276" w:type="pct"/>
            <w:shd w:val="clear" w:color="auto" w:fill="auto"/>
            <w:noWrap/>
            <w:vAlign w:val="center"/>
            <w:hideMark/>
          </w:tcPr>
          <w:p w14:paraId="01BCC500" w14:textId="50249085" w:rsidR="003D5FA1" w:rsidRPr="003D5FA1" w:rsidRDefault="003D5FA1" w:rsidP="003D5FA1">
            <w:pPr>
              <w:pStyle w:val="NoSpacing"/>
              <w:jc w:val="center"/>
              <w:rPr>
                <w:rFonts w:ascii="Arial Narrow" w:hAnsi="Arial Narrow"/>
                <w:sz w:val="14"/>
                <w:szCs w:val="16"/>
                <w:lang w:eastAsia="en-CA"/>
              </w:rPr>
            </w:pPr>
          </w:p>
        </w:tc>
        <w:tc>
          <w:tcPr>
            <w:tcW w:w="306" w:type="pct"/>
            <w:shd w:val="clear" w:color="auto" w:fill="auto"/>
            <w:noWrap/>
            <w:vAlign w:val="center"/>
            <w:hideMark/>
          </w:tcPr>
          <w:p w14:paraId="41DE41EE" w14:textId="25C911F0" w:rsidR="003D5FA1" w:rsidRPr="003D5FA1" w:rsidRDefault="003D5FA1" w:rsidP="003D5FA1">
            <w:pPr>
              <w:pStyle w:val="NoSpacing"/>
              <w:jc w:val="center"/>
              <w:rPr>
                <w:rFonts w:ascii="Arial Narrow" w:hAnsi="Arial Narrow"/>
                <w:sz w:val="14"/>
                <w:szCs w:val="16"/>
                <w:lang w:eastAsia="en-CA"/>
              </w:rPr>
            </w:pPr>
          </w:p>
        </w:tc>
        <w:tc>
          <w:tcPr>
            <w:tcW w:w="307" w:type="pct"/>
            <w:shd w:val="clear" w:color="auto" w:fill="auto"/>
            <w:noWrap/>
            <w:vAlign w:val="center"/>
            <w:hideMark/>
          </w:tcPr>
          <w:p w14:paraId="06941265" w14:textId="2DC1F2F0" w:rsidR="003D5FA1" w:rsidRPr="003D5FA1" w:rsidRDefault="003D5FA1" w:rsidP="003D5FA1">
            <w:pPr>
              <w:pStyle w:val="NoSpacing"/>
              <w:jc w:val="center"/>
              <w:rPr>
                <w:rFonts w:ascii="Arial Narrow" w:hAnsi="Arial Narrow"/>
                <w:sz w:val="14"/>
                <w:szCs w:val="16"/>
                <w:lang w:eastAsia="en-CA"/>
              </w:rPr>
            </w:pPr>
          </w:p>
        </w:tc>
        <w:tc>
          <w:tcPr>
            <w:tcW w:w="276" w:type="pct"/>
            <w:gridSpan w:val="2"/>
            <w:shd w:val="clear" w:color="auto" w:fill="auto"/>
            <w:noWrap/>
            <w:vAlign w:val="center"/>
            <w:hideMark/>
          </w:tcPr>
          <w:p w14:paraId="79926961" w14:textId="0491B75C" w:rsidR="003D5FA1" w:rsidRPr="003D5FA1" w:rsidRDefault="003D5FA1" w:rsidP="003D5FA1">
            <w:pPr>
              <w:pStyle w:val="NoSpacing"/>
              <w:jc w:val="center"/>
              <w:rPr>
                <w:rFonts w:ascii="Arial Narrow" w:hAnsi="Arial Narrow"/>
                <w:sz w:val="14"/>
                <w:szCs w:val="16"/>
                <w:lang w:eastAsia="en-CA"/>
              </w:rPr>
            </w:pPr>
          </w:p>
        </w:tc>
        <w:tc>
          <w:tcPr>
            <w:tcW w:w="276" w:type="pct"/>
            <w:gridSpan w:val="2"/>
            <w:shd w:val="clear" w:color="auto" w:fill="auto"/>
            <w:noWrap/>
            <w:vAlign w:val="center"/>
            <w:hideMark/>
          </w:tcPr>
          <w:p w14:paraId="00E1B364" w14:textId="6533F38D" w:rsidR="003D5FA1" w:rsidRPr="003D5FA1" w:rsidRDefault="003D5FA1" w:rsidP="003D5FA1">
            <w:pPr>
              <w:pStyle w:val="NoSpacing"/>
              <w:jc w:val="center"/>
              <w:rPr>
                <w:rFonts w:ascii="Arial Narrow" w:hAnsi="Arial Narrow"/>
                <w:sz w:val="14"/>
                <w:szCs w:val="16"/>
                <w:lang w:eastAsia="en-CA"/>
              </w:rPr>
            </w:pPr>
          </w:p>
        </w:tc>
        <w:tc>
          <w:tcPr>
            <w:tcW w:w="304" w:type="pct"/>
            <w:gridSpan w:val="2"/>
            <w:shd w:val="clear" w:color="auto" w:fill="auto"/>
            <w:noWrap/>
            <w:vAlign w:val="center"/>
            <w:hideMark/>
          </w:tcPr>
          <w:p w14:paraId="6DABAE42"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512,095</w:t>
            </w:r>
          </w:p>
        </w:tc>
        <w:tc>
          <w:tcPr>
            <w:tcW w:w="277" w:type="pct"/>
            <w:gridSpan w:val="2"/>
            <w:shd w:val="clear" w:color="auto" w:fill="auto"/>
            <w:noWrap/>
            <w:vAlign w:val="center"/>
            <w:hideMark/>
          </w:tcPr>
          <w:p w14:paraId="6E491D40" w14:textId="15134BBB" w:rsidR="003D5FA1" w:rsidRPr="003D5FA1" w:rsidRDefault="003D5FA1" w:rsidP="003D5FA1">
            <w:pPr>
              <w:pStyle w:val="NoSpacing"/>
              <w:jc w:val="center"/>
              <w:rPr>
                <w:rFonts w:ascii="Arial Narrow" w:hAnsi="Arial Narrow"/>
                <w:sz w:val="14"/>
                <w:szCs w:val="16"/>
                <w:lang w:eastAsia="en-CA"/>
              </w:rPr>
            </w:pPr>
          </w:p>
        </w:tc>
      </w:tr>
      <w:tr w:rsidR="003D5FA1" w:rsidRPr="003D5FA1" w14:paraId="2FF325F2" w14:textId="77777777" w:rsidTr="003D5FA1">
        <w:trPr>
          <w:trHeight w:val="178"/>
        </w:trPr>
        <w:tc>
          <w:tcPr>
            <w:tcW w:w="555" w:type="pct"/>
            <w:shd w:val="clear" w:color="auto" w:fill="auto"/>
            <w:noWrap/>
            <w:vAlign w:val="center"/>
            <w:hideMark/>
          </w:tcPr>
          <w:p w14:paraId="7EE1B2AA" w14:textId="7777777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hideMark/>
          </w:tcPr>
          <w:p w14:paraId="339019D9" w14:textId="77777777" w:rsidR="003D5FA1" w:rsidRPr="003D5FA1" w:rsidRDefault="003D5FA1" w:rsidP="003D5FA1">
            <w:pPr>
              <w:pStyle w:val="NoSpacing"/>
              <w:jc w:val="center"/>
              <w:rPr>
                <w:rFonts w:ascii="Arial Narrow" w:hAnsi="Arial Narrow" w:cs="Times New Roman"/>
                <w:sz w:val="14"/>
                <w:szCs w:val="16"/>
                <w:lang w:eastAsia="en-CA"/>
              </w:rPr>
            </w:pPr>
          </w:p>
        </w:tc>
        <w:tc>
          <w:tcPr>
            <w:tcW w:w="318" w:type="pct"/>
            <w:shd w:val="clear" w:color="auto" w:fill="auto"/>
            <w:noWrap/>
            <w:vAlign w:val="center"/>
            <w:hideMark/>
          </w:tcPr>
          <w:p w14:paraId="3A3C5780" w14:textId="77777777" w:rsidR="003D5FA1" w:rsidRPr="003D5FA1" w:rsidRDefault="003D5FA1" w:rsidP="003D5FA1">
            <w:pPr>
              <w:pStyle w:val="NoSpacing"/>
              <w:jc w:val="center"/>
              <w:rPr>
                <w:rFonts w:ascii="Arial Narrow" w:hAnsi="Arial Narrow" w:cs="Times New Roman"/>
                <w:sz w:val="14"/>
                <w:szCs w:val="16"/>
                <w:lang w:eastAsia="en-CA"/>
              </w:rPr>
            </w:pPr>
          </w:p>
        </w:tc>
        <w:tc>
          <w:tcPr>
            <w:tcW w:w="212" w:type="pct"/>
            <w:shd w:val="clear" w:color="auto" w:fill="auto"/>
            <w:noWrap/>
            <w:vAlign w:val="center"/>
            <w:hideMark/>
          </w:tcPr>
          <w:p w14:paraId="37F58FC9"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shd w:val="clear" w:color="auto" w:fill="auto"/>
            <w:noWrap/>
            <w:vAlign w:val="center"/>
            <w:hideMark/>
          </w:tcPr>
          <w:p w14:paraId="6299D408"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shd w:val="clear" w:color="auto" w:fill="auto"/>
            <w:noWrap/>
            <w:vAlign w:val="center"/>
            <w:hideMark/>
          </w:tcPr>
          <w:p w14:paraId="426811B8"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6" w:type="pct"/>
            <w:shd w:val="clear" w:color="auto" w:fill="auto"/>
            <w:noWrap/>
            <w:vAlign w:val="center"/>
            <w:hideMark/>
          </w:tcPr>
          <w:p w14:paraId="2D7C9F61"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7" w:type="pct"/>
            <w:shd w:val="clear" w:color="auto" w:fill="auto"/>
            <w:noWrap/>
            <w:vAlign w:val="center"/>
            <w:hideMark/>
          </w:tcPr>
          <w:p w14:paraId="20FB166B"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5B97D9F7"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6" w:type="pct"/>
            <w:gridSpan w:val="2"/>
            <w:shd w:val="clear" w:color="auto" w:fill="auto"/>
            <w:noWrap/>
            <w:vAlign w:val="center"/>
            <w:hideMark/>
          </w:tcPr>
          <w:p w14:paraId="6B91C36D" w14:textId="77777777" w:rsidR="003D5FA1" w:rsidRPr="003D5FA1" w:rsidRDefault="003D5FA1" w:rsidP="003D5FA1">
            <w:pPr>
              <w:pStyle w:val="NoSpacing"/>
              <w:jc w:val="center"/>
              <w:rPr>
                <w:rFonts w:ascii="Arial Narrow" w:hAnsi="Arial Narrow" w:cs="Times New Roman"/>
                <w:sz w:val="14"/>
                <w:szCs w:val="16"/>
                <w:lang w:eastAsia="en-CA"/>
              </w:rPr>
            </w:pPr>
          </w:p>
        </w:tc>
        <w:tc>
          <w:tcPr>
            <w:tcW w:w="304" w:type="pct"/>
            <w:gridSpan w:val="2"/>
            <w:shd w:val="clear" w:color="auto" w:fill="auto"/>
            <w:noWrap/>
            <w:vAlign w:val="center"/>
            <w:hideMark/>
          </w:tcPr>
          <w:p w14:paraId="52031F9D" w14:textId="77777777" w:rsidR="003D5FA1" w:rsidRPr="003D5FA1" w:rsidRDefault="003D5FA1" w:rsidP="003D5FA1">
            <w:pPr>
              <w:pStyle w:val="NoSpacing"/>
              <w:jc w:val="center"/>
              <w:rPr>
                <w:rFonts w:ascii="Arial Narrow" w:hAnsi="Arial Narrow" w:cs="Times New Roman"/>
                <w:sz w:val="14"/>
                <w:szCs w:val="16"/>
                <w:lang w:eastAsia="en-CA"/>
              </w:rPr>
            </w:pPr>
          </w:p>
        </w:tc>
        <w:tc>
          <w:tcPr>
            <w:tcW w:w="277" w:type="pct"/>
            <w:gridSpan w:val="2"/>
            <w:shd w:val="clear" w:color="auto" w:fill="auto"/>
            <w:noWrap/>
            <w:vAlign w:val="center"/>
            <w:hideMark/>
          </w:tcPr>
          <w:p w14:paraId="5CE09CFB" w14:textId="77777777" w:rsidR="003D5FA1" w:rsidRPr="003D5FA1" w:rsidRDefault="003D5FA1" w:rsidP="003D5FA1">
            <w:pPr>
              <w:pStyle w:val="NoSpacing"/>
              <w:jc w:val="center"/>
              <w:rPr>
                <w:rFonts w:ascii="Arial Narrow" w:hAnsi="Arial Narrow" w:cs="Times New Roman"/>
                <w:sz w:val="14"/>
                <w:szCs w:val="16"/>
                <w:lang w:eastAsia="en-CA"/>
              </w:rPr>
            </w:pPr>
          </w:p>
        </w:tc>
      </w:tr>
      <w:tr w:rsidR="003D5FA1" w:rsidRPr="003D5FA1" w14:paraId="527F2F1E" w14:textId="77777777" w:rsidTr="003D5FA1">
        <w:trPr>
          <w:trHeight w:val="178"/>
        </w:trPr>
        <w:tc>
          <w:tcPr>
            <w:tcW w:w="555" w:type="pct"/>
            <w:shd w:val="clear" w:color="auto" w:fill="auto"/>
            <w:noWrap/>
            <w:vAlign w:val="center"/>
            <w:hideMark/>
          </w:tcPr>
          <w:p w14:paraId="1E0389CF" w14:textId="77777777" w:rsidR="003D5FA1" w:rsidRPr="003D5FA1" w:rsidRDefault="003D5FA1" w:rsidP="003D5FA1">
            <w:pPr>
              <w:pStyle w:val="NoSpacing"/>
              <w:jc w:val="center"/>
              <w:rPr>
                <w:rFonts w:ascii="Arial Narrow" w:hAnsi="Arial Narrow"/>
                <w:sz w:val="14"/>
                <w:szCs w:val="16"/>
                <w:lang w:eastAsia="en-CA"/>
              </w:rPr>
            </w:pPr>
            <w:r w:rsidRPr="003D5FA1">
              <w:rPr>
                <w:rFonts w:ascii="Arial Narrow" w:hAnsi="Arial Narrow"/>
                <w:sz w:val="14"/>
                <w:szCs w:val="16"/>
                <w:lang w:eastAsia="en-CA"/>
              </w:rPr>
              <w:t>Total capital expenditures</w:t>
            </w:r>
          </w:p>
        </w:tc>
        <w:tc>
          <w:tcPr>
            <w:tcW w:w="1587" w:type="pct"/>
            <w:shd w:val="clear" w:color="auto" w:fill="auto"/>
            <w:noWrap/>
            <w:vAlign w:val="center"/>
            <w:hideMark/>
          </w:tcPr>
          <w:p w14:paraId="08CA9C53" w14:textId="204D00CE"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hideMark/>
          </w:tcPr>
          <w:p w14:paraId="5FDBD2A0" w14:textId="45249755"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hideMark/>
          </w:tcPr>
          <w:p w14:paraId="0F2C1FFE" w14:textId="27CE7012"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hideMark/>
          </w:tcPr>
          <w:p w14:paraId="2AD3FAEA"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462,048</w:t>
            </w:r>
          </w:p>
        </w:tc>
        <w:tc>
          <w:tcPr>
            <w:tcW w:w="276" w:type="pct"/>
            <w:shd w:val="clear" w:color="auto" w:fill="auto"/>
            <w:noWrap/>
            <w:vAlign w:val="center"/>
            <w:hideMark/>
          </w:tcPr>
          <w:p w14:paraId="214D99DC"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88,227</w:t>
            </w:r>
          </w:p>
        </w:tc>
        <w:tc>
          <w:tcPr>
            <w:tcW w:w="306" w:type="pct"/>
            <w:shd w:val="clear" w:color="auto" w:fill="auto"/>
            <w:noWrap/>
            <w:vAlign w:val="center"/>
            <w:hideMark/>
          </w:tcPr>
          <w:p w14:paraId="39143EE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43,923</w:t>
            </w:r>
          </w:p>
        </w:tc>
        <w:tc>
          <w:tcPr>
            <w:tcW w:w="307" w:type="pct"/>
            <w:shd w:val="clear" w:color="auto" w:fill="auto"/>
            <w:noWrap/>
            <w:vAlign w:val="center"/>
            <w:hideMark/>
          </w:tcPr>
          <w:p w14:paraId="58BDDD50"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101,176</w:t>
            </w:r>
          </w:p>
        </w:tc>
        <w:tc>
          <w:tcPr>
            <w:tcW w:w="276" w:type="pct"/>
            <w:gridSpan w:val="2"/>
            <w:shd w:val="clear" w:color="auto" w:fill="auto"/>
            <w:noWrap/>
            <w:vAlign w:val="center"/>
            <w:hideMark/>
          </w:tcPr>
          <w:p w14:paraId="06E02526"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36,293</w:t>
            </w:r>
          </w:p>
        </w:tc>
        <w:tc>
          <w:tcPr>
            <w:tcW w:w="276" w:type="pct"/>
            <w:gridSpan w:val="2"/>
            <w:shd w:val="clear" w:color="auto" w:fill="auto"/>
            <w:noWrap/>
            <w:vAlign w:val="center"/>
            <w:hideMark/>
          </w:tcPr>
          <w:p w14:paraId="5FFDE989"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24,057</w:t>
            </w:r>
          </w:p>
        </w:tc>
        <w:tc>
          <w:tcPr>
            <w:tcW w:w="304" w:type="pct"/>
            <w:gridSpan w:val="2"/>
            <w:shd w:val="clear" w:color="auto" w:fill="auto"/>
            <w:noWrap/>
            <w:vAlign w:val="center"/>
            <w:hideMark/>
          </w:tcPr>
          <w:p w14:paraId="2AF51898"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512,095</w:t>
            </w:r>
          </w:p>
        </w:tc>
        <w:tc>
          <w:tcPr>
            <w:tcW w:w="277" w:type="pct"/>
            <w:gridSpan w:val="2"/>
            <w:shd w:val="clear" w:color="auto" w:fill="auto"/>
            <w:noWrap/>
            <w:vAlign w:val="center"/>
            <w:hideMark/>
          </w:tcPr>
          <w:p w14:paraId="17BD414F" w14:textId="77777777" w:rsidR="003D5FA1" w:rsidRPr="003D5FA1" w:rsidRDefault="003D5FA1" w:rsidP="003D5FA1">
            <w:pPr>
              <w:pStyle w:val="NoSpacing"/>
              <w:jc w:val="center"/>
              <w:rPr>
                <w:rFonts w:ascii="Arial Narrow" w:hAnsi="Arial Narrow"/>
                <w:color w:val="000000"/>
                <w:sz w:val="14"/>
                <w:szCs w:val="16"/>
                <w:lang w:eastAsia="en-CA"/>
              </w:rPr>
            </w:pPr>
            <w:r w:rsidRPr="003D5FA1">
              <w:rPr>
                <w:rFonts w:ascii="Arial Narrow" w:hAnsi="Arial Narrow"/>
                <w:color w:val="000000"/>
                <w:sz w:val="14"/>
                <w:szCs w:val="16"/>
                <w:lang w:eastAsia="en-CA"/>
              </w:rPr>
              <w:t>80,667</w:t>
            </w:r>
          </w:p>
        </w:tc>
      </w:tr>
      <w:tr w:rsidR="003D5FA1" w:rsidRPr="003D5FA1" w14:paraId="696A9805" w14:textId="77777777" w:rsidTr="003D5FA1">
        <w:trPr>
          <w:trHeight w:val="178"/>
        </w:trPr>
        <w:tc>
          <w:tcPr>
            <w:tcW w:w="555" w:type="pct"/>
            <w:shd w:val="clear" w:color="auto" w:fill="auto"/>
            <w:noWrap/>
            <w:vAlign w:val="center"/>
          </w:tcPr>
          <w:p w14:paraId="43B9A5F1" w14:textId="77777777" w:rsidR="003D5FA1" w:rsidRPr="003D5FA1" w:rsidRDefault="003D5FA1" w:rsidP="003D5FA1">
            <w:pPr>
              <w:pStyle w:val="NoSpacing"/>
              <w:jc w:val="center"/>
              <w:rPr>
                <w:rFonts w:ascii="Arial Narrow" w:hAnsi="Arial Narrow"/>
                <w:sz w:val="14"/>
                <w:szCs w:val="16"/>
                <w:lang w:eastAsia="en-CA"/>
              </w:rPr>
            </w:pPr>
          </w:p>
        </w:tc>
        <w:tc>
          <w:tcPr>
            <w:tcW w:w="1587" w:type="pct"/>
            <w:shd w:val="clear" w:color="auto" w:fill="auto"/>
            <w:noWrap/>
            <w:vAlign w:val="center"/>
          </w:tcPr>
          <w:p w14:paraId="441FF0B5" w14:textId="77777777" w:rsidR="003D5FA1" w:rsidRPr="003D5FA1" w:rsidRDefault="003D5FA1" w:rsidP="003D5FA1">
            <w:pPr>
              <w:pStyle w:val="NoSpacing"/>
              <w:jc w:val="center"/>
              <w:rPr>
                <w:rFonts w:ascii="Arial Narrow" w:hAnsi="Arial Narrow"/>
                <w:sz w:val="14"/>
                <w:szCs w:val="16"/>
                <w:lang w:eastAsia="en-CA"/>
              </w:rPr>
            </w:pPr>
          </w:p>
        </w:tc>
        <w:tc>
          <w:tcPr>
            <w:tcW w:w="318" w:type="pct"/>
            <w:shd w:val="clear" w:color="auto" w:fill="auto"/>
            <w:noWrap/>
            <w:vAlign w:val="center"/>
          </w:tcPr>
          <w:p w14:paraId="186227A6" w14:textId="77777777" w:rsidR="003D5FA1" w:rsidRPr="003D5FA1" w:rsidRDefault="003D5FA1" w:rsidP="003D5FA1">
            <w:pPr>
              <w:pStyle w:val="NoSpacing"/>
              <w:jc w:val="center"/>
              <w:rPr>
                <w:rFonts w:ascii="Arial Narrow" w:hAnsi="Arial Narrow"/>
                <w:sz w:val="14"/>
                <w:szCs w:val="16"/>
                <w:lang w:eastAsia="en-CA"/>
              </w:rPr>
            </w:pPr>
          </w:p>
        </w:tc>
        <w:tc>
          <w:tcPr>
            <w:tcW w:w="212" w:type="pct"/>
            <w:shd w:val="clear" w:color="auto" w:fill="auto"/>
            <w:noWrap/>
            <w:vAlign w:val="center"/>
          </w:tcPr>
          <w:p w14:paraId="0897C142" w14:textId="77777777" w:rsidR="003D5FA1" w:rsidRPr="003D5FA1" w:rsidRDefault="003D5FA1" w:rsidP="003D5FA1">
            <w:pPr>
              <w:pStyle w:val="NoSpacing"/>
              <w:jc w:val="center"/>
              <w:rPr>
                <w:rFonts w:ascii="Arial Narrow" w:hAnsi="Arial Narrow"/>
                <w:sz w:val="14"/>
                <w:szCs w:val="16"/>
                <w:lang w:eastAsia="en-CA"/>
              </w:rPr>
            </w:pPr>
          </w:p>
        </w:tc>
        <w:tc>
          <w:tcPr>
            <w:tcW w:w="304" w:type="pct"/>
            <w:shd w:val="clear" w:color="auto" w:fill="auto"/>
            <w:noWrap/>
            <w:vAlign w:val="center"/>
          </w:tcPr>
          <w:p w14:paraId="40DDAC10" w14:textId="77777777" w:rsidR="003D5FA1" w:rsidRPr="003D5FA1" w:rsidRDefault="003D5FA1" w:rsidP="003D5FA1">
            <w:pPr>
              <w:pStyle w:val="NoSpacing"/>
              <w:jc w:val="center"/>
              <w:rPr>
                <w:rFonts w:ascii="Arial Narrow" w:hAnsi="Arial Narrow"/>
                <w:color w:val="000000"/>
                <w:sz w:val="14"/>
                <w:szCs w:val="16"/>
                <w:lang w:eastAsia="en-CA"/>
              </w:rPr>
            </w:pPr>
          </w:p>
        </w:tc>
        <w:tc>
          <w:tcPr>
            <w:tcW w:w="276" w:type="pct"/>
            <w:shd w:val="clear" w:color="auto" w:fill="auto"/>
            <w:noWrap/>
            <w:vAlign w:val="center"/>
          </w:tcPr>
          <w:p w14:paraId="131EA64D" w14:textId="77777777" w:rsidR="003D5FA1" w:rsidRPr="003D5FA1" w:rsidRDefault="003D5FA1" w:rsidP="003D5FA1">
            <w:pPr>
              <w:pStyle w:val="NoSpacing"/>
              <w:jc w:val="center"/>
              <w:rPr>
                <w:rFonts w:ascii="Arial Narrow" w:hAnsi="Arial Narrow"/>
                <w:color w:val="000000"/>
                <w:sz w:val="14"/>
                <w:szCs w:val="16"/>
                <w:lang w:eastAsia="en-CA"/>
              </w:rPr>
            </w:pPr>
          </w:p>
        </w:tc>
        <w:tc>
          <w:tcPr>
            <w:tcW w:w="306" w:type="pct"/>
            <w:shd w:val="clear" w:color="auto" w:fill="auto"/>
            <w:noWrap/>
            <w:vAlign w:val="center"/>
          </w:tcPr>
          <w:p w14:paraId="19DE8C33" w14:textId="77777777" w:rsidR="003D5FA1" w:rsidRPr="003D5FA1" w:rsidRDefault="003D5FA1" w:rsidP="003D5FA1">
            <w:pPr>
              <w:pStyle w:val="NoSpacing"/>
              <w:jc w:val="center"/>
              <w:rPr>
                <w:rFonts w:ascii="Arial Narrow" w:hAnsi="Arial Narrow"/>
                <w:color w:val="000000"/>
                <w:sz w:val="14"/>
                <w:szCs w:val="16"/>
                <w:lang w:eastAsia="en-CA"/>
              </w:rPr>
            </w:pPr>
          </w:p>
        </w:tc>
        <w:tc>
          <w:tcPr>
            <w:tcW w:w="307" w:type="pct"/>
            <w:shd w:val="clear" w:color="auto" w:fill="auto"/>
            <w:noWrap/>
            <w:vAlign w:val="center"/>
          </w:tcPr>
          <w:p w14:paraId="09B54B29" w14:textId="7777777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tcPr>
          <w:p w14:paraId="0B111414" w14:textId="77777777" w:rsidR="003D5FA1" w:rsidRPr="003D5FA1" w:rsidRDefault="003D5FA1" w:rsidP="003D5FA1">
            <w:pPr>
              <w:pStyle w:val="NoSpacing"/>
              <w:jc w:val="center"/>
              <w:rPr>
                <w:rFonts w:ascii="Arial Narrow" w:hAnsi="Arial Narrow"/>
                <w:color w:val="000000"/>
                <w:sz w:val="14"/>
                <w:szCs w:val="16"/>
                <w:lang w:eastAsia="en-CA"/>
              </w:rPr>
            </w:pPr>
          </w:p>
        </w:tc>
        <w:tc>
          <w:tcPr>
            <w:tcW w:w="276" w:type="pct"/>
            <w:gridSpan w:val="2"/>
            <w:shd w:val="clear" w:color="auto" w:fill="auto"/>
            <w:noWrap/>
            <w:vAlign w:val="center"/>
          </w:tcPr>
          <w:p w14:paraId="293BEEE0" w14:textId="77777777" w:rsidR="003D5FA1" w:rsidRPr="003D5FA1" w:rsidRDefault="003D5FA1" w:rsidP="003D5FA1">
            <w:pPr>
              <w:pStyle w:val="NoSpacing"/>
              <w:jc w:val="center"/>
              <w:rPr>
                <w:rFonts w:ascii="Arial Narrow" w:hAnsi="Arial Narrow"/>
                <w:color w:val="000000"/>
                <w:sz w:val="14"/>
                <w:szCs w:val="16"/>
                <w:lang w:eastAsia="en-CA"/>
              </w:rPr>
            </w:pPr>
          </w:p>
        </w:tc>
        <w:tc>
          <w:tcPr>
            <w:tcW w:w="304" w:type="pct"/>
            <w:gridSpan w:val="2"/>
            <w:shd w:val="clear" w:color="auto" w:fill="auto"/>
            <w:noWrap/>
            <w:vAlign w:val="center"/>
          </w:tcPr>
          <w:p w14:paraId="7B47D645" w14:textId="77777777" w:rsidR="003D5FA1" w:rsidRPr="003D5FA1" w:rsidRDefault="003D5FA1" w:rsidP="003D5FA1">
            <w:pPr>
              <w:pStyle w:val="NoSpacing"/>
              <w:jc w:val="center"/>
              <w:rPr>
                <w:rFonts w:ascii="Arial Narrow" w:hAnsi="Arial Narrow"/>
                <w:color w:val="000000"/>
                <w:sz w:val="14"/>
                <w:szCs w:val="16"/>
                <w:lang w:eastAsia="en-CA"/>
              </w:rPr>
            </w:pPr>
          </w:p>
        </w:tc>
        <w:tc>
          <w:tcPr>
            <w:tcW w:w="277" w:type="pct"/>
            <w:gridSpan w:val="2"/>
            <w:shd w:val="clear" w:color="auto" w:fill="auto"/>
            <w:noWrap/>
            <w:vAlign w:val="center"/>
          </w:tcPr>
          <w:p w14:paraId="0DF41F8A" w14:textId="77777777" w:rsidR="003D5FA1" w:rsidRPr="003D5FA1" w:rsidRDefault="003D5FA1" w:rsidP="003D5FA1">
            <w:pPr>
              <w:pStyle w:val="NoSpacing"/>
              <w:jc w:val="center"/>
              <w:rPr>
                <w:rFonts w:ascii="Arial Narrow" w:hAnsi="Arial Narrow"/>
                <w:color w:val="000000"/>
                <w:sz w:val="14"/>
                <w:szCs w:val="16"/>
                <w:lang w:eastAsia="en-CA"/>
              </w:rPr>
            </w:pPr>
          </w:p>
        </w:tc>
      </w:tr>
    </w:tbl>
    <w:p w14:paraId="544579BA" w14:textId="77777777" w:rsidR="003D5FA1" w:rsidRDefault="003D5FA1" w:rsidP="003D5FA1">
      <w:pPr>
        <w:spacing w:after="0"/>
        <w:rPr>
          <w:rFonts w:ascii="Arial" w:eastAsia="Times New Roman" w:hAnsi="Arial" w:cs="Arial"/>
          <w:color w:val="0070C0"/>
          <w:sz w:val="24"/>
          <w:szCs w:val="24"/>
        </w:rPr>
      </w:pPr>
    </w:p>
    <w:p w14:paraId="40922011" w14:textId="77777777" w:rsidR="003D5FA1" w:rsidRDefault="003D5FA1" w:rsidP="003D5FA1">
      <w:pPr>
        <w:spacing w:after="0"/>
        <w:rPr>
          <w:rFonts w:ascii="Arial" w:eastAsia="Times New Roman" w:hAnsi="Arial" w:cs="Arial"/>
          <w:color w:val="0070C0"/>
          <w:sz w:val="24"/>
          <w:szCs w:val="24"/>
        </w:rPr>
      </w:pPr>
    </w:p>
    <w:p w14:paraId="2C69C188" w14:textId="1ABD39CB" w:rsidR="003D5FA1" w:rsidRDefault="003D5FA1" w:rsidP="003D5FA1">
      <w:pPr>
        <w:spacing w:after="0"/>
        <w:ind w:left="-567"/>
        <w:jc w:val="center"/>
        <w:rPr>
          <w:rFonts w:ascii="Arial" w:eastAsia="Times New Roman" w:hAnsi="Arial" w:cs="Arial"/>
          <w:color w:val="0070C0"/>
          <w:sz w:val="24"/>
          <w:szCs w:val="24"/>
        </w:rPr>
      </w:pPr>
      <w:r>
        <w:rPr>
          <w:noProof/>
        </w:rPr>
        <w:drawing>
          <wp:inline distT="0" distB="0" distL="0" distR="0" wp14:anchorId="7551B1C4" wp14:editId="6D5585EF">
            <wp:extent cx="9044412" cy="2466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6097" cy="2467435"/>
                    </a:xfrm>
                    <a:prstGeom prst="rect">
                      <a:avLst/>
                    </a:prstGeom>
                  </pic:spPr>
                </pic:pic>
              </a:graphicData>
            </a:graphic>
          </wp:inline>
        </w:drawing>
      </w:r>
    </w:p>
    <w:p w14:paraId="685EE42E" w14:textId="7C95B1E7" w:rsidR="003D5FA1" w:rsidRDefault="003D5FA1" w:rsidP="003D5FA1">
      <w:pPr>
        <w:spacing w:after="0"/>
        <w:ind w:left="-567"/>
        <w:jc w:val="center"/>
        <w:rPr>
          <w:rFonts w:ascii="Arial" w:eastAsia="Times New Roman" w:hAnsi="Arial" w:cs="Arial"/>
          <w:color w:val="0070C0"/>
          <w:sz w:val="24"/>
          <w:szCs w:val="24"/>
        </w:rPr>
      </w:pPr>
    </w:p>
    <w:p w14:paraId="15D6D4B8" w14:textId="6DAB5C99" w:rsidR="003D5FA1" w:rsidRDefault="003D5FA1" w:rsidP="003D5FA1">
      <w:pPr>
        <w:spacing w:after="0"/>
        <w:ind w:left="-567"/>
        <w:jc w:val="center"/>
        <w:rPr>
          <w:rFonts w:ascii="Arial" w:eastAsia="Times New Roman" w:hAnsi="Arial" w:cs="Arial"/>
          <w:color w:val="0070C0"/>
          <w:sz w:val="24"/>
          <w:szCs w:val="24"/>
        </w:rPr>
      </w:pPr>
    </w:p>
    <w:p w14:paraId="620C5DE7" w14:textId="77777777" w:rsidR="003D5FA1" w:rsidRDefault="003D5FA1" w:rsidP="003D5FA1">
      <w:pPr>
        <w:spacing w:after="0"/>
        <w:ind w:left="-567"/>
        <w:jc w:val="center"/>
        <w:rPr>
          <w:rFonts w:ascii="Arial" w:eastAsia="Times New Roman" w:hAnsi="Arial" w:cs="Arial"/>
          <w:color w:val="0070C0"/>
          <w:sz w:val="24"/>
          <w:szCs w:val="24"/>
        </w:rPr>
      </w:pPr>
    </w:p>
    <w:tbl>
      <w:tblPr>
        <w:tblW w:w="5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815"/>
        <w:gridCol w:w="815"/>
        <w:gridCol w:w="815"/>
        <w:gridCol w:w="815"/>
        <w:gridCol w:w="815"/>
      </w:tblGrid>
      <w:tr w:rsidR="003D5FA1" w:rsidRPr="003D5FA1" w14:paraId="036F1048" w14:textId="77777777" w:rsidTr="003D5FA1">
        <w:trPr>
          <w:trHeight w:val="174"/>
          <w:jc w:val="center"/>
        </w:trPr>
        <w:tc>
          <w:tcPr>
            <w:tcW w:w="0" w:type="auto"/>
            <w:shd w:val="clear" w:color="auto" w:fill="auto"/>
            <w:noWrap/>
            <w:vAlign w:val="bottom"/>
            <w:hideMark/>
          </w:tcPr>
          <w:p w14:paraId="22A9077F" w14:textId="77777777" w:rsidR="003D5FA1" w:rsidRPr="003D5FA1" w:rsidRDefault="003D5FA1" w:rsidP="003D5FA1">
            <w:pPr>
              <w:spacing w:after="0" w:line="240" w:lineRule="auto"/>
              <w:rPr>
                <w:rFonts w:ascii="Arial Narrow" w:eastAsia="Times New Roman" w:hAnsi="Arial Narrow" w:cs="Times New Roman"/>
                <w:sz w:val="16"/>
                <w:szCs w:val="16"/>
                <w:lang w:eastAsia="en-CA"/>
              </w:rPr>
            </w:pPr>
          </w:p>
        </w:tc>
        <w:tc>
          <w:tcPr>
            <w:tcW w:w="0" w:type="auto"/>
            <w:shd w:val="clear" w:color="auto" w:fill="auto"/>
            <w:noWrap/>
            <w:vAlign w:val="bottom"/>
            <w:hideMark/>
          </w:tcPr>
          <w:p w14:paraId="36F20EAF" w14:textId="77777777" w:rsidR="003D5FA1" w:rsidRPr="003D5FA1" w:rsidRDefault="003D5FA1" w:rsidP="003D5FA1">
            <w:pPr>
              <w:spacing w:after="0" w:line="240" w:lineRule="auto"/>
              <w:rPr>
                <w:rFonts w:ascii="Arial Narrow" w:eastAsia="Times New Roman" w:hAnsi="Arial Narrow" w:cs="Times New Roman"/>
                <w:sz w:val="16"/>
                <w:szCs w:val="16"/>
                <w:lang w:eastAsia="en-CA"/>
              </w:rPr>
            </w:pPr>
          </w:p>
        </w:tc>
        <w:tc>
          <w:tcPr>
            <w:tcW w:w="0" w:type="auto"/>
            <w:shd w:val="clear" w:color="auto" w:fill="auto"/>
            <w:noWrap/>
            <w:vAlign w:val="bottom"/>
            <w:hideMark/>
          </w:tcPr>
          <w:p w14:paraId="7F2A1315" w14:textId="77777777" w:rsidR="003D5FA1" w:rsidRPr="003D5FA1" w:rsidRDefault="003D5FA1" w:rsidP="003D5FA1">
            <w:pPr>
              <w:spacing w:after="0" w:line="240" w:lineRule="auto"/>
              <w:rPr>
                <w:rFonts w:ascii="Arial Narrow" w:eastAsia="Times New Roman" w:hAnsi="Arial Narrow" w:cs="Times New Roman"/>
                <w:sz w:val="16"/>
                <w:szCs w:val="16"/>
                <w:lang w:eastAsia="en-CA"/>
              </w:rPr>
            </w:pPr>
          </w:p>
        </w:tc>
        <w:tc>
          <w:tcPr>
            <w:tcW w:w="0" w:type="auto"/>
            <w:shd w:val="clear" w:color="auto" w:fill="auto"/>
            <w:noWrap/>
            <w:vAlign w:val="bottom"/>
            <w:hideMark/>
          </w:tcPr>
          <w:p w14:paraId="0C2AFFB9" w14:textId="77777777" w:rsidR="003D5FA1" w:rsidRPr="003D5FA1" w:rsidRDefault="003D5FA1" w:rsidP="003D5FA1">
            <w:pPr>
              <w:spacing w:after="0" w:line="240" w:lineRule="auto"/>
              <w:rPr>
                <w:rFonts w:ascii="Arial Narrow" w:eastAsia="Times New Roman" w:hAnsi="Arial Narrow" w:cs="Times New Roman"/>
                <w:sz w:val="16"/>
                <w:szCs w:val="16"/>
                <w:lang w:eastAsia="en-CA"/>
              </w:rPr>
            </w:pPr>
          </w:p>
        </w:tc>
        <w:tc>
          <w:tcPr>
            <w:tcW w:w="0" w:type="auto"/>
            <w:shd w:val="clear" w:color="auto" w:fill="auto"/>
            <w:noWrap/>
            <w:vAlign w:val="bottom"/>
            <w:hideMark/>
          </w:tcPr>
          <w:p w14:paraId="68A10FAE" w14:textId="77777777" w:rsidR="003D5FA1" w:rsidRPr="003D5FA1" w:rsidRDefault="003D5FA1" w:rsidP="003D5FA1">
            <w:pPr>
              <w:spacing w:after="0" w:line="240" w:lineRule="auto"/>
              <w:rPr>
                <w:rFonts w:ascii="Arial Narrow" w:eastAsia="Times New Roman" w:hAnsi="Arial Narrow" w:cs="Times New Roman"/>
                <w:sz w:val="16"/>
                <w:szCs w:val="16"/>
                <w:lang w:eastAsia="en-CA"/>
              </w:rPr>
            </w:pPr>
          </w:p>
        </w:tc>
        <w:tc>
          <w:tcPr>
            <w:tcW w:w="0" w:type="auto"/>
            <w:shd w:val="clear" w:color="auto" w:fill="auto"/>
            <w:noWrap/>
            <w:vAlign w:val="bottom"/>
            <w:hideMark/>
          </w:tcPr>
          <w:p w14:paraId="05E37E40" w14:textId="77777777" w:rsidR="003D5FA1" w:rsidRPr="003D5FA1" w:rsidRDefault="003D5FA1" w:rsidP="003D5FA1">
            <w:pPr>
              <w:spacing w:after="0" w:line="240" w:lineRule="auto"/>
              <w:rPr>
                <w:rFonts w:ascii="Arial Narrow" w:eastAsia="Times New Roman" w:hAnsi="Arial Narrow" w:cs="Times New Roman"/>
                <w:sz w:val="16"/>
                <w:szCs w:val="16"/>
                <w:lang w:eastAsia="en-CA"/>
              </w:rPr>
            </w:pPr>
          </w:p>
        </w:tc>
      </w:tr>
      <w:tr w:rsidR="003D5FA1" w:rsidRPr="003D5FA1" w14:paraId="57999745" w14:textId="77777777" w:rsidTr="003D5FA1">
        <w:trPr>
          <w:trHeight w:val="255"/>
          <w:jc w:val="center"/>
        </w:trPr>
        <w:tc>
          <w:tcPr>
            <w:tcW w:w="0" w:type="auto"/>
            <w:vMerge w:val="restart"/>
            <w:shd w:val="clear" w:color="auto" w:fill="auto"/>
            <w:vAlign w:val="center"/>
            <w:hideMark/>
          </w:tcPr>
          <w:p w14:paraId="4A73A9A0"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CATEGORY</w:t>
            </w:r>
          </w:p>
        </w:tc>
        <w:tc>
          <w:tcPr>
            <w:tcW w:w="0" w:type="auto"/>
            <w:gridSpan w:val="5"/>
            <w:shd w:val="clear" w:color="auto" w:fill="auto"/>
            <w:vAlign w:val="center"/>
            <w:hideMark/>
          </w:tcPr>
          <w:p w14:paraId="61676BA6"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 xml:space="preserve">Forecast Period </w:t>
            </w:r>
            <w:r w:rsidRPr="003D5FA1">
              <w:rPr>
                <w:rFonts w:ascii="Arial Narrow" w:eastAsia="Times New Roman" w:hAnsi="Arial Narrow" w:cs="Arial"/>
                <w:sz w:val="16"/>
                <w:szCs w:val="16"/>
                <w:lang w:eastAsia="en-CA"/>
              </w:rPr>
              <w:t>(planned)</w:t>
            </w:r>
          </w:p>
        </w:tc>
      </w:tr>
      <w:tr w:rsidR="003D5FA1" w:rsidRPr="003D5FA1" w14:paraId="675B89FC" w14:textId="77777777" w:rsidTr="003D5FA1">
        <w:trPr>
          <w:trHeight w:val="408"/>
          <w:jc w:val="center"/>
        </w:trPr>
        <w:tc>
          <w:tcPr>
            <w:tcW w:w="0" w:type="auto"/>
            <w:vMerge/>
            <w:shd w:val="clear" w:color="auto" w:fill="auto"/>
            <w:vAlign w:val="center"/>
            <w:hideMark/>
          </w:tcPr>
          <w:p w14:paraId="3A4D1559"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vMerge w:val="restart"/>
            <w:shd w:val="clear" w:color="auto" w:fill="auto"/>
            <w:vAlign w:val="center"/>
            <w:hideMark/>
          </w:tcPr>
          <w:p w14:paraId="57386C0F"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2019</w:t>
            </w:r>
          </w:p>
        </w:tc>
        <w:tc>
          <w:tcPr>
            <w:tcW w:w="0" w:type="auto"/>
            <w:vMerge w:val="restart"/>
            <w:shd w:val="clear" w:color="auto" w:fill="auto"/>
            <w:vAlign w:val="center"/>
            <w:hideMark/>
          </w:tcPr>
          <w:p w14:paraId="2A96603B"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2020</w:t>
            </w:r>
          </w:p>
        </w:tc>
        <w:tc>
          <w:tcPr>
            <w:tcW w:w="0" w:type="auto"/>
            <w:vMerge w:val="restart"/>
            <w:shd w:val="clear" w:color="auto" w:fill="auto"/>
            <w:vAlign w:val="center"/>
            <w:hideMark/>
          </w:tcPr>
          <w:p w14:paraId="65F676AC"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2021</w:t>
            </w:r>
          </w:p>
        </w:tc>
        <w:tc>
          <w:tcPr>
            <w:tcW w:w="0" w:type="auto"/>
            <w:vMerge w:val="restart"/>
            <w:shd w:val="clear" w:color="auto" w:fill="auto"/>
            <w:vAlign w:val="center"/>
            <w:hideMark/>
          </w:tcPr>
          <w:p w14:paraId="3B338A03"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2022</w:t>
            </w:r>
          </w:p>
        </w:tc>
        <w:tc>
          <w:tcPr>
            <w:tcW w:w="0" w:type="auto"/>
            <w:vMerge w:val="restart"/>
            <w:shd w:val="clear" w:color="auto" w:fill="auto"/>
            <w:vAlign w:val="center"/>
            <w:hideMark/>
          </w:tcPr>
          <w:p w14:paraId="434273A6" w14:textId="77777777" w:rsidR="003D5FA1" w:rsidRPr="003D5FA1" w:rsidRDefault="003D5FA1" w:rsidP="003D5FA1">
            <w:pPr>
              <w:spacing w:after="0" w:line="240" w:lineRule="auto"/>
              <w:jc w:val="center"/>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2023</w:t>
            </w:r>
          </w:p>
        </w:tc>
      </w:tr>
      <w:tr w:rsidR="003D5FA1" w:rsidRPr="003D5FA1" w14:paraId="6BE4E7B8" w14:textId="77777777" w:rsidTr="003D5FA1">
        <w:trPr>
          <w:trHeight w:val="408"/>
          <w:jc w:val="center"/>
        </w:trPr>
        <w:tc>
          <w:tcPr>
            <w:tcW w:w="0" w:type="auto"/>
            <w:vMerge/>
            <w:shd w:val="clear" w:color="auto" w:fill="auto"/>
            <w:vAlign w:val="center"/>
            <w:hideMark/>
          </w:tcPr>
          <w:p w14:paraId="3DC96ADA"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vMerge/>
            <w:shd w:val="clear" w:color="auto" w:fill="auto"/>
            <w:vAlign w:val="center"/>
            <w:hideMark/>
          </w:tcPr>
          <w:p w14:paraId="4596D28B"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vMerge/>
            <w:shd w:val="clear" w:color="auto" w:fill="auto"/>
            <w:vAlign w:val="center"/>
            <w:hideMark/>
          </w:tcPr>
          <w:p w14:paraId="4617F470"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vMerge/>
            <w:shd w:val="clear" w:color="auto" w:fill="auto"/>
            <w:vAlign w:val="center"/>
            <w:hideMark/>
          </w:tcPr>
          <w:p w14:paraId="200953A4"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vMerge/>
            <w:shd w:val="clear" w:color="auto" w:fill="auto"/>
            <w:vAlign w:val="center"/>
            <w:hideMark/>
          </w:tcPr>
          <w:p w14:paraId="20DA8416"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vMerge/>
            <w:shd w:val="clear" w:color="auto" w:fill="auto"/>
            <w:vAlign w:val="center"/>
            <w:hideMark/>
          </w:tcPr>
          <w:p w14:paraId="7A09FABC"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r>
      <w:tr w:rsidR="003D5FA1" w:rsidRPr="003D5FA1" w14:paraId="7E93042E" w14:textId="77777777" w:rsidTr="003D5FA1">
        <w:trPr>
          <w:trHeight w:val="185"/>
          <w:jc w:val="center"/>
        </w:trPr>
        <w:tc>
          <w:tcPr>
            <w:tcW w:w="0" w:type="auto"/>
            <w:vMerge/>
            <w:shd w:val="clear" w:color="auto" w:fill="auto"/>
            <w:vAlign w:val="center"/>
            <w:hideMark/>
          </w:tcPr>
          <w:p w14:paraId="479A6D90" w14:textId="77777777" w:rsidR="003D5FA1" w:rsidRPr="003D5FA1" w:rsidRDefault="003D5FA1" w:rsidP="003D5FA1">
            <w:pPr>
              <w:spacing w:after="0" w:line="240" w:lineRule="auto"/>
              <w:rPr>
                <w:rFonts w:ascii="Arial Narrow" w:eastAsia="Times New Roman" w:hAnsi="Arial Narrow" w:cs="Arial"/>
                <w:b/>
                <w:bCs/>
                <w:sz w:val="16"/>
                <w:szCs w:val="16"/>
                <w:lang w:eastAsia="en-CA"/>
              </w:rPr>
            </w:pPr>
          </w:p>
        </w:tc>
        <w:tc>
          <w:tcPr>
            <w:tcW w:w="0" w:type="auto"/>
            <w:gridSpan w:val="5"/>
            <w:shd w:val="clear" w:color="auto" w:fill="auto"/>
            <w:vAlign w:val="center"/>
            <w:hideMark/>
          </w:tcPr>
          <w:p w14:paraId="6673ABCF" w14:textId="77777777" w:rsidR="003D5FA1" w:rsidRPr="003D5FA1" w:rsidRDefault="003D5FA1" w:rsidP="003D5FA1">
            <w:pPr>
              <w:spacing w:after="0" w:line="240" w:lineRule="auto"/>
              <w:jc w:val="center"/>
              <w:rPr>
                <w:rFonts w:ascii="Arial Narrow" w:eastAsia="Times New Roman" w:hAnsi="Arial Narrow" w:cs="Arial"/>
                <w:i/>
                <w:iCs/>
                <w:sz w:val="16"/>
                <w:szCs w:val="16"/>
                <w:lang w:eastAsia="en-CA"/>
              </w:rPr>
            </w:pPr>
            <w:r w:rsidRPr="003D5FA1">
              <w:rPr>
                <w:rFonts w:ascii="Arial Narrow" w:eastAsia="Times New Roman" w:hAnsi="Arial Narrow" w:cs="Arial"/>
                <w:i/>
                <w:iCs/>
                <w:sz w:val="16"/>
                <w:szCs w:val="16"/>
                <w:lang w:eastAsia="en-CA"/>
              </w:rPr>
              <w:t>$ '000</w:t>
            </w:r>
          </w:p>
        </w:tc>
      </w:tr>
      <w:tr w:rsidR="003D5FA1" w:rsidRPr="003D5FA1" w14:paraId="7EE8FF1C" w14:textId="77777777" w:rsidTr="003D5FA1">
        <w:trPr>
          <w:trHeight w:val="226"/>
          <w:jc w:val="center"/>
        </w:trPr>
        <w:tc>
          <w:tcPr>
            <w:tcW w:w="0" w:type="auto"/>
            <w:shd w:val="clear" w:color="auto" w:fill="auto"/>
            <w:vAlign w:val="center"/>
            <w:hideMark/>
          </w:tcPr>
          <w:p w14:paraId="69144CB3"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System Access</w:t>
            </w:r>
          </w:p>
        </w:tc>
        <w:tc>
          <w:tcPr>
            <w:tcW w:w="0" w:type="auto"/>
            <w:shd w:val="clear" w:color="auto" w:fill="auto"/>
            <w:vAlign w:val="center"/>
            <w:hideMark/>
          </w:tcPr>
          <w:p w14:paraId="4802FD3D"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 </w:t>
            </w:r>
          </w:p>
        </w:tc>
        <w:tc>
          <w:tcPr>
            <w:tcW w:w="0" w:type="auto"/>
            <w:shd w:val="clear" w:color="auto" w:fill="auto"/>
            <w:vAlign w:val="center"/>
            <w:hideMark/>
          </w:tcPr>
          <w:p w14:paraId="35B9FAC8"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3AD69A88"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55F31F02"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6AF97421"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r>
      <w:tr w:rsidR="003D5FA1" w:rsidRPr="003D5FA1" w14:paraId="49D74762" w14:textId="77777777" w:rsidTr="003D5FA1">
        <w:trPr>
          <w:trHeight w:val="226"/>
          <w:jc w:val="center"/>
        </w:trPr>
        <w:tc>
          <w:tcPr>
            <w:tcW w:w="0" w:type="auto"/>
            <w:shd w:val="clear" w:color="auto" w:fill="auto"/>
            <w:vAlign w:val="center"/>
            <w:hideMark/>
          </w:tcPr>
          <w:p w14:paraId="4B8FCF61"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System Renewal</w:t>
            </w:r>
          </w:p>
        </w:tc>
        <w:tc>
          <w:tcPr>
            <w:tcW w:w="0" w:type="auto"/>
            <w:shd w:val="clear" w:color="auto" w:fill="auto"/>
            <w:vAlign w:val="center"/>
            <w:hideMark/>
          </w:tcPr>
          <w:p w14:paraId="4579ACD0"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80,667 </w:t>
            </w:r>
          </w:p>
        </w:tc>
        <w:tc>
          <w:tcPr>
            <w:tcW w:w="0" w:type="auto"/>
            <w:shd w:val="clear" w:color="auto" w:fill="auto"/>
            <w:vAlign w:val="center"/>
            <w:hideMark/>
          </w:tcPr>
          <w:p w14:paraId="67E76F0B"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349BDDC7"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5A97DA88"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0EA778F0"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r>
      <w:tr w:rsidR="003D5FA1" w:rsidRPr="003D5FA1" w14:paraId="5C92AA77" w14:textId="77777777" w:rsidTr="003D5FA1">
        <w:trPr>
          <w:trHeight w:val="226"/>
          <w:jc w:val="center"/>
        </w:trPr>
        <w:tc>
          <w:tcPr>
            <w:tcW w:w="0" w:type="auto"/>
            <w:shd w:val="clear" w:color="auto" w:fill="auto"/>
            <w:vAlign w:val="center"/>
            <w:hideMark/>
          </w:tcPr>
          <w:p w14:paraId="62DA5D48"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System Service</w:t>
            </w:r>
          </w:p>
        </w:tc>
        <w:tc>
          <w:tcPr>
            <w:tcW w:w="0" w:type="auto"/>
            <w:shd w:val="clear" w:color="auto" w:fill="auto"/>
            <w:vAlign w:val="center"/>
            <w:hideMark/>
          </w:tcPr>
          <w:p w14:paraId="0135798D"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 </w:t>
            </w:r>
          </w:p>
        </w:tc>
        <w:tc>
          <w:tcPr>
            <w:tcW w:w="0" w:type="auto"/>
            <w:shd w:val="clear" w:color="auto" w:fill="auto"/>
            <w:vAlign w:val="center"/>
            <w:hideMark/>
          </w:tcPr>
          <w:p w14:paraId="7B84D083"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31403DEF"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0894C116"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4DC01280"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r>
      <w:tr w:rsidR="003D5FA1" w:rsidRPr="003D5FA1" w14:paraId="45E8DB65" w14:textId="77777777" w:rsidTr="003D5FA1">
        <w:trPr>
          <w:trHeight w:val="226"/>
          <w:jc w:val="center"/>
        </w:trPr>
        <w:tc>
          <w:tcPr>
            <w:tcW w:w="0" w:type="auto"/>
            <w:shd w:val="clear" w:color="auto" w:fill="auto"/>
            <w:vAlign w:val="center"/>
            <w:hideMark/>
          </w:tcPr>
          <w:p w14:paraId="01A27BA3"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General Plant</w:t>
            </w:r>
          </w:p>
        </w:tc>
        <w:tc>
          <w:tcPr>
            <w:tcW w:w="0" w:type="auto"/>
            <w:shd w:val="clear" w:color="auto" w:fill="auto"/>
            <w:vAlign w:val="center"/>
            <w:hideMark/>
          </w:tcPr>
          <w:p w14:paraId="0A6BD535"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 </w:t>
            </w:r>
          </w:p>
        </w:tc>
        <w:tc>
          <w:tcPr>
            <w:tcW w:w="0" w:type="auto"/>
            <w:shd w:val="clear" w:color="auto" w:fill="auto"/>
            <w:vAlign w:val="center"/>
            <w:hideMark/>
          </w:tcPr>
          <w:p w14:paraId="65DEFBFD"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3675F96B"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66EE55E9"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6062B5E4"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r>
      <w:tr w:rsidR="003D5FA1" w:rsidRPr="003D5FA1" w14:paraId="12F60D9A" w14:textId="77777777" w:rsidTr="003D5FA1">
        <w:trPr>
          <w:trHeight w:val="442"/>
          <w:jc w:val="center"/>
        </w:trPr>
        <w:tc>
          <w:tcPr>
            <w:tcW w:w="0" w:type="auto"/>
            <w:shd w:val="clear" w:color="auto" w:fill="auto"/>
            <w:vAlign w:val="center"/>
            <w:hideMark/>
          </w:tcPr>
          <w:p w14:paraId="11359D4B"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TOTAL EXPENDITURE</w:t>
            </w:r>
          </w:p>
        </w:tc>
        <w:tc>
          <w:tcPr>
            <w:tcW w:w="0" w:type="auto"/>
            <w:shd w:val="clear" w:color="auto" w:fill="auto"/>
            <w:vAlign w:val="center"/>
            <w:hideMark/>
          </w:tcPr>
          <w:p w14:paraId="41B2B809"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80,667 </w:t>
            </w:r>
          </w:p>
        </w:tc>
        <w:tc>
          <w:tcPr>
            <w:tcW w:w="0" w:type="auto"/>
            <w:shd w:val="clear" w:color="auto" w:fill="auto"/>
            <w:vAlign w:val="center"/>
            <w:hideMark/>
          </w:tcPr>
          <w:p w14:paraId="004B080A"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59802825"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2490FC58"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692D8938"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r>
      <w:tr w:rsidR="003D5FA1" w:rsidRPr="003D5FA1" w14:paraId="1EA174A8" w14:textId="77777777" w:rsidTr="003D5FA1">
        <w:trPr>
          <w:trHeight w:val="226"/>
          <w:jc w:val="center"/>
        </w:trPr>
        <w:tc>
          <w:tcPr>
            <w:tcW w:w="0" w:type="auto"/>
            <w:shd w:val="clear" w:color="auto" w:fill="auto"/>
            <w:vAlign w:val="center"/>
            <w:hideMark/>
          </w:tcPr>
          <w:p w14:paraId="047481C6"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Capital Contributions</w:t>
            </w:r>
          </w:p>
        </w:tc>
        <w:tc>
          <w:tcPr>
            <w:tcW w:w="0" w:type="auto"/>
            <w:shd w:val="clear" w:color="auto" w:fill="auto"/>
            <w:vAlign w:val="center"/>
            <w:hideMark/>
          </w:tcPr>
          <w:p w14:paraId="15C57991"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53D564CD"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3C88DDFF"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69B94B16"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048287D4"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p>
        </w:tc>
      </w:tr>
      <w:tr w:rsidR="003D5FA1" w:rsidRPr="003D5FA1" w14:paraId="44CD4E0A" w14:textId="77777777" w:rsidTr="003D5FA1">
        <w:trPr>
          <w:trHeight w:val="442"/>
          <w:jc w:val="center"/>
        </w:trPr>
        <w:tc>
          <w:tcPr>
            <w:tcW w:w="0" w:type="auto"/>
            <w:shd w:val="clear" w:color="auto" w:fill="auto"/>
            <w:vAlign w:val="center"/>
            <w:hideMark/>
          </w:tcPr>
          <w:p w14:paraId="3305240E"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Net Capital Expenditures</w:t>
            </w:r>
          </w:p>
        </w:tc>
        <w:tc>
          <w:tcPr>
            <w:tcW w:w="0" w:type="auto"/>
            <w:shd w:val="clear" w:color="auto" w:fill="auto"/>
            <w:vAlign w:val="center"/>
            <w:hideMark/>
          </w:tcPr>
          <w:p w14:paraId="05EE9740"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80,667 </w:t>
            </w:r>
          </w:p>
        </w:tc>
        <w:tc>
          <w:tcPr>
            <w:tcW w:w="0" w:type="auto"/>
            <w:shd w:val="clear" w:color="auto" w:fill="auto"/>
            <w:vAlign w:val="center"/>
            <w:hideMark/>
          </w:tcPr>
          <w:p w14:paraId="2D2D1325"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35444251"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16B0E908"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c>
          <w:tcPr>
            <w:tcW w:w="0" w:type="auto"/>
            <w:shd w:val="clear" w:color="auto" w:fill="auto"/>
            <w:vAlign w:val="center"/>
            <w:hideMark/>
          </w:tcPr>
          <w:p w14:paraId="1BE895F3"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80,677 </w:t>
            </w:r>
          </w:p>
        </w:tc>
      </w:tr>
      <w:tr w:rsidR="003D5FA1" w:rsidRPr="003D5FA1" w14:paraId="6A95D671" w14:textId="77777777" w:rsidTr="003D5FA1">
        <w:trPr>
          <w:trHeight w:val="226"/>
          <w:jc w:val="center"/>
        </w:trPr>
        <w:tc>
          <w:tcPr>
            <w:tcW w:w="0" w:type="auto"/>
            <w:shd w:val="clear" w:color="auto" w:fill="auto"/>
            <w:vAlign w:val="center"/>
            <w:hideMark/>
          </w:tcPr>
          <w:p w14:paraId="1337A968" w14:textId="77777777" w:rsidR="003D5FA1" w:rsidRPr="003D5FA1" w:rsidRDefault="003D5FA1" w:rsidP="003D5FA1">
            <w:pPr>
              <w:spacing w:after="0" w:line="240" w:lineRule="auto"/>
              <w:ind w:firstLineChars="100" w:firstLine="161"/>
              <w:jc w:val="right"/>
              <w:rPr>
                <w:rFonts w:ascii="Arial Narrow" w:eastAsia="Times New Roman" w:hAnsi="Arial Narrow" w:cs="Arial"/>
                <w:b/>
                <w:bCs/>
                <w:sz w:val="16"/>
                <w:szCs w:val="16"/>
                <w:lang w:eastAsia="en-CA"/>
              </w:rPr>
            </w:pPr>
            <w:r w:rsidRPr="003D5FA1">
              <w:rPr>
                <w:rFonts w:ascii="Arial Narrow" w:eastAsia="Times New Roman" w:hAnsi="Arial Narrow" w:cs="Arial"/>
                <w:b/>
                <w:bCs/>
                <w:sz w:val="16"/>
                <w:szCs w:val="16"/>
                <w:lang w:eastAsia="en-CA"/>
              </w:rPr>
              <w:t>System O&amp;M</w:t>
            </w:r>
          </w:p>
        </w:tc>
        <w:tc>
          <w:tcPr>
            <w:tcW w:w="0" w:type="auto"/>
            <w:shd w:val="clear" w:color="auto" w:fill="auto"/>
            <w:vAlign w:val="center"/>
            <w:hideMark/>
          </w:tcPr>
          <w:p w14:paraId="55FCA826" w14:textId="7777777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xml:space="preserve"> $244,370 </w:t>
            </w:r>
          </w:p>
        </w:tc>
        <w:tc>
          <w:tcPr>
            <w:tcW w:w="0" w:type="auto"/>
            <w:shd w:val="clear" w:color="auto" w:fill="auto"/>
            <w:vAlign w:val="center"/>
            <w:hideMark/>
          </w:tcPr>
          <w:p w14:paraId="58CB9FA2" w14:textId="0600FCE7" w:rsidR="003D5FA1" w:rsidRPr="003D5FA1" w:rsidRDefault="003D5FA1" w:rsidP="003D5FA1">
            <w:pPr>
              <w:spacing w:after="0" w:line="240" w:lineRule="auto"/>
              <w:jc w:val="center"/>
              <w:rPr>
                <w:rFonts w:ascii="Arial Narrow" w:eastAsia="Times New Roman" w:hAnsi="Arial Narrow" w:cs="Arial"/>
                <w:sz w:val="16"/>
                <w:szCs w:val="16"/>
                <w:lang w:eastAsia="en-CA"/>
              </w:rPr>
            </w:pPr>
            <w:r w:rsidRPr="003D5FA1">
              <w:rPr>
                <w:rFonts w:ascii="Arial Narrow" w:eastAsia="Times New Roman" w:hAnsi="Arial Narrow" w:cs="Arial"/>
                <w:sz w:val="16"/>
                <w:szCs w:val="16"/>
                <w:lang w:eastAsia="en-CA"/>
              </w:rPr>
              <w:t> </w:t>
            </w:r>
            <w:r w:rsidR="00C55F09">
              <w:rPr>
                <w:rFonts w:ascii="Arial Narrow" w:eastAsia="Times New Roman" w:hAnsi="Arial Narrow" w:cs="Arial"/>
                <w:sz w:val="16"/>
                <w:szCs w:val="16"/>
                <w:lang w:eastAsia="en-CA"/>
              </w:rPr>
              <w:t>$</w:t>
            </w:r>
            <w:r>
              <w:rPr>
                <w:rFonts w:ascii="Arial Narrow" w:eastAsia="Times New Roman" w:hAnsi="Arial Narrow" w:cs="Arial"/>
                <w:sz w:val="16"/>
                <w:szCs w:val="16"/>
                <w:lang w:eastAsia="en-CA"/>
              </w:rPr>
              <w:t>246,202</w:t>
            </w:r>
          </w:p>
        </w:tc>
        <w:tc>
          <w:tcPr>
            <w:tcW w:w="0" w:type="auto"/>
            <w:shd w:val="clear" w:color="auto" w:fill="auto"/>
            <w:vAlign w:val="center"/>
            <w:hideMark/>
          </w:tcPr>
          <w:p w14:paraId="16B7DDED" w14:textId="6EF2CE8E" w:rsidR="003D5FA1" w:rsidRPr="003D5FA1" w:rsidRDefault="00C55F09" w:rsidP="003D5FA1">
            <w:pPr>
              <w:spacing w:after="0" w:line="240" w:lineRule="auto"/>
              <w:jc w:val="center"/>
              <w:rPr>
                <w:rFonts w:ascii="Arial Narrow" w:eastAsia="Times New Roman" w:hAnsi="Arial Narrow" w:cs="Arial"/>
                <w:sz w:val="16"/>
                <w:szCs w:val="16"/>
                <w:lang w:eastAsia="en-CA"/>
              </w:rPr>
            </w:pPr>
            <w:r>
              <w:rPr>
                <w:rFonts w:ascii="Arial Narrow" w:eastAsia="Times New Roman" w:hAnsi="Arial Narrow" w:cs="Arial"/>
                <w:sz w:val="16"/>
                <w:szCs w:val="16"/>
                <w:lang w:eastAsia="en-CA"/>
              </w:rPr>
              <w:t>$248,049</w:t>
            </w:r>
            <w:r w:rsidR="003D5FA1"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26C978EF" w14:textId="59540104" w:rsidR="003D5FA1" w:rsidRPr="003D5FA1" w:rsidRDefault="00C55F09" w:rsidP="003D5FA1">
            <w:pPr>
              <w:spacing w:after="0" w:line="240" w:lineRule="auto"/>
              <w:jc w:val="center"/>
              <w:rPr>
                <w:rFonts w:ascii="Arial Narrow" w:eastAsia="Times New Roman" w:hAnsi="Arial Narrow" w:cs="Arial"/>
                <w:sz w:val="16"/>
                <w:szCs w:val="16"/>
                <w:lang w:eastAsia="en-CA"/>
              </w:rPr>
            </w:pPr>
            <w:r>
              <w:rPr>
                <w:rFonts w:ascii="Arial Narrow" w:eastAsia="Times New Roman" w:hAnsi="Arial Narrow" w:cs="Arial"/>
                <w:sz w:val="16"/>
                <w:szCs w:val="16"/>
                <w:lang w:eastAsia="en-CA"/>
              </w:rPr>
              <w:t>$249,909</w:t>
            </w:r>
            <w:r w:rsidR="003D5FA1" w:rsidRPr="003D5FA1">
              <w:rPr>
                <w:rFonts w:ascii="Arial Narrow" w:eastAsia="Times New Roman" w:hAnsi="Arial Narrow" w:cs="Arial"/>
                <w:sz w:val="16"/>
                <w:szCs w:val="16"/>
                <w:lang w:eastAsia="en-CA"/>
              </w:rPr>
              <w:t> </w:t>
            </w:r>
          </w:p>
        </w:tc>
        <w:tc>
          <w:tcPr>
            <w:tcW w:w="0" w:type="auto"/>
            <w:shd w:val="clear" w:color="auto" w:fill="auto"/>
            <w:vAlign w:val="center"/>
            <w:hideMark/>
          </w:tcPr>
          <w:p w14:paraId="1A312645" w14:textId="433EBFE1" w:rsidR="003D5FA1" w:rsidRPr="003D5FA1" w:rsidRDefault="00C55F09" w:rsidP="003D5FA1">
            <w:pPr>
              <w:spacing w:after="0" w:line="240" w:lineRule="auto"/>
              <w:jc w:val="center"/>
              <w:rPr>
                <w:rFonts w:ascii="Arial Narrow" w:eastAsia="Times New Roman" w:hAnsi="Arial Narrow" w:cs="Arial"/>
                <w:sz w:val="16"/>
                <w:szCs w:val="16"/>
                <w:lang w:eastAsia="en-CA"/>
              </w:rPr>
            </w:pPr>
            <w:r>
              <w:rPr>
                <w:rFonts w:ascii="Arial Narrow" w:eastAsia="Times New Roman" w:hAnsi="Arial Narrow" w:cs="Arial"/>
                <w:sz w:val="16"/>
                <w:szCs w:val="16"/>
                <w:lang w:eastAsia="en-CA"/>
              </w:rPr>
              <w:t>$251,783</w:t>
            </w:r>
            <w:r w:rsidR="003D5FA1" w:rsidRPr="003D5FA1">
              <w:rPr>
                <w:rFonts w:ascii="Arial Narrow" w:eastAsia="Times New Roman" w:hAnsi="Arial Narrow" w:cs="Arial"/>
                <w:sz w:val="16"/>
                <w:szCs w:val="16"/>
                <w:lang w:eastAsia="en-CA"/>
              </w:rPr>
              <w:t> </w:t>
            </w:r>
          </w:p>
        </w:tc>
      </w:tr>
    </w:tbl>
    <w:p w14:paraId="3385793C" w14:textId="77777777" w:rsidR="003D5FA1" w:rsidRDefault="003D5FA1" w:rsidP="003D5FA1">
      <w:pPr>
        <w:spacing w:after="0"/>
        <w:ind w:left="-567"/>
        <w:jc w:val="center"/>
        <w:rPr>
          <w:rFonts w:ascii="Arial" w:eastAsia="Times New Roman" w:hAnsi="Arial" w:cs="Arial"/>
          <w:color w:val="0070C0"/>
          <w:sz w:val="24"/>
          <w:szCs w:val="24"/>
        </w:rPr>
      </w:pPr>
    </w:p>
    <w:p w14:paraId="56451C7F" w14:textId="77777777" w:rsidR="003D5FA1" w:rsidRDefault="003D5FA1" w:rsidP="003D5FA1">
      <w:pPr>
        <w:spacing w:after="0"/>
        <w:rPr>
          <w:rFonts w:ascii="Arial" w:eastAsia="Times New Roman" w:hAnsi="Arial" w:cs="Arial"/>
          <w:color w:val="0070C0"/>
          <w:sz w:val="24"/>
          <w:szCs w:val="24"/>
        </w:rPr>
      </w:pPr>
    </w:p>
    <w:p w14:paraId="44568D7D" w14:textId="7032571E" w:rsidR="003D5FA1" w:rsidRDefault="003D5FA1" w:rsidP="003D5FA1">
      <w:pPr>
        <w:spacing w:after="0"/>
        <w:rPr>
          <w:rFonts w:ascii="Arial" w:eastAsia="Times New Roman" w:hAnsi="Arial" w:cs="Arial"/>
          <w:color w:val="0070C0"/>
          <w:sz w:val="24"/>
          <w:szCs w:val="24"/>
        </w:rPr>
        <w:sectPr w:rsidR="003D5FA1" w:rsidSect="003D5FA1">
          <w:pgSz w:w="15840" w:h="12240" w:orient="landscape"/>
          <w:pgMar w:top="1440" w:right="1440" w:bottom="1440" w:left="1440" w:header="720" w:footer="720" w:gutter="0"/>
          <w:pgNumType w:start="2"/>
          <w:cols w:space="720"/>
          <w:titlePg/>
          <w:docGrid w:linePitch="360"/>
        </w:sectPr>
      </w:pPr>
    </w:p>
    <w:p w14:paraId="09D210B1" w14:textId="2262D372" w:rsidR="003D5FA1" w:rsidRPr="003D5FA1" w:rsidRDefault="003D5FA1" w:rsidP="003D5FA1">
      <w:pPr>
        <w:spacing w:after="0"/>
        <w:rPr>
          <w:rFonts w:ascii="Arial" w:eastAsia="Times New Roman" w:hAnsi="Arial" w:cs="Arial"/>
          <w:color w:val="0070C0"/>
          <w:sz w:val="24"/>
          <w:szCs w:val="24"/>
        </w:rPr>
      </w:pPr>
    </w:p>
    <w:p w14:paraId="417634F1" w14:textId="77777777" w:rsidR="003B7606" w:rsidRPr="003D5FA1" w:rsidRDefault="003B7606" w:rsidP="003D5FA1">
      <w:pPr>
        <w:widowControl w:val="0"/>
        <w:tabs>
          <w:tab w:val="left" w:pos="625"/>
        </w:tabs>
        <w:spacing w:after="0"/>
        <w:ind w:left="624" w:right="357"/>
        <w:jc w:val="both"/>
        <w:rPr>
          <w:rFonts w:ascii="Arial" w:eastAsia="Arial" w:hAnsi="Arial" w:cs="Arial"/>
          <w:sz w:val="24"/>
          <w:szCs w:val="24"/>
          <w:lang w:val="en-US"/>
        </w:rPr>
      </w:pPr>
    </w:p>
    <w:p w14:paraId="6297B77F" w14:textId="1F18EA3B" w:rsidR="0065509F" w:rsidRDefault="0065509F" w:rsidP="0065509F">
      <w:pPr>
        <w:widowControl w:val="0"/>
        <w:tabs>
          <w:tab w:val="left" w:pos="625"/>
        </w:tabs>
        <w:spacing w:after="0"/>
        <w:ind w:left="624" w:right="357"/>
        <w:jc w:val="both"/>
        <w:rPr>
          <w:rFonts w:ascii="Arial" w:eastAsia="Arial" w:hAnsi="Arial" w:cs="Arial"/>
          <w:sz w:val="24"/>
          <w:szCs w:val="24"/>
          <w:lang w:val="en-US"/>
        </w:rPr>
      </w:pPr>
    </w:p>
    <w:p w14:paraId="6DA5FE12" w14:textId="77777777" w:rsidR="0065509F" w:rsidRPr="0065509F" w:rsidRDefault="0065509F" w:rsidP="0065509F">
      <w:pPr>
        <w:widowControl w:val="0"/>
        <w:tabs>
          <w:tab w:val="left" w:pos="625"/>
        </w:tabs>
        <w:spacing w:after="0"/>
        <w:ind w:left="624" w:right="357"/>
        <w:jc w:val="both"/>
        <w:rPr>
          <w:rFonts w:ascii="Arial" w:eastAsia="Arial" w:hAnsi="Arial" w:cs="Arial"/>
          <w:sz w:val="24"/>
          <w:szCs w:val="24"/>
          <w:lang w:val="en-US"/>
        </w:rPr>
      </w:pPr>
    </w:p>
    <w:p w14:paraId="4AEB4617" w14:textId="1B2E5C26" w:rsidR="0065509F" w:rsidRDefault="0065509F" w:rsidP="0065509F">
      <w:pPr>
        <w:pStyle w:val="Heading1"/>
        <w:numPr>
          <w:ilvl w:val="0"/>
          <w:numId w:val="0"/>
        </w:numPr>
        <w:jc w:val="center"/>
      </w:pPr>
      <w:r>
        <w:t>Exhibit 3</w:t>
      </w:r>
    </w:p>
    <w:p w14:paraId="6735451E" w14:textId="77777777" w:rsidR="00BB7E37" w:rsidRPr="00BB7E37" w:rsidRDefault="00BB7E37" w:rsidP="0065509F">
      <w:pPr>
        <w:rPr>
          <w:lang w:val="en-US"/>
        </w:rPr>
      </w:pPr>
    </w:p>
    <w:p w14:paraId="7C314235" w14:textId="06B7CDF9" w:rsidR="005B653B" w:rsidRPr="00AA4B12" w:rsidRDefault="005C4E83" w:rsidP="000E66E5">
      <w:pPr>
        <w:pStyle w:val="Heading2"/>
        <w:numPr>
          <w:ilvl w:val="0"/>
          <w:numId w:val="0"/>
        </w:numPr>
      </w:pPr>
      <w:r>
        <w:t>3-Staff-34</w:t>
      </w:r>
      <w:r w:rsidR="00E55CF7">
        <w:t xml:space="preserve"> </w:t>
      </w:r>
    </w:p>
    <w:p w14:paraId="08C5F6A0" w14:textId="77777777" w:rsidR="005B653B" w:rsidRPr="00AA4B12" w:rsidRDefault="005B653B" w:rsidP="00AA4B12">
      <w:pPr>
        <w:spacing w:after="0"/>
        <w:rPr>
          <w:rFonts w:ascii="Arial" w:hAnsi="Arial" w:cs="Arial"/>
          <w:b/>
          <w:sz w:val="24"/>
          <w:szCs w:val="24"/>
        </w:rPr>
      </w:pPr>
    </w:p>
    <w:p w14:paraId="2D9305E8" w14:textId="77777777" w:rsidR="005B653B" w:rsidRPr="00AA4B12" w:rsidRDefault="005B653B"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Load Forecast model</w:t>
      </w:r>
    </w:p>
    <w:p w14:paraId="7C566E71" w14:textId="77777777" w:rsidR="005B653B" w:rsidRPr="00AA4B12" w:rsidRDefault="005B653B" w:rsidP="00AA4B12">
      <w:pPr>
        <w:spacing w:after="0"/>
        <w:rPr>
          <w:rFonts w:ascii="Arial" w:hAnsi="Arial" w:cs="Arial"/>
          <w:b/>
          <w:sz w:val="24"/>
          <w:szCs w:val="24"/>
        </w:rPr>
      </w:pPr>
    </w:p>
    <w:p w14:paraId="1AD7EB1A" w14:textId="77777777" w:rsidR="005B653B" w:rsidRPr="00AA4B12" w:rsidRDefault="005B653B" w:rsidP="00AA4B12">
      <w:pPr>
        <w:spacing w:after="0"/>
        <w:rPr>
          <w:rFonts w:ascii="Arial" w:hAnsi="Arial" w:cs="Arial"/>
          <w:b/>
          <w:sz w:val="24"/>
          <w:szCs w:val="24"/>
        </w:rPr>
      </w:pPr>
      <w:r w:rsidRPr="00AA4B12">
        <w:rPr>
          <w:rFonts w:ascii="Arial" w:hAnsi="Arial" w:cs="Arial"/>
          <w:b/>
          <w:sz w:val="24"/>
          <w:szCs w:val="24"/>
        </w:rPr>
        <w:t>Preamble:</w:t>
      </w:r>
    </w:p>
    <w:p w14:paraId="6862F645" w14:textId="77777777" w:rsidR="005B653B" w:rsidRPr="00AA4B12" w:rsidRDefault="005B653B" w:rsidP="00AA4B12">
      <w:pPr>
        <w:spacing w:after="0"/>
        <w:rPr>
          <w:rFonts w:ascii="Arial" w:hAnsi="Arial" w:cs="Arial"/>
          <w:b/>
          <w:sz w:val="24"/>
          <w:szCs w:val="24"/>
        </w:rPr>
      </w:pPr>
    </w:p>
    <w:p w14:paraId="378EAD41" w14:textId="77777777" w:rsidR="005B653B" w:rsidRPr="00AA4B12" w:rsidRDefault="005B653B" w:rsidP="00AA4B12">
      <w:pPr>
        <w:spacing w:after="0"/>
        <w:rPr>
          <w:rFonts w:ascii="Arial" w:hAnsi="Arial" w:cs="Arial"/>
          <w:sz w:val="24"/>
          <w:szCs w:val="24"/>
        </w:rPr>
      </w:pPr>
      <w:r w:rsidRPr="00AA4B12">
        <w:rPr>
          <w:rFonts w:ascii="Arial" w:hAnsi="Arial" w:cs="Arial"/>
          <w:sz w:val="24"/>
          <w:szCs w:val="24"/>
        </w:rPr>
        <w:t xml:space="preserve">The last historical observation included in the model is for December 2017. </w:t>
      </w:r>
    </w:p>
    <w:p w14:paraId="77995793" w14:textId="77777777" w:rsidR="005B653B" w:rsidRPr="00AA4B12" w:rsidRDefault="005B653B" w:rsidP="00AA4B12">
      <w:pPr>
        <w:spacing w:after="0"/>
        <w:rPr>
          <w:rFonts w:ascii="Arial" w:hAnsi="Arial" w:cs="Arial"/>
          <w:sz w:val="24"/>
          <w:szCs w:val="24"/>
        </w:rPr>
      </w:pPr>
    </w:p>
    <w:p w14:paraId="50C18EBF" w14:textId="77777777" w:rsidR="005B653B" w:rsidRPr="00AA4B12" w:rsidRDefault="005B653B" w:rsidP="00AA4B12">
      <w:pPr>
        <w:spacing w:after="0"/>
        <w:rPr>
          <w:rFonts w:ascii="Arial" w:hAnsi="Arial" w:cs="Arial"/>
          <w:b/>
          <w:sz w:val="24"/>
          <w:szCs w:val="24"/>
        </w:rPr>
      </w:pPr>
      <w:r w:rsidRPr="00AA4B12">
        <w:rPr>
          <w:rFonts w:ascii="Arial" w:hAnsi="Arial" w:cs="Arial"/>
          <w:b/>
          <w:sz w:val="24"/>
          <w:szCs w:val="24"/>
        </w:rPr>
        <w:t>Question:</w:t>
      </w:r>
    </w:p>
    <w:p w14:paraId="2C8E2867" w14:textId="77777777" w:rsidR="005B653B" w:rsidRPr="00AA4B12" w:rsidRDefault="005B653B" w:rsidP="00AA4B12">
      <w:pPr>
        <w:spacing w:after="0"/>
        <w:rPr>
          <w:rFonts w:ascii="Arial" w:hAnsi="Arial" w:cs="Arial"/>
          <w:b/>
          <w:sz w:val="24"/>
          <w:szCs w:val="24"/>
        </w:rPr>
      </w:pPr>
    </w:p>
    <w:p w14:paraId="64B0CA49" w14:textId="77777777" w:rsidR="005B653B" w:rsidRPr="00AA4B12" w:rsidRDefault="005B653B" w:rsidP="00E2382A">
      <w:pPr>
        <w:pStyle w:val="ListParagraph"/>
        <w:numPr>
          <w:ilvl w:val="0"/>
          <w:numId w:val="3"/>
        </w:numPr>
        <w:spacing w:after="0"/>
        <w:rPr>
          <w:rFonts w:ascii="Arial" w:hAnsi="Arial" w:cs="Arial"/>
          <w:sz w:val="24"/>
          <w:szCs w:val="24"/>
        </w:rPr>
      </w:pPr>
      <w:r w:rsidRPr="00AA4B12">
        <w:rPr>
          <w:rFonts w:ascii="Arial" w:hAnsi="Arial" w:cs="Arial"/>
          <w:sz w:val="24"/>
          <w:szCs w:val="24"/>
        </w:rPr>
        <w:t>Please update the load forecast including 2018 as a historical actual year.</w:t>
      </w:r>
    </w:p>
    <w:p w14:paraId="6D4D4EAC" w14:textId="77777777" w:rsidR="005B653B" w:rsidRPr="00AA4B12" w:rsidRDefault="005B653B" w:rsidP="00AA4B12">
      <w:pPr>
        <w:pStyle w:val="ListParagraph"/>
        <w:spacing w:after="0"/>
        <w:rPr>
          <w:rFonts w:ascii="Arial" w:hAnsi="Arial" w:cs="Arial"/>
          <w:sz w:val="24"/>
          <w:szCs w:val="24"/>
        </w:rPr>
      </w:pPr>
    </w:p>
    <w:p w14:paraId="49D01BDD" w14:textId="77777777" w:rsidR="005B653B" w:rsidRPr="00AA4B12" w:rsidRDefault="005B653B" w:rsidP="00AA4B12">
      <w:pPr>
        <w:spacing w:after="0"/>
        <w:rPr>
          <w:rFonts w:ascii="Arial" w:hAnsi="Arial" w:cs="Arial"/>
          <w:b/>
          <w:sz w:val="24"/>
          <w:szCs w:val="24"/>
        </w:rPr>
      </w:pPr>
    </w:p>
    <w:p w14:paraId="566DEFF0" w14:textId="77777777" w:rsidR="00E55CF7" w:rsidRPr="00E55CF7" w:rsidRDefault="00E55CF7" w:rsidP="00E55CF7">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529AA6B9" w14:textId="26A439D8" w:rsidR="00E55CF7" w:rsidRPr="00E55CF7" w:rsidRDefault="00C55F09" w:rsidP="00E2382A">
      <w:pPr>
        <w:pStyle w:val="ListParagraph"/>
        <w:numPr>
          <w:ilvl w:val="0"/>
          <w:numId w:val="16"/>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The data from the Chapleau weather station is incomplete for 2018 (see file attached to these responses. CPUC seeks approval to use 2009-2017 for the purpose of rate making. Should a Load Forecast still be required in the next Cost of Service application, the utility proposes to use a nearby station that has a complete set of data.  </w:t>
      </w:r>
    </w:p>
    <w:p w14:paraId="1E3F4F6E" w14:textId="77777777" w:rsidR="00886A08" w:rsidRDefault="00886A08">
      <w:pPr>
        <w:rPr>
          <w:rFonts w:ascii="Arial" w:eastAsiaTheme="majorEastAsia" w:hAnsi="Arial" w:cstheme="majorBidi"/>
          <w:b/>
          <w:sz w:val="28"/>
          <w:szCs w:val="26"/>
          <w:lang w:val="en-US"/>
        </w:rPr>
      </w:pPr>
      <w:r>
        <w:br w:type="page"/>
      </w:r>
    </w:p>
    <w:p w14:paraId="6306BBA9" w14:textId="336FD52D" w:rsidR="00752686" w:rsidRPr="009E04F5" w:rsidRDefault="00752686" w:rsidP="00752686">
      <w:pPr>
        <w:pStyle w:val="Heading2"/>
        <w:numPr>
          <w:ilvl w:val="0"/>
          <w:numId w:val="0"/>
        </w:numPr>
        <w:rPr>
          <w:lang w:val="en-CA"/>
        </w:rPr>
      </w:pPr>
      <w:r>
        <w:lastRenderedPageBreak/>
        <w:t>4-Staff-46</w:t>
      </w:r>
      <w:r w:rsidR="00C279F5">
        <w:t xml:space="preserve"> </w:t>
      </w:r>
    </w:p>
    <w:p w14:paraId="6152EBF3" w14:textId="77777777" w:rsidR="00752686" w:rsidRPr="00AA4B12" w:rsidRDefault="00752686" w:rsidP="00752686">
      <w:pPr>
        <w:rPr>
          <w:rFonts w:ascii="Arial" w:hAnsi="Arial" w:cs="Arial"/>
          <w:color w:val="000000"/>
        </w:rPr>
      </w:pPr>
      <w:r w:rsidRPr="00AA4B12">
        <w:rPr>
          <w:rFonts w:ascii="Arial" w:hAnsi="Arial" w:cs="Arial"/>
          <w:color w:val="000000"/>
        </w:rPr>
        <w:t>Ref:</w:t>
      </w:r>
      <w:r w:rsidRPr="00AA4B12">
        <w:rPr>
          <w:rFonts w:ascii="Arial" w:hAnsi="Arial" w:cs="Arial"/>
          <w:color w:val="000000"/>
        </w:rPr>
        <w:tab/>
        <w:t>Excel Appendix 2-JC</w:t>
      </w:r>
    </w:p>
    <w:p w14:paraId="4532A6DD" w14:textId="77777777" w:rsidR="00752686" w:rsidRPr="00AA4B12" w:rsidRDefault="00752686" w:rsidP="00752686">
      <w:pPr>
        <w:rPr>
          <w:rFonts w:ascii="Arial" w:hAnsi="Arial" w:cs="Arial"/>
          <w:color w:val="000000"/>
        </w:rPr>
      </w:pPr>
      <w:r w:rsidRPr="00AA4B12">
        <w:rPr>
          <w:rFonts w:ascii="Arial" w:hAnsi="Arial" w:cs="Arial"/>
          <w:color w:val="000000"/>
        </w:rPr>
        <w:tab/>
        <w:t>Exhibit 4, Table 17 - OEB Appendix 2-JC – OM&amp;A Programs Table</w:t>
      </w:r>
    </w:p>
    <w:p w14:paraId="602673F6" w14:textId="77777777" w:rsidR="00752686" w:rsidRPr="00AA4B12" w:rsidRDefault="00752686" w:rsidP="00752686">
      <w:pPr>
        <w:rPr>
          <w:rFonts w:ascii="Arial" w:hAnsi="Arial" w:cs="Arial"/>
          <w:b/>
          <w:color w:val="000000"/>
        </w:rPr>
      </w:pPr>
      <w:r w:rsidRPr="00AA4B12">
        <w:rPr>
          <w:rFonts w:ascii="Arial" w:hAnsi="Arial" w:cs="Arial"/>
          <w:b/>
          <w:color w:val="000000"/>
        </w:rPr>
        <w:t>Preamble:</w:t>
      </w:r>
    </w:p>
    <w:p w14:paraId="0C769CA5" w14:textId="77777777" w:rsidR="00752686" w:rsidRPr="00AA4B12" w:rsidRDefault="00752686" w:rsidP="00752686">
      <w:pPr>
        <w:autoSpaceDE w:val="0"/>
        <w:autoSpaceDN w:val="0"/>
        <w:adjustRightInd w:val="0"/>
        <w:rPr>
          <w:rFonts w:ascii="Arial" w:hAnsi="Arial" w:cs="Arial"/>
          <w:color w:val="000000"/>
          <w:lang w:val="en-US"/>
        </w:rPr>
      </w:pPr>
      <w:r w:rsidRPr="00AA4B12">
        <w:rPr>
          <w:rFonts w:ascii="Arial" w:hAnsi="Arial" w:cs="Arial"/>
          <w:color w:val="000000"/>
          <w:lang w:val="en-US"/>
        </w:rPr>
        <w:t>OEB staff notes that both the Excel and PDF Appendix 2-JC has only one column for 2012 and does not specify whether it is 2012 OEB approved or 2012 actual.</w:t>
      </w:r>
    </w:p>
    <w:p w14:paraId="42F0DDE6" w14:textId="77777777" w:rsidR="00752686" w:rsidRPr="00AA4B12" w:rsidRDefault="00752686" w:rsidP="00752686">
      <w:pPr>
        <w:autoSpaceDE w:val="0"/>
        <w:autoSpaceDN w:val="0"/>
        <w:adjustRightInd w:val="0"/>
        <w:rPr>
          <w:rFonts w:ascii="Arial" w:hAnsi="Arial" w:cs="Arial"/>
          <w:b/>
          <w:color w:val="000000"/>
          <w:lang w:val="en-US"/>
        </w:rPr>
      </w:pPr>
      <w:r w:rsidRPr="00AA4B12">
        <w:rPr>
          <w:rFonts w:ascii="Arial" w:hAnsi="Arial" w:cs="Arial"/>
          <w:b/>
          <w:color w:val="000000"/>
          <w:lang w:val="en-US"/>
        </w:rPr>
        <w:t>Question:</w:t>
      </w:r>
    </w:p>
    <w:p w14:paraId="46178C2F" w14:textId="77777777" w:rsidR="00752686" w:rsidRPr="00AA4B12" w:rsidRDefault="00752686" w:rsidP="00E2382A">
      <w:pPr>
        <w:pStyle w:val="ListParagraph"/>
        <w:numPr>
          <w:ilvl w:val="0"/>
          <w:numId w:val="2"/>
        </w:numPr>
        <w:autoSpaceDE w:val="0"/>
        <w:autoSpaceDN w:val="0"/>
        <w:adjustRightInd w:val="0"/>
        <w:spacing w:after="0"/>
        <w:rPr>
          <w:rFonts w:ascii="Arial" w:hAnsi="Arial" w:cs="Arial"/>
          <w:color w:val="000000"/>
          <w:sz w:val="24"/>
          <w:szCs w:val="24"/>
          <w:lang w:val="en-US"/>
        </w:rPr>
      </w:pPr>
      <w:r w:rsidRPr="00AA4B12">
        <w:rPr>
          <w:rFonts w:ascii="Arial" w:hAnsi="Arial" w:cs="Arial"/>
          <w:color w:val="000000"/>
          <w:sz w:val="24"/>
          <w:szCs w:val="24"/>
          <w:lang w:val="en-US"/>
        </w:rPr>
        <w:t>Please update the evidence to show 2012 OEB approved and 2012 actual.</w:t>
      </w:r>
    </w:p>
    <w:p w14:paraId="1069BA19" w14:textId="77777777" w:rsidR="00752686" w:rsidRPr="003F0028" w:rsidRDefault="00752686" w:rsidP="00752686">
      <w:pPr>
        <w:rPr>
          <w:rFonts w:ascii="Arial" w:hAnsi="Arial"/>
          <w:color w:val="000000"/>
          <w:sz w:val="20"/>
        </w:rPr>
      </w:pPr>
    </w:p>
    <w:p w14:paraId="19D8228D" w14:textId="77777777" w:rsidR="00752686" w:rsidRPr="00E55CF7" w:rsidRDefault="00752686" w:rsidP="00752686">
      <w:pPr>
        <w:rPr>
          <w:rFonts w:ascii="Arial" w:hAnsi="Arial" w:cs="Arial"/>
          <w:color w:val="0070C0"/>
        </w:rPr>
      </w:pPr>
      <w:r w:rsidRPr="00E55CF7">
        <w:rPr>
          <w:rFonts w:ascii="Arial" w:hAnsi="Arial" w:cs="Arial"/>
          <w:color w:val="0070C0"/>
        </w:rPr>
        <w:t xml:space="preserve">Responses: </w:t>
      </w:r>
    </w:p>
    <w:p w14:paraId="13B24DB9" w14:textId="78B73A81" w:rsidR="00752686" w:rsidRDefault="00752686" w:rsidP="00E2382A">
      <w:pPr>
        <w:pStyle w:val="ListParagraph"/>
        <w:numPr>
          <w:ilvl w:val="0"/>
          <w:numId w:val="17"/>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Please find the requested table below. The OM&amp;A program did not exist in </w:t>
      </w:r>
      <w:r w:rsidRPr="002A5078">
        <w:rPr>
          <w:rFonts w:ascii="Arial" w:eastAsia="Times New Roman" w:hAnsi="Arial" w:cs="Arial"/>
          <w:noProof/>
          <w:color w:val="0070C0"/>
          <w:sz w:val="24"/>
          <w:szCs w:val="24"/>
        </w:rPr>
        <w:t>2012</w:t>
      </w:r>
      <w:r>
        <w:rPr>
          <w:rFonts w:ascii="Arial" w:eastAsia="Times New Roman" w:hAnsi="Arial" w:cs="Arial"/>
          <w:color w:val="0070C0"/>
          <w:sz w:val="24"/>
          <w:szCs w:val="24"/>
        </w:rPr>
        <w:t xml:space="preserve">; therefore, the table below is for illustrative purposes only. </w:t>
      </w:r>
    </w:p>
    <w:p w14:paraId="284C5ADB" w14:textId="77777777" w:rsidR="00082938" w:rsidRPr="00082938" w:rsidRDefault="00082938" w:rsidP="00082938">
      <w:pPr>
        <w:spacing w:after="0"/>
        <w:rPr>
          <w:rFonts w:ascii="Arial" w:eastAsia="Times New Roman" w:hAnsi="Arial" w:cs="Arial"/>
          <w:color w:val="0070C0"/>
          <w:sz w:val="24"/>
          <w:szCs w:val="24"/>
        </w:rPr>
      </w:pPr>
    </w:p>
    <w:tbl>
      <w:tblPr>
        <w:tblW w:w="10749" w:type="dxa"/>
        <w:jc w:val="center"/>
        <w:tblLook w:val="04A0" w:firstRow="1" w:lastRow="0" w:firstColumn="1" w:lastColumn="0" w:noHBand="0" w:noVBand="1"/>
      </w:tblPr>
      <w:tblGrid>
        <w:gridCol w:w="2805"/>
        <w:gridCol w:w="993"/>
        <w:gridCol w:w="993"/>
        <w:gridCol w:w="993"/>
        <w:gridCol w:w="993"/>
        <w:gridCol w:w="993"/>
        <w:gridCol w:w="993"/>
        <w:gridCol w:w="993"/>
        <w:gridCol w:w="993"/>
      </w:tblGrid>
      <w:tr w:rsidR="00082938" w:rsidRPr="00082938" w14:paraId="44CCD009" w14:textId="77777777" w:rsidTr="00082938">
        <w:trPr>
          <w:trHeight w:val="220"/>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14:paraId="25999DA2" w14:textId="77777777" w:rsidR="00082938" w:rsidRPr="00082938" w:rsidRDefault="00082938" w:rsidP="00D37750">
            <w:pPr>
              <w:spacing w:after="0" w:line="240" w:lineRule="auto"/>
              <w:rPr>
                <w:rFonts w:ascii="Arial Narrow" w:eastAsia="Times New Roman" w:hAnsi="Arial Narrow" w:cs="Arial"/>
                <w:b/>
                <w:bCs/>
                <w:i/>
                <w:iCs/>
                <w:color w:val="FF0000"/>
                <w:sz w:val="14"/>
                <w:szCs w:val="16"/>
                <w:lang w:eastAsia="en-CA"/>
              </w:rPr>
            </w:pPr>
            <w:r w:rsidRPr="00082938">
              <w:rPr>
                <w:rFonts w:ascii="Arial Narrow" w:eastAsia="Times New Roman" w:hAnsi="Arial Narrow" w:cs="Arial"/>
                <w:b/>
                <w:bCs/>
                <w:i/>
                <w:iCs/>
                <w:color w:val="FF0000"/>
                <w:sz w:val="14"/>
                <w:szCs w:val="16"/>
                <w:lang w:eastAsia="en-CA"/>
              </w:rPr>
              <w:t>Reporting Basis</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0976992B"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CGAAP</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25DEC9AF"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NEWGAAP</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6EEC07DA"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NEWGAAP</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6FF628C2"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MIFRS</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51869057"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MIFRS</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325C28CE"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MIFRS</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14964074"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MIFRS</w:t>
            </w:r>
          </w:p>
        </w:tc>
        <w:tc>
          <w:tcPr>
            <w:tcW w:w="0" w:type="auto"/>
            <w:tcBorders>
              <w:top w:val="single" w:sz="8" w:space="0" w:color="auto"/>
              <w:left w:val="nil"/>
              <w:bottom w:val="single" w:sz="4" w:space="0" w:color="000000"/>
              <w:right w:val="single" w:sz="4" w:space="0" w:color="000000"/>
            </w:tcBorders>
            <w:shd w:val="clear" w:color="auto" w:fill="auto"/>
            <w:noWrap/>
            <w:vAlign w:val="bottom"/>
            <w:hideMark/>
          </w:tcPr>
          <w:p w14:paraId="63335EE8"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MIFRS</w:t>
            </w:r>
          </w:p>
        </w:tc>
      </w:tr>
      <w:tr w:rsidR="00082938" w:rsidRPr="00082938" w14:paraId="535C286F" w14:textId="77777777" w:rsidTr="00082938">
        <w:trPr>
          <w:trHeight w:val="233"/>
          <w:jc w:val="center"/>
        </w:trPr>
        <w:tc>
          <w:tcPr>
            <w:tcW w:w="0" w:type="auto"/>
            <w:tcBorders>
              <w:top w:val="nil"/>
              <w:left w:val="single" w:sz="4" w:space="0" w:color="auto"/>
              <w:bottom w:val="single" w:sz="4" w:space="0" w:color="auto"/>
              <w:right w:val="nil"/>
            </w:tcBorders>
            <w:shd w:val="clear" w:color="auto" w:fill="auto"/>
            <w:noWrap/>
            <w:vAlign w:val="bottom"/>
            <w:hideMark/>
          </w:tcPr>
          <w:p w14:paraId="0055B660"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Programs</w:t>
            </w:r>
          </w:p>
        </w:tc>
        <w:tc>
          <w:tcPr>
            <w:tcW w:w="0" w:type="auto"/>
            <w:tcBorders>
              <w:top w:val="nil"/>
              <w:left w:val="nil"/>
              <w:bottom w:val="single" w:sz="8" w:space="0" w:color="auto"/>
              <w:right w:val="single" w:sz="4" w:space="0" w:color="auto"/>
            </w:tcBorders>
            <w:shd w:val="clear" w:color="auto" w:fill="auto"/>
            <w:vAlign w:val="center"/>
            <w:hideMark/>
          </w:tcPr>
          <w:p w14:paraId="4D581872"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2012</w:t>
            </w:r>
          </w:p>
        </w:tc>
        <w:tc>
          <w:tcPr>
            <w:tcW w:w="0" w:type="auto"/>
            <w:tcBorders>
              <w:top w:val="nil"/>
              <w:left w:val="nil"/>
              <w:bottom w:val="single" w:sz="8" w:space="0" w:color="auto"/>
              <w:right w:val="single" w:sz="4" w:space="0" w:color="auto"/>
            </w:tcBorders>
            <w:shd w:val="clear" w:color="auto" w:fill="auto"/>
            <w:vAlign w:val="center"/>
            <w:hideMark/>
          </w:tcPr>
          <w:p w14:paraId="47AEB723"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2013</w:t>
            </w:r>
          </w:p>
        </w:tc>
        <w:tc>
          <w:tcPr>
            <w:tcW w:w="0" w:type="auto"/>
            <w:tcBorders>
              <w:top w:val="nil"/>
              <w:left w:val="nil"/>
              <w:bottom w:val="single" w:sz="8" w:space="0" w:color="auto"/>
              <w:right w:val="single" w:sz="4" w:space="0" w:color="auto"/>
            </w:tcBorders>
            <w:shd w:val="clear" w:color="auto" w:fill="auto"/>
            <w:vAlign w:val="center"/>
            <w:hideMark/>
          </w:tcPr>
          <w:p w14:paraId="14B49EDF"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2014</w:t>
            </w:r>
          </w:p>
        </w:tc>
        <w:tc>
          <w:tcPr>
            <w:tcW w:w="0" w:type="auto"/>
            <w:tcBorders>
              <w:top w:val="nil"/>
              <w:left w:val="nil"/>
              <w:bottom w:val="single" w:sz="8" w:space="0" w:color="auto"/>
              <w:right w:val="single" w:sz="4" w:space="0" w:color="auto"/>
            </w:tcBorders>
            <w:shd w:val="clear" w:color="auto" w:fill="auto"/>
            <w:vAlign w:val="center"/>
            <w:hideMark/>
          </w:tcPr>
          <w:p w14:paraId="703F8CBA"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2015</w:t>
            </w:r>
          </w:p>
        </w:tc>
        <w:tc>
          <w:tcPr>
            <w:tcW w:w="0" w:type="auto"/>
            <w:tcBorders>
              <w:top w:val="nil"/>
              <w:left w:val="nil"/>
              <w:bottom w:val="single" w:sz="8" w:space="0" w:color="auto"/>
              <w:right w:val="single" w:sz="4" w:space="0" w:color="auto"/>
            </w:tcBorders>
            <w:shd w:val="clear" w:color="auto" w:fill="auto"/>
            <w:vAlign w:val="center"/>
            <w:hideMark/>
          </w:tcPr>
          <w:p w14:paraId="5106B2DB"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2016</w:t>
            </w:r>
          </w:p>
        </w:tc>
        <w:tc>
          <w:tcPr>
            <w:tcW w:w="0" w:type="auto"/>
            <w:tcBorders>
              <w:top w:val="nil"/>
              <w:left w:val="nil"/>
              <w:bottom w:val="single" w:sz="8" w:space="0" w:color="auto"/>
              <w:right w:val="single" w:sz="4" w:space="0" w:color="auto"/>
            </w:tcBorders>
            <w:shd w:val="clear" w:color="auto" w:fill="auto"/>
            <w:vAlign w:val="center"/>
            <w:hideMark/>
          </w:tcPr>
          <w:p w14:paraId="09085BFF"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2017</w:t>
            </w:r>
          </w:p>
        </w:tc>
        <w:tc>
          <w:tcPr>
            <w:tcW w:w="0" w:type="auto"/>
            <w:tcBorders>
              <w:top w:val="nil"/>
              <w:left w:val="nil"/>
              <w:bottom w:val="single" w:sz="8" w:space="0" w:color="auto"/>
              <w:right w:val="single" w:sz="4" w:space="0" w:color="auto"/>
            </w:tcBorders>
            <w:shd w:val="clear" w:color="auto" w:fill="auto"/>
            <w:vAlign w:val="center"/>
            <w:hideMark/>
          </w:tcPr>
          <w:p w14:paraId="20BDF059"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2018</w:t>
            </w:r>
          </w:p>
        </w:tc>
        <w:tc>
          <w:tcPr>
            <w:tcW w:w="0" w:type="auto"/>
            <w:tcBorders>
              <w:top w:val="nil"/>
              <w:left w:val="nil"/>
              <w:bottom w:val="single" w:sz="8" w:space="0" w:color="auto"/>
              <w:right w:val="single" w:sz="8" w:space="0" w:color="auto"/>
            </w:tcBorders>
            <w:shd w:val="clear" w:color="auto" w:fill="auto"/>
            <w:vAlign w:val="center"/>
            <w:hideMark/>
          </w:tcPr>
          <w:p w14:paraId="31BA4E57"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2019</w:t>
            </w:r>
          </w:p>
        </w:tc>
      </w:tr>
      <w:tr w:rsidR="00082938" w:rsidRPr="00082938" w14:paraId="7D1400DC" w14:textId="77777777" w:rsidTr="00082938">
        <w:trPr>
          <w:trHeight w:val="220"/>
          <w:jc w:val="center"/>
        </w:trPr>
        <w:tc>
          <w:tcPr>
            <w:tcW w:w="0" w:type="auto"/>
            <w:tcBorders>
              <w:top w:val="nil"/>
              <w:left w:val="nil"/>
              <w:bottom w:val="nil"/>
              <w:right w:val="nil"/>
            </w:tcBorders>
            <w:shd w:val="clear" w:color="auto" w:fill="auto"/>
            <w:noWrap/>
            <w:vAlign w:val="bottom"/>
            <w:hideMark/>
          </w:tcPr>
          <w:p w14:paraId="11881972" w14:textId="77777777" w:rsidR="00082938" w:rsidRPr="00082938" w:rsidRDefault="00082938" w:rsidP="00D37750">
            <w:pPr>
              <w:spacing w:after="0" w:line="240" w:lineRule="auto"/>
              <w:jc w:val="center"/>
              <w:rPr>
                <w:rFonts w:ascii="Arial Narrow" w:eastAsia="Times New Roman" w:hAnsi="Arial Narrow" w:cs="Arial"/>
                <w:b/>
                <w:bCs/>
                <w:sz w:val="14"/>
                <w:szCs w:val="16"/>
                <w:lang w:eastAsia="en-CA"/>
              </w:rPr>
            </w:pPr>
          </w:p>
        </w:tc>
        <w:tc>
          <w:tcPr>
            <w:tcW w:w="0" w:type="auto"/>
            <w:tcBorders>
              <w:top w:val="nil"/>
              <w:left w:val="nil"/>
              <w:bottom w:val="nil"/>
              <w:right w:val="nil"/>
            </w:tcBorders>
            <w:shd w:val="clear" w:color="auto" w:fill="auto"/>
            <w:noWrap/>
            <w:vAlign w:val="bottom"/>
            <w:hideMark/>
          </w:tcPr>
          <w:p w14:paraId="48264CCC" w14:textId="77777777" w:rsidR="00082938" w:rsidRPr="00082938" w:rsidRDefault="00082938" w:rsidP="00D37750">
            <w:pPr>
              <w:spacing w:after="0" w:line="240" w:lineRule="auto"/>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xml:space="preserve"> </w:t>
            </w:r>
          </w:p>
        </w:tc>
        <w:tc>
          <w:tcPr>
            <w:tcW w:w="0" w:type="auto"/>
            <w:tcBorders>
              <w:top w:val="nil"/>
              <w:left w:val="nil"/>
              <w:bottom w:val="nil"/>
              <w:right w:val="nil"/>
            </w:tcBorders>
            <w:shd w:val="clear" w:color="auto" w:fill="auto"/>
            <w:noWrap/>
            <w:vAlign w:val="bottom"/>
            <w:hideMark/>
          </w:tcPr>
          <w:p w14:paraId="005D1A03" w14:textId="77777777" w:rsidR="00082938" w:rsidRPr="00082938" w:rsidRDefault="00082938" w:rsidP="00D37750">
            <w:pPr>
              <w:spacing w:after="0" w:line="240" w:lineRule="auto"/>
              <w:rPr>
                <w:rFonts w:ascii="Arial Narrow" w:eastAsia="Times New Roman" w:hAnsi="Arial Narrow" w:cs="Arial"/>
                <w:sz w:val="14"/>
                <w:szCs w:val="16"/>
                <w:lang w:eastAsia="en-CA"/>
              </w:rPr>
            </w:pPr>
          </w:p>
        </w:tc>
        <w:tc>
          <w:tcPr>
            <w:tcW w:w="0" w:type="auto"/>
            <w:tcBorders>
              <w:top w:val="nil"/>
              <w:left w:val="nil"/>
              <w:bottom w:val="nil"/>
              <w:right w:val="nil"/>
            </w:tcBorders>
            <w:shd w:val="clear" w:color="auto" w:fill="auto"/>
            <w:noWrap/>
            <w:vAlign w:val="bottom"/>
            <w:hideMark/>
          </w:tcPr>
          <w:p w14:paraId="0EBB87C9" w14:textId="77777777" w:rsidR="00082938" w:rsidRPr="00082938" w:rsidRDefault="00082938" w:rsidP="00D37750">
            <w:pPr>
              <w:spacing w:after="0" w:line="240" w:lineRule="auto"/>
              <w:rPr>
                <w:rFonts w:ascii="Arial Narrow" w:eastAsia="Times New Roman" w:hAnsi="Arial Narrow" w:cs="Times New Roman"/>
                <w:sz w:val="14"/>
                <w:szCs w:val="16"/>
                <w:lang w:eastAsia="en-CA"/>
              </w:rPr>
            </w:pPr>
          </w:p>
        </w:tc>
        <w:tc>
          <w:tcPr>
            <w:tcW w:w="0" w:type="auto"/>
            <w:tcBorders>
              <w:top w:val="nil"/>
              <w:left w:val="nil"/>
              <w:bottom w:val="nil"/>
              <w:right w:val="nil"/>
            </w:tcBorders>
            <w:shd w:val="clear" w:color="auto" w:fill="auto"/>
            <w:noWrap/>
            <w:vAlign w:val="bottom"/>
            <w:hideMark/>
          </w:tcPr>
          <w:p w14:paraId="4B54E151" w14:textId="77777777" w:rsidR="00082938" w:rsidRPr="00082938" w:rsidRDefault="00082938" w:rsidP="00D37750">
            <w:pPr>
              <w:spacing w:after="0" w:line="240" w:lineRule="auto"/>
              <w:rPr>
                <w:rFonts w:ascii="Arial Narrow" w:eastAsia="Times New Roman" w:hAnsi="Arial Narrow" w:cs="Times New Roman"/>
                <w:sz w:val="14"/>
                <w:szCs w:val="16"/>
                <w:lang w:eastAsia="en-CA"/>
              </w:rPr>
            </w:pPr>
          </w:p>
        </w:tc>
        <w:tc>
          <w:tcPr>
            <w:tcW w:w="0" w:type="auto"/>
            <w:tcBorders>
              <w:top w:val="nil"/>
              <w:left w:val="nil"/>
              <w:bottom w:val="nil"/>
              <w:right w:val="nil"/>
            </w:tcBorders>
            <w:shd w:val="clear" w:color="auto" w:fill="auto"/>
            <w:noWrap/>
            <w:vAlign w:val="bottom"/>
            <w:hideMark/>
          </w:tcPr>
          <w:p w14:paraId="1254CA95" w14:textId="77777777" w:rsidR="00082938" w:rsidRPr="00082938" w:rsidRDefault="00082938" w:rsidP="00D37750">
            <w:pPr>
              <w:spacing w:after="0" w:line="240" w:lineRule="auto"/>
              <w:rPr>
                <w:rFonts w:ascii="Arial Narrow" w:eastAsia="Times New Roman" w:hAnsi="Arial Narrow" w:cs="Times New Roman"/>
                <w:sz w:val="14"/>
                <w:szCs w:val="16"/>
                <w:lang w:eastAsia="en-CA"/>
              </w:rPr>
            </w:pPr>
          </w:p>
        </w:tc>
        <w:tc>
          <w:tcPr>
            <w:tcW w:w="0" w:type="auto"/>
            <w:tcBorders>
              <w:top w:val="nil"/>
              <w:left w:val="nil"/>
              <w:bottom w:val="nil"/>
              <w:right w:val="nil"/>
            </w:tcBorders>
            <w:shd w:val="clear" w:color="auto" w:fill="auto"/>
            <w:noWrap/>
            <w:vAlign w:val="bottom"/>
            <w:hideMark/>
          </w:tcPr>
          <w:p w14:paraId="59EC803B" w14:textId="77777777" w:rsidR="00082938" w:rsidRPr="00082938" w:rsidRDefault="00082938" w:rsidP="00D37750">
            <w:pPr>
              <w:spacing w:after="0" w:line="240" w:lineRule="auto"/>
              <w:rPr>
                <w:rFonts w:ascii="Arial Narrow" w:eastAsia="Times New Roman" w:hAnsi="Arial Narrow" w:cs="Times New Roman"/>
                <w:sz w:val="14"/>
                <w:szCs w:val="16"/>
                <w:lang w:eastAsia="en-CA"/>
              </w:rPr>
            </w:pPr>
          </w:p>
        </w:tc>
        <w:tc>
          <w:tcPr>
            <w:tcW w:w="0" w:type="auto"/>
            <w:tcBorders>
              <w:top w:val="nil"/>
              <w:left w:val="nil"/>
              <w:bottom w:val="nil"/>
              <w:right w:val="nil"/>
            </w:tcBorders>
            <w:shd w:val="clear" w:color="auto" w:fill="auto"/>
            <w:noWrap/>
            <w:vAlign w:val="bottom"/>
            <w:hideMark/>
          </w:tcPr>
          <w:p w14:paraId="610049EC" w14:textId="77777777" w:rsidR="00082938" w:rsidRPr="00082938" w:rsidRDefault="00082938" w:rsidP="00D37750">
            <w:pPr>
              <w:spacing w:after="0" w:line="240" w:lineRule="auto"/>
              <w:rPr>
                <w:rFonts w:ascii="Arial Narrow" w:eastAsia="Times New Roman" w:hAnsi="Arial Narrow" w:cs="Times New Roman"/>
                <w:sz w:val="14"/>
                <w:szCs w:val="16"/>
                <w:lang w:eastAsia="en-CA"/>
              </w:rPr>
            </w:pPr>
          </w:p>
        </w:tc>
        <w:tc>
          <w:tcPr>
            <w:tcW w:w="0" w:type="auto"/>
            <w:tcBorders>
              <w:top w:val="nil"/>
              <w:left w:val="nil"/>
              <w:bottom w:val="nil"/>
              <w:right w:val="nil"/>
            </w:tcBorders>
            <w:shd w:val="clear" w:color="auto" w:fill="auto"/>
            <w:noWrap/>
            <w:vAlign w:val="bottom"/>
            <w:hideMark/>
          </w:tcPr>
          <w:p w14:paraId="6320D18D" w14:textId="77777777" w:rsidR="00082938" w:rsidRPr="00082938" w:rsidRDefault="00082938" w:rsidP="00D37750">
            <w:pPr>
              <w:spacing w:after="0" w:line="240" w:lineRule="auto"/>
              <w:rPr>
                <w:rFonts w:ascii="Arial Narrow" w:eastAsia="Times New Roman" w:hAnsi="Arial Narrow" w:cs="Times New Roman"/>
                <w:sz w:val="14"/>
                <w:szCs w:val="16"/>
                <w:lang w:eastAsia="en-CA"/>
              </w:rPr>
            </w:pPr>
          </w:p>
        </w:tc>
      </w:tr>
      <w:tr w:rsidR="00082938" w:rsidRPr="00082938" w14:paraId="408FFDE5" w14:textId="77777777" w:rsidTr="00082938">
        <w:trPr>
          <w:trHeight w:val="2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F4AE"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Customer Focus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BBD6E7" w14:textId="0AEEC19D"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3014CA" w14:textId="0486609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9A5E0E" w14:textId="3233DE9D"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16FC4E" w14:textId="0AF00681"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D9FF2C" w14:textId="353631B2"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C1F15B8" w14:textId="7B1D414B"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9132C6" w14:textId="2C5ECCF6"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55A462" w14:textId="4BE9D6CD"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7FABB7FD"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96519" w14:textId="77777777" w:rsid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xml:space="preserve">Customer Service, Mailing Costs, Billing  </w:t>
            </w:r>
          </w:p>
          <w:p w14:paraId="6F0C202B" w14:textId="4D3507CF"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and  Collections, LEAP</w:t>
            </w:r>
          </w:p>
        </w:tc>
        <w:tc>
          <w:tcPr>
            <w:tcW w:w="0" w:type="auto"/>
            <w:tcBorders>
              <w:top w:val="nil"/>
              <w:left w:val="nil"/>
              <w:bottom w:val="single" w:sz="4" w:space="0" w:color="auto"/>
              <w:right w:val="single" w:sz="4" w:space="0" w:color="auto"/>
            </w:tcBorders>
            <w:shd w:val="clear" w:color="auto" w:fill="auto"/>
            <w:noWrap/>
            <w:vAlign w:val="bottom"/>
            <w:hideMark/>
          </w:tcPr>
          <w:p w14:paraId="53A13171" w14:textId="45C9822E"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w:t>
            </w:r>
            <w:r>
              <w:rPr>
                <w:rFonts w:ascii="Arial Narrow" w:eastAsia="Times New Roman" w:hAnsi="Arial Narrow" w:cs="Arial"/>
                <w:sz w:val="16"/>
                <w:szCs w:val="16"/>
                <w:lang w:eastAsia="en-CA"/>
              </w:rPr>
              <w:t>69,560.05</w:t>
            </w:r>
          </w:p>
        </w:tc>
        <w:tc>
          <w:tcPr>
            <w:tcW w:w="0" w:type="auto"/>
            <w:tcBorders>
              <w:top w:val="nil"/>
              <w:left w:val="nil"/>
              <w:bottom w:val="single" w:sz="4" w:space="0" w:color="auto"/>
              <w:right w:val="single" w:sz="4" w:space="0" w:color="auto"/>
            </w:tcBorders>
            <w:shd w:val="clear" w:color="auto" w:fill="auto"/>
            <w:noWrap/>
            <w:vAlign w:val="bottom"/>
            <w:hideMark/>
          </w:tcPr>
          <w:p w14:paraId="69F2A09A"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$74,219.95</w:t>
            </w:r>
          </w:p>
        </w:tc>
        <w:tc>
          <w:tcPr>
            <w:tcW w:w="0" w:type="auto"/>
            <w:tcBorders>
              <w:top w:val="nil"/>
              <w:left w:val="nil"/>
              <w:bottom w:val="single" w:sz="4" w:space="0" w:color="auto"/>
              <w:right w:val="single" w:sz="4" w:space="0" w:color="auto"/>
            </w:tcBorders>
            <w:shd w:val="clear" w:color="auto" w:fill="auto"/>
            <w:noWrap/>
            <w:vAlign w:val="bottom"/>
            <w:hideMark/>
          </w:tcPr>
          <w:p w14:paraId="1C082B0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$75,286.41</w:t>
            </w:r>
          </w:p>
        </w:tc>
        <w:tc>
          <w:tcPr>
            <w:tcW w:w="0" w:type="auto"/>
            <w:tcBorders>
              <w:top w:val="nil"/>
              <w:left w:val="nil"/>
              <w:bottom w:val="single" w:sz="4" w:space="0" w:color="auto"/>
              <w:right w:val="single" w:sz="4" w:space="0" w:color="auto"/>
            </w:tcBorders>
            <w:shd w:val="clear" w:color="auto" w:fill="auto"/>
            <w:noWrap/>
            <w:vAlign w:val="bottom"/>
            <w:hideMark/>
          </w:tcPr>
          <w:p w14:paraId="0066B74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$78,150.35</w:t>
            </w:r>
          </w:p>
        </w:tc>
        <w:tc>
          <w:tcPr>
            <w:tcW w:w="0" w:type="auto"/>
            <w:tcBorders>
              <w:top w:val="nil"/>
              <w:left w:val="nil"/>
              <w:bottom w:val="single" w:sz="4" w:space="0" w:color="auto"/>
              <w:right w:val="single" w:sz="4" w:space="0" w:color="auto"/>
            </w:tcBorders>
            <w:shd w:val="clear" w:color="auto" w:fill="auto"/>
            <w:noWrap/>
            <w:vAlign w:val="bottom"/>
            <w:hideMark/>
          </w:tcPr>
          <w:p w14:paraId="7F91160C"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$79,342.15</w:t>
            </w:r>
          </w:p>
        </w:tc>
        <w:tc>
          <w:tcPr>
            <w:tcW w:w="0" w:type="auto"/>
            <w:tcBorders>
              <w:top w:val="nil"/>
              <w:left w:val="nil"/>
              <w:bottom w:val="single" w:sz="4" w:space="0" w:color="auto"/>
              <w:right w:val="single" w:sz="4" w:space="0" w:color="auto"/>
            </w:tcBorders>
            <w:shd w:val="clear" w:color="auto" w:fill="auto"/>
            <w:noWrap/>
            <w:vAlign w:val="bottom"/>
            <w:hideMark/>
          </w:tcPr>
          <w:p w14:paraId="7C07B79A"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$80,816.11</w:t>
            </w:r>
          </w:p>
        </w:tc>
        <w:tc>
          <w:tcPr>
            <w:tcW w:w="0" w:type="auto"/>
            <w:tcBorders>
              <w:top w:val="nil"/>
              <w:left w:val="nil"/>
              <w:bottom w:val="single" w:sz="4" w:space="0" w:color="auto"/>
              <w:right w:val="single" w:sz="4" w:space="0" w:color="auto"/>
            </w:tcBorders>
            <w:shd w:val="clear" w:color="auto" w:fill="auto"/>
            <w:noWrap/>
            <w:vAlign w:val="bottom"/>
            <w:hideMark/>
          </w:tcPr>
          <w:p w14:paraId="4F1B971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$73,273.00</w:t>
            </w:r>
          </w:p>
        </w:tc>
        <w:tc>
          <w:tcPr>
            <w:tcW w:w="0" w:type="auto"/>
            <w:tcBorders>
              <w:top w:val="nil"/>
              <w:left w:val="nil"/>
              <w:bottom w:val="single" w:sz="4" w:space="0" w:color="auto"/>
              <w:right w:val="single" w:sz="4" w:space="0" w:color="auto"/>
            </w:tcBorders>
            <w:shd w:val="clear" w:color="auto" w:fill="auto"/>
            <w:noWrap/>
            <w:vAlign w:val="bottom"/>
            <w:hideMark/>
          </w:tcPr>
          <w:p w14:paraId="708028D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$87,690.00</w:t>
            </w:r>
          </w:p>
        </w:tc>
      </w:tr>
      <w:tr w:rsidR="00082938" w:rsidRPr="00082938" w14:paraId="14276A14"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BE56B9"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Bad Debts</w:t>
            </w:r>
          </w:p>
        </w:tc>
        <w:tc>
          <w:tcPr>
            <w:tcW w:w="0" w:type="auto"/>
            <w:tcBorders>
              <w:top w:val="nil"/>
              <w:left w:val="nil"/>
              <w:bottom w:val="single" w:sz="4" w:space="0" w:color="auto"/>
              <w:right w:val="single" w:sz="4" w:space="0" w:color="auto"/>
            </w:tcBorders>
            <w:shd w:val="clear" w:color="auto" w:fill="auto"/>
            <w:noWrap/>
            <w:vAlign w:val="bottom"/>
            <w:hideMark/>
          </w:tcPr>
          <w:p w14:paraId="49CECE95"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$4,107.05</w:t>
            </w:r>
          </w:p>
        </w:tc>
        <w:tc>
          <w:tcPr>
            <w:tcW w:w="0" w:type="auto"/>
            <w:tcBorders>
              <w:top w:val="nil"/>
              <w:left w:val="nil"/>
              <w:bottom w:val="single" w:sz="4" w:space="0" w:color="auto"/>
              <w:right w:val="single" w:sz="4" w:space="0" w:color="auto"/>
            </w:tcBorders>
            <w:shd w:val="clear" w:color="auto" w:fill="auto"/>
            <w:noWrap/>
            <w:vAlign w:val="bottom"/>
            <w:hideMark/>
          </w:tcPr>
          <w:p w14:paraId="1DD8000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$6,668.99</w:t>
            </w:r>
          </w:p>
        </w:tc>
        <w:tc>
          <w:tcPr>
            <w:tcW w:w="0" w:type="auto"/>
            <w:tcBorders>
              <w:top w:val="nil"/>
              <w:left w:val="nil"/>
              <w:bottom w:val="single" w:sz="4" w:space="0" w:color="auto"/>
              <w:right w:val="single" w:sz="4" w:space="0" w:color="auto"/>
            </w:tcBorders>
            <w:shd w:val="clear" w:color="auto" w:fill="auto"/>
            <w:noWrap/>
            <w:vAlign w:val="bottom"/>
            <w:hideMark/>
          </w:tcPr>
          <w:p w14:paraId="0284B9A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$29,771.17</w:t>
            </w:r>
          </w:p>
        </w:tc>
        <w:tc>
          <w:tcPr>
            <w:tcW w:w="0" w:type="auto"/>
            <w:tcBorders>
              <w:top w:val="nil"/>
              <w:left w:val="nil"/>
              <w:bottom w:val="single" w:sz="4" w:space="0" w:color="auto"/>
              <w:right w:val="single" w:sz="4" w:space="0" w:color="auto"/>
            </w:tcBorders>
            <w:shd w:val="clear" w:color="auto" w:fill="auto"/>
            <w:noWrap/>
            <w:vAlign w:val="bottom"/>
            <w:hideMark/>
          </w:tcPr>
          <w:p w14:paraId="38D1D663"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$18,900.41</w:t>
            </w:r>
          </w:p>
        </w:tc>
        <w:tc>
          <w:tcPr>
            <w:tcW w:w="0" w:type="auto"/>
            <w:tcBorders>
              <w:top w:val="nil"/>
              <w:left w:val="nil"/>
              <w:bottom w:val="single" w:sz="4" w:space="0" w:color="auto"/>
              <w:right w:val="single" w:sz="4" w:space="0" w:color="auto"/>
            </w:tcBorders>
            <w:shd w:val="clear" w:color="auto" w:fill="auto"/>
            <w:noWrap/>
            <w:vAlign w:val="bottom"/>
            <w:hideMark/>
          </w:tcPr>
          <w:p w14:paraId="651A74B3"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$6,763.22</w:t>
            </w:r>
          </w:p>
        </w:tc>
        <w:tc>
          <w:tcPr>
            <w:tcW w:w="0" w:type="auto"/>
            <w:tcBorders>
              <w:top w:val="nil"/>
              <w:left w:val="nil"/>
              <w:bottom w:val="single" w:sz="4" w:space="0" w:color="auto"/>
              <w:right w:val="single" w:sz="4" w:space="0" w:color="auto"/>
            </w:tcBorders>
            <w:shd w:val="clear" w:color="auto" w:fill="auto"/>
            <w:noWrap/>
            <w:vAlign w:val="bottom"/>
            <w:hideMark/>
          </w:tcPr>
          <w:p w14:paraId="42FBD49D"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-$208.49</w:t>
            </w:r>
          </w:p>
        </w:tc>
        <w:tc>
          <w:tcPr>
            <w:tcW w:w="0" w:type="auto"/>
            <w:tcBorders>
              <w:top w:val="nil"/>
              <w:left w:val="nil"/>
              <w:bottom w:val="single" w:sz="4" w:space="0" w:color="auto"/>
              <w:right w:val="single" w:sz="4" w:space="0" w:color="auto"/>
            </w:tcBorders>
            <w:shd w:val="clear" w:color="auto" w:fill="auto"/>
            <w:noWrap/>
            <w:vAlign w:val="bottom"/>
            <w:hideMark/>
          </w:tcPr>
          <w:p w14:paraId="52185FDA"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0C221FB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$5,000.00</w:t>
            </w:r>
          </w:p>
        </w:tc>
      </w:tr>
      <w:tr w:rsidR="00082938" w:rsidRPr="00082938" w14:paraId="4539FCD8"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1D3664"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Meter Reading</w:t>
            </w:r>
          </w:p>
        </w:tc>
        <w:tc>
          <w:tcPr>
            <w:tcW w:w="0" w:type="auto"/>
            <w:tcBorders>
              <w:top w:val="nil"/>
              <w:left w:val="nil"/>
              <w:bottom w:val="single" w:sz="4" w:space="0" w:color="auto"/>
              <w:right w:val="single" w:sz="4" w:space="0" w:color="auto"/>
            </w:tcBorders>
            <w:shd w:val="clear" w:color="auto" w:fill="auto"/>
            <w:noWrap/>
            <w:vAlign w:val="bottom"/>
            <w:hideMark/>
          </w:tcPr>
          <w:p w14:paraId="458255A6"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$22,033.32</w:t>
            </w:r>
          </w:p>
        </w:tc>
        <w:tc>
          <w:tcPr>
            <w:tcW w:w="0" w:type="auto"/>
            <w:tcBorders>
              <w:top w:val="nil"/>
              <w:left w:val="nil"/>
              <w:bottom w:val="single" w:sz="4" w:space="0" w:color="auto"/>
              <w:right w:val="single" w:sz="4" w:space="0" w:color="auto"/>
            </w:tcBorders>
            <w:shd w:val="clear" w:color="auto" w:fill="auto"/>
            <w:noWrap/>
            <w:vAlign w:val="bottom"/>
            <w:hideMark/>
          </w:tcPr>
          <w:p w14:paraId="341C97C6"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$34,611.56</w:t>
            </w:r>
          </w:p>
        </w:tc>
        <w:tc>
          <w:tcPr>
            <w:tcW w:w="0" w:type="auto"/>
            <w:tcBorders>
              <w:top w:val="nil"/>
              <w:left w:val="nil"/>
              <w:bottom w:val="single" w:sz="4" w:space="0" w:color="auto"/>
              <w:right w:val="single" w:sz="4" w:space="0" w:color="auto"/>
            </w:tcBorders>
            <w:shd w:val="clear" w:color="auto" w:fill="auto"/>
            <w:noWrap/>
            <w:vAlign w:val="bottom"/>
            <w:hideMark/>
          </w:tcPr>
          <w:p w14:paraId="47F751EF"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$30,966.66</w:t>
            </w:r>
          </w:p>
        </w:tc>
        <w:tc>
          <w:tcPr>
            <w:tcW w:w="0" w:type="auto"/>
            <w:tcBorders>
              <w:top w:val="nil"/>
              <w:left w:val="nil"/>
              <w:bottom w:val="single" w:sz="4" w:space="0" w:color="auto"/>
              <w:right w:val="single" w:sz="4" w:space="0" w:color="auto"/>
            </w:tcBorders>
            <w:shd w:val="clear" w:color="auto" w:fill="auto"/>
            <w:noWrap/>
            <w:vAlign w:val="bottom"/>
            <w:hideMark/>
          </w:tcPr>
          <w:p w14:paraId="760F10D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$32,959.16</w:t>
            </w:r>
          </w:p>
        </w:tc>
        <w:tc>
          <w:tcPr>
            <w:tcW w:w="0" w:type="auto"/>
            <w:tcBorders>
              <w:top w:val="nil"/>
              <w:left w:val="nil"/>
              <w:bottom w:val="single" w:sz="4" w:space="0" w:color="auto"/>
              <w:right w:val="single" w:sz="4" w:space="0" w:color="auto"/>
            </w:tcBorders>
            <w:shd w:val="clear" w:color="auto" w:fill="auto"/>
            <w:noWrap/>
            <w:vAlign w:val="bottom"/>
            <w:hideMark/>
          </w:tcPr>
          <w:p w14:paraId="3B061233"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$35,466.49</w:t>
            </w:r>
          </w:p>
        </w:tc>
        <w:tc>
          <w:tcPr>
            <w:tcW w:w="0" w:type="auto"/>
            <w:tcBorders>
              <w:top w:val="nil"/>
              <w:left w:val="nil"/>
              <w:bottom w:val="single" w:sz="4" w:space="0" w:color="auto"/>
              <w:right w:val="single" w:sz="4" w:space="0" w:color="auto"/>
            </w:tcBorders>
            <w:shd w:val="clear" w:color="auto" w:fill="auto"/>
            <w:noWrap/>
            <w:vAlign w:val="bottom"/>
            <w:hideMark/>
          </w:tcPr>
          <w:p w14:paraId="72F4FF5F"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$41,027.29</w:t>
            </w:r>
          </w:p>
        </w:tc>
        <w:tc>
          <w:tcPr>
            <w:tcW w:w="0" w:type="auto"/>
            <w:tcBorders>
              <w:top w:val="nil"/>
              <w:left w:val="nil"/>
              <w:bottom w:val="single" w:sz="4" w:space="0" w:color="auto"/>
              <w:right w:val="single" w:sz="4" w:space="0" w:color="auto"/>
            </w:tcBorders>
            <w:shd w:val="clear" w:color="auto" w:fill="auto"/>
            <w:noWrap/>
            <w:vAlign w:val="bottom"/>
            <w:hideMark/>
          </w:tcPr>
          <w:p w14:paraId="3BF5DF5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$41,226.00</w:t>
            </w:r>
          </w:p>
        </w:tc>
        <w:tc>
          <w:tcPr>
            <w:tcW w:w="0" w:type="auto"/>
            <w:tcBorders>
              <w:top w:val="nil"/>
              <w:left w:val="nil"/>
              <w:bottom w:val="single" w:sz="4" w:space="0" w:color="auto"/>
              <w:right w:val="single" w:sz="4" w:space="0" w:color="auto"/>
            </w:tcBorders>
            <w:shd w:val="clear" w:color="auto" w:fill="auto"/>
            <w:noWrap/>
            <w:vAlign w:val="bottom"/>
            <w:hideMark/>
          </w:tcPr>
          <w:p w14:paraId="6285E1F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$41,040.00</w:t>
            </w:r>
          </w:p>
        </w:tc>
      </w:tr>
      <w:tr w:rsidR="00082938" w:rsidRPr="00082938" w14:paraId="3C67071A"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A5D4F1"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Operational focus</w:t>
            </w:r>
          </w:p>
        </w:tc>
        <w:tc>
          <w:tcPr>
            <w:tcW w:w="0" w:type="auto"/>
            <w:tcBorders>
              <w:top w:val="nil"/>
              <w:left w:val="nil"/>
              <w:bottom w:val="single" w:sz="4" w:space="0" w:color="auto"/>
              <w:right w:val="single" w:sz="4" w:space="0" w:color="auto"/>
            </w:tcBorders>
            <w:shd w:val="clear" w:color="auto" w:fill="auto"/>
            <w:noWrap/>
            <w:vAlign w:val="bottom"/>
            <w:hideMark/>
          </w:tcPr>
          <w:p w14:paraId="18EAD5A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$61,236.70</w:t>
            </w:r>
          </w:p>
        </w:tc>
        <w:tc>
          <w:tcPr>
            <w:tcW w:w="0" w:type="auto"/>
            <w:tcBorders>
              <w:top w:val="nil"/>
              <w:left w:val="nil"/>
              <w:bottom w:val="single" w:sz="4" w:space="0" w:color="auto"/>
              <w:right w:val="single" w:sz="4" w:space="0" w:color="auto"/>
            </w:tcBorders>
            <w:shd w:val="clear" w:color="auto" w:fill="auto"/>
            <w:noWrap/>
            <w:vAlign w:val="bottom"/>
            <w:hideMark/>
          </w:tcPr>
          <w:p w14:paraId="0412562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$70,350.86</w:t>
            </w:r>
          </w:p>
        </w:tc>
        <w:tc>
          <w:tcPr>
            <w:tcW w:w="0" w:type="auto"/>
            <w:tcBorders>
              <w:top w:val="nil"/>
              <w:left w:val="nil"/>
              <w:bottom w:val="single" w:sz="4" w:space="0" w:color="auto"/>
              <w:right w:val="single" w:sz="4" w:space="0" w:color="auto"/>
            </w:tcBorders>
            <w:shd w:val="clear" w:color="auto" w:fill="auto"/>
            <w:noWrap/>
            <w:vAlign w:val="bottom"/>
            <w:hideMark/>
          </w:tcPr>
          <w:p w14:paraId="4E80201C"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$163,080.53</w:t>
            </w:r>
          </w:p>
        </w:tc>
        <w:tc>
          <w:tcPr>
            <w:tcW w:w="0" w:type="auto"/>
            <w:tcBorders>
              <w:top w:val="nil"/>
              <w:left w:val="nil"/>
              <w:bottom w:val="single" w:sz="4" w:space="0" w:color="auto"/>
              <w:right w:val="single" w:sz="4" w:space="0" w:color="auto"/>
            </w:tcBorders>
            <w:shd w:val="clear" w:color="auto" w:fill="auto"/>
            <w:noWrap/>
            <w:vAlign w:val="bottom"/>
            <w:hideMark/>
          </w:tcPr>
          <w:p w14:paraId="245CBB6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$112,540.55</w:t>
            </w:r>
          </w:p>
        </w:tc>
        <w:tc>
          <w:tcPr>
            <w:tcW w:w="0" w:type="auto"/>
            <w:tcBorders>
              <w:top w:val="nil"/>
              <w:left w:val="nil"/>
              <w:bottom w:val="single" w:sz="4" w:space="0" w:color="auto"/>
              <w:right w:val="single" w:sz="4" w:space="0" w:color="auto"/>
            </w:tcBorders>
            <w:shd w:val="clear" w:color="auto" w:fill="auto"/>
            <w:noWrap/>
            <w:vAlign w:val="bottom"/>
            <w:hideMark/>
          </w:tcPr>
          <w:p w14:paraId="148D064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$99,035.53</w:t>
            </w:r>
          </w:p>
        </w:tc>
        <w:tc>
          <w:tcPr>
            <w:tcW w:w="0" w:type="auto"/>
            <w:tcBorders>
              <w:top w:val="nil"/>
              <w:left w:val="nil"/>
              <w:bottom w:val="single" w:sz="4" w:space="0" w:color="auto"/>
              <w:right w:val="single" w:sz="4" w:space="0" w:color="auto"/>
            </w:tcBorders>
            <w:shd w:val="clear" w:color="auto" w:fill="auto"/>
            <w:noWrap/>
            <w:vAlign w:val="bottom"/>
            <w:hideMark/>
          </w:tcPr>
          <w:p w14:paraId="01359DD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$51,989.04</w:t>
            </w:r>
          </w:p>
        </w:tc>
        <w:tc>
          <w:tcPr>
            <w:tcW w:w="0" w:type="auto"/>
            <w:tcBorders>
              <w:top w:val="nil"/>
              <w:left w:val="nil"/>
              <w:bottom w:val="single" w:sz="4" w:space="0" w:color="auto"/>
              <w:right w:val="single" w:sz="4" w:space="0" w:color="auto"/>
            </w:tcBorders>
            <w:shd w:val="clear" w:color="auto" w:fill="auto"/>
            <w:noWrap/>
            <w:vAlign w:val="bottom"/>
            <w:hideMark/>
          </w:tcPr>
          <w:p w14:paraId="00F4293B"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$55,320.00</w:t>
            </w:r>
          </w:p>
        </w:tc>
        <w:tc>
          <w:tcPr>
            <w:tcW w:w="0" w:type="auto"/>
            <w:tcBorders>
              <w:top w:val="nil"/>
              <w:left w:val="nil"/>
              <w:bottom w:val="single" w:sz="4" w:space="0" w:color="auto"/>
              <w:right w:val="single" w:sz="4" w:space="0" w:color="auto"/>
            </w:tcBorders>
            <w:shd w:val="clear" w:color="auto" w:fill="auto"/>
            <w:noWrap/>
            <w:vAlign w:val="bottom"/>
            <w:hideMark/>
          </w:tcPr>
          <w:p w14:paraId="31DE68CB"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$56,190.00</w:t>
            </w:r>
          </w:p>
        </w:tc>
      </w:tr>
      <w:tr w:rsidR="00082938" w:rsidRPr="00082938" w14:paraId="1CB75E59"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884959"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Sub-Total</w:t>
            </w:r>
          </w:p>
        </w:tc>
        <w:tc>
          <w:tcPr>
            <w:tcW w:w="0" w:type="auto"/>
            <w:tcBorders>
              <w:top w:val="nil"/>
              <w:left w:val="nil"/>
              <w:bottom w:val="single" w:sz="4" w:space="0" w:color="auto"/>
              <w:right w:val="single" w:sz="4" w:space="0" w:color="auto"/>
            </w:tcBorders>
            <w:shd w:val="clear" w:color="auto" w:fill="auto"/>
            <w:noWrap/>
            <w:vAlign w:val="bottom"/>
            <w:hideMark/>
          </w:tcPr>
          <w:p w14:paraId="25B7097F"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$87,377.07</w:t>
            </w:r>
          </w:p>
        </w:tc>
        <w:tc>
          <w:tcPr>
            <w:tcW w:w="0" w:type="auto"/>
            <w:tcBorders>
              <w:top w:val="nil"/>
              <w:left w:val="nil"/>
              <w:bottom w:val="single" w:sz="4" w:space="0" w:color="auto"/>
              <w:right w:val="single" w:sz="4" w:space="0" w:color="auto"/>
            </w:tcBorders>
            <w:shd w:val="clear" w:color="auto" w:fill="auto"/>
            <w:noWrap/>
            <w:vAlign w:val="bottom"/>
            <w:hideMark/>
          </w:tcPr>
          <w:p w14:paraId="79F4016F"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$185,851.36</w:t>
            </w:r>
          </w:p>
        </w:tc>
        <w:tc>
          <w:tcPr>
            <w:tcW w:w="0" w:type="auto"/>
            <w:tcBorders>
              <w:top w:val="nil"/>
              <w:left w:val="nil"/>
              <w:bottom w:val="single" w:sz="4" w:space="0" w:color="auto"/>
              <w:right w:val="single" w:sz="4" w:space="0" w:color="auto"/>
            </w:tcBorders>
            <w:shd w:val="clear" w:color="auto" w:fill="auto"/>
            <w:noWrap/>
            <w:vAlign w:val="bottom"/>
            <w:hideMark/>
          </w:tcPr>
          <w:p w14:paraId="20E7F749"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$299,104.77</w:t>
            </w:r>
          </w:p>
        </w:tc>
        <w:tc>
          <w:tcPr>
            <w:tcW w:w="0" w:type="auto"/>
            <w:tcBorders>
              <w:top w:val="nil"/>
              <w:left w:val="nil"/>
              <w:bottom w:val="single" w:sz="4" w:space="0" w:color="auto"/>
              <w:right w:val="single" w:sz="4" w:space="0" w:color="auto"/>
            </w:tcBorders>
            <w:shd w:val="clear" w:color="auto" w:fill="auto"/>
            <w:noWrap/>
            <w:vAlign w:val="bottom"/>
            <w:hideMark/>
          </w:tcPr>
          <w:p w14:paraId="7E067E03"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$242,550.47</w:t>
            </w:r>
          </w:p>
        </w:tc>
        <w:tc>
          <w:tcPr>
            <w:tcW w:w="0" w:type="auto"/>
            <w:tcBorders>
              <w:top w:val="nil"/>
              <w:left w:val="nil"/>
              <w:bottom w:val="single" w:sz="4" w:space="0" w:color="auto"/>
              <w:right w:val="single" w:sz="4" w:space="0" w:color="auto"/>
            </w:tcBorders>
            <w:shd w:val="clear" w:color="auto" w:fill="auto"/>
            <w:noWrap/>
            <w:vAlign w:val="bottom"/>
            <w:hideMark/>
          </w:tcPr>
          <w:p w14:paraId="5A1D38C4"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$220,607.39</w:t>
            </w:r>
          </w:p>
        </w:tc>
        <w:tc>
          <w:tcPr>
            <w:tcW w:w="0" w:type="auto"/>
            <w:tcBorders>
              <w:top w:val="nil"/>
              <w:left w:val="nil"/>
              <w:bottom w:val="single" w:sz="4" w:space="0" w:color="auto"/>
              <w:right w:val="single" w:sz="4" w:space="0" w:color="auto"/>
            </w:tcBorders>
            <w:shd w:val="clear" w:color="auto" w:fill="auto"/>
            <w:noWrap/>
            <w:vAlign w:val="bottom"/>
            <w:hideMark/>
          </w:tcPr>
          <w:p w14:paraId="2E17A4D3"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$173,623.95</w:t>
            </w:r>
          </w:p>
        </w:tc>
        <w:tc>
          <w:tcPr>
            <w:tcW w:w="0" w:type="auto"/>
            <w:tcBorders>
              <w:top w:val="nil"/>
              <w:left w:val="nil"/>
              <w:bottom w:val="single" w:sz="4" w:space="0" w:color="auto"/>
              <w:right w:val="single" w:sz="4" w:space="0" w:color="auto"/>
            </w:tcBorders>
            <w:shd w:val="clear" w:color="auto" w:fill="auto"/>
            <w:noWrap/>
            <w:vAlign w:val="bottom"/>
            <w:hideMark/>
          </w:tcPr>
          <w:p w14:paraId="5C1B0286"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$179,819.00</w:t>
            </w:r>
          </w:p>
        </w:tc>
        <w:tc>
          <w:tcPr>
            <w:tcW w:w="0" w:type="auto"/>
            <w:tcBorders>
              <w:top w:val="nil"/>
              <w:left w:val="nil"/>
              <w:bottom w:val="single" w:sz="4" w:space="0" w:color="auto"/>
              <w:right w:val="single" w:sz="4" w:space="0" w:color="auto"/>
            </w:tcBorders>
            <w:shd w:val="clear" w:color="auto" w:fill="auto"/>
            <w:noWrap/>
            <w:vAlign w:val="bottom"/>
            <w:hideMark/>
          </w:tcPr>
          <w:p w14:paraId="133CC0A6"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$189,920.00</w:t>
            </w:r>
          </w:p>
        </w:tc>
      </w:tr>
      <w:tr w:rsidR="00082938" w:rsidRPr="00082938" w14:paraId="631130DC"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AB3F18" w14:textId="77777777" w:rsidR="00082938" w:rsidRPr="00082938" w:rsidRDefault="00082938" w:rsidP="00D37750">
            <w:pPr>
              <w:spacing w:after="0" w:line="240" w:lineRule="auto"/>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w:t>
            </w:r>
          </w:p>
        </w:tc>
        <w:tc>
          <w:tcPr>
            <w:tcW w:w="0" w:type="auto"/>
            <w:tcBorders>
              <w:top w:val="nil"/>
              <w:left w:val="nil"/>
              <w:bottom w:val="single" w:sz="4" w:space="0" w:color="auto"/>
              <w:right w:val="single" w:sz="4" w:space="0" w:color="auto"/>
            </w:tcBorders>
            <w:shd w:val="clear" w:color="auto" w:fill="auto"/>
            <w:noWrap/>
            <w:vAlign w:val="bottom"/>
            <w:hideMark/>
          </w:tcPr>
          <w:p w14:paraId="5E164B18" w14:textId="64E263B7"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84BCC03" w14:textId="5C185D3D"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2EDE3EF8" w14:textId="2DBDCD5F"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F228C8F" w14:textId="657C71AD"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0B7702F9" w14:textId="7221F494"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6FB9C6B2" w14:textId="1BB0BFD6"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5089C5D" w14:textId="66BC4823"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766385CE" w14:textId="602846EC"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3366D34D"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8C6009"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Operational and Administrative Effectiveness</w:t>
            </w:r>
          </w:p>
        </w:tc>
        <w:tc>
          <w:tcPr>
            <w:tcW w:w="0" w:type="auto"/>
            <w:tcBorders>
              <w:top w:val="nil"/>
              <w:left w:val="nil"/>
              <w:bottom w:val="single" w:sz="4" w:space="0" w:color="auto"/>
              <w:right w:val="single" w:sz="4" w:space="0" w:color="auto"/>
            </w:tcBorders>
            <w:shd w:val="clear" w:color="auto" w:fill="auto"/>
            <w:noWrap/>
            <w:vAlign w:val="bottom"/>
            <w:hideMark/>
          </w:tcPr>
          <w:p w14:paraId="441D41CF" w14:textId="0435AE4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31726E54" w14:textId="1A6B3B13"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0DFF54FA" w14:textId="1EC60F9C"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76BA0BD" w14:textId="2F51A6FE"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70222B1" w14:textId="6A803783"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7F9A456" w14:textId="53DE833E"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F224E62" w14:textId="1A5DB58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7225E8F4" w14:textId="18097A8C"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473A0A19"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4F1CA"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 </w:t>
            </w:r>
          </w:p>
        </w:tc>
        <w:tc>
          <w:tcPr>
            <w:tcW w:w="0" w:type="auto"/>
            <w:tcBorders>
              <w:top w:val="nil"/>
              <w:left w:val="nil"/>
              <w:bottom w:val="single" w:sz="4" w:space="0" w:color="auto"/>
              <w:right w:val="single" w:sz="4" w:space="0" w:color="auto"/>
            </w:tcBorders>
            <w:shd w:val="clear" w:color="auto" w:fill="auto"/>
            <w:noWrap/>
            <w:vAlign w:val="bottom"/>
            <w:hideMark/>
          </w:tcPr>
          <w:p w14:paraId="04D772B5" w14:textId="3EAF0E6C"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58584DF0" w14:textId="5CC91C99"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EB2D544" w14:textId="2A5B11D8"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3DAC6CD1" w14:textId="02C85367"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AD762F9" w14:textId="5A345847"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53FCA427" w14:textId="252B8F09"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E3240C4" w14:textId="131B24B0"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08EB5574" w14:textId="135B344E"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25E95292"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268E7C" w14:textId="77777777" w:rsid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xml:space="preserve">Municipal Transformer Station -operating </w:t>
            </w:r>
          </w:p>
          <w:p w14:paraId="18A23B73" w14:textId="1DD09D12"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and maintenance costs</w:t>
            </w:r>
          </w:p>
        </w:tc>
        <w:tc>
          <w:tcPr>
            <w:tcW w:w="0" w:type="auto"/>
            <w:tcBorders>
              <w:top w:val="nil"/>
              <w:left w:val="nil"/>
              <w:bottom w:val="single" w:sz="4" w:space="0" w:color="auto"/>
              <w:right w:val="single" w:sz="4" w:space="0" w:color="auto"/>
            </w:tcBorders>
            <w:shd w:val="clear" w:color="auto" w:fill="auto"/>
            <w:noWrap/>
            <w:vAlign w:val="bottom"/>
            <w:hideMark/>
          </w:tcPr>
          <w:p w14:paraId="08B5F16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$4,023.95</w:t>
            </w:r>
          </w:p>
        </w:tc>
        <w:tc>
          <w:tcPr>
            <w:tcW w:w="0" w:type="auto"/>
            <w:tcBorders>
              <w:top w:val="nil"/>
              <w:left w:val="nil"/>
              <w:bottom w:val="single" w:sz="4" w:space="0" w:color="auto"/>
              <w:right w:val="single" w:sz="4" w:space="0" w:color="auto"/>
            </w:tcBorders>
            <w:shd w:val="clear" w:color="auto" w:fill="auto"/>
            <w:noWrap/>
            <w:vAlign w:val="bottom"/>
            <w:hideMark/>
          </w:tcPr>
          <w:p w14:paraId="46FAF3A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$2,493.59</w:t>
            </w:r>
          </w:p>
        </w:tc>
        <w:tc>
          <w:tcPr>
            <w:tcW w:w="0" w:type="auto"/>
            <w:tcBorders>
              <w:top w:val="nil"/>
              <w:left w:val="nil"/>
              <w:bottom w:val="single" w:sz="4" w:space="0" w:color="auto"/>
              <w:right w:val="single" w:sz="4" w:space="0" w:color="auto"/>
            </w:tcBorders>
            <w:shd w:val="clear" w:color="auto" w:fill="auto"/>
            <w:noWrap/>
            <w:vAlign w:val="bottom"/>
            <w:hideMark/>
          </w:tcPr>
          <w:p w14:paraId="246140F4"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$3,390.12</w:t>
            </w:r>
          </w:p>
        </w:tc>
        <w:tc>
          <w:tcPr>
            <w:tcW w:w="0" w:type="auto"/>
            <w:tcBorders>
              <w:top w:val="nil"/>
              <w:left w:val="nil"/>
              <w:bottom w:val="single" w:sz="4" w:space="0" w:color="auto"/>
              <w:right w:val="single" w:sz="4" w:space="0" w:color="auto"/>
            </w:tcBorders>
            <w:shd w:val="clear" w:color="auto" w:fill="auto"/>
            <w:noWrap/>
            <w:vAlign w:val="bottom"/>
            <w:hideMark/>
          </w:tcPr>
          <w:p w14:paraId="4205A5D6"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$3,467.60</w:t>
            </w:r>
          </w:p>
        </w:tc>
        <w:tc>
          <w:tcPr>
            <w:tcW w:w="0" w:type="auto"/>
            <w:tcBorders>
              <w:top w:val="nil"/>
              <w:left w:val="nil"/>
              <w:bottom w:val="single" w:sz="4" w:space="0" w:color="auto"/>
              <w:right w:val="single" w:sz="4" w:space="0" w:color="auto"/>
            </w:tcBorders>
            <w:shd w:val="clear" w:color="auto" w:fill="auto"/>
            <w:noWrap/>
            <w:vAlign w:val="bottom"/>
            <w:hideMark/>
          </w:tcPr>
          <w:p w14:paraId="6DB7CA5F"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$2,991.14</w:t>
            </w:r>
          </w:p>
        </w:tc>
        <w:tc>
          <w:tcPr>
            <w:tcW w:w="0" w:type="auto"/>
            <w:tcBorders>
              <w:top w:val="nil"/>
              <w:left w:val="nil"/>
              <w:bottom w:val="single" w:sz="4" w:space="0" w:color="auto"/>
              <w:right w:val="single" w:sz="4" w:space="0" w:color="auto"/>
            </w:tcBorders>
            <w:shd w:val="clear" w:color="auto" w:fill="auto"/>
            <w:noWrap/>
            <w:vAlign w:val="bottom"/>
            <w:hideMark/>
          </w:tcPr>
          <w:p w14:paraId="3EDB913A"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$2,080.44</w:t>
            </w:r>
          </w:p>
        </w:tc>
        <w:tc>
          <w:tcPr>
            <w:tcW w:w="0" w:type="auto"/>
            <w:tcBorders>
              <w:top w:val="nil"/>
              <w:left w:val="nil"/>
              <w:bottom w:val="single" w:sz="4" w:space="0" w:color="auto"/>
              <w:right w:val="single" w:sz="4" w:space="0" w:color="auto"/>
            </w:tcBorders>
            <w:shd w:val="clear" w:color="auto" w:fill="auto"/>
            <w:noWrap/>
            <w:vAlign w:val="bottom"/>
            <w:hideMark/>
          </w:tcPr>
          <w:p w14:paraId="085F3B8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$2,331.00</w:t>
            </w:r>
          </w:p>
        </w:tc>
        <w:tc>
          <w:tcPr>
            <w:tcW w:w="0" w:type="auto"/>
            <w:tcBorders>
              <w:top w:val="nil"/>
              <w:left w:val="nil"/>
              <w:bottom w:val="single" w:sz="4" w:space="0" w:color="auto"/>
              <w:right w:val="single" w:sz="4" w:space="0" w:color="auto"/>
            </w:tcBorders>
            <w:shd w:val="clear" w:color="auto" w:fill="auto"/>
            <w:noWrap/>
            <w:vAlign w:val="bottom"/>
            <w:hideMark/>
          </w:tcPr>
          <w:p w14:paraId="487AB11C"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$4,284.00</w:t>
            </w:r>
          </w:p>
        </w:tc>
      </w:tr>
      <w:tr w:rsidR="00082938" w:rsidRPr="00082938" w14:paraId="20FF9819"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1164E3"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xml:space="preserve">Meters maintenance </w:t>
            </w:r>
          </w:p>
        </w:tc>
        <w:tc>
          <w:tcPr>
            <w:tcW w:w="0" w:type="auto"/>
            <w:tcBorders>
              <w:top w:val="nil"/>
              <w:left w:val="nil"/>
              <w:bottom w:val="single" w:sz="4" w:space="0" w:color="auto"/>
              <w:right w:val="single" w:sz="4" w:space="0" w:color="auto"/>
            </w:tcBorders>
            <w:shd w:val="clear" w:color="auto" w:fill="auto"/>
            <w:noWrap/>
            <w:vAlign w:val="bottom"/>
            <w:hideMark/>
          </w:tcPr>
          <w:p w14:paraId="471C5F3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$92,076.41</w:t>
            </w:r>
          </w:p>
        </w:tc>
        <w:tc>
          <w:tcPr>
            <w:tcW w:w="0" w:type="auto"/>
            <w:tcBorders>
              <w:top w:val="nil"/>
              <w:left w:val="nil"/>
              <w:bottom w:val="single" w:sz="4" w:space="0" w:color="auto"/>
              <w:right w:val="single" w:sz="4" w:space="0" w:color="auto"/>
            </w:tcBorders>
            <w:shd w:val="clear" w:color="auto" w:fill="auto"/>
            <w:noWrap/>
            <w:vAlign w:val="bottom"/>
            <w:hideMark/>
          </w:tcPr>
          <w:p w14:paraId="267DEC6B"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$1,119.90</w:t>
            </w:r>
          </w:p>
        </w:tc>
        <w:tc>
          <w:tcPr>
            <w:tcW w:w="0" w:type="auto"/>
            <w:tcBorders>
              <w:top w:val="nil"/>
              <w:left w:val="nil"/>
              <w:bottom w:val="single" w:sz="4" w:space="0" w:color="auto"/>
              <w:right w:val="single" w:sz="4" w:space="0" w:color="auto"/>
            </w:tcBorders>
            <w:shd w:val="clear" w:color="auto" w:fill="auto"/>
            <w:noWrap/>
            <w:vAlign w:val="bottom"/>
            <w:hideMark/>
          </w:tcPr>
          <w:p w14:paraId="47E38F2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$1,675.40</w:t>
            </w:r>
          </w:p>
        </w:tc>
        <w:tc>
          <w:tcPr>
            <w:tcW w:w="0" w:type="auto"/>
            <w:tcBorders>
              <w:top w:val="nil"/>
              <w:left w:val="nil"/>
              <w:bottom w:val="single" w:sz="4" w:space="0" w:color="auto"/>
              <w:right w:val="single" w:sz="4" w:space="0" w:color="auto"/>
            </w:tcBorders>
            <w:shd w:val="clear" w:color="auto" w:fill="auto"/>
            <w:noWrap/>
            <w:vAlign w:val="bottom"/>
            <w:hideMark/>
          </w:tcPr>
          <w:p w14:paraId="7FF698AF"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$572.37</w:t>
            </w:r>
          </w:p>
        </w:tc>
        <w:tc>
          <w:tcPr>
            <w:tcW w:w="0" w:type="auto"/>
            <w:tcBorders>
              <w:top w:val="nil"/>
              <w:left w:val="nil"/>
              <w:bottom w:val="single" w:sz="4" w:space="0" w:color="auto"/>
              <w:right w:val="single" w:sz="4" w:space="0" w:color="auto"/>
            </w:tcBorders>
            <w:shd w:val="clear" w:color="auto" w:fill="auto"/>
            <w:noWrap/>
            <w:vAlign w:val="bottom"/>
            <w:hideMark/>
          </w:tcPr>
          <w:p w14:paraId="324C7E84"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$514.32</w:t>
            </w:r>
          </w:p>
        </w:tc>
        <w:tc>
          <w:tcPr>
            <w:tcW w:w="0" w:type="auto"/>
            <w:tcBorders>
              <w:top w:val="nil"/>
              <w:left w:val="nil"/>
              <w:bottom w:val="single" w:sz="4" w:space="0" w:color="auto"/>
              <w:right w:val="single" w:sz="4" w:space="0" w:color="auto"/>
            </w:tcBorders>
            <w:shd w:val="clear" w:color="auto" w:fill="auto"/>
            <w:noWrap/>
            <w:vAlign w:val="bottom"/>
            <w:hideMark/>
          </w:tcPr>
          <w:p w14:paraId="3B9E5B0E"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$7,009.77</w:t>
            </w:r>
          </w:p>
        </w:tc>
        <w:tc>
          <w:tcPr>
            <w:tcW w:w="0" w:type="auto"/>
            <w:tcBorders>
              <w:top w:val="nil"/>
              <w:left w:val="nil"/>
              <w:bottom w:val="single" w:sz="4" w:space="0" w:color="auto"/>
              <w:right w:val="single" w:sz="4" w:space="0" w:color="auto"/>
            </w:tcBorders>
            <w:shd w:val="clear" w:color="auto" w:fill="auto"/>
            <w:noWrap/>
            <w:vAlign w:val="bottom"/>
            <w:hideMark/>
          </w:tcPr>
          <w:p w14:paraId="4517FE6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$392.00</w:t>
            </w:r>
          </w:p>
        </w:tc>
        <w:tc>
          <w:tcPr>
            <w:tcW w:w="0" w:type="auto"/>
            <w:tcBorders>
              <w:top w:val="nil"/>
              <w:left w:val="nil"/>
              <w:bottom w:val="single" w:sz="4" w:space="0" w:color="auto"/>
              <w:right w:val="single" w:sz="4" w:space="0" w:color="auto"/>
            </w:tcBorders>
            <w:shd w:val="clear" w:color="auto" w:fill="auto"/>
            <w:noWrap/>
            <w:vAlign w:val="bottom"/>
            <w:hideMark/>
          </w:tcPr>
          <w:p w14:paraId="448798D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$6,936.00</w:t>
            </w:r>
          </w:p>
        </w:tc>
      </w:tr>
      <w:tr w:rsidR="00082938" w:rsidRPr="00082938" w14:paraId="7339673C"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7AB3B4"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Overhead lines</w:t>
            </w:r>
          </w:p>
        </w:tc>
        <w:tc>
          <w:tcPr>
            <w:tcW w:w="0" w:type="auto"/>
            <w:tcBorders>
              <w:top w:val="nil"/>
              <w:left w:val="nil"/>
              <w:bottom w:val="single" w:sz="4" w:space="0" w:color="auto"/>
              <w:right w:val="single" w:sz="4" w:space="0" w:color="auto"/>
            </w:tcBorders>
            <w:shd w:val="clear" w:color="auto" w:fill="auto"/>
            <w:noWrap/>
            <w:vAlign w:val="bottom"/>
            <w:hideMark/>
          </w:tcPr>
          <w:p w14:paraId="274F80D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$193,610.74</w:t>
            </w:r>
          </w:p>
        </w:tc>
        <w:tc>
          <w:tcPr>
            <w:tcW w:w="0" w:type="auto"/>
            <w:tcBorders>
              <w:top w:val="nil"/>
              <w:left w:val="nil"/>
              <w:bottom w:val="single" w:sz="4" w:space="0" w:color="auto"/>
              <w:right w:val="single" w:sz="4" w:space="0" w:color="auto"/>
            </w:tcBorders>
            <w:shd w:val="clear" w:color="auto" w:fill="auto"/>
            <w:noWrap/>
            <w:vAlign w:val="bottom"/>
            <w:hideMark/>
          </w:tcPr>
          <w:p w14:paraId="300D812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$216,798.52</w:t>
            </w:r>
          </w:p>
        </w:tc>
        <w:tc>
          <w:tcPr>
            <w:tcW w:w="0" w:type="auto"/>
            <w:tcBorders>
              <w:top w:val="nil"/>
              <w:left w:val="nil"/>
              <w:bottom w:val="single" w:sz="4" w:space="0" w:color="auto"/>
              <w:right w:val="single" w:sz="4" w:space="0" w:color="auto"/>
            </w:tcBorders>
            <w:shd w:val="clear" w:color="auto" w:fill="auto"/>
            <w:noWrap/>
            <w:vAlign w:val="bottom"/>
            <w:hideMark/>
          </w:tcPr>
          <w:p w14:paraId="111FB977"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$218,145.02</w:t>
            </w:r>
          </w:p>
        </w:tc>
        <w:tc>
          <w:tcPr>
            <w:tcW w:w="0" w:type="auto"/>
            <w:tcBorders>
              <w:top w:val="nil"/>
              <w:left w:val="nil"/>
              <w:bottom w:val="single" w:sz="4" w:space="0" w:color="auto"/>
              <w:right w:val="single" w:sz="4" w:space="0" w:color="auto"/>
            </w:tcBorders>
            <w:shd w:val="clear" w:color="auto" w:fill="auto"/>
            <w:noWrap/>
            <w:vAlign w:val="bottom"/>
            <w:hideMark/>
          </w:tcPr>
          <w:p w14:paraId="091AC1FB"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$204,199.34</w:t>
            </w:r>
          </w:p>
        </w:tc>
        <w:tc>
          <w:tcPr>
            <w:tcW w:w="0" w:type="auto"/>
            <w:tcBorders>
              <w:top w:val="nil"/>
              <w:left w:val="nil"/>
              <w:bottom w:val="single" w:sz="4" w:space="0" w:color="auto"/>
              <w:right w:val="single" w:sz="4" w:space="0" w:color="auto"/>
            </w:tcBorders>
            <w:shd w:val="clear" w:color="auto" w:fill="auto"/>
            <w:noWrap/>
            <w:vAlign w:val="bottom"/>
            <w:hideMark/>
          </w:tcPr>
          <w:p w14:paraId="6290730D"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$232,826.63</w:t>
            </w:r>
          </w:p>
        </w:tc>
        <w:tc>
          <w:tcPr>
            <w:tcW w:w="0" w:type="auto"/>
            <w:tcBorders>
              <w:top w:val="nil"/>
              <w:left w:val="nil"/>
              <w:bottom w:val="single" w:sz="4" w:space="0" w:color="auto"/>
              <w:right w:val="single" w:sz="4" w:space="0" w:color="auto"/>
            </w:tcBorders>
            <w:shd w:val="clear" w:color="auto" w:fill="auto"/>
            <w:noWrap/>
            <w:vAlign w:val="bottom"/>
            <w:hideMark/>
          </w:tcPr>
          <w:p w14:paraId="5A9AB4C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$228,818.85</w:t>
            </w:r>
          </w:p>
        </w:tc>
        <w:tc>
          <w:tcPr>
            <w:tcW w:w="0" w:type="auto"/>
            <w:tcBorders>
              <w:top w:val="nil"/>
              <w:left w:val="nil"/>
              <w:bottom w:val="single" w:sz="4" w:space="0" w:color="auto"/>
              <w:right w:val="single" w:sz="4" w:space="0" w:color="auto"/>
            </w:tcBorders>
            <w:shd w:val="clear" w:color="auto" w:fill="auto"/>
            <w:noWrap/>
            <w:vAlign w:val="bottom"/>
            <w:hideMark/>
          </w:tcPr>
          <w:p w14:paraId="7C1533B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$206,584.00</w:t>
            </w:r>
          </w:p>
        </w:tc>
        <w:tc>
          <w:tcPr>
            <w:tcW w:w="0" w:type="auto"/>
            <w:tcBorders>
              <w:top w:val="nil"/>
              <w:left w:val="nil"/>
              <w:bottom w:val="single" w:sz="4" w:space="0" w:color="auto"/>
              <w:right w:val="single" w:sz="4" w:space="0" w:color="auto"/>
            </w:tcBorders>
            <w:shd w:val="clear" w:color="auto" w:fill="auto"/>
            <w:noWrap/>
            <w:vAlign w:val="bottom"/>
            <w:hideMark/>
          </w:tcPr>
          <w:p w14:paraId="546CF68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$233,150.00</w:t>
            </w:r>
          </w:p>
        </w:tc>
      </w:tr>
      <w:tr w:rsidR="00082938" w:rsidRPr="00082938" w14:paraId="5FEEF17B"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3A67B9"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038EB58E" w14:textId="2CF248F0"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4D7A8CF" w14:textId="65E4E64B"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3073C4B9" w14:textId="1963B38D"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644EB789" w14:textId="20EBD5B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3AE3E3CD" w14:textId="12723E0C"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53A711ED" w14:textId="43C31C2A"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B67A4DD" w14:textId="2F1C4DE0"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622C7E1C" w14:textId="6BE46350"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1DD0C8BE"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B2D871"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Outside Services (Accounting)</w:t>
            </w:r>
          </w:p>
        </w:tc>
        <w:tc>
          <w:tcPr>
            <w:tcW w:w="0" w:type="auto"/>
            <w:tcBorders>
              <w:top w:val="nil"/>
              <w:left w:val="nil"/>
              <w:bottom w:val="single" w:sz="4" w:space="0" w:color="auto"/>
              <w:right w:val="single" w:sz="4" w:space="0" w:color="auto"/>
            </w:tcBorders>
            <w:shd w:val="clear" w:color="auto" w:fill="auto"/>
            <w:noWrap/>
            <w:vAlign w:val="bottom"/>
            <w:hideMark/>
          </w:tcPr>
          <w:p w14:paraId="6F9642E5"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$58,598.09</w:t>
            </w:r>
          </w:p>
        </w:tc>
        <w:tc>
          <w:tcPr>
            <w:tcW w:w="0" w:type="auto"/>
            <w:tcBorders>
              <w:top w:val="nil"/>
              <w:left w:val="nil"/>
              <w:bottom w:val="single" w:sz="4" w:space="0" w:color="auto"/>
              <w:right w:val="single" w:sz="4" w:space="0" w:color="auto"/>
            </w:tcBorders>
            <w:shd w:val="clear" w:color="auto" w:fill="auto"/>
            <w:noWrap/>
            <w:vAlign w:val="bottom"/>
            <w:hideMark/>
          </w:tcPr>
          <w:p w14:paraId="72912EFE"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$39,715.18</w:t>
            </w:r>
          </w:p>
        </w:tc>
        <w:tc>
          <w:tcPr>
            <w:tcW w:w="0" w:type="auto"/>
            <w:tcBorders>
              <w:top w:val="nil"/>
              <w:left w:val="nil"/>
              <w:bottom w:val="single" w:sz="4" w:space="0" w:color="auto"/>
              <w:right w:val="single" w:sz="4" w:space="0" w:color="auto"/>
            </w:tcBorders>
            <w:shd w:val="clear" w:color="auto" w:fill="auto"/>
            <w:noWrap/>
            <w:vAlign w:val="bottom"/>
            <w:hideMark/>
          </w:tcPr>
          <w:p w14:paraId="46C4C46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$49,125.20</w:t>
            </w:r>
          </w:p>
        </w:tc>
        <w:tc>
          <w:tcPr>
            <w:tcW w:w="0" w:type="auto"/>
            <w:tcBorders>
              <w:top w:val="nil"/>
              <w:left w:val="nil"/>
              <w:bottom w:val="single" w:sz="4" w:space="0" w:color="auto"/>
              <w:right w:val="single" w:sz="4" w:space="0" w:color="auto"/>
            </w:tcBorders>
            <w:shd w:val="clear" w:color="auto" w:fill="auto"/>
            <w:noWrap/>
            <w:vAlign w:val="bottom"/>
            <w:hideMark/>
          </w:tcPr>
          <w:p w14:paraId="05AE8BB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$110,675.31</w:t>
            </w:r>
          </w:p>
        </w:tc>
        <w:tc>
          <w:tcPr>
            <w:tcW w:w="0" w:type="auto"/>
            <w:tcBorders>
              <w:top w:val="nil"/>
              <w:left w:val="nil"/>
              <w:bottom w:val="single" w:sz="4" w:space="0" w:color="auto"/>
              <w:right w:val="single" w:sz="4" w:space="0" w:color="auto"/>
            </w:tcBorders>
            <w:shd w:val="clear" w:color="auto" w:fill="auto"/>
            <w:noWrap/>
            <w:vAlign w:val="bottom"/>
            <w:hideMark/>
          </w:tcPr>
          <w:p w14:paraId="1431BF9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$76,785.06</w:t>
            </w:r>
          </w:p>
        </w:tc>
        <w:tc>
          <w:tcPr>
            <w:tcW w:w="0" w:type="auto"/>
            <w:tcBorders>
              <w:top w:val="nil"/>
              <w:left w:val="nil"/>
              <w:bottom w:val="single" w:sz="4" w:space="0" w:color="auto"/>
              <w:right w:val="single" w:sz="4" w:space="0" w:color="auto"/>
            </w:tcBorders>
            <w:shd w:val="clear" w:color="auto" w:fill="auto"/>
            <w:noWrap/>
            <w:vAlign w:val="bottom"/>
            <w:hideMark/>
          </w:tcPr>
          <w:p w14:paraId="53901032"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$65,107.08</w:t>
            </w:r>
          </w:p>
        </w:tc>
        <w:tc>
          <w:tcPr>
            <w:tcW w:w="0" w:type="auto"/>
            <w:tcBorders>
              <w:top w:val="nil"/>
              <w:left w:val="nil"/>
              <w:bottom w:val="single" w:sz="4" w:space="0" w:color="auto"/>
              <w:right w:val="single" w:sz="4" w:space="0" w:color="auto"/>
            </w:tcBorders>
            <w:shd w:val="clear" w:color="auto" w:fill="auto"/>
            <w:noWrap/>
            <w:vAlign w:val="bottom"/>
            <w:hideMark/>
          </w:tcPr>
          <w:p w14:paraId="58CA302B"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$46,929.00</w:t>
            </w:r>
          </w:p>
        </w:tc>
        <w:tc>
          <w:tcPr>
            <w:tcW w:w="0" w:type="auto"/>
            <w:tcBorders>
              <w:top w:val="nil"/>
              <w:left w:val="nil"/>
              <w:bottom w:val="single" w:sz="4" w:space="0" w:color="auto"/>
              <w:right w:val="single" w:sz="4" w:space="0" w:color="auto"/>
            </w:tcBorders>
            <w:shd w:val="clear" w:color="auto" w:fill="auto"/>
            <w:noWrap/>
            <w:vAlign w:val="bottom"/>
            <w:hideMark/>
          </w:tcPr>
          <w:p w14:paraId="5FA6D1F0"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$30,061.00</w:t>
            </w:r>
          </w:p>
        </w:tc>
      </w:tr>
      <w:tr w:rsidR="00082938" w:rsidRPr="00082938" w14:paraId="0B828BBC" w14:textId="77777777" w:rsidTr="00082938">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87C656" w14:textId="77777777" w:rsid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Wages Executive &amp; Management,Benefits,</w:t>
            </w:r>
          </w:p>
          <w:p w14:paraId="6DB1F1B8" w14:textId="68A58FBA"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xml:space="preserve"> Pension, Injuries &amp; Damages</w:t>
            </w:r>
          </w:p>
        </w:tc>
        <w:tc>
          <w:tcPr>
            <w:tcW w:w="0" w:type="auto"/>
            <w:tcBorders>
              <w:top w:val="nil"/>
              <w:left w:val="nil"/>
              <w:bottom w:val="single" w:sz="4" w:space="0" w:color="auto"/>
              <w:right w:val="single" w:sz="4" w:space="0" w:color="auto"/>
            </w:tcBorders>
            <w:shd w:val="clear" w:color="auto" w:fill="auto"/>
            <w:noWrap/>
            <w:vAlign w:val="bottom"/>
            <w:hideMark/>
          </w:tcPr>
          <w:p w14:paraId="4B1C36BB"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$156,575.41</w:t>
            </w:r>
          </w:p>
        </w:tc>
        <w:tc>
          <w:tcPr>
            <w:tcW w:w="0" w:type="auto"/>
            <w:tcBorders>
              <w:top w:val="nil"/>
              <w:left w:val="nil"/>
              <w:bottom w:val="single" w:sz="4" w:space="0" w:color="auto"/>
              <w:right w:val="single" w:sz="4" w:space="0" w:color="auto"/>
            </w:tcBorders>
            <w:shd w:val="clear" w:color="auto" w:fill="auto"/>
            <w:noWrap/>
            <w:vAlign w:val="bottom"/>
            <w:hideMark/>
          </w:tcPr>
          <w:p w14:paraId="146C912F"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$171,682.99</w:t>
            </w:r>
          </w:p>
        </w:tc>
        <w:tc>
          <w:tcPr>
            <w:tcW w:w="0" w:type="auto"/>
            <w:tcBorders>
              <w:top w:val="nil"/>
              <w:left w:val="nil"/>
              <w:bottom w:val="single" w:sz="4" w:space="0" w:color="auto"/>
              <w:right w:val="single" w:sz="4" w:space="0" w:color="auto"/>
            </w:tcBorders>
            <w:shd w:val="clear" w:color="auto" w:fill="auto"/>
            <w:noWrap/>
            <w:vAlign w:val="bottom"/>
            <w:hideMark/>
          </w:tcPr>
          <w:p w14:paraId="240A651C"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$164,006.95</w:t>
            </w:r>
          </w:p>
        </w:tc>
        <w:tc>
          <w:tcPr>
            <w:tcW w:w="0" w:type="auto"/>
            <w:tcBorders>
              <w:top w:val="nil"/>
              <w:left w:val="nil"/>
              <w:bottom w:val="single" w:sz="4" w:space="0" w:color="auto"/>
              <w:right w:val="single" w:sz="4" w:space="0" w:color="auto"/>
            </w:tcBorders>
            <w:shd w:val="clear" w:color="auto" w:fill="auto"/>
            <w:noWrap/>
            <w:vAlign w:val="bottom"/>
            <w:hideMark/>
          </w:tcPr>
          <w:p w14:paraId="3DD59D04"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$159,325.52</w:t>
            </w:r>
          </w:p>
        </w:tc>
        <w:tc>
          <w:tcPr>
            <w:tcW w:w="0" w:type="auto"/>
            <w:tcBorders>
              <w:top w:val="nil"/>
              <w:left w:val="nil"/>
              <w:bottom w:val="single" w:sz="4" w:space="0" w:color="auto"/>
              <w:right w:val="single" w:sz="4" w:space="0" w:color="auto"/>
            </w:tcBorders>
            <w:shd w:val="clear" w:color="auto" w:fill="auto"/>
            <w:noWrap/>
            <w:vAlign w:val="bottom"/>
            <w:hideMark/>
          </w:tcPr>
          <w:p w14:paraId="46F584FC"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$199,378.26</w:t>
            </w:r>
          </w:p>
        </w:tc>
        <w:tc>
          <w:tcPr>
            <w:tcW w:w="0" w:type="auto"/>
            <w:tcBorders>
              <w:top w:val="nil"/>
              <w:left w:val="nil"/>
              <w:bottom w:val="single" w:sz="4" w:space="0" w:color="auto"/>
              <w:right w:val="single" w:sz="4" w:space="0" w:color="auto"/>
            </w:tcBorders>
            <w:shd w:val="clear" w:color="auto" w:fill="auto"/>
            <w:noWrap/>
            <w:vAlign w:val="bottom"/>
            <w:hideMark/>
          </w:tcPr>
          <w:p w14:paraId="53FB8BEA"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$229,553.72</w:t>
            </w:r>
          </w:p>
        </w:tc>
        <w:tc>
          <w:tcPr>
            <w:tcW w:w="0" w:type="auto"/>
            <w:tcBorders>
              <w:top w:val="nil"/>
              <w:left w:val="nil"/>
              <w:bottom w:val="single" w:sz="4" w:space="0" w:color="auto"/>
              <w:right w:val="single" w:sz="4" w:space="0" w:color="auto"/>
            </w:tcBorders>
            <w:shd w:val="clear" w:color="auto" w:fill="auto"/>
            <w:noWrap/>
            <w:vAlign w:val="bottom"/>
            <w:hideMark/>
          </w:tcPr>
          <w:p w14:paraId="74337E13"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$281,442.00</w:t>
            </w:r>
          </w:p>
        </w:tc>
        <w:tc>
          <w:tcPr>
            <w:tcW w:w="0" w:type="auto"/>
            <w:tcBorders>
              <w:top w:val="nil"/>
              <w:left w:val="nil"/>
              <w:bottom w:val="single" w:sz="4" w:space="0" w:color="auto"/>
              <w:right w:val="single" w:sz="4" w:space="0" w:color="auto"/>
            </w:tcBorders>
            <w:shd w:val="clear" w:color="auto" w:fill="auto"/>
            <w:noWrap/>
            <w:vAlign w:val="bottom"/>
            <w:hideMark/>
          </w:tcPr>
          <w:p w14:paraId="76789895"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$291,317.00</w:t>
            </w:r>
          </w:p>
        </w:tc>
      </w:tr>
      <w:tr w:rsidR="00082938" w:rsidRPr="00082938" w14:paraId="22AEFFFF" w14:textId="77777777" w:rsidTr="00082938">
        <w:trPr>
          <w:trHeight w:val="2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032350"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 </w:t>
            </w:r>
          </w:p>
        </w:tc>
        <w:tc>
          <w:tcPr>
            <w:tcW w:w="0" w:type="auto"/>
            <w:tcBorders>
              <w:top w:val="nil"/>
              <w:left w:val="nil"/>
              <w:bottom w:val="single" w:sz="4" w:space="0" w:color="auto"/>
              <w:right w:val="single" w:sz="4" w:space="0" w:color="auto"/>
            </w:tcBorders>
            <w:shd w:val="clear" w:color="auto" w:fill="auto"/>
            <w:noWrap/>
            <w:vAlign w:val="bottom"/>
            <w:hideMark/>
          </w:tcPr>
          <w:p w14:paraId="1B7CEF1D" w14:textId="33C2E53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22EDFEB5" w14:textId="56DFE08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1F51310F" w14:textId="65B525FB"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08D3D4FC" w14:textId="717EFBF3"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19E746E" w14:textId="2F949D74"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76E5723B" w14:textId="73692E80"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5B5C2C34" w14:textId="2529C9A8"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7A18C0F2" w14:textId="4F29EDE6"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28ED7301" w14:textId="77777777" w:rsidTr="00082938">
        <w:trPr>
          <w:trHeight w:val="2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11EB0" w14:textId="77777777" w:rsidR="00082938" w:rsidRPr="00082938" w:rsidRDefault="00082938" w:rsidP="00D37750">
            <w:pPr>
              <w:spacing w:after="0" w:line="240" w:lineRule="auto"/>
              <w:ind w:firstLineChars="200" w:firstLine="280"/>
              <w:rPr>
                <w:rFonts w:ascii="Arial Narrow" w:eastAsia="Times New Roman" w:hAnsi="Arial Narrow" w:cs="Arial"/>
                <w:sz w:val="14"/>
                <w:szCs w:val="16"/>
                <w:lang w:eastAsia="en-CA"/>
              </w:rPr>
            </w:pPr>
            <w:r w:rsidRPr="00082938">
              <w:rPr>
                <w:rFonts w:ascii="Arial Narrow" w:eastAsia="Times New Roman" w:hAnsi="Arial Narrow" w:cs="Arial"/>
                <w:sz w:val="14"/>
                <w:szCs w:val="16"/>
                <w:lang w:eastAsia="en-CA"/>
              </w:rPr>
              <w:t>Donation Leap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9C6491"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CAE6CA"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04C49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F70D08"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BBB185"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95E4F9"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7E245C"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45B995" w14:textId="77777777" w:rsidR="00082938" w:rsidRPr="00082938" w:rsidRDefault="00082938" w:rsidP="00082938">
            <w:pPr>
              <w:spacing w:after="0" w:line="240" w:lineRule="auto"/>
              <w:jc w:val="center"/>
              <w:rPr>
                <w:rFonts w:ascii="Arial Narrow" w:eastAsia="Times New Roman" w:hAnsi="Arial Narrow" w:cs="Arial"/>
                <w:sz w:val="16"/>
                <w:szCs w:val="16"/>
                <w:lang w:eastAsia="en-CA"/>
              </w:rPr>
            </w:pPr>
            <w:r w:rsidRPr="00082938">
              <w:rPr>
                <w:rFonts w:ascii="Arial Narrow" w:eastAsia="Times New Roman" w:hAnsi="Arial Narrow" w:cs="Arial"/>
                <w:sz w:val="16"/>
                <w:szCs w:val="16"/>
                <w:lang w:eastAsia="en-CA"/>
              </w:rPr>
              <w:t>$2,000.00</w:t>
            </w:r>
          </w:p>
        </w:tc>
      </w:tr>
      <w:tr w:rsidR="00082938" w:rsidRPr="00082938" w14:paraId="7A33237E" w14:textId="77777777" w:rsidTr="00082938">
        <w:trPr>
          <w:trHeight w:val="220"/>
          <w:jc w:val="center"/>
        </w:trPr>
        <w:tc>
          <w:tcPr>
            <w:tcW w:w="0" w:type="auto"/>
            <w:tcBorders>
              <w:top w:val="nil"/>
              <w:left w:val="single" w:sz="4" w:space="0" w:color="auto"/>
              <w:bottom w:val="nil"/>
              <w:right w:val="single" w:sz="4" w:space="0" w:color="auto"/>
            </w:tcBorders>
            <w:shd w:val="clear" w:color="auto" w:fill="auto"/>
            <w:noWrap/>
            <w:vAlign w:val="bottom"/>
            <w:hideMark/>
          </w:tcPr>
          <w:p w14:paraId="3861BA17"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 </w:t>
            </w:r>
          </w:p>
        </w:tc>
        <w:tc>
          <w:tcPr>
            <w:tcW w:w="0" w:type="auto"/>
            <w:tcBorders>
              <w:top w:val="nil"/>
              <w:left w:val="nil"/>
              <w:bottom w:val="single" w:sz="4" w:space="0" w:color="auto"/>
              <w:right w:val="single" w:sz="4" w:space="0" w:color="auto"/>
            </w:tcBorders>
            <w:shd w:val="clear" w:color="auto" w:fill="auto"/>
            <w:noWrap/>
            <w:vAlign w:val="bottom"/>
            <w:hideMark/>
          </w:tcPr>
          <w:p w14:paraId="0C54F5D7" w14:textId="16986F6B"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3267EC22" w14:textId="70F70DB2"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57DAA293" w14:textId="50D55DD9"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799BD384" w14:textId="247E3529"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6A0E614B" w14:textId="18CA2BE1"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4B75B47" w14:textId="1F02233E"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49359540" w14:textId="300EC675" w:rsidR="00082938" w:rsidRPr="00082938" w:rsidRDefault="00082938" w:rsidP="00082938">
            <w:pPr>
              <w:spacing w:after="0" w:line="240" w:lineRule="auto"/>
              <w:jc w:val="center"/>
              <w:rPr>
                <w:rFonts w:ascii="Arial Narrow" w:eastAsia="Times New Roman" w:hAnsi="Arial Narrow" w:cs="Arial"/>
                <w:sz w:val="16"/>
                <w:szCs w:val="16"/>
                <w:lang w:eastAsia="en-CA"/>
              </w:rPr>
            </w:pPr>
          </w:p>
        </w:tc>
        <w:tc>
          <w:tcPr>
            <w:tcW w:w="0" w:type="auto"/>
            <w:tcBorders>
              <w:top w:val="nil"/>
              <w:left w:val="nil"/>
              <w:bottom w:val="single" w:sz="4" w:space="0" w:color="auto"/>
              <w:right w:val="single" w:sz="4" w:space="0" w:color="auto"/>
            </w:tcBorders>
            <w:shd w:val="clear" w:color="auto" w:fill="auto"/>
            <w:noWrap/>
            <w:vAlign w:val="bottom"/>
            <w:hideMark/>
          </w:tcPr>
          <w:p w14:paraId="27AB85A7" w14:textId="41E0548A" w:rsidR="00082938" w:rsidRPr="00082938" w:rsidRDefault="00082938" w:rsidP="00082938">
            <w:pPr>
              <w:spacing w:after="0" w:line="240" w:lineRule="auto"/>
              <w:jc w:val="center"/>
              <w:rPr>
                <w:rFonts w:ascii="Arial Narrow" w:eastAsia="Times New Roman" w:hAnsi="Arial Narrow" w:cs="Arial"/>
                <w:sz w:val="16"/>
                <w:szCs w:val="16"/>
                <w:lang w:eastAsia="en-CA"/>
              </w:rPr>
            </w:pPr>
          </w:p>
        </w:tc>
      </w:tr>
      <w:tr w:rsidR="00082938" w:rsidRPr="00082938" w14:paraId="186C44F2" w14:textId="77777777" w:rsidTr="00082938">
        <w:trPr>
          <w:trHeight w:val="2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59216"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Sub-Total</w:t>
            </w:r>
          </w:p>
        </w:tc>
        <w:tc>
          <w:tcPr>
            <w:tcW w:w="0" w:type="auto"/>
            <w:tcBorders>
              <w:top w:val="nil"/>
              <w:left w:val="nil"/>
              <w:bottom w:val="single" w:sz="4" w:space="0" w:color="auto"/>
              <w:right w:val="single" w:sz="4" w:space="0" w:color="auto"/>
            </w:tcBorders>
            <w:shd w:val="clear" w:color="auto" w:fill="auto"/>
            <w:noWrap/>
            <w:vAlign w:val="bottom"/>
            <w:hideMark/>
          </w:tcPr>
          <w:p w14:paraId="35450D18"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35141FB9"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6011C170"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2436DF99"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682CB85C"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16A9A214"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04BB8806"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295E0ED8"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$2,000.00</w:t>
            </w:r>
          </w:p>
        </w:tc>
      </w:tr>
      <w:tr w:rsidR="00082938" w:rsidRPr="00082938" w14:paraId="593508D2" w14:textId="77777777" w:rsidTr="00082938">
        <w:trPr>
          <w:trHeight w:val="245"/>
          <w:jc w:val="center"/>
        </w:trPr>
        <w:tc>
          <w:tcPr>
            <w:tcW w:w="0" w:type="auto"/>
            <w:tcBorders>
              <w:top w:val="double" w:sz="6" w:space="0" w:color="auto"/>
              <w:left w:val="single" w:sz="4" w:space="0" w:color="auto"/>
              <w:bottom w:val="single" w:sz="8" w:space="0" w:color="auto"/>
              <w:right w:val="single" w:sz="4" w:space="0" w:color="auto"/>
            </w:tcBorders>
            <w:shd w:val="clear" w:color="auto" w:fill="auto"/>
            <w:noWrap/>
            <w:vAlign w:val="bottom"/>
            <w:hideMark/>
          </w:tcPr>
          <w:p w14:paraId="3E25F902" w14:textId="77777777" w:rsidR="00082938" w:rsidRPr="00082938" w:rsidRDefault="00082938" w:rsidP="00D37750">
            <w:pPr>
              <w:spacing w:after="0" w:line="240" w:lineRule="auto"/>
              <w:rPr>
                <w:rFonts w:ascii="Arial Narrow" w:eastAsia="Times New Roman" w:hAnsi="Arial Narrow" w:cs="Arial"/>
                <w:b/>
                <w:bCs/>
                <w:sz w:val="14"/>
                <w:szCs w:val="16"/>
                <w:lang w:eastAsia="en-CA"/>
              </w:rPr>
            </w:pPr>
            <w:r w:rsidRPr="00082938">
              <w:rPr>
                <w:rFonts w:ascii="Arial Narrow" w:eastAsia="Times New Roman" w:hAnsi="Arial Narrow" w:cs="Arial"/>
                <w:b/>
                <w:bCs/>
                <w:sz w:val="14"/>
                <w:szCs w:val="16"/>
                <w:lang w:eastAsia="en-CA"/>
              </w:rPr>
              <w:t>TOTAL OM&amp;A</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7BFC94D2"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601,047</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23E64243"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638,471</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5388D57C"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744,673</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4372EB62"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730,565</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2ABCF9AD"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744,037</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2EC32AFB"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716,586</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10549D74"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791,842</w:t>
            </w:r>
          </w:p>
        </w:tc>
        <w:tc>
          <w:tcPr>
            <w:tcW w:w="0" w:type="auto"/>
            <w:tcBorders>
              <w:top w:val="double" w:sz="6" w:space="0" w:color="auto"/>
              <w:left w:val="nil"/>
              <w:bottom w:val="single" w:sz="8" w:space="0" w:color="auto"/>
              <w:right w:val="single" w:sz="4" w:space="0" w:color="auto"/>
            </w:tcBorders>
            <w:shd w:val="clear" w:color="auto" w:fill="auto"/>
            <w:noWrap/>
            <w:vAlign w:val="bottom"/>
            <w:hideMark/>
          </w:tcPr>
          <w:p w14:paraId="19291C72"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821,163</w:t>
            </w:r>
          </w:p>
        </w:tc>
      </w:tr>
      <w:tr w:rsidR="00082938" w:rsidRPr="00082938" w14:paraId="0E084C97" w14:textId="77777777" w:rsidTr="00082938">
        <w:trPr>
          <w:trHeight w:val="2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3E19" w14:textId="77777777" w:rsidR="00082938" w:rsidRPr="00082938" w:rsidRDefault="00082938" w:rsidP="00D37750">
            <w:pPr>
              <w:spacing w:after="0" w:line="240" w:lineRule="auto"/>
              <w:jc w:val="right"/>
              <w:rPr>
                <w:rFonts w:ascii="Arial Narrow" w:eastAsia="Times New Roman" w:hAnsi="Arial Narrow" w:cs="Arial"/>
                <w:b/>
                <w:bCs/>
                <w:i/>
                <w:iCs/>
                <w:color w:val="0070C0"/>
                <w:sz w:val="14"/>
                <w:szCs w:val="16"/>
                <w:lang w:eastAsia="en-CA"/>
              </w:rPr>
            </w:pPr>
            <w:r w:rsidRPr="00082938">
              <w:rPr>
                <w:rFonts w:ascii="Arial Narrow" w:eastAsia="Times New Roman" w:hAnsi="Arial Narrow" w:cs="Arial"/>
                <w:b/>
                <w:bCs/>
                <w:i/>
                <w:iCs/>
                <w:color w:val="0070C0"/>
                <w:sz w:val="14"/>
                <w:szCs w:val="16"/>
                <w:lang w:eastAsia="en-CA"/>
              </w:rPr>
              <w:t>integrity check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BF79FD"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670,607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B7C0FF"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638,471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73A132"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744,673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FBDB99"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730,565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244DA7"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744,037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C3EE0A"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716,586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8FBE89"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792,457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8D83DB"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821,678</w:t>
            </w:r>
          </w:p>
        </w:tc>
      </w:tr>
      <w:tr w:rsidR="00082938" w:rsidRPr="00082938" w14:paraId="19B7043F" w14:textId="77777777" w:rsidTr="00082938">
        <w:trPr>
          <w:trHeight w:val="220"/>
          <w:jc w:val="center"/>
        </w:trPr>
        <w:tc>
          <w:tcPr>
            <w:tcW w:w="0" w:type="auto"/>
            <w:tcBorders>
              <w:top w:val="nil"/>
              <w:left w:val="nil"/>
              <w:bottom w:val="nil"/>
              <w:right w:val="nil"/>
            </w:tcBorders>
            <w:shd w:val="clear" w:color="auto" w:fill="auto"/>
            <w:noWrap/>
            <w:vAlign w:val="bottom"/>
            <w:hideMark/>
          </w:tcPr>
          <w:p w14:paraId="6F6F0323" w14:textId="77777777" w:rsidR="00082938" w:rsidRPr="00082938" w:rsidRDefault="00082938" w:rsidP="00D37750">
            <w:pPr>
              <w:spacing w:after="0" w:line="240" w:lineRule="auto"/>
              <w:jc w:val="right"/>
              <w:rPr>
                <w:rFonts w:ascii="Arial Narrow" w:eastAsia="Times New Roman" w:hAnsi="Arial Narrow" w:cs="Arial"/>
                <w:b/>
                <w:bCs/>
                <w:sz w:val="14"/>
                <w:szCs w:val="16"/>
                <w:lang w:eastAsia="en-CA"/>
              </w:rPr>
            </w:pPr>
          </w:p>
        </w:tc>
        <w:tc>
          <w:tcPr>
            <w:tcW w:w="0" w:type="auto"/>
            <w:tcBorders>
              <w:top w:val="nil"/>
              <w:left w:val="nil"/>
              <w:bottom w:val="nil"/>
              <w:right w:val="nil"/>
            </w:tcBorders>
            <w:shd w:val="clear" w:color="auto" w:fill="auto"/>
            <w:noWrap/>
            <w:vAlign w:val="bottom"/>
            <w:hideMark/>
          </w:tcPr>
          <w:p w14:paraId="52D2D33E"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69,560</w:t>
            </w:r>
          </w:p>
        </w:tc>
        <w:tc>
          <w:tcPr>
            <w:tcW w:w="0" w:type="auto"/>
            <w:tcBorders>
              <w:top w:val="nil"/>
              <w:left w:val="nil"/>
              <w:bottom w:val="nil"/>
              <w:right w:val="nil"/>
            </w:tcBorders>
            <w:shd w:val="clear" w:color="auto" w:fill="auto"/>
            <w:noWrap/>
            <w:vAlign w:val="bottom"/>
            <w:hideMark/>
          </w:tcPr>
          <w:p w14:paraId="7CFED806"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0</w:t>
            </w:r>
          </w:p>
        </w:tc>
        <w:tc>
          <w:tcPr>
            <w:tcW w:w="0" w:type="auto"/>
            <w:tcBorders>
              <w:top w:val="nil"/>
              <w:left w:val="nil"/>
              <w:bottom w:val="nil"/>
              <w:right w:val="nil"/>
            </w:tcBorders>
            <w:shd w:val="clear" w:color="auto" w:fill="auto"/>
            <w:noWrap/>
            <w:vAlign w:val="bottom"/>
            <w:hideMark/>
          </w:tcPr>
          <w:p w14:paraId="57B24A9A"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0</w:t>
            </w:r>
          </w:p>
        </w:tc>
        <w:tc>
          <w:tcPr>
            <w:tcW w:w="0" w:type="auto"/>
            <w:tcBorders>
              <w:top w:val="nil"/>
              <w:left w:val="nil"/>
              <w:bottom w:val="nil"/>
              <w:right w:val="nil"/>
            </w:tcBorders>
            <w:shd w:val="clear" w:color="auto" w:fill="auto"/>
            <w:noWrap/>
            <w:vAlign w:val="bottom"/>
            <w:hideMark/>
          </w:tcPr>
          <w:p w14:paraId="6DE4C97D"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0</w:t>
            </w:r>
          </w:p>
        </w:tc>
        <w:tc>
          <w:tcPr>
            <w:tcW w:w="0" w:type="auto"/>
            <w:tcBorders>
              <w:top w:val="nil"/>
              <w:left w:val="nil"/>
              <w:bottom w:val="nil"/>
              <w:right w:val="nil"/>
            </w:tcBorders>
            <w:shd w:val="clear" w:color="auto" w:fill="auto"/>
            <w:noWrap/>
            <w:vAlign w:val="bottom"/>
            <w:hideMark/>
          </w:tcPr>
          <w:p w14:paraId="7D12AE8D"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0</w:t>
            </w:r>
          </w:p>
        </w:tc>
        <w:tc>
          <w:tcPr>
            <w:tcW w:w="0" w:type="auto"/>
            <w:tcBorders>
              <w:top w:val="nil"/>
              <w:left w:val="nil"/>
              <w:bottom w:val="nil"/>
              <w:right w:val="nil"/>
            </w:tcBorders>
            <w:shd w:val="clear" w:color="auto" w:fill="auto"/>
            <w:noWrap/>
            <w:vAlign w:val="bottom"/>
            <w:hideMark/>
          </w:tcPr>
          <w:p w14:paraId="50BF5806"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0</w:t>
            </w:r>
          </w:p>
        </w:tc>
        <w:tc>
          <w:tcPr>
            <w:tcW w:w="0" w:type="auto"/>
            <w:tcBorders>
              <w:top w:val="nil"/>
              <w:left w:val="nil"/>
              <w:bottom w:val="nil"/>
              <w:right w:val="nil"/>
            </w:tcBorders>
            <w:shd w:val="clear" w:color="auto" w:fill="auto"/>
            <w:noWrap/>
            <w:vAlign w:val="bottom"/>
            <w:hideMark/>
          </w:tcPr>
          <w:p w14:paraId="57A0C14F"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615</w:t>
            </w:r>
          </w:p>
        </w:tc>
        <w:tc>
          <w:tcPr>
            <w:tcW w:w="0" w:type="auto"/>
            <w:tcBorders>
              <w:top w:val="nil"/>
              <w:left w:val="nil"/>
              <w:bottom w:val="nil"/>
              <w:right w:val="nil"/>
            </w:tcBorders>
            <w:shd w:val="clear" w:color="auto" w:fill="auto"/>
            <w:noWrap/>
            <w:vAlign w:val="bottom"/>
            <w:hideMark/>
          </w:tcPr>
          <w:p w14:paraId="4D24D974"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515</w:t>
            </w:r>
          </w:p>
        </w:tc>
      </w:tr>
      <w:tr w:rsidR="00082938" w:rsidRPr="00082938" w14:paraId="7C9B78D8" w14:textId="77777777" w:rsidTr="00082938">
        <w:trPr>
          <w:trHeight w:val="220"/>
          <w:jc w:val="center"/>
        </w:trPr>
        <w:tc>
          <w:tcPr>
            <w:tcW w:w="0" w:type="auto"/>
            <w:tcBorders>
              <w:top w:val="nil"/>
              <w:left w:val="nil"/>
              <w:bottom w:val="nil"/>
              <w:right w:val="nil"/>
            </w:tcBorders>
            <w:shd w:val="clear" w:color="auto" w:fill="auto"/>
            <w:noWrap/>
            <w:vAlign w:val="bottom"/>
            <w:hideMark/>
          </w:tcPr>
          <w:p w14:paraId="1D2A94D8" w14:textId="77777777" w:rsidR="00082938" w:rsidRPr="00082938" w:rsidRDefault="00082938" w:rsidP="00D37750">
            <w:pPr>
              <w:spacing w:after="0" w:line="240" w:lineRule="auto"/>
              <w:jc w:val="right"/>
              <w:rPr>
                <w:rFonts w:ascii="Arial Narrow" w:eastAsia="Times New Roman" w:hAnsi="Arial Narrow" w:cs="Arial"/>
                <w:b/>
                <w:bCs/>
                <w:sz w:val="14"/>
                <w:szCs w:val="16"/>
                <w:lang w:eastAsia="en-CA"/>
              </w:rPr>
            </w:pPr>
          </w:p>
        </w:tc>
        <w:tc>
          <w:tcPr>
            <w:tcW w:w="0" w:type="auto"/>
            <w:tcBorders>
              <w:top w:val="nil"/>
              <w:left w:val="nil"/>
              <w:bottom w:val="nil"/>
              <w:right w:val="nil"/>
            </w:tcBorders>
            <w:shd w:val="clear" w:color="auto" w:fill="auto"/>
            <w:noWrap/>
            <w:vAlign w:val="bottom"/>
            <w:hideMark/>
          </w:tcPr>
          <w:p w14:paraId="6E386608" w14:textId="77777777" w:rsidR="00082938" w:rsidRPr="00082938" w:rsidRDefault="00082938" w:rsidP="00082938">
            <w:pPr>
              <w:spacing w:after="0" w:line="240" w:lineRule="auto"/>
              <w:jc w:val="center"/>
              <w:rPr>
                <w:rFonts w:ascii="Arial Narrow" w:eastAsia="Times New Roman" w:hAnsi="Arial Narrow"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04AF23E4" w14:textId="77777777" w:rsidR="00082938" w:rsidRPr="00082938" w:rsidRDefault="00082938" w:rsidP="00082938">
            <w:pPr>
              <w:spacing w:after="0" w:line="240" w:lineRule="auto"/>
              <w:jc w:val="center"/>
              <w:rPr>
                <w:rFonts w:ascii="Arial Narrow" w:eastAsia="Times New Roman" w:hAnsi="Arial Narrow"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4E00935B" w14:textId="77777777" w:rsidR="00082938" w:rsidRPr="00082938" w:rsidRDefault="00082938" w:rsidP="00082938">
            <w:pPr>
              <w:spacing w:after="0" w:line="240" w:lineRule="auto"/>
              <w:jc w:val="center"/>
              <w:rPr>
                <w:rFonts w:ascii="Arial Narrow" w:eastAsia="Times New Roman" w:hAnsi="Arial Narrow"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0721E660" w14:textId="77777777" w:rsidR="00082938" w:rsidRPr="00082938" w:rsidRDefault="00082938" w:rsidP="00082938">
            <w:pPr>
              <w:spacing w:after="0" w:line="240" w:lineRule="auto"/>
              <w:jc w:val="center"/>
              <w:rPr>
                <w:rFonts w:ascii="Arial Narrow" w:eastAsia="Times New Roman" w:hAnsi="Arial Narrow"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3A8F9BF6" w14:textId="77777777" w:rsidR="00082938" w:rsidRPr="00082938" w:rsidRDefault="00082938" w:rsidP="00082938">
            <w:pPr>
              <w:spacing w:after="0" w:line="240" w:lineRule="auto"/>
              <w:jc w:val="center"/>
              <w:rPr>
                <w:rFonts w:ascii="Arial Narrow" w:eastAsia="Times New Roman" w:hAnsi="Arial Narrow"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325EF0DA" w14:textId="77777777" w:rsidR="00082938" w:rsidRPr="00082938" w:rsidRDefault="00082938" w:rsidP="00082938">
            <w:pPr>
              <w:spacing w:after="0" w:line="240" w:lineRule="auto"/>
              <w:jc w:val="center"/>
              <w:rPr>
                <w:rFonts w:ascii="Arial Narrow" w:eastAsia="Times New Roman" w:hAnsi="Arial Narrow" w:cs="Times New Roman"/>
                <w:sz w:val="16"/>
                <w:szCs w:val="16"/>
                <w:lang w:eastAsia="en-CA"/>
              </w:rPr>
            </w:pPr>
          </w:p>
        </w:tc>
        <w:tc>
          <w:tcPr>
            <w:tcW w:w="0" w:type="auto"/>
            <w:tcBorders>
              <w:top w:val="nil"/>
              <w:left w:val="nil"/>
              <w:bottom w:val="nil"/>
              <w:right w:val="nil"/>
            </w:tcBorders>
            <w:shd w:val="clear" w:color="auto" w:fill="auto"/>
            <w:noWrap/>
            <w:vAlign w:val="bottom"/>
            <w:hideMark/>
          </w:tcPr>
          <w:p w14:paraId="7F4AB5C8"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donations</w:t>
            </w:r>
          </w:p>
        </w:tc>
        <w:tc>
          <w:tcPr>
            <w:tcW w:w="0" w:type="auto"/>
            <w:tcBorders>
              <w:top w:val="nil"/>
              <w:left w:val="nil"/>
              <w:bottom w:val="nil"/>
              <w:right w:val="nil"/>
            </w:tcBorders>
            <w:shd w:val="clear" w:color="auto" w:fill="auto"/>
            <w:noWrap/>
            <w:vAlign w:val="bottom"/>
            <w:hideMark/>
          </w:tcPr>
          <w:p w14:paraId="702CAAA5" w14:textId="77777777" w:rsidR="00082938" w:rsidRPr="00082938" w:rsidRDefault="00082938" w:rsidP="00082938">
            <w:pPr>
              <w:spacing w:after="0" w:line="240" w:lineRule="auto"/>
              <w:jc w:val="center"/>
              <w:rPr>
                <w:rFonts w:ascii="Arial Narrow" w:eastAsia="Times New Roman" w:hAnsi="Arial Narrow" w:cs="Arial"/>
                <w:b/>
                <w:bCs/>
                <w:sz w:val="16"/>
                <w:szCs w:val="16"/>
                <w:lang w:eastAsia="en-CA"/>
              </w:rPr>
            </w:pPr>
            <w:r w:rsidRPr="00082938">
              <w:rPr>
                <w:rFonts w:ascii="Arial Narrow" w:eastAsia="Times New Roman" w:hAnsi="Arial Narrow" w:cs="Arial"/>
                <w:b/>
                <w:bCs/>
                <w:sz w:val="16"/>
                <w:szCs w:val="16"/>
                <w:lang w:eastAsia="en-CA"/>
              </w:rPr>
              <w:t>donations</w:t>
            </w:r>
          </w:p>
        </w:tc>
      </w:tr>
    </w:tbl>
    <w:p w14:paraId="24C9F9A0" w14:textId="77777777" w:rsidR="00D37750" w:rsidRPr="00D37750" w:rsidRDefault="00D37750" w:rsidP="00D37750">
      <w:pPr>
        <w:spacing w:after="0"/>
        <w:rPr>
          <w:rFonts w:ascii="Arial" w:eastAsia="Times New Roman" w:hAnsi="Arial" w:cs="Arial"/>
          <w:color w:val="0070C0"/>
          <w:sz w:val="24"/>
          <w:szCs w:val="24"/>
        </w:rPr>
      </w:pPr>
    </w:p>
    <w:p w14:paraId="49C9AB0E" w14:textId="77777777" w:rsidR="00752686" w:rsidRPr="00752686" w:rsidRDefault="00752686" w:rsidP="00752686"/>
    <w:p w14:paraId="35395C6F" w14:textId="618B0008" w:rsidR="00C046CD" w:rsidRDefault="00905FA3" w:rsidP="00C046CD">
      <w:pPr>
        <w:pStyle w:val="Heading2"/>
        <w:numPr>
          <w:ilvl w:val="0"/>
          <w:numId w:val="0"/>
        </w:numPr>
        <w:rPr>
          <w:rFonts w:eastAsia="Times New Roman" w:cs="Arial"/>
          <w:sz w:val="24"/>
          <w:szCs w:val="24"/>
        </w:rPr>
      </w:pPr>
      <w:r>
        <w:rPr>
          <w:rFonts w:eastAsia="Times New Roman"/>
        </w:rPr>
        <w:lastRenderedPageBreak/>
        <w:t xml:space="preserve">4-Staff-54 </w:t>
      </w:r>
    </w:p>
    <w:p w14:paraId="1C5462DD" w14:textId="4F917A79" w:rsidR="00905FA3" w:rsidRDefault="00905FA3" w:rsidP="00905FA3">
      <w:pPr>
        <w:spacing w:after="0"/>
        <w:rPr>
          <w:rFonts w:ascii="Arial" w:eastAsia="Times New Roman" w:hAnsi="Arial" w:cs="Arial"/>
          <w:sz w:val="24"/>
          <w:szCs w:val="24"/>
        </w:rPr>
      </w:pPr>
      <w:r>
        <w:rPr>
          <w:rFonts w:ascii="Arial" w:eastAsia="Times New Roman" w:hAnsi="Arial" w:cs="Arial"/>
          <w:sz w:val="24"/>
          <w:szCs w:val="24"/>
        </w:rPr>
        <w:t>, Appendix 2-N – Shared Services and Corporate 1 Cost Allocation</w:t>
      </w:r>
    </w:p>
    <w:p w14:paraId="6C617640" w14:textId="77777777" w:rsidR="00905FA3" w:rsidRDefault="00905FA3" w:rsidP="00905FA3">
      <w:pPr>
        <w:spacing w:after="0"/>
        <w:rPr>
          <w:rFonts w:ascii="Arial" w:eastAsia="Times New Roman" w:hAnsi="Arial" w:cs="Arial"/>
          <w:sz w:val="24"/>
          <w:szCs w:val="24"/>
        </w:rPr>
      </w:pPr>
      <w:r>
        <w:rPr>
          <w:rFonts w:ascii="Arial" w:eastAsia="Times New Roman" w:hAnsi="Arial" w:cs="Arial"/>
          <w:sz w:val="24"/>
          <w:szCs w:val="24"/>
        </w:rPr>
        <w:tab/>
        <w:t>Exhibit 4, page 26</w:t>
      </w:r>
    </w:p>
    <w:p w14:paraId="72025767" w14:textId="77777777" w:rsidR="00905FA3" w:rsidRDefault="00905FA3" w:rsidP="00905FA3">
      <w:pPr>
        <w:keepNext/>
        <w:keepLines/>
        <w:tabs>
          <w:tab w:val="left" w:pos="720"/>
        </w:tabs>
        <w:spacing w:after="0"/>
        <w:rPr>
          <w:rFonts w:ascii="Arial" w:hAnsi="Arial" w:cs="Arial"/>
          <w:bCs/>
          <w:sz w:val="24"/>
          <w:szCs w:val="24"/>
        </w:rPr>
      </w:pPr>
      <w:r>
        <w:rPr>
          <w:rFonts w:ascii="Arial" w:eastAsia="Times New Roman" w:hAnsi="Arial" w:cs="Arial"/>
          <w:sz w:val="24"/>
          <w:szCs w:val="24"/>
        </w:rPr>
        <w:tab/>
      </w:r>
      <w:r>
        <w:rPr>
          <w:rFonts w:ascii="Arial" w:hAnsi="Arial" w:cs="Arial"/>
          <w:bCs/>
          <w:sz w:val="24"/>
          <w:szCs w:val="24"/>
        </w:rPr>
        <w:t>Exhibit 1, 2017 Business Plan, page 39</w:t>
      </w:r>
    </w:p>
    <w:p w14:paraId="5EE008D2" w14:textId="77777777" w:rsidR="00905FA3" w:rsidRDefault="00905FA3" w:rsidP="00905FA3">
      <w:pPr>
        <w:spacing w:after="0"/>
        <w:rPr>
          <w:rFonts w:ascii="Arial" w:eastAsia="Times New Roman" w:hAnsi="Arial" w:cs="Arial"/>
          <w:b/>
          <w:sz w:val="24"/>
          <w:szCs w:val="24"/>
        </w:rPr>
      </w:pPr>
    </w:p>
    <w:p w14:paraId="53BF4A9D" w14:textId="77777777" w:rsidR="00905FA3" w:rsidRDefault="00905FA3" w:rsidP="00905FA3">
      <w:pPr>
        <w:spacing w:after="0"/>
        <w:rPr>
          <w:rFonts w:ascii="Arial" w:eastAsia="Times New Roman" w:hAnsi="Arial" w:cs="Arial"/>
          <w:b/>
          <w:sz w:val="24"/>
          <w:szCs w:val="24"/>
        </w:rPr>
      </w:pPr>
      <w:r>
        <w:rPr>
          <w:rFonts w:ascii="Arial" w:eastAsia="Times New Roman" w:hAnsi="Arial" w:cs="Arial"/>
          <w:b/>
          <w:sz w:val="24"/>
          <w:szCs w:val="24"/>
        </w:rPr>
        <w:t>Preamble:</w:t>
      </w:r>
    </w:p>
    <w:p w14:paraId="6C9E3935" w14:textId="77777777" w:rsidR="00905FA3" w:rsidRDefault="00905FA3" w:rsidP="00905FA3">
      <w:pPr>
        <w:spacing w:after="0"/>
        <w:rPr>
          <w:rFonts w:ascii="Arial" w:eastAsia="Times New Roman" w:hAnsi="Arial" w:cs="Arial"/>
          <w:sz w:val="24"/>
          <w:szCs w:val="24"/>
        </w:rPr>
      </w:pPr>
    </w:p>
    <w:p w14:paraId="0D058DBC" w14:textId="77777777" w:rsidR="00905FA3" w:rsidRDefault="00905FA3" w:rsidP="00905FA3">
      <w:pPr>
        <w:spacing w:after="0"/>
        <w:rPr>
          <w:rFonts w:ascii="Arial" w:eastAsia="Times New Roman" w:hAnsi="Arial" w:cs="Arial"/>
          <w:sz w:val="24"/>
          <w:szCs w:val="24"/>
        </w:rPr>
      </w:pPr>
      <w:r>
        <w:rPr>
          <w:rFonts w:ascii="Arial" w:eastAsia="Times New Roman" w:hAnsi="Arial" w:cs="Arial"/>
          <w:sz w:val="24"/>
          <w:szCs w:val="24"/>
        </w:rPr>
        <w:t>At the above noted first reference, CPUC has provided Appendix 2-N which shows amounts charged by CES to CPUC for the period 2012 to 2017. OEB staff notes that no amounts charged by CPUC to CES are shown.</w:t>
      </w:r>
    </w:p>
    <w:p w14:paraId="291B12EE" w14:textId="77777777" w:rsidR="00905FA3" w:rsidRDefault="00905FA3" w:rsidP="00905FA3">
      <w:pPr>
        <w:spacing w:after="0"/>
        <w:rPr>
          <w:rFonts w:ascii="Arial" w:eastAsia="Times New Roman" w:hAnsi="Arial" w:cs="Arial"/>
          <w:sz w:val="24"/>
          <w:szCs w:val="24"/>
        </w:rPr>
      </w:pPr>
    </w:p>
    <w:p w14:paraId="0EB1FFB1" w14:textId="77777777" w:rsidR="00905FA3" w:rsidRDefault="00905FA3" w:rsidP="00905FA3">
      <w:p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At the above noted second reference, CPUC stated the following:</w:t>
      </w:r>
    </w:p>
    <w:p w14:paraId="5DAAEADD" w14:textId="77777777" w:rsidR="00905FA3" w:rsidRDefault="00905FA3" w:rsidP="00905FA3">
      <w:pPr>
        <w:autoSpaceDE w:val="0"/>
        <w:autoSpaceDN w:val="0"/>
        <w:adjustRightInd w:val="0"/>
        <w:spacing w:after="0"/>
        <w:rPr>
          <w:rFonts w:ascii="Arial" w:hAnsi="Arial" w:cs="Arial"/>
          <w:color w:val="000000"/>
          <w:sz w:val="24"/>
          <w:szCs w:val="24"/>
          <w:lang w:val="en-US"/>
        </w:rPr>
      </w:pPr>
    </w:p>
    <w:p w14:paraId="0100F7A8" w14:textId="77777777" w:rsidR="00905FA3" w:rsidRDefault="00905FA3" w:rsidP="00905FA3">
      <w:pPr>
        <w:autoSpaceDE w:val="0"/>
        <w:autoSpaceDN w:val="0"/>
        <w:adjustRightInd w:val="0"/>
        <w:spacing w:after="0"/>
        <w:ind w:left="720"/>
        <w:rPr>
          <w:rFonts w:ascii="Arial" w:hAnsi="Arial" w:cs="Arial"/>
          <w:sz w:val="24"/>
          <w:szCs w:val="24"/>
          <w:lang w:val="en-US"/>
        </w:rPr>
      </w:pPr>
      <w:r>
        <w:rPr>
          <w:rFonts w:ascii="Arial" w:hAnsi="Arial" w:cs="Arial"/>
          <w:sz w:val="24"/>
          <w:szCs w:val="24"/>
          <w:lang w:val="en-US"/>
        </w:rPr>
        <w:t>By the end of 2018, CPUC will be under-earning due mainly to the fact that the utility was being subsidized by an affiliate. The affiliate was reporting a loss and as such closed its doors on December 31, 2017.</w:t>
      </w:r>
    </w:p>
    <w:p w14:paraId="1D299391" w14:textId="77777777" w:rsidR="00905FA3" w:rsidRDefault="00905FA3" w:rsidP="00905FA3">
      <w:pPr>
        <w:autoSpaceDE w:val="0"/>
        <w:autoSpaceDN w:val="0"/>
        <w:adjustRightInd w:val="0"/>
        <w:spacing w:after="0"/>
        <w:rPr>
          <w:rFonts w:ascii="Arial" w:hAnsi="Arial" w:cs="Arial"/>
          <w:sz w:val="24"/>
          <w:szCs w:val="24"/>
          <w:lang w:val="en-US"/>
        </w:rPr>
      </w:pPr>
    </w:p>
    <w:p w14:paraId="5F0EE99B" w14:textId="77777777" w:rsidR="00905FA3" w:rsidRDefault="00905FA3" w:rsidP="00905FA3">
      <w:p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At the above noted third reference, CPUC stated the following:</w:t>
      </w:r>
    </w:p>
    <w:p w14:paraId="5A24D309" w14:textId="77777777" w:rsidR="00905FA3" w:rsidRDefault="00905FA3" w:rsidP="00905FA3">
      <w:pPr>
        <w:autoSpaceDE w:val="0"/>
        <w:autoSpaceDN w:val="0"/>
        <w:adjustRightInd w:val="0"/>
        <w:spacing w:after="0"/>
        <w:rPr>
          <w:rFonts w:ascii="Arial" w:hAnsi="Arial" w:cs="Arial"/>
          <w:sz w:val="24"/>
          <w:szCs w:val="24"/>
          <w:lang w:val="en-US"/>
        </w:rPr>
      </w:pPr>
    </w:p>
    <w:p w14:paraId="51C0DBD5" w14:textId="77777777" w:rsidR="00905FA3" w:rsidRDefault="00905FA3" w:rsidP="00905FA3">
      <w:pPr>
        <w:autoSpaceDE w:val="0"/>
        <w:autoSpaceDN w:val="0"/>
        <w:adjustRightInd w:val="0"/>
        <w:spacing w:after="0"/>
        <w:ind w:left="720"/>
        <w:rPr>
          <w:rFonts w:ascii="Arial" w:hAnsi="Arial" w:cs="Arial"/>
          <w:sz w:val="24"/>
          <w:szCs w:val="24"/>
          <w:lang w:val="en-US"/>
        </w:rPr>
      </w:pPr>
      <w:r>
        <w:rPr>
          <w:rFonts w:ascii="Arial" w:hAnsi="Arial" w:cs="Arial"/>
          <w:sz w:val="24"/>
          <w:szCs w:val="24"/>
          <w:lang w:val="en-US"/>
        </w:rPr>
        <w:t>Because in this case the change in structure was caused primarily because the affiliate that was providing resources to the utility was ceasing operations, the cost sharing opportunities that CPUC enjoyed under the previous structure also ceased.</w:t>
      </w:r>
    </w:p>
    <w:p w14:paraId="6EBE52DE" w14:textId="77777777" w:rsidR="00905FA3" w:rsidRDefault="00905FA3" w:rsidP="00905FA3">
      <w:pPr>
        <w:autoSpaceDE w:val="0"/>
        <w:autoSpaceDN w:val="0"/>
        <w:adjustRightInd w:val="0"/>
        <w:spacing w:after="0"/>
        <w:ind w:left="720"/>
        <w:rPr>
          <w:rFonts w:ascii="Arial" w:hAnsi="Arial" w:cs="Arial"/>
          <w:sz w:val="24"/>
          <w:szCs w:val="24"/>
          <w:lang w:val="en-US"/>
        </w:rPr>
      </w:pPr>
    </w:p>
    <w:p w14:paraId="167DFC59" w14:textId="77777777" w:rsidR="00905FA3" w:rsidRDefault="00905FA3" w:rsidP="00905FA3">
      <w:pPr>
        <w:spacing w:after="0"/>
        <w:rPr>
          <w:rFonts w:ascii="Arial" w:eastAsia="Times New Roman" w:hAnsi="Arial" w:cs="Arial"/>
          <w:b/>
          <w:sz w:val="24"/>
          <w:szCs w:val="24"/>
        </w:rPr>
      </w:pPr>
      <w:r>
        <w:rPr>
          <w:rFonts w:ascii="Arial" w:eastAsia="Times New Roman" w:hAnsi="Arial" w:cs="Arial"/>
          <w:b/>
          <w:sz w:val="24"/>
          <w:szCs w:val="24"/>
        </w:rPr>
        <w:t>Questions:</w:t>
      </w:r>
    </w:p>
    <w:p w14:paraId="7A4692CF" w14:textId="77777777" w:rsidR="00905FA3" w:rsidRDefault="00905FA3" w:rsidP="00905FA3">
      <w:pPr>
        <w:spacing w:after="0"/>
        <w:rPr>
          <w:rFonts w:ascii="Arial" w:eastAsia="Times New Roman" w:hAnsi="Arial" w:cs="Arial"/>
          <w:b/>
          <w:sz w:val="24"/>
          <w:szCs w:val="24"/>
        </w:rPr>
      </w:pPr>
    </w:p>
    <w:p w14:paraId="007AFD0C" w14:textId="77777777" w:rsidR="00905FA3" w:rsidRDefault="00905FA3" w:rsidP="00E2382A">
      <w:pPr>
        <w:pStyle w:val="ListParagraph"/>
        <w:numPr>
          <w:ilvl w:val="1"/>
          <w:numId w:val="24"/>
        </w:numPr>
        <w:spacing w:after="0"/>
        <w:ind w:left="720"/>
        <w:rPr>
          <w:rFonts w:ascii="Arial" w:eastAsia="Times New Roman" w:hAnsi="Arial" w:cs="Arial"/>
          <w:sz w:val="24"/>
          <w:szCs w:val="24"/>
        </w:rPr>
      </w:pPr>
      <w:r>
        <w:rPr>
          <w:rFonts w:ascii="Arial" w:eastAsia="Times New Roman" w:hAnsi="Arial" w:cs="Arial"/>
          <w:sz w:val="24"/>
          <w:szCs w:val="24"/>
        </w:rPr>
        <w:t>As noted in IR# 4-Staff-53, please confirm that no amounts were charged by CPUC to CES over the period 2012 to 2017. If this is not the case, please quantify and explain.</w:t>
      </w:r>
    </w:p>
    <w:p w14:paraId="094A73EE" w14:textId="77777777" w:rsidR="00905FA3" w:rsidRDefault="00905FA3" w:rsidP="00905FA3">
      <w:pPr>
        <w:pStyle w:val="ListParagraph"/>
        <w:spacing w:after="0"/>
        <w:ind w:left="0"/>
        <w:rPr>
          <w:rFonts w:ascii="Arial" w:eastAsia="Times New Roman" w:hAnsi="Arial" w:cs="Arial"/>
          <w:sz w:val="24"/>
          <w:szCs w:val="24"/>
        </w:rPr>
      </w:pPr>
    </w:p>
    <w:p w14:paraId="084E1847" w14:textId="77777777" w:rsidR="00905FA3" w:rsidRDefault="00905FA3" w:rsidP="00E2382A">
      <w:pPr>
        <w:pStyle w:val="ListParagraph"/>
        <w:numPr>
          <w:ilvl w:val="1"/>
          <w:numId w:val="24"/>
        </w:numPr>
        <w:spacing w:after="0"/>
        <w:ind w:left="720"/>
        <w:rPr>
          <w:rFonts w:ascii="Arial" w:eastAsia="Times New Roman" w:hAnsi="Arial" w:cs="Arial"/>
          <w:sz w:val="24"/>
          <w:szCs w:val="24"/>
        </w:rPr>
      </w:pPr>
      <w:r>
        <w:rPr>
          <w:rFonts w:ascii="Arial" w:eastAsia="Times New Roman" w:hAnsi="Arial" w:cs="Arial"/>
          <w:sz w:val="24"/>
          <w:szCs w:val="24"/>
        </w:rPr>
        <w:t>Please describe and quantify the services charged by CES to customers other than CPUC over the period 2012 to 2017.</w:t>
      </w:r>
    </w:p>
    <w:p w14:paraId="37061E38" w14:textId="77777777" w:rsidR="00905FA3" w:rsidRDefault="00905FA3" w:rsidP="00905FA3">
      <w:pPr>
        <w:pStyle w:val="ListParagraph"/>
        <w:spacing w:after="0"/>
        <w:rPr>
          <w:rFonts w:ascii="Arial" w:eastAsia="Times New Roman" w:hAnsi="Arial" w:cs="Arial"/>
          <w:sz w:val="24"/>
          <w:szCs w:val="24"/>
        </w:rPr>
      </w:pPr>
    </w:p>
    <w:p w14:paraId="00C211F1" w14:textId="77777777" w:rsidR="00905FA3" w:rsidRDefault="00905FA3" w:rsidP="00E2382A">
      <w:pPr>
        <w:pStyle w:val="ListParagraph"/>
        <w:numPr>
          <w:ilvl w:val="1"/>
          <w:numId w:val="24"/>
        </w:numPr>
        <w:spacing w:after="0"/>
        <w:ind w:left="720"/>
        <w:rPr>
          <w:rFonts w:ascii="Arial" w:eastAsia="Times New Roman" w:hAnsi="Arial" w:cs="Arial"/>
          <w:sz w:val="24"/>
          <w:szCs w:val="24"/>
        </w:rPr>
      </w:pPr>
      <w:r>
        <w:rPr>
          <w:rFonts w:ascii="Arial" w:eastAsia="Times New Roman" w:hAnsi="Arial" w:cs="Arial"/>
          <w:sz w:val="24"/>
          <w:szCs w:val="24"/>
        </w:rPr>
        <w:t>Considering that CES ceased operations effective January 1, 2018, it is unclear how the services formally provided by CES to customers other than CPUC are being served.</w:t>
      </w:r>
    </w:p>
    <w:p w14:paraId="30370033" w14:textId="77777777" w:rsidR="00905FA3" w:rsidRDefault="00905FA3" w:rsidP="00905FA3">
      <w:pPr>
        <w:pStyle w:val="ListParagraph"/>
        <w:spacing w:after="0"/>
        <w:ind w:left="0"/>
        <w:rPr>
          <w:rFonts w:ascii="Arial" w:eastAsia="Times New Roman" w:hAnsi="Arial" w:cs="Arial"/>
          <w:sz w:val="24"/>
          <w:szCs w:val="24"/>
        </w:rPr>
      </w:pPr>
    </w:p>
    <w:p w14:paraId="490F8077" w14:textId="77777777" w:rsidR="00905FA3" w:rsidRDefault="00905FA3" w:rsidP="00E2382A">
      <w:pPr>
        <w:pStyle w:val="ListParagraph"/>
        <w:numPr>
          <w:ilvl w:val="2"/>
          <w:numId w:val="24"/>
        </w:numPr>
        <w:spacing w:after="0"/>
        <w:ind w:left="1800"/>
        <w:rPr>
          <w:rFonts w:ascii="Arial" w:eastAsia="Times New Roman" w:hAnsi="Arial" w:cs="Arial"/>
          <w:sz w:val="24"/>
          <w:szCs w:val="24"/>
        </w:rPr>
      </w:pPr>
      <w:r>
        <w:rPr>
          <w:rFonts w:ascii="Arial" w:eastAsia="Times New Roman" w:hAnsi="Arial" w:cs="Arial"/>
          <w:sz w:val="24"/>
          <w:szCs w:val="24"/>
        </w:rPr>
        <w:t>If CPUC is now providing these services, please quantify the amounts and also quantify the impact on the 2019 proposed revenue requirement. If this is not the case, please explain.</w:t>
      </w:r>
    </w:p>
    <w:p w14:paraId="72C035B3" w14:textId="77777777" w:rsidR="00905FA3" w:rsidRDefault="00905FA3" w:rsidP="00905FA3">
      <w:pPr>
        <w:pStyle w:val="ListParagraph"/>
        <w:spacing w:after="0"/>
        <w:ind w:left="1800"/>
        <w:rPr>
          <w:rFonts w:ascii="Arial" w:eastAsia="Times New Roman" w:hAnsi="Arial" w:cs="Arial"/>
          <w:sz w:val="24"/>
          <w:szCs w:val="24"/>
        </w:rPr>
      </w:pPr>
    </w:p>
    <w:p w14:paraId="52D8FBBA" w14:textId="77777777" w:rsidR="00905FA3" w:rsidRDefault="00905FA3" w:rsidP="00E2382A">
      <w:pPr>
        <w:pStyle w:val="ListParagraph"/>
        <w:numPr>
          <w:ilvl w:val="2"/>
          <w:numId w:val="24"/>
        </w:numPr>
        <w:spacing w:after="0"/>
        <w:ind w:left="1800"/>
        <w:rPr>
          <w:rFonts w:ascii="Arial" w:eastAsia="Times New Roman" w:hAnsi="Arial" w:cs="Arial"/>
          <w:sz w:val="24"/>
          <w:szCs w:val="24"/>
        </w:rPr>
      </w:pPr>
      <w:r>
        <w:rPr>
          <w:rFonts w:ascii="Arial" w:eastAsia="Times New Roman" w:hAnsi="Arial" w:cs="Arial"/>
          <w:sz w:val="24"/>
          <w:szCs w:val="24"/>
        </w:rPr>
        <w:t>Please demonstrate how CPUC has presented these services as an Other Revenue offset to its 2019 proposed revenue requirement. If this is not the case, please explain.</w:t>
      </w:r>
    </w:p>
    <w:p w14:paraId="693DF765" w14:textId="77777777" w:rsidR="00905FA3" w:rsidRDefault="00905FA3" w:rsidP="00905FA3">
      <w:pPr>
        <w:pStyle w:val="ListParagraph"/>
        <w:spacing w:after="0"/>
        <w:rPr>
          <w:rFonts w:ascii="Arial" w:eastAsia="Times New Roman" w:hAnsi="Arial" w:cs="Arial"/>
          <w:sz w:val="24"/>
          <w:szCs w:val="24"/>
        </w:rPr>
      </w:pPr>
    </w:p>
    <w:p w14:paraId="0948BBF4" w14:textId="77777777" w:rsidR="00905FA3" w:rsidRDefault="00905FA3" w:rsidP="00E2382A">
      <w:pPr>
        <w:pStyle w:val="ListParagraph"/>
        <w:numPr>
          <w:ilvl w:val="2"/>
          <w:numId w:val="24"/>
        </w:numPr>
        <w:spacing w:after="0"/>
        <w:ind w:left="1800"/>
        <w:rPr>
          <w:rFonts w:ascii="Arial" w:eastAsia="Times New Roman" w:hAnsi="Arial" w:cs="Arial"/>
          <w:sz w:val="24"/>
          <w:szCs w:val="24"/>
        </w:rPr>
      </w:pPr>
      <w:r>
        <w:rPr>
          <w:rFonts w:ascii="Arial" w:eastAsia="Times New Roman" w:hAnsi="Arial" w:cs="Arial"/>
          <w:sz w:val="24"/>
          <w:szCs w:val="24"/>
        </w:rPr>
        <w:t>If CPUC is not providing these services, please confirm which entity is providing these services.</w:t>
      </w:r>
    </w:p>
    <w:p w14:paraId="465F4673" w14:textId="77777777" w:rsidR="00905FA3" w:rsidRDefault="00905FA3" w:rsidP="00905FA3">
      <w:pPr>
        <w:pStyle w:val="ListParagraph"/>
        <w:spacing w:after="0"/>
        <w:rPr>
          <w:rFonts w:ascii="Arial" w:eastAsia="Times New Roman" w:hAnsi="Arial" w:cs="Arial"/>
          <w:sz w:val="24"/>
          <w:szCs w:val="24"/>
        </w:rPr>
      </w:pPr>
    </w:p>
    <w:p w14:paraId="501E7634" w14:textId="77777777" w:rsidR="00905FA3" w:rsidRDefault="00905FA3" w:rsidP="00E2382A">
      <w:pPr>
        <w:pStyle w:val="ListParagraph"/>
        <w:numPr>
          <w:ilvl w:val="2"/>
          <w:numId w:val="24"/>
        </w:numPr>
        <w:spacing w:after="0"/>
        <w:ind w:left="1800"/>
        <w:rPr>
          <w:rFonts w:ascii="Arial" w:eastAsia="Times New Roman" w:hAnsi="Arial" w:cs="Arial"/>
          <w:sz w:val="24"/>
          <w:szCs w:val="24"/>
        </w:rPr>
      </w:pPr>
      <w:r>
        <w:rPr>
          <w:rFonts w:ascii="Arial" w:eastAsia="Times New Roman" w:hAnsi="Arial" w:cs="Arial"/>
          <w:sz w:val="24"/>
          <w:szCs w:val="24"/>
        </w:rPr>
        <w:t>In the breakdown of the cost allocations for 2012 to 2017 that were provided in Exhibit 4 accompanying Appendix 2-N, there are two columns: 1) Amount allocated to CPUC and 2) Amount Remaining in CES. Please describe whether similar amounts in the second column are now being borne by CPUC and please quantify the impact on the 2019 revenue requirement. If this is not the case, please explain.</w:t>
      </w:r>
    </w:p>
    <w:p w14:paraId="3BA98D38" w14:textId="77777777" w:rsidR="00905FA3" w:rsidRDefault="00905FA3" w:rsidP="00905FA3">
      <w:pPr>
        <w:pStyle w:val="ListParagraph"/>
        <w:spacing w:after="0"/>
        <w:rPr>
          <w:rFonts w:ascii="Arial" w:eastAsia="Times New Roman" w:hAnsi="Arial" w:cs="Arial"/>
          <w:sz w:val="24"/>
          <w:szCs w:val="24"/>
        </w:rPr>
      </w:pPr>
    </w:p>
    <w:p w14:paraId="729B7F7F" w14:textId="77777777" w:rsidR="00905FA3" w:rsidRDefault="00905FA3" w:rsidP="00E2382A">
      <w:pPr>
        <w:pStyle w:val="ListParagraph"/>
        <w:numPr>
          <w:ilvl w:val="0"/>
          <w:numId w:val="25"/>
        </w:numPr>
        <w:spacing w:after="0"/>
        <w:rPr>
          <w:rFonts w:ascii="Arial" w:eastAsia="Times New Roman" w:hAnsi="Arial" w:cs="Arial"/>
          <w:sz w:val="24"/>
          <w:szCs w:val="24"/>
        </w:rPr>
      </w:pPr>
      <w:r>
        <w:rPr>
          <w:rFonts w:ascii="Arial" w:eastAsia="Times New Roman" w:hAnsi="Arial" w:cs="Arial"/>
          <w:sz w:val="24"/>
          <w:szCs w:val="24"/>
        </w:rPr>
        <w:t>Please describe how CPUC experienced cost sharing opportunities under its former structure of being a virtual utility.</w:t>
      </w:r>
    </w:p>
    <w:p w14:paraId="52772964" w14:textId="77777777" w:rsidR="00905FA3" w:rsidRDefault="00905FA3" w:rsidP="00905FA3">
      <w:pPr>
        <w:pStyle w:val="ListParagraph"/>
        <w:spacing w:after="0"/>
        <w:rPr>
          <w:rFonts w:ascii="Arial" w:eastAsia="Times New Roman" w:hAnsi="Arial" w:cs="Arial"/>
          <w:sz w:val="24"/>
          <w:szCs w:val="24"/>
        </w:rPr>
      </w:pPr>
    </w:p>
    <w:p w14:paraId="407BBDB7" w14:textId="77777777" w:rsidR="00905FA3" w:rsidRDefault="00905FA3" w:rsidP="00E2382A">
      <w:pPr>
        <w:pStyle w:val="ListParagraph"/>
        <w:numPr>
          <w:ilvl w:val="0"/>
          <w:numId w:val="25"/>
        </w:numPr>
        <w:spacing w:after="0"/>
        <w:rPr>
          <w:rFonts w:ascii="Arial" w:eastAsia="Times New Roman" w:hAnsi="Arial" w:cs="Arial"/>
          <w:sz w:val="24"/>
          <w:szCs w:val="24"/>
        </w:rPr>
      </w:pPr>
      <w:r>
        <w:rPr>
          <w:rFonts w:ascii="Arial" w:eastAsia="Times New Roman" w:hAnsi="Arial" w:cs="Arial"/>
          <w:sz w:val="24"/>
          <w:szCs w:val="24"/>
        </w:rPr>
        <w:t>Please describe how CPUC was able to manage its operations incurring lower costs in the past when CES was providing services to CPUC, compared to now when CPUC is a conventional, versus virtual utility.</w:t>
      </w:r>
    </w:p>
    <w:p w14:paraId="6629EDE5" w14:textId="77777777" w:rsidR="00905FA3" w:rsidRDefault="00905FA3" w:rsidP="00905FA3">
      <w:pPr>
        <w:pStyle w:val="ListParagraph"/>
        <w:spacing w:after="0"/>
        <w:rPr>
          <w:rFonts w:ascii="Arial" w:eastAsia="Times New Roman" w:hAnsi="Arial" w:cs="Arial"/>
          <w:sz w:val="24"/>
          <w:szCs w:val="24"/>
        </w:rPr>
      </w:pPr>
    </w:p>
    <w:p w14:paraId="719850EA" w14:textId="77777777" w:rsidR="00905FA3" w:rsidRDefault="00905FA3" w:rsidP="00E2382A">
      <w:pPr>
        <w:pStyle w:val="ListParagraph"/>
        <w:numPr>
          <w:ilvl w:val="0"/>
          <w:numId w:val="25"/>
        </w:numPr>
        <w:spacing w:after="0"/>
        <w:rPr>
          <w:rFonts w:ascii="Arial" w:eastAsia="Times New Roman" w:hAnsi="Arial" w:cs="Arial"/>
          <w:sz w:val="24"/>
          <w:szCs w:val="24"/>
        </w:rPr>
      </w:pPr>
      <w:r>
        <w:rPr>
          <w:rFonts w:ascii="Arial" w:eastAsia="Times New Roman" w:hAnsi="Arial" w:cs="Arial"/>
          <w:sz w:val="24"/>
          <w:szCs w:val="24"/>
        </w:rPr>
        <w:t>Please provide more detail regarding CPUC’s statement that it was being subsidized by an affiliate and that the affiliate was reporting a loss.</w:t>
      </w:r>
    </w:p>
    <w:p w14:paraId="7B652255" w14:textId="77777777" w:rsidR="00905FA3" w:rsidRDefault="00905FA3" w:rsidP="00905FA3">
      <w:pPr>
        <w:pStyle w:val="ListParagraph"/>
        <w:spacing w:after="0"/>
        <w:rPr>
          <w:rFonts w:ascii="Arial" w:eastAsia="Times New Roman" w:hAnsi="Arial" w:cs="Arial"/>
          <w:sz w:val="24"/>
          <w:szCs w:val="24"/>
        </w:rPr>
      </w:pPr>
    </w:p>
    <w:p w14:paraId="71E3047F" w14:textId="77777777" w:rsidR="00905FA3" w:rsidRDefault="00905FA3" w:rsidP="00E2382A">
      <w:pPr>
        <w:pStyle w:val="ListParagraph"/>
        <w:numPr>
          <w:ilvl w:val="0"/>
          <w:numId w:val="25"/>
        </w:numPr>
        <w:spacing w:after="0"/>
        <w:rPr>
          <w:rFonts w:ascii="Arial" w:eastAsia="Times New Roman" w:hAnsi="Arial" w:cs="Arial"/>
          <w:sz w:val="24"/>
          <w:szCs w:val="24"/>
        </w:rPr>
      </w:pPr>
      <w:r>
        <w:rPr>
          <w:rFonts w:ascii="Arial" w:eastAsia="Times New Roman" w:hAnsi="Arial" w:cs="Arial"/>
          <w:sz w:val="24"/>
          <w:szCs w:val="24"/>
        </w:rPr>
        <w:t>For costs that were charged and allocated to CPUC by CES at a percentage less than 100% in the past, are 100% of these charges now being borne by CPUC? Please explain and quantify.</w:t>
      </w:r>
    </w:p>
    <w:p w14:paraId="2D307273" w14:textId="77777777" w:rsidR="00905FA3" w:rsidRDefault="00905FA3" w:rsidP="00905FA3">
      <w:pPr>
        <w:pStyle w:val="ListParagraph"/>
        <w:spacing w:after="0"/>
        <w:rPr>
          <w:rFonts w:ascii="Arial" w:eastAsia="Times New Roman" w:hAnsi="Arial" w:cs="Arial"/>
          <w:sz w:val="24"/>
          <w:szCs w:val="24"/>
        </w:rPr>
      </w:pPr>
    </w:p>
    <w:p w14:paraId="36A3786D" w14:textId="77777777" w:rsidR="00905FA3" w:rsidRDefault="00905FA3" w:rsidP="00905FA3">
      <w:p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Responses: </w:t>
      </w:r>
    </w:p>
    <w:p w14:paraId="384FAE7D" w14:textId="77777777" w:rsidR="00905FA3" w:rsidRDefault="00905FA3" w:rsidP="00E2382A">
      <w:pPr>
        <w:pStyle w:val="ListParagraph"/>
        <w:numPr>
          <w:ilvl w:val="0"/>
          <w:numId w:val="26"/>
        </w:numPr>
        <w:spacing w:after="0"/>
        <w:rPr>
          <w:rFonts w:ascii="Arial" w:eastAsia="Times New Roman" w:hAnsi="Arial" w:cs="Arial"/>
          <w:color w:val="0070C0"/>
          <w:sz w:val="24"/>
          <w:szCs w:val="24"/>
        </w:rPr>
      </w:pPr>
      <w:r>
        <w:rPr>
          <w:rFonts w:ascii="Arial" w:eastAsia="Times New Roman" w:hAnsi="Arial" w:cs="Arial"/>
          <w:color w:val="0070C0"/>
          <w:sz w:val="24"/>
          <w:szCs w:val="24"/>
        </w:rPr>
        <w:t>Confirmed.</w:t>
      </w:r>
    </w:p>
    <w:p w14:paraId="63E5B06C" w14:textId="77777777" w:rsidR="00905FA3" w:rsidRDefault="00905FA3" w:rsidP="00905FA3">
      <w:pPr>
        <w:pStyle w:val="ListParagraph"/>
        <w:spacing w:after="0"/>
        <w:ind w:left="1440"/>
        <w:rPr>
          <w:rFonts w:ascii="Arial" w:eastAsia="Times New Roman" w:hAnsi="Arial" w:cs="Arial"/>
          <w:color w:val="0070C0"/>
          <w:sz w:val="24"/>
          <w:szCs w:val="24"/>
        </w:rPr>
      </w:pPr>
    </w:p>
    <w:p w14:paraId="7DAE1638" w14:textId="77777777" w:rsidR="00905FA3" w:rsidRDefault="00905FA3" w:rsidP="00E2382A">
      <w:pPr>
        <w:widowControl w:val="0"/>
        <w:numPr>
          <w:ilvl w:val="0"/>
          <w:numId w:val="26"/>
        </w:numPr>
        <w:tabs>
          <w:tab w:val="left" w:pos="220"/>
          <w:tab w:val="left" w:pos="720"/>
        </w:tabs>
        <w:autoSpaceDE w:val="0"/>
        <w:autoSpaceDN w:val="0"/>
        <w:adjustRightInd w:val="0"/>
        <w:spacing w:after="240" w:line="360" w:lineRule="atLeast"/>
        <w:rPr>
          <w:rFonts w:ascii="Times Roman" w:hAnsi="Times Roman" w:cs="Times Roman"/>
          <w:color w:val="4F81BD" w:themeColor="accent1"/>
          <w:sz w:val="24"/>
          <w:szCs w:val="24"/>
          <w:lang w:val="en-US"/>
        </w:rPr>
      </w:pPr>
      <w:r>
        <w:rPr>
          <w:rFonts w:ascii="Arial" w:hAnsi="Arial" w:cs="Arial"/>
          <w:color w:val="4F81BD" w:themeColor="accent1"/>
          <w:sz w:val="24"/>
          <w:szCs w:val="24"/>
          <w:lang w:val="en-US"/>
        </w:rPr>
        <w:t>CESC performed work such as streetlight maintenance, chimney cleans, and Hydro One rural work for customers other than CPUC.  Please refer to the Section 86 Application filed by CPUC on April 5, 2019 for copies of the financial information CPUC has access to for CESC for the years 2016 and 2017.</w:t>
      </w:r>
    </w:p>
    <w:p w14:paraId="1A974D45" w14:textId="77777777" w:rsidR="00905FA3" w:rsidRPr="00C046CD" w:rsidRDefault="00905FA3" w:rsidP="00E2382A">
      <w:pPr>
        <w:widowControl w:val="0"/>
        <w:numPr>
          <w:ilvl w:val="0"/>
          <w:numId w:val="26"/>
        </w:numPr>
        <w:tabs>
          <w:tab w:val="left" w:pos="220"/>
          <w:tab w:val="left" w:pos="720"/>
        </w:tabs>
        <w:autoSpaceDE w:val="0"/>
        <w:autoSpaceDN w:val="0"/>
        <w:adjustRightInd w:val="0"/>
        <w:spacing w:after="240" w:line="360" w:lineRule="atLeast"/>
        <w:rPr>
          <w:rFonts w:ascii="Arial" w:hAnsi="Arial" w:cs="Arial"/>
          <w:color w:val="0070C0"/>
          <w:sz w:val="24"/>
          <w:szCs w:val="24"/>
          <w:lang w:val="en-US"/>
        </w:rPr>
      </w:pPr>
    </w:p>
    <w:p w14:paraId="397C0B56" w14:textId="77777777" w:rsidR="00905FA3" w:rsidRDefault="00905FA3" w:rsidP="00905FA3">
      <w:pPr>
        <w:pStyle w:val="ListParagraph"/>
        <w:ind w:left="1440"/>
        <w:rPr>
          <w:rFonts w:ascii="Arial" w:eastAsia="Times New Roman" w:hAnsi="Arial" w:cs="Arial"/>
          <w:color w:val="0070C0"/>
          <w:sz w:val="24"/>
          <w:szCs w:val="24"/>
        </w:rPr>
      </w:pPr>
      <w:r>
        <w:rPr>
          <w:rFonts w:ascii="Arial" w:eastAsia="Times New Roman" w:hAnsi="Arial" w:cs="Arial"/>
          <w:color w:val="0070C0"/>
          <w:sz w:val="24"/>
          <w:szCs w:val="24"/>
        </w:rPr>
        <w:lastRenderedPageBreak/>
        <w:t>i) to the extent the non-utility customers that CESC was servicing continue to want service CPUC is providing that service.  CPUC has included the 2018 and 2019 other forecasted revenue from these services in its 2018 and 2019 other revenue forecasts.</w:t>
      </w:r>
    </w:p>
    <w:p w14:paraId="66CBAFB7" w14:textId="77777777" w:rsidR="00905FA3" w:rsidRDefault="00905FA3" w:rsidP="00905FA3">
      <w:pPr>
        <w:pStyle w:val="ListParagraph"/>
        <w:spacing w:after="0"/>
        <w:ind w:left="1440"/>
        <w:rPr>
          <w:rFonts w:ascii="Arial" w:eastAsia="Times New Roman" w:hAnsi="Arial" w:cs="Arial"/>
          <w:color w:val="0070C0"/>
          <w:sz w:val="24"/>
          <w:szCs w:val="24"/>
        </w:rPr>
      </w:pPr>
    </w:p>
    <w:p w14:paraId="2F20F8A4" w14:textId="71CDCA41" w:rsidR="00905FA3" w:rsidRDefault="00905FA3" w:rsidP="00905FA3">
      <w:pPr>
        <w:pStyle w:val="ListParagraph"/>
        <w:spacing w:after="0"/>
        <w:ind w:left="1440"/>
        <w:rPr>
          <w:rFonts w:ascii="Arial" w:eastAsia="Times New Roman" w:hAnsi="Arial" w:cs="Arial"/>
          <w:color w:val="0070C0"/>
          <w:sz w:val="24"/>
          <w:szCs w:val="24"/>
        </w:rPr>
      </w:pPr>
      <w:r w:rsidRPr="00C046CD">
        <w:rPr>
          <w:rFonts w:ascii="Arial" w:eastAsia="Times New Roman" w:hAnsi="Arial" w:cs="Arial"/>
          <w:color w:val="0070C0"/>
          <w:sz w:val="24"/>
          <w:szCs w:val="24"/>
        </w:rPr>
        <w:t xml:space="preserve">ii) </w:t>
      </w:r>
      <w:r w:rsidR="00C046CD" w:rsidRPr="00C046CD">
        <w:rPr>
          <w:rFonts w:ascii="Arial" w:eastAsia="Times New Roman" w:hAnsi="Arial" w:cs="Arial"/>
          <w:color w:val="0070C0"/>
          <w:sz w:val="24"/>
          <w:szCs w:val="24"/>
        </w:rPr>
        <w:t>These revenues are reflected in account 4375- Revenues from Non-Utility Operations</w:t>
      </w:r>
    </w:p>
    <w:p w14:paraId="1EEF7A68" w14:textId="77777777" w:rsidR="00905FA3" w:rsidRDefault="00905FA3" w:rsidP="00905FA3">
      <w:pPr>
        <w:pStyle w:val="ListParagraph"/>
        <w:spacing w:after="0"/>
        <w:ind w:left="1440"/>
        <w:rPr>
          <w:rFonts w:ascii="Arial" w:eastAsia="Times New Roman" w:hAnsi="Arial" w:cs="Arial"/>
          <w:color w:val="0070C0"/>
          <w:sz w:val="24"/>
          <w:szCs w:val="24"/>
        </w:rPr>
      </w:pPr>
    </w:p>
    <w:p w14:paraId="64379E8D" w14:textId="77777777" w:rsidR="00905FA3" w:rsidRDefault="00905FA3" w:rsidP="00905FA3">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iii) To the extent that the customers other than CPUC continue to require services and retain CPUC to perform those services CPUC has included forecast revenue from those services in its forecast other revenue; if someone other than CPUC is performing services for customers other than CPUC that used to retain CESC CPUC has no direct knowledge of who may per performing those services, other than to note that Hydro One, to CPUC’s knowledge, is performing the work it used to use CESC for.</w:t>
      </w:r>
    </w:p>
    <w:p w14:paraId="44CA7EF5" w14:textId="77777777" w:rsidR="00905FA3" w:rsidRDefault="00905FA3" w:rsidP="00905FA3">
      <w:pPr>
        <w:pStyle w:val="ListParagraph"/>
        <w:spacing w:after="0"/>
        <w:ind w:left="1440"/>
        <w:rPr>
          <w:rFonts w:ascii="Arial" w:eastAsia="Times New Roman" w:hAnsi="Arial" w:cs="Arial"/>
          <w:color w:val="0070C0"/>
          <w:sz w:val="24"/>
          <w:szCs w:val="24"/>
        </w:rPr>
      </w:pPr>
    </w:p>
    <w:p w14:paraId="277560E3" w14:textId="77777777" w:rsidR="00905FA3" w:rsidRDefault="00905FA3" w:rsidP="00905FA3">
      <w:pPr>
        <w:pStyle w:val="ListParagraph"/>
        <w:spacing w:after="0"/>
        <w:ind w:left="1440"/>
        <w:rPr>
          <w:rFonts w:ascii="Arial" w:eastAsia="Times New Roman" w:hAnsi="Arial" w:cs="Arial"/>
          <w:color w:val="0070C0"/>
          <w:sz w:val="24"/>
          <w:szCs w:val="24"/>
        </w:rPr>
      </w:pPr>
      <w:r>
        <w:rPr>
          <w:rFonts w:ascii="Arial" w:eastAsia="Times New Roman" w:hAnsi="Arial" w:cs="Arial"/>
          <w:color w:val="0070C0"/>
          <w:sz w:val="24"/>
          <w:szCs w:val="24"/>
        </w:rPr>
        <w:t xml:space="preserve">iv) The “Amount remaining in CES” column referred to costs that were not allocated to CPUC as a result of time allocations; now that CPUC no longer obtains services from a service company like CESC but instead directly employs its own staff and owns its own service assets there are no unallocated amounts to “remain”.  Had CPUC continued to operate as a virtual utility using CESC as its service company the “amount remaining in CES” would have had to be eliminated going forward by increasing the allocation to CPUC and, where feasible, increasing the charges to customers other than CPUC. </w:t>
      </w:r>
    </w:p>
    <w:p w14:paraId="5D129CCF" w14:textId="77777777" w:rsidR="00905FA3" w:rsidRDefault="00905FA3" w:rsidP="00905FA3">
      <w:pPr>
        <w:pStyle w:val="ListParagraph"/>
        <w:spacing w:after="0"/>
        <w:ind w:left="1440"/>
        <w:rPr>
          <w:rFonts w:ascii="Arial" w:eastAsia="Times New Roman" w:hAnsi="Arial" w:cs="Arial"/>
          <w:color w:val="0070C0"/>
          <w:sz w:val="24"/>
          <w:szCs w:val="24"/>
        </w:rPr>
      </w:pPr>
    </w:p>
    <w:p w14:paraId="2E16A1D1" w14:textId="77777777" w:rsidR="00905FA3" w:rsidRDefault="00905FA3" w:rsidP="00E2382A">
      <w:pPr>
        <w:pStyle w:val="ListParagraph"/>
        <w:numPr>
          <w:ilvl w:val="0"/>
          <w:numId w:val="26"/>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Because of the nature of the allocation methodology in use before CESC ceased operations CPUC was the beneficiary of an under allocation of costs to it from CESC when there was insufficient revenue from customers other than CPUC to allow CES to recover its full costs.  </w:t>
      </w:r>
    </w:p>
    <w:p w14:paraId="354AA8FE" w14:textId="77777777" w:rsidR="00905FA3" w:rsidRDefault="00905FA3" w:rsidP="00905FA3">
      <w:pPr>
        <w:spacing w:after="0"/>
        <w:rPr>
          <w:rFonts w:ascii="Arial" w:eastAsia="Times New Roman" w:hAnsi="Arial" w:cs="Arial"/>
          <w:color w:val="0070C0"/>
          <w:sz w:val="24"/>
          <w:szCs w:val="24"/>
        </w:rPr>
      </w:pPr>
    </w:p>
    <w:p w14:paraId="0C41D87E" w14:textId="77777777" w:rsidR="00905FA3" w:rsidRDefault="00905FA3" w:rsidP="00E2382A">
      <w:pPr>
        <w:pStyle w:val="ListParagraph"/>
        <w:numPr>
          <w:ilvl w:val="0"/>
          <w:numId w:val="26"/>
        </w:numPr>
        <w:spacing w:after="0"/>
        <w:rPr>
          <w:rFonts w:ascii="Arial" w:eastAsia="Times New Roman" w:hAnsi="Arial" w:cs="Arial"/>
          <w:color w:val="0070C0"/>
          <w:sz w:val="24"/>
          <w:szCs w:val="24"/>
        </w:rPr>
      </w:pPr>
      <w:r>
        <w:rPr>
          <w:rFonts w:ascii="Arial" w:eastAsia="Times New Roman" w:hAnsi="Arial" w:cs="Arial"/>
          <w:color w:val="0070C0"/>
          <w:sz w:val="24"/>
          <w:szCs w:val="24"/>
        </w:rPr>
        <w:t>As described in part d) CPUC was the beneficiary of an under allocation of costs to it from CESC.  As a result of CESC ceasing operations CPUC lost the benefit of the under allocation of costs to it.</w:t>
      </w:r>
    </w:p>
    <w:p w14:paraId="551B006F" w14:textId="77777777" w:rsidR="00905FA3" w:rsidRDefault="00905FA3" w:rsidP="00905FA3">
      <w:pPr>
        <w:spacing w:after="0"/>
        <w:rPr>
          <w:rFonts w:ascii="Arial" w:eastAsia="Times New Roman" w:hAnsi="Arial" w:cs="Arial"/>
          <w:color w:val="0070C0"/>
          <w:sz w:val="24"/>
          <w:szCs w:val="24"/>
        </w:rPr>
      </w:pPr>
    </w:p>
    <w:p w14:paraId="07EC980A" w14:textId="77777777" w:rsidR="00905FA3" w:rsidRDefault="00905FA3" w:rsidP="00E2382A">
      <w:pPr>
        <w:pStyle w:val="ListParagraph"/>
        <w:numPr>
          <w:ilvl w:val="0"/>
          <w:numId w:val="26"/>
        </w:numPr>
        <w:spacing w:after="0"/>
        <w:rPr>
          <w:rFonts w:ascii="Arial" w:eastAsia="Times New Roman" w:hAnsi="Arial" w:cs="Arial"/>
          <w:color w:val="0070C0"/>
          <w:sz w:val="24"/>
          <w:szCs w:val="24"/>
        </w:rPr>
      </w:pPr>
      <w:r>
        <w:rPr>
          <w:rFonts w:ascii="Arial" w:eastAsia="Times New Roman" w:hAnsi="Arial" w:cs="Arial"/>
          <w:color w:val="0070C0"/>
          <w:sz w:val="24"/>
          <w:szCs w:val="24"/>
        </w:rPr>
        <w:t>As described in parts d) and e) CESC was under allocating costs to CPUC; this constituted a subsidy from CESC to CPUC as long as the under allocation was not rectified through an updating of the cost allocation between the affiliates.</w:t>
      </w:r>
    </w:p>
    <w:p w14:paraId="1A9178D3" w14:textId="77777777" w:rsidR="00905FA3" w:rsidRDefault="00905FA3" w:rsidP="00905FA3">
      <w:pPr>
        <w:pStyle w:val="ListParagraph"/>
        <w:rPr>
          <w:rFonts w:ascii="Arial" w:eastAsia="Times New Roman" w:hAnsi="Arial" w:cs="Arial"/>
          <w:color w:val="0070C0"/>
          <w:sz w:val="24"/>
          <w:szCs w:val="24"/>
        </w:rPr>
      </w:pPr>
    </w:p>
    <w:p w14:paraId="59D4EB2D" w14:textId="77777777" w:rsidR="00905FA3" w:rsidRDefault="00905FA3" w:rsidP="00E2382A">
      <w:pPr>
        <w:pStyle w:val="ListParagraph"/>
        <w:numPr>
          <w:ilvl w:val="0"/>
          <w:numId w:val="26"/>
        </w:numPr>
        <w:spacing w:after="0"/>
        <w:rPr>
          <w:rFonts w:ascii="Arial" w:eastAsia="Times New Roman" w:hAnsi="Arial" w:cs="Arial"/>
          <w:color w:val="0070C0"/>
          <w:sz w:val="24"/>
          <w:szCs w:val="24"/>
        </w:rPr>
      </w:pPr>
      <w:r>
        <w:rPr>
          <w:rFonts w:ascii="Arial" w:eastAsia="Times New Roman" w:hAnsi="Arial" w:cs="Arial"/>
          <w:color w:val="0070C0"/>
          <w:sz w:val="24"/>
          <w:szCs w:val="24"/>
        </w:rPr>
        <w:t>Answered in c) (iv).</w:t>
      </w:r>
    </w:p>
    <w:p w14:paraId="584F03D9" w14:textId="77777777" w:rsidR="00905FA3" w:rsidRDefault="00905FA3" w:rsidP="00905FA3">
      <w:pPr>
        <w:spacing w:after="0"/>
        <w:rPr>
          <w:rFonts w:ascii="Arial" w:eastAsia="Times New Roman" w:hAnsi="Arial" w:cs="Arial"/>
          <w:color w:val="0070C0"/>
          <w:sz w:val="24"/>
          <w:szCs w:val="24"/>
        </w:rPr>
      </w:pPr>
    </w:p>
    <w:p w14:paraId="6A538840" w14:textId="77777777" w:rsidR="00905FA3" w:rsidRDefault="00905FA3" w:rsidP="00905FA3">
      <w:pPr>
        <w:spacing w:after="0"/>
        <w:rPr>
          <w:rFonts w:ascii="Arial" w:eastAsia="Times New Roman" w:hAnsi="Arial" w:cs="Arial"/>
          <w:color w:val="0070C0"/>
          <w:sz w:val="24"/>
          <w:szCs w:val="24"/>
        </w:rPr>
      </w:pPr>
    </w:p>
    <w:p w14:paraId="5C6E9A3F" w14:textId="641587A8" w:rsidR="00905FA3" w:rsidRDefault="00905FA3" w:rsidP="00905FA3">
      <w:pPr>
        <w:pStyle w:val="Heading2"/>
        <w:numPr>
          <w:ilvl w:val="0"/>
          <w:numId w:val="0"/>
        </w:numPr>
      </w:pPr>
      <w:r>
        <w:t xml:space="preserve">4-Staff-55 </w:t>
      </w:r>
    </w:p>
    <w:p w14:paraId="1A2037A2" w14:textId="77777777" w:rsidR="00905FA3" w:rsidRDefault="00905FA3" w:rsidP="00905FA3">
      <w:pPr>
        <w:spacing w:after="0"/>
        <w:rPr>
          <w:rFonts w:ascii="Arial" w:hAnsi="Arial" w:cs="Arial"/>
          <w:b/>
          <w:sz w:val="24"/>
          <w:szCs w:val="24"/>
        </w:rPr>
      </w:pPr>
    </w:p>
    <w:p w14:paraId="61030609" w14:textId="77777777" w:rsidR="00905FA3" w:rsidRDefault="00905FA3" w:rsidP="00905FA3">
      <w:pPr>
        <w:spacing w:after="0"/>
        <w:rPr>
          <w:rFonts w:ascii="Arial" w:hAnsi="Arial" w:cs="Arial"/>
          <w:sz w:val="24"/>
          <w:szCs w:val="24"/>
        </w:rPr>
      </w:pPr>
      <w:r>
        <w:rPr>
          <w:rFonts w:ascii="Arial" w:hAnsi="Arial" w:cs="Arial"/>
          <w:sz w:val="24"/>
          <w:szCs w:val="24"/>
        </w:rPr>
        <w:t>Ref:</w:t>
      </w:r>
      <w:r>
        <w:rPr>
          <w:rFonts w:ascii="Arial" w:hAnsi="Arial" w:cs="Arial"/>
          <w:sz w:val="24"/>
          <w:szCs w:val="24"/>
        </w:rPr>
        <w:tab/>
        <w:t>Exhibit 1, pages 9 &amp; 263</w:t>
      </w:r>
    </w:p>
    <w:p w14:paraId="4C0B6C59" w14:textId="77777777" w:rsidR="00905FA3" w:rsidRDefault="00905FA3" w:rsidP="00905FA3">
      <w:pPr>
        <w:spacing w:after="0"/>
        <w:ind w:firstLine="720"/>
        <w:rPr>
          <w:rFonts w:ascii="Arial" w:hAnsi="Arial" w:cs="Arial"/>
          <w:sz w:val="24"/>
          <w:szCs w:val="24"/>
        </w:rPr>
      </w:pPr>
      <w:r>
        <w:rPr>
          <w:rFonts w:ascii="Arial" w:hAnsi="Arial" w:cs="Arial"/>
          <w:sz w:val="24"/>
          <w:szCs w:val="24"/>
        </w:rPr>
        <w:t>Exhibit 4, page 7</w:t>
      </w:r>
    </w:p>
    <w:p w14:paraId="6D486D71" w14:textId="77777777" w:rsidR="00905FA3" w:rsidRDefault="00905FA3" w:rsidP="00905FA3">
      <w:pPr>
        <w:spacing w:after="0"/>
        <w:rPr>
          <w:rFonts w:ascii="Arial" w:hAnsi="Arial" w:cs="Arial"/>
          <w:b/>
          <w:sz w:val="24"/>
          <w:szCs w:val="24"/>
        </w:rPr>
      </w:pPr>
    </w:p>
    <w:p w14:paraId="0E9B8376" w14:textId="77777777" w:rsidR="00905FA3" w:rsidRDefault="00905FA3" w:rsidP="00905FA3">
      <w:pPr>
        <w:spacing w:after="0"/>
        <w:rPr>
          <w:rFonts w:ascii="Arial" w:hAnsi="Arial" w:cs="Arial"/>
          <w:b/>
          <w:sz w:val="24"/>
          <w:szCs w:val="24"/>
        </w:rPr>
      </w:pPr>
      <w:r>
        <w:rPr>
          <w:rFonts w:ascii="Arial" w:hAnsi="Arial" w:cs="Arial"/>
          <w:b/>
          <w:sz w:val="24"/>
          <w:szCs w:val="24"/>
        </w:rPr>
        <w:t>Preamble:</w:t>
      </w:r>
    </w:p>
    <w:p w14:paraId="7F0EFFA2" w14:textId="77777777" w:rsidR="00905FA3" w:rsidRDefault="00905FA3" w:rsidP="00905FA3">
      <w:pPr>
        <w:spacing w:after="0"/>
        <w:rPr>
          <w:rFonts w:ascii="Arial" w:hAnsi="Arial" w:cs="Arial"/>
          <w:b/>
          <w:sz w:val="24"/>
          <w:szCs w:val="24"/>
        </w:rPr>
      </w:pPr>
    </w:p>
    <w:p w14:paraId="7D71EBC6" w14:textId="77777777" w:rsidR="00905FA3" w:rsidRDefault="00905FA3" w:rsidP="00905FA3">
      <w:pPr>
        <w:pStyle w:val="ListParagraph"/>
        <w:spacing w:after="0"/>
        <w:ind w:left="0"/>
        <w:rPr>
          <w:rFonts w:ascii="Arial" w:hAnsi="Arial" w:cs="Arial"/>
          <w:sz w:val="24"/>
          <w:szCs w:val="24"/>
        </w:rPr>
      </w:pPr>
      <w:r>
        <w:rPr>
          <w:rFonts w:ascii="Arial" w:hAnsi="Arial" w:cs="Arial"/>
          <w:sz w:val="24"/>
          <w:szCs w:val="24"/>
        </w:rPr>
        <w:t>OEB staff notes that CPUC has characterized the transferring of assets and employees from CES to CPUC as a “merger”. In other exhibits, CPUC refers to a “change in organizational structure”. As a result, CPUC has characterized the transaction as both a merger and / or organizational change.</w:t>
      </w:r>
    </w:p>
    <w:p w14:paraId="166F09F0" w14:textId="77777777" w:rsidR="00905FA3" w:rsidRDefault="00905FA3" w:rsidP="00905FA3">
      <w:pPr>
        <w:pStyle w:val="ListParagraph"/>
        <w:spacing w:after="0"/>
        <w:ind w:left="0"/>
        <w:rPr>
          <w:rFonts w:ascii="Arial" w:hAnsi="Arial" w:cs="Arial"/>
          <w:sz w:val="24"/>
          <w:szCs w:val="24"/>
        </w:rPr>
      </w:pPr>
    </w:p>
    <w:p w14:paraId="3CDCEB2B" w14:textId="77777777" w:rsidR="00905FA3" w:rsidRDefault="00905FA3" w:rsidP="00905FA3">
      <w:pPr>
        <w:spacing w:after="0"/>
        <w:rPr>
          <w:rFonts w:ascii="Arial" w:hAnsi="Arial" w:cs="Arial"/>
          <w:b/>
          <w:sz w:val="24"/>
          <w:szCs w:val="24"/>
        </w:rPr>
      </w:pPr>
      <w:r>
        <w:rPr>
          <w:rFonts w:ascii="Arial" w:hAnsi="Arial" w:cs="Arial"/>
          <w:b/>
          <w:sz w:val="24"/>
          <w:szCs w:val="24"/>
        </w:rPr>
        <w:t>Questions:</w:t>
      </w:r>
    </w:p>
    <w:p w14:paraId="0236A631" w14:textId="77777777" w:rsidR="00905FA3" w:rsidRDefault="00905FA3" w:rsidP="00905FA3">
      <w:pPr>
        <w:spacing w:after="0"/>
        <w:rPr>
          <w:rFonts w:ascii="Arial" w:hAnsi="Arial" w:cs="Arial"/>
          <w:b/>
          <w:sz w:val="24"/>
          <w:szCs w:val="24"/>
        </w:rPr>
      </w:pPr>
    </w:p>
    <w:p w14:paraId="059269EA"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Please provide details and relevant documentation with respect to the merger and / organizational change including an amalgamation agreement. If there is no amalgamation agreement please explain how the merger was documented and implemented.</w:t>
      </w:r>
    </w:p>
    <w:p w14:paraId="5CF5EDC1" w14:textId="77777777" w:rsidR="00905FA3" w:rsidRDefault="00905FA3" w:rsidP="00905FA3">
      <w:pPr>
        <w:pStyle w:val="ListParagraph"/>
        <w:spacing w:after="0"/>
        <w:ind w:left="360"/>
        <w:rPr>
          <w:rFonts w:ascii="Arial" w:hAnsi="Arial" w:cs="Arial"/>
          <w:sz w:val="24"/>
          <w:szCs w:val="24"/>
        </w:rPr>
      </w:pPr>
    </w:p>
    <w:p w14:paraId="61AEFB57"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 xml:space="preserve">Please provide an explanation of which assets and employees were within the CPUC company and which were within CES and documentation explaining the transfer of the assets and employees. </w:t>
      </w:r>
    </w:p>
    <w:p w14:paraId="10ED1B4A" w14:textId="77777777" w:rsidR="00905FA3" w:rsidRDefault="00905FA3" w:rsidP="00905FA3">
      <w:pPr>
        <w:pStyle w:val="ListParagraph"/>
        <w:spacing w:after="0"/>
        <w:rPr>
          <w:rFonts w:ascii="Arial" w:hAnsi="Arial" w:cs="Arial"/>
          <w:sz w:val="24"/>
          <w:szCs w:val="24"/>
        </w:rPr>
      </w:pPr>
    </w:p>
    <w:p w14:paraId="733CA1D3"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Does CPUC characterize the merger and / or organizational change as an amalgamation of CPUC and CES?</w:t>
      </w:r>
    </w:p>
    <w:p w14:paraId="7819017A" w14:textId="77777777" w:rsidR="00905FA3" w:rsidRDefault="00905FA3" w:rsidP="00905FA3">
      <w:pPr>
        <w:pStyle w:val="ListParagraph"/>
        <w:spacing w:after="0"/>
        <w:ind w:left="360"/>
        <w:rPr>
          <w:rFonts w:ascii="Arial" w:hAnsi="Arial" w:cs="Arial"/>
          <w:sz w:val="24"/>
          <w:szCs w:val="24"/>
        </w:rPr>
      </w:pPr>
    </w:p>
    <w:p w14:paraId="725A9FD3"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 xml:space="preserve">If so did CPUC apply to the OEB for leave to amalgamate, in accordance with s.86(1)c) of the OEB Act? </w:t>
      </w:r>
    </w:p>
    <w:p w14:paraId="19B26142" w14:textId="77777777" w:rsidR="00905FA3" w:rsidRDefault="00905FA3" w:rsidP="00905FA3">
      <w:pPr>
        <w:pStyle w:val="ListParagraph"/>
        <w:spacing w:after="0"/>
        <w:rPr>
          <w:rFonts w:ascii="Arial" w:hAnsi="Arial" w:cs="Arial"/>
          <w:sz w:val="24"/>
          <w:szCs w:val="24"/>
        </w:rPr>
      </w:pPr>
    </w:p>
    <w:p w14:paraId="6B49E156"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If not, what is CPUC’s rationale for not applying for leave to amalgamate?</w:t>
      </w:r>
    </w:p>
    <w:p w14:paraId="0C56A192" w14:textId="77777777" w:rsidR="00905FA3" w:rsidRDefault="00905FA3" w:rsidP="00905FA3">
      <w:pPr>
        <w:pStyle w:val="ListParagraph"/>
        <w:spacing w:after="0"/>
        <w:rPr>
          <w:rFonts w:ascii="Arial" w:hAnsi="Arial" w:cs="Arial"/>
          <w:sz w:val="24"/>
          <w:szCs w:val="24"/>
        </w:rPr>
      </w:pPr>
    </w:p>
    <w:p w14:paraId="7281254B"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Does CPUC intend to file an application and when will this application be filed?</w:t>
      </w:r>
    </w:p>
    <w:p w14:paraId="5F80A47B" w14:textId="77777777" w:rsidR="00905FA3" w:rsidRDefault="00905FA3" w:rsidP="00905FA3">
      <w:pPr>
        <w:pStyle w:val="ListParagraph"/>
        <w:spacing w:after="0"/>
        <w:rPr>
          <w:rFonts w:ascii="Arial" w:hAnsi="Arial" w:cs="Arial"/>
          <w:sz w:val="24"/>
          <w:szCs w:val="24"/>
        </w:rPr>
      </w:pPr>
    </w:p>
    <w:p w14:paraId="6532F4CC" w14:textId="77777777" w:rsidR="00905FA3" w:rsidRDefault="00905FA3" w:rsidP="00E2382A">
      <w:pPr>
        <w:pStyle w:val="ListParagraph"/>
        <w:numPr>
          <w:ilvl w:val="0"/>
          <w:numId w:val="27"/>
        </w:numPr>
        <w:spacing w:after="0"/>
        <w:rPr>
          <w:rFonts w:ascii="Arial" w:hAnsi="Arial" w:cs="Arial"/>
          <w:sz w:val="24"/>
          <w:szCs w:val="24"/>
        </w:rPr>
      </w:pPr>
      <w:r>
        <w:rPr>
          <w:rFonts w:ascii="Arial" w:hAnsi="Arial" w:cs="Arial"/>
          <w:sz w:val="24"/>
          <w:szCs w:val="24"/>
        </w:rPr>
        <w:t xml:space="preserve">Did the merger / organizational change involve any transfer of voting securities? If so, please provide details and related documentation. </w:t>
      </w:r>
    </w:p>
    <w:p w14:paraId="6EE62873" w14:textId="77777777" w:rsidR="00905FA3" w:rsidRDefault="00905FA3" w:rsidP="00905FA3">
      <w:pPr>
        <w:pStyle w:val="ListParagraph"/>
        <w:spacing w:after="0"/>
        <w:rPr>
          <w:rFonts w:ascii="Arial" w:hAnsi="Arial" w:cs="Arial"/>
          <w:sz w:val="24"/>
          <w:szCs w:val="24"/>
        </w:rPr>
      </w:pPr>
    </w:p>
    <w:p w14:paraId="0EAAA4AA" w14:textId="77777777" w:rsidR="00905FA3" w:rsidRDefault="00905FA3" w:rsidP="00905FA3">
      <w:pPr>
        <w:spacing w:after="0"/>
        <w:rPr>
          <w:rFonts w:ascii="Arial" w:eastAsia="Times New Roman" w:hAnsi="Arial" w:cs="Arial"/>
          <w:color w:val="0070C0"/>
          <w:sz w:val="24"/>
          <w:szCs w:val="24"/>
        </w:rPr>
      </w:pPr>
      <w:r>
        <w:rPr>
          <w:rFonts w:ascii="Arial" w:eastAsia="Times New Roman" w:hAnsi="Arial" w:cs="Arial"/>
          <w:color w:val="0070C0"/>
          <w:sz w:val="24"/>
          <w:szCs w:val="24"/>
        </w:rPr>
        <w:lastRenderedPageBreak/>
        <w:t xml:space="preserve">Responses: </w:t>
      </w:r>
    </w:p>
    <w:p w14:paraId="437BBBFD"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All relevant documentation including the Articles of Amalgamation have been filed by CPUC in a Section 86 Application for approval of the amalgamation on April 5, 2019.  The Section 86 Application, which CPUC has asked be heard in conjunction with this application, sets out the details of the amalgamation.</w:t>
      </w:r>
    </w:p>
    <w:p w14:paraId="7CE7B585" w14:textId="77777777" w:rsidR="00905FA3" w:rsidRDefault="00905FA3" w:rsidP="00905FA3">
      <w:pPr>
        <w:pStyle w:val="ListParagraph"/>
        <w:rPr>
          <w:rFonts w:ascii="Arial" w:eastAsia="Times New Roman" w:hAnsi="Arial" w:cs="Arial"/>
          <w:color w:val="0070C0"/>
          <w:sz w:val="24"/>
          <w:szCs w:val="24"/>
        </w:rPr>
      </w:pPr>
    </w:p>
    <w:p w14:paraId="602B9CA3"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The Section 86 Application sets out the assets that were provided to the amalgamated company by each of CPUC and CESC.</w:t>
      </w:r>
    </w:p>
    <w:p w14:paraId="0424F3A8" w14:textId="77777777" w:rsidR="00905FA3" w:rsidRDefault="00905FA3" w:rsidP="00905FA3">
      <w:pPr>
        <w:pStyle w:val="ListParagraph"/>
        <w:spacing w:after="0"/>
        <w:ind w:left="1440"/>
        <w:rPr>
          <w:rFonts w:ascii="Arial" w:eastAsia="Times New Roman" w:hAnsi="Arial" w:cs="Arial"/>
          <w:color w:val="0070C0"/>
          <w:sz w:val="24"/>
          <w:szCs w:val="24"/>
        </w:rPr>
      </w:pPr>
    </w:p>
    <w:p w14:paraId="18A430BA"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The organization change was effected through the amalgamation of CPUC and CESC as set out in the Section 86 Application.</w:t>
      </w:r>
    </w:p>
    <w:p w14:paraId="6DEE07FD" w14:textId="77777777" w:rsidR="00905FA3" w:rsidRDefault="00905FA3" w:rsidP="00905FA3">
      <w:pPr>
        <w:spacing w:after="0"/>
        <w:rPr>
          <w:rFonts w:ascii="Arial" w:eastAsia="Times New Roman" w:hAnsi="Arial" w:cs="Arial"/>
          <w:color w:val="0070C0"/>
          <w:sz w:val="24"/>
          <w:szCs w:val="24"/>
        </w:rPr>
      </w:pPr>
    </w:p>
    <w:p w14:paraId="5FB56C7E"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CPUC did not apply for leave to amalgamate under section 86 (1) (c) of the OEB Act.</w:t>
      </w:r>
    </w:p>
    <w:p w14:paraId="4E101A14" w14:textId="77777777" w:rsidR="00905FA3" w:rsidRDefault="00905FA3" w:rsidP="00905FA3">
      <w:pPr>
        <w:spacing w:after="0"/>
        <w:rPr>
          <w:rFonts w:ascii="Arial" w:eastAsia="Times New Roman" w:hAnsi="Arial" w:cs="Arial"/>
          <w:color w:val="0070C0"/>
          <w:sz w:val="24"/>
          <w:szCs w:val="24"/>
        </w:rPr>
      </w:pPr>
    </w:p>
    <w:p w14:paraId="5AC55837"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CPUC failed to apply for leave to amalgamate through inadvertence.  </w:t>
      </w:r>
    </w:p>
    <w:p w14:paraId="5FD625D9" w14:textId="77777777" w:rsidR="00905FA3" w:rsidRDefault="00905FA3" w:rsidP="00905FA3">
      <w:pPr>
        <w:pStyle w:val="ListParagraph"/>
        <w:rPr>
          <w:rFonts w:ascii="Arial" w:eastAsia="Times New Roman" w:hAnsi="Arial" w:cs="Arial"/>
          <w:color w:val="0070C0"/>
          <w:sz w:val="24"/>
          <w:szCs w:val="24"/>
        </w:rPr>
      </w:pPr>
    </w:p>
    <w:p w14:paraId="3576D6F1"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CPUC filed a leave to amalgamate on April 5, 2019, and sent copies to the parties to this application.</w:t>
      </w:r>
    </w:p>
    <w:p w14:paraId="2B209E9D" w14:textId="77777777" w:rsidR="00905FA3" w:rsidRDefault="00905FA3" w:rsidP="00905FA3">
      <w:pPr>
        <w:spacing w:after="0"/>
        <w:rPr>
          <w:rFonts w:ascii="Arial" w:eastAsia="Times New Roman" w:hAnsi="Arial" w:cs="Arial"/>
          <w:color w:val="0070C0"/>
          <w:sz w:val="24"/>
          <w:szCs w:val="24"/>
        </w:rPr>
      </w:pPr>
    </w:p>
    <w:p w14:paraId="1D71B651" w14:textId="77777777" w:rsidR="00905FA3" w:rsidRDefault="00905FA3" w:rsidP="00E2382A">
      <w:pPr>
        <w:pStyle w:val="ListParagraph"/>
        <w:numPr>
          <w:ilvl w:val="0"/>
          <w:numId w:val="28"/>
        </w:numPr>
        <w:spacing w:after="0"/>
        <w:rPr>
          <w:rFonts w:ascii="Arial" w:eastAsia="Times New Roman" w:hAnsi="Arial" w:cs="Arial"/>
          <w:color w:val="0070C0"/>
          <w:sz w:val="24"/>
          <w:szCs w:val="24"/>
        </w:rPr>
      </w:pPr>
      <w:r>
        <w:rPr>
          <w:rFonts w:ascii="Arial" w:eastAsia="Times New Roman" w:hAnsi="Arial" w:cs="Arial"/>
          <w:color w:val="0070C0"/>
          <w:sz w:val="24"/>
          <w:szCs w:val="24"/>
        </w:rPr>
        <w:t>No.</w:t>
      </w:r>
    </w:p>
    <w:p w14:paraId="2E6C0DA1" w14:textId="77777777" w:rsidR="00905FA3" w:rsidRDefault="00905FA3" w:rsidP="00905FA3">
      <w:pPr>
        <w:pStyle w:val="ListParagraph"/>
        <w:spacing w:after="0"/>
        <w:ind w:left="1080"/>
        <w:rPr>
          <w:rFonts w:ascii="Arial" w:hAnsi="Arial" w:cs="Arial"/>
          <w:strike/>
          <w:sz w:val="24"/>
          <w:szCs w:val="24"/>
          <w:highlight w:val="yellow"/>
        </w:rPr>
      </w:pPr>
      <w:r>
        <w:rPr>
          <w:rFonts w:ascii="Arial" w:hAnsi="Arial" w:cs="Arial"/>
          <w:strike/>
          <w:sz w:val="24"/>
          <w:szCs w:val="24"/>
          <w:highlight w:val="yellow"/>
        </w:rPr>
        <w:t xml:space="preserve"> </w:t>
      </w:r>
    </w:p>
    <w:p w14:paraId="0253A8EB" w14:textId="77777777" w:rsidR="00905FA3" w:rsidRDefault="00905FA3" w:rsidP="00905FA3">
      <w:pPr>
        <w:rPr>
          <w:rFonts w:ascii="Arial" w:eastAsiaTheme="majorEastAsia" w:hAnsi="Arial" w:cstheme="majorBidi"/>
          <w:b/>
          <w:sz w:val="28"/>
          <w:szCs w:val="26"/>
          <w:lang w:val="en-US"/>
        </w:rPr>
      </w:pPr>
      <w:r>
        <w:br w:type="page"/>
      </w:r>
    </w:p>
    <w:p w14:paraId="5E83E12A" w14:textId="29022068" w:rsidR="00905FA3" w:rsidRDefault="00905FA3" w:rsidP="00905FA3">
      <w:pPr>
        <w:pStyle w:val="Heading2"/>
        <w:numPr>
          <w:ilvl w:val="0"/>
          <w:numId w:val="0"/>
        </w:numPr>
      </w:pPr>
      <w:r>
        <w:lastRenderedPageBreak/>
        <w:t xml:space="preserve">4-Staff-56 </w:t>
      </w:r>
    </w:p>
    <w:p w14:paraId="0461DF08" w14:textId="77777777" w:rsidR="00905FA3" w:rsidRDefault="00905FA3" w:rsidP="00905FA3">
      <w:pPr>
        <w:spacing w:after="0"/>
        <w:rPr>
          <w:rFonts w:ascii="Arial" w:hAnsi="Arial" w:cs="Arial"/>
          <w:b/>
          <w:sz w:val="24"/>
          <w:szCs w:val="24"/>
        </w:rPr>
      </w:pPr>
    </w:p>
    <w:p w14:paraId="39B5E70F" w14:textId="77777777" w:rsidR="00905FA3" w:rsidRDefault="00905FA3" w:rsidP="00905FA3">
      <w:pPr>
        <w:autoSpaceDE w:val="0"/>
        <w:autoSpaceDN w:val="0"/>
        <w:adjustRightInd w:val="0"/>
        <w:spacing w:after="0"/>
        <w:rPr>
          <w:rFonts w:ascii="Arial" w:hAnsi="Arial" w:cs="Arial"/>
          <w:sz w:val="24"/>
          <w:szCs w:val="24"/>
        </w:rPr>
      </w:pPr>
      <w:r>
        <w:rPr>
          <w:rFonts w:ascii="Arial" w:hAnsi="Arial" w:cs="Arial"/>
          <w:sz w:val="24"/>
          <w:szCs w:val="24"/>
        </w:rPr>
        <w:t xml:space="preserve">Ref: </w:t>
      </w:r>
      <w:r>
        <w:rPr>
          <w:rFonts w:ascii="Arial" w:hAnsi="Arial" w:cs="Arial"/>
          <w:sz w:val="24"/>
          <w:szCs w:val="24"/>
        </w:rPr>
        <w:tab/>
        <w:t>Exhibit 1, page 9</w:t>
      </w:r>
    </w:p>
    <w:p w14:paraId="126E0A49" w14:textId="77777777" w:rsidR="00905FA3" w:rsidRDefault="00905FA3" w:rsidP="00905FA3">
      <w:pPr>
        <w:autoSpaceDE w:val="0"/>
        <w:autoSpaceDN w:val="0"/>
        <w:adjustRightInd w:val="0"/>
        <w:spacing w:after="0"/>
        <w:rPr>
          <w:rFonts w:ascii="Arial" w:hAnsi="Arial" w:cs="Arial"/>
          <w:sz w:val="24"/>
          <w:szCs w:val="24"/>
        </w:rPr>
      </w:pPr>
      <w:r>
        <w:rPr>
          <w:rFonts w:ascii="Arial" w:hAnsi="Arial" w:cs="Arial"/>
          <w:sz w:val="24"/>
          <w:szCs w:val="24"/>
        </w:rPr>
        <w:tab/>
        <w:t>Exhibit 4, page 7</w:t>
      </w:r>
    </w:p>
    <w:p w14:paraId="228D5236" w14:textId="77777777" w:rsidR="00905FA3" w:rsidRDefault="00905FA3" w:rsidP="00905FA3">
      <w:pPr>
        <w:autoSpaceDE w:val="0"/>
        <w:autoSpaceDN w:val="0"/>
        <w:adjustRightInd w:val="0"/>
        <w:spacing w:after="0"/>
        <w:rPr>
          <w:rFonts w:ascii="Arial" w:hAnsi="Arial" w:cs="Arial"/>
          <w:b/>
          <w:sz w:val="24"/>
          <w:szCs w:val="24"/>
        </w:rPr>
      </w:pPr>
    </w:p>
    <w:p w14:paraId="2297A43B" w14:textId="77777777" w:rsidR="00905FA3" w:rsidRDefault="00905FA3" w:rsidP="00905FA3">
      <w:pPr>
        <w:autoSpaceDE w:val="0"/>
        <w:autoSpaceDN w:val="0"/>
        <w:adjustRightInd w:val="0"/>
        <w:spacing w:after="0"/>
        <w:rPr>
          <w:rFonts w:ascii="Arial" w:hAnsi="Arial" w:cs="Arial"/>
          <w:b/>
          <w:sz w:val="24"/>
          <w:szCs w:val="24"/>
        </w:rPr>
      </w:pPr>
      <w:r>
        <w:rPr>
          <w:rFonts w:ascii="Arial" w:hAnsi="Arial" w:cs="Arial"/>
          <w:b/>
          <w:sz w:val="24"/>
          <w:szCs w:val="24"/>
        </w:rPr>
        <w:t>Preamble:</w:t>
      </w:r>
    </w:p>
    <w:p w14:paraId="2E843145" w14:textId="77777777" w:rsidR="00905FA3" w:rsidRDefault="00905FA3" w:rsidP="00905FA3">
      <w:pPr>
        <w:autoSpaceDE w:val="0"/>
        <w:autoSpaceDN w:val="0"/>
        <w:adjustRightInd w:val="0"/>
        <w:spacing w:after="0"/>
        <w:rPr>
          <w:rFonts w:ascii="Arial" w:hAnsi="Arial" w:cs="Arial"/>
          <w:sz w:val="24"/>
          <w:szCs w:val="24"/>
        </w:rPr>
      </w:pPr>
    </w:p>
    <w:p w14:paraId="2062E2A2" w14:textId="77777777" w:rsidR="00905FA3" w:rsidRDefault="00905FA3" w:rsidP="00905FA3">
      <w:pPr>
        <w:autoSpaceDE w:val="0"/>
        <w:autoSpaceDN w:val="0"/>
        <w:adjustRightInd w:val="0"/>
        <w:spacing w:after="0"/>
        <w:rPr>
          <w:rFonts w:ascii="Arial" w:hAnsi="Arial" w:cs="Arial"/>
          <w:sz w:val="24"/>
          <w:szCs w:val="24"/>
        </w:rPr>
      </w:pPr>
      <w:r>
        <w:rPr>
          <w:rFonts w:ascii="Arial" w:hAnsi="Arial" w:cs="Arial"/>
          <w:sz w:val="24"/>
          <w:szCs w:val="24"/>
        </w:rPr>
        <w:t>OEB staff notes that CPUC stated the following regarding the rationale for the merger / organization change with CES.</w:t>
      </w:r>
    </w:p>
    <w:p w14:paraId="0C9D2E08" w14:textId="77777777" w:rsidR="00905FA3" w:rsidRDefault="00905FA3" w:rsidP="00905FA3">
      <w:pPr>
        <w:pStyle w:val="ListParagraph"/>
        <w:spacing w:after="0"/>
        <w:rPr>
          <w:rFonts w:ascii="Arial" w:hAnsi="Arial" w:cs="Arial"/>
          <w:sz w:val="24"/>
          <w:szCs w:val="24"/>
        </w:rPr>
      </w:pPr>
    </w:p>
    <w:p w14:paraId="04FB9FD5" w14:textId="77777777" w:rsidR="00905FA3" w:rsidRDefault="00905FA3" w:rsidP="00905FA3">
      <w:pPr>
        <w:autoSpaceDE w:val="0"/>
        <w:autoSpaceDN w:val="0"/>
        <w:adjustRightInd w:val="0"/>
        <w:spacing w:after="0"/>
        <w:rPr>
          <w:rFonts w:ascii="Arial" w:hAnsi="Arial" w:cs="Arial"/>
          <w:sz w:val="24"/>
          <w:szCs w:val="24"/>
        </w:rPr>
      </w:pPr>
      <w:r>
        <w:rPr>
          <w:rFonts w:ascii="Arial" w:hAnsi="Arial" w:cs="Arial"/>
          <w:sz w:val="24"/>
          <w:szCs w:val="24"/>
        </w:rPr>
        <w:t>At the first noted reference, CPUC stated:</w:t>
      </w:r>
    </w:p>
    <w:p w14:paraId="442F6753" w14:textId="77777777" w:rsidR="00905FA3" w:rsidRDefault="00905FA3" w:rsidP="00905FA3">
      <w:pPr>
        <w:autoSpaceDE w:val="0"/>
        <w:autoSpaceDN w:val="0"/>
        <w:adjustRightInd w:val="0"/>
        <w:spacing w:after="0"/>
        <w:ind w:left="720"/>
        <w:rPr>
          <w:rFonts w:ascii="Arial" w:hAnsi="Arial" w:cs="Arial"/>
          <w:sz w:val="24"/>
          <w:szCs w:val="24"/>
        </w:rPr>
      </w:pPr>
    </w:p>
    <w:p w14:paraId="699BB6CA" w14:textId="77777777" w:rsidR="00905FA3" w:rsidRDefault="00905FA3" w:rsidP="00905FA3">
      <w:pPr>
        <w:autoSpaceDE w:val="0"/>
        <w:autoSpaceDN w:val="0"/>
        <w:adjustRightInd w:val="0"/>
        <w:spacing w:after="0"/>
        <w:ind w:left="720"/>
        <w:rPr>
          <w:rFonts w:ascii="Arial" w:hAnsi="Arial" w:cs="Arial"/>
          <w:sz w:val="24"/>
          <w:szCs w:val="24"/>
        </w:rPr>
      </w:pPr>
      <w:r>
        <w:rPr>
          <w:rFonts w:ascii="Arial" w:hAnsi="Arial" w:cs="Arial"/>
          <w:sz w:val="24"/>
          <w:szCs w:val="24"/>
        </w:rPr>
        <w:t>As of January 1, 2018, the utility no longer operates as a “virtual” utility where employees were employed by Chapleau Energy Services and contracted out to Chapleau PUC. The merger was intended to reduce regulatory complexity and administrative burden and to make rate applications a less difficult process. The result is a company that can better control the costs associated with rates, and increased transparency.</w:t>
      </w:r>
    </w:p>
    <w:p w14:paraId="15C042D8" w14:textId="77777777" w:rsidR="00905FA3" w:rsidRDefault="00905FA3" w:rsidP="00905FA3">
      <w:pPr>
        <w:autoSpaceDE w:val="0"/>
        <w:autoSpaceDN w:val="0"/>
        <w:adjustRightInd w:val="0"/>
        <w:spacing w:after="0"/>
        <w:rPr>
          <w:rFonts w:ascii="Arial" w:hAnsi="Arial" w:cs="Arial"/>
          <w:sz w:val="24"/>
          <w:szCs w:val="24"/>
        </w:rPr>
      </w:pPr>
    </w:p>
    <w:p w14:paraId="0BD11BAF" w14:textId="77777777" w:rsidR="00905FA3" w:rsidRDefault="00905FA3" w:rsidP="00905FA3">
      <w:pPr>
        <w:autoSpaceDE w:val="0"/>
        <w:autoSpaceDN w:val="0"/>
        <w:adjustRightInd w:val="0"/>
        <w:spacing w:after="0"/>
        <w:rPr>
          <w:rFonts w:ascii="Arial" w:hAnsi="Arial" w:cs="Arial"/>
          <w:sz w:val="24"/>
          <w:szCs w:val="24"/>
        </w:rPr>
      </w:pPr>
      <w:r>
        <w:rPr>
          <w:rFonts w:ascii="Arial" w:hAnsi="Arial" w:cs="Arial"/>
          <w:sz w:val="24"/>
          <w:szCs w:val="24"/>
        </w:rPr>
        <w:t>At the second noted reference, CPUC stated:</w:t>
      </w:r>
    </w:p>
    <w:p w14:paraId="701FB96D" w14:textId="77777777" w:rsidR="00905FA3" w:rsidRDefault="00905FA3" w:rsidP="00905FA3">
      <w:pPr>
        <w:autoSpaceDE w:val="0"/>
        <w:autoSpaceDN w:val="0"/>
        <w:adjustRightInd w:val="0"/>
        <w:spacing w:after="0"/>
        <w:rPr>
          <w:rFonts w:ascii="Arial" w:hAnsi="Arial" w:cs="Arial"/>
          <w:sz w:val="24"/>
          <w:szCs w:val="24"/>
        </w:rPr>
      </w:pPr>
    </w:p>
    <w:p w14:paraId="0C1974ED" w14:textId="77777777" w:rsidR="00905FA3" w:rsidRDefault="00905FA3" w:rsidP="00905FA3">
      <w:pPr>
        <w:autoSpaceDE w:val="0"/>
        <w:autoSpaceDN w:val="0"/>
        <w:adjustRightInd w:val="0"/>
        <w:spacing w:after="0"/>
        <w:ind w:left="720"/>
        <w:rPr>
          <w:rFonts w:ascii="Arial" w:hAnsi="Arial" w:cs="Arial"/>
          <w:sz w:val="24"/>
          <w:szCs w:val="24"/>
        </w:rPr>
      </w:pPr>
      <w:r>
        <w:rPr>
          <w:rFonts w:ascii="Arial" w:hAnsi="Arial" w:cs="Arial"/>
          <w:sz w:val="24"/>
          <w:szCs w:val="24"/>
        </w:rPr>
        <w:t>The increase can be attributed to two major drivers that impacted both the utility’s overall costs. The first driver was the change in organizational structure from a virtual utility to a conventional utility which caused an increase in overall staffing costs. The methodology used to allocate corporate cost allocations was based on a one-way percentage which upon further analysis revealed that the utility had been benefiting from cost sharing opportunities with its affiliate at the detriment of the affiliate which ended up shutting its operations and doors on December 31, of 2017.</w:t>
      </w:r>
    </w:p>
    <w:p w14:paraId="47A751FC" w14:textId="77777777" w:rsidR="00905FA3" w:rsidRDefault="00905FA3" w:rsidP="00905FA3">
      <w:pPr>
        <w:autoSpaceDE w:val="0"/>
        <w:autoSpaceDN w:val="0"/>
        <w:adjustRightInd w:val="0"/>
        <w:spacing w:after="0"/>
        <w:rPr>
          <w:rFonts w:ascii="Arial" w:hAnsi="Arial" w:cs="Arial"/>
          <w:sz w:val="24"/>
          <w:szCs w:val="24"/>
        </w:rPr>
      </w:pPr>
    </w:p>
    <w:p w14:paraId="7900F8A0" w14:textId="77777777" w:rsidR="00905FA3" w:rsidRDefault="00905FA3" w:rsidP="00905FA3">
      <w:pPr>
        <w:autoSpaceDE w:val="0"/>
        <w:autoSpaceDN w:val="0"/>
        <w:adjustRightInd w:val="0"/>
        <w:spacing w:after="0"/>
        <w:rPr>
          <w:rFonts w:ascii="Arial" w:hAnsi="Arial" w:cs="Arial"/>
          <w:b/>
          <w:sz w:val="24"/>
          <w:szCs w:val="24"/>
        </w:rPr>
      </w:pPr>
      <w:r>
        <w:rPr>
          <w:rFonts w:ascii="Arial" w:hAnsi="Arial" w:cs="Arial"/>
          <w:b/>
          <w:sz w:val="24"/>
          <w:szCs w:val="24"/>
        </w:rPr>
        <w:t>Questions:</w:t>
      </w:r>
    </w:p>
    <w:p w14:paraId="354F084A" w14:textId="77777777" w:rsidR="00905FA3" w:rsidRDefault="00905FA3" w:rsidP="00905FA3">
      <w:pPr>
        <w:pStyle w:val="ListParagraph"/>
        <w:spacing w:after="0"/>
        <w:rPr>
          <w:rFonts w:ascii="Arial" w:hAnsi="Arial" w:cs="Arial"/>
          <w:sz w:val="24"/>
          <w:szCs w:val="24"/>
        </w:rPr>
      </w:pPr>
    </w:p>
    <w:p w14:paraId="33FDC398"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hAnsi="Arial" w:cs="Arial"/>
          <w:sz w:val="24"/>
          <w:szCs w:val="24"/>
        </w:rPr>
        <w:t xml:space="preserve">Please provide more detail regarding the rationale for the merger / organizational change. </w:t>
      </w:r>
    </w:p>
    <w:p w14:paraId="2945675A" w14:textId="77777777" w:rsidR="00905FA3" w:rsidRDefault="00905FA3" w:rsidP="00905FA3">
      <w:pPr>
        <w:pStyle w:val="ListParagraph"/>
        <w:spacing w:after="0"/>
        <w:ind w:left="360"/>
        <w:rPr>
          <w:rFonts w:ascii="Arial" w:hAnsi="Arial" w:cs="Arial"/>
          <w:sz w:val="24"/>
          <w:szCs w:val="24"/>
        </w:rPr>
      </w:pPr>
    </w:p>
    <w:p w14:paraId="669AA5F5"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hAnsi="Arial" w:cs="Arial"/>
          <w:sz w:val="24"/>
          <w:szCs w:val="24"/>
        </w:rPr>
        <w:t>Was it approved by CPUC’s board of directors and shareholder(s) ?</w:t>
      </w:r>
    </w:p>
    <w:p w14:paraId="55DDA608" w14:textId="77777777" w:rsidR="00905FA3" w:rsidRDefault="00905FA3" w:rsidP="00905FA3">
      <w:pPr>
        <w:pStyle w:val="ListParagraph"/>
        <w:spacing w:after="0"/>
        <w:rPr>
          <w:rFonts w:ascii="Arial" w:hAnsi="Arial" w:cs="Arial"/>
          <w:sz w:val="24"/>
          <w:szCs w:val="24"/>
        </w:rPr>
      </w:pPr>
    </w:p>
    <w:p w14:paraId="33376EAD"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hAnsi="Arial" w:cs="Arial"/>
          <w:sz w:val="24"/>
          <w:szCs w:val="24"/>
        </w:rPr>
        <w:t>Are there any other approvals necessary for the transaction and were they obtained?</w:t>
      </w:r>
    </w:p>
    <w:p w14:paraId="709DC0A8" w14:textId="77777777" w:rsidR="00905FA3" w:rsidRDefault="00905FA3" w:rsidP="00905FA3">
      <w:pPr>
        <w:pStyle w:val="ListParagraph"/>
        <w:spacing w:after="0"/>
        <w:rPr>
          <w:rFonts w:ascii="Arial" w:hAnsi="Arial" w:cs="Arial"/>
          <w:sz w:val="24"/>
          <w:szCs w:val="24"/>
        </w:rPr>
      </w:pPr>
    </w:p>
    <w:p w14:paraId="6EF4D6C1"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hAnsi="Arial" w:cs="Arial"/>
          <w:sz w:val="24"/>
          <w:szCs w:val="24"/>
        </w:rPr>
        <w:lastRenderedPageBreak/>
        <w:t xml:space="preserve">If so, please provide documents to indicate approval(s) was / were obtained.  </w:t>
      </w:r>
    </w:p>
    <w:p w14:paraId="41DF8F57" w14:textId="77777777" w:rsidR="00905FA3" w:rsidRDefault="00905FA3" w:rsidP="00905FA3">
      <w:pPr>
        <w:pStyle w:val="ListParagraph"/>
        <w:spacing w:after="0"/>
        <w:rPr>
          <w:rFonts w:ascii="Arial" w:hAnsi="Arial" w:cs="Arial"/>
          <w:sz w:val="24"/>
          <w:szCs w:val="24"/>
        </w:rPr>
      </w:pPr>
    </w:p>
    <w:p w14:paraId="388AE5BB"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hAnsi="Arial" w:cs="Arial"/>
          <w:sz w:val="24"/>
          <w:szCs w:val="24"/>
        </w:rPr>
        <w:t xml:space="preserve">Please describe the steps that were undertaken when CPUC ceased operating as a virtual utility as of January 1, 2018. Please also quantify these steps (e.g. transfer of assets, employees, etc. from CES to CPUC), including any impacts on the 2019 proposed revenue requirement. </w:t>
      </w:r>
    </w:p>
    <w:p w14:paraId="439C0AB4" w14:textId="77777777" w:rsidR="00905FA3" w:rsidRDefault="00905FA3" w:rsidP="00905FA3">
      <w:pPr>
        <w:pStyle w:val="ListParagraph"/>
        <w:spacing w:after="0"/>
        <w:rPr>
          <w:rFonts w:ascii="Arial" w:eastAsia="Times New Roman" w:hAnsi="Arial" w:cs="Arial"/>
          <w:sz w:val="24"/>
          <w:szCs w:val="24"/>
        </w:rPr>
      </w:pPr>
    </w:p>
    <w:p w14:paraId="54537813"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eastAsia="Times New Roman" w:hAnsi="Arial" w:cs="Arial"/>
          <w:sz w:val="24"/>
          <w:szCs w:val="24"/>
        </w:rPr>
        <w:t>Please describe in more detail how CPUC can better control its costs associated with rates and provide increased transparency, as a result of ceasing to operate as virtual utility.</w:t>
      </w:r>
    </w:p>
    <w:p w14:paraId="21326531" w14:textId="77777777" w:rsidR="00905FA3" w:rsidRDefault="00905FA3" w:rsidP="00905FA3">
      <w:pPr>
        <w:pStyle w:val="ListParagraph"/>
        <w:spacing w:after="0"/>
        <w:rPr>
          <w:rFonts w:ascii="Arial" w:eastAsia="Times New Roman" w:hAnsi="Arial" w:cs="Arial"/>
          <w:sz w:val="24"/>
          <w:szCs w:val="24"/>
        </w:rPr>
      </w:pPr>
    </w:p>
    <w:p w14:paraId="2560DF0C"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eastAsia="Times New Roman" w:hAnsi="Arial" w:cs="Arial"/>
          <w:sz w:val="24"/>
          <w:szCs w:val="24"/>
        </w:rPr>
        <w:t>Please describe how the change in organizational structure from a virtual utility to a conventional utility caused an increase in overall staffing costs, in particular when it is OEB staff’s understanding that no additional services are being provided by CPUC since it ceased operating as a virtual utility. If this is not the case, please explain.</w:t>
      </w:r>
    </w:p>
    <w:p w14:paraId="10598576" w14:textId="77777777" w:rsidR="00905FA3" w:rsidRDefault="00905FA3" w:rsidP="00905FA3">
      <w:pPr>
        <w:pStyle w:val="ListParagraph"/>
        <w:spacing w:after="0"/>
        <w:rPr>
          <w:rFonts w:ascii="Arial" w:eastAsia="Times New Roman" w:hAnsi="Arial" w:cs="Arial"/>
          <w:sz w:val="24"/>
          <w:szCs w:val="24"/>
        </w:rPr>
      </w:pPr>
    </w:p>
    <w:p w14:paraId="5561B8E3"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eastAsia="Times New Roman" w:hAnsi="Arial" w:cs="Arial"/>
          <w:sz w:val="24"/>
          <w:szCs w:val="24"/>
        </w:rPr>
        <w:t>Were any other costs other than staffing costs increased when CPUC changed from a virtual utility to a conventional utility? Please quantify and explain.</w:t>
      </w:r>
    </w:p>
    <w:p w14:paraId="20FEBF13" w14:textId="77777777" w:rsidR="00905FA3" w:rsidRDefault="00905FA3" w:rsidP="00905FA3">
      <w:pPr>
        <w:pStyle w:val="ListParagraph"/>
        <w:spacing w:after="0"/>
        <w:rPr>
          <w:rFonts w:ascii="Arial" w:eastAsia="Times New Roman" w:hAnsi="Arial" w:cs="Arial"/>
          <w:sz w:val="24"/>
          <w:szCs w:val="24"/>
        </w:rPr>
      </w:pPr>
    </w:p>
    <w:p w14:paraId="67F4F0E0" w14:textId="77777777" w:rsidR="00905FA3" w:rsidRDefault="00905FA3" w:rsidP="00E2382A">
      <w:pPr>
        <w:pStyle w:val="ListParagraph"/>
        <w:numPr>
          <w:ilvl w:val="0"/>
          <w:numId w:val="29"/>
        </w:numPr>
        <w:spacing w:after="0"/>
        <w:ind w:left="360"/>
        <w:rPr>
          <w:rFonts w:ascii="Arial" w:hAnsi="Arial" w:cs="Arial"/>
          <w:sz w:val="24"/>
          <w:szCs w:val="24"/>
        </w:rPr>
      </w:pPr>
      <w:r>
        <w:rPr>
          <w:rFonts w:ascii="Arial" w:eastAsia="Times New Roman" w:hAnsi="Arial" w:cs="Arial"/>
          <w:sz w:val="24"/>
          <w:szCs w:val="24"/>
        </w:rPr>
        <w:t>Please describe CPUC’s reference to a “one-way percentage” of corporate cost allocations between CES and CPUC.</w:t>
      </w:r>
    </w:p>
    <w:p w14:paraId="3AC9AB53" w14:textId="77777777" w:rsidR="00905FA3" w:rsidRDefault="00905FA3" w:rsidP="00905FA3">
      <w:pPr>
        <w:pStyle w:val="ListParagraph"/>
        <w:spacing w:after="0"/>
        <w:rPr>
          <w:rFonts w:ascii="Arial" w:eastAsia="Times New Roman" w:hAnsi="Arial" w:cs="Arial"/>
          <w:sz w:val="24"/>
          <w:szCs w:val="24"/>
        </w:rPr>
      </w:pPr>
    </w:p>
    <w:p w14:paraId="65BE62D8" w14:textId="77777777" w:rsidR="00905FA3" w:rsidRDefault="00905FA3" w:rsidP="00905FA3">
      <w:pPr>
        <w:pStyle w:val="ListParagraph"/>
        <w:spacing w:after="0"/>
        <w:rPr>
          <w:rFonts w:ascii="Arial" w:hAnsi="Arial" w:cs="Arial"/>
          <w:sz w:val="24"/>
          <w:szCs w:val="24"/>
        </w:rPr>
      </w:pPr>
    </w:p>
    <w:p w14:paraId="53E2F48D" w14:textId="77777777" w:rsidR="00905FA3" w:rsidRDefault="00905FA3" w:rsidP="00905FA3">
      <w:p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Responses: </w:t>
      </w:r>
    </w:p>
    <w:p w14:paraId="44CC9745" w14:textId="77777777" w:rsidR="00905FA3" w:rsidRDefault="00905FA3" w:rsidP="00905FA3">
      <w:pPr>
        <w:spacing w:after="0"/>
        <w:rPr>
          <w:rFonts w:ascii="Arial" w:eastAsia="Times New Roman" w:hAnsi="Arial" w:cs="Arial"/>
          <w:color w:val="0070C0"/>
          <w:sz w:val="24"/>
          <w:szCs w:val="24"/>
        </w:rPr>
      </w:pPr>
    </w:p>
    <w:p w14:paraId="77D407EE" w14:textId="77777777" w:rsidR="00905FA3" w:rsidRDefault="00905FA3" w:rsidP="00E2382A">
      <w:pPr>
        <w:pStyle w:val="ListParagraph"/>
        <w:numPr>
          <w:ilvl w:val="0"/>
          <w:numId w:val="30"/>
        </w:numPr>
        <w:tabs>
          <w:tab w:val="left" w:pos="931"/>
        </w:tabs>
        <w:rPr>
          <w:rFonts w:ascii="Arial" w:hAnsi="Arial" w:cs="Arial"/>
          <w:color w:val="0070C0"/>
          <w:sz w:val="24"/>
        </w:rPr>
      </w:pPr>
      <w:r>
        <w:rPr>
          <w:rFonts w:ascii="Arial" w:hAnsi="Arial" w:cs="Arial"/>
          <w:color w:val="0070C0"/>
          <w:sz w:val="24"/>
        </w:rPr>
        <w:t>As a result of the cessation of operations of CESC CPUC needed to find an alternative way to obtain the services it required to maintain and operate its distribution system.  Because CESC was an affiliate of CPUC, wholly owned by the same municipal shareholder that wholly owns CPUC, the simplest options for CPUC to obtain the necessary resources in order to continue to maintain and run its system were to either a) transfer the assets of CESC to CPUC, or b) amalgamate with CESC, with the effect that the assets of CESC and CPUC would be held together within Amalco.  In either case the net result would be the effective transfer of the assets that CPUC required to maintain and run its distribution system.  CPUC’s shareholder ultimately decided to effect the transfer through an amalgamation.</w:t>
      </w:r>
    </w:p>
    <w:p w14:paraId="1C413BCF" w14:textId="77777777" w:rsidR="00905FA3" w:rsidRDefault="00905FA3" w:rsidP="00905FA3">
      <w:pPr>
        <w:pStyle w:val="ListParagraph"/>
        <w:tabs>
          <w:tab w:val="left" w:pos="931"/>
        </w:tabs>
        <w:ind w:left="938"/>
        <w:rPr>
          <w:rFonts w:ascii="Arial" w:hAnsi="Arial" w:cs="Arial"/>
          <w:color w:val="0070C0"/>
          <w:sz w:val="24"/>
        </w:rPr>
      </w:pPr>
    </w:p>
    <w:p w14:paraId="0DA041E7" w14:textId="77777777" w:rsidR="00905FA3" w:rsidRDefault="00905FA3" w:rsidP="00E2382A">
      <w:pPr>
        <w:pStyle w:val="ListParagraph"/>
        <w:numPr>
          <w:ilvl w:val="0"/>
          <w:numId w:val="30"/>
        </w:numPr>
        <w:tabs>
          <w:tab w:val="left" w:pos="931"/>
        </w:tabs>
        <w:rPr>
          <w:rFonts w:ascii="Arial" w:hAnsi="Arial" w:cs="Arial"/>
          <w:color w:val="0070C0"/>
          <w:sz w:val="24"/>
        </w:rPr>
      </w:pPr>
      <w:r>
        <w:rPr>
          <w:rFonts w:ascii="Arial" w:hAnsi="Arial" w:cs="Arial"/>
          <w:color w:val="0070C0"/>
          <w:sz w:val="24"/>
        </w:rPr>
        <w:t>Yes.</w:t>
      </w:r>
    </w:p>
    <w:p w14:paraId="580CFC41" w14:textId="77777777" w:rsidR="00905FA3" w:rsidRDefault="00905FA3" w:rsidP="00905FA3">
      <w:pPr>
        <w:pStyle w:val="ListParagraph"/>
        <w:tabs>
          <w:tab w:val="left" w:pos="931"/>
        </w:tabs>
        <w:rPr>
          <w:rFonts w:ascii="Arial" w:hAnsi="Arial" w:cs="Arial"/>
          <w:color w:val="0070C0"/>
          <w:sz w:val="24"/>
        </w:rPr>
      </w:pPr>
    </w:p>
    <w:p w14:paraId="05363271" w14:textId="77777777" w:rsidR="00905FA3" w:rsidRDefault="00905FA3" w:rsidP="00E2382A">
      <w:pPr>
        <w:pStyle w:val="ListParagraph"/>
        <w:numPr>
          <w:ilvl w:val="0"/>
          <w:numId w:val="30"/>
        </w:numPr>
        <w:tabs>
          <w:tab w:val="left" w:pos="931"/>
        </w:tabs>
        <w:rPr>
          <w:rFonts w:ascii="Arial" w:hAnsi="Arial" w:cs="Arial"/>
          <w:color w:val="0070C0"/>
          <w:sz w:val="24"/>
        </w:rPr>
      </w:pPr>
      <w:r>
        <w:rPr>
          <w:rFonts w:ascii="Arial" w:hAnsi="Arial" w:cs="Arial"/>
          <w:color w:val="0070C0"/>
          <w:sz w:val="24"/>
        </w:rPr>
        <w:lastRenderedPageBreak/>
        <w:t xml:space="preserve">In order to amalgamate with CESC CPUC requires leave of the OEB under s. 86 (1) (c) of the OEB Act; as recognized in 4-Staff-55 CPUC did not apply for leave to amalgamate until April 5, 2019 as a result of inadvertence. </w:t>
      </w:r>
    </w:p>
    <w:p w14:paraId="0B39D0F3" w14:textId="77777777" w:rsidR="00905FA3" w:rsidRDefault="00905FA3" w:rsidP="00905FA3">
      <w:pPr>
        <w:pStyle w:val="ListParagraph"/>
        <w:rPr>
          <w:rFonts w:ascii="Arial" w:hAnsi="Arial" w:cs="Arial"/>
          <w:color w:val="0070C0"/>
          <w:sz w:val="24"/>
        </w:rPr>
      </w:pPr>
    </w:p>
    <w:p w14:paraId="4411C116" w14:textId="77777777" w:rsidR="00905FA3" w:rsidRDefault="00905FA3" w:rsidP="00E2382A">
      <w:pPr>
        <w:pStyle w:val="ListParagraph"/>
        <w:numPr>
          <w:ilvl w:val="0"/>
          <w:numId w:val="30"/>
        </w:numPr>
        <w:tabs>
          <w:tab w:val="left" w:pos="931"/>
        </w:tabs>
        <w:rPr>
          <w:rFonts w:ascii="Arial" w:hAnsi="Arial" w:cs="Arial"/>
          <w:color w:val="0070C0"/>
          <w:sz w:val="24"/>
        </w:rPr>
      </w:pPr>
      <w:r>
        <w:rPr>
          <w:rFonts w:ascii="Arial" w:hAnsi="Arial" w:cs="Arial"/>
          <w:color w:val="0070C0"/>
          <w:sz w:val="24"/>
        </w:rPr>
        <w:t>N/A.</w:t>
      </w:r>
    </w:p>
    <w:p w14:paraId="7829356A" w14:textId="77777777" w:rsidR="00905FA3" w:rsidRDefault="00905FA3" w:rsidP="00905FA3">
      <w:pPr>
        <w:pStyle w:val="ListParagraph"/>
        <w:rPr>
          <w:rFonts w:ascii="Arial" w:hAnsi="Arial" w:cs="Arial"/>
          <w:color w:val="0070C0"/>
          <w:sz w:val="24"/>
        </w:rPr>
      </w:pPr>
    </w:p>
    <w:p w14:paraId="5FF32E33" w14:textId="77777777" w:rsidR="00905FA3" w:rsidRDefault="00905FA3" w:rsidP="00E2382A">
      <w:pPr>
        <w:pStyle w:val="ListParagraph"/>
        <w:numPr>
          <w:ilvl w:val="0"/>
          <w:numId w:val="30"/>
        </w:numPr>
        <w:spacing w:after="0"/>
        <w:rPr>
          <w:rFonts w:ascii="Arial" w:eastAsia="Times New Roman" w:hAnsi="Arial" w:cs="Arial"/>
          <w:color w:val="0070C0"/>
          <w:sz w:val="24"/>
          <w:szCs w:val="24"/>
        </w:rPr>
      </w:pPr>
      <w:r>
        <w:rPr>
          <w:rFonts w:ascii="Arial" w:eastAsia="Times New Roman" w:hAnsi="Arial" w:cs="Arial"/>
          <w:color w:val="0070C0"/>
          <w:sz w:val="24"/>
          <w:szCs w:val="24"/>
        </w:rPr>
        <w:t>Please see the Section 86 Application filed on April 5, 2019 for the requested details.</w:t>
      </w:r>
    </w:p>
    <w:p w14:paraId="0F403CC3" w14:textId="77777777" w:rsidR="00905FA3" w:rsidRDefault="00905FA3" w:rsidP="00905FA3">
      <w:pPr>
        <w:pStyle w:val="ListParagraph"/>
        <w:rPr>
          <w:rFonts w:ascii="Arial" w:eastAsia="Times New Roman" w:hAnsi="Arial" w:cs="Arial"/>
          <w:color w:val="0070C0"/>
          <w:sz w:val="24"/>
          <w:szCs w:val="24"/>
        </w:rPr>
      </w:pPr>
    </w:p>
    <w:p w14:paraId="2E67BD56" w14:textId="77777777" w:rsidR="00905FA3" w:rsidRDefault="00905FA3" w:rsidP="00E2382A">
      <w:pPr>
        <w:pStyle w:val="ListParagraph"/>
        <w:numPr>
          <w:ilvl w:val="0"/>
          <w:numId w:val="30"/>
        </w:numPr>
        <w:spacing w:after="0"/>
        <w:rPr>
          <w:rFonts w:ascii="Arial" w:eastAsia="Times New Roman" w:hAnsi="Arial" w:cs="Arial"/>
          <w:color w:val="0070C0"/>
          <w:sz w:val="24"/>
          <w:szCs w:val="24"/>
        </w:rPr>
      </w:pPr>
      <w:r>
        <w:rPr>
          <w:rFonts w:ascii="Arial" w:eastAsia="Times New Roman" w:hAnsi="Arial" w:cs="Arial"/>
          <w:color w:val="0070C0"/>
          <w:sz w:val="24"/>
          <w:szCs w:val="24"/>
        </w:rPr>
        <w:t>As a result of the amalgamation all costs to operate the distribution system are now directly borne by CPUC instead of being allocated to CPUC by an affiliate.</w:t>
      </w:r>
    </w:p>
    <w:p w14:paraId="5CD7646E" w14:textId="77777777" w:rsidR="00905FA3" w:rsidRDefault="00905FA3" w:rsidP="00905FA3">
      <w:pPr>
        <w:pStyle w:val="ListParagraph"/>
        <w:rPr>
          <w:rFonts w:ascii="Arial" w:eastAsia="Times New Roman" w:hAnsi="Arial" w:cs="Arial"/>
          <w:color w:val="0070C0"/>
          <w:sz w:val="24"/>
          <w:szCs w:val="24"/>
        </w:rPr>
      </w:pPr>
    </w:p>
    <w:p w14:paraId="4E34C825" w14:textId="77777777" w:rsidR="00905FA3" w:rsidRDefault="00905FA3" w:rsidP="00E2382A">
      <w:pPr>
        <w:pStyle w:val="ListParagraph"/>
        <w:numPr>
          <w:ilvl w:val="0"/>
          <w:numId w:val="30"/>
        </w:numPr>
        <w:spacing w:after="0"/>
        <w:rPr>
          <w:rFonts w:ascii="Arial" w:eastAsia="Times New Roman" w:hAnsi="Arial" w:cs="Arial"/>
          <w:color w:val="0070C0"/>
          <w:sz w:val="24"/>
          <w:szCs w:val="24"/>
        </w:rPr>
      </w:pPr>
      <w:r>
        <w:rPr>
          <w:rFonts w:ascii="Arial" w:eastAsia="Times New Roman" w:hAnsi="Arial" w:cs="Arial"/>
          <w:color w:val="0070C0"/>
          <w:sz w:val="24"/>
          <w:szCs w:val="24"/>
        </w:rPr>
        <w:t>See IRR 4-Staff-54.</w:t>
      </w:r>
    </w:p>
    <w:p w14:paraId="59EF1AC4" w14:textId="77777777" w:rsidR="00905FA3" w:rsidRDefault="00905FA3" w:rsidP="00905FA3">
      <w:pPr>
        <w:spacing w:after="0"/>
        <w:rPr>
          <w:rFonts w:ascii="Arial" w:eastAsia="Times New Roman" w:hAnsi="Arial" w:cs="Arial"/>
          <w:color w:val="0070C0"/>
          <w:sz w:val="24"/>
          <w:szCs w:val="24"/>
        </w:rPr>
      </w:pPr>
    </w:p>
    <w:p w14:paraId="44E2BD8D" w14:textId="77777777" w:rsidR="00905FA3" w:rsidRDefault="00905FA3" w:rsidP="00E2382A">
      <w:pPr>
        <w:pStyle w:val="ListParagraph"/>
        <w:numPr>
          <w:ilvl w:val="0"/>
          <w:numId w:val="30"/>
        </w:numPr>
        <w:spacing w:after="0"/>
        <w:rPr>
          <w:rFonts w:ascii="Arial" w:eastAsia="Times New Roman" w:hAnsi="Arial" w:cs="Arial"/>
          <w:color w:val="0070C0"/>
          <w:sz w:val="24"/>
          <w:szCs w:val="24"/>
        </w:rPr>
      </w:pPr>
      <w:r>
        <w:rPr>
          <w:rFonts w:ascii="Arial" w:eastAsia="Times New Roman" w:hAnsi="Arial" w:cs="Arial"/>
          <w:color w:val="0070C0"/>
          <w:sz w:val="24"/>
          <w:szCs w:val="24"/>
        </w:rPr>
        <w:t>See IRR 4-Staff-54.</w:t>
      </w:r>
    </w:p>
    <w:p w14:paraId="498E96B9" w14:textId="77777777" w:rsidR="00905FA3" w:rsidRDefault="00905FA3" w:rsidP="00905FA3">
      <w:pPr>
        <w:spacing w:after="0"/>
        <w:rPr>
          <w:rFonts w:ascii="Arial" w:eastAsia="Times New Roman" w:hAnsi="Arial" w:cs="Arial"/>
          <w:color w:val="0070C0"/>
          <w:sz w:val="24"/>
          <w:szCs w:val="24"/>
        </w:rPr>
      </w:pPr>
    </w:p>
    <w:p w14:paraId="7E392280" w14:textId="77777777" w:rsidR="00905FA3" w:rsidRDefault="00905FA3" w:rsidP="00E2382A">
      <w:pPr>
        <w:pStyle w:val="ListParagraph"/>
        <w:numPr>
          <w:ilvl w:val="0"/>
          <w:numId w:val="30"/>
        </w:numPr>
        <w:tabs>
          <w:tab w:val="left" w:pos="931"/>
        </w:tabs>
        <w:rPr>
          <w:rFonts w:ascii="Arial" w:hAnsi="Arial" w:cs="Arial"/>
          <w:color w:val="0070C0"/>
          <w:sz w:val="24"/>
        </w:rPr>
      </w:pPr>
      <w:r>
        <w:rPr>
          <w:rFonts w:ascii="Arial" w:hAnsi="Arial" w:cs="Arial"/>
          <w:color w:val="0070C0"/>
          <w:sz w:val="24"/>
        </w:rPr>
        <w:t>The term “one way percentage” refers to the fact that CPUC never allocated costs to CESC; the allocations were always from CESC to CPUC.</w:t>
      </w:r>
    </w:p>
    <w:p w14:paraId="70ED8CE5" w14:textId="77777777" w:rsidR="00905FA3" w:rsidRDefault="00905FA3" w:rsidP="00905FA3">
      <w:pPr>
        <w:pStyle w:val="ListParagraph"/>
        <w:tabs>
          <w:tab w:val="left" w:pos="931"/>
        </w:tabs>
        <w:ind w:left="938"/>
        <w:rPr>
          <w:rFonts w:ascii="Arial" w:hAnsi="Arial" w:cs="Arial"/>
          <w:color w:val="0070C0"/>
          <w:sz w:val="24"/>
        </w:rPr>
      </w:pPr>
    </w:p>
    <w:p w14:paraId="64432BE5" w14:textId="77777777" w:rsidR="00905FA3" w:rsidRDefault="00905FA3" w:rsidP="00905FA3">
      <w:pPr>
        <w:rPr>
          <w:rFonts w:ascii="Arial" w:eastAsiaTheme="majorEastAsia" w:hAnsi="Arial" w:cstheme="majorBidi"/>
          <w:b/>
          <w:sz w:val="28"/>
          <w:szCs w:val="26"/>
          <w:lang w:val="en-US"/>
        </w:rPr>
      </w:pPr>
      <w:r>
        <w:br w:type="page"/>
      </w:r>
    </w:p>
    <w:p w14:paraId="7FF7D005" w14:textId="6F90C3A2" w:rsidR="00905FA3" w:rsidRDefault="00905FA3" w:rsidP="00905FA3">
      <w:pPr>
        <w:pStyle w:val="Heading2"/>
        <w:numPr>
          <w:ilvl w:val="0"/>
          <w:numId w:val="0"/>
        </w:numPr>
      </w:pPr>
      <w:r>
        <w:lastRenderedPageBreak/>
        <w:t xml:space="preserve">4-Staff-57 </w:t>
      </w:r>
    </w:p>
    <w:p w14:paraId="60F45C3B" w14:textId="77777777" w:rsidR="00905FA3" w:rsidRDefault="00905FA3" w:rsidP="00905FA3">
      <w:pPr>
        <w:spacing w:after="0"/>
        <w:rPr>
          <w:rFonts w:ascii="Arial" w:hAnsi="Arial" w:cs="Arial"/>
          <w:b/>
          <w:sz w:val="24"/>
          <w:szCs w:val="24"/>
        </w:rPr>
      </w:pPr>
    </w:p>
    <w:p w14:paraId="19832C90" w14:textId="77777777" w:rsidR="00905FA3" w:rsidRDefault="00905FA3" w:rsidP="00905FA3">
      <w:pPr>
        <w:spacing w:after="0"/>
        <w:rPr>
          <w:rFonts w:ascii="Arial" w:hAnsi="Arial" w:cs="Arial"/>
          <w:sz w:val="24"/>
          <w:szCs w:val="24"/>
        </w:rPr>
      </w:pPr>
      <w:r>
        <w:rPr>
          <w:rFonts w:ascii="Arial" w:hAnsi="Arial" w:cs="Arial"/>
          <w:sz w:val="24"/>
          <w:szCs w:val="24"/>
        </w:rPr>
        <w:t>Ref:</w:t>
      </w:r>
      <w:r>
        <w:rPr>
          <w:rFonts w:ascii="Arial" w:hAnsi="Arial" w:cs="Arial"/>
          <w:sz w:val="24"/>
          <w:szCs w:val="24"/>
        </w:rPr>
        <w:tab/>
        <w:t>Exhibit 2, page 41</w:t>
      </w:r>
    </w:p>
    <w:p w14:paraId="58513DB8" w14:textId="77777777" w:rsidR="00905FA3" w:rsidRDefault="00905FA3" w:rsidP="00905FA3">
      <w:pPr>
        <w:spacing w:after="0"/>
        <w:rPr>
          <w:rFonts w:ascii="Arial" w:hAnsi="Arial" w:cs="Arial"/>
          <w:sz w:val="24"/>
          <w:szCs w:val="24"/>
        </w:rPr>
      </w:pPr>
      <w:r>
        <w:rPr>
          <w:rFonts w:ascii="Arial" w:hAnsi="Arial" w:cs="Arial"/>
          <w:sz w:val="24"/>
          <w:szCs w:val="24"/>
        </w:rPr>
        <w:tab/>
        <w:t>Exhibit 1, page 31 of 2017 Business Plan</w:t>
      </w:r>
    </w:p>
    <w:p w14:paraId="3FB99888" w14:textId="77777777" w:rsidR="00905FA3" w:rsidRDefault="00905FA3" w:rsidP="00905FA3">
      <w:pPr>
        <w:spacing w:after="0"/>
        <w:rPr>
          <w:rFonts w:ascii="Arial" w:hAnsi="Arial" w:cs="Arial"/>
          <w:b/>
          <w:sz w:val="24"/>
          <w:szCs w:val="24"/>
        </w:rPr>
      </w:pPr>
    </w:p>
    <w:p w14:paraId="4E1D6755" w14:textId="77777777" w:rsidR="00905FA3" w:rsidRDefault="00905FA3" w:rsidP="00905FA3">
      <w:pPr>
        <w:spacing w:after="0"/>
        <w:rPr>
          <w:rFonts w:ascii="Arial" w:hAnsi="Arial" w:cs="Arial"/>
          <w:b/>
          <w:sz w:val="24"/>
          <w:szCs w:val="24"/>
        </w:rPr>
      </w:pPr>
      <w:r>
        <w:rPr>
          <w:rFonts w:ascii="Arial" w:hAnsi="Arial" w:cs="Arial"/>
          <w:b/>
          <w:sz w:val="24"/>
          <w:szCs w:val="24"/>
        </w:rPr>
        <w:t>Preamble:</w:t>
      </w:r>
    </w:p>
    <w:p w14:paraId="5911FE1F" w14:textId="77777777" w:rsidR="00905FA3" w:rsidRDefault="00905FA3" w:rsidP="00905FA3">
      <w:pPr>
        <w:spacing w:after="0"/>
        <w:rPr>
          <w:rFonts w:ascii="Arial" w:hAnsi="Arial" w:cs="Arial"/>
          <w:sz w:val="24"/>
          <w:szCs w:val="24"/>
        </w:rPr>
      </w:pPr>
    </w:p>
    <w:p w14:paraId="224EC7BA" w14:textId="77777777" w:rsidR="00905FA3" w:rsidRDefault="00905FA3" w:rsidP="00905FA3">
      <w:pPr>
        <w:spacing w:after="0"/>
        <w:rPr>
          <w:rFonts w:ascii="Arial" w:hAnsi="Arial" w:cs="Arial"/>
          <w:sz w:val="24"/>
          <w:szCs w:val="24"/>
        </w:rPr>
      </w:pPr>
      <w:r>
        <w:rPr>
          <w:rFonts w:ascii="Arial" w:hAnsi="Arial" w:cs="Arial"/>
          <w:sz w:val="24"/>
          <w:szCs w:val="24"/>
        </w:rPr>
        <w:t>At the first above noted reference, CPUC has characterized the transaction as a transfer of assets and indicated that there was a $104,610 “transfer of assets from an affiliate” (CES to CPUC) in 2018.</w:t>
      </w:r>
    </w:p>
    <w:p w14:paraId="4350E397" w14:textId="77777777" w:rsidR="00905FA3" w:rsidRDefault="00905FA3" w:rsidP="00905FA3">
      <w:pPr>
        <w:spacing w:after="0"/>
        <w:rPr>
          <w:rFonts w:ascii="Arial" w:hAnsi="Arial" w:cs="Arial"/>
          <w:sz w:val="24"/>
          <w:szCs w:val="24"/>
        </w:rPr>
      </w:pPr>
    </w:p>
    <w:p w14:paraId="1137FA77" w14:textId="77777777" w:rsidR="00905FA3" w:rsidRDefault="00905FA3" w:rsidP="00905FA3">
      <w:pPr>
        <w:spacing w:after="0"/>
        <w:rPr>
          <w:rFonts w:ascii="Arial" w:hAnsi="Arial" w:cs="Arial"/>
          <w:sz w:val="24"/>
          <w:szCs w:val="24"/>
        </w:rPr>
      </w:pPr>
      <w:r>
        <w:rPr>
          <w:rFonts w:ascii="Arial" w:hAnsi="Arial" w:cs="Arial"/>
          <w:sz w:val="24"/>
          <w:szCs w:val="24"/>
        </w:rPr>
        <w:t>At the second above noted reference, CPUC stated the following:</w:t>
      </w:r>
    </w:p>
    <w:p w14:paraId="2B905C35" w14:textId="77777777" w:rsidR="00905FA3" w:rsidRDefault="00905FA3" w:rsidP="00905FA3">
      <w:pPr>
        <w:spacing w:after="0"/>
        <w:rPr>
          <w:rFonts w:ascii="Arial" w:hAnsi="Arial" w:cs="Arial"/>
          <w:sz w:val="24"/>
          <w:szCs w:val="24"/>
        </w:rPr>
      </w:pPr>
    </w:p>
    <w:p w14:paraId="5C2E20D6" w14:textId="77777777" w:rsidR="00905FA3" w:rsidRDefault="00905FA3" w:rsidP="00905FA3">
      <w:pPr>
        <w:spacing w:after="0"/>
        <w:ind w:left="720"/>
        <w:rPr>
          <w:rFonts w:ascii="Arial" w:hAnsi="Arial" w:cs="Arial"/>
          <w:sz w:val="24"/>
          <w:szCs w:val="24"/>
        </w:rPr>
      </w:pPr>
      <w:r>
        <w:rPr>
          <w:rFonts w:ascii="Arial" w:hAnsi="Arial" w:cs="Arial"/>
          <w:sz w:val="24"/>
          <w:szCs w:val="24"/>
        </w:rPr>
        <w:t>CPUC was restructured into a fully operational utility on January 1, 2018. Prior to this it had been run and regulated as a virtual utility owning most but not all assets required to conduct business and having no dedicated staff. The restructuring required the transfer of the remainder of the property, plant and equipment assets necessary to carrying out utility business and these assets were transferred at fair value. The transferred assets consisted of office furniture and equipment, computer hardware and software, transportation equipment and tools, tools and equipment. Additionally, all 5 employees were also transferred into CPUC.</w:t>
      </w:r>
    </w:p>
    <w:p w14:paraId="70AEABCC" w14:textId="77777777" w:rsidR="00905FA3" w:rsidRDefault="00905FA3" w:rsidP="00905FA3">
      <w:pPr>
        <w:spacing w:after="0"/>
        <w:rPr>
          <w:rFonts w:ascii="Arial" w:hAnsi="Arial" w:cs="Arial"/>
          <w:b/>
          <w:sz w:val="24"/>
          <w:szCs w:val="24"/>
        </w:rPr>
      </w:pPr>
    </w:p>
    <w:p w14:paraId="7801AD30" w14:textId="77777777" w:rsidR="00905FA3" w:rsidRDefault="00905FA3" w:rsidP="00905FA3">
      <w:pPr>
        <w:spacing w:after="0"/>
        <w:rPr>
          <w:rFonts w:ascii="Arial" w:hAnsi="Arial" w:cs="Arial"/>
          <w:b/>
          <w:sz w:val="24"/>
          <w:szCs w:val="24"/>
        </w:rPr>
      </w:pPr>
      <w:r>
        <w:rPr>
          <w:rFonts w:ascii="Arial" w:hAnsi="Arial" w:cs="Arial"/>
          <w:b/>
          <w:sz w:val="24"/>
          <w:szCs w:val="24"/>
        </w:rPr>
        <w:t>Questions:</w:t>
      </w:r>
    </w:p>
    <w:p w14:paraId="735E02D8" w14:textId="77777777" w:rsidR="00905FA3" w:rsidRDefault="00905FA3" w:rsidP="00905FA3">
      <w:pPr>
        <w:pStyle w:val="ListParagraph"/>
        <w:spacing w:after="0"/>
        <w:ind w:left="360"/>
        <w:rPr>
          <w:rFonts w:ascii="Arial" w:hAnsi="Arial" w:cs="Arial"/>
          <w:sz w:val="24"/>
          <w:szCs w:val="24"/>
        </w:rPr>
      </w:pPr>
    </w:p>
    <w:p w14:paraId="78A014C6" w14:textId="77777777" w:rsidR="00905FA3" w:rsidRDefault="00905FA3" w:rsidP="00E2382A">
      <w:pPr>
        <w:pStyle w:val="ListParagraph"/>
        <w:numPr>
          <w:ilvl w:val="0"/>
          <w:numId w:val="31"/>
        </w:numPr>
        <w:spacing w:after="0"/>
        <w:ind w:left="360"/>
        <w:rPr>
          <w:rFonts w:ascii="Arial" w:hAnsi="Arial" w:cs="Arial"/>
          <w:sz w:val="24"/>
          <w:szCs w:val="24"/>
        </w:rPr>
      </w:pPr>
      <w:r>
        <w:rPr>
          <w:rFonts w:ascii="Arial" w:hAnsi="Arial" w:cs="Arial"/>
          <w:sz w:val="24"/>
          <w:szCs w:val="24"/>
        </w:rPr>
        <w:t>Please provide details and documents related to the transfer of assets.</w:t>
      </w:r>
    </w:p>
    <w:p w14:paraId="3049D6F5" w14:textId="77777777" w:rsidR="00905FA3" w:rsidRDefault="00905FA3" w:rsidP="00905FA3">
      <w:pPr>
        <w:pStyle w:val="ListParagraph"/>
        <w:spacing w:after="0"/>
        <w:ind w:left="360"/>
        <w:rPr>
          <w:rFonts w:ascii="Arial" w:hAnsi="Arial" w:cs="Arial"/>
          <w:sz w:val="24"/>
          <w:szCs w:val="24"/>
        </w:rPr>
      </w:pPr>
    </w:p>
    <w:p w14:paraId="1BC8458E" w14:textId="77777777" w:rsidR="00905FA3" w:rsidRDefault="00905FA3" w:rsidP="00E2382A">
      <w:pPr>
        <w:pStyle w:val="ListParagraph"/>
        <w:numPr>
          <w:ilvl w:val="0"/>
          <w:numId w:val="31"/>
        </w:numPr>
        <w:spacing w:after="0"/>
        <w:ind w:left="360"/>
        <w:rPr>
          <w:rFonts w:ascii="Arial" w:hAnsi="Arial" w:cs="Arial"/>
          <w:sz w:val="24"/>
          <w:szCs w:val="24"/>
        </w:rPr>
      </w:pPr>
      <w:r>
        <w:rPr>
          <w:rFonts w:ascii="Arial" w:hAnsi="Arial" w:cs="Arial"/>
          <w:sz w:val="24"/>
          <w:szCs w:val="24"/>
        </w:rPr>
        <w:t>How was the valuation of the $104k transfer of assets determined? Please provide details.</w:t>
      </w:r>
    </w:p>
    <w:p w14:paraId="6D21162D" w14:textId="77777777" w:rsidR="00905FA3" w:rsidRDefault="00905FA3" w:rsidP="00905FA3">
      <w:pPr>
        <w:pStyle w:val="ListParagraph"/>
        <w:spacing w:after="0"/>
        <w:ind w:left="360"/>
        <w:rPr>
          <w:rFonts w:ascii="Arial" w:hAnsi="Arial" w:cs="Arial"/>
          <w:sz w:val="24"/>
          <w:szCs w:val="24"/>
        </w:rPr>
      </w:pPr>
    </w:p>
    <w:p w14:paraId="295CA207" w14:textId="77777777" w:rsidR="00905FA3" w:rsidRDefault="00905FA3" w:rsidP="00E2382A">
      <w:pPr>
        <w:pStyle w:val="ListParagraph"/>
        <w:numPr>
          <w:ilvl w:val="0"/>
          <w:numId w:val="31"/>
        </w:numPr>
        <w:spacing w:after="0"/>
        <w:ind w:left="360"/>
        <w:rPr>
          <w:rFonts w:ascii="Arial" w:hAnsi="Arial" w:cs="Arial"/>
          <w:sz w:val="24"/>
          <w:szCs w:val="24"/>
        </w:rPr>
      </w:pPr>
      <w:r>
        <w:rPr>
          <w:rFonts w:ascii="Arial" w:hAnsi="Arial" w:cs="Arial"/>
          <w:sz w:val="24"/>
          <w:szCs w:val="24"/>
        </w:rPr>
        <w:t>Please confirm that CPUC has incorporated the $104k of new fixed assets into its proposed 2019 revenue requirement.</w:t>
      </w:r>
    </w:p>
    <w:p w14:paraId="61C0ACC0" w14:textId="77777777" w:rsidR="00905FA3" w:rsidRDefault="00905FA3" w:rsidP="00905FA3">
      <w:pPr>
        <w:pStyle w:val="ListParagraph"/>
        <w:spacing w:after="0"/>
        <w:ind w:left="360"/>
        <w:rPr>
          <w:rFonts w:ascii="Arial" w:hAnsi="Arial" w:cs="Arial"/>
          <w:sz w:val="24"/>
          <w:szCs w:val="24"/>
        </w:rPr>
      </w:pPr>
    </w:p>
    <w:p w14:paraId="37B02328" w14:textId="77777777" w:rsidR="00905FA3" w:rsidRDefault="00905FA3" w:rsidP="00E2382A">
      <w:pPr>
        <w:pStyle w:val="ListParagraph"/>
        <w:numPr>
          <w:ilvl w:val="0"/>
          <w:numId w:val="31"/>
        </w:numPr>
        <w:spacing w:after="0"/>
        <w:ind w:left="360"/>
        <w:rPr>
          <w:rFonts w:ascii="Arial" w:hAnsi="Arial" w:cs="Arial"/>
          <w:sz w:val="24"/>
          <w:szCs w:val="24"/>
        </w:rPr>
      </w:pPr>
      <w:r>
        <w:rPr>
          <w:rFonts w:ascii="Arial" w:hAnsi="Arial" w:cs="Arial"/>
          <w:sz w:val="24"/>
          <w:szCs w:val="24"/>
        </w:rPr>
        <w:t>Please describe and quantify any impact on the proposed 2019 revenue requirement resulting from the merger or amalgamation of CPUC with CES.</w:t>
      </w:r>
    </w:p>
    <w:p w14:paraId="7B419476" w14:textId="77777777" w:rsidR="00905FA3" w:rsidRDefault="00905FA3" w:rsidP="00905FA3">
      <w:pPr>
        <w:pStyle w:val="ListParagraph"/>
        <w:spacing w:after="0"/>
        <w:ind w:left="360"/>
        <w:rPr>
          <w:rFonts w:ascii="Arial" w:hAnsi="Arial" w:cs="Arial"/>
          <w:sz w:val="24"/>
          <w:szCs w:val="24"/>
        </w:rPr>
      </w:pPr>
    </w:p>
    <w:p w14:paraId="1DE97864" w14:textId="77777777" w:rsidR="00905FA3" w:rsidRDefault="00905FA3" w:rsidP="00E2382A">
      <w:pPr>
        <w:pStyle w:val="ListParagraph"/>
        <w:numPr>
          <w:ilvl w:val="0"/>
          <w:numId w:val="31"/>
        </w:numPr>
        <w:spacing w:after="0"/>
        <w:ind w:left="360"/>
        <w:rPr>
          <w:rFonts w:ascii="Arial" w:hAnsi="Arial" w:cs="Arial"/>
          <w:sz w:val="24"/>
          <w:szCs w:val="24"/>
        </w:rPr>
      </w:pPr>
      <w:r>
        <w:rPr>
          <w:rFonts w:ascii="Arial" w:hAnsi="Arial" w:cs="Arial"/>
          <w:sz w:val="24"/>
          <w:szCs w:val="24"/>
        </w:rPr>
        <w:t>Please provide details of the tax treatment of losses incurred by CES and quantify any benefit that CPUC may have obtained from these losses for tax purposes.</w:t>
      </w:r>
    </w:p>
    <w:p w14:paraId="20BC622E" w14:textId="77777777" w:rsidR="00905FA3" w:rsidRDefault="00905FA3" w:rsidP="00905FA3">
      <w:pPr>
        <w:pStyle w:val="ListParagraph"/>
        <w:spacing w:after="0"/>
        <w:rPr>
          <w:rFonts w:ascii="Arial" w:hAnsi="Arial" w:cs="Arial"/>
          <w:sz w:val="24"/>
          <w:szCs w:val="24"/>
        </w:rPr>
      </w:pPr>
    </w:p>
    <w:p w14:paraId="760F4DFB" w14:textId="77777777" w:rsidR="00905FA3" w:rsidRDefault="00905FA3" w:rsidP="00E2382A">
      <w:pPr>
        <w:pStyle w:val="ListParagraph"/>
        <w:numPr>
          <w:ilvl w:val="0"/>
          <w:numId w:val="31"/>
        </w:numPr>
        <w:spacing w:after="0"/>
        <w:ind w:left="360"/>
        <w:rPr>
          <w:rFonts w:ascii="Arial" w:hAnsi="Arial" w:cs="Arial"/>
          <w:sz w:val="24"/>
          <w:szCs w:val="24"/>
        </w:rPr>
      </w:pPr>
      <w:r>
        <w:rPr>
          <w:rFonts w:ascii="Arial" w:hAnsi="Arial" w:cs="Arial"/>
          <w:sz w:val="24"/>
          <w:szCs w:val="24"/>
        </w:rPr>
        <w:lastRenderedPageBreak/>
        <w:t>Considering that CES ceased operations effective January 1, 2018, it is unclear how the services formally provided by CES to customers other than CPUC are being served. Of particular concern are the assets that were part of CES that were used to provide services to customers other than CPUC.</w:t>
      </w:r>
    </w:p>
    <w:p w14:paraId="442F9D21" w14:textId="77777777" w:rsidR="00905FA3" w:rsidRDefault="00905FA3" w:rsidP="00905FA3">
      <w:pPr>
        <w:pStyle w:val="ListParagraph"/>
        <w:spacing w:after="0"/>
        <w:ind w:left="0"/>
        <w:rPr>
          <w:rFonts w:ascii="Arial" w:eastAsia="Times New Roman" w:hAnsi="Arial" w:cs="Arial"/>
          <w:sz w:val="24"/>
          <w:szCs w:val="24"/>
        </w:rPr>
      </w:pPr>
    </w:p>
    <w:p w14:paraId="71ABDA12" w14:textId="77777777" w:rsidR="00905FA3" w:rsidRDefault="00905FA3" w:rsidP="00E2382A">
      <w:pPr>
        <w:pStyle w:val="ListParagraph"/>
        <w:numPr>
          <w:ilvl w:val="2"/>
          <w:numId w:val="31"/>
        </w:numPr>
        <w:spacing w:after="0"/>
        <w:ind w:left="900"/>
        <w:rPr>
          <w:rFonts w:ascii="Arial" w:eastAsia="Times New Roman" w:hAnsi="Arial" w:cs="Arial"/>
          <w:sz w:val="24"/>
          <w:szCs w:val="24"/>
        </w:rPr>
      </w:pPr>
      <w:r>
        <w:rPr>
          <w:rFonts w:ascii="Arial" w:eastAsia="Times New Roman" w:hAnsi="Arial" w:cs="Arial"/>
          <w:sz w:val="24"/>
          <w:szCs w:val="24"/>
        </w:rPr>
        <w:t>Please describe and quantify how the assets that were recorded on CES’ books to serve customers other than CPUC where and are now being recorded, considering CES no longer exists.</w:t>
      </w:r>
    </w:p>
    <w:p w14:paraId="68D9D1A2" w14:textId="77777777" w:rsidR="00905FA3" w:rsidRDefault="00905FA3" w:rsidP="00905FA3">
      <w:pPr>
        <w:pStyle w:val="ListParagraph"/>
        <w:spacing w:after="0"/>
        <w:ind w:left="900"/>
        <w:rPr>
          <w:rFonts w:ascii="Arial" w:eastAsia="Times New Roman" w:hAnsi="Arial" w:cs="Arial"/>
          <w:sz w:val="24"/>
          <w:szCs w:val="24"/>
        </w:rPr>
      </w:pPr>
    </w:p>
    <w:p w14:paraId="074C1FAD" w14:textId="77777777" w:rsidR="00905FA3" w:rsidRDefault="00905FA3" w:rsidP="00E2382A">
      <w:pPr>
        <w:pStyle w:val="ListParagraph"/>
        <w:numPr>
          <w:ilvl w:val="2"/>
          <w:numId w:val="31"/>
        </w:numPr>
        <w:spacing w:after="0"/>
        <w:ind w:left="900"/>
        <w:rPr>
          <w:rFonts w:ascii="Arial" w:eastAsia="Times New Roman" w:hAnsi="Arial" w:cs="Arial"/>
          <w:sz w:val="24"/>
          <w:szCs w:val="24"/>
        </w:rPr>
      </w:pPr>
      <w:r>
        <w:rPr>
          <w:rFonts w:ascii="Arial" w:eastAsia="Times New Roman" w:hAnsi="Arial" w:cs="Arial"/>
          <w:sz w:val="24"/>
          <w:szCs w:val="24"/>
        </w:rPr>
        <w:t>If CPUC is now providing these services, please quantify the amounts of the assets and also quantify the impact on the 2019 proposed revenue requirement. If this is not the case, please explain.</w:t>
      </w:r>
    </w:p>
    <w:p w14:paraId="0E67F1F0" w14:textId="77777777" w:rsidR="00905FA3" w:rsidRDefault="00905FA3" w:rsidP="00905FA3">
      <w:pPr>
        <w:pStyle w:val="ListParagraph"/>
        <w:spacing w:after="0"/>
        <w:rPr>
          <w:rFonts w:ascii="Arial" w:eastAsia="Times New Roman" w:hAnsi="Arial" w:cs="Arial"/>
          <w:sz w:val="24"/>
          <w:szCs w:val="24"/>
        </w:rPr>
      </w:pPr>
    </w:p>
    <w:p w14:paraId="44B93F9B" w14:textId="77777777" w:rsidR="00905FA3" w:rsidRDefault="00905FA3" w:rsidP="00E2382A">
      <w:pPr>
        <w:pStyle w:val="ListParagraph"/>
        <w:numPr>
          <w:ilvl w:val="2"/>
          <w:numId w:val="31"/>
        </w:numPr>
        <w:spacing w:after="0"/>
        <w:ind w:left="900"/>
        <w:rPr>
          <w:rFonts w:ascii="Arial" w:eastAsia="Times New Roman" w:hAnsi="Arial" w:cs="Arial"/>
          <w:sz w:val="24"/>
          <w:szCs w:val="24"/>
        </w:rPr>
      </w:pPr>
      <w:r>
        <w:rPr>
          <w:rFonts w:ascii="Arial" w:eastAsia="Times New Roman" w:hAnsi="Arial" w:cs="Arial"/>
          <w:sz w:val="24"/>
          <w:szCs w:val="24"/>
        </w:rPr>
        <w:t>If CPUC is not providing these services, please confirm which entity is providing these services.</w:t>
      </w:r>
    </w:p>
    <w:p w14:paraId="11C9F8B9" w14:textId="77777777" w:rsidR="00905FA3" w:rsidRDefault="00905FA3" w:rsidP="00905FA3">
      <w:pPr>
        <w:spacing w:after="0"/>
        <w:rPr>
          <w:rFonts w:ascii="Arial" w:eastAsia="Times New Roman" w:hAnsi="Arial" w:cs="Arial"/>
          <w:b/>
          <w:sz w:val="24"/>
          <w:szCs w:val="24"/>
        </w:rPr>
      </w:pPr>
    </w:p>
    <w:p w14:paraId="0C579BC4" w14:textId="77777777" w:rsidR="00905FA3" w:rsidRDefault="00905FA3" w:rsidP="00905FA3">
      <w:pPr>
        <w:spacing w:after="0"/>
        <w:rPr>
          <w:rFonts w:ascii="Arial" w:eastAsia="Times New Roman" w:hAnsi="Arial" w:cs="Arial"/>
          <w:b/>
          <w:sz w:val="24"/>
          <w:szCs w:val="24"/>
        </w:rPr>
      </w:pPr>
    </w:p>
    <w:p w14:paraId="17FF576B" w14:textId="77777777" w:rsidR="00905FA3" w:rsidRDefault="00905FA3" w:rsidP="00905FA3">
      <w:pPr>
        <w:spacing w:after="0"/>
        <w:rPr>
          <w:rFonts w:ascii="Arial" w:hAnsi="Arial" w:cs="Arial"/>
          <w:color w:val="0070C0"/>
          <w:sz w:val="24"/>
        </w:rPr>
      </w:pPr>
      <w:r>
        <w:rPr>
          <w:rFonts w:ascii="Arial" w:eastAsia="Times New Roman" w:hAnsi="Arial" w:cs="Arial"/>
          <w:color w:val="0070C0"/>
          <w:sz w:val="24"/>
          <w:szCs w:val="24"/>
        </w:rPr>
        <w:t xml:space="preserve">Responses: </w:t>
      </w:r>
    </w:p>
    <w:p w14:paraId="39C9539A" w14:textId="77777777" w:rsidR="00905FA3" w:rsidRDefault="00905FA3" w:rsidP="00905FA3">
      <w:pPr>
        <w:spacing w:after="0"/>
        <w:rPr>
          <w:rFonts w:ascii="Arial" w:eastAsia="Times New Roman" w:hAnsi="Arial" w:cs="Arial"/>
          <w:color w:val="0070C0"/>
          <w:sz w:val="24"/>
          <w:szCs w:val="24"/>
        </w:rPr>
      </w:pPr>
    </w:p>
    <w:p w14:paraId="7B990978" w14:textId="77777777" w:rsidR="00905FA3" w:rsidRDefault="00905FA3" w:rsidP="00E2382A">
      <w:pPr>
        <w:pStyle w:val="ListParagraph"/>
        <w:numPr>
          <w:ilvl w:val="0"/>
          <w:numId w:val="32"/>
        </w:numPr>
        <w:spacing w:after="0"/>
        <w:rPr>
          <w:rFonts w:ascii="Arial" w:eastAsia="Times New Roman" w:hAnsi="Arial" w:cs="Arial"/>
          <w:color w:val="0070C0"/>
          <w:sz w:val="24"/>
          <w:szCs w:val="24"/>
        </w:rPr>
      </w:pPr>
      <w:r>
        <w:rPr>
          <w:rFonts w:ascii="Arial" w:eastAsia="Times New Roman" w:hAnsi="Arial" w:cs="Arial"/>
          <w:color w:val="0070C0"/>
          <w:sz w:val="24"/>
          <w:szCs w:val="24"/>
        </w:rPr>
        <w:t>Please see the Section 86 Application filed on April 5, 2019 for the requested details.</w:t>
      </w:r>
    </w:p>
    <w:p w14:paraId="390D2838" w14:textId="77777777" w:rsidR="00905FA3" w:rsidRDefault="00905FA3" w:rsidP="00905FA3">
      <w:pPr>
        <w:pStyle w:val="ListParagraph"/>
        <w:spacing w:after="0"/>
        <w:ind w:left="1440"/>
        <w:rPr>
          <w:rFonts w:ascii="Arial" w:eastAsia="Times New Roman" w:hAnsi="Arial" w:cs="Arial"/>
          <w:color w:val="0070C0"/>
          <w:sz w:val="24"/>
          <w:szCs w:val="24"/>
        </w:rPr>
      </w:pPr>
    </w:p>
    <w:p w14:paraId="48CCCE46" w14:textId="77777777" w:rsidR="00905FA3" w:rsidRDefault="00905FA3" w:rsidP="00E2382A">
      <w:pPr>
        <w:pStyle w:val="ListParagraph"/>
        <w:numPr>
          <w:ilvl w:val="0"/>
          <w:numId w:val="32"/>
        </w:numPr>
        <w:spacing w:after="0"/>
        <w:rPr>
          <w:rFonts w:ascii="Arial" w:eastAsia="Times New Roman" w:hAnsi="Arial" w:cs="Arial"/>
          <w:color w:val="0070C0"/>
          <w:sz w:val="24"/>
          <w:szCs w:val="24"/>
        </w:rPr>
      </w:pPr>
      <w:r>
        <w:rPr>
          <w:rFonts w:ascii="Arial" w:eastAsia="Times New Roman" w:hAnsi="Arial" w:cs="Arial"/>
          <w:color w:val="0070C0"/>
          <w:sz w:val="24"/>
          <w:szCs w:val="24"/>
        </w:rPr>
        <w:t>Assets were transferred at net book value.</w:t>
      </w:r>
    </w:p>
    <w:p w14:paraId="74123CC7" w14:textId="77777777" w:rsidR="00905FA3" w:rsidRDefault="00905FA3" w:rsidP="00905FA3">
      <w:pPr>
        <w:spacing w:after="0"/>
        <w:ind w:left="720"/>
        <w:rPr>
          <w:rFonts w:ascii="Arial" w:eastAsia="Times New Roman" w:hAnsi="Arial" w:cs="Arial"/>
          <w:color w:val="0070C0"/>
          <w:sz w:val="24"/>
          <w:szCs w:val="24"/>
        </w:rPr>
      </w:pPr>
    </w:p>
    <w:p w14:paraId="7AB286F7" w14:textId="77777777" w:rsidR="00905FA3" w:rsidRDefault="00905FA3" w:rsidP="00E2382A">
      <w:pPr>
        <w:pStyle w:val="ListParagraph"/>
        <w:numPr>
          <w:ilvl w:val="0"/>
          <w:numId w:val="32"/>
        </w:numPr>
        <w:spacing w:after="0"/>
        <w:rPr>
          <w:rFonts w:ascii="Arial" w:eastAsia="Times New Roman" w:hAnsi="Arial" w:cs="Arial"/>
          <w:color w:val="0070C0"/>
          <w:sz w:val="24"/>
          <w:szCs w:val="24"/>
        </w:rPr>
      </w:pPr>
      <w:r>
        <w:rPr>
          <w:rFonts w:ascii="Arial" w:eastAsia="Times New Roman" w:hAnsi="Arial" w:cs="Arial"/>
          <w:color w:val="0070C0"/>
          <w:sz w:val="24"/>
          <w:szCs w:val="24"/>
        </w:rPr>
        <w:t>Confirmed.</w:t>
      </w:r>
    </w:p>
    <w:p w14:paraId="2DF0A87E" w14:textId="77777777" w:rsidR="00905FA3" w:rsidRDefault="00905FA3" w:rsidP="00905FA3">
      <w:pPr>
        <w:pStyle w:val="ListParagraph"/>
        <w:rPr>
          <w:rFonts w:ascii="Arial" w:eastAsia="Times New Roman" w:hAnsi="Arial" w:cs="Arial"/>
          <w:color w:val="0070C0"/>
          <w:sz w:val="24"/>
          <w:szCs w:val="24"/>
          <w:highlight w:val="yellow"/>
        </w:rPr>
      </w:pPr>
    </w:p>
    <w:p w14:paraId="047CBFDF" w14:textId="77777777" w:rsidR="00905FA3" w:rsidRDefault="00905FA3" w:rsidP="00E2382A">
      <w:pPr>
        <w:pStyle w:val="ListParagraph"/>
        <w:numPr>
          <w:ilvl w:val="0"/>
          <w:numId w:val="32"/>
        </w:numPr>
        <w:spacing w:after="0"/>
        <w:rPr>
          <w:rFonts w:ascii="Arial" w:eastAsia="Times New Roman" w:hAnsi="Arial" w:cs="Arial"/>
          <w:color w:val="0070C0"/>
          <w:sz w:val="24"/>
          <w:szCs w:val="24"/>
        </w:rPr>
      </w:pPr>
      <w:r>
        <w:rPr>
          <w:rFonts w:ascii="Arial" w:eastAsia="Times New Roman" w:hAnsi="Arial" w:cs="Arial"/>
          <w:color w:val="0070C0"/>
          <w:sz w:val="24"/>
          <w:szCs w:val="24"/>
        </w:rPr>
        <w:t>There are no impacts on the proposed 2019 revenue requirement as a result of the amalgamation; had the amalgamation not occurred CPUC would have obtained the same staffing and assets as it ultimately obtained through the amalgamation as a result of the cessation of operations by CESC.</w:t>
      </w:r>
    </w:p>
    <w:p w14:paraId="40D9762C" w14:textId="77777777" w:rsidR="00905FA3" w:rsidRDefault="00905FA3" w:rsidP="00905FA3">
      <w:pPr>
        <w:spacing w:after="0"/>
        <w:rPr>
          <w:rFonts w:ascii="Arial" w:eastAsia="Times New Roman" w:hAnsi="Arial" w:cs="Arial"/>
          <w:color w:val="0070C0"/>
          <w:sz w:val="24"/>
          <w:szCs w:val="24"/>
        </w:rPr>
      </w:pPr>
    </w:p>
    <w:p w14:paraId="71975D9C" w14:textId="3A83DBB7" w:rsidR="00905FA3" w:rsidRPr="0065509F" w:rsidRDefault="00C046CD" w:rsidP="00E2382A">
      <w:pPr>
        <w:pStyle w:val="ListParagraph"/>
        <w:numPr>
          <w:ilvl w:val="0"/>
          <w:numId w:val="32"/>
        </w:numPr>
        <w:spacing w:after="0"/>
        <w:rPr>
          <w:rFonts w:ascii="Arial" w:eastAsia="Times New Roman" w:hAnsi="Arial" w:cs="Arial"/>
          <w:color w:val="0070C0"/>
          <w:sz w:val="24"/>
          <w:szCs w:val="24"/>
        </w:rPr>
      </w:pPr>
      <w:r w:rsidRPr="0065509F">
        <w:rPr>
          <w:rFonts w:ascii="Arial" w:eastAsia="Times New Roman" w:hAnsi="Arial" w:cs="Arial"/>
          <w:color w:val="0070C0"/>
          <w:sz w:val="24"/>
          <w:szCs w:val="24"/>
        </w:rPr>
        <w:t xml:space="preserve">CPUC is not aware of any tax treatment of losses incurred by CES nor is any benefits to the regulated utility. CPUC notes that KPMG was involved in each step of the amalgamation and did not </w:t>
      </w:r>
      <w:r w:rsidR="0065509F" w:rsidRPr="0065509F">
        <w:rPr>
          <w:rFonts w:ascii="Arial" w:eastAsia="Times New Roman" w:hAnsi="Arial" w:cs="Arial"/>
          <w:color w:val="0070C0"/>
          <w:sz w:val="24"/>
          <w:szCs w:val="24"/>
        </w:rPr>
        <w:t xml:space="preserve">bring up the topic of tax benefits. </w:t>
      </w:r>
    </w:p>
    <w:p w14:paraId="56EF0B87" w14:textId="77777777" w:rsidR="00905FA3" w:rsidRDefault="00905FA3" w:rsidP="00905FA3">
      <w:pPr>
        <w:spacing w:after="0"/>
        <w:rPr>
          <w:rFonts w:ascii="Arial" w:eastAsia="Times New Roman" w:hAnsi="Arial" w:cs="Arial"/>
          <w:color w:val="0070C0"/>
          <w:sz w:val="24"/>
          <w:szCs w:val="24"/>
          <w:highlight w:val="yellow"/>
        </w:rPr>
      </w:pPr>
    </w:p>
    <w:p w14:paraId="524707C5" w14:textId="77777777" w:rsidR="00905FA3" w:rsidRPr="00C046CD" w:rsidRDefault="00905FA3" w:rsidP="00E2382A">
      <w:pPr>
        <w:pStyle w:val="ListParagraph"/>
        <w:numPr>
          <w:ilvl w:val="0"/>
          <w:numId w:val="32"/>
        </w:numPr>
        <w:spacing w:after="0"/>
        <w:rPr>
          <w:rFonts w:ascii="Arial" w:eastAsia="Times New Roman" w:hAnsi="Arial" w:cs="Arial"/>
          <w:color w:val="0070C0"/>
          <w:sz w:val="24"/>
          <w:szCs w:val="24"/>
        </w:rPr>
      </w:pPr>
    </w:p>
    <w:p w14:paraId="0A01FEA4" w14:textId="77777777" w:rsidR="00905FA3" w:rsidRDefault="00905FA3" w:rsidP="00E2382A">
      <w:pPr>
        <w:pStyle w:val="ListParagraph"/>
        <w:numPr>
          <w:ilvl w:val="2"/>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t>All CESC assets were transferred at book value (104,610) and are recorded on the books of the amalgamated company CPUC:</w:t>
      </w:r>
    </w:p>
    <w:p w14:paraId="0992868A" w14:textId="77777777" w:rsidR="00905FA3" w:rsidRDefault="00905FA3" w:rsidP="00E2382A">
      <w:pPr>
        <w:pStyle w:val="ListParagraph"/>
        <w:numPr>
          <w:ilvl w:val="3"/>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lastRenderedPageBreak/>
        <w:t>Buildings – 55,931</w:t>
      </w:r>
    </w:p>
    <w:p w14:paraId="55400F02" w14:textId="77777777" w:rsidR="00905FA3" w:rsidRDefault="00905FA3" w:rsidP="00E2382A">
      <w:pPr>
        <w:pStyle w:val="ListParagraph"/>
        <w:numPr>
          <w:ilvl w:val="3"/>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t>Office furniture and equipment – 2,769</w:t>
      </w:r>
    </w:p>
    <w:p w14:paraId="158CA662" w14:textId="77777777" w:rsidR="00905FA3" w:rsidRDefault="00905FA3" w:rsidP="00E2382A">
      <w:pPr>
        <w:pStyle w:val="ListParagraph"/>
        <w:numPr>
          <w:ilvl w:val="3"/>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t>Transportation equipment – 15,910</w:t>
      </w:r>
    </w:p>
    <w:p w14:paraId="4FD7AB3B" w14:textId="77777777" w:rsidR="00905FA3" w:rsidRDefault="00905FA3" w:rsidP="00E2382A">
      <w:pPr>
        <w:pStyle w:val="ListParagraph"/>
        <w:numPr>
          <w:ilvl w:val="3"/>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t>Land – 30,000</w:t>
      </w:r>
    </w:p>
    <w:p w14:paraId="31F08949" w14:textId="77777777" w:rsidR="00DC5326" w:rsidRDefault="00DC5326" w:rsidP="00DC5326">
      <w:pPr>
        <w:pStyle w:val="ListParagraph"/>
        <w:numPr>
          <w:ilvl w:val="3"/>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t>Transportation equipment – 15,910</w:t>
      </w:r>
    </w:p>
    <w:p w14:paraId="73CF86E4" w14:textId="77777777" w:rsidR="00DC5326" w:rsidRDefault="00DC5326" w:rsidP="00DC5326">
      <w:pPr>
        <w:pStyle w:val="ListParagraph"/>
        <w:numPr>
          <w:ilvl w:val="3"/>
          <w:numId w:val="33"/>
        </w:numPr>
        <w:spacing w:after="0"/>
        <w:rPr>
          <w:rFonts w:ascii="Arial" w:eastAsia="Times New Roman" w:hAnsi="Arial" w:cs="Arial"/>
          <w:color w:val="0070C0"/>
          <w:sz w:val="24"/>
          <w:szCs w:val="24"/>
        </w:rPr>
      </w:pPr>
      <w:r>
        <w:rPr>
          <w:rFonts w:ascii="Arial" w:eastAsia="Times New Roman" w:hAnsi="Arial" w:cs="Arial"/>
          <w:color w:val="0070C0"/>
          <w:sz w:val="24"/>
          <w:szCs w:val="24"/>
        </w:rPr>
        <w:t>Land – 30,000</w:t>
      </w:r>
    </w:p>
    <w:p w14:paraId="1FD0E807" w14:textId="77777777" w:rsidR="00905FA3" w:rsidRDefault="00905FA3" w:rsidP="00905FA3">
      <w:pPr>
        <w:spacing w:after="0"/>
        <w:rPr>
          <w:rFonts w:ascii="Arial" w:eastAsia="Times New Roman" w:hAnsi="Arial" w:cs="Arial"/>
          <w:color w:val="0070C0"/>
          <w:sz w:val="24"/>
          <w:szCs w:val="24"/>
        </w:rPr>
      </w:pPr>
    </w:p>
    <w:p w14:paraId="2C62161B" w14:textId="23A55D6F" w:rsidR="00905FA3" w:rsidRDefault="00905FA3" w:rsidP="00905FA3">
      <w:pPr>
        <w:spacing w:after="0"/>
        <w:ind w:left="2160"/>
        <w:rPr>
          <w:rFonts w:ascii="Arial" w:eastAsia="Times New Roman" w:hAnsi="Arial" w:cs="Arial"/>
          <w:color w:val="0070C0"/>
          <w:sz w:val="24"/>
          <w:szCs w:val="24"/>
        </w:rPr>
      </w:pPr>
      <w:r>
        <w:rPr>
          <w:rFonts w:ascii="Arial" w:eastAsia="Times New Roman" w:hAnsi="Arial" w:cs="Arial"/>
          <w:color w:val="0070C0"/>
          <w:sz w:val="24"/>
          <w:szCs w:val="24"/>
        </w:rPr>
        <w:t xml:space="preserve">ii) </w:t>
      </w:r>
      <w:r w:rsidRPr="00C046CD">
        <w:rPr>
          <w:rFonts w:ascii="Arial" w:eastAsia="Times New Roman" w:hAnsi="Arial" w:cs="Arial"/>
          <w:color w:val="0070C0"/>
          <w:sz w:val="24"/>
          <w:szCs w:val="24"/>
        </w:rPr>
        <w:t>CPUC has forecast $39,474 in revenue from services to customers other than CPUC, with offsetting costs to provide those services in the amount of $25,658.</w:t>
      </w:r>
    </w:p>
    <w:p w14:paraId="49F6E12D" w14:textId="77777777" w:rsidR="00905FA3" w:rsidRDefault="00905FA3" w:rsidP="00905FA3">
      <w:pPr>
        <w:spacing w:after="0"/>
        <w:ind w:left="2160"/>
        <w:rPr>
          <w:rFonts w:ascii="Arial" w:eastAsia="Times New Roman" w:hAnsi="Arial" w:cs="Arial"/>
          <w:color w:val="0070C0"/>
          <w:sz w:val="24"/>
          <w:szCs w:val="24"/>
        </w:rPr>
      </w:pPr>
    </w:p>
    <w:p w14:paraId="1F294D3F" w14:textId="77777777" w:rsidR="00905FA3" w:rsidRDefault="00905FA3" w:rsidP="00905FA3">
      <w:pPr>
        <w:spacing w:after="0"/>
        <w:ind w:left="2160"/>
        <w:rPr>
          <w:rFonts w:ascii="Arial" w:eastAsia="Times New Roman" w:hAnsi="Arial" w:cs="Arial"/>
          <w:color w:val="0070C0"/>
          <w:sz w:val="24"/>
          <w:szCs w:val="24"/>
        </w:rPr>
      </w:pPr>
      <w:r>
        <w:rPr>
          <w:rFonts w:ascii="Arial" w:eastAsia="Times New Roman" w:hAnsi="Arial" w:cs="Arial"/>
          <w:color w:val="0070C0"/>
          <w:sz w:val="24"/>
          <w:szCs w:val="24"/>
        </w:rPr>
        <w:t>iii) See IRR 4-Staff-54 c) iii).</w:t>
      </w:r>
    </w:p>
    <w:p w14:paraId="420FA467" w14:textId="479792EC" w:rsidR="00A66628" w:rsidRDefault="00A66628" w:rsidP="00A66628">
      <w:pPr>
        <w:spacing w:after="0"/>
        <w:rPr>
          <w:rFonts w:ascii="Arial" w:eastAsia="Times New Roman" w:hAnsi="Arial" w:cs="Arial"/>
          <w:color w:val="0070C0"/>
          <w:sz w:val="24"/>
          <w:szCs w:val="24"/>
        </w:rPr>
      </w:pPr>
    </w:p>
    <w:p w14:paraId="2CD0EDBA" w14:textId="77777777" w:rsidR="00AC3D23" w:rsidRPr="00AC3D23" w:rsidRDefault="00AC3D23" w:rsidP="00AC3D23">
      <w:pPr>
        <w:pStyle w:val="ListParagraph"/>
        <w:rPr>
          <w:rFonts w:ascii="Arial" w:eastAsia="Times New Roman" w:hAnsi="Arial" w:cs="Arial"/>
          <w:color w:val="0070C0"/>
          <w:sz w:val="24"/>
          <w:szCs w:val="24"/>
        </w:rPr>
      </w:pPr>
    </w:p>
    <w:p w14:paraId="1079D444" w14:textId="77777777" w:rsidR="00AC3D23" w:rsidRPr="00AC3D23" w:rsidRDefault="00AC3D23" w:rsidP="00AC3D23">
      <w:pPr>
        <w:spacing w:after="0"/>
        <w:ind w:left="1440"/>
        <w:rPr>
          <w:rFonts w:ascii="Arial" w:eastAsia="Times New Roman" w:hAnsi="Arial" w:cs="Arial"/>
          <w:color w:val="0070C0"/>
          <w:sz w:val="24"/>
          <w:szCs w:val="24"/>
        </w:rPr>
      </w:pPr>
    </w:p>
    <w:p w14:paraId="291EC9CE" w14:textId="5AB0E062" w:rsidR="000F0911" w:rsidRPr="000F0911" w:rsidRDefault="000F0911" w:rsidP="000F0911">
      <w:pPr>
        <w:pStyle w:val="ListParagraph"/>
        <w:spacing w:after="0"/>
        <w:ind w:left="1440"/>
        <w:rPr>
          <w:rFonts w:ascii="Arial" w:eastAsia="Times New Roman" w:hAnsi="Arial" w:cs="Arial"/>
          <w:color w:val="0070C0"/>
          <w:sz w:val="24"/>
          <w:szCs w:val="24"/>
        </w:rPr>
      </w:pPr>
    </w:p>
    <w:p w14:paraId="3DF92131" w14:textId="77777777" w:rsidR="00886A08" w:rsidRDefault="00886A08">
      <w:pPr>
        <w:rPr>
          <w:rFonts w:ascii="Arial" w:eastAsia="Times New Roman" w:hAnsi="Arial" w:cstheme="majorBidi"/>
          <w:b/>
          <w:sz w:val="28"/>
          <w:szCs w:val="26"/>
          <w:lang w:val="en-US"/>
        </w:rPr>
      </w:pPr>
      <w:r>
        <w:rPr>
          <w:rFonts w:eastAsia="Times New Roman"/>
        </w:rPr>
        <w:br w:type="page"/>
      </w:r>
    </w:p>
    <w:p w14:paraId="2EFBEBD8" w14:textId="6369A5DA" w:rsidR="0005533F" w:rsidRDefault="0005533F" w:rsidP="0005533F">
      <w:pPr>
        <w:pStyle w:val="Heading1"/>
        <w:numPr>
          <w:ilvl w:val="0"/>
          <w:numId w:val="0"/>
        </w:numPr>
        <w:jc w:val="center"/>
      </w:pPr>
      <w:r>
        <w:lastRenderedPageBreak/>
        <w:t>Exhibit 7</w:t>
      </w:r>
    </w:p>
    <w:p w14:paraId="3EAAD93E" w14:textId="29F9D2BB" w:rsidR="000219DD" w:rsidRPr="00AA4B12" w:rsidRDefault="0041579E" w:rsidP="000E66E5">
      <w:pPr>
        <w:pStyle w:val="Heading2"/>
        <w:numPr>
          <w:ilvl w:val="0"/>
          <w:numId w:val="0"/>
        </w:numPr>
      </w:pPr>
      <w:r>
        <w:t>7-Staff-63</w:t>
      </w:r>
      <w:r w:rsidR="00CC3916">
        <w:t xml:space="preserve"> </w:t>
      </w:r>
    </w:p>
    <w:p w14:paraId="3B5CEAC1" w14:textId="77777777" w:rsidR="000219DD" w:rsidRPr="00AA4B12" w:rsidRDefault="000219DD" w:rsidP="00AA4B12">
      <w:pPr>
        <w:spacing w:after="0"/>
        <w:rPr>
          <w:rFonts w:ascii="Arial" w:hAnsi="Arial" w:cs="Arial"/>
          <w:b/>
          <w:sz w:val="24"/>
          <w:szCs w:val="24"/>
        </w:rPr>
      </w:pPr>
    </w:p>
    <w:p w14:paraId="76A6AFAC" w14:textId="77777777" w:rsidR="000219DD" w:rsidRPr="00AA4B12" w:rsidRDefault="000219DD"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Exhibit 7, Weighting Factors</w:t>
      </w:r>
    </w:p>
    <w:p w14:paraId="73AE5736" w14:textId="77777777" w:rsidR="000219DD" w:rsidRPr="00AA4B12" w:rsidRDefault="000219DD" w:rsidP="00AA4B12">
      <w:pPr>
        <w:spacing w:after="0"/>
        <w:rPr>
          <w:rFonts w:ascii="Arial" w:hAnsi="Arial" w:cs="Arial"/>
          <w:sz w:val="24"/>
          <w:szCs w:val="24"/>
        </w:rPr>
      </w:pPr>
    </w:p>
    <w:p w14:paraId="0254AB08" w14:textId="77777777" w:rsidR="000219DD" w:rsidRPr="00AA4B12" w:rsidRDefault="000219DD" w:rsidP="00AA4B12">
      <w:pPr>
        <w:spacing w:after="0"/>
        <w:rPr>
          <w:rFonts w:ascii="Arial" w:hAnsi="Arial" w:cs="Arial"/>
          <w:b/>
          <w:sz w:val="24"/>
          <w:szCs w:val="24"/>
        </w:rPr>
      </w:pPr>
      <w:r w:rsidRPr="00AA4B12">
        <w:rPr>
          <w:rFonts w:ascii="Arial" w:hAnsi="Arial" w:cs="Arial"/>
          <w:b/>
          <w:sz w:val="24"/>
          <w:szCs w:val="24"/>
        </w:rPr>
        <w:t>Preamble</w:t>
      </w:r>
    </w:p>
    <w:p w14:paraId="0532017D" w14:textId="77777777" w:rsidR="000219DD" w:rsidRPr="00AA4B12" w:rsidRDefault="000219DD" w:rsidP="00AA4B12">
      <w:pPr>
        <w:spacing w:after="0"/>
        <w:rPr>
          <w:rFonts w:ascii="Arial" w:hAnsi="Arial" w:cs="Arial"/>
          <w:b/>
          <w:sz w:val="24"/>
          <w:szCs w:val="24"/>
        </w:rPr>
      </w:pPr>
    </w:p>
    <w:p w14:paraId="6A6FD900" w14:textId="77777777" w:rsidR="000219DD" w:rsidRPr="00AA4B12" w:rsidRDefault="000219DD" w:rsidP="00AA4B12">
      <w:pPr>
        <w:spacing w:after="0"/>
        <w:rPr>
          <w:rFonts w:ascii="Arial" w:hAnsi="Arial" w:cs="Arial"/>
          <w:sz w:val="24"/>
          <w:szCs w:val="24"/>
        </w:rPr>
      </w:pPr>
      <w:r w:rsidRPr="00AA4B12">
        <w:rPr>
          <w:rFonts w:ascii="Arial" w:hAnsi="Arial" w:cs="Arial"/>
          <w:sz w:val="24"/>
          <w:szCs w:val="24"/>
        </w:rPr>
        <w:t>CPUC notes that it “does not carry any balances in account 1855 therefore the effects of the weighting factors are irrelevant.”</w:t>
      </w:r>
    </w:p>
    <w:p w14:paraId="5FE4B57F" w14:textId="77777777" w:rsidR="000219DD" w:rsidRPr="00AA4B12" w:rsidRDefault="000219DD" w:rsidP="00AA4B12">
      <w:pPr>
        <w:spacing w:after="0"/>
        <w:rPr>
          <w:rFonts w:ascii="Arial" w:hAnsi="Arial" w:cs="Arial"/>
          <w:sz w:val="24"/>
          <w:szCs w:val="24"/>
        </w:rPr>
      </w:pPr>
    </w:p>
    <w:p w14:paraId="6413B841" w14:textId="77777777" w:rsidR="000219DD" w:rsidRPr="00AA4B12" w:rsidRDefault="000219DD" w:rsidP="00AA4B12">
      <w:pPr>
        <w:spacing w:after="0"/>
        <w:rPr>
          <w:rFonts w:ascii="Arial" w:hAnsi="Arial" w:cs="Arial"/>
          <w:b/>
          <w:sz w:val="24"/>
          <w:szCs w:val="24"/>
        </w:rPr>
      </w:pPr>
      <w:r w:rsidRPr="00AA4B12">
        <w:rPr>
          <w:rFonts w:ascii="Arial" w:hAnsi="Arial" w:cs="Arial"/>
          <w:b/>
          <w:sz w:val="24"/>
          <w:szCs w:val="24"/>
        </w:rPr>
        <w:t>Questions:</w:t>
      </w:r>
    </w:p>
    <w:p w14:paraId="63907DC3" w14:textId="77777777" w:rsidR="000219DD" w:rsidRPr="00AA4B12" w:rsidRDefault="000219DD" w:rsidP="00AA4B12">
      <w:pPr>
        <w:spacing w:after="0"/>
        <w:rPr>
          <w:rFonts w:ascii="Arial" w:hAnsi="Arial" w:cs="Arial"/>
          <w:b/>
          <w:sz w:val="24"/>
          <w:szCs w:val="24"/>
        </w:rPr>
      </w:pPr>
    </w:p>
    <w:p w14:paraId="39358E1D" w14:textId="77777777" w:rsidR="000219DD" w:rsidRPr="00AA4B12" w:rsidRDefault="000219DD" w:rsidP="00E2382A">
      <w:pPr>
        <w:pStyle w:val="ListParagraph"/>
        <w:numPr>
          <w:ilvl w:val="0"/>
          <w:numId w:val="4"/>
        </w:numPr>
        <w:spacing w:after="0"/>
        <w:rPr>
          <w:rFonts w:ascii="Arial" w:hAnsi="Arial" w:cs="Arial"/>
          <w:sz w:val="24"/>
          <w:szCs w:val="24"/>
        </w:rPr>
      </w:pPr>
      <w:r w:rsidRPr="00AA4B12">
        <w:rPr>
          <w:rFonts w:ascii="Arial" w:hAnsi="Arial" w:cs="Arial"/>
          <w:sz w:val="24"/>
          <w:szCs w:val="24"/>
        </w:rPr>
        <w:t>Does CPUC provide service connections to any rate classes?</w:t>
      </w:r>
    </w:p>
    <w:p w14:paraId="5699B411" w14:textId="77777777" w:rsidR="000219DD" w:rsidRPr="00AA4B12" w:rsidRDefault="000219DD" w:rsidP="00AA4B12">
      <w:pPr>
        <w:pStyle w:val="ListParagraph"/>
        <w:spacing w:after="0"/>
        <w:rPr>
          <w:rFonts w:ascii="Arial" w:hAnsi="Arial" w:cs="Arial"/>
          <w:sz w:val="24"/>
          <w:szCs w:val="24"/>
        </w:rPr>
      </w:pPr>
    </w:p>
    <w:p w14:paraId="619DDF98" w14:textId="77777777" w:rsidR="000219DD" w:rsidRPr="00AA4B12" w:rsidRDefault="000219DD" w:rsidP="00E2382A">
      <w:pPr>
        <w:pStyle w:val="ListParagraph"/>
        <w:numPr>
          <w:ilvl w:val="0"/>
          <w:numId w:val="4"/>
        </w:numPr>
        <w:spacing w:after="0"/>
        <w:rPr>
          <w:rFonts w:ascii="Arial" w:hAnsi="Arial" w:cs="Arial"/>
          <w:sz w:val="24"/>
          <w:szCs w:val="24"/>
        </w:rPr>
      </w:pPr>
      <w:r w:rsidRPr="00AA4B12">
        <w:rPr>
          <w:rFonts w:ascii="Arial" w:hAnsi="Arial" w:cs="Arial"/>
          <w:sz w:val="24"/>
          <w:szCs w:val="24"/>
        </w:rPr>
        <w:t>If so, which rate classes and which account(s) is this tracked in?</w:t>
      </w:r>
    </w:p>
    <w:p w14:paraId="0097A7E2" w14:textId="77777777" w:rsidR="000219DD" w:rsidRPr="00AA4B12" w:rsidRDefault="000219DD" w:rsidP="00AA4B12">
      <w:pPr>
        <w:spacing w:after="0"/>
        <w:rPr>
          <w:rFonts w:ascii="Arial" w:hAnsi="Arial" w:cs="Arial"/>
          <w:sz w:val="24"/>
          <w:szCs w:val="24"/>
        </w:rPr>
      </w:pPr>
    </w:p>
    <w:p w14:paraId="55103E86" w14:textId="77777777" w:rsidR="000219DD" w:rsidRPr="00AA4B12" w:rsidRDefault="000219DD" w:rsidP="00AA4B12">
      <w:pPr>
        <w:spacing w:after="0"/>
        <w:rPr>
          <w:rFonts w:ascii="Arial" w:hAnsi="Arial" w:cs="Arial"/>
          <w:sz w:val="24"/>
          <w:szCs w:val="24"/>
        </w:rPr>
      </w:pPr>
    </w:p>
    <w:p w14:paraId="30A0E04D"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26C9AEAF" w14:textId="31D56C25" w:rsidR="00764FC4" w:rsidRDefault="00363E38" w:rsidP="00E2382A">
      <w:pPr>
        <w:pStyle w:val="ListParagraph"/>
        <w:numPr>
          <w:ilvl w:val="0"/>
          <w:numId w:val="18"/>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CPUC has not provided services connections to its customers in many years as can be seen in the declining historical customer count shown in the Load Forecast. Change in customer count is usually as a result of connect and disconnect. </w:t>
      </w:r>
    </w:p>
    <w:p w14:paraId="223F38B5" w14:textId="77777777" w:rsidR="00764FC4" w:rsidRPr="00CD4C71" w:rsidRDefault="00764FC4" w:rsidP="00764FC4">
      <w:pPr>
        <w:spacing w:after="0"/>
        <w:rPr>
          <w:rFonts w:ascii="Arial" w:eastAsia="Times New Roman" w:hAnsi="Arial" w:cs="Arial"/>
          <w:color w:val="0070C0"/>
          <w:sz w:val="24"/>
          <w:szCs w:val="24"/>
        </w:rPr>
      </w:pPr>
    </w:p>
    <w:p w14:paraId="6E6F3604" w14:textId="528741F2" w:rsidR="00764FC4" w:rsidRDefault="00363E38" w:rsidP="00E2382A">
      <w:pPr>
        <w:pStyle w:val="ListParagraph"/>
        <w:numPr>
          <w:ilvl w:val="0"/>
          <w:numId w:val="18"/>
        </w:numPr>
        <w:spacing w:after="0"/>
        <w:rPr>
          <w:rFonts w:ascii="Arial" w:eastAsia="Times New Roman" w:hAnsi="Arial" w:cs="Arial"/>
          <w:color w:val="0070C0"/>
          <w:sz w:val="24"/>
          <w:szCs w:val="24"/>
        </w:rPr>
      </w:pPr>
      <w:r>
        <w:rPr>
          <w:rFonts w:ascii="Arial" w:eastAsia="Times New Roman" w:hAnsi="Arial" w:cs="Arial"/>
          <w:color w:val="0070C0"/>
          <w:sz w:val="24"/>
          <w:szCs w:val="24"/>
        </w:rPr>
        <w:t>Should CPUC have any new customers, the costs related to new services listed in the APH will be recorded in account 1855</w:t>
      </w:r>
    </w:p>
    <w:p w14:paraId="043864CA" w14:textId="77777777" w:rsidR="00886A08" w:rsidRDefault="00886A08">
      <w:pPr>
        <w:rPr>
          <w:rFonts w:ascii="Arial" w:eastAsiaTheme="majorEastAsia" w:hAnsi="Arial" w:cstheme="majorBidi"/>
          <w:b/>
          <w:sz w:val="28"/>
          <w:szCs w:val="26"/>
          <w:lang w:val="en-US"/>
        </w:rPr>
      </w:pPr>
      <w:r>
        <w:br w:type="page"/>
      </w:r>
    </w:p>
    <w:p w14:paraId="26038EA9" w14:textId="0791480A" w:rsidR="0005533F" w:rsidRDefault="0005533F" w:rsidP="0005533F">
      <w:pPr>
        <w:pStyle w:val="Heading1"/>
        <w:numPr>
          <w:ilvl w:val="0"/>
          <w:numId w:val="0"/>
        </w:numPr>
        <w:jc w:val="center"/>
      </w:pPr>
      <w:r>
        <w:lastRenderedPageBreak/>
        <w:t>Exhibit 8</w:t>
      </w:r>
    </w:p>
    <w:p w14:paraId="156AF2FC" w14:textId="34E78D6E" w:rsidR="000219DD" w:rsidRPr="00AA4B12" w:rsidRDefault="000219DD" w:rsidP="000E66E5">
      <w:pPr>
        <w:pStyle w:val="Heading2"/>
        <w:numPr>
          <w:ilvl w:val="0"/>
          <w:numId w:val="0"/>
        </w:numPr>
      </w:pPr>
      <w:r w:rsidRPr="00AA4B12">
        <w:t>8</w:t>
      </w:r>
      <w:r w:rsidR="00153909">
        <w:t>-Staff-70</w:t>
      </w:r>
      <w:r w:rsidR="00CC3916">
        <w:t xml:space="preserve"> </w:t>
      </w:r>
    </w:p>
    <w:p w14:paraId="42F85DCD" w14:textId="77777777" w:rsidR="000219DD" w:rsidRPr="00AA4B12" w:rsidRDefault="000219DD" w:rsidP="00AA4B12">
      <w:pPr>
        <w:spacing w:after="0"/>
        <w:rPr>
          <w:rFonts w:ascii="Arial" w:hAnsi="Arial" w:cs="Arial"/>
          <w:b/>
          <w:sz w:val="24"/>
          <w:szCs w:val="24"/>
        </w:rPr>
      </w:pPr>
    </w:p>
    <w:p w14:paraId="4D335A69" w14:textId="77777777" w:rsidR="000219DD" w:rsidRPr="00AA4B12" w:rsidRDefault="000219DD"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Exhibit 8, section 8.1.2</w:t>
      </w:r>
    </w:p>
    <w:p w14:paraId="46205F49" w14:textId="77777777" w:rsidR="000219DD" w:rsidRPr="00AA4B12" w:rsidRDefault="000219DD" w:rsidP="00AA4B12">
      <w:pPr>
        <w:spacing w:after="0"/>
        <w:ind w:firstLine="720"/>
        <w:rPr>
          <w:rFonts w:ascii="Arial" w:hAnsi="Arial" w:cs="Arial"/>
          <w:sz w:val="24"/>
          <w:szCs w:val="24"/>
        </w:rPr>
      </w:pPr>
      <w:r w:rsidRPr="00AA4B12">
        <w:rPr>
          <w:rFonts w:ascii="Arial" w:hAnsi="Arial" w:cs="Arial"/>
          <w:sz w:val="24"/>
          <w:szCs w:val="24"/>
        </w:rPr>
        <w:t>Exhibit 8, section 8.1.16</w:t>
      </w:r>
    </w:p>
    <w:p w14:paraId="62F457FF" w14:textId="77777777" w:rsidR="000219DD" w:rsidRPr="00AA4B12" w:rsidRDefault="000219DD" w:rsidP="00AA4B12">
      <w:pPr>
        <w:spacing w:after="0"/>
        <w:ind w:firstLine="720"/>
        <w:rPr>
          <w:rFonts w:ascii="Arial" w:hAnsi="Arial" w:cs="Arial"/>
          <w:sz w:val="24"/>
          <w:szCs w:val="24"/>
        </w:rPr>
      </w:pPr>
      <w:r w:rsidRPr="00AA4B12">
        <w:rPr>
          <w:rFonts w:ascii="Arial" w:hAnsi="Arial" w:cs="Arial"/>
          <w:sz w:val="24"/>
          <w:szCs w:val="24"/>
        </w:rPr>
        <w:t>RRWF sheet 12. Res_Rate_Design</w:t>
      </w:r>
    </w:p>
    <w:p w14:paraId="52E0C1BB" w14:textId="77777777" w:rsidR="000219DD" w:rsidRPr="00AA4B12" w:rsidRDefault="000219DD" w:rsidP="00AA4B12">
      <w:pPr>
        <w:spacing w:after="0"/>
        <w:rPr>
          <w:rFonts w:ascii="Arial" w:hAnsi="Arial" w:cs="Arial"/>
          <w:b/>
          <w:sz w:val="24"/>
          <w:szCs w:val="24"/>
        </w:rPr>
      </w:pPr>
    </w:p>
    <w:p w14:paraId="1374F296" w14:textId="77777777" w:rsidR="000219DD" w:rsidRPr="00AA4B12" w:rsidRDefault="000219DD" w:rsidP="00AA4B12">
      <w:pPr>
        <w:spacing w:after="0"/>
        <w:rPr>
          <w:rFonts w:ascii="Arial" w:hAnsi="Arial" w:cs="Arial"/>
          <w:b/>
          <w:sz w:val="24"/>
          <w:szCs w:val="24"/>
        </w:rPr>
      </w:pPr>
      <w:r w:rsidRPr="00AA4B12">
        <w:rPr>
          <w:rFonts w:ascii="Arial" w:hAnsi="Arial" w:cs="Arial"/>
          <w:b/>
          <w:sz w:val="24"/>
          <w:szCs w:val="24"/>
        </w:rPr>
        <w:t>Preamble:</w:t>
      </w:r>
    </w:p>
    <w:p w14:paraId="088B1B32" w14:textId="77777777" w:rsidR="000219DD" w:rsidRPr="00AA4B12" w:rsidRDefault="000219DD" w:rsidP="00AA4B12">
      <w:pPr>
        <w:spacing w:after="0"/>
        <w:rPr>
          <w:rFonts w:ascii="Arial" w:hAnsi="Arial" w:cs="Arial"/>
          <w:b/>
          <w:sz w:val="24"/>
          <w:szCs w:val="24"/>
        </w:rPr>
      </w:pPr>
    </w:p>
    <w:p w14:paraId="5B9EF134" w14:textId="77777777" w:rsidR="000219DD" w:rsidRPr="00AA4B12" w:rsidRDefault="000219DD" w:rsidP="00AA4B12">
      <w:pPr>
        <w:spacing w:after="0"/>
        <w:rPr>
          <w:rFonts w:ascii="Arial" w:hAnsi="Arial" w:cs="Arial"/>
          <w:sz w:val="24"/>
          <w:szCs w:val="24"/>
        </w:rPr>
      </w:pPr>
      <w:r w:rsidRPr="00AA4B12">
        <w:rPr>
          <w:rFonts w:ascii="Arial" w:hAnsi="Arial" w:cs="Arial"/>
          <w:sz w:val="24"/>
          <w:szCs w:val="24"/>
        </w:rPr>
        <w:t>CPUC is proposing increase the residential fixed charge from $24.04, to $50.87. This reflects an increase of $6.79 to $30.83 to recover the deficiency, and an increase of $20.04 to $50.87 to implement the residential rate design policy in a single year. CPUC reasons that the Distribution Rate Protection Plan (DRP) will limit the charge to $36.86. OEB staff notes that following this reasoning, residential rate design would increase the fixed charge from $30.83 to the maximum imposed by the DRP of $36.86. Therefore, a residential customer would be exposed to an increase in the fixed charge of $6.03). This is still in excess of the $4.00 threshold. If CPUC were to commence a five-year transition in this application, the fixed charge would increase by $4.01 to $34.84 as a result of the residential rate design policy.</w:t>
      </w:r>
    </w:p>
    <w:p w14:paraId="7B983FE3" w14:textId="77777777" w:rsidR="000219DD" w:rsidRPr="00AA4B12" w:rsidRDefault="000219DD" w:rsidP="00AA4B12">
      <w:pPr>
        <w:spacing w:after="0"/>
        <w:rPr>
          <w:rFonts w:ascii="Arial" w:hAnsi="Arial" w:cs="Arial"/>
          <w:sz w:val="24"/>
          <w:szCs w:val="24"/>
        </w:rPr>
      </w:pPr>
    </w:p>
    <w:p w14:paraId="1AD7EC2A" w14:textId="77777777" w:rsidR="000219DD" w:rsidRPr="00AA4B12" w:rsidRDefault="000219DD" w:rsidP="00AA4B12">
      <w:pPr>
        <w:spacing w:after="0"/>
        <w:rPr>
          <w:rFonts w:ascii="Arial" w:hAnsi="Arial" w:cs="Arial"/>
          <w:sz w:val="24"/>
          <w:szCs w:val="24"/>
        </w:rPr>
      </w:pPr>
      <w:r w:rsidRPr="00AA4B12">
        <w:rPr>
          <w:rFonts w:ascii="Arial" w:hAnsi="Arial" w:cs="Arial"/>
          <w:sz w:val="24"/>
          <w:szCs w:val="24"/>
        </w:rPr>
        <w:t>CPUC has provided a residential bill impact scenario for 405 kWh of energy consumption to address the 10</w:t>
      </w:r>
      <w:r w:rsidRPr="00AA4B12">
        <w:rPr>
          <w:rFonts w:ascii="Arial" w:hAnsi="Arial" w:cs="Arial"/>
          <w:sz w:val="24"/>
          <w:szCs w:val="24"/>
          <w:vertAlign w:val="superscript"/>
        </w:rPr>
        <w:t>th</w:t>
      </w:r>
      <w:r w:rsidRPr="00AA4B12">
        <w:rPr>
          <w:rFonts w:ascii="Arial" w:hAnsi="Arial" w:cs="Arial"/>
          <w:sz w:val="24"/>
          <w:szCs w:val="24"/>
        </w:rPr>
        <w:t xml:space="preserve"> percentile of consumption. In arriving at the 10</w:t>
      </w:r>
      <w:r w:rsidRPr="00AA4B12">
        <w:rPr>
          <w:rFonts w:ascii="Arial" w:hAnsi="Arial" w:cs="Arial"/>
          <w:sz w:val="24"/>
          <w:szCs w:val="24"/>
          <w:vertAlign w:val="superscript"/>
        </w:rPr>
        <w:t>th</w:t>
      </w:r>
      <w:r w:rsidRPr="00AA4B12">
        <w:rPr>
          <w:rFonts w:ascii="Arial" w:hAnsi="Arial" w:cs="Arial"/>
          <w:sz w:val="24"/>
          <w:szCs w:val="24"/>
        </w:rPr>
        <w:t xml:space="preserve"> percentile of consumption, CPUC has filtered out all customers that had less than 12 months of consumption, and those that used less than 50 kWh per month.</w:t>
      </w:r>
    </w:p>
    <w:p w14:paraId="688BD51B" w14:textId="77777777" w:rsidR="000219DD" w:rsidRPr="00AA4B12" w:rsidRDefault="000219DD" w:rsidP="00AA4B12">
      <w:pPr>
        <w:spacing w:after="0"/>
        <w:rPr>
          <w:rFonts w:ascii="Arial" w:hAnsi="Arial" w:cs="Arial"/>
          <w:sz w:val="24"/>
          <w:szCs w:val="24"/>
        </w:rPr>
      </w:pPr>
    </w:p>
    <w:p w14:paraId="577B6272" w14:textId="77777777" w:rsidR="000219DD" w:rsidRPr="00AA4B12" w:rsidRDefault="000219DD" w:rsidP="00AA4B12">
      <w:pPr>
        <w:spacing w:after="0"/>
        <w:rPr>
          <w:rFonts w:ascii="Arial" w:hAnsi="Arial" w:cs="Arial"/>
          <w:sz w:val="24"/>
          <w:szCs w:val="24"/>
        </w:rPr>
      </w:pPr>
      <w:r w:rsidRPr="00AA4B12">
        <w:rPr>
          <w:rFonts w:ascii="Arial" w:hAnsi="Arial" w:cs="Arial"/>
          <w:sz w:val="24"/>
          <w:szCs w:val="24"/>
        </w:rPr>
        <w:t>OEB staff has calculated that a five-year transition would result in a variable charge of $0.0144/ kWh, and that at 405 kWh, this would result in a variable charge of $5.83. Combined with the $34.84 fixed charge under that scenario, the total charge from base rates would be $40.67. Since this is more than $36.86, the selection of a one-year transition or five-year transition would have no impact on the total bill of a low-volume residential customer after DRP has been applied.</w:t>
      </w:r>
    </w:p>
    <w:p w14:paraId="337C8FFF" w14:textId="77777777" w:rsidR="000219DD" w:rsidRPr="00AA4B12" w:rsidRDefault="000219DD" w:rsidP="00AA4B12">
      <w:pPr>
        <w:spacing w:after="0"/>
        <w:rPr>
          <w:rFonts w:ascii="Arial" w:hAnsi="Arial" w:cs="Arial"/>
          <w:sz w:val="24"/>
          <w:szCs w:val="24"/>
        </w:rPr>
      </w:pPr>
    </w:p>
    <w:p w14:paraId="4CAD08A5" w14:textId="77777777" w:rsidR="000219DD" w:rsidRPr="00AA4B12" w:rsidRDefault="000219DD" w:rsidP="00AA4B12">
      <w:pPr>
        <w:spacing w:after="0"/>
        <w:rPr>
          <w:rFonts w:ascii="Arial" w:hAnsi="Arial" w:cs="Arial"/>
          <w:b/>
          <w:sz w:val="24"/>
          <w:szCs w:val="24"/>
        </w:rPr>
      </w:pPr>
      <w:r w:rsidRPr="00AA4B12">
        <w:rPr>
          <w:rFonts w:ascii="Arial" w:hAnsi="Arial" w:cs="Arial"/>
          <w:b/>
          <w:sz w:val="24"/>
          <w:szCs w:val="24"/>
        </w:rPr>
        <w:t>Questions:</w:t>
      </w:r>
    </w:p>
    <w:p w14:paraId="25318812" w14:textId="77777777" w:rsidR="000219DD" w:rsidRPr="00AA4B12" w:rsidRDefault="000219DD" w:rsidP="00AA4B12">
      <w:pPr>
        <w:spacing w:after="0"/>
        <w:rPr>
          <w:rFonts w:ascii="Arial" w:hAnsi="Arial" w:cs="Arial"/>
          <w:b/>
          <w:sz w:val="24"/>
          <w:szCs w:val="24"/>
        </w:rPr>
      </w:pPr>
    </w:p>
    <w:p w14:paraId="783DE41E" w14:textId="77777777" w:rsidR="000219DD" w:rsidRPr="00AA4B12" w:rsidRDefault="000219DD" w:rsidP="00E2382A">
      <w:pPr>
        <w:pStyle w:val="ListParagraph"/>
        <w:numPr>
          <w:ilvl w:val="0"/>
          <w:numId w:val="5"/>
        </w:numPr>
        <w:spacing w:after="0"/>
        <w:rPr>
          <w:rFonts w:ascii="Arial" w:hAnsi="Arial" w:cs="Arial"/>
          <w:sz w:val="24"/>
          <w:szCs w:val="24"/>
        </w:rPr>
      </w:pPr>
      <w:r w:rsidRPr="00AA4B12">
        <w:rPr>
          <w:rFonts w:ascii="Arial" w:hAnsi="Arial" w:cs="Arial"/>
          <w:sz w:val="24"/>
          <w:szCs w:val="24"/>
        </w:rPr>
        <w:t>Has CPUC considered starting a five-year transition to fully fixed rates in this rate application with the possibility of accelerating the transition once the DRP contains the increase in fixed charge (as seen by the customer) to $4.00?</w:t>
      </w:r>
    </w:p>
    <w:p w14:paraId="79653AF8" w14:textId="77777777" w:rsidR="000219DD" w:rsidRPr="00AA4B12" w:rsidRDefault="000219DD" w:rsidP="00AA4B12">
      <w:pPr>
        <w:pStyle w:val="ListParagraph"/>
        <w:spacing w:after="0"/>
        <w:ind w:left="1080"/>
        <w:rPr>
          <w:rFonts w:ascii="Arial" w:hAnsi="Arial" w:cs="Arial"/>
          <w:sz w:val="24"/>
          <w:szCs w:val="24"/>
        </w:rPr>
      </w:pPr>
    </w:p>
    <w:p w14:paraId="3B9447D6" w14:textId="77777777" w:rsidR="000219DD" w:rsidRPr="00AA4B12" w:rsidRDefault="000219DD" w:rsidP="00E2382A">
      <w:pPr>
        <w:pStyle w:val="ListParagraph"/>
        <w:numPr>
          <w:ilvl w:val="0"/>
          <w:numId w:val="5"/>
        </w:numPr>
        <w:spacing w:after="0"/>
        <w:rPr>
          <w:rFonts w:ascii="Arial" w:hAnsi="Arial" w:cs="Arial"/>
          <w:sz w:val="24"/>
          <w:szCs w:val="24"/>
        </w:rPr>
      </w:pPr>
      <w:r w:rsidRPr="00AA4B12">
        <w:rPr>
          <w:rFonts w:ascii="Arial" w:hAnsi="Arial" w:cs="Arial"/>
          <w:sz w:val="24"/>
          <w:szCs w:val="24"/>
        </w:rPr>
        <w:lastRenderedPageBreak/>
        <w:t>In arriving at the 10</w:t>
      </w:r>
      <w:r w:rsidRPr="00AA4B12">
        <w:rPr>
          <w:rFonts w:ascii="Arial" w:hAnsi="Arial" w:cs="Arial"/>
          <w:sz w:val="24"/>
          <w:szCs w:val="24"/>
          <w:vertAlign w:val="superscript"/>
        </w:rPr>
        <w:t>th</w:t>
      </w:r>
      <w:r w:rsidRPr="00AA4B12">
        <w:rPr>
          <w:rFonts w:ascii="Arial" w:hAnsi="Arial" w:cs="Arial"/>
          <w:sz w:val="24"/>
          <w:szCs w:val="24"/>
        </w:rPr>
        <w:t xml:space="preserve"> percentile of consumption, why did CPUC filter out customers that had less than 50 kWh per month?</w:t>
      </w:r>
    </w:p>
    <w:p w14:paraId="4294AD71" w14:textId="77777777" w:rsidR="000219DD" w:rsidRPr="00AA4B12" w:rsidRDefault="000219DD" w:rsidP="00AA4B12">
      <w:pPr>
        <w:pStyle w:val="ListParagraph"/>
        <w:spacing w:after="0"/>
        <w:rPr>
          <w:rFonts w:ascii="Arial" w:hAnsi="Arial" w:cs="Arial"/>
          <w:sz w:val="24"/>
          <w:szCs w:val="24"/>
        </w:rPr>
      </w:pPr>
    </w:p>
    <w:p w14:paraId="5CCE9394" w14:textId="77777777" w:rsidR="000219DD" w:rsidRPr="00AA4B12" w:rsidRDefault="000219DD" w:rsidP="00E2382A">
      <w:pPr>
        <w:pStyle w:val="ListParagraph"/>
        <w:numPr>
          <w:ilvl w:val="0"/>
          <w:numId w:val="5"/>
        </w:numPr>
        <w:spacing w:after="0"/>
        <w:rPr>
          <w:rFonts w:ascii="Arial" w:hAnsi="Arial" w:cs="Arial"/>
          <w:sz w:val="24"/>
          <w:szCs w:val="24"/>
        </w:rPr>
      </w:pPr>
      <w:r w:rsidRPr="00AA4B12">
        <w:rPr>
          <w:rFonts w:ascii="Arial" w:hAnsi="Arial" w:cs="Arial"/>
          <w:sz w:val="24"/>
          <w:szCs w:val="24"/>
        </w:rPr>
        <w:t>Please confirm or correct OEB staff’s calculation of the impact of a five-year transition to fully fixed rates.</w:t>
      </w:r>
    </w:p>
    <w:p w14:paraId="7C007233" w14:textId="77777777" w:rsidR="000219DD" w:rsidRPr="00AA4B12" w:rsidRDefault="000219DD" w:rsidP="00AA4B12">
      <w:pPr>
        <w:pStyle w:val="ListParagraph"/>
        <w:spacing w:after="0"/>
        <w:rPr>
          <w:rFonts w:ascii="Arial" w:hAnsi="Arial" w:cs="Arial"/>
          <w:sz w:val="24"/>
          <w:szCs w:val="24"/>
        </w:rPr>
      </w:pPr>
    </w:p>
    <w:p w14:paraId="3829FBC6" w14:textId="77777777" w:rsidR="000219DD" w:rsidRPr="00AA4B12" w:rsidRDefault="000219DD" w:rsidP="00AA4B12">
      <w:pPr>
        <w:spacing w:after="0"/>
        <w:rPr>
          <w:rFonts w:ascii="Arial" w:hAnsi="Arial" w:cs="Arial"/>
          <w:sz w:val="24"/>
          <w:szCs w:val="24"/>
        </w:rPr>
      </w:pPr>
    </w:p>
    <w:p w14:paraId="54BBFF60"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224320B6" w14:textId="5EBCF178" w:rsidR="00363E38" w:rsidRPr="00363E38" w:rsidRDefault="00363E38" w:rsidP="00E2382A">
      <w:pPr>
        <w:pStyle w:val="ListParagraph"/>
        <w:numPr>
          <w:ilvl w:val="0"/>
          <w:numId w:val="19"/>
        </w:numPr>
        <w:spacing w:after="0"/>
        <w:rPr>
          <w:rFonts w:ascii="Arial" w:eastAsia="Times New Roman" w:hAnsi="Arial" w:cs="Arial"/>
          <w:color w:val="0070C0"/>
          <w:sz w:val="24"/>
          <w:szCs w:val="24"/>
        </w:rPr>
      </w:pPr>
      <w:r>
        <w:rPr>
          <w:rFonts w:ascii="Arial" w:eastAsia="Times New Roman" w:hAnsi="Arial" w:cs="Arial"/>
          <w:color w:val="0070C0"/>
          <w:sz w:val="24"/>
          <w:szCs w:val="24"/>
        </w:rPr>
        <w:t>CPUC is open to suggestions with respect to the transition to fully fixed rate as long as it minimizes rate-shock and that it’s in the interest of the customer. CPUC is also mindful that the rate design strategy can only truly be finalized once the OEB has issued its decision and order or full settlement is reached.</w:t>
      </w:r>
    </w:p>
    <w:p w14:paraId="12016A99" w14:textId="77777777" w:rsidR="00764FC4" w:rsidRPr="00CD4C71" w:rsidRDefault="00764FC4" w:rsidP="00764FC4">
      <w:pPr>
        <w:spacing w:after="0"/>
        <w:rPr>
          <w:rFonts w:ascii="Arial" w:eastAsia="Times New Roman" w:hAnsi="Arial" w:cs="Arial"/>
          <w:color w:val="0070C0"/>
          <w:sz w:val="24"/>
          <w:szCs w:val="24"/>
        </w:rPr>
      </w:pPr>
    </w:p>
    <w:p w14:paraId="5B631C8A" w14:textId="193CE17A" w:rsidR="00764FC4" w:rsidRDefault="00363E38" w:rsidP="00E2382A">
      <w:pPr>
        <w:pStyle w:val="ListParagraph"/>
        <w:numPr>
          <w:ilvl w:val="0"/>
          <w:numId w:val="19"/>
        </w:numPr>
        <w:spacing w:after="0"/>
        <w:rPr>
          <w:rFonts w:ascii="Arial" w:eastAsia="Times New Roman" w:hAnsi="Arial" w:cs="Arial"/>
          <w:color w:val="0070C0"/>
          <w:sz w:val="24"/>
          <w:szCs w:val="24"/>
        </w:rPr>
      </w:pPr>
      <w:r>
        <w:rPr>
          <w:rFonts w:ascii="Arial" w:eastAsia="Times New Roman" w:hAnsi="Arial" w:cs="Arial"/>
          <w:color w:val="0070C0"/>
          <w:sz w:val="24"/>
          <w:szCs w:val="24"/>
        </w:rPr>
        <w:t>CPUC confirms that it removed consumption less than 50kWh.</w:t>
      </w:r>
    </w:p>
    <w:p w14:paraId="044AB360" w14:textId="77777777" w:rsidR="00764FC4" w:rsidRPr="00CD4C71" w:rsidRDefault="00764FC4" w:rsidP="00764FC4">
      <w:pPr>
        <w:pStyle w:val="ListParagraph"/>
        <w:rPr>
          <w:rFonts w:ascii="Arial" w:eastAsia="Times New Roman" w:hAnsi="Arial" w:cs="Arial"/>
          <w:color w:val="0070C0"/>
          <w:sz w:val="24"/>
          <w:szCs w:val="24"/>
        </w:rPr>
      </w:pPr>
    </w:p>
    <w:p w14:paraId="40D02A2A" w14:textId="3075DE8D" w:rsidR="00764FC4" w:rsidRDefault="00363E38" w:rsidP="00E2382A">
      <w:pPr>
        <w:pStyle w:val="ListParagraph"/>
        <w:numPr>
          <w:ilvl w:val="0"/>
          <w:numId w:val="19"/>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CPUC </w:t>
      </w:r>
      <w:r w:rsidR="00E844F9">
        <w:rPr>
          <w:rFonts w:ascii="Arial" w:eastAsia="Times New Roman" w:hAnsi="Arial" w:cs="Arial"/>
          <w:color w:val="0070C0"/>
          <w:sz w:val="24"/>
          <w:szCs w:val="24"/>
        </w:rPr>
        <w:t xml:space="preserve">agrees with Board Staff’s calculation based on the original application however, the calculations are now obsolete as the Rate Base and Revenue Requirement and Cost Allocation have changed as a result of these responses to IRs. </w:t>
      </w:r>
    </w:p>
    <w:p w14:paraId="61C9F00A" w14:textId="77777777" w:rsidR="00886A08" w:rsidRDefault="00886A08">
      <w:pPr>
        <w:rPr>
          <w:rFonts w:ascii="Arial" w:eastAsiaTheme="majorEastAsia" w:hAnsi="Arial" w:cstheme="majorBidi"/>
          <w:b/>
          <w:sz w:val="28"/>
          <w:szCs w:val="26"/>
          <w:lang w:val="en-US"/>
        </w:rPr>
      </w:pPr>
      <w:r>
        <w:br w:type="page"/>
      </w:r>
    </w:p>
    <w:p w14:paraId="714D8A84" w14:textId="7AA33DFD" w:rsidR="0005533F" w:rsidRDefault="0005533F" w:rsidP="0005533F">
      <w:pPr>
        <w:pStyle w:val="Heading1"/>
        <w:numPr>
          <w:ilvl w:val="0"/>
          <w:numId w:val="0"/>
        </w:numPr>
        <w:jc w:val="center"/>
      </w:pPr>
      <w:r>
        <w:lastRenderedPageBreak/>
        <w:t>Exhibit 9</w:t>
      </w:r>
    </w:p>
    <w:p w14:paraId="39FD6271" w14:textId="23A7947D" w:rsidR="00070D61" w:rsidRPr="00AA4B12" w:rsidRDefault="00153909" w:rsidP="00886A08">
      <w:pPr>
        <w:pStyle w:val="Heading2"/>
        <w:numPr>
          <w:ilvl w:val="0"/>
          <w:numId w:val="0"/>
        </w:numPr>
      </w:pPr>
      <w:r>
        <w:t>9-Staff-81</w:t>
      </w:r>
      <w:r w:rsidR="00CC3916">
        <w:t xml:space="preserve"> </w:t>
      </w:r>
    </w:p>
    <w:p w14:paraId="48B663A4" w14:textId="77777777" w:rsidR="00070D61" w:rsidRPr="00AA4B12" w:rsidRDefault="00070D61" w:rsidP="00AA4B12">
      <w:pPr>
        <w:spacing w:after="0"/>
        <w:rPr>
          <w:rFonts w:ascii="Arial" w:hAnsi="Arial" w:cs="Arial"/>
          <w:sz w:val="24"/>
          <w:szCs w:val="24"/>
        </w:rPr>
      </w:pPr>
    </w:p>
    <w:p w14:paraId="18195536"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Exhibit 9, DVA Continuity Schedule</w:t>
      </w:r>
    </w:p>
    <w:p w14:paraId="1EE6A8CC" w14:textId="77777777" w:rsidR="00070D61" w:rsidRPr="00AA4B12" w:rsidRDefault="00070D61" w:rsidP="00AA4B12">
      <w:pPr>
        <w:spacing w:after="0"/>
        <w:ind w:left="720"/>
        <w:rPr>
          <w:rFonts w:ascii="Arial" w:hAnsi="Arial" w:cs="Arial"/>
          <w:sz w:val="24"/>
          <w:szCs w:val="24"/>
        </w:rPr>
      </w:pPr>
      <w:r w:rsidRPr="00AA4B12">
        <w:rPr>
          <w:rFonts w:ascii="Arial" w:hAnsi="Arial" w:cs="Arial"/>
          <w:sz w:val="24"/>
          <w:szCs w:val="24"/>
        </w:rPr>
        <w:t>Filing Requirements</w:t>
      </w:r>
      <w:r w:rsidRPr="00AA4B12">
        <w:rPr>
          <w:rStyle w:val="FootnoteReference"/>
          <w:rFonts w:ascii="Arial" w:hAnsi="Arial" w:cs="Arial"/>
          <w:sz w:val="24"/>
          <w:szCs w:val="24"/>
        </w:rPr>
        <w:footnoteReference w:id="1"/>
      </w:r>
    </w:p>
    <w:p w14:paraId="11E66C16" w14:textId="77777777" w:rsidR="00070D61" w:rsidRPr="00AA4B12" w:rsidRDefault="00070D61" w:rsidP="00AA4B12">
      <w:pPr>
        <w:spacing w:after="0"/>
        <w:ind w:left="720"/>
        <w:rPr>
          <w:rFonts w:ascii="Arial" w:hAnsi="Arial" w:cs="Arial"/>
          <w:sz w:val="24"/>
          <w:szCs w:val="24"/>
        </w:rPr>
      </w:pPr>
      <w:r w:rsidRPr="00AA4B12">
        <w:rPr>
          <w:rFonts w:ascii="Arial" w:hAnsi="Arial" w:cs="Arial"/>
          <w:sz w:val="24"/>
          <w:szCs w:val="24"/>
        </w:rPr>
        <w:t>GA Analysis Workform Instructions, Appendix A (posted to the OEB’s website on July 13, 2018)</w:t>
      </w:r>
    </w:p>
    <w:p w14:paraId="4FCD3087" w14:textId="77777777" w:rsidR="00070D61" w:rsidRPr="00AA4B12" w:rsidRDefault="00070D61" w:rsidP="00AA4B12">
      <w:pPr>
        <w:spacing w:after="0"/>
        <w:rPr>
          <w:rFonts w:ascii="Arial" w:hAnsi="Arial" w:cs="Arial"/>
          <w:sz w:val="24"/>
          <w:szCs w:val="24"/>
        </w:rPr>
      </w:pPr>
    </w:p>
    <w:p w14:paraId="0DCB8F27"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Questions:</w:t>
      </w:r>
    </w:p>
    <w:p w14:paraId="553F720E" w14:textId="77777777" w:rsidR="00070D61" w:rsidRPr="00AA4B12" w:rsidRDefault="00070D61" w:rsidP="00AA4B12">
      <w:pPr>
        <w:spacing w:after="0"/>
        <w:rPr>
          <w:rFonts w:ascii="Arial" w:hAnsi="Arial" w:cs="Arial"/>
          <w:b/>
          <w:sz w:val="24"/>
          <w:szCs w:val="24"/>
        </w:rPr>
      </w:pPr>
    </w:p>
    <w:p w14:paraId="7E076756" w14:textId="77777777" w:rsidR="00070D61" w:rsidRPr="00AA4B12" w:rsidRDefault="00070D61" w:rsidP="00E2382A">
      <w:pPr>
        <w:pStyle w:val="ListParagraph"/>
        <w:numPr>
          <w:ilvl w:val="0"/>
          <w:numId w:val="8"/>
        </w:numPr>
        <w:spacing w:after="0"/>
        <w:rPr>
          <w:rFonts w:ascii="Arial" w:hAnsi="Arial" w:cs="Arial"/>
          <w:sz w:val="24"/>
          <w:szCs w:val="24"/>
        </w:rPr>
      </w:pPr>
      <w:r w:rsidRPr="00AA4B12">
        <w:rPr>
          <w:rFonts w:ascii="Arial" w:hAnsi="Arial" w:cs="Arial"/>
          <w:sz w:val="24"/>
          <w:szCs w:val="24"/>
        </w:rPr>
        <w:t>CPUC did not file Appendix A to the GA Analysis Workform Instructions, available on the OEB’s website for 2019 rates page. Please file a completed Appendix A, GA Methodology Description, as per the Filing Requirements.</w:t>
      </w:r>
    </w:p>
    <w:p w14:paraId="7D144FCA" w14:textId="77777777" w:rsidR="00070D61" w:rsidRPr="00AA4B12" w:rsidRDefault="00070D61" w:rsidP="00AA4B12">
      <w:pPr>
        <w:pStyle w:val="ListParagraph"/>
        <w:spacing w:after="0"/>
        <w:rPr>
          <w:rFonts w:ascii="Arial" w:hAnsi="Arial" w:cs="Arial"/>
          <w:sz w:val="24"/>
          <w:szCs w:val="24"/>
        </w:rPr>
      </w:pPr>
    </w:p>
    <w:p w14:paraId="0F45FAD6" w14:textId="77777777" w:rsidR="00070D61" w:rsidRPr="00AA4B12" w:rsidRDefault="00070D61" w:rsidP="00E2382A">
      <w:pPr>
        <w:pStyle w:val="ListParagraph"/>
        <w:numPr>
          <w:ilvl w:val="0"/>
          <w:numId w:val="8"/>
        </w:numPr>
        <w:spacing w:after="0"/>
        <w:rPr>
          <w:rFonts w:ascii="Arial" w:hAnsi="Arial" w:cs="Arial"/>
          <w:sz w:val="24"/>
          <w:szCs w:val="24"/>
        </w:rPr>
      </w:pPr>
      <w:r w:rsidRPr="00AA4B12">
        <w:rPr>
          <w:rFonts w:ascii="Arial" w:hAnsi="Arial" w:cs="Arial"/>
          <w:sz w:val="24"/>
          <w:szCs w:val="24"/>
        </w:rPr>
        <w:t>CPUC has not recorded projected interest on the DVA continuity schedule for the period for the calendar year 2018. Please make the necessary corrections to the evidence.</w:t>
      </w:r>
    </w:p>
    <w:p w14:paraId="0AB4A05D" w14:textId="77777777" w:rsidR="00070D61" w:rsidRPr="00AA4B12" w:rsidRDefault="00070D61" w:rsidP="00AA4B12">
      <w:pPr>
        <w:pStyle w:val="ListParagraph"/>
        <w:spacing w:after="0"/>
        <w:rPr>
          <w:rFonts w:ascii="Arial" w:hAnsi="Arial" w:cs="Arial"/>
          <w:sz w:val="24"/>
          <w:szCs w:val="24"/>
        </w:rPr>
      </w:pPr>
    </w:p>
    <w:p w14:paraId="4E78C13D" w14:textId="77777777" w:rsidR="00070D61" w:rsidRPr="00AA4B12" w:rsidRDefault="00070D61" w:rsidP="00E2382A">
      <w:pPr>
        <w:pStyle w:val="ListParagraph"/>
        <w:numPr>
          <w:ilvl w:val="0"/>
          <w:numId w:val="8"/>
        </w:numPr>
        <w:spacing w:after="0"/>
        <w:rPr>
          <w:rFonts w:ascii="Arial" w:hAnsi="Arial" w:cs="Arial"/>
          <w:sz w:val="24"/>
          <w:szCs w:val="24"/>
        </w:rPr>
      </w:pPr>
      <w:r w:rsidRPr="00AA4B12">
        <w:rPr>
          <w:rFonts w:ascii="Arial" w:hAnsi="Arial" w:cs="Arial"/>
          <w:sz w:val="24"/>
          <w:szCs w:val="24"/>
        </w:rPr>
        <w:t xml:space="preserve">CPUC has allocated all GA to one rate class – GS 50-4999kW. Please confirm that CPUC has no </w:t>
      </w:r>
      <w:r w:rsidRPr="002245FE">
        <w:rPr>
          <w:rFonts w:ascii="Arial" w:hAnsi="Arial" w:cs="Arial"/>
          <w:noProof/>
          <w:sz w:val="24"/>
          <w:szCs w:val="24"/>
        </w:rPr>
        <w:t>non</w:t>
      </w:r>
      <w:r w:rsidRPr="00AA4B12">
        <w:rPr>
          <w:rFonts w:ascii="Arial" w:hAnsi="Arial" w:cs="Arial"/>
          <w:sz w:val="24"/>
          <w:szCs w:val="24"/>
        </w:rPr>
        <w:t>-RPP customers in any other rate class. If this is not the case, please update the evidence.</w:t>
      </w:r>
    </w:p>
    <w:p w14:paraId="099A1682" w14:textId="77777777" w:rsidR="00070D61" w:rsidRPr="00AA4B12" w:rsidRDefault="00070D61" w:rsidP="00AA4B12">
      <w:pPr>
        <w:spacing w:after="0"/>
        <w:rPr>
          <w:rFonts w:ascii="Arial" w:hAnsi="Arial" w:cs="Arial"/>
          <w:sz w:val="24"/>
          <w:szCs w:val="24"/>
        </w:rPr>
      </w:pPr>
    </w:p>
    <w:p w14:paraId="776CCD80"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2414A635" w14:textId="3E24E3F5" w:rsidR="00764FC4" w:rsidRDefault="0065509F" w:rsidP="00E2382A">
      <w:pPr>
        <w:pStyle w:val="ListParagraph"/>
        <w:numPr>
          <w:ilvl w:val="0"/>
          <w:numId w:val="20"/>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Appendix A to the GA Analysis Workform is filed along with </w:t>
      </w:r>
      <w:r w:rsidRPr="002245FE">
        <w:rPr>
          <w:rFonts w:ascii="Arial" w:eastAsia="Times New Roman" w:hAnsi="Arial" w:cs="Arial"/>
          <w:noProof/>
          <w:color w:val="0070C0"/>
          <w:sz w:val="24"/>
          <w:szCs w:val="24"/>
        </w:rPr>
        <w:t>these response</w:t>
      </w:r>
      <w:r w:rsidR="002245FE" w:rsidRPr="002245FE">
        <w:rPr>
          <w:rFonts w:ascii="Arial" w:eastAsia="Times New Roman" w:hAnsi="Arial" w:cs="Arial"/>
          <w:noProof/>
          <w:color w:val="0070C0"/>
          <w:sz w:val="24"/>
          <w:szCs w:val="24"/>
        </w:rPr>
        <w:t>s</w:t>
      </w:r>
      <w:r>
        <w:rPr>
          <w:rFonts w:ascii="Arial" w:eastAsia="Times New Roman" w:hAnsi="Arial" w:cs="Arial"/>
          <w:color w:val="0070C0"/>
          <w:sz w:val="24"/>
          <w:szCs w:val="24"/>
        </w:rPr>
        <w:t>.</w:t>
      </w:r>
    </w:p>
    <w:p w14:paraId="4738F8B9" w14:textId="77777777" w:rsidR="00764FC4" w:rsidRPr="00CD4C71" w:rsidRDefault="00764FC4" w:rsidP="00764FC4">
      <w:pPr>
        <w:spacing w:after="0"/>
        <w:rPr>
          <w:rFonts w:ascii="Arial" w:eastAsia="Times New Roman" w:hAnsi="Arial" w:cs="Arial"/>
          <w:color w:val="0070C0"/>
          <w:sz w:val="24"/>
          <w:szCs w:val="24"/>
        </w:rPr>
      </w:pPr>
    </w:p>
    <w:p w14:paraId="6FAAB742" w14:textId="549CEFC7" w:rsidR="00764FC4" w:rsidRDefault="0065509F" w:rsidP="00E2382A">
      <w:pPr>
        <w:pStyle w:val="ListParagraph"/>
        <w:numPr>
          <w:ilvl w:val="0"/>
          <w:numId w:val="20"/>
        </w:numPr>
        <w:spacing w:after="0"/>
        <w:rPr>
          <w:rFonts w:ascii="Arial" w:eastAsia="Times New Roman" w:hAnsi="Arial" w:cs="Arial"/>
          <w:color w:val="0070C0"/>
          <w:sz w:val="24"/>
          <w:szCs w:val="24"/>
        </w:rPr>
      </w:pPr>
      <w:r>
        <w:rPr>
          <w:rFonts w:ascii="Arial" w:eastAsia="Times New Roman" w:hAnsi="Arial" w:cs="Arial"/>
          <w:color w:val="0070C0"/>
          <w:sz w:val="24"/>
          <w:szCs w:val="24"/>
        </w:rPr>
        <w:t>The updated DVA continuity schedule is filed along with these responses.</w:t>
      </w:r>
    </w:p>
    <w:p w14:paraId="034547F5" w14:textId="77777777" w:rsidR="00764FC4" w:rsidRPr="00CD4C71" w:rsidRDefault="00764FC4" w:rsidP="00764FC4">
      <w:pPr>
        <w:pStyle w:val="ListParagraph"/>
        <w:rPr>
          <w:rFonts w:ascii="Arial" w:eastAsia="Times New Roman" w:hAnsi="Arial" w:cs="Arial"/>
          <w:color w:val="0070C0"/>
          <w:sz w:val="24"/>
          <w:szCs w:val="24"/>
        </w:rPr>
      </w:pPr>
    </w:p>
    <w:p w14:paraId="775E286E" w14:textId="65BDD48E" w:rsidR="00070D61" w:rsidRPr="0065509F" w:rsidRDefault="00915F53" w:rsidP="00E2382A">
      <w:pPr>
        <w:pStyle w:val="ListParagraph"/>
        <w:numPr>
          <w:ilvl w:val="0"/>
          <w:numId w:val="20"/>
        </w:numPr>
        <w:spacing w:after="0"/>
        <w:rPr>
          <w:rFonts w:ascii="Arial" w:hAnsi="Arial" w:cs="Arial"/>
          <w:sz w:val="24"/>
          <w:szCs w:val="24"/>
        </w:rPr>
      </w:pPr>
      <w:r w:rsidRPr="0065509F">
        <w:rPr>
          <w:rFonts w:ascii="Arial" w:eastAsia="Times New Roman" w:hAnsi="Arial" w:cs="Arial"/>
          <w:color w:val="0070C0"/>
          <w:sz w:val="24"/>
          <w:szCs w:val="24"/>
        </w:rPr>
        <w:t>Yes all GA is allocated to the one class</w:t>
      </w:r>
      <w:r w:rsidR="0065509F">
        <w:rPr>
          <w:rFonts w:ascii="Arial" w:eastAsia="Times New Roman" w:hAnsi="Arial" w:cs="Arial"/>
          <w:color w:val="0070C0"/>
          <w:sz w:val="24"/>
          <w:szCs w:val="24"/>
        </w:rPr>
        <w:t>.</w:t>
      </w:r>
      <w:r w:rsidRPr="0065509F">
        <w:rPr>
          <w:rFonts w:ascii="Arial" w:eastAsia="Times New Roman" w:hAnsi="Arial" w:cs="Arial"/>
          <w:color w:val="0070C0"/>
          <w:sz w:val="24"/>
          <w:szCs w:val="24"/>
        </w:rPr>
        <w:t xml:space="preserve"> </w:t>
      </w:r>
    </w:p>
    <w:p w14:paraId="3B5FAF52" w14:textId="77777777" w:rsidR="00CC3916" w:rsidRDefault="00CC3916">
      <w:pPr>
        <w:rPr>
          <w:rFonts w:ascii="Arial" w:eastAsiaTheme="majorEastAsia" w:hAnsi="Arial" w:cstheme="majorBidi"/>
          <w:b/>
          <w:sz w:val="28"/>
          <w:szCs w:val="26"/>
          <w:lang w:val="en-US"/>
        </w:rPr>
      </w:pPr>
      <w:r>
        <w:br w:type="page"/>
      </w:r>
    </w:p>
    <w:p w14:paraId="62B20485" w14:textId="4DD48FF0" w:rsidR="00070D61" w:rsidRPr="00AA4B12" w:rsidRDefault="00153909" w:rsidP="000E66E5">
      <w:pPr>
        <w:pStyle w:val="Heading2"/>
        <w:numPr>
          <w:ilvl w:val="0"/>
          <w:numId w:val="0"/>
        </w:numPr>
      </w:pPr>
      <w:r>
        <w:lastRenderedPageBreak/>
        <w:t>9-Staff-90</w:t>
      </w:r>
      <w:r w:rsidR="00CC3916">
        <w:t xml:space="preserve"> </w:t>
      </w:r>
    </w:p>
    <w:p w14:paraId="6264607E" w14:textId="77777777" w:rsidR="00070D61" w:rsidRPr="00AA4B12" w:rsidRDefault="00070D61" w:rsidP="00AA4B12">
      <w:pPr>
        <w:spacing w:after="0"/>
        <w:rPr>
          <w:rFonts w:ascii="Arial" w:hAnsi="Arial" w:cs="Arial"/>
          <w:b/>
          <w:sz w:val="24"/>
          <w:szCs w:val="24"/>
        </w:rPr>
      </w:pPr>
    </w:p>
    <w:p w14:paraId="3FD6BD7B"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Filing Requirements</w:t>
      </w:r>
      <w:r w:rsidRPr="00AA4B12">
        <w:rPr>
          <w:rStyle w:val="FootnoteReference"/>
          <w:rFonts w:ascii="Arial" w:hAnsi="Arial" w:cs="Arial"/>
          <w:sz w:val="24"/>
          <w:szCs w:val="24"/>
        </w:rPr>
        <w:footnoteReference w:id="2"/>
      </w:r>
    </w:p>
    <w:p w14:paraId="2C2FED41" w14:textId="77777777" w:rsidR="00070D61" w:rsidRPr="00AA4B12" w:rsidRDefault="00070D61" w:rsidP="00AA4B12">
      <w:pPr>
        <w:spacing w:after="0"/>
        <w:ind w:firstLine="720"/>
        <w:rPr>
          <w:rFonts w:ascii="Arial" w:hAnsi="Arial" w:cs="Arial"/>
          <w:sz w:val="24"/>
          <w:szCs w:val="24"/>
        </w:rPr>
      </w:pPr>
      <w:r w:rsidRPr="00AA4B12">
        <w:rPr>
          <w:rFonts w:ascii="Arial" w:hAnsi="Arial" w:cs="Arial"/>
          <w:sz w:val="24"/>
          <w:szCs w:val="24"/>
        </w:rPr>
        <w:t xml:space="preserve">GA Analysis Workform for 2015, 2016 and 2017, GA Analysis Workform </w:t>
      </w:r>
      <w:r w:rsidRPr="00AA4B12">
        <w:rPr>
          <w:rFonts w:ascii="Arial" w:hAnsi="Arial" w:cs="Arial"/>
          <w:sz w:val="24"/>
          <w:szCs w:val="24"/>
        </w:rPr>
        <w:tab/>
        <w:t>Instructions dated July 13, 2018</w:t>
      </w:r>
    </w:p>
    <w:p w14:paraId="45AD9AB9" w14:textId="77777777" w:rsidR="00070D61" w:rsidRPr="00AA4B12" w:rsidRDefault="00070D61" w:rsidP="00AA4B12">
      <w:pPr>
        <w:spacing w:after="0"/>
        <w:ind w:firstLine="720"/>
        <w:rPr>
          <w:rFonts w:ascii="Arial" w:hAnsi="Arial" w:cs="Arial"/>
          <w:sz w:val="24"/>
          <w:szCs w:val="24"/>
        </w:rPr>
      </w:pPr>
      <w:r w:rsidRPr="00AA4B12">
        <w:rPr>
          <w:rFonts w:ascii="Arial" w:hAnsi="Arial" w:cs="Arial"/>
          <w:sz w:val="24"/>
          <w:szCs w:val="24"/>
        </w:rPr>
        <w:t xml:space="preserve">DVA Continuity Schedule </w:t>
      </w:r>
    </w:p>
    <w:p w14:paraId="30158951" w14:textId="77777777" w:rsidR="00070D61" w:rsidRPr="00AA4B12" w:rsidRDefault="00070D61" w:rsidP="00AA4B12">
      <w:pPr>
        <w:spacing w:after="0"/>
        <w:ind w:firstLine="720"/>
        <w:rPr>
          <w:rFonts w:ascii="Arial" w:hAnsi="Arial" w:cs="Arial"/>
          <w:sz w:val="24"/>
          <w:szCs w:val="24"/>
        </w:rPr>
      </w:pPr>
      <w:r w:rsidRPr="00AA4B12">
        <w:rPr>
          <w:rFonts w:ascii="Arial" w:hAnsi="Arial" w:cs="Arial"/>
          <w:sz w:val="24"/>
          <w:szCs w:val="24"/>
        </w:rPr>
        <w:t xml:space="preserve">Excerpt from CPUC’s 2015 GA Workform Note 5– Reconciling items 1b and 2a: </w:t>
      </w:r>
    </w:p>
    <w:p w14:paraId="4541C7A9" w14:textId="77777777" w:rsidR="00070D61" w:rsidRPr="00AA4B12" w:rsidRDefault="00070D61" w:rsidP="00AA4B12">
      <w:pPr>
        <w:spacing w:after="0"/>
        <w:rPr>
          <w:rFonts w:ascii="Arial" w:hAnsi="Arial" w:cs="Arial"/>
          <w:sz w:val="24"/>
          <w:szCs w:val="24"/>
        </w:rPr>
      </w:pPr>
    </w:p>
    <w:p w14:paraId="07957311"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Preamble:</w:t>
      </w:r>
    </w:p>
    <w:p w14:paraId="0B6C1065" w14:textId="77777777" w:rsidR="00070D61" w:rsidRPr="00AA4B12" w:rsidRDefault="00070D61" w:rsidP="00AA4B12">
      <w:pPr>
        <w:spacing w:after="0"/>
        <w:rPr>
          <w:rFonts w:ascii="Arial" w:hAnsi="Arial" w:cs="Arial"/>
          <w:b/>
          <w:sz w:val="24"/>
          <w:szCs w:val="24"/>
        </w:rPr>
      </w:pPr>
    </w:p>
    <w:p w14:paraId="4BBDB587"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 xml:space="preserve">Excerpt from CPUC’s 2015 GA Workform Note 5– Reconciling items 1b and 2a: </w:t>
      </w:r>
    </w:p>
    <w:p w14:paraId="47E9D6C8" w14:textId="77777777" w:rsidR="00070D61" w:rsidRPr="00AA4B12" w:rsidRDefault="00070D61" w:rsidP="00AA4B12">
      <w:pPr>
        <w:spacing w:after="0"/>
        <w:rPr>
          <w:rFonts w:ascii="Arial" w:hAnsi="Arial" w:cs="Arial"/>
          <w:sz w:val="24"/>
          <w:szCs w:val="24"/>
        </w:rPr>
      </w:pPr>
    </w:p>
    <w:p w14:paraId="70E18F38" w14:textId="77777777" w:rsidR="00070D61" w:rsidRPr="00AA4B12" w:rsidRDefault="00070D61" w:rsidP="00AA4B12">
      <w:pPr>
        <w:spacing w:after="0"/>
        <w:rPr>
          <w:rFonts w:ascii="Arial" w:hAnsi="Arial" w:cs="Arial"/>
          <w:sz w:val="24"/>
          <w:szCs w:val="24"/>
        </w:rPr>
      </w:pPr>
      <w:r w:rsidRPr="00AA4B12">
        <w:rPr>
          <w:rFonts w:ascii="Arial" w:hAnsi="Arial" w:cs="Arial"/>
          <w:noProof/>
          <w:sz w:val="24"/>
          <w:szCs w:val="24"/>
          <w:lang w:val="en-US"/>
        </w:rPr>
        <w:drawing>
          <wp:inline distT="0" distB="0" distL="0" distR="0" wp14:anchorId="4F29938A" wp14:editId="090DF5CB">
            <wp:extent cx="5943600" cy="3289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8930"/>
                    </a:xfrm>
                    <a:prstGeom prst="rect">
                      <a:avLst/>
                    </a:prstGeom>
                  </pic:spPr>
                </pic:pic>
              </a:graphicData>
            </a:graphic>
          </wp:inline>
        </w:drawing>
      </w:r>
    </w:p>
    <w:p w14:paraId="18404C03" w14:textId="77777777" w:rsidR="00070D61" w:rsidRPr="00AA4B12" w:rsidRDefault="00070D61" w:rsidP="00AA4B12">
      <w:pPr>
        <w:spacing w:after="0"/>
        <w:rPr>
          <w:rFonts w:ascii="Arial" w:hAnsi="Arial" w:cs="Arial"/>
          <w:sz w:val="24"/>
          <w:szCs w:val="24"/>
        </w:rPr>
      </w:pPr>
    </w:p>
    <w:p w14:paraId="75B0BB85"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 xml:space="preserve">The GA Workform is designed as a reasonability test to determine if the utility has correctly calculated the amount proposed for disposition. Under Note 4, an expected amount is calculated based on the revenues and expenses related to consumption for the year. The reconciling items under Note 5 begin with the transactions that the utility recorded in its </w:t>
      </w:r>
      <w:r w:rsidRPr="002245FE">
        <w:rPr>
          <w:rFonts w:ascii="Arial" w:hAnsi="Arial" w:cs="Arial"/>
          <w:noProof/>
          <w:sz w:val="24"/>
          <w:szCs w:val="24"/>
        </w:rPr>
        <w:t>GL,</w:t>
      </w:r>
      <w:r w:rsidRPr="00AA4B12">
        <w:rPr>
          <w:rFonts w:ascii="Arial" w:hAnsi="Arial" w:cs="Arial"/>
          <w:sz w:val="24"/>
          <w:szCs w:val="24"/>
        </w:rPr>
        <w:t xml:space="preserve"> and adjusted for the timing differences, and allocation of GA costs based on actual </w:t>
      </w:r>
      <w:r w:rsidRPr="002245FE">
        <w:rPr>
          <w:rFonts w:ascii="Arial" w:hAnsi="Arial" w:cs="Arial"/>
          <w:noProof/>
          <w:sz w:val="24"/>
          <w:szCs w:val="24"/>
        </w:rPr>
        <w:t>non</w:t>
      </w:r>
      <w:r w:rsidRPr="00AA4B12">
        <w:rPr>
          <w:rFonts w:ascii="Arial" w:hAnsi="Arial" w:cs="Arial"/>
          <w:sz w:val="24"/>
          <w:szCs w:val="24"/>
        </w:rPr>
        <w:t xml:space="preserve">-RPP consumption for the year. </w:t>
      </w:r>
    </w:p>
    <w:p w14:paraId="1816D282" w14:textId="77777777" w:rsidR="00070D61" w:rsidRPr="00AA4B12" w:rsidRDefault="00070D61" w:rsidP="00AA4B12">
      <w:pPr>
        <w:spacing w:after="0"/>
        <w:rPr>
          <w:rFonts w:ascii="Arial" w:hAnsi="Arial" w:cs="Arial"/>
          <w:sz w:val="24"/>
          <w:szCs w:val="24"/>
        </w:rPr>
      </w:pPr>
    </w:p>
    <w:p w14:paraId="3E967C00"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Questions:</w:t>
      </w:r>
    </w:p>
    <w:p w14:paraId="2E1FDD60" w14:textId="77777777" w:rsidR="00070D61" w:rsidRPr="00AA4B12" w:rsidRDefault="00070D61" w:rsidP="00AA4B12">
      <w:pPr>
        <w:spacing w:after="0"/>
        <w:rPr>
          <w:rFonts w:ascii="Arial" w:hAnsi="Arial" w:cs="Arial"/>
          <w:sz w:val="24"/>
          <w:szCs w:val="24"/>
        </w:rPr>
      </w:pPr>
    </w:p>
    <w:p w14:paraId="177C6965" w14:textId="77777777" w:rsidR="00070D61" w:rsidRPr="00AA4B12" w:rsidRDefault="00070D61" w:rsidP="00E2382A">
      <w:pPr>
        <w:pStyle w:val="ListParagraph"/>
        <w:numPr>
          <w:ilvl w:val="0"/>
          <w:numId w:val="10"/>
        </w:numPr>
        <w:spacing w:after="0"/>
        <w:rPr>
          <w:rFonts w:ascii="Arial" w:hAnsi="Arial" w:cs="Arial"/>
          <w:sz w:val="24"/>
          <w:szCs w:val="24"/>
        </w:rPr>
      </w:pPr>
      <w:r w:rsidRPr="00AA4B12">
        <w:rPr>
          <w:rFonts w:ascii="Arial" w:hAnsi="Arial" w:cs="Arial"/>
          <w:sz w:val="24"/>
          <w:szCs w:val="24"/>
        </w:rPr>
        <w:t>Please discuss the credit amount shown under 1b for:</w:t>
      </w:r>
    </w:p>
    <w:p w14:paraId="1AE4000A" w14:textId="77777777" w:rsidR="00070D61" w:rsidRPr="00AA4B12" w:rsidRDefault="00070D61" w:rsidP="00AA4B12">
      <w:pPr>
        <w:pStyle w:val="ListParagraph"/>
        <w:spacing w:after="0"/>
        <w:rPr>
          <w:rFonts w:ascii="Arial" w:hAnsi="Arial" w:cs="Arial"/>
          <w:sz w:val="24"/>
          <w:szCs w:val="24"/>
        </w:rPr>
      </w:pPr>
    </w:p>
    <w:p w14:paraId="37E249E3" w14:textId="77777777" w:rsidR="00070D61" w:rsidRPr="00AA4B12" w:rsidRDefault="00070D61" w:rsidP="00E2382A">
      <w:pPr>
        <w:pStyle w:val="ListParagraph"/>
        <w:numPr>
          <w:ilvl w:val="1"/>
          <w:numId w:val="15"/>
        </w:numPr>
        <w:spacing w:after="0"/>
        <w:rPr>
          <w:rFonts w:ascii="Arial" w:hAnsi="Arial" w:cs="Arial"/>
          <w:sz w:val="24"/>
          <w:szCs w:val="24"/>
        </w:rPr>
      </w:pPr>
      <w:r w:rsidRPr="00AA4B12">
        <w:rPr>
          <w:rFonts w:ascii="Arial" w:hAnsi="Arial" w:cs="Arial"/>
          <w:sz w:val="24"/>
          <w:szCs w:val="24"/>
        </w:rPr>
        <w:t xml:space="preserve">When was it recorded in CPUC’s GL, </w:t>
      </w:r>
    </w:p>
    <w:p w14:paraId="7F396386" w14:textId="77777777" w:rsidR="00070D61" w:rsidRPr="00AA4B12" w:rsidRDefault="00070D61" w:rsidP="00E2382A">
      <w:pPr>
        <w:pStyle w:val="ListParagraph"/>
        <w:numPr>
          <w:ilvl w:val="1"/>
          <w:numId w:val="15"/>
        </w:numPr>
        <w:spacing w:after="0"/>
        <w:rPr>
          <w:rFonts w:ascii="Arial" w:hAnsi="Arial" w:cs="Arial"/>
          <w:sz w:val="24"/>
          <w:szCs w:val="24"/>
        </w:rPr>
      </w:pPr>
      <w:r w:rsidRPr="00AA4B12">
        <w:rPr>
          <w:rFonts w:ascii="Arial" w:hAnsi="Arial" w:cs="Arial"/>
          <w:sz w:val="24"/>
          <w:szCs w:val="24"/>
        </w:rPr>
        <w:t xml:space="preserve">how was it determined. </w:t>
      </w:r>
    </w:p>
    <w:p w14:paraId="57AC189E" w14:textId="702806C1" w:rsidR="00070D61" w:rsidRPr="00AA4B12" w:rsidRDefault="00070D61" w:rsidP="00E2382A">
      <w:pPr>
        <w:pStyle w:val="ListParagraph"/>
        <w:numPr>
          <w:ilvl w:val="1"/>
          <w:numId w:val="15"/>
        </w:numPr>
        <w:spacing w:after="0"/>
        <w:rPr>
          <w:rFonts w:ascii="Arial" w:hAnsi="Arial" w:cs="Arial"/>
          <w:sz w:val="24"/>
          <w:szCs w:val="24"/>
        </w:rPr>
      </w:pPr>
      <w:r w:rsidRPr="00AA4B12">
        <w:rPr>
          <w:rFonts w:ascii="Arial" w:hAnsi="Arial" w:cs="Arial"/>
          <w:sz w:val="24"/>
          <w:szCs w:val="24"/>
        </w:rPr>
        <w:t xml:space="preserve">Is it related to </w:t>
      </w:r>
      <w:r w:rsidR="002245FE">
        <w:rPr>
          <w:rFonts w:ascii="Arial" w:hAnsi="Arial" w:cs="Arial"/>
          <w:sz w:val="24"/>
          <w:szCs w:val="24"/>
        </w:rPr>
        <w:t xml:space="preserve">the </w:t>
      </w:r>
      <w:r w:rsidRPr="002245FE">
        <w:rPr>
          <w:rFonts w:ascii="Arial" w:hAnsi="Arial" w:cs="Arial"/>
          <w:noProof/>
          <w:sz w:val="24"/>
          <w:szCs w:val="24"/>
        </w:rPr>
        <w:t>allocation</w:t>
      </w:r>
      <w:r w:rsidRPr="00AA4B12">
        <w:rPr>
          <w:rFonts w:ascii="Arial" w:hAnsi="Arial" w:cs="Arial"/>
          <w:sz w:val="24"/>
          <w:szCs w:val="24"/>
        </w:rPr>
        <w:t xml:space="preserve"> of CT 148?</w:t>
      </w:r>
    </w:p>
    <w:p w14:paraId="003958DE" w14:textId="77777777" w:rsidR="00070D61" w:rsidRPr="00AA4B12" w:rsidRDefault="00070D61" w:rsidP="00AA4B12">
      <w:pPr>
        <w:pStyle w:val="ListParagraph"/>
        <w:spacing w:after="0"/>
        <w:ind w:left="1440"/>
        <w:rPr>
          <w:rFonts w:ascii="Arial" w:hAnsi="Arial" w:cs="Arial"/>
          <w:sz w:val="24"/>
          <w:szCs w:val="24"/>
        </w:rPr>
      </w:pPr>
    </w:p>
    <w:p w14:paraId="3312EC9B" w14:textId="6087B40A" w:rsidR="00070D61" w:rsidRDefault="00070D61" w:rsidP="00E2382A">
      <w:pPr>
        <w:pStyle w:val="ListParagraph"/>
        <w:numPr>
          <w:ilvl w:val="0"/>
          <w:numId w:val="10"/>
        </w:numPr>
        <w:spacing w:after="0"/>
        <w:rPr>
          <w:rFonts w:ascii="Arial" w:hAnsi="Arial" w:cs="Arial"/>
          <w:sz w:val="24"/>
          <w:szCs w:val="24"/>
        </w:rPr>
      </w:pPr>
      <w:r w:rsidRPr="00AA4B12">
        <w:rPr>
          <w:rFonts w:ascii="Arial" w:hAnsi="Arial" w:cs="Arial"/>
          <w:sz w:val="24"/>
          <w:szCs w:val="24"/>
        </w:rPr>
        <w:t>Please discuss the credit amount of $18,940 shown under 2a. OEB staff notes that as per the description for item 2a, it relates to the previous year when it would have been a current year adjustment on the GA Workform. However, CPUC has not shown it as an adjustment in the previous year under 2b. Please provide CPUC’s rationale for not showing it as 2b in the previous year (2014) GA Workform, but including it under 2a in 2015.</w:t>
      </w:r>
    </w:p>
    <w:p w14:paraId="750AB4EE" w14:textId="77777777" w:rsidR="0065509F" w:rsidRDefault="0065509F" w:rsidP="00A60D7B">
      <w:pPr>
        <w:spacing w:after="0"/>
        <w:rPr>
          <w:rFonts w:ascii="Arial" w:eastAsia="Times New Roman" w:hAnsi="Arial" w:cs="Arial"/>
          <w:color w:val="0070C0"/>
          <w:sz w:val="24"/>
          <w:szCs w:val="24"/>
        </w:rPr>
      </w:pPr>
    </w:p>
    <w:p w14:paraId="4905D36D" w14:textId="77777777" w:rsidR="0065509F" w:rsidRDefault="0065509F" w:rsidP="00A60D7B">
      <w:pPr>
        <w:spacing w:after="0"/>
        <w:rPr>
          <w:rFonts w:ascii="Arial" w:eastAsia="Times New Roman" w:hAnsi="Arial" w:cs="Arial"/>
          <w:color w:val="0070C0"/>
          <w:sz w:val="24"/>
          <w:szCs w:val="24"/>
        </w:rPr>
      </w:pPr>
    </w:p>
    <w:p w14:paraId="1422687B" w14:textId="36CBF1BE" w:rsidR="00A60D7B" w:rsidRPr="00E55CF7" w:rsidRDefault="00A60D7B" w:rsidP="00A60D7B">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lastRenderedPageBreak/>
        <w:t xml:space="preserve">Responses: </w:t>
      </w:r>
    </w:p>
    <w:p w14:paraId="5112DB98" w14:textId="0034A870" w:rsidR="00A60D7B" w:rsidRDefault="0065509F" w:rsidP="00E2382A">
      <w:pPr>
        <w:pStyle w:val="ListParagraph"/>
        <w:numPr>
          <w:ilvl w:val="1"/>
          <w:numId w:val="2"/>
        </w:numPr>
        <w:spacing w:after="0"/>
        <w:rPr>
          <w:rFonts w:ascii="Arial" w:eastAsia="Times New Roman" w:hAnsi="Arial" w:cs="Arial"/>
          <w:color w:val="0070C0"/>
          <w:sz w:val="24"/>
          <w:szCs w:val="24"/>
        </w:rPr>
      </w:pPr>
      <w:r>
        <w:rPr>
          <w:rFonts w:ascii="Arial" w:eastAsia="Times New Roman" w:hAnsi="Arial" w:cs="Arial"/>
          <w:color w:val="0070C0"/>
          <w:sz w:val="24"/>
          <w:szCs w:val="24"/>
        </w:rPr>
        <w:t>And b)  the issue has been rectified in the GA Workform filed along with these responses.</w:t>
      </w:r>
    </w:p>
    <w:p w14:paraId="513374B8" w14:textId="3E1189CA" w:rsidR="00A60D7B" w:rsidRDefault="00A60D7B" w:rsidP="00A60D7B">
      <w:pPr>
        <w:pStyle w:val="ListParagraph"/>
        <w:spacing w:after="0"/>
        <w:rPr>
          <w:rFonts w:ascii="Arial" w:eastAsia="Times New Roman" w:hAnsi="Arial" w:cs="Arial"/>
          <w:color w:val="0070C0"/>
          <w:sz w:val="24"/>
          <w:szCs w:val="24"/>
        </w:rPr>
      </w:pPr>
    </w:p>
    <w:p w14:paraId="72AA1A03" w14:textId="0367D6DF" w:rsidR="00070D61" w:rsidRPr="00AA4B12" w:rsidRDefault="00153909" w:rsidP="000E66E5">
      <w:pPr>
        <w:pStyle w:val="Heading2"/>
        <w:numPr>
          <w:ilvl w:val="0"/>
          <w:numId w:val="0"/>
        </w:numPr>
      </w:pPr>
      <w:r>
        <w:t>9-Staff-91</w:t>
      </w:r>
      <w:r w:rsidR="00CC3916">
        <w:t xml:space="preserve"> </w:t>
      </w:r>
    </w:p>
    <w:p w14:paraId="02B4D94F" w14:textId="77777777" w:rsidR="00070D61" w:rsidRPr="00AA4B12" w:rsidRDefault="00070D61" w:rsidP="00AA4B12">
      <w:pPr>
        <w:spacing w:after="0"/>
        <w:rPr>
          <w:rFonts w:ascii="Arial" w:hAnsi="Arial" w:cs="Arial"/>
          <w:b/>
          <w:sz w:val="24"/>
          <w:szCs w:val="24"/>
        </w:rPr>
      </w:pPr>
    </w:p>
    <w:p w14:paraId="6F0154AF"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Excerpt from CPUC’s 2016 GA Workform Note 5– Reconciling item 2a</w:t>
      </w:r>
    </w:p>
    <w:p w14:paraId="211AA521" w14:textId="77777777" w:rsidR="00070D61" w:rsidRPr="00AA4B12" w:rsidRDefault="00070D61" w:rsidP="00AA4B12">
      <w:pPr>
        <w:spacing w:after="0"/>
        <w:rPr>
          <w:rFonts w:ascii="Arial" w:hAnsi="Arial" w:cs="Arial"/>
          <w:b/>
          <w:sz w:val="24"/>
          <w:szCs w:val="24"/>
        </w:rPr>
      </w:pPr>
    </w:p>
    <w:p w14:paraId="163DAE98"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Preamble:</w:t>
      </w:r>
    </w:p>
    <w:p w14:paraId="575FBB42" w14:textId="77777777" w:rsidR="00070D61" w:rsidRPr="00AA4B12" w:rsidRDefault="00070D61" w:rsidP="00AA4B12">
      <w:pPr>
        <w:spacing w:after="0"/>
        <w:rPr>
          <w:rFonts w:ascii="Arial" w:hAnsi="Arial" w:cs="Arial"/>
          <w:b/>
          <w:sz w:val="24"/>
          <w:szCs w:val="24"/>
        </w:rPr>
      </w:pPr>
    </w:p>
    <w:p w14:paraId="0E9FBC1B"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 xml:space="preserve">Excerpt from CPUC’s 2016 GA Workform Note 5– Reconciling item 2a: </w:t>
      </w:r>
    </w:p>
    <w:p w14:paraId="21000538" w14:textId="77777777" w:rsidR="00070D61" w:rsidRPr="00AA4B12" w:rsidRDefault="00070D61" w:rsidP="00AA4B12">
      <w:pPr>
        <w:spacing w:after="0"/>
        <w:rPr>
          <w:rFonts w:ascii="Arial" w:hAnsi="Arial" w:cs="Arial"/>
          <w:b/>
          <w:sz w:val="24"/>
          <w:szCs w:val="24"/>
        </w:rPr>
      </w:pPr>
      <w:r w:rsidRPr="00AA4B12">
        <w:rPr>
          <w:rFonts w:ascii="Arial" w:hAnsi="Arial" w:cs="Arial"/>
          <w:noProof/>
          <w:sz w:val="24"/>
          <w:szCs w:val="24"/>
          <w:lang w:val="en-US"/>
        </w:rPr>
        <w:drawing>
          <wp:inline distT="0" distB="0" distL="0" distR="0" wp14:anchorId="779B2C5B" wp14:editId="1701A76E">
            <wp:extent cx="5943600" cy="2413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41300"/>
                    </a:xfrm>
                    <a:prstGeom prst="rect">
                      <a:avLst/>
                    </a:prstGeom>
                  </pic:spPr>
                </pic:pic>
              </a:graphicData>
            </a:graphic>
          </wp:inline>
        </w:drawing>
      </w:r>
    </w:p>
    <w:p w14:paraId="18D4EBAB" w14:textId="77777777" w:rsidR="00070D61" w:rsidRPr="00AA4B12" w:rsidRDefault="00070D61" w:rsidP="00AA4B12">
      <w:pPr>
        <w:spacing w:after="0"/>
        <w:rPr>
          <w:rFonts w:ascii="Arial" w:hAnsi="Arial" w:cs="Arial"/>
          <w:sz w:val="24"/>
          <w:szCs w:val="24"/>
        </w:rPr>
      </w:pPr>
    </w:p>
    <w:p w14:paraId="3B61CD0C"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Question:</w:t>
      </w:r>
    </w:p>
    <w:p w14:paraId="32041B9A" w14:textId="77777777" w:rsidR="00070D61" w:rsidRPr="00AA4B12" w:rsidRDefault="00070D61" w:rsidP="00AA4B12">
      <w:pPr>
        <w:spacing w:after="0"/>
        <w:rPr>
          <w:rFonts w:ascii="Arial" w:hAnsi="Arial" w:cs="Arial"/>
          <w:sz w:val="24"/>
          <w:szCs w:val="24"/>
        </w:rPr>
      </w:pPr>
    </w:p>
    <w:p w14:paraId="62A3BF68" w14:textId="77777777" w:rsidR="00070D61" w:rsidRPr="00AA4B12" w:rsidRDefault="00070D61" w:rsidP="00E2382A">
      <w:pPr>
        <w:pStyle w:val="ListParagraph"/>
        <w:numPr>
          <w:ilvl w:val="0"/>
          <w:numId w:val="11"/>
        </w:numPr>
        <w:spacing w:after="0"/>
        <w:rPr>
          <w:rFonts w:ascii="Arial" w:hAnsi="Arial" w:cs="Arial"/>
          <w:sz w:val="24"/>
          <w:szCs w:val="24"/>
        </w:rPr>
      </w:pPr>
      <w:r w:rsidRPr="00AA4B12">
        <w:rPr>
          <w:rFonts w:ascii="Arial" w:hAnsi="Arial" w:cs="Arial"/>
          <w:sz w:val="24"/>
          <w:szCs w:val="24"/>
        </w:rPr>
        <w:t>Please describe what the amount 2a is about, and why is the exact same number not included under 2b (with opposite sign) in the previous year?</w:t>
      </w:r>
    </w:p>
    <w:p w14:paraId="3EF2D82A" w14:textId="77777777" w:rsidR="00070D61" w:rsidRPr="00AA4B12" w:rsidRDefault="00070D61" w:rsidP="00AA4B12">
      <w:pPr>
        <w:spacing w:after="0"/>
        <w:rPr>
          <w:rFonts w:ascii="Arial" w:hAnsi="Arial" w:cs="Arial"/>
          <w:sz w:val="24"/>
          <w:szCs w:val="24"/>
        </w:rPr>
      </w:pPr>
    </w:p>
    <w:p w14:paraId="055BA5DE" w14:textId="77777777" w:rsidR="00070D61" w:rsidRPr="00AA4B12" w:rsidRDefault="00070D61" w:rsidP="00AA4B12">
      <w:pPr>
        <w:spacing w:after="0"/>
        <w:rPr>
          <w:rFonts w:ascii="Arial" w:hAnsi="Arial" w:cs="Arial"/>
          <w:sz w:val="24"/>
          <w:szCs w:val="24"/>
        </w:rPr>
      </w:pPr>
    </w:p>
    <w:p w14:paraId="7BBCDB01" w14:textId="77777777" w:rsidR="00CC3916" w:rsidRPr="00E55CF7" w:rsidRDefault="00CC3916" w:rsidP="00CC3916">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56F1D08B" w14:textId="70E07EE8" w:rsidR="0065509F" w:rsidRDefault="0065509F" w:rsidP="00E2382A">
      <w:pPr>
        <w:pStyle w:val="ListParagraph"/>
        <w:numPr>
          <w:ilvl w:val="0"/>
          <w:numId w:val="36"/>
        </w:numPr>
        <w:spacing w:after="0"/>
        <w:rPr>
          <w:rFonts w:ascii="Arial" w:eastAsia="Times New Roman" w:hAnsi="Arial" w:cs="Arial"/>
          <w:color w:val="0070C0"/>
          <w:sz w:val="24"/>
          <w:szCs w:val="24"/>
        </w:rPr>
      </w:pPr>
      <w:r>
        <w:rPr>
          <w:rFonts w:ascii="Arial" w:eastAsia="Times New Roman" w:hAnsi="Arial" w:cs="Arial"/>
          <w:color w:val="0070C0"/>
          <w:sz w:val="24"/>
          <w:szCs w:val="24"/>
        </w:rPr>
        <w:t>The issue has been rectified in the GA Workform filed along with these responses.</w:t>
      </w:r>
    </w:p>
    <w:p w14:paraId="2C8B4579" w14:textId="77777777" w:rsidR="00886A08" w:rsidRDefault="00886A08">
      <w:pPr>
        <w:rPr>
          <w:rFonts w:ascii="Arial" w:eastAsiaTheme="majorEastAsia" w:hAnsi="Arial" w:cstheme="majorBidi"/>
          <w:b/>
          <w:sz w:val="28"/>
          <w:szCs w:val="26"/>
          <w:lang w:val="en-US"/>
        </w:rPr>
      </w:pPr>
      <w:r>
        <w:br w:type="page"/>
      </w:r>
    </w:p>
    <w:p w14:paraId="27F6EAA0" w14:textId="41AAD705" w:rsidR="00070D61" w:rsidRPr="00886A08" w:rsidRDefault="00153909" w:rsidP="00886A08">
      <w:pPr>
        <w:pStyle w:val="Heading2"/>
        <w:numPr>
          <w:ilvl w:val="0"/>
          <w:numId w:val="0"/>
        </w:numPr>
      </w:pPr>
      <w:r w:rsidRPr="00886A08">
        <w:lastRenderedPageBreak/>
        <w:t>9-</w:t>
      </w:r>
      <w:r w:rsidR="004874E6" w:rsidRPr="00886A08">
        <w:t>S</w:t>
      </w:r>
      <w:r w:rsidRPr="00886A08">
        <w:t>taff-92</w:t>
      </w:r>
      <w:r w:rsidR="00CC3916">
        <w:t xml:space="preserve"> </w:t>
      </w:r>
    </w:p>
    <w:p w14:paraId="4693BFB6" w14:textId="77777777" w:rsidR="00070D61" w:rsidRPr="00AA4B12" w:rsidRDefault="00070D61" w:rsidP="00AA4B12">
      <w:pPr>
        <w:spacing w:after="0"/>
        <w:rPr>
          <w:rFonts w:ascii="Arial" w:hAnsi="Arial" w:cs="Arial"/>
          <w:b/>
          <w:sz w:val="24"/>
          <w:szCs w:val="24"/>
        </w:rPr>
      </w:pPr>
    </w:p>
    <w:p w14:paraId="2D2E7CD0"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 xml:space="preserve">Ref: </w:t>
      </w:r>
      <w:r w:rsidRPr="00AA4B12">
        <w:rPr>
          <w:rFonts w:ascii="Arial" w:hAnsi="Arial" w:cs="Arial"/>
          <w:sz w:val="24"/>
          <w:szCs w:val="24"/>
        </w:rPr>
        <w:tab/>
        <w:t>2017 – Reconciling items Note 5</w:t>
      </w:r>
    </w:p>
    <w:p w14:paraId="6B770D47" w14:textId="77777777" w:rsidR="00070D61" w:rsidRPr="00AA4B12" w:rsidRDefault="00070D61" w:rsidP="00AA4B12">
      <w:pPr>
        <w:spacing w:after="0"/>
        <w:rPr>
          <w:rFonts w:ascii="Arial" w:hAnsi="Arial" w:cs="Arial"/>
          <w:sz w:val="24"/>
          <w:szCs w:val="24"/>
        </w:rPr>
      </w:pPr>
    </w:p>
    <w:p w14:paraId="51455534"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Questions:</w:t>
      </w:r>
    </w:p>
    <w:p w14:paraId="6BE281D5" w14:textId="77777777" w:rsidR="00070D61" w:rsidRPr="00AA4B12" w:rsidRDefault="00070D61" w:rsidP="00AA4B12">
      <w:pPr>
        <w:spacing w:after="0"/>
        <w:rPr>
          <w:rFonts w:ascii="Arial" w:hAnsi="Arial" w:cs="Arial"/>
          <w:sz w:val="24"/>
          <w:szCs w:val="24"/>
        </w:rPr>
      </w:pPr>
    </w:p>
    <w:p w14:paraId="6B9BAF54" w14:textId="77777777" w:rsidR="00070D61" w:rsidRPr="00AA4B12" w:rsidRDefault="00070D61" w:rsidP="00E2382A">
      <w:pPr>
        <w:pStyle w:val="ListParagraph"/>
        <w:numPr>
          <w:ilvl w:val="0"/>
          <w:numId w:val="12"/>
        </w:numPr>
        <w:spacing w:after="0"/>
        <w:rPr>
          <w:rFonts w:ascii="Arial" w:hAnsi="Arial" w:cs="Arial"/>
          <w:sz w:val="24"/>
          <w:szCs w:val="24"/>
        </w:rPr>
      </w:pPr>
      <w:r w:rsidRPr="00AA4B12">
        <w:rPr>
          <w:rFonts w:ascii="Arial" w:hAnsi="Arial" w:cs="Arial"/>
          <w:sz w:val="24"/>
          <w:szCs w:val="24"/>
        </w:rPr>
        <w:t>Please describe the reasons for not having any adjustments under Note 5 in 2017.</w:t>
      </w:r>
    </w:p>
    <w:p w14:paraId="4EA21988" w14:textId="77777777" w:rsidR="00070D61" w:rsidRPr="00AA4B12" w:rsidRDefault="00070D61" w:rsidP="00AA4B12">
      <w:pPr>
        <w:pStyle w:val="ListParagraph"/>
        <w:spacing w:after="0"/>
        <w:rPr>
          <w:rFonts w:ascii="Arial" w:hAnsi="Arial" w:cs="Arial"/>
          <w:sz w:val="24"/>
          <w:szCs w:val="24"/>
        </w:rPr>
      </w:pPr>
    </w:p>
    <w:p w14:paraId="3BBA6587" w14:textId="77777777" w:rsidR="00070D61" w:rsidRPr="00AA4B12" w:rsidRDefault="00070D61" w:rsidP="00E2382A">
      <w:pPr>
        <w:pStyle w:val="ListParagraph"/>
        <w:numPr>
          <w:ilvl w:val="0"/>
          <w:numId w:val="12"/>
        </w:numPr>
        <w:spacing w:after="0"/>
        <w:rPr>
          <w:rFonts w:ascii="Arial" w:hAnsi="Arial" w:cs="Arial"/>
          <w:sz w:val="24"/>
          <w:szCs w:val="24"/>
        </w:rPr>
      </w:pPr>
      <w:r w:rsidRPr="00AA4B12">
        <w:rPr>
          <w:rFonts w:ascii="Arial" w:hAnsi="Arial" w:cs="Arial"/>
          <w:sz w:val="24"/>
          <w:szCs w:val="24"/>
        </w:rPr>
        <w:t>Please describe CPUC’s processes with respect to allocating CT 148 to Accounts 4705 and 4707, including true-up processes.</w:t>
      </w:r>
    </w:p>
    <w:p w14:paraId="78D5ADD4" w14:textId="77777777" w:rsidR="00070D61" w:rsidRPr="00AA4B12" w:rsidRDefault="00070D61" w:rsidP="00AA4B12">
      <w:pPr>
        <w:spacing w:after="0"/>
        <w:rPr>
          <w:rFonts w:ascii="Arial" w:hAnsi="Arial" w:cs="Arial"/>
          <w:sz w:val="24"/>
          <w:szCs w:val="24"/>
        </w:rPr>
      </w:pPr>
    </w:p>
    <w:p w14:paraId="387A8A4A" w14:textId="77777777" w:rsidR="00070D61" w:rsidRPr="00AA4B12" w:rsidRDefault="00070D61" w:rsidP="00AA4B12">
      <w:pPr>
        <w:spacing w:after="0"/>
        <w:rPr>
          <w:rFonts w:ascii="Arial" w:hAnsi="Arial" w:cs="Arial"/>
          <w:sz w:val="24"/>
          <w:szCs w:val="24"/>
        </w:rPr>
      </w:pPr>
    </w:p>
    <w:p w14:paraId="23F8CFB0"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6DB8B862" w14:textId="77777777" w:rsidR="0065509F" w:rsidRDefault="0065509F" w:rsidP="00E2382A">
      <w:pPr>
        <w:pStyle w:val="ListParagraph"/>
        <w:numPr>
          <w:ilvl w:val="0"/>
          <w:numId w:val="37"/>
        </w:numPr>
        <w:spacing w:after="0"/>
        <w:rPr>
          <w:rFonts w:ascii="Arial" w:eastAsia="Times New Roman" w:hAnsi="Arial" w:cs="Arial"/>
          <w:color w:val="0070C0"/>
          <w:sz w:val="24"/>
          <w:szCs w:val="24"/>
        </w:rPr>
      </w:pPr>
      <w:r>
        <w:rPr>
          <w:rFonts w:ascii="Arial" w:eastAsia="Times New Roman" w:hAnsi="Arial" w:cs="Arial"/>
          <w:color w:val="0070C0"/>
          <w:sz w:val="24"/>
          <w:szCs w:val="24"/>
        </w:rPr>
        <w:t>The issue has been rectified in the GA Workform filed along with these responses.</w:t>
      </w:r>
    </w:p>
    <w:p w14:paraId="270BAE23" w14:textId="77777777" w:rsidR="00764FC4" w:rsidRPr="00CD4C71" w:rsidRDefault="00764FC4" w:rsidP="00764FC4">
      <w:pPr>
        <w:spacing w:after="0"/>
        <w:rPr>
          <w:rFonts w:ascii="Arial" w:eastAsia="Times New Roman" w:hAnsi="Arial" w:cs="Arial"/>
          <w:color w:val="0070C0"/>
          <w:sz w:val="24"/>
          <w:szCs w:val="24"/>
        </w:rPr>
      </w:pPr>
    </w:p>
    <w:p w14:paraId="3617FB1A" w14:textId="1BFC7335" w:rsidR="00764FC4" w:rsidRPr="00CD4C71" w:rsidRDefault="008C5452" w:rsidP="00E2382A">
      <w:pPr>
        <w:pStyle w:val="ListParagraph"/>
        <w:numPr>
          <w:ilvl w:val="0"/>
          <w:numId w:val="37"/>
        </w:numPr>
        <w:spacing w:after="0"/>
        <w:rPr>
          <w:rFonts w:ascii="Arial" w:eastAsia="Times New Roman" w:hAnsi="Arial" w:cs="Arial"/>
          <w:color w:val="0070C0"/>
          <w:sz w:val="24"/>
          <w:szCs w:val="24"/>
        </w:rPr>
      </w:pPr>
      <w:r w:rsidRPr="008C5452">
        <w:rPr>
          <w:rFonts w:ascii="Arial" w:eastAsia="Times New Roman" w:hAnsi="Arial" w:cs="Arial"/>
          <w:color w:val="0070C0"/>
          <w:sz w:val="24"/>
          <w:szCs w:val="24"/>
        </w:rPr>
        <w:t>CT 148 from IESO invoice is booked into Account 4705 Power Purchased first.  Once this is completed, an analysis is completed to pro-rate the data between 4705 and 4705.100 based on RPP/</w:t>
      </w:r>
      <w:r w:rsidRPr="002245FE">
        <w:rPr>
          <w:rFonts w:ascii="Arial" w:eastAsia="Times New Roman" w:hAnsi="Arial" w:cs="Arial"/>
          <w:noProof/>
          <w:color w:val="0070C0"/>
          <w:sz w:val="24"/>
          <w:szCs w:val="24"/>
        </w:rPr>
        <w:t>non</w:t>
      </w:r>
      <w:r w:rsidRPr="008C5452">
        <w:rPr>
          <w:rFonts w:ascii="Arial" w:eastAsia="Times New Roman" w:hAnsi="Arial" w:cs="Arial"/>
          <w:color w:val="0070C0"/>
          <w:sz w:val="24"/>
          <w:szCs w:val="24"/>
        </w:rPr>
        <w:t>-RPP consumption.  Once the consumption for the RPP/</w:t>
      </w:r>
      <w:r w:rsidRPr="002245FE">
        <w:rPr>
          <w:rFonts w:ascii="Arial" w:eastAsia="Times New Roman" w:hAnsi="Arial" w:cs="Arial"/>
          <w:noProof/>
          <w:color w:val="0070C0"/>
          <w:sz w:val="24"/>
          <w:szCs w:val="24"/>
        </w:rPr>
        <w:t>non</w:t>
      </w:r>
      <w:r w:rsidRPr="008C5452">
        <w:rPr>
          <w:rFonts w:ascii="Arial" w:eastAsia="Times New Roman" w:hAnsi="Arial" w:cs="Arial"/>
          <w:color w:val="0070C0"/>
          <w:sz w:val="24"/>
          <w:szCs w:val="24"/>
        </w:rPr>
        <w:t>-RPP consumption is determined, an allocation is completed to account 4705.100. Any variance of GA charges and GA revenue is transferred into Account 1588.100 RSVA GA.</w:t>
      </w:r>
    </w:p>
    <w:p w14:paraId="52F636EE" w14:textId="77777777" w:rsidR="00886A08" w:rsidRDefault="00886A08">
      <w:pPr>
        <w:rPr>
          <w:rFonts w:ascii="Arial" w:eastAsiaTheme="majorEastAsia" w:hAnsi="Arial" w:cstheme="majorBidi"/>
          <w:b/>
          <w:sz w:val="28"/>
          <w:szCs w:val="26"/>
          <w:lang w:val="en-US"/>
        </w:rPr>
      </w:pPr>
      <w:r>
        <w:br w:type="page"/>
      </w:r>
    </w:p>
    <w:p w14:paraId="5017FE7E" w14:textId="4C56AEFE" w:rsidR="00070D61" w:rsidRPr="00AA4B12" w:rsidRDefault="00153909" w:rsidP="000E66E5">
      <w:pPr>
        <w:pStyle w:val="Heading2"/>
        <w:numPr>
          <w:ilvl w:val="0"/>
          <w:numId w:val="0"/>
        </w:numPr>
      </w:pPr>
      <w:r>
        <w:lastRenderedPageBreak/>
        <w:t>9-</w:t>
      </w:r>
      <w:r w:rsidR="004874E6">
        <w:t>S</w:t>
      </w:r>
      <w:r>
        <w:t>taff-93</w:t>
      </w:r>
      <w:r w:rsidR="00CC3916">
        <w:t xml:space="preserve"> </w:t>
      </w:r>
    </w:p>
    <w:p w14:paraId="438AF7CC" w14:textId="77777777" w:rsidR="00070D61" w:rsidRPr="00AA4B12" w:rsidRDefault="00070D61" w:rsidP="00AA4B12">
      <w:pPr>
        <w:spacing w:after="0"/>
        <w:rPr>
          <w:rFonts w:ascii="Arial" w:hAnsi="Arial" w:cs="Arial"/>
          <w:sz w:val="24"/>
          <w:szCs w:val="24"/>
        </w:rPr>
      </w:pPr>
    </w:p>
    <w:p w14:paraId="455126A6"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Exhibit 9, Account 1588 and Account 1589</w:t>
      </w:r>
    </w:p>
    <w:p w14:paraId="55448A77"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ab/>
        <w:t>DVA Continuity Schedule</w:t>
      </w:r>
    </w:p>
    <w:p w14:paraId="4180E11B" w14:textId="77777777" w:rsidR="00070D61" w:rsidRPr="00AA4B12" w:rsidRDefault="00070D61" w:rsidP="00AA4B12">
      <w:pPr>
        <w:spacing w:after="0"/>
        <w:ind w:left="720"/>
        <w:rPr>
          <w:rFonts w:ascii="Arial" w:hAnsi="Arial" w:cs="Arial"/>
          <w:sz w:val="24"/>
          <w:szCs w:val="24"/>
        </w:rPr>
      </w:pPr>
      <w:r w:rsidRPr="00AA4B12">
        <w:rPr>
          <w:rFonts w:ascii="Arial" w:hAnsi="Arial" w:cs="Arial"/>
          <w:sz w:val="24"/>
          <w:szCs w:val="24"/>
        </w:rPr>
        <w:t>OEB Letter, OEB’s Plan to Standardize Processes to Improve Accuracy of Commodity Pass-Through Variance Accounts, July 20, 2018</w:t>
      </w:r>
    </w:p>
    <w:p w14:paraId="0848958A" w14:textId="77777777" w:rsidR="00070D61" w:rsidRPr="00AA4B12" w:rsidRDefault="00070D61" w:rsidP="00AA4B12">
      <w:pPr>
        <w:spacing w:after="0"/>
        <w:rPr>
          <w:rFonts w:ascii="Arial" w:hAnsi="Arial" w:cs="Arial"/>
          <w:sz w:val="24"/>
          <w:szCs w:val="24"/>
        </w:rPr>
      </w:pPr>
    </w:p>
    <w:p w14:paraId="639D829B"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Preamble:</w:t>
      </w:r>
    </w:p>
    <w:p w14:paraId="2CA86C58" w14:textId="77777777" w:rsidR="00070D61" w:rsidRPr="00AA4B12" w:rsidRDefault="00070D61" w:rsidP="00AA4B12">
      <w:pPr>
        <w:spacing w:after="0"/>
        <w:rPr>
          <w:rFonts w:ascii="Arial" w:hAnsi="Arial" w:cs="Arial"/>
          <w:sz w:val="24"/>
          <w:szCs w:val="24"/>
        </w:rPr>
      </w:pPr>
    </w:p>
    <w:p w14:paraId="5451455B"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Utilities generally do not complete all billings until a few months after the consumption month. As per the OEB letter of July 20, 2018, utilities are required to true-up CT 1142 and CT 148 when proposing disposition of the commodity pass-through accounts.</w:t>
      </w:r>
    </w:p>
    <w:p w14:paraId="4CDEA8A6" w14:textId="77777777" w:rsidR="00070D61" w:rsidRPr="00AA4B12" w:rsidRDefault="00070D61" w:rsidP="00AA4B12">
      <w:pPr>
        <w:spacing w:after="0"/>
        <w:rPr>
          <w:rFonts w:ascii="Arial" w:hAnsi="Arial" w:cs="Arial"/>
          <w:sz w:val="24"/>
          <w:szCs w:val="24"/>
        </w:rPr>
      </w:pPr>
    </w:p>
    <w:p w14:paraId="14F8B40F"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Questions:</w:t>
      </w:r>
    </w:p>
    <w:p w14:paraId="24206F6E" w14:textId="77777777" w:rsidR="00070D61" w:rsidRPr="00AA4B12" w:rsidRDefault="00070D61" w:rsidP="00AA4B12">
      <w:pPr>
        <w:spacing w:after="0"/>
        <w:rPr>
          <w:rFonts w:ascii="Arial" w:hAnsi="Arial" w:cs="Arial"/>
          <w:sz w:val="24"/>
          <w:szCs w:val="24"/>
        </w:rPr>
      </w:pPr>
    </w:p>
    <w:p w14:paraId="0B5F897C" w14:textId="77777777" w:rsidR="00070D61" w:rsidRPr="00AA4B12" w:rsidRDefault="00070D61" w:rsidP="00E2382A">
      <w:pPr>
        <w:pStyle w:val="ListParagraph"/>
        <w:numPr>
          <w:ilvl w:val="0"/>
          <w:numId w:val="13"/>
        </w:numPr>
        <w:spacing w:after="0"/>
        <w:rPr>
          <w:rFonts w:ascii="Arial" w:hAnsi="Arial" w:cs="Arial"/>
          <w:sz w:val="24"/>
          <w:szCs w:val="24"/>
        </w:rPr>
      </w:pPr>
      <w:r w:rsidRPr="00AA4B12">
        <w:rPr>
          <w:rFonts w:ascii="Arial" w:hAnsi="Arial" w:cs="Arial"/>
          <w:sz w:val="24"/>
          <w:szCs w:val="24"/>
        </w:rPr>
        <w:t>How long does CPUC keep its books open after year-end?</w:t>
      </w:r>
    </w:p>
    <w:p w14:paraId="6B2A0833" w14:textId="77777777" w:rsidR="00070D61" w:rsidRPr="00AA4B12" w:rsidRDefault="00070D61" w:rsidP="00AA4B12">
      <w:pPr>
        <w:pStyle w:val="ListParagraph"/>
        <w:spacing w:after="0"/>
        <w:rPr>
          <w:rFonts w:ascii="Arial" w:hAnsi="Arial" w:cs="Arial"/>
          <w:sz w:val="24"/>
          <w:szCs w:val="24"/>
        </w:rPr>
      </w:pPr>
    </w:p>
    <w:p w14:paraId="46898889" w14:textId="77777777" w:rsidR="00070D61" w:rsidRPr="00AA4B12" w:rsidRDefault="00070D61" w:rsidP="00E2382A">
      <w:pPr>
        <w:pStyle w:val="ListParagraph"/>
        <w:numPr>
          <w:ilvl w:val="0"/>
          <w:numId w:val="13"/>
        </w:numPr>
        <w:spacing w:after="0"/>
        <w:rPr>
          <w:rFonts w:ascii="Arial" w:hAnsi="Arial" w:cs="Arial"/>
          <w:sz w:val="24"/>
          <w:szCs w:val="24"/>
        </w:rPr>
      </w:pPr>
      <w:r w:rsidRPr="00AA4B12">
        <w:rPr>
          <w:rFonts w:ascii="Arial" w:hAnsi="Arial" w:cs="Arial"/>
          <w:sz w:val="24"/>
          <w:szCs w:val="24"/>
        </w:rPr>
        <w:t>Are all true-ups included in Accounts 1588 and 1589?</w:t>
      </w:r>
    </w:p>
    <w:p w14:paraId="2547BAED" w14:textId="77777777" w:rsidR="00070D61" w:rsidRPr="00AA4B12" w:rsidRDefault="00070D61" w:rsidP="00AA4B12">
      <w:pPr>
        <w:pStyle w:val="ListParagraph"/>
        <w:spacing w:after="0"/>
        <w:rPr>
          <w:rFonts w:ascii="Arial" w:hAnsi="Arial" w:cs="Arial"/>
          <w:sz w:val="24"/>
          <w:szCs w:val="24"/>
        </w:rPr>
      </w:pPr>
    </w:p>
    <w:p w14:paraId="4BDAD0B1" w14:textId="77777777" w:rsidR="00070D61" w:rsidRPr="00AA4B12" w:rsidRDefault="00070D61" w:rsidP="00E2382A">
      <w:pPr>
        <w:pStyle w:val="ListParagraph"/>
        <w:numPr>
          <w:ilvl w:val="0"/>
          <w:numId w:val="13"/>
        </w:numPr>
        <w:spacing w:after="0"/>
        <w:rPr>
          <w:rFonts w:ascii="Arial" w:hAnsi="Arial" w:cs="Arial"/>
          <w:sz w:val="24"/>
          <w:szCs w:val="24"/>
        </w:rPr>
      </w:pPr>
      <w:r w:rsidRPr="00AA4B12">
        <w:rPr>
          <w:rFonts w:ascii="Arial" w:hAnsi="Arial" w:cs="Arial"/>
          <w:sz w:val="24"/>
          <w:szCs w:val="24"/>
        </w:rPr>
        <w:t xml:space="preserve">Why are there no principal adjustments on CPUC’s DVA Continuity Schedule for Accounts 1588 and 1589 in </w:t>
      </w:r>
      <w:r w:rsidRPr="002245FE">
        <w:rPr>
          <w:rFonts w:ascii="Arial" w:hAnsi="Arial" w:cs="Arial"/>
          <w:noProof/>
          <w:sz w:val="24"/>
          <w:szCs w:val="24"/>
        </w:rPr>
        <w:t>year</w:t>
      </w:r>
      <w:r w:rsidRPr="00AA4B12">
        <w:rPr>
          <w:rFonts w:ascii="Arial" w:hAnsi="Arial" w:cs="Arial"/>
          <w:sz w:val="24"/>
          <w:szCs w:val="24"/>
        </w:rPr>
        <w:t xml:space="preserve"> 2017?</w:t>
      </w:r>
    </w:p>
    <w:p w14:paraId="2484F1CA" w14:textId="77777777" w:rsidR="00070D61" w:rsidRPr="00AA4B12" w:rsidRDefault="00070D61" w:rsidP="00AA4B12">
      <w:pPr>
        <w:pStyle w:val="ListParagraph"/>
        <w:spacing w:after="0"/>
        <w:rPr>
          <w:rFonts w:ascii="Arial" w:hAnsi="Arial" w:cs="Arial"/>
          <w:sz w:val="24"/>
          <w:szCs w:val="24"/>
        </w:rPr>
      </w:pPr>
    </w:p>
    <w:p w14:paraId="1B3CA3E8" w14:textId="77777777" w:rsidR="00070D61" w:rsidRPr="00AA4B12" w:rsidRDefault="00070D61" w:rsidP="00AA4B12">
      <w:pPr>
        <w:spacing w:after="0"/>
        <w:rPr>
          <w:rFonts w:ascii="Arial" w:hAnsi="Arial" w:cs="Arial"/>
          <w:b/>
          <w:sz w:val="24"/>
          <w:szCs w:val="24"/>
        </w:rPr>
      </w:pPr>
    </w:p>
    <w:p w14:paraId="49C25D2F"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3DB4376A" w14:textId="768D588A" w:rsidR="00A60D7B" w:rsidRPr="00A60D7B" w:rsidRDefault="00A60D7B" w:rsidP="00E2382A">
      <w:pPr>
        <w:numPr>
          <w:ilvl w:val="0"/>
          <w:numId w:val="21"/>
        </w:numPr>
        <w:spacing w:after="0"/>
        <w:contextualSpacing/>
        <w:rPr>
          <w:rFonts w:ascii="Arial" w:eastAsia="Times New Roman" w:hAnsi="Arial" w:cs="Arial"/>
          <w:color w:val="0070C0"/>
          <w:sz w:val="24"/>
          <w:szCs w:val="24"/>
        </w:rPr>
      </w:pPr>
      <w:r>
        <w:rPr>
          <w:rFonts w:ascii="Arial" w:eastAsia="Times New Roman" w:hAnsi="Arial" w:cs="Arial"/>
          <w:color w:val="0070C0"/>
          <w:sz w:val="24"/>
          <w:szCs w:val="24"/>
        </w:rPr>
        <w:t>W</w:t>
      </w:r>
      <w:r w:rsidRPr="00A60D7B">
        <w:rPr>
          <w:rFonts w:ascii="Arial" w:eastAsia="Times New Roman" w:hAnsi="Arial" w:cs="Arial"/>
          <w:color w:val="0070C0"/>
          <w:sz w:val="24"/>
          <w:szCs w:val="24"/>
        </w:rPr>
        <w:t>e keep them open through the first quarter of the next year.</w:t>
      </w:r>
    </w:p>
    <w:p w14:paraId="2E667420" w14:textId="77777777" w:rsidR="00764FC4" w:rsidRPr="00CD4C71" w:rsidRDefault="00764FC4" w:rsidP="00764FC4">
      <w:pPr>
        <w:spacing w:after="0"/>
        <w:rPr>
          <w:rFonts w:ascii="Arial" w:eastAsia="Times New Roman" w:hAnsi="Arial" w:cs="Arial"/>
          <w:color w:val="0070C0"/>
          <w:sz w:val="24"/>
          <w:szCs w:val="24"/>
        </w:rPr>
      </w:pPr>
    </w:p>
    <w:p w14:paraId="2B81AE44" w14:textId="4BE0BBD4" w:rsidR="00764FC4" w:rsidRDefault="00A60D7B" w:rsidP="00E2382A">
      <w:pPr>
        <w:pStyle w:val="ListParagraph"/>
        <w:numPr>
          <w:ilvl w:val="0"/>
          <w:numId w:val="21"/>
        </w:numPr>
        <w:spacing w:after="0"/>
        <w:rPr>
          <w:rFonts w:ascii="Arial" w:eastAsia="Times New Roman" w:hAnsi="Arial" w:cs="Arial"/>
          <w:color w:val="0070C0"/>
          <w:sz w:val="24"/>
          <w:szCs w:val="24"/>
        </w:rPr>
      </w:pPr>
      <w:r>
        <w:rPr>
          <w:rFonts w:ascii="Arial" w:eastAsia="Times New Roman" w:hAnsi="Arial" w:cs="Arial"/>
          <w:color w:val="0070C0"/>
          <w:sz w:val="24"/>
          <w:szCs w:val="24"/>
        </w:rPr>
        <w:t>Yes</w:t>
      </w:r>
    </w:p>
    <w:p w14:paraId="29073AD9" w14:textId="77777777" w:rsidR="00764FC4" w:rsidRPr="00CD4C71" w:rsidRDefault="00764FC4" w:rsidP="00764FC4">
      <w:pPr>
        <w:pStyle w:val="ListParagraph"/>
        <w:rPr>
          <w:rFonts w:ascii="Arial" w:eastAsia="Times New Roman" w:hAnsi="Arial" w:cs="Arial"/>
          <w:color w:val="0070C0"/>
          <w:sz w:val="24"/>
          <w:szCs w:val="24"/>
        </w:rPr>
      </w:pPr>
    </w:p>
    <w:p w14:paraId="15697000" w14:textId="05500A55" w:rsidR="00764FC4" w:rsidRDefault="008C5452" w:rsidP="00E2382A">
      <w:pPr>
        <w:pStyle w:val="ListParagraph"/>
        <w:numPr>
          <w:ilvl w:val="0"/>
          <w:numId w:val="21"/>
        </w:numPr>
        <w:spacing w:after="0"/>
        <w:rPr>
          <w:rFonts w:ascii="Arial" w:eastAsia="Times New Roman" w:hAnsi="Arial" w:cs="Arial"/>
          <w:color w:val="0070C0"/>
          <w:sz w:val="24"/>
          <w:szCs w:val="24"/>
        </w:rPr>
      </w:pPr>
      <w:r>
        <w:rPr>
          <w:rFonts w:ascii="Arial" w:eastAsia="Times New Roman" w:hAnsi="Arial" w:cs="Arial"/>
          <w:color w:val="0070C0"/>
          <w:sz w:val="24"/>
          <w:szCs w:val="24"/>
        </w:rPr>
        <w:t>There are no principal adjustments</w:t>
      </w:r>
      <w:r w:rsidR="002245FE">
        <w:rPr>
          <w:rFonts w:ascii="Arial" w:eastAsia="Times New Roman" w:hAnsi="Arial" w:cs="Arial"/>
          <w:noProof/>
          <w:color w:val="0070C0"/>
          <w:sz w:val="24"/>
          <w:szCs w:val="24"/>
        </w:rPr>
        <w:t>;</w:t>
      </w:r>
      <w:r w:rsidRPr="002245FE">
        <w:rPr>
          <w:rFonts w:ascii="Arial" w:eastAsia="Times New Roman" w:hAnsi="Arial" w:cs="Arial"/>
          <w:noProof/>
          <w:color w:val="0070C0"/>
          <w:sz w:val="24"/>
          <w:szCs w:val="24"/>
        </w:rPr>
        <w:t xml:space="preserve"> all</w:t>
      </w:r>
      <w:r>
        <w:rPr>
          <w:rFonts w:ascii="Arial" w:eastAsia="Times New Roman" w:hAnsi="Arial" w:cs="Arial"/>
          <w:color w:val="0070C0"/>
          <w:sz w:val="24"/>
          <w:szCs w:val="24"/>
        </w:rPr>
        <w:t xml:space="preserve"> </w:t>
      </w:r>
      <w:r w:rsidRPr="002245FE">
        <w:rPr>
          <w:rFonts w:ascii="Arial" w:eastAsia="Times New Roman" w:hAnsi="Arial" w:cs="Arial"/>
          <w:noProof/>
          <w:color w:val="0070C0"/>
          <w:sz w:val="24"/>
          <w:szCs w:val="24"/>
        </w:rPr>
        <w:t>is</w:t>
      </w:r>
      <w:r>
        <w:rPr>
          <w:rFonts w:ascii="Arial" w:eastAsia="Times New Roman" w:hAnsi="Arial" w:cs="Arial"/>
          <w:color w:val="0070C0"/>
          <w:sz w:val="24"/>
          <w:szCs w:val="24"/>
        </w:rPr>
        <w:t xml:space="preserve"> recorded as transactions. </w:t>
      </w:r>
    </w:p>
    <w:p w14:paraId="691225D0" w14:textId="77777777" w:rsidR="00886A08" w:rsidRDefault="00886A08">
      <w:pPr>
        <w:rPr>
          <w:rFonts w:ascii="Arial" w:eastAsiaTheme="majorEastAsia" w:hAnsi="Arial" w:cstheme="majorBidi"/>
          <w:b/>
          <w:sz w:val="28"/>
          <w:szCs w:val="26"/>
          <w:lang w:val="en-US"/>
        </w:rPr>
      </w:pPr>
      <w:r>
        <w:br w:type="page"/>
      </w:r>
    </w:p>
    <w:p w14:paraId="557FDF40" w14:textId="1A4C4E33" w:rsidR="00070D61" w:rsidRPr="00AA4B12" w:rsidRDefault="00153909" w:rsidP="000E66E5">
      <w:pPr>
        <w:pStyle w:val="Heading2"/>
        <w:numPr>
          <w:ilvl w:val="0"/>
          <w:numId w:val="0"/>
        </w:numPr>
      </w:pPr>
      <w:r>
        <w:lastRenderedPageBreak/>
        <w:t>9-Staff-95</w:t>
      </w:r>
      <w:r w:rsidR="00CC3916">
        <w:t xml:space="preserve"> </w:t>
      </w:r>
    </w:p>
    <w:p w14:paraId="25A46CBF" w14:textId="77777777" w:rsidR="00070D61" w:rsidRPr="00AA4B12" w:rsidRDefault="00070D61" w:rsidP="00AA4B12">
      <w:pPr>
        <w:spacing w:after="0"/>
        <w:rPr>
          <w:rFonts w:ascii="Arial" w:hAnsi="Arial" w:cs="Arial"/>
          <w:b/>
          <w:sz w:val="24"/>
          <w:szCs w:val="24"/>
        </w:rPr>
      </w:pPr>
    </w:p>
    <w:p w14:paraId="2FECB4B4"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Exhibit 9, sections 9.6, 9.7, 9.8, 9.9</w:t>
      </w:r>
    </w:p>
    <w:p w14:paraId="26DD24A6" w14:textId="77777777" w:rsidR="00070D61" w:rsidRPr="00AA4B12" w:rsidRDefault="00070D61" w:rsidP="00AA4B12">
      <w:pPr>
        <w:spacing w:after="0"/>
        <w:ind w:firstLine="720"/>
        <w:rPr>
          <w:rFonts w:ascii="Arial" w:hAnsi="Arial" w:cs="Arial"/>
          <w:sz w:val="24"/>
          <w:szCs w:val="24"/>
        </w:rPr>
      </w:pPr>
      <w:r w:rsidRPr="00AA4B12">
        <w:rPr>
          <w:rFonts w:ascii="Arial" w:hAnsi="Arial" w:cs="Arial"/>
          <w:sz w:val="24"/>
          <w:szCs w:val="24"/>
        </w:rPr>
        <w:t>Appendices 2-BAs, 2-C, 2-EC,</w:t>
      </w:r>
    </w:p>
    <w:p w14:paraId="0CD3C42F" w14:textId="77777777" w:rsidR="00070D61" w:rsidRPr="00AA4B12" w:rsidRDefault="00070D61" w:rsidP="00AA4B12">
      <w:pPr>
        <w:spacing w:after="0"/>
        <w:ind w:firstLine="720"/>
        <w:rPr>
          <w:rFonts w:ascii="Arial" w:hAnsi="Arial" w:cs="Arial"/>
          <w:sz w:val="24"/>
          <w:szCs w:val="24"/>
        </w:rPr>
      </w:pPr>
      <w:r w:rsidRPr="00AA4B12">
        <w:rPr>
          <w:rFonts w:ascii="Arial" w:hAnsi="Arial" w:cs="Arial"/>
          <w:sz w:val="24"/>
          <w:szCs w:val="24"/>
        </w:rPr>
        <w:t>DVA Continuity Schedule - Rate Rider calculations for Account 1576</w:t>
      </w:r>
    </w:p>
    <w:p w14:paraId="3319E451" w14:textId="77777777" w:rsidR="00070D61" w:rsidRPr="00AA4B12" w:rsidRDefault="00070D61" w:rsidP="00AA4B12">
      <w:pPr>
        <w:spacing w:after="0"/>
        <w:rPr>
          <w:rFonts w:ascii="Arial" w:hAnsi="Arial" w:cs="Arial"/>
          <w:sz w:val="24"/>
          <w:szCs w:val="24"/>
        </w:rPr>
      </w:pPr>
    </w:p>
    <w:p w14:paraId="0358B578"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Preamble:</w:t>
      </w:r>
    </w:p>
    <w:p w14:paraId="7D367F5A" w14:textId="77777777" w:rsidR="00070D61" w:rsidRPr="00AA4B12" w:rsidRDefault="00070D61" w:rsidP="00AA4B12">
      <w:pPr>
        <w:spacing w:after="0"/>
        <w:rPr>
          <w:rFonts w:ascii="Arial" w:hAnsi="Arial" w:cs="Arial"/>
          <w:b/>
          <w:sz w:val="24"/>
          <w:szCs w:val="24"/>
        </w:rPr>
      </w:pPr>
    </w:p>
    <w:p w14:paraId="2EC099D4"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 xml:space="preserve">On page 38 (line 8), CPUC has stated that it is requesting disposition of a balance of $870,367 in Account 1576 over a 2-year period. This number, as well as the disposition term, are not consistent with evidence in the other parts of the application. For </w:t>
      </w:r>
      <w:r w:rsidRPr="002245FE">
        <w:rPr>
          <w:rFonts w:ascii="Arial" w:hAnsi="Arial" w:cs="Arial"/>
          <w:noProof/>
          <w:sz w:val="24"/>
          <w:szCs w:val="24"/>
        </w:rPr>
        <w:t>example:</w:t>
      </w:r>
      <w:r w:rsidRPr="00AA4B12">
        <w:rPr>
          <w:rFonts w:ascii="Arial" w:hAnsi="Arial" w:cs="Arial"/>
          <w:sz w:val="24"/>
          <w:szCs w:val="24"/>
        </w:rPr>
        <w:t xml:space="preserve"> Table 16 on page 39 (1 year), and Appendix 2-EC (1 year), page 44 (</w:t>
      </w:r>
      <w:r w:rsidRPr="002245FE">
        <w:rPr>
          <w:rFonts w:ascii="Arial" w:hAnsi="Arial" w:cs="Arial"/>
          <w:noProof/>
          <w:sz w:val="24"/>
          <w:szCs w:val="24"/>
        </w:rPr>
        <w:t>48 month</w:t>
      </w:r>
      <w:r w:rsidRPr="00AA4B12">
        <w:rPr>
          <w:rFonts w:ascii="Arial" w:hAnsi="Arial" w:cs="Arial"/>
          <w:sz w:val="24"/>
          <w:szCs w:val="24"/>
        </w:rPr>
        <w:t xml:space="preserve"> term), DVA Continuity Schedule Rate Riders tab (2 years). </w:t>
      </w:r>
    </w:p>
    <w:p w14:paraId="2DDA36DA" w14:textId="77777777" w:rsidR="00070D61" w:rsidRPr="00AA4B12" w:rsidRDefault="00070D61" w:rsidP="00AA4B12">
      <w:pPr>
        <w:spacing w:after="0"/>
        <w:rPr>
          <w:rFonts w:ascii="Arial" w:hAnsi="Arial" w:cs="Arial"/>
          <w:sz w:val="24"/>
          <w:szCs w:val="24"/>
        </w:rPr>
      </w:pPr>
    </w:p>
    <w:p w14:paraId="2777250F" w14:textId="77777777" w:rsidR="00070D61" w:rsidRPr="00AA4B12" w:rsidRDefault="00070D61" w:rsidP="00AA4B12">
      <w:pPr>
        <w:spacing w:after="0"/>
        <w:rPr>
          <w:rFonts w:ascii="Arial" w:hAnsi="Arial" w:cs="Arial"/>
          <w:sz w:val="24"/>
          <w:szCs w:val="24"/>
        </w:rPr>
      </w:pPr>
      <w:r w:rsidRPr="00AA4B12">
        <w:rPr>
          <w:rFonts w:ascii="Arial" w:hAnsi="Arial" w:cs="Arial"/>
          <w:sz w:val="24"/>
          <w:szCs w:val="24"/>
        </w:rPr>
        <w:t>The amount in Account 1576 has not been calculated in accordance with the APH and other accounting guidance for recording amounts in this account. Below are some of the issues noted by the OEB staff:</w:t>
      </w:r>
    </w:p>
    <w:p w14:paraId="20D57E74" w14:textId="77777777" w:rsidR="00070D61" w:rsidRPr="00AA4B12" w:rsidRDefault="00070D61" w:rsidP="00AA4B12">
      <w:pPr>
        <w:spacing w:after="0"/>
        <w:rPr>
          <w:rFonts w:ascii="Arial" w:hAnsi="Arial" w:cs="Arial"/>
          <w:sz w:val="24"/>
          <w:szCs w:val="24"/>
        </w:rPr>
      </w:pPr>
    </w:p>
    <w:p w14:paraId="3960DEFD" w14:textId="77777777" w:rsidR="00070D61" w:rsidRPr="00AA4B12" w:rsidRDefault="00070D61" w:rsidP="00E2382A">
      <w:pPr>
        <w:pStyle w:val="ListParagraph"/>
        <w:numPr>
          <w:ilvl w:val="0"/>
          <w:numId w:val="9"/>
        </w:numPr>
        <w:spacing w:after="0"/>
        <w:rPr>
          <w:rFonts w:ascii="Arial" w:hAnsi="Arial" w:cs="Arial"/>
          <w:sz w:val="24"/>
          <w:szCs w:val="24"/>
        </w:rPr>
      </w:pPr>
      <w:r w:rsidRPr="00AA4B12">
        <w:rPr>
          <w:rFonts w:ascii="Arial" w:hAnsi="Arial" w:cs="Arial"/>
          <w:sz w:val="24"/>
          <w:szCs w:val="24"/>
        </w:rPr>
        <w:t>Opening net PP&amp;E for 2013 is shown on a gross basis. This should be on a net basis, as per the instructions on Appendix 2-EC for Account 1576. This number, based on the FA continuity schedules filed by CPUC would be $1,083,265 under both CGAAP and revised CGAAP.</w:t>
      </w:r>
    </w:p>
    <w:p w14:paraId="54576840" w14:textId="77777777" w:rsidR="00070D61" w:rsidRPr="00AA4B12" w:rsidRDefault="00070D61" w:rsidP="00E2382A">
      <w:pPr>
        <w:pStyle w:val="ListParagraph"/>
        <w:numPr>
          <w:ilvl w:val="0"/>
          <w:numId w:val="9"/>
        </w:numPr>
        <w:spacing w:after="0"/>
        <w:rPr>
          <w:rFonts w:ascii="Arial" w:hAnsi="Arial" w:cs="Arial"/>
          <w:sz w:val="24"/>
          <w:szCs w:val="24"/>
        </w:rPr>
      </w:pPr>
      <w:r w:rsidRPr="00AA4B12">
        <w:rPr>
          <w:rFonts w:ascii="Arial" w:hAnsi="Arial" w:cs="Arial"/>
          <w:sz w:val="24"/>
          <w:szCs w:val="24"/>
        </w:rPr>
        <w:t>Net depreciation is incorrect for all years under both accounting policies. They should all be shown as negatives (see instructions on 2-EC)</w:t>
      </w:r>
    </w:p>
    <w:p w14:paraId="38473F02" w14:textId="77777777" w:rsidR="00070D61" w:rsidRPr="00AA4B12" w:rsidRDefault="00070D61" w:rsidP="00E2382A">
      <w:pPr>
        <w:pStyle w:val="ListParagraph"/>
        <w:numPr>
          <w:ilvl w:val="0"/>
          <w:numId w:val="9"/>
        </w:numPr>
        <w:spacing w:after="0"/>
        <w:rPr>
          <w:rFonts w:ascii="Arial" w:hAnsi="Arial" w:cs="Arial"/>
          <w:sz w:val="24"/>
          <w:szCs w:val="24"/>
        </w:rPr>
      </w:pPr>
      <w:r w:rsidRPr="00AA4B12">
        <w:rPr>
          <w:rFonts w:ascii="Arial" w:hAnsi="Arial" w:cs="Arial"/>
          <w:sz w:val="24"/>
          <w:szCs w:val="24"/>
        </w:rPr>
        <w:t xml:space="preserve">Closing net PP&amp;E for year 1 should be opening net PP&amp;E for year 2. </w:t>
      </w:r>
    </w:p>
    <w:p w14:paraId="20490ED0" w14:textId="77777777" w:rsidR="00070D61" w:rsidRPr="00AA4B12" w:rsidRDefault="00070D61" w:rsidP="00E2382A">
      <w:pPr>
        <w:pStyle w:val="ListParagraph"/>
        <w:numPr>
          <w:ilvl w:val="0"/>
          <w:numId w:val="9"/>
        </w:numPr>
        <w:spacing w:after="0"/>
        <w:rPr>
          <w:rFonts w:ascii="Arial" w:hAnsi="Arial" w:cs="Arial"/>
          <w:sz w:val="24"/>
          <w:szCs w:val="24"/>
        </w:rPr>
      </w:pPr>
      <w:r w:rsidRPr="00AA4B12">
        <w:rPr>
          <w:rFonts w:ascii="Arial" w:hAnsi="Arial" w:cs="Arial"/>
          <w:sz w:val="24"/>
          <w:szCs w:val="24"/>
        </w:rPr>
        <w:t>CPUC is showing the same number for Net PP&amp;E under both policies for 2014 onwards. Please review the instructions, as net PP&amp;E should be calculated under separate policies (before and after changes to policies).</w:t>
      </w:r>
    </w:p>
    <w:p w14:paraId="2DCA084C" w14:textId="77777777" w:rsidR="00070D61" w:rsidRPr="00AA4B12" w:rsidRDefault="00070D61" w:rsidP="00E2382A">
      <w:pPr>
        <w:pStyle w:val="ListParagraph"/>
        <w:numPr>
          <w:ilvl w:val="0"/>
          <w:numId w:val="9"/>
        </w:numPr>
        <w:spacing w:after="0"/>
        <w:rPr>
          <w:rFonts w:ascii="Arial" w:hAnsi="Arial" w:cs="Arial"/>
          <w:sz w:val="24"/>
          <w:szCs w:val="24"/>
        </w:rPr>
      </w:pPr>
      <w:r w:rsidRPr="00AA4B12">
        <w:rPr>
          <w:rFonts w:ascii="Arial" w:hAnsi="Arial" w:cs="Arial"/>
          <w:sz w:val="24"/>
          <w:szCs w:val="24"/>
        </w:rPr>
        <w:t>No explanation provided for the net depreciation for 2018 under former GAAP as the amounts are not consistent with the FA continuity schedule.</w:t>
      </w:r>
    </w:p>
    <w:p w14:paraId="3AAD1112" w14:textId="77777777" w:rsidR="00070D61" w:rsidRPr="00AA4B12" w:rsidRDefault="00070D61" w:rsidP="00AA4B12">
      <w:pPr>
        <w:spacing w:after="0"/>
        <w:rPr>
          <w:rFonts w:ascii="Arial" w:hAnsi="Arial" w:cs="Arial"/>
          <w:sz w:val="24"/>
          <w:szCs w:val="24"/>
        </w:rPr>
      </w:pPr>
    </w:p>
    <w:p w14:paraId="1C74A1A1" w14:textId="77777777" w:rsidR="00070D61" w:rsidRPr="00AA4B12" w:rsidRDefault="00070D61" w:rsidP="00AA4B12">
      <w:pPr>
        <w:spacing w:after="0"/>
        <w:rPr>
          <w:rFonts w:ascii="Arial" w:hAnsi="Arial" w:cs="Arial"/>
          <w:b/>
          <w:sz w:val="24"/>
          <w:szCs w:val="24"/>
        </w:rPr>
      </w:pPr>
      <w:r w:rsidRPr="00AA4B12">
        <w:rPr>
          <w:rFonts w:ascii="Arial" w:hAnsi="Arial" w:cs="Arial"/>
          <w:b/>
          <w:sz w:val="24"/>
          <w:szCs w:val="24"/>
        </w:rPr>
        <w:t>Questions:</w:t>
      </w:r>
    </w:p>
    <w:p w14:paraId="416958E8" w14:textId="77777777" w:rsidR="00070D61" w:rsidRPr="00AA4B12" w:rsidRDefault="00070D61" w:rsidP="00AA4B12">
      <w:pPr>
        <w:spacing w:after="0"/>
        <w:rPr>
          <w:rFonts w:ascii="Arial" w:hAnsi="Arial" w:cs="Arial"/>
          <w:sz w:val="24"/>
          <w:szCs w:val="24"/>
        </w:rPr>
      </w:pPr>
    </w:p>
    <w:p w14:paraId="018497B3" w14:textId="77777777" w:rsidR="00070D61" w:rsidRPr="00AA4B12" w:rsidRDefault="00070D61" w:rsidP="00E2382A">
      <w:pPr>
        <w:pStyle w:val="ListParagraph"/>
        <w:numPr>
          <w:ilvl w:val="0"/>
          <w:numId w:val="14"/>
        </w:numPr>
        <w:spacing w:after="0"/>
        <w:rPr>
          <w:rFonts w:ascii="Arial" w:hAnsi="Arial" w:cs="Arial"/>
          <w:sz w:val="24"/>
          <w:szCs w:val="24"/>
        </w:rPr>
      </w:pPr>
      <w:r w:rsidRPr="00AA4B12">
        <w:rPr>
          <w:rFonts w:ascii="Arial" w:hAnsi="Arial" w:cs="Arial"/>
          <w:sz w:val="24"/>
          <w:szCs w:val="24"/>
        </w:rPr>
        <w:t>Please indicate the disposition term requested.</w:t>
      </w:r>
    </w:p>
    <w:p w14:paraId="56BC5237" w14:textId="77777777" w:rsidR="00070D61" w:rsidRPr="00AA4B12" w:rsidRDefault="00070D61" w:rsidP="00AA4B12">
      <w:pPr>
        <w:spacing w:after="0"/>
        <w:rPr>
          <w:rFonts w:ascii="Arial" w:hAnsi="Arial" w:cs="Arial"/>
          <w:sz w:val="24"/>
          <w:szCs w:val="24"/>
        </w:rPr>
      </w:pPr>
    </w:p>
    <w:p w14:paraId="11AAFDEC" w14:textId="77777777" w:rsidR="00070D61" w:rsidRPr="00AA4B12" w:rsidRDefault="00070D61" w:rsidP="00E2382A">
      <w:pPr>
        <w:pStyle w:val="ListParagraph"/>
        <w:numPr>
          <w:ilvl w:val="0"/>
          <w:numId w:val="14"/>
        </w:numPr>
        <w:spacing w:after="0"/>
        <w:rPr>
          <w:rFonts w:ascii="Arial" w:hAnsi="Arial" w:cs="Arial"/>
          <w:sz w:val="24"/>
          <w:szCs w:val="24"/>
        </w:rPr>
      </w:pPr>
      <w:r w:rsidRPr="00AA4B12">
        <w:rPr>
          <w:rFonts w:ascii="Arial" w:hAnsi="Arial" w:cs="Arial"/>
          <w:sz w:val="24"/>
          <w:szCs w:val="24"/>
        </w:rPr>
        <w:t>Please provide updated evidence after making corrections for the issues noted above.</w:t>
      </w:r>
    </w:p>
    <w:p w14:paraId="67DC01ED" w14:textId="77777777" w:rsidR="00070D61" w:rsidRPr="00AA4B12" w:rsidRDefault="00070D61" w:rsidP="00AA4B12">
      <w:pPr>
        <w:pStyle w:val="ListParagraph"/>
        <w:spacing w:after="0"/>
        <w:rPr>
          <w:rFonts w:ascii="Arial" w:hAnsi="Arial" w:cs="Arial"/>
          <w:sz w:val="24"/>
          <w:szCs w:val="24"/>
        </w:rPr>
      </w:pPr>
    </w:p>
    <w:p w14:paraId="7E42CDF7" w14:textId="77777777" w:rsidR="00070D61" w:rsidRPr="00AA4B12" w:rsidRDefault="00070D61" w:rsidP="00E2382A">
      <w:pPr>
        <w:pStyle w:val="ListParagraph"/>
        <w:numPr>
          <w:ilvl w:val="0"/>
          <w:numId w:val="14"/>
        </w:numPr>
        <w:spacing w:after="0"/>
        <w:rPr>
          <w:rFonts w:ascii="Arial" w:hAnsi="Arial" w:cs="Arial"/>
          <w:sz w:val="24"/>
          <w:szCs w:val="24"/>
        </w:rPr>
      </w:pPr>
      <w:r w:rsidRPr="00AA4B12">
        <w:rPr>
          <w:rFonts w:ascii="Arial" w:hAnsi="Arial" w:cs="Arial"/>
          <w:sz w:val="24"/>
          <w:szCs w:val="24"/>
        </w:rPr>
        <w:lastRenderedPageBreak/>
        <w:t xml:space="preserve">Please explain how net depreciation of $631,101 was recorded under former CGAAP in 2018. This amount is not consistent with Appendix 2-BAs – Fixed assets continuity schedule. Please provide </w:t>
      </w:r>
      <w:r w:rsidRPr="00D175EC">
        <w:rPr>
          <w:rFonts w:ascii="Arial" w:hAnsi="Arial" w:cs="Arial"/>
          <w:noProof/>
          <w:sz w:val="24"/>
          <w:szCs w:val="24"/>
        </w:rPr>
        <w:t>reference</w:t>
      </w:r>
      <w:r w:rsidRPr="00AA4B12">
        <w:rPr>
          <w:rFonts w:ascii="Arial" w:hAnsi="Arial" w:cs="Arial"/>
          <w:sz w:val="24"/>
          <w:szCs w:val="24"/>
        </w:rPr>
        <w:t xml:space="preserve"> in the evidence filed.</w:t>
      </w:r>
    </w:p>
    <w:p w14:paraId="63E47A02" w14:textId="77777777" w:rsidR="00070D61" w:rsidRPr="00AA4B12" w:rsidRDefault="00070D61" w:rsidP="00AA4B12">
      <w:pPr>
        <w:spacing w:after="0"/>
        <w:rPr>
          <w:rFonts w:ascii="Arial" w:hAnsi="Arial" w:cs="Arial"/>
          <w:sz w:val="24"/>
          <w:szCs w:val="24"/>
        </w:rPr>
      </w:pPr>
    </w:p>
    <w:p w14:paraId="010AFD7A" w14:textId="77777777" w:rsidR="00070D61" w:rsidRPr="00AA4B12" w:rsidRDefault="00070D61" w:rsidP="00AA4B12">
      <w:pPr>
        <w:spacing w:after="0"/>
        <w:rPr>
          <w:rFonts w:ascii="Arial" w:hAnsi="Arial" w:cs="Arial"/>
          <w:sz w:val="24"/>
          <w:szCs w:val="24"/>
        </w:rPr>
      </w:pPr>
    </w:p>
    <w:p w14:paraId="77524447"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2A125201" w14:textId="075CA316" w:rsidR="00764FC4" w:rsidRDefault="002D3FA2" w:rsidP="00E2382A">
      <w:pPr>
        <w:pStyle w:val="ListParagraph"/>
        <w:numPr>
          <w:ilvl w:val="0"/>
          <w:numId w:val="22"/>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The disposition </w:t>
      </w:r>
      <w:r w:rsidR="00A704DD">
        <w:rPr>
          <w:rFonts w:ascii="Arial" w:eastAsia="Times New Roman" w:hAnsi="Arial" w:cs="Arial"/>
          <w:color w:val="0070C0"/>
          <w:sz w:val="24"/>
          <w:szCs w:val="24"/>
        </w:rPr>
        <w:t>of 1576 is revised to</w:t>
      </w:r>
      <w:r w:rsidR="00CF48B3">
        <w:rPr>
          <w:rFonts w:ascii="Arial" w:eastAsia="Times New Roman" w:hAnsi="Arial" w:cs="Arial"/>
          <w:color w:val="0070C0"/>
          <w:sz w:val="24"/>
          <w:szCs w:val="24"/>
        </w:rPr>
        <w:t xml:space="preserve"> be for 1 year.</w:t>
      </w:r>
    </w:p>
    <w:p w14:paraId="1BE0ADBB" w14:textId="77777777" w:rsidR="00764FC4" w:rsidRPr="00CD4C71" w:rsidRDefault="00764FC4" w:rsidP="00764FC4">
      <w:pPr>
        <w:spacing w:after="0"/>
        <w:rPr>
          <w:rFonts w:ascii="Arial" w:eastAsia="Times New Roman" w:hAnsi="Arial" w:cs="Arial"/>
          <w:color w:val="0070C0"/>
          <w:sz w:val="24"/>
          <w:szCs w:val="24"/>
        </w:rPr>
      </w:pPr>
    </w:p>
    <w:p w14:paraId="1575AFB6" w14:textId="24895359" w:rsidR="00764FC4" w:rsidRDefault="00CF48B3" w:rsidP="00E2382A">
      <w:pPr>
        <w:pStyle w:val="ListParagraph"/>
        <w:numPr>
          <w:ilvl w:val="0"/>
          <w:numId w:val="22"/>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A revised Appendix 2-EC is filed along with these responses. </w:t>
      </w:r>
    </w:p>
    <w:p w14:paraId="5EE28540" w14:textId="77777777" w:rsidR="00764FC4" w:rsidRPr="00CD4C71" w:rsidRDefault="00764FC4" w:rsidP="00764FC4">
      <w:pPr>
        <w:pStyle w:val="ListParagraph"/>
        <w:rPr>
          <w:rFonts w:ascii="Arial" w:eastAsia="Times New Roman" w:hAnsi="Arial" w:cs="Arial"/>
          <w:color w:val="0070C0"/>
          <w:sz w:val="24"/>
          <w:szCs w:val="24"/>
        </w:rPr>
      </w:pPr>
    </w:p>
    <w:p w14:paraId="108827DB" w14:textId="77777777" w:rsidR="00886A08" w:rsidRDefault="00886A08">
      <w:pPr>
        <w:rPr>
          <w:rFonts w:ascii="Arial" w:eastAsiaTheme="majorEastAsia" w:hAnsi="Arial" w:cstheme="majorBidi"/>
          <w:b/>
          <w:sz w:val="28"/>
          <w:szCs w:val="26"/>
          <w:lang w:val="en-US"/>
        </w:rPr>
      </w:pPr>
      <w:r>
        <w:br w:type="page"/>
      </w:r>
    </w:p>
    <w:p w14:paraId="420F9337" w14:textId="4E130FEC" w:rsidR="00835660" w:rsidRPr="00AA4B12" w:rsidRDefault="00153909" w:rsidP="000E66E5">
      <w:pPr>
        <w:pStyle w:val="Heading2"/>
        <w:numPr>
          <w:ilvl w:val="0"/>
          <w:numId w:val="0"/>
        </w:numPr>
      </w:pPr>
      <w:r>
        <w:lastRenderedPageBreak/>
        <w:t>9-Staff-97</w:t>
      </w:r>
      <w:r w:rsidR="00CC3916">
        <w:t xml:space="preserve"> </w:t>
      </w:r>
    </w:p>
    <w:p w14:paraId="6A8F70A8" w14:textId="77777777" w:rsidR="00835660" w:rsidRPr="00AA4B12" w:rsidRDefault="00835660" w:rsidP="00AA4B12">
      <w:pPr>
        <w:spacing w:after="0"/>
        <w:rPr>
          <w:rFonts w:ascii="Arial" w:hAnsi="Arial" w:cs="Arial"/>
          <w:sz w:val="24"/>
          <w:szCs w:val="24"/>
        </w:rPr>
      </w:pPr>
    </w:p>
    <w:p w14:paraId="1BE1C868" w14:textId="77777777" w:rsidR="00835660" w:rsidRPr="00AA4B12" w:rsidRDefault="00835660" w:rsidP="00AA4B12">
      <w:pPr>
        <w:spacing w:after="0"/>
        <w:rPr>
          <w:rFonts w:ascii="Arial" w:hAnsi="Arial" w:cs="Arial"/>
          <w:sz w:val="24"/>
          <w:szCs w:val="24"/>
        </w:rPr>
      </w:pPr>
      <w:r w:rsidRPr="00AA4B12">
        <w:rPr>
          <w:rFonts w:ascii="Arial" w:hAnsi="Arial" w:cs="Arial"/>
          <w:sz w:val="24"/>
          <w:szCs w:val="24"/>
        </w:rPr>
        <w:t>Ref:</w:t>
      </w:r>
      <w:r w:rsidRPr="00AA4B12">
        <w:rPr>
          <w:rFonts w:ascii="Arial" w:hAnsi="Arial" w:cs="Arial"/>
          <w:sz w:val="24"/>
          <w:szCs w:val="24"/>
        </w:rPr>
        <w:tab/>
        <w:t xml:space="preserve">LRAMVA Workform, Tab 5 (2016 retrofit program) </w:t>
      </w:r>
    </w:p>
    <w:p w14:paraId="3FD1FC6C" w14:textId="77777777" w:rsidR="00835660" w:rsidRPr="00AA4B12" w:rsidRDefault="00835660" w:rsidP="00AA4B12">
      <w:pPr>
        <w:spacing w:after="0"/>
        <w:rPr>
          <w:rFonts w:ascii="Arial" w:hAnsi="Arial" w:cs="Arial"/>
          <w:sz w:val="24"/>
          <w:szCs w:val="24"/>
        </w:rPr>
      </w:pPr>
    </w:p>
    <w:p w14:paraId="75CD8F60" w14:textId="77777777" w:rsidR="00835660" w:rsidRPr="00AA4B12" w:rsidRDefault="00835660" w:rsidP="00AA4B12">
      <w:pPr>
        <w:spacing w:after="0"/>
        <w:rPr>
          <w:rFonts w:ascii="Arial" w:hAnsi="Arial" w:cs="Arial"/>
          <w:b/>
          <w:sz w:val="24"/>
          <w:szCs w:val="24"/>
        </w:rPr>
      </w:pPr>
      <w:r w:rsidRPr="00AA4B12">
        <w:rPr>
          <w:rFonts w:ascii="Arial" w:hAnsi="Arial" w:cs="Arial"/>
          <w:b/>
          <w:sz w:val="24"/>
          <w:szCs w:val="24"/>
        </w:rPr>
        <w:t>Preamble:</w:t>
      </w:r>
    </w:p>
    <w:p w14:paraId="6A025567" w14:textId="77777777" w:rsidR="00835660" w:rsidRPr="00AA4B12" w:rsidRDefault="00835660" w:rsidP="00AA4B12">
      <w:pPr>
        <w:spacing w:after="0"/>
        <w:rPr>
          <w:rFonts w:ascii="Arial" w:hAnsi="Arial" w:cs="Arial"/>
          <w:sz w:val="24"/>
          <w:szCs w:val="24"/>
        </w:rPr>
      </w:pPr>
    </w:p>
    <w:p w14:paraId="76933040" w14:textId="77777777" w:rsidR="00835660" w:rsidRPr="00AA4B12" w:rsidRDefault="00835660" w:rsidP="00AA4B12">
      <w:pPr>
        <w:spacing w:after="0"/>
        <w:rPr>
          <w:rFonts w:ascii="Arial" w:hAnsi="Arial" w:cs="Arial"/>
          <w:sz w:val="24"/>
          <w:szCs w:val="24"/>
        </w:rPr>
      </w:pPr>
      <w:r w:rsidRPr="00AA4B12">
        <w:rPr>
          <w:rFonts w:ascii="Arial" w:hAnsi="Arial" w:cs="Arial"/>
          <w:sz w:val="24"/>
          <w:szCs w:val="24"/>
        </w:rPr>
        <w:t xml:space="preserve">100% of the savings from the 2016 retrofit program have been allocated to the streetlight class. </w:t>
      </w:r>
    </w:p>
    <w:p w14:paraId="07AEED4E" w14:textId="77777777" w:rsidR="00835660" w:rsidRPr="00AA4B12" w:rsidRDefault="00835660" w:rsidP="00AA4B12">
      <w:pPr>
        <w:spacing w:after="0"/>
        <w:rPr>
          <w:rFonts w:ascii="Arial" w:hAnsi="Arial" w:cs="Arial"/>
          <w:sz w:val="24"/>
          <w:szCs w:val="24"/>
        </w:rPr>
      </w:pPr>
    </w:p>
    <w:p w14:paraId="5CD28C18" w14:textId="77777777" w:rsidR="00835660" w:rsidRPr="00AA4B12" w:rsidRDefault="00835660" w:rsidP="00AA4B12">
      <w:pPr>
        <w:spacing w:after="0"/>
        <w:rPr>
          <w:rFonts w:ascii="Arial" w:hAnsi="Arial" w:cs="Arial"/>
          <w:b/>
          <w:sz w:val="24"/>
          <w:szCs w:val="24"/>
        </w:rPr>
      </w:pPr>
      <w:r w:rsidRPr="00AA4B12">
        <w:rPr>
          <w:rFonts w:ascii="Arial" w:hAnsi="Arial" w:cs="Arial"/>
          <w:b/>
          <w:sz w:val="24"/>
          <w:szCs w:val="24"/>
        </w:rPr>
        <w:t>Questions:</w:t>
      </w:r>
    </w:p>
    <w:p w14:paraId="14556EDB" w14:textId="77777777" w:rsidR="00835660" w:rsidRPr="00AA4B12" w:rsidRDefault="00835660" w:rsidP="00AA4B12">
      <w:pPr>
        <w:spacing w:after="0"/>
        <w:rPr>
          <w:rFonts w:ascii="Arial" w:hAnsi="Arial" w:cs="Arial"/>
          <w:sz w:val="24"/>
          <w:szCs w:val="24"/>
        </w:rPr>
      </w:pPr>
    </w:p>
    <w:p w14:paraId="2C8A7DE2" w14:textId="77777777" w:rsidR="00835660" w:rsidRPr="00AA4B12" w:rsidRDefault="00835660" w:rsidP="00E2382A">
      <w:pPr>
        <w:pStyle w:val="ListParagraph"/>
        <w:numPr>
          <w:ilvl w:val="0"/>
          <w:numId w:val="7"/>
        </w:numPr>
        <w:spacing w:after="0"/>
        <w:rPr>
          <w:rFonts w:ascii="Arial" w:hAnsi="Arial" w:cs="Arial"/>
          <w:sz w:val="24"/>
          <w:szCs w:val="24"/>
        </w:rPr>
      </w:pPr>
      <w:r w:rsidRPr="00AA4B12">
        <w:rPr>
          <w:rFonts w:ascii="Arial" w:hAnsi="Arial" w:cs="Arial"/>
          <w:sz w:val="24"/>
          <w:szCs w:val="24"/>
        </w:rPr>
        <w:t>Please confirm that CPUC did not undertake any other activities as part of the 2016 retrofit program other than street lighting upgrades.</w:t>
      </w:r>
    </w:p>
    <w:p w14:paraId="580C1507" w14:textId="77777777" w:rsidR="00835660" w:rsidRPr="00AA4B12" w:rsidRDefault="00835660" w:rsidP="00AA4B12">
      <w:pPr>
        <w:spacing w:after="0"/>
        <w:rPr>
          <w:rFonts w:ascii="Arial" w:hAnsi="Arial" w:cs="Arial"/>
          <w:sz w:val="24"/>
          <w:szCs w:val="24"/>
        </w:rPr>
      </w:pPr>
    </w:p>
    <w:p w14:paraId="628F83C9" w14:textId="77777777" w:rsidR="00835660" w:rsidRPr="00AA4B12" w:rsidRDefault="00835660" w:rsidP="00E2382A">
      <w:pPr>
        <w:pStyle w:val="ListParagraph"/>
        <w:numPr>
          <w:ilvl w:val="0"/>
          <w:numId w:val="7"/>
        </w:numPr>
        <w:spacing w:after="0"/>
        <w:rPr>
          <w:rFonts w:ascii="Arial" w:hAnsi="Arial" w:cs="Arial"/>
          <w:sz w:val="24"/>
          <w:szCs w:val="24"/>
        </w:rPr>
      </w:pPr>
      <w:r w:rsidRPr="00AA4B12">
        <w:rPr>
          <w:rFonts w:ascii="Arial" w:hAnsi="Arial" w:cs="Arial"/>
          <w:sz w:val="24"/>
          <w:szCs w:val="24"/>
        </w:rPr>
        <w:t>If CPUC had CDM savings from other non-streetlight programs as part of the 2016 retrofit program, please explain the rationale for allocating 100% of the 2016 retrofit program savings to street lighting customers.  What changed in terms of customer participation as there was a 10% allocation of savings to GS&lt;50 kW and 90% allocation to GS 50 kW to 4999 kW from the 2012 to 2014 retrofit program, and a 100% allocation of 2015 retrofit program savings to the GS&lt;50 kW class?</w:t>
      </w:r>
    </w:p>
    <w:p w14:paraId="36BF927B" w14:textId="77777777" w:rsidR="00835660" w:rsidRPr="00AA4B12" w:rsidRDefault="00835660" w:rsidP="00AA4B12">
      <w:pPr>
        <w:pStyle w:val="ListParagraph"/>
        <w:spacing w:after="0"/>
        <w:rPr>
          <w:rFonts w:ascii="Arial" w:hAnsi="Arial" w:cs="Arial"/>
          <w:sz w:val="24"/>
          <w:szCs w:val="24"/>
        </w:rPr>
      </w:pPr>
    </w:p>
    <w:p w14:paraId="6E635811" w14:textId="77777777" w:rsidR="00835660" w:rsidRPr="00AA4B12" w:rsidRDefault="00835660" w:rsidP="00E2382A">
      <w:pPr>
        <w:pStyle w:val="ListParagraph"/>
        <w:numPr>
          <w:ilvl w:val="0"/>
          <w:numId w:val="7"/>
        </w:numPr>
        <w:spacing w:after="0"/>
        <w:rPr>
          <w:rFonts w:ascii="Arial" w:hAnsi="Arial" w:cs="Arial"/>
          <w:sz w:val="24"/>
          <w:szCs w:val="24"/>
        </w:rPr>
      </w:pPr>
      <w:r w:rsidRPr="00AA4B12">
        <w:rPr>
          <w:rFonts w:ascii="Arial" w:hAnsi="Arial" w:cs="Arial"/>
          <w:sz w:val="24"/>
          <w:szCs w:val="24"/>
        </w:rPr>
        <w:t>Please indicate the municipality that undertook the streetlight upgrades as part of the 2016 retrofit program.</w:t>
      </w:r>
    </w:p>
    <w:p w14:paraId="743666C7" w14:textId="77777777" w:rsidR="00835660" w:rsidRPr="00AA4B12" w:rsidRDefault="00835660" w:rsidP="00AA4B12">
      <w:pPr>
        <w:pStyle w:val="ListParagraph"/>
        <w:spacing w:after="0"/>
        <w:rPr>
          <w:rFonts w:ascii="Arial" w:hAnsi="Arial" w:cs="Arial"/>
          <w:sz w:val="24"/>
          <w:szCs w:val="24"/>
        </w:rPr>
      </w:pPr>
    </w:p>
    <w:p w14:paraId="6611E1FE" w14:textId="77777777" w:rsidR="00835660" w:rsidRPr="00AA4B12" w:rsidRDefault="00835660" w:rsidP="00E2382A">
      <w:pPr>
        <w:pStyle w:val="ListParagraph"/>
        <w:numPr>
          <w:ilvl w:val="0"/>
          <w:numId w:val="7"/>
        </w:numPr>
        <w:spacing w:after="0"/>
        <w:rPr>
          <w:rFonts w:ascii="Arial" w:hAnsi="Arial" w:cs="Arial"/>
          <w:sz w:val="24"/>
          <w:szCs w:val="24"/>
        </w:rPr>
      </w:pPr>
      <w:r w:rsidRPr="00AA4B12">
        <w:rPr>
          <w:rFonts w:ascii="Arial" w:hAnsi="Arial" w:cs="Arial"/>
          <w:sz w:val="24"/>
          <w:szCs w:val="24"/>
        </w:rPr>
        <w:t xml:space="preserve">Please confirm that all streetlight upgrades were made as part of the 2016 retrofit program. </w:t>
      </w:r>
    </w:p>
    <w:p w14:paraId="5717B74C" w14:textId="77777777" w:rsidR="00835660" w:rsidRPr="00AA4B12" w:rsidRDefault="00835660" w:rsidP="00AA4B12">
      <w:pPr>
        <w:pStyle w:val="ListParagraph"/>
        <w:spacing w:after="0"/>
        <w:rPr>
          <w:rFonts w:ascii="Arial" w:hAnsi="Arial" w:cs="Arial"/>
          <w:sz w:val="24"/>
          <w:szCs w:val="24"/>
        </w:rPr>
      </w:pPr>
    </w:p>
    <w:p w14:paraId="43DFB946" w14:textId="77777777" w:rsidR="00835660" w:rsidRPr="00AA4B12" w:rsidRDefault="00835660" w:rsidP="00E2382A">
      <w:pPr>
        <w:pStyle w:val="ListParagraph"/>
        <w:numPr>
          <w:ilvl w:val="0"/>
          <w:numId w:val="7"/>
        </w:numPr>
        <w:spacing w:after="0"/>
        <w:rPr>
          <w:rFonts w:ascii="Arial" w:hAnsi="Arial" w:cs="Arial"/>
          <w:sz w:val="24"/>
          <w:szCs w:val="24"/>
        </w:rPr>
      </w:pPr>
      <w:r w:rsidRPr="00AA4B12">
        <w:rPr>
          <w:rFonts w:ascii="Arial" w:hAnsi="Arial" w:cs="Arial"/>
          <w:sz w:val="24"/>
          <w:szCs w:val="24"/>
        </w:rPr>
        <w:t xml:space="preserve">If available, please provide the report(s) from the municipality or spreadsheets filed by </w:t>
      </w:r>
      <w:bookmarkStart w:id="0" w:name="_GoBack"/>
      <w:bookmarkEnd w:id="0"/>
      <w:r w:rsidRPr="00D175EC">
        <w:rPr>
          <w:rFonts w:ascii="Arial" w:hAnsi="Arial" w:cs="Arial"/>
          <w:noProof/>
          <w:sz w:val="24"/>
          <w:szCs w:val="24"/>
        </w:rPr>
        <w:t>third party</w:t>
      </w:r>
      <w:r w:rsidRPr="00AA4B12">
        <w:rPr>
          <w:rFonts w:ascii="Arial" w:hAnsi="Arial" w:cs="Arial"/>
          <w:sz w:val="24"/>
          <w:szCs w:val="24"/>
        </w:rPr>
        <w:t xml:space="preserve"> consultants to confirm that the streetlights that have been upgraded, including information such as:</w:t>
      </w:r>
      <w:r w:rsidRPr="00AA4B12" w:rsidDel="006A64C0">
        <w:rPr>
          <w:rFonts w:ascii="Arial" w:hAnsi="Arial" w:cs="Arial"/>
          <w:sz w:val="24"/>
          <w:szCs w:val="24"/>
        </w:rPr>
        <w:t xml:space="preserve"> </w:t>
      </w:r>
    </w:p>
    <w:p w14:paraId="78D38406" w14:textId="77777777" w:rsidR="00835660" w:rsidRPr="00AA4B12" w:rsidRDefault="00835660" w:rsidP="00AA4B12">
      <w:pPr>
        <w:pStyle w:val="ListParagraph"/>
        <w:spacing w:after="0"/>
        <w:rPr>
          <w:rFonts w:ascii="Arial" w:hAnsi="Arial" w:cs="Arial"/>
          <w:sz w:val="24"/>
          <w:szCs w:val="24"/>
        </w:rPr>
      </w:pPr>
    </w:p>
    <w:p w14:paraId="657CD2F6" w14:textId="77777777" w:rsidR="00835660" w:rsidRPr="00AA4B12" w:rsidRDefault="00835660" w:rsidP="00E2382A">
      <w:pPr>
        <w:pStyle w:val="ListParagraph"/>
        <w:numPr>
          <w:ilvl w:val="1"/>
          <w:numId w:val="6"/>
        </w:numPr>
        <w:spacing w:after="0"/>
        <w:rPr>
          <w:rFonts w:ascii="Arial" w:hAnsi="Arial" w:cs="Arial"/>
          <w:sz w:val="24"/>
          <w:szCs w:val="24"/>
        </w:rPr>
      </w:pPr>
      <w:r w:rsidRPr="00AA4B12">
        <w:rPr>
          <w:rFonts w:ascii="Arial" w:hAnsi="Arial" w:cs="Arial"/>
          <w:sz w:val="24"/>
          <w:szCs w:val="24"/>
        </w:rPr>
        <w:t>The total number of streetlights that were upgraded, on a monthly basis</w:t>
      </w:r>
    </w:p>
    <w:p w14:paraId="00B62015" w14:textId="77777777" w:rsidR="00835660" w:rsidRPr="00AA4B12" w:rsidRDefault="00835660" w:rsidP="00E2382A">
      <w:pPr>
        <w:pStyle w:val="ListParagraph"/>
        <w:numPr>
          <w:ilvl w:val="1"/>
          <w:numId w:val="6"/>
        </w:numPr>
        <w:spacing w:after="0"/>
        <w:rPr>
          <w:rFonts w:ascii="Arial" w:hAnsi="Arial" w:cs="Arial"/>
          <w:sz w:val="24"/>
          <w:szCs w:val="24"/>
        </w:rPr>
      </w:pPr>
      <w:r w:rsidRPr="00AA4B12">
        <w:rPr>
          <w:rFonts w:ascii="Arial" w:hAnsi="Arial" w:cs="Arial"/>
          <w:sz w:val="24"/>
          <w:szCs w:val="24"/>
        </w:rPr>
        <w:t>The percentage of streetlights that were upgraded through the 2016 retrofit program to the total streetlight population</w:t>
      </w:r>
    </w:p>
    <w:p w14:paraId="65F96AA4" w14:textId="77777777" w:rsidR="00835660" w:rsidRPr="00AA4B12" w:rsidRDefault="00835660" w:rsidP="00E2382A">
      <w:pPr>
        <w:pStyle w:val="ListParagraph"/>
        <w:numPr>
          <w:ilvl w:val="1"/>
          <w:numId w:val="6"/>
        </w:numPr>
        <w:spacing w:after="0"/>
        <w:rPr>
          <w:rFonts w:ascii="Arial" w:hAnsi="Arial" w:cs="Arial"/>
          <w:sz w:val="24"/>
          <w:szCs w:val="24"/>
        </w:rPr>
      </w:pPr>
      <w:r w:rsidRPr="00AA4B12">
        <w:rPr>
          <w:rFonts w:ascii="Arial" w:hAnsi="Arial" w:cs="Arial"/>
          <w:sz w:val="24"/>
          <w:szCs w:val="24"/>
        </w:rPr>
        <w:t>The original type of bulb that was in-place, the efficient type of bulb that was installed (LED and non-LED)</w:t>
      </w:r>
    </w:p>
    <w:p w14:paraId="2C7D0B71" w14:textId="77777777" w:rsidR="00835660" w:rsidRPr="00AA4B12" w:rsidRDefault="00835660" w:rsidP="00E2382A">
      <w:pPr>
        <w:pStyle w:val="ListParagraph"/>
        <w:numPr>
          <w:ilvl w:val="1"/>
          <w:numId w:val="6"/>
        </w:numPr>
        <w:spacing w:after="0"/>
        <w:rPr>
          <w:rFonts w:ascii="Arial" w:hAnsi="Arial" w:cs="Arial"/>
          <w:sz w:val="24"/>
          <w:szCs w:val="24"/>
        </w:rPr>
      </w:pPr>
      <w:r w:rsidRPr="00AA4B12">
        <w:rPr>
          <w:rFonts w:ascii="Arial" w:hAnsi="Arial" w:cs="Arial"/>
          <w:sz w:val="24"/>
          <w:szCs w:val="24"/>
        </w:rPr>
        <w:t>The savings achieved through the streetlight upgrades, on a monthly basis</w:t>
      </w:r>
    </w:p>
    <w:p w14:paraId="796D268A" w14:textId="77777777" w:rsidR="00764FC4" w:rsidRDefault="00764FC4" w:rsidP="00CC3916">
      <w:pPr>
        <w:spacing w:after="0"/>
        <w:rPr>
          <w:rFonts w:ascii="Arial" w:eastAsia="Times New Roman" w:hAnsi="Arial" w:cs="Arial"/>
          <w:color w:val="0070C0"/>
          <w:sz w:val="24"/>
          <w:szCs w:val="24"/>
        </w:rPr>
      </w:pPr>
    </w:p>
    <w:p w14:paraId="5D357565" w14:textId="77777777" w:rsidR="00764FC4" w:rsidRPr="00E55CF7" w:rsidRDefault="00764FC4" w:rsidP="00764FC4">
      <w:pPr>
        <w:spacing w:after="0"/>
        <w:rPr>
          <w:rFonts w:ascii="Arial" w:eastAsia="Times New Roman" w:hAnsi="Arial" w:cs="Arial"/>
          <w:color w:val="0070C0"/>
          <w:sz w:val="24"/>
          <w:szCs w:val="24"/>
        </w:rPr>
      </w:pPr>
      <w:r w:rsidRPr="00E55CF7">
        <w:rPr>
          <w:rFonts w:ascii="Arial" w:eastAsia="Times New Roman" w:hAnsi="Arial" w:cs="Arial"/>
          <w:color w:val="0070C0"/>
          <w:sz w:val="24"/>
          <w:szCs w:val="24"/>
        </w:rPr>
        <w:t xml:space="preserve">Responses: </w:t>
      </w:r>
    </w:p>
    <w:p w14:paraId="66E59D86" w14:textId="30EEA133" w:rsidR="00764FC4" w:rsidRDefault="001A2E4B" w:rsidP="00E2382A">
      <w:pPr>
        <w:pStyle w:val="ListParagraph"/>
        <w:numPr>
          <w:ilvl w:val="0"/>
          <w:numId w:val="23"/>
        </w:numPr>
        <w:spacing w:after="0"/>
        <w:rPr>
          <w:rFonts w:ascii="Arial" w:eastAsia="Times New Roman" w:hAnsi="Arial" w:cs="Arial"/>
          <w:color w:val="0070C0"/>
          <w:sz w:val="24"/>
          <w:szCs w:val="24"/>
        </w:rPr>
      </w:pPr>
      <w:r>
        <w:rPr>
          <w:rFonts w:ascii="Arial" w:eastAsia="Times New Roman" w:hAnsi="Arial" w:cs="Arial"/>
          <w:color w:val="0070C0"/>
          <w:sz w:val="24"/>
          <w:szCs w:val="24"/>
        </w:rPr>
        <w:lastRenderedPageBreak/>
        <w:t>Confirmed</w:t>
      </w:r>
    </w:p>
    <w:p w14:paraId="11D904DC" w14:textId="77777777" w:rsidR="00764FC4" w:rsidRPr="00CD4C71" w:rsidRDefault="00764FC4" w:rsidP="00764FC4">
      <w:pPr>
        <w:spacing w:after="0"/>
        <w:rPr>
          <w:rFonts w:ascii="Arial" w:eastAsia="Times New Roman" w:hAnsi="Arial" w:cs="Arial"/>
          <w:color w:val="0070C0"/>
          <w:sz w:val="24"/>
          <w:szCs w:val="24"/>
        </w:rPr>
      </w:pPr>
    </w:p>
    <w:p w14:paraId="4D9C23F8" w14:textId="5E718E2D" w:rsidR="00764FC4" w:rsidRDefault="0069062B" w:rsidP="00E2382A">
      <w:pPr>
        <w:pStyle w:val="ListParagraph"/>
        <w:numPr>
          <w:ilvl w:val="0"/>
          <w:numId w:val="23"/>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The retrofit project in 2016 and 2017 </w:t>
      </w:r>
      <w:r w:rsidRPr="002245FE">
        <w:rPr>
          <w:rFonts w:ascii="Arial" w:eastAsia="Times New Roman" w:hAnsi="Arial" w:cs="Arial"/>
          <w:noProof/>
          <w:color w:val="0070C0"/>
          <w:sz w:val="24"/>
          <w:szCs w:val="24"/>
        </w:rPr>
        <w:t>w</w:t>
      </w:r>
      <w:r w:rsidR="002245FE">
        <w:rPr>
          <w:rFonts w:ascii="Arial" w:eastAsia="Times New Roman" w:hAnsi="Arial" w:cs="Arial"/>
          <w:noProof/>
          <w:color w:val="0070C0"/>
          <w:sz w:val="24"/>
          <w:szCs w:val="24"/>
        </w:rPr>
        <w:t>as</w:t>
      </w:r>
      <w:r>
        <w:rPr>
          <w:rFonts w:ascii="Arial" w:eastAsia="Times New Roman" w:hAnsi="Arial" w:cs="Arial"/>
          <w:color w:val="0070C0"/>
          <w:sz w:val="24"/>
          <w:szCs w:val="24"/>
        </w:rPr>
        <w:t xml:space="preserve"> part of a specific “Waterfront Revitalization” project where the </w:t>
      </w:r>
      <w:r w:rsidR="002245FE">
        <w:rPr>
          <w:rFonts w:ascii="Arial" w:eastAsia="Times New Roman" w:hAnsi="Arial" w:cs="Arial"/>
          <w:color w:val="0070C0"/>
          <w:sz w:val="24"/>
          <w:szCs w:val="24"/>
        </w:rPr>
        <w:t>lights</w:t>
      </w:r>
      <w:r>
        <w:rPr>
          <w:rFonts w:ascii="Arial" w:eastAsia="Times New Roman" w:hAnsi="Arial" w:cs="Arial"/>
          <w:color w:val="0070C0"/>
          <w:sz w:val="24"/>
          <w:szCs w:val="24"/>
        </w:rPr>
        <w:t xml:space="preserve"> in question are billed under the GS&lt;50 rate class.  </w:t>
      </w:r>
    </w:p>
    <w:p w14:paraId="7A1CB5D6" w14:textId="77777777" w:rsidR="00764FC4" w:rsidRPr="00CD4C71" w:rsidRDefault="00764FC4" w:rsidP="00764FC4">
      <w:pPr>
        <w:pStyle w:val="ListParagraph"/>
        <w:rPr>
          <w:rFonts w:ascii="Arial" w:eastAsia="Times New Roman" w:hAnsi="Arial" w:cs="Arial"/>
          <w:color w:val="0070C0"/>
          <w:sz w:val="24"/>
          <w:szCs w:val="24"/>
        </w:rPr>
      </w:pPr>
    </w:p>
    <w:p w14:paraId="3A78BD4A" w14:textId="6E017927" w:rsidR="00764FC4" w:rsidRDefault="0069062B" w:rsidP="00E2382A">
      <w:pPr>
        <w:pStyle w:val="ListParagraph"/>
        <w:numPr>
          <w:ilvl w:val="0"/>
          <w:numId w:val="23"/>
        </w:numPr>
        <w:spacing w:after="0"/>
        <w:rPr>
          <w:rFonts w:ascii="Arial" w:eastAsia="Times New Roman" w:hAnsi="Arial" w:cs="Arial"/>
          <w:color w:val="0070C0"/>
          <w:sz w:val="24"/>
          <w:szCs w:val="24"/>
        </w:rPr>
      </w:pPr>
      <w:r>
        <w:rPr>
          <w:rFonts w:ascii="Arial" w:eastAsia="Times New Roman" w:hAnsi="Arial" w:cs="Arial"/>
          <w:color w:val="0070C0"/>
          <w:sz w:val="24"/>
          <w:szCs w:val="24"/>
        </w:rPr>
        <w:t>Town of Chapleau</w:t>
      </w:r>
    </w:p>
    <w:p w14:paraId="4502A51C" w14:textId="77777777" w:rsidR="00764FC4" w:rsidRPr="00CD4C71" w:rsidRDefault="00764FC4" w:rsidP="00764FC4">
      <w:pPr>
        <w:spacing w:after="0"/>
        <w:rPr>
          <w:rFonts w:ascii="Arial" w:eastAsia="Times New Roman" w:hAnsi="Arial" w:cs="Arial"/>
          <w:color w:val="0070C0"/>
          <w:sz w:val="24"/>
          <w:szCs w:val="24"/>
        </w:rPr>
      </w:pPr>
    </w:p>
    <w:p w14:paraId="11850C39" w14:textId="215E0CD2" w:rsidR="00764FC4" w:rsidRDefault="0069062B" w:rsidP="00E2382A">
      <w:pPr>
        <w:pStyle w:val="ListParagraph"/>
        <w:numPr>
          <w:ilvl w:val="0"/>
          <w:numId w:val="23"/>
        </w:numPr>
        <w:spacing w:after="0"/>
        <w:rPr>
          <w:rFonts w:ascii="Arial" w:eastAsia="Times New Roman" w:hAnsi="Arial" w:cs="Arial"/>
          <w:color w:val="0070C0"/>
          <w:sz w:val="24"/>
          <w:szCs w:val="24"/>
        </w:rPr>
      </w:pPr>
      <w:r>
        <w:rPr>
          <w:rFonts w:ascii="Arial" w:eastAsia="Times New Roman" w:hAnsi="Arial" w:cs="Arial"/>
          <w:color w:val="0070C0"/>
          <w:sz w:val="24"/>
          <w:szCs w:val="24"/>
        </w:rPr>
        <w:t>Please see response to b)</w:t>
      </w:r>
    </w:p>
    <w:p w14:paraId="3832B382" w14:textId="77777777" w:rsidR="00764FC4" w:rsidRPr="00CD4C71" w:rsidRDefault="00764FC4" w:rsidP="00764FC4">
      <w:pPr>
        <w:spacing w:after="0"/>
        <w:rPr>
          <w:rFonts w:ascii="Arial" w:eastAsia="Times New Roman" w:hAnsi="Arial" w:cs="Arial"/>
          <w:color w:val="0070C0"/>
          <w:sz w:val="24"/>
          <w:szCs w:val="24"/>
        </w:rPr>
      </w:pPr>
    </w:p>
    <w:p w14:paraId="0C1D630A" w14:textId="7965EDFF" w:rsidR="00764FC4" w:rsidRDefault="0069062B" w:rsidP="00E2382A">
      <w:pPr>
        <w:pStyle w:val="ListParagraph"/>
        <w:numPr>
          <w:ilvl w:val="0"/>
          <w:numId w:val="23"/>
        </w:numPr>
        <w:spacing w:after="0"/>
        <w:rPr>
          <w:rFonts w:ascii="Arial" w:eastAsia="Times New Roman" w:hAnsi="Arial" w:cs="Arial"/>
          <w:color w:val="0070C0"/>
          <w:sz w:val="24"/>
          <w:szCs w:val="24"/>
        </w:rPr>
      </w:pPr>
      <w:r>
        <w:rPr>
          <w:rFonts w:ascii="Arial" w:eastAsia="Times New Roman" w:hAnsi="Arial" w:cs="Arial"/>
          <w:color w:val="0070C0"/>
          <w:sz w:val="24"/>
          <w:szCs w:val="24"/>
        </w:rPr>
        <w:t xml:space="preserve">Please see response to b) where no savings were allocated to the Streetlights class. </w:t>
      </w:r>
    </w:p>
    <w:p w14:paraId="5E6D1DD2" w14:textId="77777777" w:rsidR="00764FC4" w:rsidRPr="00CD4C71" w:rsidRDefault="00764FC4" w:rsidP="00764FC4">
      <w:pPr>
        <w:pStyle w:val="ListParagraph"/>
        <w:rPr>
          <w:rFonts w:ascii="Arial" w:eastAsia="Times New Roman" w:hAnsi="Arial" w:cs="Arial"/>
          <w:color w:val="0070C0"/>
          <w:sz w:val="24"/>
          <w:szCs w:val="24"/>
        </w:rPr>
      </w:pPr>
    </w:p>
    <w:p w14:paraId="690E3D44" w14:textId="72A6A803" w:rsidR="00CC3916" w:rsidRDefault="00CC3916">
      <w:pPr>
        <w:rPr>
          <w:rFonts w:ascii="Arial" w:eastAsiaTheme="majorEastAsia" w:hAnsi="Arial" w:cstheme="majorBidi"/>
          <w:b/>
          <w:sz w:val="28"/>
          <w:szCs w:val="26"/>
          <w:lang w:val="en-US"/>
        </w:rPr>
      </w:pPr>
    </w:p>
    <w:sectPr w:rsidR="00CC3916" w:rsidSect="00A225BC">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D4AD" w14:textId="77777777" w:rsidR="003D5FA1" w:rsidRDefault="003D5FA1" w:rsidP="00CE177A">
      <w:pPr>
        <w:spacing w:after="0" w:line="240" w:lineRule="auto"/>
      </w:pPr>
      <w:r>
        <w:separator/>
      </w:r>
    </w:p>
  </w:endnote>
  <w:endnote w:type="continuationSeparator" w:id="0">
    <w:p w14:paraId="6740B3CB" w14:textId="77777777" w:rsidR="003D5FA1" w:rsidRDefault="003D5FA1" w:rsidP="00CE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051282"/>
      <w:docPartObj>
        <w:docPartGallery w:val="Page Numbers (Bottom of Page)"/>
        <w:docPartUnique/>
      </w:docPartObj>
    </w:sdtPr>
    <w:sdtEndPr>
      <w:rPr>
        <w:noProof/>
      </w:rPr>
    </w:sdtEndPr>
    <w:sdtContent>
      <w:p w14:paraId="53CF47AD" w14:textId="076C02E2" w:rsidR="003D5FA1" w:rsidRDefault="003D5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9BF2A" w14:textId="77777777" w:rsidR="003D5FA1" w:rsidRDefault="003D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656DD" w14:textId="77777777" w:rsidR="003D5FA1" w:rsidRDefault="003D5FA1" w:rsidP="00CE177A">
      <w:pPr>
        <w:spacing w:after="0" w:line="240" w:lineRule="auto"/>
      </w:pPr>
      <w:r>
        <w:separator/>
      </w:r>
    </w:p>
  </w:footnote>
  <w:footnote w:type="continuationSeparator" w:id="0">
    <w:p w14:paraId="000247A9" w14:textId="77777777" w:rsidR="003D5FA1" w:rsidRDefault="003D5FA1" w:rsidP="00CE177A">
      <w:pPr>
        <w:spacing w:after="0" w:line="240" w:lineRule="auto"/>
      </w:pPr>
      <w:r>
        <w:continuationSeparator/>
      </w:r>
    </w:p>
  </w:footnote>
  <w:footnote w:id="1">
    <w:p w14:paraId="3580F0EB" w14:textId="77777777" w:rsidR="003D5FA1" w:rsidRPr="009E33F6" w:rsidRDefault="003D5FA1" w:rsidP="00070D61">
      <w:pPr>
        <w:pStyle w:val="FootnoteText"/>
        <w:rPr>
          <w:rFonts w:ascii="Arial" w:hAnsi="Arial" w:cs="Arial"/>
        </w:rPr>
      </w:pPr>
      <w:r w:rsidRPr="009E33F6">
        <w:rPr>
          <w:rStyle w:val="FootnoteReference"/>
          <w:rFonts w:ascii="Arial" w:hAnsi="Arial" w:cs="Arial"/>
        </w:rPr>
        <w:footnoteRef/>
      </w:r>
      <w:r w:rsidRPr="009E33F6">
        <w:rPr>
          <w:rFonts w:ascii="Arial" w:hAnsi="Arial" w:cs="Arial"/>
        </w:rPr>
        <w:t xml:space="preserve"> Filing Requirements For Electricity Distribution Rate Applications - 2018 Edition for 2019 Rate  Applications - Chapter 2 Cost of Service, July 12, 2018</w:t>
      </w:r>
    </w:p>
  </w:footnote>
  <w:footnote w:id="2">
    <w:p w14:paraId="5D58D602" w14:textId="77777777" w:rsidR="003D5FA1" w:rsidRPr="003767CF" w:rsidRDefault="003D5FA1" w:rsidP="00070D61">
      <w:pPr>
        <w:pStyle w:val="FootnoteText"/>
        <w:rPr>
          <w:rFonts w:ascii="Arial" w:hAnsi="Arial" w:cs="Arial"/>
        </w:rPr>
      </w:pPr>
      <w:r w:rsidRPr="003767CF">
        <w:rPr>
          <w:rStyle w:val="FootnoteReference"/>
          <w:rFonts w:ascii="Arial" w:hAnsi="Arial" w:cs="Arial"/>
        </w:rPr>
        <w:footnoteRef/>
      </w:r>
      <w:r w:rsidRPr="003767CF">
        <w:rPr>
          <w:rFonts w:ascii="Arial" w:hAnsi="Arial" w:cs="Arial"/>
        </w:rPr>
        <w:t xml:space="preserve"> Filing Requirements For Electricity Distribution Rate Applications - 2018 Edition for 2019 Rate  Applications - Chapter 2 Cost of Service, July 12,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29F3" w14:textId="024A9C49" w:rsidR="003D5FA1" w:rsidRPr="002204E6" w:rsidRDefault="00CC43E6" w:rsidP="008264E0">
    <w:pPr>
      <w:pStyle w:val="Header"/>
      <w:jc w:val="right"/>
      <w:rPr>
        <w:rFonts w:ascii="Arial" w:hAnsi="Arial" w:cs="Arial"/>
        <w:b/>
        <w:sz w:val="16"/>
      </w:rPr>
    </w:pPr>
    <w:r>
      <w:rPr>
        <w:rFonts w:ascii="Arial" w:hAnsi="Arial" w:cs="Arial"/>
        <w:b/>
        <w:sz w:val="16"/>
      </w:rPr>
      <w:t xml:space="preserve">IRR to </w:t>
    </w:r>
    <w:r w:rsidR="003D5FA1">
      <w:rPr>
        <w:rFonts w:ascii="Arial" w:hAnsi="Arial" w:cs="Arial"/>
        <w:b/>
        <w:sz w:val="16"/>
      </w:rPr>
      <w:t>OEB Staff Interrogatories</w:t>
    </w:r>
  </w:p>
  <w:p w14:paraId="66D90EBD" w14:textId="77777777" w:rsidR="003D5FA1" w:rsidRDefault="003D5FA1" w:rsidP="008264E0">
    <w:pPr>
      <w:pStyle w:val="Header"/>
      <w:jc w:val="right"/>
      <w:rPr>
        <w:rFonts w:ascii="Arial" w:hAnsi="Arial" w:cs="Arial"/>
        <w:b/>
        <w:noProof/>
        <w:sz w:val="16"/>
      </w:rPr>
    </w:pPr>
    <w:r w:rsidRPr="005A3424">
      <w:rPr>
        <w:rFonts w:ascii="Arial" w:hAnsi="Arial" w:cs="Arial"/>
        <w:b/>
        <w:noProof/>
        <w:sz w:val="16"/>
      </w:rPr>
      <w:t>Chapleau Public Utilities Corporation</w:t>
    </w:r>
  </w:p>
  <w:p w14:paraId="30176318" w14:textId="77777777" w:rsidR="003D5FA1" w:rsidRPr="00183373" w:rsidRDefault="003D5FA1" w:rsidP="008264E0">
    <w:pPr>
      <w:pStyle w:val="Header"/>
      <w:jc w:val="right"/>
      <w:rPr>
        <w:rFonts w:ascii="Arial" w:hAnsi="Arial" w:cs="Arial"/>
        <w:b/>
        <w:sz w:val="16"/>
      </w:rPr>
    </w:pPr>
    <w:r w:rsidRPr="00602702">
      <w:rPr>
        <w:rFonts w:ascii="Arial" w:hAnsi="Arial" w:cs="Arial"/>
        <w:b/>
        <w:sz w:val="16"/>
      </w:rPr>
      <w:t>201</w:t>
    </w:r>
    <w:r>
      <w:rPr>
        <w:rFonts w:ascii="Arial" w:hAnsi="Arial" w:cs="Arial"/>
        <w:b/>
        <w:sz w:val="16"/>
      </w:rPr>
      <w:t>9</w:t>
    </w:r>
    <w:r w:rsidRPr="00602702">
      <w:rPr>
        <w:rFonts w:ascii="Arial" w:hAnsi="Arial" w:cs="Arial"/>
        <w:b/>
        <w:sz w:val="16"/>
      </w:rPr>
      <w:t xml:space="preserve"> Cost of Service Electricity Distribution Rate Application</w:t>
    </w:r>
  </w:p>
  <w:p w14:paraId="0C4161EB" w14:textId="77777777" w:rsidR="003D5FA1" w:rsidRDefault="003D5FA1" w:rsidP="008264E0">
    <w:pPr>
      <w:pStyle w:val="Header"/>
      <w:jc w:val="right"/>
      <w:rPr>
        <w:rFonts w:ascii="Arial" w:hAnsi="Arial" w:cs="Arial"/>
        <w:b/>
        <w:noProof/>
        <w:sz w:val="16"/>
      </w:rPr>
    </w:pPr>
    <w:r w:rsidRPr="006669DB">
      <w:rPr>
        <w:rFonts w:ascii="Arial" w:hAnsi="Arial" w:cs="Arial"/>
        <w:b/>
        <w:noProof/>
        <w:sz w:val="16"/>
      </w:rPr>
      <w:t>EB-</w:t>
    </w:r>
    <w:r>
      <w:rPr>
        <w:rFonts w:ascii="Arial" w:hAnsi="Arial" w:cs="Arial"/>
        <w:b/>
        <w:noProof/>
        <w:sz w:val="16"/>
      </w:rPr>
      <w:t>2018-0087</w:t>
    </w:r>
  </w:p>
  <w:p w14:paraId="435631D0" w14:textId="77777777" w:rsidR="003D5FA1" w:rsidRPr="008264E0" w:rsidRDefault="003D5FA1" w:rsidP="008264E0">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9A7"/>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5F30F1"/>
    <w:multiLevelType w:val="hybridMultilevel"/>
    <w:tmpl w:val="C53AD94C"/>
    <w:lvl w:ilvl="0" w:tplc="4896F39C">
      <w:start w:val="1"/>
      <w:numFmt w:val="lowerLetter"/>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EE3015"/>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4D0409"/>
    <w:multiLevelType w:val="hybridMultilevel"/>
    <w:tmpl w:val="EA601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F23A1"/>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787F19"/>
    <w:multiLevelType w:val="hybridMultilevel"/>
    <w:tmpl w:val="E87C6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060F8"/>
    <w:multiLevelType w:val="hybridMultilevel"/>
    <w:tmpl w:val="8146EFE0"/>
    <w:lvl w:ilvl="0" w:tplc="158AA2F6">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91C39"/>
    <w:multiLevelType w:val="hybridMultilevel"/>
    <w:tmpl w:val="673CE75E"/>
    <w:lvl w:ilvl="0" w:tplc="4896F39C">
      <w:start w:val="1"/>
      <w:numFmt w:val="lowerLetter"/>
      <w:lvlText w:val="%1)"/>
      <w:lvlJc w:val="left"/>
      <w:pPr>
        <w:ind w:left="144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4E34B19"/>
    <w:multiLevelType w:val="hybridMultilevel"/>
    <w:tmpl w:val="004CAAD4"/>
    <w:lvl w:ilvl="0" w:tplc="158AA2F6">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504C7"/>
    <w:multiLevelType w:val="hybridMultilevel"/>
    <w:tmpl w:val="8146EFE0"/>
    <w:lvl w:ilvl="0" w:tplc="158AA2F6">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90735"/>
    <w:multiLevelType w:val="multilevel"/>
    <w:tmpl w:val="4148FA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8D063C4"/>
    <w:multiLevelType w:val="hybridMultilevel"/>
    <w:tmpl w:val="8F0AE7CA"/>
    <w:lvl w:ilvl="0" w:tplc="DC8EEC7A">
      <w:start w:val="1"/>
      <w:numFmt w:val="lowerLetter"/>
      <w:lvlText w:val="%1)"/>
      <w:lvlJc w:val="left"/>
      <w:pPr>
        <w:ind w:left="984" w:hanging="36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12" w15:restartNumberingAfterBreak="0">
    <w:nsid w:val="2A4019F6"/>
    <w:multiLevelType w:val="hybridMultilevel"/>
    <w:tmpl w:val="53EE5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B01D44"/>
    <w:multiLevelType w:val="hybridMultilevel"/>
    <w:tmpl w:val="A81228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43249"/>
    <w:multiLevelType w:val="hybridMultilevel"/>
    <w:tmpl w:val="8146EFE0"/>
    <w:lvl w:ilvl="0" w:tplc="158AA2F6">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04170"/>
    <w:multiLevelType w:val="hybridMultilevel"/>
    <w:tmpl w:val="3D16CA3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0DA8"/>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E90737"/>
    <w:multiLevelType w:val="hybridMultilevel"/>
    <w:tmpl w:val="08563584"/>
    <w:lvl w:ilvl="0" w:tplc="0409001B">
      <w:start w:val="1"/>
      <w:numFmt w:val="lowerRoman"/>
      <w:lvlText w:val="%1."/>
      <w:lvlJc w:val="right"/>
      <w:pPr>
        <w:ind w:left="1080" w:hanging="360"/>
      </w:pPr>
      <w:rPr>
        <w:rFonts w:hint="default"/>
      </w:rPr>
    </w:lvl>
    <w:lvl w:ilvl="1" w:tplc="4896F39C">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46C81"/>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E6491D"/>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014C05"/>
    <w:multiLevelType w:val="hybridMultilevel"/>
    <w:tmpl w:val="2F7C2740"/>
    <w:lvl w:ilvl="0" w:tplc="04090017">
      <w:start w:val="1"/>
      <w:numFmt w:val="lowerLetter"/>
      <w:lvlText w:val="%1)"/>
      <w:lvlJc w:val="left"/>
      <w:pPr>
        <w:ind w:left="720" w:hanging="360"/>
      </w:pPr>
      <w:rPr>
        <w:rFonts w:hint="default"/>
      </w:rPr>
    </w:lvl>
    <w:lvl w:ilvl="1" w:tplc="4896F39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76390"/>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E71D12"/>
    <w:multiLevelType w:val="hybridMultilevel"/>
    <w:tmpl w:val="0742BD12"/>
    <w:lvl w:ilvl="0" w:tplc="158AA2F6">
      <w:start w:val="1"/>
      <w:numFmt w:val="lowerLetter"/>
      <w:lvlText w:val="%1)"/>
      <w:lvlJc w:val="left"/>
      <w:pPr>
        <w:ind w:left="720" w:hanging="360"/>
      </w:pPr>
      <w:rPr>
        <w:rFonts w:ascii="Arial" w:eastAsiaTheme="minorHAnsi" w:hAnsi="Arial" w:cs="Arial"/>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6799E"/>
    <w:multiLevelType w:val="hybridMultilevel"/>
    <w:tmpl w:val="C56693BA"/>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E2123"/>
    <w:multiLevelType w:val="hybridMultilevel"/>
    <w:tmpl w:val="8146EFE0"/>
    <w:lvl w:ilvl="0" w:tplc="158AA2F6">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A7813"/>
    <w:multiLevelType w:val="hybridMultilevel"/>
    <w:tmpl w:val="7A429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4388A"/>
    <w:multiLevelType w:val="hybridMultilevel"/>
    <w:tmpl w:val="6C3E145A"/>
    <w:lvl w:ilvl="0" w:tplc="11C40BCA">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601E9"/>
    <w:multiLevelType w:val="hybridMultilevel"/>
    <w:tmpl w:val="386AB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85F64"/>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7C25CA"/>
    <w:multiLevelType w:val="hybridMultilevel"/>
    <w:tmpl w:val="DAFA6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86D2D"/>
    <w:multiLevelType w:val="hybridMultilevel"/>
    <w:tmpl w:val="123E1BA8"/>
    <w:lvl w:ilvl="0" w:tplc="4896F39C">
      <w:start w:val="1"/>
      <w:numFmt w:val="lowerLetter"/>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6C5F6B"/>
    <w:multiLevelType w:val="hybridMultilevel"/>
    <w:tmpl w:val="8146EFE0"/>
    <w:lvl w:ilvl="0" w:tplc="158AA2F6">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856EC"/>
    <w:multiLevelType w:val="hybridMultilevel"/>
    <w:tmpl w:val="8F0AE7CA"/>
    <w:lvl w:ilvl="0" w:tplc="DC8EEC7A">
      <w:start w:val="1"/>
      <w:numFmt w:val="lowerLetter"/>
      <w:lvlText w:val="%1)"/>
      <w:lvlJc w:val="left"/>
      <w:pPr>
        <w:ind w:left="984" w:hanging="36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33" w15:restartNumberingAfterBreak="0">
    <w:nsid w:val="75580590"/>
    <w:multiLevelType w:val="hybridMultilevel"/>
    <w:tmpl w:val="C53AD94C"/>
    <w:lvl w:ilvl="0" w:tplc="4896F39C">
      <w:start w:val="1"/>
      <w:numFmt w:val="lowerLetter"/>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95C200E"/>
    <w:multiLevelType w:val="hybridMultilevel"/>
    <w:tmpl w:val="83E8E7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A74E94"/>
    <w:multiLevelType w:val="hybridMultilevel"/>
    <w:tmpl w:val="D44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023AB"/>
    <w:multiLevelType w:val="hybridMultilevel"/>
    <w:tmpl w:val="123E1BA8"/>
    <w:lvl w:ilvl="0" w:tplc="4896F39C">
      <w:start w:val="1"/>
      <w:numFmt w:val="lowerLetter"/>
      <w:lvlText w:val="%1)"/>
      <w:lvlJc w:val="left"/>
      <w:pPr>
        <w:ind w:left="144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20"/>
  </w:num>
  <w:num w:numId="3">
    <w:abstractNumId w:val="25"/>
  </w:num>
  <w:num w:numId="4">
    <w:abstractNumId w:val="3"/>
  </w:num>
  <w:num w:numId="5">
    <w:abstractNumId w:val="34"/>
  </w:num>
  <w:num w:numId="6">
    <w:abstractNumId w:val="15"/>
  </w:num>
  <w:num w:numId="7">
    <w:abstractNumId w:val="27"/>
  </w:num>
  <w:num w:numId="8">
    <w:abstractNumId w:val="31"/>
  </w:num>
  <w:num w:numId="9">
    <w:abstractNumId w:val="12"/>
  </w:num>
  <w:num w:numId="10">
    <w:abstractNumId w:val="14"/>
  </w:num>
  <w:num w:numId="11">
    <w:abstractNumId w:val="6"/>
  </w:num>
  <w:num w:numId="12">
    <w:abstractNumId w:val="24"/>
  </w:num>
  <w:num w:numId="13">
    <w:abstractNumId w:val="8"/>
  </w:num>
  <w:num w:numId="14">
    <w:abstractNumId w:val="9"/>
  </w:num>
  <w:num w:numId="15">
    <w:abstractNumId w:val="22"/>
  </w:num>
  <w:num w:numId="16">
    <w:abstractNumId w:val="21"/>
  </w:num>
  <w:num w:numId="17">
    <w:abstractNumId w:val="30"/>
  </w:num>
  <w:num w:numId="18">
    <w:abstractNumId w:val="16"/>
  </w:num>
  <w:num w:numId="19">
    <w:abstractNumId w:val="2"/>
  </w:num>
  <w:num w:numId="20">
    <w:abstractNumId w:val="36"/>
  </w:num>
  <w:num w:numId="21">
    <w:abstractNumId w:val="0"/>
  </w:num>
  <w:num w:numId="22">
    <w:abstractNumId w:val="18"/>
  </w:num>
  <w:num w:numId="23">
    <w:abstractNumId w:val="2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
  </w:num>
  <w:num w:numId="37">
    <w:abstractNumId w:val="33"/>
  </w:num>
  <w:num w:numId="3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0BFHmZpaGJmbGSjpKwanFxZn5eSAFprUAMHpG/CwAAAA="/>
  </w:docVars>
  <w:rsids>
    <w:rsidRoot w:val="00CE177A"/>
    <w:rsid w:val="0000021B"/>
    <w:rsid w:val="0000096D"/>
    <w:rsid w:val="00000A7B"/>
    <w:rsid w:val="00001050"/>
    <w:rsid w:val="000010A5"/>
    <w:rsid w:val="00001169"/>
    <w:rsid w:val="000026D9"/>
    <w:rsid w:val="00002B10"/>
    <w:rsid w:val="00003005"/>
    <w:rsid w:val="00003036"/>
    <w:rsid w:val="00003C4D"/>
    <w:rsid w:val="00003D66"/>
    <w:rsid w:val="00004820"/>
    <w:rsid w:val="00005C03"/>
    <w:rsid w:val="00005D31"/>
    <w:rsid w:val="00005F26"/>
    <w:rsid w:val="00006A5C"/>
    <w:rsid w:val="00007C41"/>
    <w:rsid w:val="00007D36"/>
    <w:rsid w:val="000104FC"/>
    <w:rsid w:val="00010F31"/>
    <w:rsid w:val="00011B6B"/>
    <w:rsid w:val="00012141"/>
    <w:rsid w:val="000121DB"/>
    <w:rsid w:val="0001231F"/>
    <w:rsid w:val="000127F1"/>
    <w:rsid w:val="00013199"/>
    <w:rsid w:val="00013E67"/>
    <w:rsid w:val="00014268"/>
    <w:rsid w:val="000144FC"/>
    <w:rsid w:val="000152FE"/>
    <w:rsid w:val="00015319"/>
    <w:rsid w:val="00015997"/>
    <w:rsid w:val="0001599E"/>
    <w:rsid w:val="00015CDE"/>
    <w:rsid w:val="00015F75"/>
    <w:rsid w:val="00016190"/>
    <w:rsid w:val="00016D1E"/>
    <w:rsid w:val="0001725C"/>
    <w:rsid w:val="000173DD"/>
    <w:rsid w:val="000177C9"/>
    <w:rsid w:val="00017BA2"/>
    <w:rsid w:val="00020872"/>
    <w:rsid w:val="00020D24"/>
    <w:rsid w:val="00021365"/>
    <w:rsid w:val="000219DD"/>
    <w:rsid w:val="000225EF"/>
    <w:rsid w:val="00022BB9"/>
    <w:rsid w:val="000252DB"/>
    <w:rsid w:val="000260A5"/>
    <w:rsid w:val="00027020"/>
    <w:rsid w:val="00031069"/>
    <w:rsid w:val="0003118D"/>
    <w:rsid w:val="00031B10"/>
    <w:rsid w:val="00031F25"/>
    <w:rsid w:val="00032AD1"/>
    <w:rsid w:val="000337FA"/>
    <w:rsid w:val="00034453"/>
    <w:rsid w:val="00034FB2"/>
    <w:rsid w:val="000351EA"/>
    <w:rsid w:val="00035483"/>
    <w:rsid w:val="00037485"/>
    <w:rsid w:val="0004023C"/>
    <w:rsid w:val="00040543"/>
    <w:rsid w:val="0004063B"/>
    <w:rsid w:val="0004065A"/>
    <w:rsid w:val="00042417"/>
    <w:rsid w:val="00042E54"/>
    <w:rsid w:val="00043B37"/>
    <w:rsid w:val="00044838"/>
    <w:rsid w:val="000449B0"/>
    <w:rsid w:val="000449C9"/>
    <w:rsid w:val="00045302"/>
    <w:rsid w:val="0004568D"/>
    <w:rsid w:val="00045BF3"/>
    <w:rsid w:val="00046793"/>
    <w:rsid w:val="00047A3B"/>
    <w:rsid w:val="0005062E"/>
    <w:rsid w:val="00050E45"/>
    <w:rsid w:val="00050F6F"/>
    <w:rsid w:val="00051610"/>
    <w:rsid w:val="00051ABE"/>
    <w:rsid w:val="00051FB8"/>
    <w:rsid w:val="00052A13"/>
    <w:rsid w:val="000543CE"/>
    <w:rsid w:val="0005456C"/>
    <w:rsid w:val="00054808"/>
    <w:rsid w:val="0005533F"/>
    <w:rsid w:val="0005598E"/>
    <w:rsid w:val="00055A75"/>
    <w:rsid w:val="00055FAD"/>
    <w:rsid w:val="00057A33"/>
    <w:rsid w:val="00057D26"/>
    <w:rsid w:val="00060412"/>
    <w:rsid w:val="00060620"/>
    <w:rsid w:val="0006133D"/>
    <w:rsid w:val="000615F1"/>
    <w:rsid w:val="00061B58"/>
    <w:rsid w:val="00062273"/>
    <w:rsid w:val="00062959"/>
    <w:rsid w:val="000629BB"/>
    <w:rsid w:val="000679D8"/>
    <w:rsid w:val="00067EB8"/>
    <w:rsid w:val="00070D61"/>
    <w:rsid w:val="00070D8E"/>
    <w:rsid w:val="0007177A"/>
    <w:rsid w:val="000717A7"/>
    <w:rsid w:val="00072330"/>
    <w:rsid w:val="00073594"/>
    <w:rsid w:val="00073B11"/>
    <w:rsid w:val="0007409B"/>
    <w:rsid w:val="000749D9"/>
    <w:rsid w:val="00074AE4"/>
    <w:rsid w:val="00074C07"/>
    <w:rsid w:val="00075B30"/>
    <w:rsid w:val="00077A28"/>
    <w:rsid w:val="00077B4A"/>
    <w:rsid w:val="00080FB9"/>
    <w:rsid w:val="0008124F"/>
    <w:rsid w:val="000814FE"/>
    <w:rsid w:val="00081F08"/>
    <w:rsid w:val="000827D6"/>
    <w:rsid w:val="00082938"/>
    <w:rsid w:val="00083CB7"/>
    <w:rsid w:val="00084388"/>
    <w:rsid w:val="000844BD"/>
    <w:rsid w:val="00084557"/>
    <w:rsid w:val="00084FA1"/>
    <w:rsid w:val="0008542A"/>
    <w:rsid w:val="000856A4"/>
    <w:rsid w:val="00085F2F"/>
    <w:rsid w:val="000869B8"/>
    <w:rsid w:val="00086D49"/>
    <w:rsid w:val="0008729F"/>
    <w:rsid w:val="00087414"/>
    <w:rsid w:val="00090680"/>
    <w:rsid w:val="000910C0"/>
    <w:rsid w:val="000929C0"/>
    <w:rsid w:val="0009455F"/>
    <w:rsid w:val="00094A59"/>
    <w:rsid w:val="0009516F"/>
    <w:rsid w:val="000953F7"/>
    <w:rsid w:val="00095F04"/>
    <w:rsid w:val="00096785"/>
    <w:rsid w:val="00096B21"/>
    <w:rsid w:val="00097104"/>
    <w:rsid w:val="00097702"/>
    <w:rsid w:val="00097A0B"/>
    <w:rsid w:val="000A0D05"/>
    <w:rsid w:val="000A0DCA"/>
    <w:rsid w:val="000A12E3"/>
    <w:rsid w:val="000A1740"/>
    <w:rsid w:val="000A19FF"/>
    <w:rsid w:val="000A2829"/>
    <w:rsid w:val="000A3008"/>
    <w:rsid w:val="000A3A69"/>
    <w:rsid w:val="000A57D4"/>
    <w:rsid w:val="000A592E"/>
    <w:rsid w:val="000A5F0F"/>
    <w:rsid w:val="000A6063"/>
    <w:rsid w:val="000A6135"/>
    <w:rsid w:val="000A62AF"/>
    <w:rsid w:val="000A72D5"/>
    <w:rsid w:val="000A78B6"/>
    <w:rsid w:val="000A7F27"/>
    <w:rsid w:val="000B19A3"/>
    <w:rsid w:val="000B20CF"/>
    <w:rsid w:val="000B2A9D"/>
    <w:rsid w:val="000B2E42"/>
    <w:rsid w:val="000B351B"/>
    <w:rsid w:val="000B438B"/>
    <w:rsid w:val="000B644E"/>
    <w:rsid w:val="000B7AF0"/>
    <w:rsid w:val="000B7C5D"/>
    <w:rsid w:val="000B7D80"/>
    <w:rsid w:val="000C04BA"/>
    <w:rsid w:val="000C0532"/>
    <w:rsid w:val="000C2198"/>
    <w:rsid w:val="000C28A1"/>
    <w:rsid w:val="000C2E90"/>
    <w:rsid w:val="000C3A3C"/>
    <w:rsid w:val="000C527C"/>
    <w:rsid w:val="000C5E94"/>
    <w:rsid w:val="000C631A"/>
    <w:rsid w:val="000C6F92"/>
    <w:rsid w:val="000C7DBB"/>
    <w:rsid w:val="000D0509"/>
    <w:rsid w:val="000D0B0C"/>
    <w:rsid w:val="000D0B77"/>
    <w:rsid w:val="000D1237"/>
    <w:rsid w:val="000D1F35"/>
    <w:rsid w:val="000D2946"/>
    <w:rsid w:val="000D487A"/>
    <w:rsid w:val="000D4DEB"/>
    <w:rsid w:val="000D5390"/>
    <w:rsid w:val="000D5E37"/>
    <w:rsid w:val="000D5FF7"/>
    <w:rsid w:val="000D6228"/>
    <w:rsid w:val="000D6679"/>
    <w:rsid w:val="000D7741"/>
    <w:rsid w:val="000E0194"/>
    <w:rsid w:val="000E0530"/>
    <w:rsid w:val="000E193A"/>
    <w:rsid w:val="000E1C2A"/>
    <w:rsid w:val="000E1CE4"/>
    <w:rsid w:val="000E250B"/>
    <w:rsid w:val="000E3578"/>
    <w:rsid w:val="000E48B9"/>
    <w:rsid w:val="000E5623"/>
    <w:rsid w:val="000E56A6"/>
    <w:rsid w:val="000E5AFA"/>
    <w:rsid w:val="000E6440"/>
    <w:rsid w:val="000E658D"/>
    <w:rsid w:val="000E66E5"/>
    <w:rsid w:val="000E77AD"/>
    <w:rsid w:val="000E78AF"/>
    <w:rsid w:val="000E7CAC"/>
    <w:rsid w:val="000F0073"/>
    <w:rsid w:val="000F0524"/>
    <w:rsid w:val="000F0911"/>
    <w:rsid w:val="000F0B65"/>
    <w:rsid w:val="000F1B0B"/>
    <w:rsid w:val="000F20A4"/>
    <w:rsid w:val="000F2839"/>
    <w:rsid w:val="000F2C18"/>
    <w:rsid w:val="000F39C0"/>
    <w:rsid w:val="000F41A6"/>
    <w:rsid w:val="000F4212"/>
    <w:rsid w:val="000F46DF"/>
    <w:rsid w:val="000F49CD"/>
    <w:rsid w:val="000F4A5F"/>
    <w:rsid w:val="000F6684"/>
    <w:rsid w:val="0010009A"/>
    <w:rsid w:val="001008A2"/>
    <w:rsid w:val="00100A42"/>
    <w:rsid w:val="00101286"/>
    <w:rsid w:val="00101493"/>
    <w:rsid w:val="00101CEC"/>
    <w:rsid w:val="0010233D"/>
    <w:rsid w:val="001027CA"/>
    <w:rsid w:val="00103E1F"/>
    <w:rsid w:val="00103F9A"/>
    <w:rsid w:val="001044AC"/>
    <w:rsid w:val="001046A0"/>
    <w:rsid w:val="001046DD"/>
    <w:rsid w:val="00104BE2"/>
    <w:rsid w:val="00104E72"/>
    <w:rsid w:val="001059D3"/>
    <w:rsid w:val="00106D0A"/>
    <w:rsid w:val="00106E13"/>
    <w:rsid w:val="00107DFC"/>
    <w:rsid w:val="0011155E"/>
    <w:rsid w:val="00111975"/>
    <w:rsid w:val="0011200D"/>
    <w:rsid w:val="00112ABC"/>
    <w:rsid w:val="00112E16"/>
    <w:rsid w:val="001139D7"/>
    <w:rsid w:val="001146E8"/>
    <w:rsid w:val="001146E9"/>
    <w:rsid w:val="0011496B"/>
    <w:rsid w:val="00114AAD"/>
    <w:rsid w:val="00114B44"/>
    <w:rsid w:val="00114D3E"/>
    <w:rsid w:val="001163A9"/>
    <w:rsid w:val="0011674C"/>
    <w:rsid w:val="00116C74"/>
    <w:rsid w:val="00117048"/>
    <w:rsid w:val="001179C1"/>
    <w:rsid w:val="00117F7F"/>
    <w:rsid w:val="00120319"/>
    <w:rsid w:val="0012080D"/>
    <w:rsid w:val="00121E36"/>
    <w:rsid w:val="00122709"/>
    <w:rsid w:val="001228C4"/>
    <w:rsid w:val="0012291B"/>
    <w:rsid w:val="0012318F"/>
    <w:rsid w:val="001232E2"/>
    <w:rsid w:val="0012400F"/>
    <w:rsid w:val="001240D8"/>
    <w:rsid w:val="001244A5"/>
    <w:rsid w:val="00124F63"/>
    <w:rsid w:val="00125136"/>
    <w:rsid w:val="00125399"/>
    <w:rsid w:val="00125A29"/>
    <w:rsid w:val="00125DD4"/>
    <w:rsid w:val="00126BC7"/>
    <w:rsid w:val="0012733D"/>
    <w:rsid w:val="001273C6"/>
    <w:rsid w:val="0013048E"/>
    <w:rsid w:val="00130E7A"/>
    <w:rsid w:val="00131298"/>
    <w:rsid w:val="001317CD"/>
    <w:rsid w:val="001321EF"/>
    <w:rsid w:val="001335EA"/>
    <w:rsid w:val="00134A88"/>
    <w:rsid w:val="00135A7C"/>
    <w:rsid w:val="00136841"/>
    <w:rsid w:val="00136BEE"/>
    <w:rsid w:val="001404BF"/>
    <w:rsid w:val="00140A02"/>
    <w:rsid w:val="00141128"/>
    <w:rsid w:val="00141914"/>
    <w:rsid w:val="00143122"/>
    <w:rsid w:val="00143ED9"/>
    <w:rsid w:val="001443F5"/>
    <w:rsid w:val="0014507B"/>
    <w:rsid w:val="00145159"/>
    <w:rsid w:val="00145482"/>
    <w:rsid w:val="00146741"/>
    <w:rsid w:val="00146B19"/>
    <w:rsid w:val="001514D0"/>
    <w:rsid w:val="00151823"/>
    <w:rsid w:val="0015210D"/>
    <w:rsid w:val="0015323D"/>
    <w:rsid w:val="0015323E"/>
    <w:rsid w:val="00153662"/>
    <w:rsid w:val="00153909"/>
    <w:rsid w:val="001544AB"/>
    <w:rsid w:val="00156E17"/>
    <w:rsid w:val="00157234"/>
    <w:rsid w:val="001573A2"/>
    <w:rsid w:val="001602FE"/>
    <w:rsid w:val="001604FB"/>
    <w:rsid w:val="0016095F"/>
    <w:rsid w:val="00160C71"/>
    <w:rsid w:val="00160D22"/>
    <w:rsid w:val="00160EBF"/>
    <w:rsid w:val="00161489"/>
    <w:rsid w:val="0016172E"/>
    <w:rsid w:val="001630B4"/>
    <w:rsid w:val="001639B7"/>
    <w:rsid w:val="00163C47"/>
    <w:rsid w:val="001641C9"/>
    <w:rsid w:val="001647A7"/>
    <w:rsid w:val="00165431"/>
    <w:rsid w:val="00166CE4"/>
    <w:rsid w:val="00167022"/>
    <w:rsid w:val="001679F4"/>
    <w:rsid w:val="00170458"/>
    <w:rsid w:val="00170BF1"/>
    <w:rsid w:val="001713A3"/>
    <w:rsid w:val="001714E2"/>
    <w:rsid w:val="00171B0D"/>
    <w:rsid w:val="00171BEB"/>
    <w:rsid w:val="00171E81"/>
    <w:rsid w:val="0017201A"/>
    <w:rsid w:val="00172298"/>
    <w:rsid w:val="0017274C"/>
    <w:rsid w:val="001727D4"/>
    <w:rsid w:val="001729CE"/>
    <w:rsid w:val="00172A3E"/>
    <w:rsid w:val="00172AC0"/>
    <w:rsid w:val="00173203"/>
    <w:rsid w:val="00173739"/>
    <w:rsid w:val="00173897"/>
    <w:rsid w:val="001739FD"/>
    <w:rsid w:val="00173AE5"/>
    <w:rsid w:val="00174210"/>
    <w:rsid w:val="00174B4D"/>
    <w:rsid w:val="0017525D"/>
    <w:rsid w:val="0017663B"/>
    <w:rsid w:val="00176795"/>
    <w:rsid w:val="00177980"/>
    <w:rsid w:val="001779F4"/>
    <w:rsid w:val="00180560"/>
    <w:rsid w:val="00181BB2"/>
    <w:rsid w:val="0018235E"/>
    <w:rsid w:val="001829BB"/>
    <w:rsid w:val="001830C7"/>
    <w:rsid w:val="00183DF6"/>
    <w:rsid w:val="001843DE"/>
    <w:rsid w:val="001855DF"/>
    <w:rsid w:val="00185ADC"/>
    <w:rsid w:val="00185FD9"/>
    <w:rsid w:val="00186652"/>
    <w:rsid w:val="001868F7"/>
    <w:rsid w:val="00186E65"/>
    <w:rsid w:val="00187578"/>
    <w:rsid w:val="0019055C"/>
    <w:rsid w:val="00190796"/>
    <w:rsid w:val="00191E1D"/>
    <w:rsid w:val="001928C0"/>
    <w:rsid w:val="00193335"/>
    <w:rsid w:val="001935BA"/>
    <w:rsid w:val="001940DE"/>
    <w:rsid w:val="00194171"/>
    <w:rsid w:val="0019456A"/>
    <w:rsid w:val="001950D4"/>
    <w:rsid w:val="00195BBF"/>
    <w:rsid w:val="00196469"/>
    <w:rsid w:val="001A0E54"/>
    <w:rsid w:val="001A11A3"/>
    <w:rsid w:val="001A1C50"/>
    <w:rsid w:val="001A1F09"/>
    <w:rsid w:val="001A242F"/>
    <w:rsid w:val="001A2AE7"/>
    <w:rsid w:val="001A2E4B"/>
    <w:rsid w:val="001A2F06"/>
    <w:rsid w:val="001A3DAC"/>
    <w:rsid w:val="001A4642"/>
    <w:rsid w:val="001A4DEB"/>
    <w:rsid w:val="001A4ED5"/>
    <w:rsid w:val="001A54CD"/>
    <w:rsid w:val="001A6021"/>
    <w:rsid w:val="001A6D6B"/>
    <w:rsid w:val="001A78E6"/>
    <w:rsid w:val="001B1AF3"/>
    <w:rsid w:val="001B1BA9"/>
    <w:rsid w:val="001B1FEF"/>
    <w:rsid w:val="001B1FF2"/>
    <w:rsid w:val="001B2356"/>
    <w:rsid w:val="001B2C42"/>
    <w:rsid w:val="001B3206"/>
    <w:rsid w:val="001B428B"/>
    <w:rsid w:val="001B4FE5"/>
    <w:rsid w:val="001B5453"/>
    <w:rsid w:val="001B5695"/>
    <w:rsid w:val="001B60FB"/>
    <w:rsid w:val="001B6FBA"/>
    <w:rsid w:val="001B7288"/>
    <w:rsid w:val="001B736B"/>
    <w:rsid w:val="001B7F5F"/>
    <w:rsid w:val="001C00BF"/>
    <w:rsid w:val="001C050E"/>
    <w:rsid w:val="001C10A5"/>
    <w:rsid w:val="001C1C0D"/>
    <w:rsid w:val="001C21CB"/>
    <w:rsid w:val="001C2200"/>
    <w:rsid w:val="001C2C8D"/>
    <w:rsid w:val="001C3135"/>
    <w:rsid w:val="001C3F49"/>
    <w:rsid w:val="001C5442"/>
    <w:rsid w:val="001C6471"/>
    <w:rsid w:val="001C688F"/>
    <w:rsid w:val="001C6A4D"/>
    <w:rsid w:val="001C74AA"/>
    <w:rsid w:val="001D0A14"/>
    <w:rsid w:val="001D0ABD"/>
    <w:rsid w:val="001D1C06"/>
    <w:rsid w:val="001D2E0B"/>
    <w:rsid w:val="001D2EEE"/>
    <w:rsid w:val="001D3951"/>
    <w:rsid w:val="001D3CA6"/>
    <w:rsid w:val="001D3EF4"/>
    <w:rsid w:val="001D4C1F"/>
    <w:rsid w:val="001D4E9D"/>
    <w:rsid w:val="001D538E"/>
    <w:rsid w:val="001D5D2B"/>
    <w:rsid w:val="001D722F"/>
    <w:rsid w:val="001D7971"/>
    <w:rsid w:val="001D7AAE"/>
    <w:rsid w:val="001E0003"/>
    <w:rsid w:val="001E084B"/>
    <w:rsid w:val="001E15F2"/>
    <w:rsid w:val="001E1D8E"/>
    <w:rsid w:val="001E2D9B"/>
    <w:rsid w:val="001E4300"/>
    <w:rsid w:val="001E4B4A"/>
    <w:rsid w:val="001E4F0A"/>
    <w:rsid w:val="001E5B82"/>
    <w:rsid w:val="001E60F6"/>
    <w:rsid w:val="001E63B0"/>
    <w:rsid w:val="001E6731"/>
    <w:rsid w:val="001F1518"/>
    <w:rsid w:val="001F17B3"/>
    <w:rsid w:val="001F1C1F"/>
    <w:rsid w:val="001F2A30"/>
    <w:rsid w:val="001F327E"/>
    <w:rsid w:val="001F3631"/>
    <w:rsid w:val="001F3931"/>
    <w:rsid w:val="001F4488"/>
    <w:rsid w:val="001F468D"/>
    <w:rsid w:val="001F474F"/>
    <w:rsid w:val="001F4920"/>
    <w:rsid w:val="001F4BB5"/>
    <w:rsid w:val="001F4C2C"/>
    <w:rsid w:val="001F4CD6"/>
    <w:rsid w:val="001F4D4E"/>
    <w:rsid w:val="001F6044"/>
    <w:rsid w:val="001F6699"/>
    <w:rsid w:val="00201482"/>
    <w:rsid w:val="00201682"/>
    <w:rsid w:val="00201866"/>
    <w:rsid w:val="002022C6"/>
    <w:rsid w:val="00202342"/>
    <w:rsid w:val="002023F6"/>
    <w:rsid w:val="0020283A"/>
    <w:rsid w:val="00202A1B"/>
    <w:rsid w:val="0020395C"/>
    <w:rsid w:val="00203B42"/>
    <w:rsid w:val="00204306"/>
    <w:rsid w:val="002043E9"/>
    <w:rsid w:val="0020442C"/>
    <w:rsid w:val="00204D70"/>
    <w:rsid w:val="00205229"/>
    <w:rsid w:val="0020571B"/>
    <w:rsid w:val="0020593C"/>
    <w:rsid w:val="00205A08"/>
    <w:rsid w:val="002067E9"/>
    <w:rsid w:val="00207204"/>
    <w:rsid w:val="00207579"/>
    <w:rsid w:val="00211011"/>
    <w:rsid w:val="002110B7"/>
    <w:rsid w:val="00211519"/>
    <w:rsid w:val="00211581"/>
    <w:rsid w:val="002123C0"/>
    <w:rsid w:val="00212F81"/>
    <w:rsid w:val="00213BF1"/>
    <w:rsid w:val="00213CD6"/>
    <w:rsid w:val="0021411C"/>
    <w:rsid w:val="00214CE4"/>
    <w:rsid w:val="00214FCF"/>
    <w:rsid w:val="00215288"/>
    <w:rsid w:val="00215BBE"/>
    <w:rsid w:val="00216840"/>
    <w:rsid w:val="0021719C"/>
    <w:rsid w:val="002173BE"/>
    <w:rsid w:val="00217576"/>
    <w:rsid w:val="00221936"/>
    <w:rsid w:val="00221CD3"/>
    <w:rsid w:val="00221D36"/>
    <w:rsid w:val="002229ED"/>
    <w:rsid w:val="00223987"/>
    <w:rsid w:val="00223AE6"/>
    <w:rsid w:val="00223C4C"/>
    <w:rsid w:val="002240E0"/>
    <w:rsid w:val="00224289"/>
    <w:rsid w:val="002245FE"/>
    <w:rsid w:val="0022482A"/>
    <w:rsid w:val="0022482E"/>
    <w:rsid w:val="00225993"/>
    <w:rsid w:val="00226FA1"/>
    <w:rsid w:val="00227498"/>
    <w:rsid w:val="002278E7"/>
    <w:rsid w:val="00230255"/>
    <w:rsid w:val="00230A9E"/>
    <w:rsid w:val="00231A94"/>
    <w:rsid w:val="00231C24"/>
    <w:rsid w:val="0023241D"/>
    <w:rsid w:val="00232588"/>
    <w:rsid w:val="00232888"/>
    <w:rsid w:val="00232C59"/>
    <w:rsid w:val="002334B3"/>
    <w:rsid w:val="00235779"/>
    <w:rsid w:val="0023631B"/>
    <w:rsid w:val="00236905"/>
    <w:rsid w:val="002379F7"/>
    <w:rsid w:val="002403B2"/>
    <w:rsid w:val="00240AEE"/>
    <w:rsid w:val="00240BFA"/>
    <w:rsid w:val="00241B0D"/>
    <w:rsid w:val="00242119"/>
    <w:rsid w:val="00242503"/>
    <w:rsid w:val="00242732"/>
    <w:rsid w:val="00242B01"/>
    <w:rsid w:val="00244EC2"/>
    <w:rsid w:val="002455C5"/>
    <w:rsid w:val="002457DD"/>
    <w:rsid w:val="00245BDA"/>
    <w:rsid w:val="00245BF3"/>
    <w:rsid w:val="0024644E"/>
    <w:rsid w:val="0024770E"/>
    <w:rsid w:val="00250284"/>
    <w:rsid w:val="00250F56"/>
    <w:rsid w:val="00251841"/>
    <w:rsid w:val="00251CD3"/>
    <w:rsid w:val="0025223C"/>
    <w:rsid w:val="00252D5F"/>
    <w:rsid w:val="00253B20"/>
    <w:rsid w:val="00254752"/>
    <w:rsid w:val="002559D9"/>
    <w:rsid w:val="00255F04"/>
    <w:rsid w:val="002567DA"/>
    <w:rsid w:val="00256D3A"/>
    <w:rsid w:val="00257039"/>
    <w:rsid w:val="0025777C"/>
    <w:rsid w:val="00257CD9"/>
    <w:rsid w:val="00257DC5"/>
    <w:rsid w:val="00257EBF"/>
    <w:rsid w:val="00257FAB"/>
    <w:rsid w:val="0026054E"/>
    <w:rsid w:val="002615AF"/>
    <w:rsid w:val="002624DF"/>
    <w:rsid w:val="00262D61"/>
    <w:rsid w:val="00262EE3"/>
    <w:rsid w:val="00263263"/>
    <w:rsid w:val="0026355C"/>
    <w:rsid w:val="00263A31"/>
    <w:rsid w:val="00263B6B"/>
    <w:rsid w:val="00263BBF"/>
    <w:rsid w:val="002643A2"/>
    <w:rsid w:val="00265ED8"/>
    <w:rsid w:val="00266B9B"/>
    <w:rsid w:val="00267A8E"/>
    <w:rsid w:val="002701C5"/>
    <w:rsid w:val="00270202"/>
    <w:rsid w:val="00271530"/>
    <w:rsid w:val="00272732"/>
    <w:rsid w:val="00272BA3"/>
    <w:rsid w:val="00272ED6"/>
    <w:rsid w:val="002739C8"/>
    <w:rsid w:val="002743D0"/>
    <w:rsid w:val="002744CE"/>
    <w:rsid w:val="002745DF"/>
    <w:rsid w:val="00274EEA"/>
    <w:rsid w:val="002763FA"/>
    <w:rsid w:val="00276E48"/>
    <w:rsid w:val="002778F0"/>
    <w:rsid w:val="00280D5A"/>
    <w:rsid w:val="00280D92"/>
    <w:rsid w:val="00281857"/>
    <w:rsid w:val="00281DFA"/>
    <w:rsid w:val="00281FB6"/>
    <w:rsid w:val="00282989"/>
    <w:rsid w:val="0028307C"/>
    <w:rsid w:val="00283504"/>
    <w:rsid w:val="002836EA"/>
    <w:rsid w:val="002843F0"/>
    <w:rsid w:val="0028480F"/>
    <w:rsid w:val="00285D85"/>
    <w:rsid w:val="00286666"/>
    <w:rsid w:val="0028781C"/>
    <w:rsid w:val="0029034E"/>
    <w:rsid w:val="00290BFA"/>
    <w:rsid w:val="00291653"/>
    <w:rsid w:val="00291DF7"/>
    <w:rsid w:val="00292481"/>
    <w:rsid w:val="002925E6"/>
    <w:rsid w:val="002928A9"/>
    <w:rsid w:val="0029290E"/>
    <w:rsid w:val="00293494"/>
    <w:rsid w:val="00293F7E"/>
    <w:rsid w:val="00293FA0"/>
    <w:rsid w:val="00294069"/>
    <w:rsid w:val="0029491A"/>
    <w:rsid w:val="002957EC"/>
    <w:rsid w:val="00296DC3"/>
    <w:rsid w:val="00297051"/>
    <w:rsid w:val="00297CAD"/>
    <w:rsid w:val="002A013A"/>
    <w:rsid w:val="002A08FB"/>
    <w:rsid w:val="002A155B"/>
    <w:rsid w:val="002A2062"/>
    <w:rsid w:val="002A2538"/>
    <w:rsid w:val="002A2789"/>
    <w:rsid w:val="002A2CC8"/>
    <w:rsid w:val="002A2EB8"/>
    <w:rsid w:val="002A308C"/>
    <w:rsid w:val="002A318A"/>
    <w:rsid w:val="002A4849"/>
    <w:rsid w:val="002A75E5"/>
    <w:rsid w:val="002A79C7"/>
    <w:rsid w:val="002A7A18"/>
    <w:rsid w:val="002A7B10"/>
    <w:rsid w:val="002B0E22"/>
    <w:rsid w:val="002B2179"/>
    <w:rsid w:val="002B22B2"/>
    <w:rsid w:val="002B29B1"/>
    <w:rsid w:val="002B4438"/>
    <w:rsid w:val="002B4E51"/>
    <w:rsid w:val="002B56DB"/>
    <w:rsid w:val="002B7A49"/>
    <w:rsid w:val="002B7BBC"/>
    <w:rsid w:val="002C0490"/>
    <w:rsid w:val="002C0A6E"/>
    <w:rsid w:val="002C0D6D"/>
    <w:rsid w:val="002C2969"/>
    <w:rsid w:val="002C30EC"/>
    <w:rsid w:val="002C3620"/>
    <w:rsid w:val="002C3B1D"/>
    <w:rsid w:val="002C3F32"/>
    <w:rsid w:val="002C4968"/>
    <w:rsid w:val="002C5046"/>
    <w:rsid w:val="002C55B3"/>
    <w:rsid w:val="002C5994"/>
    <w:rsid w:val="002C63AD"/>
    <w:rsid w:val="002C7D6A"/>
    <w:rsid w:val="002C7FA1"/>
    <w:rsid w:val="002D0709"/>
    <w:rsid w:val="002D1F4C"/>
    <w:rsid w:val="002D2268"/>
    <w:rsid w:val="002D2EDC"/>
    <w:rsid w:val="002D3ED6"/>
    <w:rsid w:val="002D3FA2"/>
    <w:rsid w:val="002D4521"/>
    <w:rsid w:val="002D4594"/>
    <w:rsid w:val="002D4741"/>
    <w:rsid w:val="002D61E1"/>
    <w:rsid w:val="002D73DB"/>
    <w:rsid w:val="002D7408"/>
    <w:rsid w:val="002D7785"/>
    <w:rsid w:val="002E0974"/>
    <w:rsid w:val="002E0F10"/>
    <w:rsid w:val="002E0FE0"/>
    <w:rsid w:val="002E1425"/>
    <w:rsid w:val="002E16C1"/>
    <w:rsid w:val="002E194B"/>
    <w:rsid w:val="002E1AC0"/>
    <w:rsid w:val="002E1B78"/>
    <w:rsid w:val="002E1D1C"/>
    <w:rsid w:val="002E1DC0"/>
    <w:rsid w:val="002E26B2"/>
    <w:rsid w:val="002E2CA6"/>
    <w:rsid w:val="002E3AB7"/>
    <w:rsid w:val="002E3BB7"/>
    <w:rsid w:val="002E3C80"/>
    <w:rsid w:val="002E44D4"/>
    <w:rsid w:val="002E45F3"/>
    <w:rsid w:val="002E4A9D"/>
    <w:rsid w:val="002E5016"/>
    <w:rsid w:val="002E5CD1"/>
    <w:rsid w:val="002E6AA7"/>
    <w:rsid w:val="002E6ECC"/>
    <w:rsid w:val="002E6EE0"/>
    <w:rsid w:val="002E738A"/>
    <w:rsid w:val="002E7448"/>
    <w:rsid w:val="002E74E4"/>
    <w:rsid w:val="002F1074"/>
    <w:rsid w:val="002F1265"/>
    <w:rsid w:val="002F2326"/>
    <w:rsid w:val="002F23B5"/>
    <w:rsid w:val="002F2D89"/>
    <w:rsid w:val="002F2E46"/>
    <w:rsid w:val="002F2E61"/>
    <w:rsid w:val="002F3452"/>
    <w:rsid w:val="002F399F"/>
    <w:rsid w:val="002F4A43"/>
    <w:rsid w:val="002F63AC"/>
    <w:rsid w:val="002F6936"/>
    <w:rsid w:val="002F7CD5"/>
    <w:rsid w:val="002F7DDE"/>
    <w:rsid w:val="002F7EFA"/>
    <w:rsid w:val="0030039F"/>
    <w:rsid w:val="003004C3"/>
    <w:rsid w:val="0030073F"/>
    <w:rsid w:val="0030125B"/>
    <w:rsid w:val="00301634"/>
    <w:rsid w:val="00302770"/>
    <w:rsid w:val="00302C47"/>
    <w:rsid w:val="00302F37"/>
    <w:rsid w:val="00303314"/>
    <w:rsid w:val="00303757"/>
    <w:rsid w:val="00303BB2"/>
    <w:rsid w:val="00304253"/>
    <w:rsid w:val="003047EF"/>
    <w:rsid w:val="00304B1C"/>
    <w:rsid w:val="00304E24"/>
    <w:rsid w:val="0030598C"/>
    <w:rsid w:val="00305C8A"/>
    <w:rsid w:val="0030603B"/>
    <w:rsid w:val="00306651"/>
    <w:rsid w:val="003071EA"/>
    <w:rsid w:val="00307387"/>
    <w:rsid w:val="00307543"/>
    <w:rsid w:val="003079A3"/>
    <w:rsid w:val="00307A3B"/>
    <w:rsid w:val="003102C1"/>
    <w:rsid w:val="00312BA5"/>
    <w:rsid w:val="00312D28"/>
    <w:rsid w:val="0031453B"/>
    <w:rsid w:val="00317120"/>
    <w:rsid w:val="00317293"/>
    <w:rsid w:val="00317C39"/>
    <w:rsid w:val="003204A3"/>
    <w:rsid w:val="00321302"/>
    <w:rsid w:val="003218C9"/>
    <w:rsid w:val="003231A0"/>
    <w:rsid w:val="00323224"/>
    <w:rsid w:val="00323A46"/>
    <w:rsid w:val="00323A8A"/>
    <w:rsid w:val="0032407B"/>
    <w:rsid w:val="0032442B"/>
    <w:rsid w:val="0032514C"/>
    <w:rsid w:val="00325E89"/>
    <w:rsid w:val="00325F74"/>
    <w:rsid w:val="0032687A"/>
    <w:rsid w:val="00326BC0"/>
    <w:rsid w:val="003277D0"/>
    <w:rsid w:val="003277FB"/>
    <w:rsid w:val="00330505"/>
    <w:rsid w:val="0033089C"/>
    <w:rsid w:val="003309B0"/>
    <w:rsid w:val="00331646"/>
    <w:rsid w:val="00331999"/>
    <w:rsid w:val="00331B32"/>
    <w:rsid w:val="00331E93"/>
    <w:rsid w:val="00333B16"/>
    <w:rsid w:val="00334286"/>
    <w:rsid w:val="00335A24"/>
    <w:rsid w:val="00335C41"/>
    <w:rsid w:val="00335D88"/>
    <w:rsid w:val="0033627B"/>
    <w:rsid w:val="00336AB9"/>
    <w:rsid w:val="00337DA2"/>
    <w:rsid w:val="00341C94"/>
    <w:rsid w:val="003424FC"/>
    <w:rsid w:val="0034285E"/>
    <w:rsid w:val="003434CA"/>
    <w:rsid w:val="00343C20"/>
    <w:rsid w:val="00344C35"/>
    <w:rsid w:val="00345AF1"/>
    <w:rsid w:val="00345D39"/>
    <w:rsid w:val="00345D6B"/>
    <w:rsid w:val="00345F90"/>
    <w:rsid w:val="003460EF"/>
    <w:rsid w:val="00346A53"/>
    <w:rsid w:val="00347C1D"/>
    <w:rsid w:val="00347E2C"/>
    <w:rsid w:val="003505A8"/>
    <w:rsid w:val="00350F55"/>
    <w:rsid w:val="00350F70"/>
    <w:rsid w:val="0035103A"/>
    <w:rsid w:val="003526C6"/>
    <w:rsid w:val="003528C8"/>
    <w:rsid w:val="00352D9F"/>
    <w:rsid w:val="003531CA"/>
    <w:rsid w:val="0035358C"/>
    <w:rsid w:val="00353967"/>
    <w:rsid w:val="003541A0"/>
    <w:rsid w:val="00354265"/>
    <w:rsid w:val="00355196"/>
    <w:rsid w:val="00355CEF"/>
    <w:rsid w:val="003569B0"/>
    <w:rsid w:val="00356DDF"/>
    <w:rsid w:val="003570FA"/>
    <w:rsid w:val="00357871"/>
    <w:rsid w:val="00362030"/>
    <w:rsid w:val="003625C8"/>
    <w:rsid w:val="00362B19"/>
    <w:rsid w:val="00363D33"/>
    <w:rsid w:val="00363E38"/>
    <w:rsid w:val="0036615F"/>
    <w:rsid w:val="0036617B"/>
    <w:rsid w:val="003668E0"/>
    <w:rsid w:val="00366A6B"/>
    <w:rsid w:val="00367ACD"/>
    <w:rsid w:val="00370A6A"/>
    <w:rsid w:val="003711A2"/>
    <w:rsid w:val="00371B47"/>
    <w:rsid w:val="00371BDB"/>
    <w:rsid w:val="00372537"/>
    <w:rsid w:val="0037268B"/>
    <w:rsid w:val="00372D45"/>
    <w:rsid w:val="003736A4"/>
    <w:rsid w:val="003737E9"/>
    <w:rsid w:val="00373F00"/>
    <w:rsid w:val="003768F4"/>
    <w:rsid w:val="00377894"/>
    <w:rsid w:val="00380587"/>
    <w:rsid w:val="00381048"/>
    <w:rsid w:val="003810CA"/>
    <w:rsid w:val="00381529"/>
    <w:rsid w:val="003822F4"/>
    <w:rsid w:val="003831D0"/>
    <w:rsid w:val="0038352C"/>
    <w:rsid w:val="00383963"/>
    <w:rsid w:val="003852F1"/>
    <w:rsid w:val="00385467"/>
    <w:rsid w:val="00385736"/>
    <w:rsid w:val="003857D9"/>
    <w:rsid w:val="0038690C"/>
    <w:rsid w:val="0038768C"/>
    <w:rsid w:val="003877B8"/>
    <w:rsid w:val="0039002B"/>
    <w:rsid w:val="003911A6"/>
    <w:rsid w:val="003916E4"/>
    <w:rsid w:val="00391E47"/>
    <w:rsid w:val="00391E5B"/>
    <w:rsid w:val="00392415"/>
    <w:rsid w:val="003925B4"/>
    <w:rsid w:val="0039280B"/>
    <w:rsid w:val="00392B90"/>
    <w:rsid w:val="00393030"/>
    <w:rsid w:val="00393EE5"/>
    <w:rsid w:val="0039441B"/>
    <w:rsid w:val="00394485"/>
    <w:rsid w:val="003956CF"/>
    <w:rsid w:val="003957D0"/>
    <w:rsid w:val="00396008"/>
    <w:rsid w:val="00396492"/>
    <w:rsid w:val="003967D4"/>
    <w:rsid w:val="00397952"/>
    <w:rsid w:val="00397B34"/>
    <w:rsid w:val="00397FDE"/>
    <w:rsid w:val="003A2408"/>
    <w:rsid w:val="003A392D"/>
    <w:rsid w:val="003A399E"/>
    <w:rsid w:val="003A40FF"/>
    <w:rsid w:val="003A45EC"/>
    <w:rsid w:val="003A4797"/>
    <w:rsid w:val="003A4D23"/>
    <w:rsid w:val="003A560A"/>
    <w:rsid w:val="003A5756"/>
    <w:rsid w:val="003A5D29"/>
    <w:rsid w:val="003A5FC2"/>
    <w:rsid w:val="003A676D"/>
    <w:rsid w:val="003A6C45"/>
    <w:rsid w:val="003A78D5"/>
    <w:rsid w:val="003B07FE"/>
    <w:rsid w:val="003B0B20"/>
    <w:rsid w:val="003B0BC9"/>
    <w:rsid w:val="003B11B1"/>
    <w:rsid w:val="003B1BB3"/>
    <w:rsid w:val="003B1D32"/>
    <w:rsid w:val="003B22D9"/>
    <w:rsid w:val="003B2D3F"/>
    <w:rsid w:val="003B3428"/>
    <w:rsid w:val="003B342D"/>
    <w:rsid w:val="003B3857"/>
    <w:rsid w:val="003B5162"/>
    <w:rsid w:val="003B60BE"/>
    <w:rsid w:val="003B6949"/>
    <w:rsid w:val="003B6BBC"/>
    <w:rsid w:val="003B6C1A"/>
    <w:rsid w:val="003B7491"/>
    <w:rsid w:val="003B7606"/>
    <w:rsid w:val="003B7B1E"/>
    <w:rsid w:val="003C01F0"/>
    <w:rsid w:val="003C028A"/>
    <w:rsid w:val="003C02C8"/>
    <w:rsid w:val="003C18D4"/>
    <w:rsid w:val="003C1ED2"/>
    <w:rsid w:val="003C2474"/>
    <w:rsid w:val="003C2674"/>
    <w:rsid w:val="003C32E4"/>
    <w:rsid w:val="003C38A1"/>
    <w:rsid w:val="003C482F"/>
    <w:rsid w:val="003C587A"/>
    <w:rsid w:val="003C6021"/>
    <w:rsid w:val="003C6A4E"/>
    <w:rsid w:val="003C7839"/>
    <w:rsid w:val="003C78C5"/>
    <w:rsid w:val="003C7DF4"/>
    <w:rsid w:val="003D0105"/>
    <w:rsid w:val="003D0134"/>
    <w:rsid w:val="003D0307"/>
    <w:rsid w:val="003D0AB1"/>
    <w:rsid w:val="003D0D05"/>
    <w:rsid w:val="003D119F"/>
    <w:rsid w:val="003D1513"/>
    <w:rsid w:val="003D1BF9"/>
    <w:rsid w:val="003D2B9C"/>
    <w:rsid w:val="003D30F4"/>
    <w:rsid w:val="003D3252"/>
    <w:rsid w:val="003D33FD"/>
    <w:rsid w:val="003D3711"/>
    <w:rsid w:val="003D38FD"/>
    <w:rsid w:val="003D3FB4"/>
    <w:rsid w:val="003D47A8"/>
    <w:rsid w:val="003D4B3E"/>
    <w:rsid w:val="003D4E6F"/>
    <w:rsid w:val="003D596D"/>
    <w:rsid w:val="003D5E9A"/>
    <w:rsid w:val="003D5FA1"/>
    <w:rsid w:val="003D690E"/>
    <w:rsid w:val="003E0424"/>
    <w:rsid w:val="003E1327"/>
    <w:rsid w:val="003E2734"/>
    <w:rsid w:val="003E3DC7"/>
    <w:rsid w:val="003E3FEF"/>
    <w:rsid w:val="003E531B"/>
    <w:rsid w:val="003E5544"/>
    <w:rsid w:val="003E5750"/>
    <w:rsid w:val="003F0665"/>
    <w:rsid w:val="003F12B7"/>
    <w:rsid w:val="003F4FEB"/>
    <w:rsid w:val="003F62F6"/>
    <w:rsid w:val="003F69AE"/>
    <w:rsid w:val="003F7B10"/>
    <w:rsid w:val="003F7C0E"/>
    <w:rsid w:val="003F7F84"/>
    <w:rsid w:val="00400850"/>
    <w:rsid w:val="00400CD2"/>
    <w:rsid w:val="00400CEC"/>
    <w:rsid w:val="00400DAF"/>
    <w:rsid w:val="0040149D"/>
    <w:rsid w:val="004018B8"/>
    <w:rsid w:val="00401931"/>
    <w:rsid w:val="00401ECC"/>
    <w:rsid w:val="00403095"/>
    <w:rsid w:val="00403A6B"/>
    <w:rsid w:val="004046F0"/>
    <w:rsid w:val="00405047"/>
    <w:rsid w:val="004053A9"/>
    <w:rsid w:val="0040602C"/>
    <w:rsid w:val="0040644A"/>
    <w:rsid w:val="00406599"/>
    <w:rsid w:val="004071B1"/>
    <w:rsid w:val="004074F3"/>
    <w:rsid w:val="0041282F"/>
    <w:rsid w:val="00412B9A"/>
    <w:rsid w:val="00412D20"/>
    <w:rsid w:val="00412DC6"/>
    <w:rsid w:val="00413D34"/>
    <w:rsid w:val="004149D9"/>
    <w:rsid w:val="00415296"/>
    <w:rsid w:val="0041579E"/>
    <w:rsid w:val="00415F95"/>
    <w:rsid w:val="00420332"/>
    <w:rsid w:val="00421DD8"/>
    <w:rsid w:val="00423484"/>
    <w:rsid w:val="00423B20"/>
    <w:rsid w:val="00423C8C"/>
    <w:rsid w:val="004247A0"/>
    <w:rsid w:val="00425118"/>
    <w:rsid w:val="004254CA"/>
    <w:rsid w:val="00425C1E"/>
    <w:rsid w:val="00425E5B"/>
    <w:rsid w:val="0042652A"/>
    <w:rsid w:val="004274FC"/>
    <w:rsid w:val="00430A45"/>
    <w:rsid w:val="00431014"/>
    <w:rsid w:val="00432060"/>
    <w:rsid w:val="004320D4"/>
    <w:rsid w:val="00432123"/>
    <w:rsid w:val="00432E23"/>
    <w:rsid w:val="0043344F"/>
    <w:rsid w:val="00434656"/>
    <w:rsid w:val="0043526C"/>
    <w:rsid w:val="00436458"/>
    <w:rsid w:val="0043698C"/>
    <w:rsid w:val="00436EA5"/>
    <w:rsid w:val="00436EFE"/>
    <w:rsid w:val="00437B09"/>
    <w:rsid w:val="00437F9C"/>
    <w:rsid w:val="00440BCC"/>
    <w:rsid w:val="00440FAA"/>
    <w:rsid w:val="0044155D"/>
    <w:rsid w:val="0044177A"/>
    <w:rsid w:val="004418FE"/>
    <w:rsid w:val="00441C91"/>
    <w:rsid w:val="00441EF8"/>
    <w:rsid w:val="00442A66"/>
    <w:rsid w:val="004439C6"/>
    <w:rsid w:val="00444182"/>
    <w:rsid w:val="00444D9D"/>
    <w:rsid w:val="004454D9"/>
    <w:rsid w:val="00445670"/>
    <w:rsid w:val="00445F58"/>
    <w:rsid w:val="004462A7"/>
    <w:rsid w:val="00446774"/>
    <w:rsid w:val="00446D01"/>
    <w:rsid w:val="00447607"/>
    <w:rsid w:val="004504E4"/>
    <w:rsid w:val="00451763"/>
    <w:rsid w:val="00451C10"/>
    <w:rsid w:val="00454266"/>
    <w:rsid w:val="00454538"/>
    <w:rsid w:val="004551B8"/>
    <w:rsid w:val="0045558E"/>
    <w:rsid w:val="00455937"/>
    <w:rsid w:val="00455F10"/>
    <w:rsid w:val="004563FD"/>
    <w:rsid w:val="00456557"/>
    <w:rsid w:val="00456DD6"/>
    <w:rsid w:val="00457CAB"/>
    <w:rsid w:val="0046022D"/>
    <w:rsid w:val="00460235"/>
    <w:rsid w:val="0046148B"/>
    <w:rsid w:val="00462CCA"/>
    <w:rsid w:val="00463B85"/>
    <w:rsid w:val="00463D16"/>
    <w:rsid w:val="0046470B"/>
    <w:rsid w:val="00465311"/>
    <w:rsid w:val="00465647"/>
    <w:rsid w:val="004657A5"/>
    <w:rsid w:val="00465DFF"/>
    <w:rsid w:val="004673FC"/>
    <w:rsid w:val="004677FF"/>
    <w:rsid w:val="0046798B"/>
    <w:rsid w:val="00467FD2"/>
    <w:rsid w:val="00470206"/>
    <w:rsid w:val="004703C3"/>
    <w:rsid w:val="00470D8D"/>
    <w:rsid w:val="00470FBB"/>
    <w:rsid w:val="00471C19"/>
    <w:rsid w:val="00472109"/>
    <w:rsid w:val="00472524"/>
    <w:rsid w:val="00472B95"/>
    <w:rsid w:val="004732F5"/>
    <w:rsid w:val="0047343C"/>
    <w:rsid w:val="00473451"/>
    <w:rsid w:val="004738F4"/>
    <w:rsid w:val="00473B63"/>
    <w:rsid w:val="004745F2"/>
    <w:rsid w:val="00474988"/>
    <w:rsid w:val="004751B6"/>
    <w:rsid w:val="00475296"/>
    <w:rsid w:val="00475D19"/>
    <w:rsid w:val="00475D22"/>
    <w:rsid w:val="00475DB5"/>
    <w:rsid w:val="00475E26"/>
    <w:rsid w:val="0047673B"/>
    <w:rsid w:val="004769E1"/>
    <w:rsid w:val="00476CE4"/>
    <w:rsid w:val="00476EB2"/>
    <w:rsid w:val="00477800"/>
    <w:rsid w:val="004809DE"/>
    <w:rsid w:val="00480DB1"/>
    <w:rsid w:val="00481E68"/>
    <w:rsid w:val="004820D5"/>
    <w:rsid w:val="004827FD"/>
    <w:rsid w:val="00482A62"/>
    <w:rsid w:val="00482FD5"/>
    <w:rsid w:val="00483384"/>
    <w:rsid w:val="004834CF"/>
    <w:rsid w:val="0048382A"/>
    <w:rsid w:val="00484439"/>
    <w:rsid w:val="00484FCF"/>
    <w:rsid w:val="00486188"/>
    <w:rsid w:val="00486ED0"/>
    <w:rsid w:val="00487316"/>
    <w:rsid w:val="00487384"/>
    <w:rsid w:val="004874E6"/>
    <w:rsid w:val="00487BBB"/>
    <w:rsid w:val="00490561"/>
    <w:rsid w:val="00491784"/>
    <w:rsid w:val="00491F29"/>
    <w:rsid w:val="00492042"/>
    <w:rsid w:val="00493292"/>
    <w:rsid w:val="00493653"/>
    <w:rsid w:val="004936F6"/>
    <w:rsid w:val="00493B9D"/>
    <w:rsid w:val="004941DC"/>
    <w:rsid w:val="004943B3"/>
    <w:rsid w:val="00494638"/>
    <w:rsid w:val="00494EFF"/>
    <w:rsid w:val="0049504B"/>
    <w:rsid w:val="00495860"/>
    <w:rsid w:val="00496010"/>
    <w:rsid w:val="0049602F"/>
    <w:rsid w:val="00496A80"/>
    <w:rsid w:val="0049761C"/>
    <w:rsid w:val="00497949"/>
    <w:rsid w:val="004A07EE"/>
    <w:rsid w:val="004A08A5"/>
    <w:rsid w:val="004A09C2"/>
    <w:rsid w:val="004A0AA3"/>
    <w:rsid w:val="004A209C"/>
    <w:rsid w:val="004A236D"/>
    <w:rsid w:val="004A26EB"/>
    <w:rsid w:val="004A27D4"/>
    <w:rsid w:val="004A2C06"/>
    <w:rsid w:val="004A3626"/>
    <w:rsid w:val="004A39A8"/>
    <w:rsid w:val="004A3ADD"/>
    <w:rsid w:val="004A3D09"/>
    <w:rsid w:val="004A419B"/>
    <w:rsid w:val="004A4555"/>
    <w:rsid w:val="004A4748"/>
    <w:rsid w:val="004A4796"/>
    <w:rsid w:val="004A4C23"/>
    <w:rsid w:val="004A4EEF"/>
    <w:rsid w:val="004A546E"/>
    <w:rsid w:val="004A5BAF"/>
    <w:rsid w:val="004A5DA9"/>
    <w:rsid w:val="004A5E7E"/>
    <w:rsid w:val="004A6F08"/>
    <w:rsid w:val="004A7C1C"/>
    <w:rsid w:val="004A7EF8"/>
    <w:rsid w:val="004B029F"/>
    <w:rsid w:val="004B160D"/>
    <w:rsid w:val="004B1633"/>
    <w:rsid w:val="004B314A"/>
    <w:rsid w:val="004B398E"/>
    <w:rsid w:val="004B4C88"/>
    <w:rsid w:val="004B4DB6"/>
    <w:rsid w:val="004B4F8A"/>
    <w:rsid w:val="004B58F2"/>
    <w:rsid w:val="004B5A8F"/>
    <w:rsid w:val="004B6DC0"/>
    <w:rsid w:val="004B7A7A"/>
    <w:rsid w:val="004C12F7"/>
    <w:rsid w:val="004C1DB7"/>
    <w:rsid w:val="004C2D89"/>
    <w:rsid w:val="004C40D8"/>
    <w:rsid w:val="004C49E7"/>
    <w:rsid w:val="004C4D28"/>
    <w:rsid w:val="004C5B3C"/>
    <w:rsid w:val="004C5CF7"/>
    <w:rsid w:val="004C5F81"/>
    <w:rsid w:val="004C6AA1"/>
    <w:rsid w:val="004C6DF5"/>
    <w:rsid w:val="004C7C64"/>
    <w:rsid w:val="004C7CB3"/>
    <w:rsid w:val="004D0633"/>
    <w:rsid w:val="004D07E9"/>
    <w:rsid w:val="004D0BE5"/>
    <w:rsid w:val="004D1026"/>
    <w:rsid w:val="004D13C4"/>
    <w:rsid w:val="004D279B"/>
    <w:rsid w:val="004D2A6C"/>
    <w:rsid w:val="004D2CFB"/>
    <w:rsid w:val="004D3371"/>
    <w:rsid w:val="004D50AE"/>
    <w:rsid w:val="004D57FC"/>
    <w:rsid w:val="004D6FC1"/>
    <w:rsid w:val="004D71E8"/>
    <w:rsid w:val="004E0370"/>
    <w:rsid w:val="004E0725"/>
    <w:rsid w:val="004E0C82"/>
    <w:rsid w:val="004E33F8"/>
    <w:rsid w:val="004E345A"/>
    <w:rsid w:val="004E3C45"/>
    <w:rsid w:val="004E3DEC"/>
    <w:rsid w:val="004E451F"/>
    <w:rsid w:val="004E4913"/>
    <w:rsid w:val="004E4943"/>
    <w:rsid w:val="004E4DC8"/>
    <w:rsid w:val="004E5AC3"/>
    <w:rsid w:val="004E614C"/>
    <w:rsid w:val="004E637A"/>
    <w:rsid w:val="004E639D"/>
    <w:rsid w:val="004E6E4D"/>
    <w:rsid w:val="004E6F48"/>
    <w:rsid w:val="004E74B7"/>
    <w:rsid w:val="004E74F6"/>
    <w:rsid w:val="004E7587"/>
    <w:rsid w:val="004E7E1B"/>
    <w:rsid w:val="004F0497"/>
    <w:rsid w:val="004F064E"/>
    <w:rsid w:val="004F0A5E"/>
    <w:rsid w:val="004F179A"/>
    <w:rsid w:val="004F1A3A"/>
    <w:rsid w:val="004F1AC8"/>
    <w:rsid w:val="004F3E82"/>
    <w:rsid w:val="004F3EB9"/>
    <w:rsid w:val="004F4330"/>
    <w:rsid w:val="004F5222"/>
    <w:rsid w:val="004F5749"/>
    <w:rsid w:val="004F6CE0"/>
    <w:rsid w:val="004F706A"/>
    <w:rsid w:val="004F759E"/>
    <w:rsid w:val="005004B9"/>
    <w:rsid w:val="00501B56"/>
    <w:rsid w:val="00501B60"/>
    <w:rsid w:val="00501F7B"/>
    <w:rsid w:val="005027A6"/>
    <w:rsid w:val="005033C4"/>
    <w:rsid w:val="00503981"/>
    <w:rsid w:val="00503A70"/>
    <w:rsid w:val="00503C19"/>
    <w:rsid w:val="00504335"/>
    <w:rsid w:val="00505279"/>
    <w:rsid w:val="00506C95"/>
    <w:rsid w:val="00506E25"/>
    <w:rsid w:val="00507B84"/>
    <w:rsid w:val="00507F92"/>
    <w:rsid w:val="00510071"/>
    <w:rsid w:val="00510264"/>
    <w:rsid w:val="005102EF"/>
    <w:rsid w:val="00510980"/>
    <w:rsid w:val="00510DF3"/>
    <w:rsid w:val="00511A78"/>
    <w:rsid w:val="00511DD7"/>
    <w:rsid w:val="00512A91"/>
    <w:rsid w:val="00513C8B"/>
    <w:rsid w:val="00514BE9"/>
    <w:rsid w:val="00514E80"/>
    <w:rsid w:val="00514F1D"/>
    <w:rsid w:val="00515518"/>
    <w:rsid w:val="00515AAF"/>
    <w:rsid w:val="00515BB9"/>
    <w:rsid w:val="00515BE7"/>
    <w:rsid w:val="00515E72"/>
    <w:rsid w:val="00515F44"/>
    <w:rsid w:val="005161E5"/>
    <w:rsid w:val="00516737"/>
    <w:rsid w:val="00516B0F"/>
    <w:rsid w:val="00516D15"/>
    <w:rsid w:val="00520215"/>
    <w:rsid w:val="00520C27"/>
    <w:rsid w:val="00520E23"/>
    <w:rsid w:val="00521102"/>
    <w:rsid w:val="005216D2"/>
    <w:rsid w:val="00522C55"/>
    <w:rsid w:val="00523230"/>
    <w:rsid w:val="00523231"/>
    <w:rsid w:val="005236D4"/>
    <w:rsid w:val="0052508F"/>
    <w:rsid w:val="00525BA4"/>
    <w:rsid w:val="00526175"/>
    <w:rsid w:val="00526B31"/>
    <w:rsid w:val="00526D2A"/>
    <w:rsid w:val="005304DA"/>
    <w:rsid w:val="00530949"/>
    <w:rsid w:val="00531FE6"/>
    <w:rsid w:val="00532189"/>
    <w:rsid w:val="0053270A"/>
    <w:rsid w:val="00532C4F"/>
    <w:rsid w:val="00532D05"/>
    <w:rsid w:val="00534399"/>
    <w:rsid w:val="00534A1D"/>
    <w:rsid w:val="00535AD1"/>
    <w:rsid w:val="005361F9"/>
    <w:rsid w:val="0053698D"/>
    <w:rsid w:val="00536E51"/>
    <w:rsid w:val="00536EAB"/>
    <w:rsid w:val="005371B1"/>
    <w:rsid w:val="00537BBB"/>
    <w:rsid w:val="00540493"/>
    <w:rsid w:val="00540B1D"/>
    <w:rsid w:val="00540B66"/>
    <w:rsid w:val="00540E77"/>
    <w:rsid w:val="0054134D"/>
    <w:rsid w:val="00541677"/>
    <w:rsid w:val="00541A35"/>
    <w:rsid w:val="00542768"/>
    <w:rsid w:val="00542B63"/>
    <w:rsid w:val="00543F8B"/>
    <w:rsid w:val="005440A3"/>
    <w:rsid w:val="00544927"/>
    <w:rsid w:val="00544DE2"/>
    <w:rsid w:val="00544E3E"/>
    <w:rsid w:val="00544F36"/>
    <w:rsid w:val="00545210"/>
    <w:rsid w:val="005454AB"/>
    <w:rsid w:val="00545516"/>
    <w:rsid w:val="00545D28"/>
    <w:rsid w:val="00547696"/>
    <w:rsid w:val="005476E0"/>
    <w:rsid w:val="00547945"/>
    <w:rsid w:val="0055059A"/>
    <w:rsid w:val="00550B29"/>
    <w:rsid w:val="00550BE9"/>
    <w:rsid w:val="005510E1"/>
    <w:rsid w:val="00551A70"/>
    <w:rsid w:val="00551A8D"/>
    <w:rsid w:val="00552FF0"/>
    <w:rsid w:val="005532F7"/>
    <w:rsid w:val="00553981"/>
    <w:rsid w:val="00553EE0"/>
    <w:rsid w:val="005560E6"/>
    <w:rsid w:val="00556511"/>
    <w:rsid w:val="00556662"/>
    <w:rsid w:val="00556754"/>
    <w:rsid w:val="00556E8A"/>
    <w:rsid w:val="00556ED2"/>
    <w:rsid w:val="00557529"/>
    <w:rsid w:val="00560A78"/>
    <w:rsid w:val="00561522"/>
    <w:rsid w:val="00561883"/>
    <w:rsid w:val="00561E00"/>
    <w:rsid w:val="00562A5E"/>
    <w:rsid w:val="00563BFB"/>
    <w:rsid w:val="00564196"/>
    <w:rsid w:val="0056459F"/>
    <w:rsid w:val="0056715D"/>
    <w:rsid w:val="00570BF0"/>
    <w:rsid w:val="00570CEA"/>
    <w:rsid w:val="00571BE9"/>
    <w:rsid w:val="0057216D"/>
    <w:rsid w:val="00572932"/>
    <w:rsid w:val="005730F9"/>
    <w:rsid w:val="0057349D"/>
    <w:rsid w:val="00573B31"/>
    <w:rsid w:val="00573E1E"/>
    <w:rsid w:val="00573E45"/>
    <w:rsid w:val="00574520"/>
    <w:rsid w:val="005747AC"/>
    <w:rsid w:val="00577197"/>
    <w:rsid w:val="00577538"/>
    <w:rsid w:val="00581C09"/>
    <w:rsid w:val="00581C77"/>
    <w:rsid w:val="00581F82"/>
    <w:rsid w:val="0058288E"/>
    <w:rsid w:val="00582CAD"/>
    <w:rsid w:val="005834CD"/>
    <w:rsid w:val="005834F5"/>
    <w:rsid w:val="005837A5"/>
    <w:rsid w:val="00583E01"/>
    <w:rsid w:val="00585166"/>
    <w:rsid w:val="00585DA5"/>
    <w:rsid w:val="00585EA4"/>
    <w:rsid w:val="00586695"/>
    <w:rsid w:val="0058689B"/>
    <w:rsid w:val="00586CA7"/>
    <w:rsid w:val="00586DDB"/>
    <w:rsid w:val="005915B2"/>
    <w:rsid w:val="005920CC"/>
    <w:rsid w:val="0059242B"/>
    <w:rsid w:val="0059338C"/>
    <w:rsid w:val="00595AAF"/>
    <w:rsid w:val="00596157"/>
    <w:rsid w:val="00596CFC"/>
    <w:rsid w:val="005A0748"/>
    <w:rsid w:val="005A09A2"/>
    <w:rsid w:val="005A0F1D"/>
    <w:rsid w:val="005A1610"/>
    <w:rsid w:val="005A1EFE"/>
    <w:rsid w:val="005A254A"/>
    <w:rsid w:val="005A2786"/>
    <w:rsid w:val="005A3118"/>
    <w:rsid w:val="005A33FB"/>
    <w:rsid w:val="005A3424"/>
    <w:rsid w:val="005A475C"/>
    <w:rsid w:val="005A4D8E"/>
    <w:rsid w:val="005A4FD5"/>
    <w:rsid w:val="005A51F4"/>
    <w:rsid w:val="005A5D1D"/>
    <w:rsid w:val="005A6C4D"/>
    <w:rsid w:val="005A6E3E"/>
    <w:rsid w:val="005A72A6"/>
    <w:rsid w:val="005A745B"/>
    <w:rsid w:val="005A7FC5"/>
    <w:rsid w:val="005B01BA"/>
    <w:rsid w:val="005B100E"/>
    <w:rsid w:val="005B164D"/>
    <w:rsid w:val="005B16D1"/>
    <w:rsid w:val="005B1849"/>
    <w:rsid w:val="005B2137"/>
    <w:rsid w:val="005B3C2D"/>
    <w:rsid w:val="005B3FA8"/>
    <w:rsid w:val="005B4191"/>
    <w:rsid w:val="005B42D6"/>
    <w:rsid w:val="005B51D3"/>
    <w:rsid w:val="005B548A"/>
    <w:rsid w:val="005B59BF"/>
    <w:rsid w:val="005B653B"/>
    <w:rsid w:val="005B68A6"/>
    <w:rsid w:val="005B73DF"/>
    <w:rsid w:val="005B762F"/>
    <w:rsid w:val="005C0234"/>
    <w:rsid w:val="005C0708"/>
    <w:rsid w:val="005C0C26"/>
    <w:rsid w:val="005C0E33"/>
    <w:rsid w:val="005C0E3D"/>
    <w:rsid w:val="005C13FA"/>
    <w:rsid w:val="005C3750"/>
    <w:rsid w:val="005C3884"/>
    <w:rsid w:val="005C44EC"/>
    <w:rsid w:val="005C4E83"/>
    <w:rsid w:val="005C5FEC"/>
    <w:rsid w:val="005C68E1"/>
    <w:rsid w:val="005C6B9B"/>
    <w:rsid w:val="005C6BA0"/>
    <w:rsid w:val="005C6FEB"/>
    <w:rsid w:val="005C73A2"/>
    <w:rsid w:val="005C73D9"/>
    <w:rsid w:val="005C7824"/>
    <w:rsid w:val="005C7F56"/>
    <w:rsid w:val="005D0490"/>
    <w:rsid w:val="005D04D2"/>
    <w:rsid w:val="005D0547"/>
    <w:rsid w:val="005D0852"/>
    <w:rsid w:val="005D0DBC"/>
    <w:rsid w:val="005D0F54"/>
    <w:rsid w:val="005D153A"/>
    <w:rsid w:val="005D3AC2"/>
    <w:rsid w:val="005D3AE3"/>
    <w:rsid w:val="005D3C1B"/>
    <w:rsid w:val="005D4723"/>
    <w:rsid w:val="005D4B2D"/>
    <w:rsid w:val="005D4F88"/>
    <w:rsid w:val="005D5159"/>
    <w:rsid w:val="005D6104"/>
    <w:rsid w:val="005D71B9"/>
    <w:rsid w:val="005D72D7"/>
    <w:rsid w:val="005E0222"/>
    <w:rsid w:val="005E0235"/>
    <w:rsid w:val="005E0461"/>
    <w:rsid w:val="005E05DE"/>
    <w:rsid w:val="005E07D2"/>
    <w:rsid w:val="005E0C87"/>
    <w:rsid w:val="005E0D0C"/>
    <w:rsid w:val="005E0ED1"/>
    <w:rsid w:val="005E14EB"/>
    <w:rsid w:val="005E1B45"/>
    <w:rsid w:val="005E2EC3"/>
    <w:rsid w:val="005E32E3"/>
    <w:rsid w:val="005E4AA8"/>
    <w:rsid w:val="005E4D7D"/>
    <w:rsid w:val="005E4F3A"/>
    <w:rsid w:val="005E6676"/>
    <w:rsid w:val="005E77B7"/>
    <w:rsid w:val="005E7833"/>
    <w:rsid w:val="005E7C2F"/>
    <w:rsid w:val="005F05CD"/>
    <w:rsid w:val="005F09AC"/>
    <w:rsid w:val="005F0E2C"/>
    <w:rsid w:val="005F121F"/>
    <w:rsid w:val="005F17EA"/>
    <w:rsid w:val="005F328E"/>
    <w:rsid w:val="005F3BE3"/>
    <w:rsid w:val="005F3C25"/>
    <w:rsid w:val="005F3C92"/>
    <w:rsid w:val="005F434A"/>
    <w:rsid w:val="005F4B64"/>
    <w:rsid w:val="005F5089"/>
    <w:rsid w:val="005F5790"/>
    <w:rsid w:val="005F6F37"/>
    <w:rsid w:val="005F7461"/>
    <w:rsid w:val="005F776F"/>
    <w:rsid w:val="0060084E"/>
    <w:rsid w:val="00600B3B"/>
    <w:rsid w:val="006018DD"/>
    <w:rsid w:val="00601CFD"/>
    <w:rsid w:val="00601E99"/>
    <w:rsid w:val="0060208D"/>
    <w:rsid w:val="00602219"/>
    <w:rsid w:val="006024FC"/>
    <w:rsid w:val="006025A4"/>
    <w:rsid w:val="00602702"/>
    <w:rsid w:val="0060331F"/>
    <w:rsid w:val="00604ADB"/>
    <w:rsid w:val="00604FA6"/>
    <w:rsid w:val="00605891"/>
    <w:rsid w:val="00605CC7"/>
    <w:rsid w:val="00605DF6"/>
    <w:rsid w:val="006061DA"/>
    <w:rsid w:val="00606972"/>
    <w:rsid w:val="00606FF3"/>
    <w:rsid w:val="00610664"/>
    <w:rsid w:val="006110F5"/>
    <w:rsid w:val="00611ECF"/>
    <w:rsid w:val="0061216A"/>
    <w:rsid w:val="00612265"/>
    <w:rsid w:val="00612993"/>
    <w:rsid w:val="00612A2C"/>
    <w:rsid w:val="00612BDE"/>
    <w:rsid w:val="00612F68"/>
    <w:rsid w:val="0061397C"/>
    <w:rsid w:val="00613DD1"/>
    <w:rsid w:val="00613E28"/>
    <w:rsid w:val="00614015"/>
    <w:rsid w:val="0061444F"/>
    <w:rsid w:val="00614D08"/>
    <w:rsid w:val="006154D7"/>
    <w:rsid w:val="006155C1"/>
    <w:rsid w:val="006155CE"/>
    <w:rsid w:val="00615955"/>
    <w:rsid w:val="00616192"/>
    <w:rsid w:val="006173FD"/>
    <w:rsid w:val="00617A97"/>
    <w:rsid w:val="00617ABF"/>
    <w:rsid w:val="00617C66"/>
    <w:rsid w:val="00617C77"/>
    <w:rsid w:val="00617C84"/>
    <w:rsid w:val="00617F1E"/>
    <w:rsid w:val="00620694"/>
    <w:rsid w:val="00620933"/>
    <w:rsid w:val="00620E72"/>
    <w:rsid w:val="00620EC0"/>
    <w:rsid w:val="00621053"/>
    <w:rsid w:val="00621A1C"/>
    <w:rsid w:val="00621B69"/>
    <w:rsid w:val="0062246C"/>
    <w:rsid w:val="006228B4"/>
    <w:rsid w:val="006228DE"/>
    <w:rsid w:val="00623301"/>
    <w:rsid w:val="00623D3D"/>
    <w:rsid w:val="00624E5D"/>
    <w:rsid w:val="0062548A"/>
    <w:rsid w:val="0062559A"/>
    <w:rsid w:val="00625D1F"/>
    <w:rsid w:val="00625F8F"/>
    <w:rsid w:val="00626A2D"/>
    <w:rsid w:val="00627569"/>
    <w:rsid w:val="0062785B"/>
    <w:rsid w:val="00630812"/>
    <w:rsid w:val="0063091E"/>
    <w:rsid w:val="006313B9"/>
    <w:rsid w:val="00632E4A"/>
    <w:rsid w:val="0063314A"/>
    <w:rsid w:val="006333F4"/>
    <w:rsid w:val="00634947"/>
    <w:rsid w:val="006356BE"/>
    <w:rsid w:val="00635984"/>
    <w:rsid w:val="00635B82"/>
    <w:rsid w:val="00635CE3"/>
    <w:rsid w:val="006367D9"/>
    <w:rsid w:val="006369AB"/>
    <w:rsid w:val="00637927"/>
    <w:rsid w:val="0063792B"/>
    <w:rsid w:val="00640726"/>
    <w:rsid w:val="006410C4"/>
    <w:rsid w:val="00641972"/>
    <w:rsid w:val="006420DF"/>
    <w:rsid w:val="00643462"/>
    <w:rsid w:val="0064393E"/>
    <w:rsid w:val="00643E45"/>
    <w:rsid w:val="00645280"/>
    <w:rsid w:val="006463C9"/>
    <w:rsid w:val="00646743"/>
    <w:rsid w:val="00646A79"/>
    <w:rsid w:val="00650B52"/>
    <w:rsid w:val="00650CA0"/>
    <w:rsid w:val="00651019"/>
    <w:rsid w:val="0065146D"/>
    <w:rsid w:val="00651EF1"/>
    <w:rsid w:val="006527C0"/>
    <w:rsid w:val="006527DC"/>
    <w:rsid w:val="00652982"/>
    <w:rsid w:val="00652A5F"/>
    <w:rsid w:val="0065315C"/>
    <w:rsid w:val="00653486"/>
    <w:rsid w:val="00654D9D"/>
    <w:rsid w:val="00654E94"/>
    <w:rsid w:val="0065509F"/>
    <w:rsid w:val="00655490"/>
    <w:rsid w:val="00655C49"/>
    <w:rsid w:val="0065611D"/>
    <w:rsid w:val="0065681F"/>
    <w:rsid w:val="00657503"/>
    <w:rsid w:val="00660760"/>
    <w:rsid w:val="006611D1"/>
    <w:rsid w:val="00661FDB"/>
    <w:rsid w:val="00662273"/>
    <w:rsid w:val="00662578"/>
    <w:rsid w:val="006625AF"/>
    <w:rsid w:val="0066297F"/>
    <w:rsid w:val="00664A9D"/>
    <w:rsid w:val="00665571"/>
    <w:rsid w:val="00665CFB"/>
    <w:rsid w:val="00665E88"/>
    <w:rsid w:val="00666214"/>
    <w:rsid w:val="0066628B"/>
    <w:rsid w:val="00666C32"/>
    <w:rsid w:val="006670FB"/>
    <w:rsid w:val="006673E1"/>
    <w:rsid w:val="00667958"/>
    <w:rsid w:val="00667FD6"/>
    <w:rsid w:val="0067030A"/>
    <w:rsid w:val="00672081"/>
    <w:rsid w:val="006734DC"/>
    <w:rsid w:val="00675253"/>
    <w:rsid w:val="00675FAB"/>
    <w:rsid w:val="006762B5"/>
    <w:rsid w:val="006771A0"/>
    <w:rsid w:val="00677431"/>
    <w:rsid w:val="00677BC8"/>
    <w:rsid w:val="00677D79"/>
    <w:rsid w:val="00680497"/>
    <w:rsid w:val="006807B9"/>
    <w:rsid w:val="00681A03"/>
    <w:rsid w:val="00681E85"/>
    <w:rsid w:val="00681EC8"/>
    <w:rsid w:val="0068213D"/>
    <w:rsid w:val="00682382"/>
    <w:rsid w:val="00682AA4"/>
    <w:rsid w:val="00682E05"/>
    <w:rsid w:val="00684382"/>
    <w:rsid w:val="00684C74"/>
    <w:rsid w:val="00684D76"/>
    <w:rsid w:val="00684F38"/>
    <w:rsid w:val="00685543"/>
    <w:rsid w:val="00685F2F"/>
    <w:rsid w:val="0068620B"/>
    <w:rsid w:val="006867B1"/>
    <w:rsid w:val="00686815"/>
    <w:rsid w:val="006868C8"/>
    <w:rsid w:val="006868E1"/>
    <w:rsid w:val="006869C3"/>
    <w:rsid w:val="00686E34"/>
    <w:rsid w:val="00687D02"/>
    <w:rsid w:val="0069023B"/>
    <w:rsid w:val="0069062B"/>
    <w:rsid w:val="006918E9"/>
    <w:rsid w:val="00691DFA"/>
    <w:rsid w:val="00692097"/>
    <w:rsid w:val="00692531"/>
    <w:rsid w:val="006940AB"/>
    <w:rsid w:val="006946E5"/>
    <w:rsid w:val="0069519E"/>
    <w:rsid w:val="006960AD"/>
    <w:rsid w:val="006A0401"/>
    <w:rsid w:val="006A12B2"/>
    <w:rsid w:val="006A17C2"/>
    <w:rsid w:val="006A1D32"/>
    <w:rsid w:val="006A1F65"/>
    <w:rsid w:val="006A2CB1"/>
    <w:rsid w:val="006A3795"/>
    <w:rsid w:val="006A3E4D"/>
    <w:rsid w:val="006A433C"/>
    <w:rsid w:val="006A4B0A"/>
    <w:rsid w:val="006A4E4B"/>
    <w:rsid w:val="006A5147"/>
    <w:rsid w:val="006A5238"/>
    <w:rsid w:val="006A5B9F"/>
    <w:rsid w:val="006A5DB5"/>
    <w:rsid w:val="006A6756"/>
    <w:rsid w:val="006A6EE7"/>
    <w:rsid w:val="006B0037"/>
    <w:rsid w:val="006B00C1"/>
    <w:rsid w:val="006B047A"/>
    <w:rsid w:val="006B09C7"/>
    <w:rsid w:val="006B1C10"/>
    <w:rsid w:val="006B1C25"/>
    <w:rsid w:val="006B1DBB"/>
    <w:rsid w:val="006B314D"/>
    <w:rsid w:val="006B41E1"/>
    <w:rsid w:val="006B4B90"/>
    <w:rsid w:val="006B5524"/>
    <w:rsid w:val="006B5552"/>
    <w:rsid w:val="006B58D6"/>
    <w:rsid w:val="006B5C57"/>
    <w:rsid w:val="006B5EB3"/>
    <w:rsid w:val="006B5ECE"/>
    <w:rsid w:val="006B5F1B"/>
    <w:rsid w:val="006B6FEB"/>
    <w:rsid w:val="006B7950"/>
    <w:rsid w:val="006B7BFD"/>
    <w:rsid w:val="006C024A"/>
    <w:rsid w:val="006C0643"/>
    <w:rsid w:val="006C0F23"/>
    <w:rsid w:val="006C1185"/>
    <w:rsid w:val="006C1309"/>
    <w:rsid w:val="006C1322"/>
    <w:rsid w:val="006C1325"/>
    <w:rsid w:val="006C163E"/>
    <w:rsid w:val="006C1E7F"/>
    <w:rsid w:val="006C1F9E"/>
    <w:rsid w:val="006C28E5"/>
    <w:rsid w:val="006C2AEB"/>
    <w:rsid w:val="006C2B8B"/>
    <w:rsid w:val="006C2D97"/>
    <w:rsid w:val="006C2EC4"/>
    <w:rsid w:val="006C3643"/>
    <w:rsid w:val="006C3F09"/>
    <w:rsid w:val="006C43DD"/>
    <w:rsid w:val="006C4666"/>
    <w:rsid w:val="006C4A9A"/>
    <w:rsid w:val="006C6FAC"/>
    <w:rsid w:val="006C751B"/>
    <w:rsid w:val="006C7582"/>
    <w:rsid w:val="006C7BDB"/>
    <w:rsid w:val="006D0071"/>
    <w:rsid w:val="006D1285"/>
    <w:rsid w:val="006D15EF"/>
    <w:rsid w:val="006D2A58"/>
    <w:rsid w:val="006D3722"/>
    <w:rsid w:val="006D3E94"/>
    <w:rsid w:val="006D4F4F"/>
    <w:rsid w:val="006D4FDD"/>
    <w:rsid w:val="006D51A5"/>
    <w:rsid w:val="006D533D"/>
    <w:rsid w:val="006D5499"/>
    <w:rsid w:val="006D612F"/>
    <w:rsid w:val="006D6CC8"/>
    <w:rsid w:val="006D6DE0"/>
    <w:rsid w:val="006D7414"/>
    <w:rsid w:val="006E0C39"/>
    <w:rsid w:val="006E1107"/>
    <w:rsid w:val="006E137F"/>
    <w:rsid w:val="006E2AC7"/>
    <w:rsid w:val="006E300A"/>
    <w:rsid w:val="006E41C5"/>
    <w:rsid w:val="006E496A"/>
    <w:rsid w:val="006E5A56"/>
    <w:rsid w:val="006E5ED0"/>
    <w:rsid w:val="006E67EA"/>
    <w:rsid w:val="006E6BEA"/>
    <w:rsid w:val="006E7421"/>
    <w:rsid w:val="006E7E62"/>
    <w:rsid w:val="006F008E"/>
    <w:rsid w:val="006F08E3"/>
    <w:rsid w:val="006F10E9"/>
    <w:rsid w:val="006F1B5C"/>
    <w:rsid w:val="006F3197"/>
    <w:rsid w:val="006F3296"/>
    <w:rsid w:val="006F434E"/>
    <w:rsid w:val="006F6559"/>
    <w:rsid w:val="007005BB"/>
    <w:rsid w:val="0070090D"/>
    <w:rsid w:val="00701F6E"/>
    <w:rsid w:val="00702088"/>
    <w:rsid w:val="00702A9B"/>
    <w:rsid w:val="00703A7E"/>
    <w:rsid w:val="00703AB7"/>
    <w:rsid w:val="00703C46"/>
    <w:rsid w:val="007046D8"/>
    <w:rsid w:val="00705585"/>
    <w:rsid w:val="00707C32"/>
    <w:rsid w:val="00710BB6"/>
    <w:rsid w:val="00710F3F"/>
    <w:rsid w:val="00711146"/>
    <w:rsid w:val="00711FA7"/>
    <w:rsid w:val="00712241"/>
    <w:rsid w:val="007129AB"/>
    <w:rsid w:val="0071313A"/>
    <w:rsid w:val="0071332F"/>
    <w:rsid w:val="00715963"/>
    <w:rsid w:val="007165F4"/>
    <w:rsid w:val="00717099"/>
    <w:rsid w:val="007176F0"/>
    <w:rsid w:val="00717C1A"/>
    <w:rsid w:val="00720F28"/>
    <w:rsid w:val="007212E2"/>
    <w:rsid w:val="007212E8"/>
    <w:rsid w:val="00721C0D"/>
    <w:rsid w:val="00722B73"/>
    <w:rsid w:val="00723796"/>
    <w:rsid w:val="00723D4E"/>
    <w:rsid w:val="00723D78"/>
    <w:rsid w:val="00724F91"/>
    <w:rsid w:val="00726D02"/>
    <w:rsid w:val="00727078"/>
    <w:rsid w:val="00727354"/>
    <w:rsid w:val="0072763E"/>
    <w:rsid w:val="00727714"/>
    <w:rsid w:val="00727A58"/>
    <w:rsid w:val="00730492"/>
    <w:rsid w:val="007307EC"/>
    <w:rsid w:val="00730DF5"/>
    <w:rsid w:val="00731655"/>
    <w:rsid w:val="00731A1B"/>
    <w:rsid w:val="00731CF6"/>
    <w:rsid w:val="007321A3"/>
    <w:rsid w:val="007326DE"/>
    <w:rsid w:val="007353B5"/>
    <w:rsid w:val="00735C8C"/>
    <w:rsid w:val="00735F33"/>
    <w:rsid w:val="007375EE"/>
    <w:rsid w:val="00737BC2"/>
    <w:rsid w:val="00737D3F"/>
    <w:rsid w:val="0074067F"/>
    <w:rsid w:val="00740964"/>
    <w:rsid w:val="007424B6"/>
    <w:rsid w:val="00742867"/>
    <w:rsid w:val="007438C8"/>
    <w:rsid w:val="00743980"/>
    <w:rsid w:val="00743AC5"/>
    <w:rsid w:val="00744E17"/>
    <w:rsid w:val="007458E7"/>
    <w:rsid w:val="00745B32"/>
    <w:rsid w:val="00746080"/>
    <w:rsid w:val="007466CC"/>
    <w:rsid w:val="00747D50"/>
    <w:rsid w:val="0075034F"/>
    <w:rsid w:val="0075047D"/>
    <w:rsid w:val="00750E29"/>
    <w:rsid w:val="007525F7"/>
    <w:rsid w:val="00752686"/>
    <w:rsid w:val="007528E4"/>
    <w:rsid w:val="00752C13"/>
    <w:rsid w:val="00753946"/>
    <w:rsid w:val="00753AB6"/>
    <w:rsid w:val="007543AB"/>
    <w:rsid w:val="00755622"/>
    <w:rsid w:val="00755E36"/>
    <w:rsid w:val="00756509"/>
    <w:rsid w:val="0075696C"/>
    <w:rsid w:val="00756CA9"/>
    <w:rsid w:val="0075703E"/>
    <w:rsid w:val="007573A0"/>
    <w:rsid w:val="007575E5"/>
    <w:rsid w:val="00757B4F"/>
    <w:rsid w:val="00760292"/>
    <w:rsid w:val="00760CA3"/>
    <w:rsid w:val="00761035"/>
    <w:rsid w:val="007620BC"/>
    <w:rsid w:val="00763915"/>
    <w:rsid w:val="00763B25"/>
    <w:rsid w:val="00763EE5"/>
    <w:rsid w:val="007642FA"/>
    <w:rsid w:val="00764FC4"/>
    <w:rsid w:val="0076502A"/>
    <w:rsid w:val="007650B7"/>
    <w:rsid w:val="00766E60"/>
    <w:rsid w:val="007677A4"/>
    <w:rsid w:val="00767A00"/>
    <w:rsid w:val="00767EA8"/>
    <w:rsid w:val="00771099"/>
    <w:rsid w:val="00771EAA"/>
    <w:rsid w:val="00772E8D"/>
    <w:rsid w:val="0077384A"/>
    <w:rsid w:val="00773B32"/>
    <w:rsid w:val="00775358"/>
    <w:rsid w:val="007757E7"/>
    <w:rsid w:val="007761A7"/>
    <w:rsid w:val="007762C0"/>
    <w:rsid w:val="007762F0"/>
    <w:rsid w:val="00776A9A"/>
    <w:rsid w:val="0077789D"/>
    <w:rsid w:val="00777BCE"/>
    <w:rsid w:val="00777BD0"/>
    <w:rsid w:val="00777EFE"/>
    <w:rsid w:val="0078000A"/>
    <w:rsid w:val="00780B4C"/>
    <w:rsid w:val="007812EB"/>
    <w:rsid w:val="00782130"/>
    <w:rsid w:val="00782160"/>
    <w:rsid w:val="00782669"/>
    <w:rsid w:val="00783258"/>
    <w:rsid w:val="00783466"/>
    <w:rsid w:val="007835E0"/>
    <w:rsid w:val="00783E39"/>
    <w:rsid w:val="00784028"/>
    <w:rsid w:val="00784271"/>
    <w:rsid w:val="00785085"/>
    <w:rsid w:val="007862BB"/>
    <w:rsid w:val="00787623"/>
    <w:rsid w:val="0079089B"/>
    <w:rsid w:val="007909C6"/>
    <w:rsid w:val="007922AF"/>
    <w:rsid w:val="00792337"/>
    <w:rsid w:val="007924B5"/>
    <w:rsid w:val="0079379D"/>
    <w:rsid w:val="00794164"/>
    <w:rsid w:val="00794BFB"/>
    <w:rsid w:val="00794D0B"/>
    <w:rsid w:val="00794DD5"/>
    <w:rsid w:val="00796D8C"/>
    <w:rsid w:val="007979E2"/>
    <w:rsid w:val="007A03DE"/>
    <w:rsid w:val="007A0BA8"/>
    <w:rsid w:val="007A1BD3"/>
    <w:rsid w:val="007A27D2"/>
    <w:rsid w:val="007A283A"/>
    <w:rsid w:val="007A2BEB"/>
    <w:rsid w:val="007A2C56"/>
    <w:rsid w:val="007A35CB"/>
    <w:rsid w:val="007A3D0C"/>
    <w:rsid w:val="007A4284"/>
    <w:rsid w:val="007A55B5"/>
    <w:rsid w:val="007A5E94"/>
    <w:rsid w:val="007A5FA5"/>
    <w:rsid w:val="007A64E5"/>
    <w:rsid w:val="007A6819"/>
    <w:rsid w:val="007A6F60"/>
    <w:rsid w:val="007A7274"/>
    <w:rsid w:val="007A74C1"/>
    <w:rsid w:val="007B049B"/>
    <w:rsid w:val="007B0604"/>
    <w:rsid w:val="007B08CE"/>
    <w:rsid w:val="007B0D98"/>
    <w:rsid w:val="007B14F4"/>
    <w:rsid w:val="007B221E"/>
    <w:rsid w:val="007B3394"/>
    <w:rsid w:val="007B354B"/>
    <w:rsid w:val="007B354F"/>
    <w:rsid w:val="007B3931"/>
    <w:rsid w:val="007B3C04"/>
    <w:rsid w:val="007B3C87"/>
    <w:rsid w:val="007B3E7F"/>
    <w:rsid w:val="007B3F3E"/>
    <w:rsid w:val="007B3FC2"/>
    <w:rsid w:val="007B4C71"/>
    <w:rsid w:val="007B564E"/>
    <w:rsid w:val="007B5DDE"/>
    <w:rsid w:val="007B6173"/>
    <w:rsid w:val="007B618A"/>
    <w:rsid w:val="007B61A5"/>
    <w:rsid w:val="007B6C56"/>
    <w:rsid w:val="007B79EE"/>
    <w:rsid w:val="007B7D1E"/>
    <w:rsid w:val="007C020A"/>
    <w:rsid w:val="007C02ED"/>
    <w:rsid w:val="007C0439"/>
    <w:rsid w:val="007C0B91"/>
    <w:rsid w:val="007C11FD"/>
    <w:rsid w:val="007C25AF"/>
    <w:rsid w:val="007C476B"/>
    <w:rsid w:val="007C47EA"/>
    <w:rsid w:val="007C546A"/>
    <w:rsid w:val="007C5B2E"/>
    <w:rsid w:val="007C622A"/>
    <w:rsid w:val="007C62BA"/>
    <w:rsid w:val="007C6CBB"/>
    <w:rsid w:val="007D0910"/>
    <w:rsid w:val="007D0CDD"/>
    <w:rsid w:val="007D0F78"/>
    <w:rsid w:val="007D14F1"/>
    <w:rsid w:val="007D1D62"/>
    <w:rsid w:val="007D28C9"/>
    <w:rsid w:val="007D4CBB"/>
    <w:rsid w:val="007D4CC3"/>
    <w:rsid w:val="007D52CF"/>
    <w:rsid w:val="007D607B"/>
    <w:rsid w:val="007D6252"/>
    <w:rsid w:val="007D6272"/>
    <w:rsid w:val="007D6AC6"/>
    <w:rsid w:val="007D7B4A"/>
    <w:rsid w:val="007E073F"/>
    <w:rsid w:val="007E0B7C"/>
    <w:rsid w:val="007E1895"/>
    <w:rsid w:val="007E1B21"/>
    <w:rsid w:val="007E1EFE"/>
    <w:rsid w:val="007E1F1A"/>
    <w:rsid w:val="007E27DA"/>
    <w:rsid w:val="007E321D"/>
    <w:rsid w:val="007E3961"/>
    <w:rsid w:val="007E3C1E"/>
    <w:rsid w:val="007E3E8E"/>
    <w:rsid w:val="007E3F64"/>
    <w:rsid w:val="007E3F8C"/>
    <w:rsid w:val="007E40EE"/>
    <w:rsid w:val="007E4DBF"/>
    <w:rsid w:val="007E5E09"/>
    <w:rsid w:val="007E7596"/>
    <w:rsid w:val="007E7651"/>
    <w:rsid w:val="007E7E4C"/>
    <w:rsid w:val="007F0325"/>
    <w:rsid w:val="007F0434"/>
    <w:rsid w:val="007F11B9"/>
    <w:rsid w:val="007F17C1"/>
    <w:rsid w:val="007F249D"/>
    <w:rsid w:val="007F2697"/>
    <w:rsid w:val="007F317D"/>
    <w:rsid w:val="007F417F"/>
    <w:rsid w:val="007F4624"/>
    <w:rsid w:val="007F4A69"/>
    <w:rsid w:val="007F5ACA"/>
    <w:rsid w:val="007F5E0A"/>
    <w:rsid w:val="007F7F8D"/>
    <w:rsid w:val="00800751"/>
    <w:rsid w:val="00800759"/>
    <w:rsid w:val="00800C9D"/>
    <w:rsid w:val="00800E4A"/>
    <w:rsid w:val="008025B5"/>
    <w:rsid w:val="00802BEF"/>
    <w:rsid w:val="008039AE"/>
    <w:rsid w:val="00803C52"/>
    <w:rsid w:val="00803FE6"/>
    <w:rsid w:val="00804014"/>
    <w:rsid w:val="00804C4E"/>
    <w:rsid w:val="00806689"/>
    <w:rsid w:val="00806C1D"/>
    <w:rsid w:val="00807B53"/>
    <w:rsid w:val="00807E48"/>
    <w:rsid w:val="0081037A"/>
    <w:rsid w:val="00810A4F"/>
    <w:rsid w:val="008129EF"/>
    <w:rsid w:val="00813AD1"/>
    <w:rsid w:val="00813F54"/>
    <w:rsid w:val="00814D56"/>
    <w:rsid w:val="00815E45"/>
    <w:rsid w:val="0081639C"/>
    <w:rsid w:val="00816575"/>
    <w:rsid w:val="008168CB"/>
    <w:rsid w:val="008176B5"/>
    <w:rsid w:val="008177D5"/>
    <w:rsid w:val="00817A29"/>
    <w:rsid w:val="00817B03"/>
    <w:rsid w:val="00817E22"/>
    <w:rsid w:val="00820190"/>
    <w:rsid w:val="0082034A"/>
    <w:rsid w:val="008209C6"/>
    <w:rsid w:val="00821AF9"/>
    <w:rsid w:val="00821AFC"/>
    <w:rsid w:val="008223AE"/>
    <w:rsid w:val="0082241E"/>
    <w:rsid w:val="008226B7"/>
    <w:rsid w:val="00822896"/>
    <w:rsid w:val="00824997"/>
    <w:rsid w:val="00824E85"/>
    <w:rsid w:val="008264E0"/>
    <w:rsid w:val="00826690"/>
    <w:rsid w:val="0082676D"/>
    <w:rsid w:val="00826B19"/>
    <w:rsid w:val="00827052"/>
    <w:rsid w:val="00827CD8"/>
    <w:rsid w:val="00831E3E"/>
    <w:rsid w:val="0083298F"/>
    <w:rsid w:val="008329A8"/>
    <w:rsid w:val="00832D27"/>
    <w:rsid w:val="00832F43"/>
    <w:rsid w:val="00833A8B"/>
    <w:rsid w:val="0083482C"/>
    <w:rsid w:val="00834A12"/>
    <w:rsid w:val="00834EED"/>
    <w:rsid w:val="00835660"/>
    <w:rsid w:val="008360F5"/>
    <w:rsid w:val="008367D5"/>
    <w:rsid w:val="008368CD"/>
    <w:rsid w:val="008368F2"/>
    <w:rsid w:val="00836DD9"/>
    <w:rsid w:val="008405B2"/>
    <w:rsid w:val="00840ABE"/>
    <w:rsid w:val="008410E8"/>
    <w:rsid w:val="00841369"/>
    <w:rsid w:val="00841737"/>
    <w:rsid w:val="00843C16"/>
    <w:rsid w:val="00843E32"/>
    <w:rsid w:val="00844E4B"/>
    <w:rsid w:val="008450D6"/>
    <w:rsid w:val="00845730"/>
    <w:rsid w:val="008462D3"/>
    <w:rsid w:val="0084734B"/>
    <w:rsid w:val="008474BA"/>
    <w:rsid w:val="00847B01"/>
    <w:rsid w:val="00850BCA"/>
    <w:rsid w:val="00850BE9"/>
    <w:rsid w:val="00850DB2"/>
    <w:rsid w:val="00852DBD"/>
    <w:rsid w:val="00852FA8"/>
    <w:rsid w:val="0085314A"/>
    <w:rsid w:val="00853EF3"/>
    <w:rsid w:val="0085414D"/>
    <w:rsid w:val="008554B2"/>
    <w:rsid w:val="00855C48"/>
    <w:rsid w:val="0085646C"/>
    <w:rsid w:val="00857150"/>
    <w:rsid w:val="008571DF"/>
    <w:rsid w:val="00857320"/>
    <w:rsid w:val="008573D2"/>
    <w:rsid w:val="00857B25"/>
    <w:rsid w:val="00857BE6"/>
    <w:rsid w:val="00857E54"/>
    <w:rsid w:val="0086007D"/>
    <w:rsid w:val="00860788"/>
    <w:rsid w:val="00860858"/>
    <w:rsid w:val="00861D36"/>
    <w:rsid w:val="008620C4"/>
    <w:rsid w:val="008631DD"/>
    <w:rsid w:val="008632B8"/>
    <w:rsid w:val="0086359F"/>
    <w:rsid w:val="00865289"/>
    <w:rsid w:val="008655A0"/>
    <w:rsid w:val="0086599C"/>
    <w:rsid w:val="00866AC1"/>
    <w:rsid w:val="00866ADA"/>
    <w:rsid w:val="00867F35"/>
    <w:rsid w:val="00870326"/>
    <w:rsid w:val="008715EC"/>
    <w:rsid w:val="0087354E"/>
    <w:rsid w:val="00873B0E"/>
    <w:rsid w:val="008740E1"/>
    <w:rsid w:val="00874A2A"/>
    <w:rsid w:val="008752F3"/>
    <w:rsid w:val="00875C9E"/>
    <w:rsid w:val="00880386"/>
    <w:rsid w:val="00880825"/>
    <w:rsid w:val="00880857"/>
    <w:rsid w:val="00880A7B"/>
    <w:rsid w:val="00880B36"/>
    <w:rsid w:val="00880BD6"/>
    <w:rsid w:val="00880F4B"/>
    <w:rsid w:val="0088136D"/>
    <w:rsid w:val="00881419"/>
    <w:rsid w:val="00881679"/>
    <w:rsid w:val="0088413E"/>
    <w:rsid w:val="00884475"/>
    <w:rsid w:val="008846D5"/>
    <w:rsid w:val="008862D9"/>
    <w:rsid w:val="00886A08"/>
    <w:rsid w:val="00886E42"/>
    <w:rsid w:val="00890C27"/>
    <w:rsid w:val="00890CC3"/>
    <w:rsid w:val="00891016"/>
    <w:rsid w:val="0089134C"/>
    <w:rsid w:val="00891870"/>
    <w:rsid w:val="00891B9F"/>
    <w:rsid w:val="00891C7A"/>
    <w:rsid w:val="00892106"/>
    <w:rsid w:val="008941C9"/>
    <w:rsid w:val="0089473D"/>
    <w:rsid w:val="00894E44"/>
    <w:rsid w:val="008956BE"/>
    <w:rsid w:val="0089640E"/>
    <w:rsid w:val="00896ED8"/>
    <w:rsid w:val="00897B2D"/>
    <w:rsid w:val="00897C85"/>
    <w:rsid w:val="00897DD3"/>
    <w:rsid w:val="00897F6C"/>
    <w:rsid w:val="008A1076"/>
    <w:rsid w:val="008A17A1"/>
    <w:rsid w:val="008A1FAA"/>
    <w:rsid w:val="008A2275"/>
    <w:rsid w:val="008A2594"/>
    <w:rsid w:val="008A2903"/>
    <w:rsid w:val="008A2F73"/>
    <w:rsid w:val="008A383F"/>
    <w:rsid w:val="008A503D"/>
    <w:rsid w:val="008A5169"/>
    <w:rsid w:val="008A6376"/>
    <w:rsid w:val="008A6381"/>
    <w:rsid w:val="008A68A8"/>
    <w:rsid w:val="008A7717"/>
    <w:rsid w:val="008A7F2C"/>
    <w:rsid w:val="008A7FAD"/>
    <w:rsid w:val="008B0B9F"/>
    <w:rsid w:val="008B115C"/>
    <w:rsid w:val="008B1764"/>
    <w:rsid w:val="008B1793"/>
    <w:rsid w:val="008B195C"/>
    <w:rsid w:val="008B1B95"/>
    <w:rsid w:val="008B1F41"/>
    <w:rsid w:val="008B211F"/>
    <w:rsid w:val="008B2CC7"/>
    <w:rsid w:val="008B2F64"/>
    <w:rsid w:val="008B3FE7"/>
    <w:rsid w:val="008B41BE"/>
    <w:rsid w:val="008B44AD"/>
    <w:rsid w:val="008B55DE"/>
    <w:rsid w:val="008B5BB4"/>
    <w:rsid w:val="008B665B"/>
    <w:rsid w:val="008B6690"/>
    <w:rsid w:val="008B682D"/>
    <w:rsid w:val="008B6A1F"/>
    <w:rsid w:val="008B72DF"/>
    <w:rsid w:val="008B7556"/>
    <w:rsid w:val="008B75DD"/>
    <w:rsid w:val="008B7DCE"/>
    <w:rsid w:val="008C0AFB"/>
    <w:rsid w:val="008C0CFE"/>
    <w:rsid w:val="008C15C6"/>
    <w:rsid w:val="008C2B33"/>
    <w:rsid w:val="008C39C1"/>
    <w:rsid w:val="008C3CF1"/>
    <w:rsid w:val="008C4016"/>
    <w:rsid w:val="008C52FF"/>
    <w:rsid w:val="008C5452"/>
    <w:rsid w:val="008C562A"/>
    <w:rsid w:val="008C5916"/>
    <w:rsid w:val="008C60B5"/>
    <w:rsid w:val="008C7080"/>
    <w:rsid w:val="008C7399"/>
    <w:rsid w:val="008C748E"/>
    <w:rsid w:val="008C7658"/>
    <w:rsid w:val="008D0CF8"/>
    <w:rsid w:val="008D1A0D"/>
    <w:rsid w:val="008D2FD3"/>
    <w:rsid w:val="008D3311"/>
    <w:rsid w:val="008D3867"/>
    <w:rsid w:val="008D3F7D"/>
    <w:rsid w:val="008D5A89"/>
    <w:rsid w:val="008D61BD"/>
    <w:rsid w:val="008D7A6B"/>
    <w:rsid w:val="008E0A2C"/>
    <w:rsid w:val="008E0CDF"/>
    <w:rsid w:val="008E0EBE"/>
    <w:rsid w:val="008E16D7"/>
    <w:rsid w:val="008E1951"/>
    <w:rsid w:val="008E4AB0"/>
    <w:rsid w:val="008E6124"/>
    <w:rsid w:val="008E641D"/>
    <w:rsid w:val="008E71B8"/>
    <w:rsid w:val="008E769F"/>
    <w:rsid w:val="008F0AB2"/>
    <w:rsid w:val="008F16AD"/>
    <w:rsid w:val="008F1AA5"/>
    <w:rsid w:val="008F1B2D"/>
    <w:rsid w:val="008F1C4C"/>
    <w:rsid w:val="008F1DD9"/>
    <w:rsid w:val="008F2986"/>
    <w:rsid w:val="008F2CD5"/>
    <w:rsid w:val="008F32C1"/>
    <w:rsid w:val="008F4209"/>
    <w:rsid w:val="008F4216"/>
    <w:rsid w:val="008F4646"/>
    <w:rsid w:val="008F4DD9"/>
    <w:rsid w:val="008F5442"/>
    <w:rsid w:val="008F65C0"/>
    <w:rsid w:val="008F706C"/>
    <w:rsid w:val="00900C20"/>
    <w:rsid w:val="0090338E"/>
    <w:rsid w:val="00903623"/>
    <w:rsid w:val="00904025"/>
    <w:rsid w:val="00904C60"/>
    <w:rsid w:val="0090535A"/>
    <w:rsid w:val="00905B77"/>
    <w:rsid w:val="00905FA3"/>
    <w:rsid w:val="00906B31"/>
    <w:rsid w:val="0090742A"/>
    <w:rsid w:val="009078FF"/>
    <w:rsid w:val="0091061B"/>
    <w:rsid w:val="00910C4D"/>
    <w:rsid w:val="00910F05"/>
    <w:rsid w:val="00912184"/>
    <w:rsid w:val="00912262"/>
    <w:rsid w:val="00912DEB"/>
    <w:rsid w:val="00913807"/>
    <w:rsid w:val="00913838"/>
    <w:rsid w:val="0091387B"/>
    <w:rsid w:val="00913A47"/>
    <w:rsid w:val="00913D94"/>
    <w:rsid w:val="009140D0"/>
    <w:rsid w:val="0091460A"/>
    <w:rsid w:val="00914DAA"/>
    <w:rsid w:val="009157C1"/>
    <w:rsid w:val="009158F1"/>
    <w:rsid w:val="00915BC7"/>
    <w:rsid w:val="00915F53"/>
    <w:rsid w:val="009160D7"/>
    <w:rsid w:val="00916854"/>
    <w:rsid w:val="009170A8"/>
    <w:rsid w:val="009178B6"/>
    <w:rsid w:val="00917A58"/>
    <w:rsid w:val="009200B5"/>
    <w:rsid w:val="0092010A"/>
    <w:rsid w:val="009208FC"/>
    <w:rsid w:val="0092099C"/>
    <w:rsid w:val="00921079"/>
    <w:rsid w:val="00921A2E"/>
    <w:rsid w:val="00921C8C"/>
    <w:rsid w:val="009221F9"/>
    <w:rsid w:val="0092363C"/>
    <w:rsid w:val="0092372C"/>
    <w:rsid w:val="009238B5"/>
    <w:rsid w:val="009243A8"/>
    <w:rsid w:val="009245A5"/>
    <w:rsid w:val="0092531B"/>
    <w:rsid w:val="009253E8"/>
    <w:rsid w:val="00925442"/>
    <w:rsid w:val="009256B6"/>
    <w:rsid w:val="00926262"/>
    <w:rsid w:val="00926D51"/>
    <w:rsid w:val="00927621"/>
    <w:rsid w:val="00927AF2"/>
    <w:rsid w:val="00930080"/>
    <w:rsid w:val="009306F9"/>
    <w:rsid w:val="0093109F"/>
    <w:rsid w:val="0093479C"/>
    <w:rsid w:val="009350B2"/>
    <w:rsid w:val="0093587C"/>
    <w:rsid w:val="00935F10"/>
    <w:rsid w:val="00937045"/>
    <w:rsid w:val="00937487"/>
    <w:rsid w:val="00940141"/>
    <w:rsid w:val="00940183"/>
    <w:rsid w:val="009402E6"/>
    <w:rsid w:val="0094052F"/>
    <w:rsid w:val="00940D81"/>
    <w:rsid w:val="0094118D"/>
    <w:rsid w:val="00941864"/>
    <w:rsid w:val="009422A5"/>
    <w:rsid w:val="00942C2F"/>
    <w:rsid w:val="009435FA"/>
    <w:rsid w:val="00944133"/>
    <w:rsid w:val="00944622"/>
    <w:rsid w:val="0094556C"/>
    <w:rsid w:val="0094627C"/>
    <w:rsid w:val="009468BB"/>
    <w:rsid w:val="00946C40"/>
    <w:rsid w:val="00946ED1"/>
    <w:rsid w:val="0094710D"/>
    <w:rsid w:val="009475ED"/>
    <w:rsid w:val="00947E62"/>
    <w:rsid w:val="0095025B"/>
    <w:rsid w:val="00950307"/>
    <w:rsid w:val="00950445"/>
    <w:rsid w:val="00951211"/>
    <w:rsid w:val="00951243"/>
    <w:rsid w:val="0095163B"/>
    <w:rsid w:val="00951B47"/>
    <w:rsid w:val="00951DF0"/>
    <w:rsid w:val="009521BF"/>
    <w:rsid w:val="00952AFB"/>
    <w:rsid w:val="0095470C"/>
    <w:rsid w:val="00955306"/>
    <w:rsid w:val="009559CA"/>
    <w:rsid w:val="00956961"/>
    <w:rsid w:val="00957013"/>
    <w:rsid w:val="0095719B"/>
    <w:rsid w:val="0096291C"/>
    <w:rsid w:val="00962E14"/>
    <w:rsid w:val="009631B9"/>
    <w:rsid w:val="009638EC"/>
    <w:rsid w:val="00963C77"/>
    <w:rsid w:val="00964834"/>
    <w:rsid w:val="00965032"/>
    <w:rsid w:val="00966D05"/>
    <w:rsid w:val="00967664"/>
    <w:rsid w:val="009677A2"/>
    <w:rsid w:val="00970546"/>
    <w:rsid w:val="00970E28"/>
    <w:rsid w:val="009714AB"/>
    <w:rsid w:val="0097167A"/>
    <w:rsid w:val="00972217"/>
    <w:rsid w:val="0097235F"/>
    <w:rsid w:val="0097245A"/>
    <w:rsid w:val="00973425"/>
    <w:rsid w:val="009739A9"/>
    <w:rsid w:val="00974D72"/>
    <w:rsid w:val="00975627"/>
    <w:rsid w:val="00976001"/>
    <w:rsid w:val="0098054F"/>
    <w:rsid w:val="0098145F"/>
    <w:rsid w:val="009827D1"/>
    <w:rsid w:val="00983695"/>
    <w:rsid w:val="009845D6"/>
    <w:rsid w:val="00986037"/>
    <w:rsid w:val="009861AB"/>
    <w:rsid w:val="00986396"/>
    <w:rsid w:val="009863C7"/>
    <w:rsid w:val="00986C66"/>
    <w:rsid w:val="00987600"/>
    <w:rsid w:val="00987E2A"/>
    <w:rsid w:val="00990AA1"/>
    <w:rsid w:val="00990E4B"/>
    <w:rsid w:val="00990FF4"/>
    <w:rsid w:val="0099197D"/>
    <w:rsid w:val="0099225B"/>
    <w:rsid w:val="009923E0"/>
    <w:rsid w:val="00992BDD"/>
    <w:rsid w:val="00993027"/>
    <w:rsid w:val="009935BC"/>
    <w:rsid w:val="0099463A"/>
    <w:rsid w:val="00994A3D"/>
    <w:rsid w:val="009954B2"/>
    <w:rsid w:val="00995509"/>
    <w:rsid w:val="00995BDA"/>
    <w:rsid w:val="00995E17"/>
    <w:rsid w:val="00996904"/>
    <w:rsid w:val="00997128"/>
    <w:rsid w:val="009973C1"/>
    <w:rsid w:val="0099774F"/>
    <w:rsid w:val="00997933"/>
    <w:rsid w:val="009A1538"/>
    <w:rsid w:val="009A1BE6"/>
    <w:rsid w:val="009A235C"/>
    <w:rsid w:val="009A3365"/>
    <w:rsid w:val="009A3D57"/>
    <w:rsid w:val="009A4669"/>
    <w:rsid w:val="009A5A2A"/>
    <w:rsid w:val="009A6669"/>
    <w:rsid w:val="009A6F26"/>
    <w:rsid w:val="009B052C"/>
    <w:rsid w:val="009B059A"/>
    <w:rsid w:val="009B08D3"/>
    <w:rsid w:val="009B0D2F"/>
    <w:rsid w:val="009B1198"/>
    <w:rsid w:val="009B1ED6"/>
    <w:rsid w:val="009B1EEC"/>
    <w:rsid w:val="009B3456"/>
    <w:rsid w:val="009B4BD2"/>
    <w:rsid w:val="009B6DFA"/>
    <w:rsid w:val="009B7358"/>
    <w:rsid w:val="009B755A"/>
    <w:rsid w:val="009C0807"/>
    <w:rsid w:val="009C3001"/>
    <w:rsid w:val="009C3072"/>
    <w:rsid w:val="009C6839"/>
    <w:rsid w:val="009C742B"/>
    <w:rsid w:val="009C7C96"/>
    <w:rsid w:val="009D08D7"/>
    <w:rsid w:val="009D1FF9"/>
    <w:rsid w:val="009D213B"/>
    <w:rsid w:val="009D2248"/>
    <w:rsid w:val="009D2CC2"/>
    <w:rsid w:val="009D31CB"/>
    <w:rsid w:val="009D3892"/>
    <w:rsid w:val="009D3F71"/>
    <w:rsid w:val="009D4E6E"/>
    <w:rsid w:val="009D6226"/>
    <w:rsid w:val="009D7D5A"/>
    <w:rsid w:val="009D7DAF"/>
    <w:rsid w:val="009E04F5"/>
    <w:rsid w:val="009E0864"/>
    <w:rsid w:val="009E1682"/>
    <w:rsid w:val="009E1C90"/>
    <w:rsid w:val="009E2062"/>
    <w:rsid w:val="009E2FF9"/>
    <w:rsid w:val="009E3285"/>
    <w:rsid w:val="009E3835"/>
    <w:rsid w:val="009E3AD0"/>
    <w:rsid w:val="009E459A"/>
    <w:rsid w:val="009E481E"/>
    <w:rsid w:val="009E5A43"/>
    <w:rsid w:val="009E5F56"/>
    <w:rsid w:val="009E6346"/>
    <w:rsid w:val="009E65F1"/>
    <w:rsid w:val="009E6ADF"/>
    <w:rsid w:val="009E6C25"/>
    <w:rsid w:val="009E791B"/>
    <w:rsid w:val="009E7ACA"/>
    <w:rsid w:val="009E7F91"/>
    <w:rsid w:val="009F048D"/>
    <w:rsid w:val="009F0CFE"/>
    <w:rsid w:val="009F1970"/>
    <w:rsid w:val="009F224C"/>
    <w:rsid w:val="009F2886"/>
    <w:rsid w:val="009F2B7A"/>
    <w:rsid w:val="009F3115"/>
    <w:rsid w:val="009F393E"/>
    <w:rsid w:val="009F3E46"/>
    <w:rsid w:val="009F409F"/>
    <w:rsid w:val="009F40E6"/>
    <w:rsid w:val="009F4C04"/>
    <w:rsid w:val="009F59C6"/>
    <w:rsid w:val="009F5EB9"/>
    <w:rsid w:val="009F6659"/>
    <w:rsid w:val="009F6938"/>
    <w:rsid w:val="009F7271"/>
    <w:rsid w:val="009F752B"/>
    <w:rsid w:val="009F7C84"/>
    <w:rsid w:val="009F7F74"/>
    <w:rsid w:val="00A009AB"/>
    <w:rsid w:val="00A00B3C"/>
    <w:rsid w:val="00A00E4D"/>
    <w:rsid w:val="00A013EF"/>
    <w:rsid w:val="00A01E01"/>
    <w:rsid w:val="00A023B8"/>
    <w:rsid w:val="00A024CA"/>
    <w:rsid w:val="00A025A8"/>
    <w:rsid w:val="00A0391A"/>
    <w:rsid w:val="00A04A62"/>
    <w:rsid w:val="00A069C0"/>
    <w:rsid w:val="00A069DA"/>
    <w:rsid w:val="00A06EB0"/>
    <w:rsid w:val="00A06F4F"/>
    <w:rsid w:val="00A072D1"/>
    <w:rsid w:val="00A074D2"/>
    <w:rsid w:val="00A07C53"/>
    <w:rsid w:val="00A07C6C"/>
    <w:rsid w:val="00A101EE"/>
    <w:rsid w:val="00A1059E"/>
    <w:rsid w:val="00A1105F"/>
    <w:rsid w:val="00A12D3A"/>
    <w:rsid w:val="00A13017"/>
    <w:rsid w:val="00A13545"/>
    <w:rsid w:val="00A13967"/>
    <w:rsid w:val="00A13B58"/>
    <w:rsid w:val="00A14DA5"/>
    <w:rsid w:val="00A1539D"/>
    <w:rsid w:val="00A16D04"/>
    <w:rsid w:val="00A17502"/>
    <w:rsid w:val="00A177C9"/>
    <w:rsid w:val="00A17F3E"/>
    <w:rsid w:val="00A2138B"/>
    <w:rsid w:val="00A2245C"/>
    <w:rsid w:val="00A224B1"/>
    <w:rsid w:val="00A225BC"/>
    <w:rsid w:val="00A22D92"/>
    <w:rsid w:val="00A2398E"/>
    <w:rsid w:val="00A2482A"/>
    <w:rsid w:val="00A25F07"/>
    <w:rsid w:val="00A26DD2"/>
    <w:rsid w:val="00A27387"/>
    <w:rsid w:val="00A274A7"/>
    <w:rsid w:val="00A27A83"/>
    <w:rsid w:val="00A27B94"/>
    <w:rsid w:val="00A301A4"/>
    <w:rsid w:val="00A30F48"/>
    <w:rsid w:val="00A32689"/>
    <w:rsid w:val="00A33B84"/>
    <w:rsid w:val="00A34195"/>
    <w:rsid w:val="00A3419B"/>
    <w:rsid w:val="00A349D1"/>
    <w:rsid w:val="00A35207"/>
    <w:rsid w:val="00A3567F"/>
    <w:rsid w:val="00A35799"/>
    <w:rsid w:val="00A36FAE"/>
    <w:rsid w:val="00A3747D"/>
    <w:rsid w:val="00A37B7A"/>
    <w:rsid w:val="00A406AD"/>
    <w:rsid w:val="00A41385"/>
    <w:rsid w:val="00A41405"/>
    <w:rsid w:val="00A41980"/>
    <w:rsid w:val="00A41BA4"/>
    <w:rsid w:val="00A42B0F"/>
    <w:rsid w:val="00A43D96"/>
    <w:rsid w:val="00A44838"/>
    <w:rsid w:val="00A449CC"/>
    <w:rsid w:val="00A455E1"/>
    <w:rsid w:val="00A45CFF"/>
    <w:rsid w:val="00A46509"/>
    <w:rsid w:val="00A46B63"/>
    <w:rsid w:val="00A5020F"/>
    <w:rsid w:val="00A50835"/>
    <w:rsid w:val="00A50FA7"/>
    <w:rsid w:val="00A51E68"/>
    <w:rsid w:val="00A52F09"/>
    <w:rsid w:val="00A5342E"/>
    <w:rsid w:val="00A5356F"/>
    <w:rsid w:val="00A53894"/>
    <w:rsid w:val="00A538AE"/>
    <w:rsid w:val="00A53D36"/>
    <w:rsid w:val="00A541C1"/>
    <w:rsid w:val="00A54DFA"/>
    <w:rsid w:val="00A5571D"/>
    <w:rsid w:val="00A55AFF"/>
    <w:rsid w:val="00A55C55"/>
    <w:rsid w:val="00A55C90"/>
    <w:rsid w:val="00A55DF3"/>
    <w:rsid w:val="00A55EBF"/>
    <w:rsid w:val="00A561E7"/>
    <w:rsid w:val="00A572F7"/>
    <w:rsid w:val="00A57DD5"/>
    <w:rsid w:val="00A60018"/>
    <w:rsid w:val="00A60AA6"/>
    <w:rsid w:val="00A60D7B"/>
    <w:rsid w:val="00A610A6"/>
    <w:rsid w:val="00A62D35"/>
    <w:rsid w:val="00A62E92"/>
    <w:rsid w:val="00A6303C"/>
    <w:rsid w:val="00A63FAF"/>
    <w:rsid w:val="00A646A0"/>
    <w:rsid w:val="00A6474C"/>
    <w:rsid w:val="00A64786"/>
    <w:rsid w:val="00A64C60"/>
    <w:rsid w:val="00A656A0"/>
    <w:rsid w:val="00A65700"/>
    <w:rsid w:val="00A66628"/>
    <w:rsid w:val="00A6727E"/>
    <w:rsid w:val="00A674E0"/>
    <w:rsid w:val="00A704DD"/>
    <w:rsid w:val="00A71F21"/>
    <w:rsid w:val="00A7204C"/>
    <w:rsid w:val="00A72D00"/>
    <w:rsid w:val="00A7310D"/>
    <w:rsid w:val="00A7371D"/>
    <w:rsid w:val="00A740AE"/>
    <w:rsid w:val="00A740F3"/>
    <w:rsid w:val="00A7410A"/>
    <w:rsid w:val="00A74225"/>
    <w:rsid w:val="00A7435E"/>
    <w:rsid w:val="00A75BA2"/>
    <w:rsid w:val="00A76DB7"/>
    <w:rsid w:val="00A76E1C"/>
    <w:rsid w:val="00A77166"/>
    <w:rsid w:val="00A77D70"/>
    <w:rsid w:val="00A77FBA"/>
    <w:rsid w:val="00A80853"/>
    <w:rsid w:val="00A80A77"/>
    <w:rsid w:val="00A80DA0"/>
    <w:rsid w:val="00A80F0F"/>
    <w:rsid w:val="00A83C68"/>
    <w:rsid w:val="00A83D4D"/>
    <w:rsid w:val="00A8503F"/>
    <w:rsid w:val="00A850ED"/>
    <w:rsid w:val="00A854E4"/>
    <w:rsid w:val="00A85E8C"/>
    <w:rsid w:val="00A8652E"/>
    <w:rsid w:val="00A8662B"/>
    <w:rsid w:val="00A86BD0"/>
    <w:rsid w:val="00A870BE"/>
    <w:rsid w:val="00A873A2"/>
    <w:rsid w:val="00A87C7B"/>
    <w:rsid w:val="00A90D17"/>
    <w:rsid w:val="00A910C5"/>
    <w:rsid w:val="00A9150F"/>
    <w:rsid w:val="00A91D24"/>
    <w:rsid w:val="00A91F3C"/>
    <w:rsid w:val="00A92D05"/>
    <w:rsid w:val="00A93A09"/>
    <w:rsid w:val="00A93A3B"/>
    <w:rsid w:val="00A94580"/>
    <w:rsid w:val="00A950F0"/>
    <w:rsid w:val="00A9580E"/>
    <w:rsid w:val="00A96232"/>
    <w:rsid w:val="00A96593"/>
    <w:rsid w:val="00A966BB"/>
    <w:rsid w:val="00A96E1B"/>
    <w:rsid w:val="00AA0639"/>
    <w:rsid w:val="00AA0680"/>
    <w:rsid w:val="00AA06D9"/>
    <w:rsid w:val="00AA1049"/>
    <w:rsid w:val="00AA11B6"/>
    <w:rsid w:val="00AA1338"/>
    <w:rsid w:val="00AA14CD"/>
    <w:rsid w:val="00AA297A"/>
    <w:rsid w:val="00AA3176"/>
    <w:rsid w:val="00AA319A"/>
    <w:rsid w:val="00AA3213"/>
    <w:rsid w:val="00AA43A1"/>
    <w:rsid w:val="00AA4529"/>
    <w:rsid w:val="00AA4B12"/>
    <w:rsid w:val="00AA4C18"/>
    <w:rsid w:val="00AA4F93"/>
    <w:rsid w:val="00AA53F9"/>
    <w:rsid w:val="00AA5DE1"/>
    <w:rsid w:val="00AA6793"/>
    <w:rsid w:val="00AB0CEE"/>
    <w:rsid w:val="00AB1F1E"/>
    <w:rsid w:val="00AB282B"/>
    <w:rsid w:val="00AB3A00"/>
    <w:rsid w:val="00AB3D04"/>
    <w:rsid w:val="00AB57CE"/>
    <w:rsid w:val="00AB615F"/>
    <w:rsid w:val="00AB7088"/>
    <w:rsid w:val="00AB7476"/>
    <w:rsid w:val="00AB7DA6"/>
    <w:rsid w:val="00AC0855"/>
    <w:rsid w:val="00AC0C21"/>
    <w:rsid w:val="00AC0C9B"/>
    <w:rsid w:val="00AC0D54"/>
    <w:rsid w:val="00AC11C0"/>
    <w:rsid w:val="00AC143A"/>
    <w:rsid w:val="00AC2E58"/>
    <w:rsid w:val="00AC32F2"/>
    <w:rsid w:val="00AC3D23"/>
    <w:rsid w:val="00AC4925"/>
    <w:rsid w:val="00AC5176"/>
    <w:rsid w:val="00AC64B4"/>
    <w:rsid w:val="00AC70B4"/>
    <w:rsid w:val="00AC7685"/>
    <w:rsid w:val="00AC77C6"/>
    <w:rsid w:val="00AC7B71"/>
    <w:rsid w:val="00AD0127"/>
    <w:rsid w:val="00AD05CB"/>
    <w:rsid w:val="00AD0B3F"/>
    <w:rsid w:val="00AD17B4"/>
    <w:rsid w:val="00AD22CE"/>
    <w:rsid w:val="00AD22FF"/>
    <w:rsid w:val="00AD4526"/>
    <w:rsid w:val="00AD4A4F"/>
    <w:rsid w:val="00AD5C05"/>
    <w:rsid w:val="00AD745C"/>
    <w:rsid w:val="00AD7A8C"/>
    <w:rsid w:val="00AE01F4"/>
    <w:rsid w:val="00AE02B3"/>
    <w:rsid w:val="00AE08CC"/>
    <w:rsid w:val="00AE0A42"/>
    <w:rsid w:val="00AE3AAF"/>
    <w:rsid w:val="00AE44C9"/>
    <w:rsid w:val="00AE4646"/>
    <w:rsid w:val="00AE48FF"/>
    <w:rsid w:val="00AE74CF"/>
    <w:rsid w:val="00AE7685"/>
    <w:rsid w:val="00AE7CC3"/>
    <w:rsid w:val="00AF10AE"/>
    <w:rsid w:val="00AF1575"/>
    <w:rsid w:val="00AF2843"/>
    <w:rsid w:val="00AF2987"/>
    <w:rsid w:val="00AF2E91"/>
    <w:rsid w:val="00AF3507"/>
    <w:rsid w:val="00AF36B5"/>
    <w:rsid w:val="00AF3738"/>
    <w:rsid w:val="00AF3D0F"/>
    <w:rsid w:val="00AF4CB6"/>
    <w:rsid w:val="00AF5422"/>
    <w:rsid w:val="00AF57F2"/>
    <w:rsid w:val="00AF5CB7"/>
    <w:rsid w:val="00AF6A31"/>
    <w:rsid w:val="00AF6F76"/>
    <w:rsid w:val="00B004F1"/>
    <w:rsid w:val="00B01725"/>
    <w:rsid w:val="00B01A9F"/>
    <w:rsid w:val="00B02008"/>
    <w:rsid w:val="00B02BAA"/>
    <w:rsid w:val="00B03674"/>
    <w:rsid w:val="00B04B98"/>
    <w:rsid w:val="00B04CBD"/>
    <w:rsid w:val="00B05A10"/>
    <w:rsid w:val="00B05B84"/>
    <w:rsid w:val="00B0601D"/>
    <w:rsid w:val="00B068DD"/>
    <w:rsid w:val="00B07534"/>
    <w:rsid w:val="00B10D55"/>
    <w:rsid w:val="00B11174"/>
    <w:rsid w:val="00B111D1"/>
    <w:rsid w:val="00B115BC"/>
    <w:rsid w:val="00B11FB2"/>
    <w:rsid w:val="00B1204E"/>
    <w:rsid w:val="00B12951"/>
    <w:rsid w:val="00B12F27"/>
    <w:rsid w:val="00B132DB"/>
    <w:rsid w:val="00B13D79"/>
    <w:rsid w:val="00B1522E"/>
    <w:rsid w:val="00B152A3"/>
    <w:rsid w:val="00B159FC"/>
    <w:rsid w:val="00B15B4C"/>
    <w:rsid w:val="00B16C71"/>
    <w:rsid w:val="00B171B4"/>
    <w:rsid w:val="00B176A8"/>
    <w:rsid w:val="00B17E8C"/>
    <w:rsid w:val="00B20211"/>
    <w:rsid w:val="00B208AF"/>
    <w:rsid w:val="00B20D79"/>
    <w:rsid w:val="00B21192"/>
    <w:rsid w:val="00B2135B"/>
    <w:rsid w:val="00B214D0"/>
    <w:rsid w:val="00B217A2"/>
    <w:rsid w:val="00B21D15"/>
    <w:rsid w:val="00B21F09"/>
    <w:rsid w:val="00B22100"/>
    <w:rsid w:val="00B22C03"/>
    <w:rsid w:val="00B22CD7"/>
    <w:rsid w:val="00B23296"/>
    <w:rsid w:val="00B232DC"/>
    <w:rsid w:val="00B236DA"/>
    <w:rsid w:val="00B24004"/>
    <w:rsid w:val="00B247FB"/>
    <w:rsid w:val="00B24FA1"/>
    <w:rsid w:val="00B25576"/>
    <w:rsid w:val="00B2675F"/>
    <w:rsid w:val="00B26802"/>
    <w:rsid w:val="00B26B36"/>
    <w:rsid w:val="00B27613"/>
    <w:rsid w:val="00B27B18"/>
    <w:rsid w:val="00B300BD"/>
    <w:rsid w:val="00B30403"/>
    <w:rsid w:val="00B30A81"/>
    <w:rsid w:val="00B30F87"/>
    <w:rsid w:val="00B32CBA"/>
    <w:rsid w:val="00B32ECD"/>
    <w:rsid w:val="00B34142"/>
    <w:rsid w:val="00B3496F"/>
    <w:rsid w:val="00B34CFB"/>
    <w:rsid w:val="00B356F6"/>
    <w:rsid w:val="00B3682A"/>
    <w:rsid w:val="00B40487"/>
    <w:rsid w:val="00B404ED"/>
    <w:rsid w:val="00B408A0"/>
    <w:rsid w:val="00B40C73"/>
    <w:rsid w:val="00B41415"/>
    <w:rsid w:val="00B4184C"/>
    <w:rsid w:val="00B41BAA"/>
    <w:rsid w:val="00B4225B"/>
    <w:rsid w:val="00B42BBA"/>
    <w:rsid w:val="00B42FC1"/>
    <w:rsid w:val="00B4321C"/>
    <w:rsid w:val="00B43774"/>
    <w:rsid w:val="00B43796"/>
    <w:rsid w:val="00B43BF7"/>
    <w:rsid w:val="00B4450B"/>
    <w:rsid w:val="00B44F57"/>
    <w:rsid w:val="00B45C7C"/>
    <w:rsid w:val="00B45CFE"/>
    <w:rsid w:val="00B45F59"/>
    <w:rsid w:val="00B461B0"/>
    <w:rsid w:val="00B4626C"/>
    <w:rsid w:val="00B4738B"/>
    <w:rsid w:val="00B47812"/>
    <w:rsid w:val="00B502ED"/>
    <w:rsid w:val="00B50E4F"/>
    <w:rsid w:val="00B51009"/>
    <w:rsid w:val="00B520A2"/>
    <w:rsid w:val="00B5214D"/>
    <w:rsid w:val="00B522DE"/>
    <w:rsid w:val="00B52D29"/>
    <w:rsid w:val="00B53BF3"/>
    <w:rsid w:val="00B53C15"/>
    <w:rsid w:val="00B54AF2"/>
    <w:rsid w:val="00B5565D"/>
    <w:rsid w:val="00B558EA"/>
    <w:rsid w:val="00B558FA"/>
    <w:rsid w:val="00B55D48"/>
    <w:rsid w:val="00B568E6"/>
    <w:rsid w:val="00B60569"/>
    <w:rsid w:val="00B627C1"/>
    <w:rsid w:val="00B64697"/>
    <w:rsid w:val="00B646C2"/>
    <w:rsid w:val="00B665FD"/>
    <w:rsid w:val="00B70465"/>
    <w:rsid w:val="00B704CF"/>
    <w:rsid w:val="00B71BF3"/>
    <w:rsid w:val="00B71EBA"/>
    <w:rsid w:val="00B7287D"/>
    <w:rsid w:val="00B736EF"/>
    <w:rsid w:val="00B73D27"/>
    <w:rsid w:val="00B7414D"/>
    <w:rsid w:val="00B7492D"/>
    <w:rsid w:val="00B74B31"/>
    <w:rsid w:val="00B7527E"/>
    <w:rsid w:val="00B75912"/>
    <w:rsid w:val="00B77301"/>
    <w:rsid w:val="00B77813"/>
    <w:rsid w:val="00B80EA3"/>
    <w:rsid w:val="00B81257"/>
    <w:rsid w:val="00B81E5B"/>
    <w:rsid w:val="00B822B5"/>
    <w:rsid w:val="00B8255C"/>
    <w:rsid w:val="00B825D0"/>
    <w:rsid w:val="00B84486"/>
    <w:rsid w:val="00B8585C"/>
    <w:rsid w:val="00B8667B"/>
    <w:rsid w:val="00B86C88"/>
    <w:rsid w:val="00B86F04"/>
    <w:rsid w:val="00B878B8"/>
    <w:rsid w:val="00B87A3F"/>
    <w:rsid w:val="00B9063C"/>
    <w:rsid w:val="00B90AC7"/>
    <w:rsid w:val="00B910DC"/>
    <w:rsid w:val="00B91D15"/>
    <w:rsid w:val="00B91E25"/>
    <w:rsid w:val="00B92B34"/>
    <w:rsid w:val="00B9402C"/>
    <w:rsid w:val="00B94411"/>
    <w:rsid w:val="00B94887"/>
    <w:rsid w:val="00B9560D"/>
    <w:rsid w:val="00B96E11"/>
    <w:rsid w:val="00B97561"/>
    <w:rsid w:val="00B97D3E"/>
    <w:rsid w:val="00BA144B"/>
    <w:rsid w:val="00BA1793"/>
    <w:rsid w:val="00BA189B"/>
    <w:rsid w:val="00BA228F"/>
    <w:rsid w:val="00BA2633"/>
    <w:rsid w:val="00BA2652"/>
    <w:rsid w:val="00BA2BBB"/>
    <w:rsid w:val="00BA3560"/>
    <w:rsid w:val="00BA3D89"/>
    <w:rsid w:val="00BA3FBC"/>
    <w:rsid w:val="00BA4FBC"/>
    <w:rsid w:val="00BA6152"/>
    <w:rsid w:val="00BA660B"/>
    <w:rsid w:val="00BA6AFB"/>
    <w:rsid w:val="00BA7548"/>
    <w:rsid w:val="00BA7E76"/>
    <w:rsid w:val="00BB0F1E"/>
    <w:rsid w:val="00BB192E"/>
    <w:rsid w:val="00BB1F93"/>
    <w:rsid w:val="00BB1FA2"/>
    <w:rsid w:val="00BB2A32"/>
    <w:rsid w:val="00BB2B3B"/>
    <w:rsid w:val="00BB2F1A"/>
    <w:rsid w:val="00BB3046"/>
    <w:rsid w:val="00BB3868"/>
    <w:rsid w:val="00BB4620"/>
    <w:rsid w:val="00BB52EE"/>
    <w:rsid w:val="00BB5C24"/>
    <w:rsid w:val="00BB5D5A"/>
    <w:rsid w:val="00BB65B3"/>
    <w:rsid w:val="00BB6830"/>
    <w:rsid w:val="00BB71E7"/>
    <w:rsid w:val="00BB7980"/>
    <w:rsid w:val="00BB7E37"/>
    <w:rsid w:val="00BC0516"/>
    <w:rsid w:val="00BC0E04"/>
    <w:rsid w:val="00BC183E"/>
    <w:rsid w:val="00BC22BA"/>
    <w:rsid w:val="00BC2743"/>
    <w:rsid w:val="00BC300C"/>
    <w:rsid w:val="00BC34CE"/>
    <w:rsid w:val="00BC3620"/>
    <w:rsid w:val="00BC3811"/>
    <w:rsid w:val="00BC381A"/>
    <w:rsid w:val="00BC3A69"/>
    <w:rsid w:val="00BC3E7E"/>
    <w:rsid w:val="00BC4A0A"/>
    <w:rsid w:val="00BC4AA8"/>
    <w:rsid w:val="00BC4ADD"/>
    <w:rsid w:val="00BC4E6D"/>
    <w:rsid w:val="00BC511C"/>
    <w:rsid w:val="00BC570C"/>
    <w:rsid w:val="00BC63FA"/>
    <w:rsid w:val="00BC6CD3"/>
    <w:rsid w:val="00BC7B1E"/>
    <w:rsid w:val="00BC7C0A"/>
    <w:rsid w:val="00BD0004"/>
    <w:rsid w:val="00BD023E"/>
    <w:rsid w:val="00BD1415"/>
    <w:rsid w:val="00BD1B8A"/>
    <w:rsid w:val="00BD1F40"/>
    <w:rsid w:val="00BD2599"/>
    <w:rsid w:val="00BD2BEB"/>
    <w:rsid w:val="00BD41FE"/>
    <w:rsid w:val="00BD44CA"/>
    <w:rsid w:val="00BD4725"/>
    <w:rsid w:val="00BD5057"/>
    <w:rsid w:val="00BD51A9"/>
    <w:rsid w:val="00BD5CE2"/>
    <w:rsid w:val="00BD6091"/>
    <w:rsid w:val="00BD61AB"/>
    <w:rsid w:val="00BD7823"/>
    <w:rsid w:val="00BE1313"/>
    <w:rsid w:val="00BE1DBC"/>
    <w:rsid w:val="00BE35A2"/>
    <w:rsid w:val="00BE3F01"/>
    <w:rsid w:val="00BE4726"/>
    <w:rsid w:val="00BE4AC6"/>
    <w:rsid w:val="00BE530B"/>
    <w:rsid w:val="00BE53BD"/>
    <w:rsid w:val="00BE6242"/>
    <w:rsid w:val="00BE666F"/>
    <w:rsid w:val="00BE7B7A"/>
    <w:rsid w:val="00BF12B8"/>
    <w:rsid w:val="00BF14E0"/>
    <w:rsid w:val="00BF1783"/>
    <w:rsid w:val="00BF1F2E"/>
    <w:rsid w:val="00BF2C07"/>
    <w:rsid w:val="00BF3758"/>
    <w:rsid w:val="00BF39B0"/>
    <w:rsid w:val="00BF3C7D"/>
    <w:rsid w:val="00BF40C3"/>
    <w:rsid w:val="00BF531C"/>
    <w:rsid w:val="00BF5800"/>
    <w:rsid w:val="00BF6191"/>
    <w:rsid w:val="00BF6438"/>
    <w:rsid w:val="00BF6C59"/>
    <w:rsid w:val="00BF70A3"/>
    <w:rsid w:val="00BF73FF"/>
    <w:rsid w:val="00BF7ED3"/>
    <w:rsid w:val="00C007B9"/>
    <w:rsid w:val="00C009CB"/>
    <w:rsid w:val="00C00E99"/>
    <w:rsid w:val="00C01256"/>
    <w:rsid w:val="00C0151F"/>
    <w:rsid w:val="00C015EE"/>
    <w:rsid w:val="00C01BEC"/>
    <w:rsid w:val="00C026AE"/>
    <w:rsid w:val="00C03480"/>
    <w:rsid w:val="00C03EBE"/>
    <w:rsid w:val="00C0401E"/>
    <w:rsid w:val="00C0413D"/>
    <w:rsid w:val="00C046CD"/>
    <w:rsid w:val="00C04705"/>
    <w:rsid w:val="00C05841"/>
    <w:rsid w:val="00C0590E"/>
    <w:rsid w:val="00C05EA4"/>
    <w:rsid w:val="00C07E4F"/>
    <w:rsid w:val="00C108AF"/>
    <w:rsid w:val="00C10E89"/>
    <w:rsid w:val="00C12344"/>
    <w:rsid w:val="00C1265B"/>
    <w:rsid w:val="00C137B5"/>
    <w:rsid w:val="00C13F30"/>
    <w:rsid w:val="00C143E7"/>
    <w:rsid w:val="00C16241"/>
    <w:rsid w:val="00C1659D"/>
    <w:rsid w:val="00C16844"/>
    <w:rsid w:val="00C16D61"/>
    <w:rsid w:val="00C17451"/>
    <w:rsid w:val="00C17831"/>
    <w:rsid w:val="00C17C85"/>
    <w:rsid w:val="00C17C9B"/>
    <w:rsid w:val="00C17CE6"/>
    <w:rsid w:val="00C22170"/>
    <w:rsid w:val="00C22518"/>
    <w:rsid w:val="00C22F8C"/>
    <w:rsid w:val="00C23318"/>
    <w:rsid w:val="00C23F6C"/>
    <w:rsid w:val="00C2453E"/>
    <w:rsid w:val="00C24EFF"/>
    <w:rsid w:val="00C2502C"/>
    <w:rsid w:val="00C252D9"/>
    <w:rsid w:val="00C26DC8"/>
    <w:rsid w:val="00C279F5"/>
    <w:rsid w:val="00C27A03"/>
    <w:rsid w:val="00C27A39"/>
    <w:rsid w:val="00C27C76"/>
    <w:rsid w:val="00C31A3F"/>
    <w:rsid w:val="00C31DEF"/>
    <w:rsid w:val="00C3235D"/>
    <w:rsid w:val="00C33201"/>
    <w:rsid w:val="00C336C7"/>
    <w:rsid w:val="00C33D16"/>
    <w:rsid w:val="00C33F95"/>
    <w:rsid w:val="00C3425B"/>
    <w:rsid w:val="00C34490"/>
    <w:rsid w:val="00C34A90"/>
    <w:rsid w:val="00C34D9B"/>
    <w:rsid w:val="00C3600B"/>
    <w:rsid w:val="00C36708"/>
    <w:rsid w:val="00C36904"/>
    <w:rsid w:val="00C37010"/>
    <w:rsid w:val="00C3714E"/>
    <w:rsid w:val="00C37BAD"/>
    <w:rsid w:val="00C41209"/>
    <w:rsid w:val="00C41F23"/>
    <w:rsid w:val="00C42727"/>
    <w:rsid w:val="00C42834"/>
    <w:rsid w:val="00C43241"/>
    <w:rsid w:val="00C436FF"/>
    <w:rsid w:val="00C442D1"/>
    <w:rsid w:val="00C450F4"/>
    <w:rsid w:val="00C45C3E"/>
    <w:rsid w:val="00C45EA6"/>
    <w:rsid w:val="00C46702"/>
    <w:rsid w:val="00C46B20"/>
    <w:rsid w:val="00C46B6D"/>
    <w:rsid w:val="00C47D74"/>
    <w:rsid w:val="00C47FC9"/>
    <w:rsid w:val="00C508FE"/>
    <w:rsid w:val="00C513A7"/>
    <w:rsid w:val="00C51C7A"/>
    <w:rsid w:val="00C52CFA"/>
    <w:rsid w:val="00C5401B"/>
    <w:rsid w:val="00C5413A"/>
    <w:rsid w:val="00C55517"/>
    <w:rsid w:val="00C55D90"/>
    <w:rsid w:val="00C55F09"/>
    <w:rsid w:val="00C56B1A"/>
    <w:rsid w:val="00C56BF7"/>
    <w:rsid w:val="00C579CC"/>
    <w:rsid w:val="00C57B1C"/>
    <w:rsid w:val="00C60407"/>
    <w:rsid w:val="00C60C7B"/>
    <w:rsid w:val="00C6120C"/>
    <w:rsid w:val="00C612C3"/>
    <w:rsid w:val="00C613DC"/>
    <w:rsid w:val="00C63BF5"/>
    <w:rsid w:val="00C64356"/>
    <w:rsid w:val="00C649E7"/>
    <w:rsid w:val="00C6561C"/>
    <w:rsid w:val="00C65A3B"/>
    <w:rsid w:val="00C65A45"/>
    <w:rsid w:val="00C65AE5"/>
    <w:rsid w:val="00C6724C"/>
    <w:rsid w:val="00C677D3"/>
    <w:rsid w:val="00C7065A"/>
    <w:rsid w:val="00C70B76"/>
    <w:rsid w:val="00C70DD4"/>
    <w:rsid w:val="00C70F2A"/>
    <w:rsid w:val="00C722DB"/>
    <w:rsid w:val="00C72C71"/>
    <w:rsid w:val="00C72FB9"/>
    <w:rsid w:val="00C735EA"/>
    <w:rsid w:val="00C7381D"/>
    <w:rsid w:val="00C7393E"/>
    <w:rsid w:val="00C73E9B"/>
    <w:rsid w:val="00C74921"/>
    <w:rsid w:val="00C74CE0"/>
    <w:rsid w:val="00C75526"/>
    <w:rsid w:val="00C7779D"/>
    <w:rsid w:val="00C777F9"/>
    <w:rsid w:val="00C7790C"/>
    <w:rsid w:val="00C8056C"/>
    <w:rsid w:val="00C807DF"/>
    <w:rsid w:val="00C80A04"/>
    <w:rsid w:val="00C812ED"/>
    <w:rsid w:val="00C813F5"/>
    <w:rsid w:val="00C81E91"/>
    <w:rsid w:val="00C81FED"/>
    <w:rsid w:val="00C8244D"/>
    <w:rsid w:val="00C82791"/>
    <w:rsid w:val="00C8398B"/>
    <w:rsid w:val="00C839B3"/>
    <w:rsid w:val="00C84054"/>
    <w:rsid w:val="00C8441D"/>
    <w:rsid w:val="00C84988"/>
    <w:rsid w:val="00C84E4B"/>
    <w:rsid w:val="00C854CA"/>
    <w:rsid w:val="00C87047"/>
    <w:rsid w:val="00C8795C"/>
    <w:rsid w:val="00C87B42"/>
    <w:rsid w:val="00C87DA3"/>
    <w:rsid w:val="00C904C9"/>
    <w:rsid w:val="00C90F72"/>
    <w:rsid w:val="00C910FF"/>
    <w:rsid w:val="00C91A99"/>
    <w:rsid w:val="00C91E70"/>
    <w:rsid w:val="00C92658"/>
    <w:rsid w:val="00C92D3D"/>
    <w:rsid w:val="00C93E50"/>
    <w:rsid w:val="00C945C4"/>
    <w:rsid w:val="00C9576C"/>
    <w:rsid w:val="00C9609C"/>
    <w:rsid w:val="00C9677A"/>
    <w:rsid w:val="00CA0520"/>
    <w:rsid w:val="00CA0711"/>
    <w:rsid w:val="00CA223C"/>
    <w:rsid w:val="00CA314F"/>
    <w:rsid w:val="00CA343C"/>
    <w:rsid w:val="00CA3953"/>
    <w:rsid w:val="00CA3E4A"/>
    <w:rsid w:val="00CA56A3"/>
    <w:rsid w:val="00CA5B89"/>
    <w:rsid w:val="00CA5C7C"/>
    <w:rsid w:val="00CA63EE"/>
    <w:rsid w:val="00CA6E16"/>
    <w:rsid w:val="00CB02A4"/>
    <w:rsid w:val="00CB24CD"/>
    <w:rsid w:val="00CB2560"/>
    <w:rsid w:val="00CB36A0"/>
    <w:rsid w:val="00CB3F01"/>
    <w:rsid w:val="00CB58E8"/>
    <w:rsid w:val="00CB59AC"/>
    <w:rsid w:val="00CB5B28"/>
    <w:rsid w:val="00CB61F4"/>
    <w:rsid w:val="00CB65A2"/>
    <w:rsid w:val="00CB6AA6"/>
    <w:rsid w:val="00CB6E85"/>
    <w:rsid w:val="00CB722C"/>
    <w:rsid w:val="00CB7865"/>
    <w:rsid w:val="00CB7B7C"/>
    <w:rsid w:val="00CC0239"/>
    <w:rsid w:val="00CC03E1"/>
    <w:rsid w:val="00CC2820"/>
    <w:rsid w:val="00CC28B2"/>
    <w:rsid w:val="00CC34F5"/>
    <w:rsid w:val="00CC3916"/>
    <w:rsid w:val="00CC3E4A"/>
    <w:rsid w:val="00CC43E6"/>
    <w:rsid w:val="00CC5043"/>
    <w:rsid w:val="00CC54D8"/>
    <w:rsid w:val="00CC5A7E"/>
    <w:rsid w:val="00CC5C7D"/>
    <w:rsid w:val="00CC6762"/>
    <w:rsid w:val="00CC743C"/>
    <w:rsid w:val="00CC7F4D"/>
    <w:rsid w:val="00CD0172"/>
    <w:rsid w:val="00CD18F9"/>
    <w:rsid w:val="00CD3037"/>
    <w:rsid w:val="00CD3508"/>
    <w:rsid w:val="00CD48AC"/>
    <w:rsid w:val="00CD4C71"/>
    <w:rsid w:val="00CD568C"/>
    <w:rsid w:val="00CD5E17"/>
    <w:rsid w:val="00CD5EB7"/>
    <w:rsid w:val="00CD689D"/>
    <w:rsid w:val="00CD6B1C"/>
    <w:rsid w:val="00CD7084"/>
    <w:rsid w:val="00CD712D"/>
    <w:rsid w:val="00CD7715"/>
    <w:rsid w:val="00CD78C3"/>
    <w:rsid w:val="00CD7BF6"/>
    <w:rsid w:val="00CD7D21"/>
    <w:rsid w:val="00CE0902"/>
    <w:rsid w:val="00CE0A05"/>
    <w:rsid w:val="00CE0CF4"/>
    <w:rsid w:val="00CE1274"/>
    <w:rsid w:val="00CE177A"/>
    <w:rsid w:val="00CE1D78"/>
    <w:rsid w:val="00CE1FA8"/>
    <w:rsid w:val="00CE26BA"/>
    <w:rsid w:val="00CE2CDD"/>
    <w:rsid w:val="00CE4476"/>
    <w:rsid w:val="00CE4569"/>
    <w:rsid w:val="00CE56D7"/>
    <w:rsid w:val="00CE599E"/>
    <w:rsid w:val="00CE5C76"/>
    <w:rsid w:val="00CE6292"/>
    <w:rsid w:val="00CE69A8"/>
    <w:rsid w:val="00CE7363"/>
    <w:rsid w:val="00CE76AF"/>
    <w:rsid w:val="00CE7F59"/>
    <w:rsid w:val="00CF0AA8"/>
    <w:rsid w:val="00CF1307"/>
    <w:rsid w:val="00CF1CF2"/>
    <w:rsid w:val="00CF2143"/>
    <w:rsid w:val="00CF2144"/>
    <w:rsid w:val="00CF22D0"/>
    <w:rsid w:val="00CF23A4"/>
    <w:rsid w:val="00CF33CD"/>
    <w:rsid w:val="00CF3C6E"/>
    <w:rsid w:val="00CF40A2"/>
    <w:rsid w:val="00CF454F"/>
    <w:rsid w:val="00CF48B3"/>
    <w:rsid w:val="00CF5AE8"/>
    <w:rsid w:val="00CF6CA8"/>
    <w:rsid w:val="00CF6DE8"/>
    <w:rsid w:val="00CF6E04"/>
    <w:rsid w:val="00CF6FEE"/>
    <w:rsid w:val="00CF7D4F"/>
    <w:rsid w:val="00D006E0"/>
    <w:rsid w:val="00D0088D"/>
    <w:rsid w:val="00D00D27"/>
    <w:rsid w:val="00D0124C"/>
    <w:rsid w:val="00D01272"/>
    <w:rsid w:val="00D02C91"/>
    <w:rsid w:val="00D030AA"/>
    <w:rsid w:val="00D04117"/>
    <w:rsid w:val="00D04647"/>
    <w:rsid w:val="00D049C1"/>
    <w:rsid w:val="00D04A05"/>
    <w:rsid w:val="00D0505D"/>
    <w:rsid w:val="00D05672"/>
    <w:rsid w:val="00D05C4A"/>
    <w:rsid w:val="00D067F6"/>
    <w:rsid w:val="00D07212"/>
    <w:rsid w:val="00D07229"/>
    <w:rsid w:val="00D07913"/>
    <w:rsid w:val="00D07AB7"/>
    <w:rsid w:val="00D07AFF"/>
    <w:rsid w:val="00D07FA6"/>
    <w:rsid w:val="00D11301"/>
    <w:rsid w:val="00D11602"/>
    <w:rsid w:val="00D11AD2"/>
    <w:rsid w:val="00D11FDF"/>
    <w:rsid w:val="00D1248D"/>
    <w:rsid w:val="00D12B87"/>
    <w:rsid w:val="00D13016"/>
    <w:rsid w:val="00D13226"/>
    <w:rsid w:val="00D13BCF"/>
    <w:rsid w:val="00D1450B"/>
    <w:rsid w:val="00D14DD0"/>
    <w:rsid w:val="00D15046"/>
    <w:rsid w:val="00D15A89"/>
    <w:rsid w:val="00D16040"/>
    <w:rsid w:val="00D16646"/>
    <w:rsid w:val="00D16D99"/>
    <w:rsid w:val="00D1704B"/>
    <w:rsid w:val="00D175EC"/>
    <w:rsid w:val="00D17A32"/>
    <w:rsid w:val="00D17A6B"/>
    <w:rsid w:val="00D21C96"/>
    <w:rsid w:val="00D21D02"/>
    <w:rsid w:val="00D22E73"/>
    <w:rsid w:val="00D23CFC"/>
    <w:rsid w:val="00D244F7"/>
    <w:rsid w:val="00D24E8D"/>
    <w:rsid w:val="00D250D7"/>
    <w:rsid w:val="00D25469"/>
    <w:rsid w:val="00D25646"/>
    <w:rsid w:val="00D2567B"/>
    <w:rsid w:val="00D2572E"/>
    <w:rsid w:val="00D25DA2"/>
    <w:rsid w:val="00D26423"/>
    <w:rsid w:val="00D279FD"/>
    <w:rsid w:val="00D3044C"/>
    <w:rsid w:val="00D3060A"/>
    <w:rsid w:val="00D30AD1"/>
    <w:rsid w:val="00D3188E"/>
    <w:rsid w:val="00D31E64"/>
    <w:rsid w:val="00D3207E"/>
    <w:rsid w:val="00D32955"/>
    <w:rsid w:val="00D33108"/>
    <w:rsid w:val="00D331B7"/>
    <w:rsid w:val="00D33651"/>
    <w:rsid w:val="00D346B6"/>
    <w:rsid w:val="00D34EB0"/>
    <w:rsid w:val="00D355EE"/>
    <w:rsid w:val="00D358AC"/>
    <w:rsid w:val="00D367A4"/>
    <w:rsid w:val="00D36825"/>
    <w:rsid w:val="00D3737D"/>
    <w:rsid w:val="00D37679"/>
    <w:rsid w:val="00D37750"/>
    <w:rsid w:val="00D40141"/>
    <w:rsid w:val="00D4016D"/>
    <w:rsid w:val="00D41A9A"/>
    <w:rsid w:val="00D41B35"/>
    <w:rsid w:val="00D42455"/>
    <w:rsid w:val="00D428F0"/>
    <w:rsid w:val="00D429CD"/>
    <w:rsid w:val="00D42EDF"/>
    <w:rsid w:val="00D4636B"/>
    <w:rsid w:val="00D46A14"/>
    <w:rsid w:val="00D46C9C"/>
    <w:rsid w:val="00D47320"/>
    <w:rsid w:val="00D47EFE"/>
    <w:rsid w:val="00D50237"/>
    <w:rsid w:val="00D50B4D"/>
    <w:rsid w:val="00D51A34"/>
    <w:rsid w:val="00D51B36"/>
    <w:rsid w:val="00D51CF0"/>
    <w:rsid w:val="00D5230B"/>
    <w:rsid w:val="00D52E88"/>
    <w:rsid w:val="00D53ECF"/>
    <w:rsid w:val="00D5436D"/>
    <w:rsid w:val="00D548C4"/>
    <w:rsid w:val="00D54A56"/>
    <w:rsid w:val="00D55285"/>
    <w:rsid w:val="00D55598"/>
    <w:rsid w:val="00D55A26"/>
    <w:rsid w:val="00D55DF2"/>
    <w:rsid w:val="00D55EB0"/>
    <w:rsid w:val="00D56F40"/>
    <w:rsid w:val="00D5707B"/>
    <w:rsid w:val="00D576FE"/>
    <w:rsid w:val="00D60DA3"/>
    <w:rsid w:val="00D61360"/>
    <w:rsid w:val="00D61573"/>
    <w:rsid w:val="00D61BAF"/>
    <w:rsid w:val="00D61F36"/>
    <w:rsid w:val="00D627D5"/>
    <w:rsid w:val="00D62973"/>
    <w:rsid w:val="00D62CBF"/>
    <w:rsid w:val="00D64255"/>
    <w:rsid w:val="00D65156"/>
    <w:rsid w:val="00D652B7"/>
    <w:rsid w:val="00D6584A"/>
    <w:rsid w:val="00D65BEA"/>
    <w:rsid w:val="00D65C97"/>
    <w:rsid w:val="00D66012"/>
    <w:rsid w:val="00D6697F"/>
    <w:rsid w:val="00D6753B"/>
    <w:rsid w:val="00D675B6"/>
    <w:rsid w:val="00D67C19"/>
    <w:rsid w:val="00D67F88"/>
    <w:rsid w:val="00D7028A"/>
    <w:rsid w:val="00D70989"/>
    <w:rsid w:val="00D7108C"/>
    <w:rsid w:val="00D71C69"/>
    <w:rsid w:val="00D71E7E"/>
    <w:rsid w:val="00D71E8E"/>
    <w:rsid w:val="00D72099"/>
    <w:rsid w:val="00D72B07"/>
    <w:rsid w:val="00D72FAE"/>
    <w:rsid w:val="00D7322E"/>
    <w:rsid w:val="00D73291"/>
    <w:rsid w:val="00D73EF0"/>
    <w:rsid w:val="00D745D1"/>
    <w:rsid w:val="00D7460B"/>
    <w:rsid w:val="00D74D9D"/>
    <w:rsid w:val="00D750DB"/>
    <w:rsid w:val="00D75C70"/>
    <w:rsid w:val="00D75DB5"/>
    <w:rsid w:val="00D75F39"/>
    <w:rsid w:val="00D76074"/>
    <w:rsid w:val="00D76308"/>
    <w:rsid w:val="00D76782"/>
    <w:rsid w:val="00D76B72"/>
    <w:rsid w:val="00D76E26"/>
    <w:rsid w:val="00D7777C"/>
    <w:rsid w:val="00D77BB4"/>
    <w:rsid w:val="00D77FD9"/>
    <w:rsid w:val="00D8079E"/>
    <w:rsid w:val="00D8197C"/>
    <w:rsid w:val="00D81BE8"/>
    <w:rsid w:val="00D82B41"/>
    <w:rsid w:val="00D82E1F"/>
    <w:rsid w:val="00D82F9E"/>
    <w:rsid w:val="00D84532"/>
    <w:rsid w:val="00D846B6"/>
    <w:rsid w:val="00D84CC3"/>
    <w:rsid w:val="00D84EDD"/>
    <w:rsid w:val="00D852BE"/>
    <w:rsid w:val="00D85C9E"/>
    <w:rsid w:val="00D865CA"/>
    <w:rsid w:val="00D876DC"/>
    <w:rsid w:val="00D877E5"/>
    <w:rsid w:val="00D87959"/>
    <w:rsid w:val="00D87996"/>
    <w:rsid w:val="00D87F5A"/>
    <w:rsid w:val="00D92743"/>
    <w:rsid w:val="00D92A66"/>
    <w:rsid w:val="00D931DC"/>
    <w:rsid w:val="00D9356E"/>
    <w:rsid w:val="00D93D30"/>
    <w:rsid w:val="00D94133"/>
    <w:rsid w:val="00D94662"/>
    <w:rsid w:val="00D94734"/>
    <w:rsid w:val="00D9474B"/>
    <w:rsid w:val="00D94A5E"/>
    <w:rsid w:val="00D94A93"/>
    <w:rsid w:val="00D9663C"/>
    <w:rsid w:val="00D969F4"/>
    <w:rsid w:val="00D96BA6"/>
    <w:rsid w:val="00D96BAA"/>
    <w:rsid w:val="00D96CCE"/>
    <w:rsid w:val="00D96F03"/>
    <w:rsid w:val="00D96FC5"/>
    <w:rsid w:val="00D97706"/>
    <w:rsid w:val="00DA032D"/>
    <w:rsid w:val="00DA0C78"/>
    <w:rsid w:val="00DA0E16"/>
    <w:rsid w:val="00DA108B"/>
    <w:rsid w:val="00DA10FF"/>
    <w:rsid w:val="00DA1131"/>
    <w:rsid w:val="00DA143A"/>
    <w:rsid w:val="00DA23FC"/>
    <w:rsid w:val="00DA2993"/>
    <w:rsid w:val="00DA329C"/>
    <w:rsid w:val="00DA40E4"/>
    <w:rsid w:val="00DA431C"/>
    <w:rsid w:val="00DA43F4"/>
    <w:rsid w:val="00DA44CA"/>
    <w:rsid w:val="00DA4C44"/>
    <w:rsid w:val="00DA4D9C"/>
    <w:rsid w:val="00DA50F9"/>
    <w:rsid w:val="00DA58C2"/>
    <w:rsid w:val="00DA5C2F"/>
    <w:rsid w:val="00DA60DA"/>
    <w:rsid w:val="00DA6414"/>
    <w:rsid w:val="00DA65FD"/>
    <w:rsid w:val="00DA6A62"/>
    <w:rsid w:val="00DA79EB"/>
    <w:rsid w:val="00DB0096"/>
    <w:rsid w:val="00DB02CF"/>
    <w:rsid w:val="00DB0DFD"/>
    <w:rsid w:val="00DB0FD7"/>
    <w:rsid w:val="00DB1140"/>
    <w:rsid w:val="00DB1339"/>
    <w:rsid w:val="00DB2FE4"/>
    <w:rsid w:val="00DB3B50"/>
    <w:rsid w:val="00DB40D6"/>
    <w:rsid w:val="00DB4294"/>
    <w:rsid w:val="00DB44EC"/>
    <w:rsid w:val="00DB47B9"/>
    <w:rsid w:val="00DB4D5A"/>
    <w:rsid w:val="00DB4F1A"/>
    <w:rsid w:val="00DB50E1"/>
    <w:rsid w:val="00DB554E"/>
    <w:rsid w:val="00DB68CA"/>
    <w:rsid w:val="00DB7CD8"/>
    <w:rsid w:val="00DC0644"/>
    <w:rsid w:val="00DC1723"/>
    <w:rsid w:val="00DC1767"/>
    <w:rsid w:val="00DC1A1C"/>
    <w:rsid w:val="00DC244C"/>
    <w:rsid w:val="00DC27B2"/>
    <w:rsid w:val="00DC2CA7"/>
    <w:rsid w:val="00DC404D"/>
    <w:rsid w:val="00DC44F1"/>
    <w:rsid w:val="00DC5326"/>
    <w:rsid w:val="00DC572D"/>
    <w:rsid w:val="00DC5D11"/>
    <w:rsid w:val="00DC602D"/>
    <w:rsid w:val="00DC60AC"/>
    <w:rsid w:val="00DC63DB"/>
    <w:rsid w:val="00DC66A6"/>
    <w:rsid w:val="00DC6B34"/>
    <w:rsid w:val="00DC6CE9"/>
    <w:rsid w:val="00DC6E00"/>
    <w:rsid w:val="00DC7A26"/>
    <w:rsid w:val="00DD050E"/>
    <w:rsid w:val="00DD0652"/>
    <w:rsid w:val="00DD0D13"/>
    <w:rsid w:val="00DD2B33"/>
    <w:rsid w:val="00DD2DF8"/>
    <w:rsid w:val="00DD390D"/>
    <w:rsid w:val="00DD3B71"/>
    <w:rsid w:val="00DD3ED2"/>
    <w:rsid w:val="00DD45EC"/>
    <w:rsid w:val="00DD65A7"/>
    <w:rsid w:val="00DD68C4"/>
    <w:rsid w:val="00DD6EC8"/>
    <w:rsid w:val="00DD7501"/>
    <w:rsid w:val="00DD77C3"/>
    <w:rsid w:val="00DD7CB2"/>
    <w:rsid w:val="00DE02A4"/>
    <w:rsid w:val="00DE059C"/>
    <w:rsid w:val="00DE0AF9"/>
    <w:rsid w:val="00DE160F"/>
    <w:rsid w:val="00DE2524"/>
    <w:rsid w:val="00DE3301"/>
    <w:rsid w:val="00DE3472"/>
    <w:rsid w:val="00DE36C2"/>
    <w:rsid w:val="00DE3716"/>
    <w:rsid w:val="00DE3CB2"/>
    <w:rsid w:val="00DE4124"/>
    <w:rsid w:val="00DE5A69"/>
    <w:rsid w:val="00DE5ACE"/>
    <w:rsid w:val="00DE5C8A"/>
    <w:rsid w:val="00DF1ED7"/>
    <w:rsid w:val="00DF24F6"/>
    <w:rsid w:val="00DF2DCA"/>
    <w:rsid w:val="00DF31F8"/>
    <w:rsid w:val="00DF3299"/>
    <w:rsid w:val="00DF3FCD"/>
    <w:rsid w:val="00DF465B"/>
    <w:rsid w:val="00DF5D84"/>
    <w:rsid w:val="00DF607A"/>
    <w:rsid w:val="00DF6175"/>
    <w:rsid w:val="00DF678E"/>
    <w:rsid w:val="00DF67FA"/>
    <w:rsid w:val="00DF6E43"/>
    <w:rsid w:val="00DF707E"/>
    <w:rsid w:val="00E01108"/>
    <w:rsid w:val="00E0176B"/>
    <w:rsid w:val="00E01D89"/>
    <w:rsid w:val="00E023B7"/>
    <w:rsid w:val="00E02AAA"/>
    <w:rsid w:val="00E03C03"/>
    <w:rsid w:val="00E044CB"/>
    <w:rsid w:val="00E04A1D"/>
    <w:rsid w:val="00E0518E"/>
    <w:rsid w:val="00E06757"/>
    <w:rsid w:val="00E07A15"/>
    <w:rsid w:val="00E07DF7"/>
    <w:rsid w:val="00E11881"/>
    <w:rsid w:val="00E12241"/>
    <w:rsid w:val="00E12555"/>
    <w:rsid w:val="00E13061"/>
    <w:rsid w:val="00E136C9"/>
    <w:rsid w:val="00E140BE"/>
    <w:rsid w:val="00E146FD"/>
    <w:rsid w:val="00E14705"/>
    <w:rsid w:val="00E14C7F"/>
    <w:rsid w:val="00E15227"/>
    <w:rsid w:val="00E152D6"/>
    <w:rsid w:val="00E15316"/>
    <w:rsid w:val="00E15D0A"/>
    <w:rsid w:val="00E16E6C"/>
    <w:rsid w:val="00E20387"/>
    <w:rsid w:val="00E21E16"/>
    <w:rsid w:val="00E22073"/>
    <w:rsid w:val="00E220EC"/>
    <w:rsid w:val="00E2230E"/>
    <w:rsid w:val="00E2245E"/>
    <w:rsid w:val="00E225C4"/>
    <w:rsid w:val="00E2319C"/>
    <w:rsid w:val="00E2382A"/>
    <w:rsid w:val="00E23B63"/>
    <w:rsid w:val="00E24D82"/>
    <w:rsid w:val="00E25949"/>
    <w:rsid w:val="00E25952"/>
    <w:rsid w:val="00E259A9"/>
    <w:rsid w:val="00E267B2"/>
    <w:rsid w:val="00E26A4B"/>
    <w:rsid w:val="00E27245"/>
    <w:rsid w:val="00E27B15"/>
    <w:rsid w:val="00E27ECE"/>
    <w:rsid w:val="00E302E5"/>
    <w:rsid w:val="00E3041C"/>
    <w:rsid w:val="00E30914"/>
    <w:rsid w:val="00E31243"/>
    <w:rsid w:val="00E31EFB"/>
    <w:rsid w:val="00E327A9"/>
    <w:rsid w:val="00E33DC6"/>
    <w:rsid w:val="00E34F28"/>
    <w:rsid w:val="00E34FBB"/>
    <w:rsid w:val="00E35919"/>
    <w:rsid w:val="00E35DAE"/>
    <w:rsid w:val="00E3724F"/>
    <w:rsid w:val="00E377C1"/>
    <w:rsid w:val="00E37E2E"/>
    <w:rsid w:val="00E4012C"/>
    <w:rsid w:val="00E41500"/>
    <w:rsid w:val="00E41784"/>
    <w:rsid w:val="00E4191E"/>
    <w:rsid w:val="00E42CE1"/>
    <w:rsid w:val="00E441BE"/>
    <w:rsid w:val="00E45A3E"/>
    <w:rsid w:val="00E45DE5"/>
    <w:rsid w:val="00E46318"/>
    <w:rsid w:val="00E470D2"/>
    <w:rsid w:val="00E47214"/>
    <w:rsid w:val="00E476BE"/>
    <w:rsid w:val="00E47751"/>
    <w:rsid w:val="00E47B50"/>
    <w:rsid w:val="00E47DCC"/>
    <w:rsid w:val="00E47E42"/>
    <w:rsid w:val="00E5129A"/>
    <w:rsid w:val="00E513B6"/>
    <w:rsid w:val="00E51E9C"/>
    <w:rsid w:val="00E52834"/>
    <w:rsid w:val="00E52C0C"/>
    <w:rsid w:val="00E53363"/>
    <w:rsid w:val="00E538CE"/>
    <w:rsid w:val="00E53F3D"/>
    <w:rsid w:val="00E549CC"/>
    <w:rsid w:val="00E55A8D"/>
    <w:rsid w:val="00E55CF7"/>
    <w:rsid w:val="00E563B9"/>
    <w:rsid w:val="00E57326"/>
    <w:rsid w:val="00E60F49"/>
    <w:rsid w:val="00E61137"/>
    <w:rsid w:val="00E61D17"/>
    <w:rsid w:val="00E61DA9"/>
    <w:rsid w:val="00E61F78"/>
    <w:rsid w:val="00E62259"/>
    <w:rsid w:val="00E63039"/>
    <w:rsid w:val="00E64842"/>
    <w:rsid w:val="00E651F4"/>
    <w:rsid w:val="00E6542A"/>
    <w:rsid w:val="00E65B61"/>
    <w:rsid w:val="00E66528"/>
    <w:rsid w:val="00E66664"/>
    <w:rsid w:val="00E66D9F"/>
    <w:rsid w:val="00E702D7"/>
    <w:rsid w:val="00E72C7E"/>
    <w:rsid w:val="00E72E8F"/>
    <w:rsid w:val="00E736C3"/>
    <w:rsid w:val="00E737CE"/>
    <w:rsid w:val="00E73B25"/>
    <w:rsid w:val="00E74319"/>
    <w:rsid w:val="00E76529"/>
    <w:rsid w:val="00E76FBD"/>
    <w:rsid w:val="00E77161"/>
    <w:rsid w:val="00E7791C"/>
    <w:rsid w:val="00E77C2E"/>
    <w:rsid w:val="00E8044D"/>
    <w:rsid w:val="00E823F0"/>
    <w:rsid w:val="00E82CAE"/>
    <w:rsid w:val="00E8310C"/>
    <w:rsid w:val="00E83153"/>
    <w:rsid w:val="00E83C14"/>
    <w:rsid w:val="00E83E06"/>
    <w:rsid w:val="00E840ED"/>
    <w:rsid w:val="00E844F9"/>
    <w:rsid w:val="00E84529"/>
    <w:rsid w:val="00E84B2D"/>
    <w:rsid w:val="00E84BD8"/>
    <w:rsid w:val="00E84DA7"/>
    <w:rsid w:val="00E84F41"/>
    <w:rsid w:val="00E851E8"/>
    <w:rsid w:val="00E85B80"/>
    <w:rsid w:val="00E86E6B"/>
    <w:rsid w:val="00E872FD"/>
    <w:rsid w:val="00E90107"/>
    <w:rsid w:val="00E902A7"/>
    <w:rsid w:val="00E93A93"/>
    <w:rsid w:val="00E94746"/>
    <w:rsid w:val="00E94F75"/>
    <w:rsid w:val="00E959C6"/>
    <w:rsid w:val="00E961CD"/>
    <w:rsid w:val="00E96C9E"/>
    <w:rsid w:val="00E976A1"/>
    <w:rsid w:val="00E97D39"/>
    <w:rsid w:val="00EA0919"/>
    <w:rsid w:val="00EA11A0"/>
    <w:rsid w:val="00EA1710"/>
    <w:rsid w:val="00EA1BA1"/>
    <w:rsid w:val="00EA1D51"/>
    <w:rsid w:val="00EA1FA7"/>
    <w:rsid w:val="00EA2630"/>
    <w:rsid w:val="00EA28F0"/>
    <w:rsid w:val="00EA4978"/>
    <w:rsid w:val="00EA52C2"/>
    <w:rsid w:val="00EA62C3"/>
    <w:rsid w:val="00EA65BD"/>
    <w:rsid w:val="00EA6C02"/>
    <w:rsid w:val="00EA70C1"/>
    <w:rsid w:val="00EA7350"/>
    <w:rsid w:val="00EA7EC8"/>
    <w:rsid w:val="00EB0490"/>
    <w:rsid w:val="00EB0CDA"/>
    <w:rsid w:val="00EB1336"/>
    <w:rsid w:val="00EB139B"/>
    <w:rsid w:val="00EB1B6B"/>
    <w:rsid w:val="00EB1E4D"/>
    <w:rsid w:val="00EB2D26"/>
    <w:rsid w:val="00EB2DA8"/>
    <w:rsid w:val="00EB39C8"/>
    <w:rsid w:val="00EB3EAF"/>
    <w:rsid w:val="00EB3F9F"/>
    <w:rsid w:val="00EB40C4"/>
    <w:rsid w:val="00EB52F5"/>
    <w:rsid w:val="00EB6434"/>
    <w:rsid w:val="00EB7659"/>
    <w:rsid w:val="00EB7A95"/>
    <w:rsid w:val="00EC04ED"/>
    <w:rsid w:val="00EC09DC"/>
    <w:rsid w:val="00EC1373"/>
    <w:rsid w:val="00EC1A5B"/>
    <w:rsid w:val="00EC1B25"/>
    <w:rsid w:val="00EC2B2C"/>
    <w:rsid w:val="00EC2B85"/>
    <w:rsid w:val="00EC2C33"/>
    <w:rsid w:val="00EC3905"/>
    <w:rsid w:val="00EC3AEE"/>
    <w:rsid w:val="00EC3B41"/>
    <w:rsid w:val="00EC5408"/>
    <w:rsid w:val="00EC6B1C"/>
    <w:rsid w:val="00EC7ED8"/>
    <w:rsid w:val="00ED007C"/>
    <w:rsid w:val="00ED062E"/>
    <w:rsid w:val="00ED1F0D"/>
    <w:rsid w:val="00ED4490"/>
    <w:rsid w:val="00ED51A6"/>
    <w:rsid w:val="00ED5C92"/>
    <w:rsid w:val="00ED689C"/>
    <w:rsid w:val="00ED6D5A"/>
    <w:rsid w:val="00ED7627"/>
    <w:rsid w:val="00EE0989"/>
    <w:rsid w:val="00EE09B0"/>
    <w:rsid w:val="00EE0CCA"/>
    <w:rsid w:val="00EE1D44"/>
    <w:rsid w:val="00EE2010"/>
    <w:rsid w:val="00EE2043"/>
    <w:rsid w:val="00EE2342"/>
    <w:rsid w:val="00EE3890"/>
    <w:rsid w:val="00EE4666"/>
    <w:rsid w:val="00EE4B00"/>
    <w:rsid w:val="00EE5883"/>
    <w:rsid w:val="00EE61E6"/>
    <w:rsid w:val="00EE6B03"/>
    <w:rsid w:val="00EE6EB7"/>
    <w:rsid w:val="00EE750B"/>
    <w:rsid w:val="00EE767F"/>
    <w:rsid w:val="00EE791E"/>
    <w:rsid w:val="00EF0196"/>
    <w:rsid w:val="00EF107A"/>
    <w:rsid w:val="00EF463B"/>
    <w:rsid w:val="00EF493C"/>
    <w:rsid w:val="00EF515E"/>
    <w:rsid w:val="00EF5588"/>
    <w:rsid w:val="00EF6594"/>
    <w:rsid w:val="00EF67B3"/>
    <w:rsid w:val="00EF72CD"/>
    <w:rsid w:val="00F00456"/>
    <w:rsid w:val="00F01195"/>
    <w:rsid w:val="00F015D7"/>
    <w:rsid w:val="00F01899"/>
    <w:rsid w:val="00F024DB"/>
    <w:rsid w:val="00F0250C"/>
    <w:rsid w:val="00F02A6B"/>
    <w:rsid w:val="00F02C37"/>
    <w:rsid w:val="00F035B6"/>
    <w:rsid w:val="00F03696"/>
    <w:rsid w:val="00F040B1"/>
    <w:rsid w:val="00F042D6"/>
    <w:rsid w:val="00F04869"/>
    <w:rsid w:val="00F04F5A"/>
    <w:rsid w:val="00F0583D"/>
    <w:rsid w:val="00F058D6"/>
    <w:rsid w:val="00F060F8"/>
    <w:rsid w:val="00F061F9"/>
    <w:rsid w:val="00F0640F"/>
    <w:rsid w:val="00F0677F"/>
    <w:rsid w:val="00F10176"/>
    <w:rsid w:val="00F1052C"/>
    <w:rsid w:val="00F1060A"/>
    <w:rsid w:val="00F113B0"/>
    <w:rsid w:val="00F15B95"/>
    <w:rsid w:val="00F15CFE"/>
    <w:rsid w:val="00F160CC"/>
    <w:rsid w:val="00F167E7"/>
    <w:rsid w:val="00F17B99"/>
    <w:rsid w:val="00F17BDA"/>
    <w:rsid w:val="00F17D31"/>
    <w:rsid w:val="00F207A7"/>
    <w:rsid w:val="00F2088F"/>
    <w:rsid w:val="00F210B4"/>
    <w:rsid w:val="00F21273"/>
    <w:rsid w:val="00F21A4F"/>
    <w:rsid w:val="00F21CB8"/>
    <w:rsid w:val="00F23BC5"/>
    <w:rsid w:val="00F24BF1"/>
    <w:rsid w:val="00F24E2F"/>
    <w:rsid w:val="00F252DF"/>
    <w:rsid w:val="00F2561F"/>
    <w:rsid w:val="00F2656A"/>
    <w:rsid w:val="00F26E6B"/>
    <w:rsid w:val="00F2789B"/>
    <w:rsid w:val="00F303C4"/>
    <w:rsid w:val="00F304C8"/>
    <w:rsid w:val="00F30551"/>
    <w:rsid w:val="00F31053"/>
    <w:rsid w:val="00F32924"/>
    <w:rsid w:val="00F33058"/>
    <w:rsid w:val="00F33DC9"/>
    <w:rsid w:val="00F3410D"/>
    <w:rsid w:val="00F3488C"/>
    <w:rsid w:val="00F35DA8"/>
    <w:rsid w:val="00F364C1"/>
    <w:rsid w:val="00F3652F"/>
    <w:rsid w:val="00F36ED5"/>
    <w:rsid w:val="00F37A66"/>
    <w:rsid w:val="00F37EE3"/>
    <w:rsid w:val="00F40AFC"/>
    <w:rsid w:val="00F411E0"/>
    <w:rsid w:val="00F4185A"/>
    <w:rsid w:val="00F42C17"/>
    <w:rsid w:val="00F42DF9"/>
    <w:rsid w:val="00F4305A"/>
    <w:rsid w:val="00F433C5"/>
    <w:rsid w:val="00F434D7"/>
    <w:rsid w:val="00F442FA"/>
    <w:rsid w:val="00F45382"/>
    <w:rsid w:val="00F45C38"/>
    <w:rsid w:val="00F4726F"/>
    <w:rsid w:val="00F4729A"/>
    <w:rsid w:val="00F47BF4"/>
    <w:rsid w:val="00F47C63"/>
    <w:rsid w:val="00F50E0E"/>
    <w:rsid w:val="00F50E88"/>
    <w:rsid w:val="00F5148F"/>
    <w:rsid w:val="00F526D5"/>
    <w:rsid w:val="00F52AFA"/>
    <w:rsid w:val="00F538D7"/>
    <w:rsid w:val="00F551CE"/>
    <w:rsid w:val="00F552F1"/>
    <w:rsid w:val="00F55889"/>
    <w:rsid w:val="00F56F52"/>
    <w:rsid w:val="00F5785F"/>
    <w:rsid w:val="00F578C2"/>
    <w:rsid w:val="00F57AEA"/>
    <w:rsid w:val="00F57E5B"/>
    <w:rsid w:val="00F57E9C"/>
    <w:rsid w:val="00F60380"/>
    <w:rsid w:val="00F60C8C"/>
    <w:rsid w:val="00F61D4C"/>
    <w:rsid w:val="00F62647"/>
    <w:rsid w:val="00F626CD"/>
    <w:rsid w:val="00F62EA7"/>
    <w:rsid w:val="00F63CC7"/>
    <w:rsid w:val="00F641F2"/>
    <w:rsid w:val="00F64689"/>
    <w:rsid w:val="00F648C6"/>
    <w:rsid w:val="00F64B2D"/>
    <w:rsid w:val="00F64F22"/>
    <w:rsid w:val="00F6528E"/>
    <w:rsid w:val="00F662D1"/>
    <w:rsid w:val="00F66420"/>
    <w:rsid w:val="00F667F9"/>
    <w:rsid w:val="00F6737F"/>
    <w:rsid w:val="00F67451"/>
    <w:rsid w:val="00F702C2"/>
    <w:rsid w:val="00F70729"/>
    <w:rsid w:val="00F70D89"/>
    <w:rsid w:val="00F7187E"/>
    <w:rsid w:val="00F738BF"/>
    <w:rsid w:val="00F739C0"/>
    <w:rsid w:val="00F73F3F"/>
    <w:rsid w:val="00F740F2"/>
    <w:rsid w:val="00F7423F"/>
    <w:rsid w:val="00F744C0"/>
    <w:rsid w:val="00F74AFF"/>
    <w:rsid w:val="00F75032"/>
    <w:rsid w:val="00F75884"/>
    <w:rsid w:val="00F7618F"/>
    <w:rsid w:val="00F76818"/>
    <w:rsid w:val="00F76F35"/>
    <w:rsid w:val="00F77156"/>
    <w:rsid w:val="00F77A13"/>
    <w:rsid w:val="00F80549"/>
    <w:rsid w:val="00F8111D"/>
    <w:rsid w:val="00F8165E"/>
    <w:rsid w:val="00F816C8"/>
    <w:rsid w:val="00F82199"/>
    <w:rsid w:val="00F822C1"/>
    <w:rsid w:val="00F83014"/>
    <w:rsid w:val="00F83219"/>
    <w:rsid w:val="00F83239"/>
    <w:rsid w:val="00F83627"/>
    <w:rsid w:val="00F84C79"/>
    <w:rsid w:val="00F84D0B"/>
    <w:rsid w:val="00F8560D"/>
    <w:rsid w:val="00F85688"/>
    <w:rsid w:val="00F85F31"/>
    <w:rsid w:val="00F8775C"/>
    <w:rsid w:val="00F87937"/>
    <w:rsid w:val="00F90474"/>
    <w:rsid w:val="00F909AF"/>
    <w:rsid w:val="00F909C5"/>
    <w:rsid w:val="00F90ADF"/>
    <w:rsid w:val="00F90DCC"/>
    <w:rsid w:val="00F91076"/>
    <w:rsid w:val="00F91C58"/>
    <w:rsid w:val="00F9260A"/>
    <w:rsid w:val="00F92A7B"/>
    <w:rsid w:val="00F92ECB"/>
    <w:rsid w:val="00F930CE"/>
    <w:rsid w:val="00F93E5A"/>
    <w:rsid w:val="00F940D2"/>
    <w:rsid w:val="00F94D22"/>
    <w:rsid w:val="00F94E5A"/>
    <w:rsid w:val="00F95458"/>
    <w:rsid w:val="00F9551B"/>
    <w:rsid w:val="00F9589C"/>
    <w:rsid w:val="00F958B5"/>
    <w:rsid w:val="00F95BB5"/>
    <w:rsid w:val="00F96374"/>
    <w:rsid w:val="00F964EE"/>
    <w:rsid w:val="00F96FD0"/>
    <w:rsid w:val="00F9739E"/>
    <w:rsid w:val="00F9794D"/>
    <w:rsid w:val="00FA04F2"/>
    <w:rsid w:val="00FA0C0C"/>
    <w:rsid w:val="00FA11EC"/>
    <w:rsid w:val="00FA1898"/>
    <w:rsid w:val="00FA2EFF"/>
    <w:rsid w:val="00FA3312"/>
    <w:rsid w:val="00FA333D"/>
    <w:rsid w:val="00FA39DD"/>
    <w:rsid w:val="00FA4D48"/>
    <w:rsid w:val="00FA5359"/>
    <w:rsid w:val="00FA5EE2"/>
    <w:rsid w:val="00FA670C"/>
    <w:rsid w:val="00FA6930"/>
    <w:rsid w:val="00FA6BDC"/>
    <w:rsid w:val="00FA6C01"/>
    <w:rsid w:val="00FA6C18"/>
    <w:rsid w:val="00FA6FFF"/>
    <w:rsid w:val="00FA706E"/>
    <w:rsid w:val="00FA7690"/>
    <w:rsid w:val="00FA76FD"/>
    <w:rsid w:val="00FB07E0"/>
    <w:rsid w:val="00FB196D"/>
    <w:rsid w:val="00FB2998"/>
    <w:rsid w:val="00FB36EC"/>
    <w:rsid w:val="00FB408B"/>
    <w:rsid w:val="00FB4753"/>
    <w:rsid w:val="00FB4E78"/>
    <w:rsid w:val="00FB506C"/>
    <w:rsid w:val="00FB510F"/>
    <w:rsid w:val="00FB5174"/>
    <w:rsid w:val="00FB5AE1"/>
    <w:rsid w:val="00FB651D"/>
    <w:rsid w:val="00FB6B77"/>
    <w:rsid w:val="00FB7F36"/>
    <w:rsid w:val="00FC1206"/>
    <w:rsid w:val="00FC2614"/>
    <w:rsid w:val="00FC2F82"/>
    <w:rsid w:val="00FC2F8C"/>
    <w:rsid w:val="00FC3834"/>
    <w:rsid w:val="00FC42BF"/>
    <w:rsid w:val="00FC52B5"/>
    <w:rsid w:val="00FC5A10"/>
    <w:rsid w:val="00FC5EC9"/>
    <w:rsid w:val="00FC6961"/>
    <w:rsid w:val="00FC7D60"/>
    <w:rsid w:val="00FD10FD"/>
    <w:rsid w:val="00FD11E5"/>
    <w:rsid w:val="00FD19F5"/>
    <w:rsid w:val="00FD2C54"/>
    <w:rsid w:val="00FD2EFE"/>
    <w:rsid w:val="00FD3B11"/>
    <w:rsid w:val="00FD5248"/>
    <w:rsid w:val="00FD6049"/>
    <w:rsid w:val="00FD6A43"/>
    <w:rsid w:val="00FD7101"/>
    <w:rsid w:val="00FD7A63"/>
    <w:rsid w:val="00FD7BCF"/>
    <w:rsid w:val="00FD7FB9"/>
    <w:rsid w:val="00FE06F8"/>
    <w:rsid w:val="00FE1717"/>
    <w:rsid w:val="00FE1A40"/>
    <w:rsid w:val="00FE1C80"/>
    <w:rsid w:val="00FE2125"/>
    <w:rsid w:val="00FE25C2"/>
    <w:rsid w:val="00FE2B68"/>
    <w:rsid w:val="00FE3EAE"/>
    <w:rsid w:val="00FE42C3"/>
    <w:rsid w:val="00FE42E9"/>
    <w:rsid w:val="00FE4D72"/>
    <w:rsid w:val="00FE587B"/>
    <w:rsid w:val="00FE6784"/>
    <w:rsid w:val="00FE6942"/>
    <w:rsid w:val="00FE6995"/>
    <w:rsid w:val="00FE751A"/>
    <w:rsid w:val="00FF2276"/>
    <w:rsid w:val="00FF2876"/>
    <w:rsid w:val="00FF3A02"/>
    <w:rsid w:val="00FF4036"/>
    <w:rsid w:val="00FF41E1"/>
    <w:rsid w:val="00FF568E"/>
    <w:rsid w:val="00FF59DA"/>
    <w:rsid w:val="00FF633F"/>
    <w:rsid w:val="00FF6A3A"/>
    <w:rsid w:val="00FF6B15"/>
    <w:rsid w:val="00FF6BBE"/>
    <w:rsid w:val="00FF6D45"/>
    <w:rsid w:val="00FF79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037E1"/>
  <w15:docId w15:val="{57B29AD0-0967-49EB-AD7D-CF17DE02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D6"/>
  </w:style>
  <w:style w:type="paragraph" w:styleId="Heading1">
    <w:name w:val="heading 1"/>
    <w:basedOn w:val="Normal"/>
    <w:next w:val="Normal"/>
    <w:link w:val="Heading1Char"/>
    <w:uiPriority w:val="9"/>
    <w:qFormat/>
    <w:rsid w:val="00F626CD"/>
    <w:pPr>
      <w:keepNext/>
      <w:keepLines/>
      <w:numPr>
        <w:numId w:val="1"/>
      </w:numPr>
      <w:spacing w:before="120" w:after="120"/>
      <w:outlineLvl w:val="0"/>
    </w:pPr>
    <w:rPr>
      <w:rFonts w:ascii="Arial" w:eastAsia="Times New Roman" w:hAnsi="Arial" w:cstheme="majorBidi"/>
      <w:b/>
      <w:sz w:val="32"/>
      <w:szCs w:val="32"/>
    </w:rPr>
  </w:style>
  <w:style w:type="paragraph" w:styleId="Heading2">
    <w:name w:val="heading 2"/>
    <w:basedOn w:val="Normal"/>
    <w:next w:val="Normal"/>
    <w:link w:val="Heading2Char"/>
    <w:uiPriority w:val="9"/>
    <w:unhideWhenUsed/>
    <w:qFormat/>
    <w:rsid w:val="000E66E5"/>
    <w:pPr>
      <w:keepNext/>
      <w:keepLines/>
      <w:numPr>
        <w:ilvl w:val="1"/>
        <w:numId w:val="1"/>
      </w:numPr>
      <w:spacing w:before="120" w:after="120" w:line="240" w:lineRule="auto"/>
      <w:outlineLvl w:val="1"/>
    </w:pPr>
    <w:rPr>
      <w:rFonts w:ascii="Arial" w:eastAsiaTheme="majorEastAsia" w:hAnsi="Arial" w:cstheme="majorBidi"/>
      <w:b/>
      <w:sz w:val="28"/>
      <w:szCs w:val="26"/>
      <w:lang w:val="en-US"/>
    </w:rPr>
  </w:style>
  <w:style w:type="paragraph" w:styleId="Heading3">
    <w:name w:val="heading 3"/>
    <w:basedOn w:val="Normal"/>
    <w:next w:val="Normal"/>
    <w:link w:val="Heading3Char"/>
    <w:uiPriority w:val="9"/>
    <w:semiHidden/>
    <w:unhideWhenUsed/>
    <w:qFormat/>
    <w:rsid w:val="00A86BD0"/>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86BD0"/>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6BD0"/>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86BD0"/>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86BD0"/>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86BD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6BD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CD"/>
    <w:rPr>
      <w:rFonts w:ascii="Arial" w:eastAsia="Times New Roman" w:hAnsi="Arial" w:cstheme="majorBidi"/>
      <w:b/>
      <w:sz w:val="32"/>
      <w:szCs w:val="32"/>
    </w:rPr>
  </w:style>
  <w:style w:type="character" w:customStyle="1" w:styleId="Heading2Char">
    <w:name w:val="Heading 2 Char"/>
    <w:basedOn w:val="DefaultParagraphFont"/>
    <w:link w:val="Heading2"/>
    <w:uiPriority w:val="9"/>
    <w:rsid w:val="000E66E5"/>
    <w:rPr>
      <w:rFonts w:ascii="Arial" w:eastAsiaTheme="majorEastAsia" w:hAnsi="Arial" w:cstheme="majorBidi"/>
      <w:b/>
      <w:sz w:val="28"/>
      <w:szCs w:val="26"/>
      <w:lang w:val="en-US"/>
    </w:rPr>
  </w:style>
  <w:style w:type="character" w:customStyle="1" w:styleId="Heading3Char">
    <w:name w:val="Heading 3 Char"/>
    <w:basedOn w:val="DefaultParagraphFont"/>
    <w:link w:val="Heading3"/>
    <w:uiPriority w:val="9"/>
    <w:semiHidden/>
    <w:rsid w:val="00A86B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86BD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86BD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86BD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86BD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86BD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6BD0"/>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CE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7A"/>
  </w:style>
  <w:style w:type="paragraph" w:styleId="Header">
    <w:name w:val="header"/>
    <w:basedOn w:val="Normal"/>
    <w:link w:val="HeaderChar"/>
    <w:uiPriority w:val="99"/>
    <w:unhideWhenUsed/>
    <w:rsid w:val="00CE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7A"/>
  </w:style>
  <w:style w:type="character" w:styleId="PageNumber">
    <w:name w:val="page number"/>
    <w:basedOn w:val="DefaultParagraphFont"/>
    <w:rsid w:val="00CE177A"/>
  </w:style>
  <w:style w:type="paragraph" w:styleId="FootnoteText">
    <w:name w:val="footnote text"/>
    <w:basedOn w:val="Normal"/>
    <w:link w:val="FootnoteTextChar1"/>
    <w:uiPriority w:val="99"/>
    <w:rsid w:val="00CE177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1">
    <w:name w:val="Footnote Text Char1"/>
    <w:link w:val="FootnoteText"/>
    <w:rsid w:val="00CE177A"/>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rsid w:val="00CE177A"/>
    <w:rPr>
      <w:sz w:val="20"/>
      <w:szCs w:val="20"/>
    </w:rPr>
  </w:style>
  <w:style w:type="character" w:styleId="FootnoteReference">
    <w:name w:val="footnote reference"/>
    <w:uiPriority w:val="99"/>
    <w:rsid w:val="00CE177A"/>
    <w:rPr>
      <w:vertAlign w:val="superscript"/>
    </w:rPr>
  </w:style>
  <w:style w:type="character" w:styleId="CommentReference">
    <w:name w:val="annotation reference"/>
    <w:basedOn w:val="DefaultParagraphFont"/>
    <w:uiPriority w:val="99"/>
    <w:unhideWhenUsed/>
    <w:rsid w:val="00CE177A"/>
    <w:rPr>
      <w:sz w:val="16"/>
      <w:szCs w:val="16"/>
    </w:rPr>
  </w:style>
  <w:style w:type="paragraph" w:styleId="ListParagraph">
    <w:name w:val="List Paragraph"/>
    <w:basedOn w:val="Normal"/>
    <w:uiPriority w:val="34"/>
    <w:qFormat/>
    <w:rsid w:val="00CE177A"/>
    <w:pPr>
      <w:ind w:left="720"/>
      <w:contextualSpacing/>
    </w:pPr>
  </w:style>
  <w:style w:type="paragraph" w:customStyle="1" w:styleId="Default">
    <w:name w:val="Default"/>
    <w:rsid w:val="00CE177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CE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7A"/>
    <w:rPr>
      <w:rFonts w:ascii="Tahoma" w:hAnsi="Tahoma" w:cs="Tahoma"/>
      <w:sz w:val="16"/>
      <w:szCs w:val="16"/>
    </w:rPr>
  </w:style>
  <w:style w:type="paragraph" w:styleId="CommentText">
    <w:name w:val="annotation text"/>
    <w:basedOn w:val="Normal"/>
    <w:link w:val="CommentTextChar"/>
    <w:uiPriority w:val="99"/>
    <w:unhideWhenUsed/>
    <w:rsid w:val="004703C3"/>
    <w:pPr>
      <w:spacing w:line="240" w:lineRule="auto"/>
    </w:pPr>
    <w:rPr>
      <w:sz w:val="20"/>
      <w:szCs w:val="20"/>
    </w:rPr>
  </w:style>
  <w:style w:type="character" w:customStyle="1" w:styleId="CommentTextChar">
    <w:name w:val="Comment Text Char"/>
    <w:basedOn w:val="DefaultParagraphFont"/>
    <w:link w:val="CommentText"/>
    <w:uiPriority w:val="99"/>
    <w:rsid w:val="004703C3"/>
    <w:rPr>
      <w:sz w:val="20"/>
      <w:szCs w:val="20"/>
    </w:rPr>
  </w:style>
  <w:style w:type="paragraph" w:styleId="CommentSubject">
    <w:name w:val="annotation subject"/>
    <w:basedOn w:val="CommentText"/>
    <w:next w:val="CommentText"/>
    <w:link w:val="CommentSubjectChar"/>
    <w:uiPriority w:val="99"/>
    <w:semiHidden/>
    <w:unhideWhenUsed/>
    <w:rsid w:val="004703C3"/>
    <w:rPr>
      <w:b/>
      <w:bCs/>
    </w:rPr>
  </w:style>
  <w:style w:type="character" w:customStyle="1" w:styleId="CommentSubjectChar">
    <w:name w:val="Comment Subject Char"/>
    <w:basedOn w:val="CommentTextChar"/>
    <w:link w:val="CommentSubject"/>
    <w:uiPriority w:val="99"/>
    <w:semiHidden/>
    <w:rsid w:val="004703C3"/>
    <w:rPr>
      <w:b/>
      <w:bCs/>
      <w:sz w:val="20"/>
      <w:szCs w:val="20"/>
    </w:rPr>
  </w:style>
  <w:style w:type="character" w:styleId="Hyperlink">
    <w:name w:val="Hyperlink"/>
    <w:basedOn w:val="DefaultParagraphFont"/>
    <w:uiPriority w:val="99"/>
    <w:unhideWhenUsed/>
    <w:rsid w:val="00C777F9"/>
    <w:rPr>
      <w:color w:val="0000FF" w:themeColor="hyperlink"/>
      <w:u w:val="single"/>
    </w:rPr>
  </w:style>
  <w:style w:type="paragraph" w:styleId="Revision">
    <w:name w:val="Revision"/>
    <w:hidden/>
    <w:uiPriority w:val="99"/>
    <w:semiHidden/>
    <w:rsid w:val="00AC64B4"/>
    <w:pPr>
      <w:spacing w:after="0" w:line="240" w:lineRule="auto"/>
    </w:pPr>
  </w:style>
  <w:style w:type="paragraph" w:styleId="TOC1">
    <w:name w:val="toc 1"/>
    <w:basedOn w:val="Normal"/>
    <w:next w:val="Normal"/>
    <w:autoRedefine/>
    <w:uiPriority w:val="39"/>
    <w:unhideWhenUsed/>
    <w:rsid w:val="00362B19"/>
    <w:pPr>
      <w:spacing w:after="100"/>
    </w:pPr>
  </w:style>
  <w:style w:type="paragraph" w:styleId="TOC2">
    <w:name w:val="toc 2"/>
    <w:basedOn w:val="Normal"/>
    <w:next w:val="Normal"/>
    <w:autoRedefine/>
    <w:uiPriority w:val="39"/>
    <w:unhideWhenUsed/>
    <w:rsid w:val="00362B19"/>
    <w:pPr>
      <w:spacing w:after="100"/>
      <w:ind w:left="220"/>
    </w:pPr>
  </w:style>
  <w:style w:type="table" w:styleId="TableGrid">
    <w:name w:val="Table Grid"/>
    <w:basedOn w:val="TableNormal"/>
    <w:uiPriority w:val="39"/>
    <w:rsid w:val="00684F3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F4DD9"/>
    <w:pPr>
      <w:autoSpaceDE w:val="0"/>
      <w:autoSpaceDN w:val="0"/>
      <w:adjustRightInd w:val="0"/>
      <w:spacing w:after="12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8F4DD9"/>
    <w:rPr>
      <w:rFonts w:ascii="Arial" w:eastAsia="Times New Roman" w:hAnsi="Arial" w:cs="Times New Roman"/>
      <w:szCs w:val="20"/>
    </w:rPr>
  </w:style>
  <w:style w:type="character" w:styleId="FollowedHyperlink">
    <w:name w:val="FollowedHyperlink"/>
    <w:basedOn w:val="DefaultParagraphFont"/>
    <w:uiPriority w:val="99"/>
    <w:semiHidden/>
    <w:unhideWhenUsed/>
    <w:rsid w:val="00280D92"/>
    <w:rPr>
      <w:color w:val="800080" w:themeColor="followedHyperlink"/>
      <w:u w:val="single"/>
    </w:rPr>
  </w:style>
  <w:style w:type="paragraph" w:styleId="BodyText">
    <w:name w:val="Body Text"/>
    <w:basedOn w:val="Normal"/>
    <w:link w:val="BodyTextChar"/>
    <w:uiPriority w:val="99"/>
    <w:semiHidden/>
    <w:unhideWhenUsed/>
    <w:rsid w:val="00280D92"/>
    <w:pPr>
      <w:spacing w:after="120"/>
    </w:pPr>
  </w:style>
  <w:style w:type="character" w:customStyle="1" w:styleId="BodyTextChar">
    <w:name w:val="Body Text Char"/>
    <w:basedOn w:val="DefaultParagraphFont"/>
    <w:link w:val="BodyText"/>
    <w:uiPriority w:val="99"/>
    <w:semiHidden/>
    <w:rsid w:val="00280D92"/>
  </w:style>
  <w:style w:type="paragraph" w:styleId="NoSpacing">
    <w:name w:val="No Spacing"/>
    <w:uiPriority w:val="1"/>
    <w:qFormat/>
    <w:rsid w:val="00835660"/>
    <w:pPr>
      <w:spacing w:after="0" w:line="240" w:lineRule="auto"/>
    </w:pPr>
    <w:rPr>
      <w:rFonts w:ascii="Times New Roman" w:hAnsi="Times New Roman"/>
      <w:sz w:val="24"/>
    </w:rPr>
  </w:style>
  <w:style w:type="paragraph" w:customStyle="1" w:styleId="section">
    <w:name w:val="section"/>
    <w:basedOn w:val="Normal"/>
    <w:rsid w:val="000E77AD"/>
    <w:pPr>
      <w:spacing w:after="0" w:line="240" w:lineRule="auto"/>
    </w:pPr>
    <w:rPr>
      <w:rFonts w:ascii="inherit" w:eastAsia="Times New Roman" w:hAnsi="inherit" w:cs="Times New Roman"/>
      <w:sz w:val="24"/>
      <w:szCs w:val="24"/>
      <w:lang w:val="en-US"/>
    </w:rPr>
  </w:style>
  <w:style w:type="paragraph" w:customStyle="1" w:styleId="paragraph">
    <w:name w:val="paragraph"/>
    <w:basedOn w:val="Normal"/>
    <w:rsid w:val="000E77AD"/>
    <w:pPr>
      <w:spacing w:after="0" w:line="240" w:lineRule="auto"/>
    </w:pPr>
    <w:rPr>
      <w:rFonts w:ascii="inherit" w:eastAsia="Times New Roman" w:hAnsi="inheri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79170">
      <w:bodyDiv w:val="1"/>
      <w:marLeft w:val="0"/>
      <w:marRight w:val="0"/>
      <w:marTop w:val="0"/>
      <w:marBottom w:val="0"/>
      <w:divBdr>
        <w:top w:val="none" w:sz="0" w:space="0" w:color="auto"/>
        <w:left w:val="none" w:sz="0" w:space="0" w:color="auto"/>
        <w:bottom w:val="none" w:sz="0" w:space="0" w:color="auto"/>
        <w:right w:val="none" w:sz="0" w:space="0" w:color="auto"/>
      </w:divBdr>
    </w:div>
    <w:div w:id="327097205">
      <w:bodyDiv w:val="1"/>
      <w:marLeft w:val="0"/>
      <w:marRight w:val="0"/>
      <w:marTop w:val="0"/>
      <w:marBottom w:val="0"/>
      <w:divBdr>
        <w:top w:val="none" w:sz="0" w:space="0" w:color="auto"/>
        <w:left w:val="none" w:sz="0" w:space="0" w:color="auto"/>
        <w:bottom w:val="none" w:sz="0" w:space="0" w:color="auto"/>
        <w:right w:val="none" w:sz="0" w:space="0" w:color="auto"/>
      </w:divBdr>
    </w:div>
    <w:div w:id="491606345">
      <w:bodyDiv w:val="1"/>
      <w:marLeft w:val="0"/>
      <w:marRight w:val="0"/>
      <w:marTop w:val="0"/>
      <w:marBottom w:val="0"/>
      <w:divBdr>
        <w:top w:val="none" w:sz="0" w:space="0" w:color="auto"/>
        <w:left w:val="none" w:sz="0" w:space="0" w:color="auto"/>
        <w:bottom w:val="none" w:sz="0" w:space="0" w:color="auto"/>
        <w:right w:val="none" w:sz="0" w:space="0" w:color="auto"/>
      </w:divBdr>
    </w:div>
    <w:div w:id="522061014">
      <w:bodyDiv w:val="1"/>
      <w:marLeft w:val="0"/>
      <w:marRight w:val="0"/>
      <w:marTop w:val="0"/>
      <w:marBottom w:val="0"/>
      <w:divBdr>
        <w:top w:val="none" w:sz="0" w:space="0" w:color="auto"/>
        <w:left w:val="none" w:sz="0" w:space="0" w:color="auto"/>
        <w:bottom w:val="none" w:sz="0" w:space="0" w:color="auto"/>
        <w:right w:val="none" w:sz="0" w:space="0" w:color="auto"/>
      </w:divBdr>
    </w:div>
    <w:div w:id="613293707">
      <w:bodyDiv w:val="1"/>
      <w:marLeft w:val="0"/>
      <w:marRight w:val="0"/>
      <w:marTop w:val="0"/>
      <w:marBottom w:val="0"/>
      <w:divBdr>
        <w:top w:val="none" w:sz="0" w:space="0" w:color="auto"/>
        <w:left w:val="none" w:sz="0" w:space="0" w:color="auto"/>
        <w:bottom w:val="none" w:sz="0" w:space="0" w:color="auto"/>
        <w:right w:val="none" w:sz="0" w:space="0" w:color="auto"/>
      </w:divBdr>
    </w:div>
    <w:div w:id="901333601">
      <w:bodyDiv w:val="1"/>
      <w:marLeft w:val="0"/>
      <w:marRight w:val="0"/>
      <w:marTop w:val="0"/>
      <w:marBottom w:val="0"/>
      <w:divBdr>
        <w:top w:val="none" w:sz="0" w:space="0" w:color="auto"/>
        <w:left w:val="none" w:sz="0" w:space="0" w:color="auto"/>
        <w:bottom w:val="none" w:sz="0" w:space="0" w:color="auto"/>
        <w:right w:val="none" w:sz="0" w:space="0" w:color="auto"/>
      </w:divBdr>
    </w:div>
    <w:div w:id="1019820705">
      <w:bodyDiv w:val="1"/>
      <w:marLeft w:val="0"/>
      <w:marRight w:val="0"/>
      <w:marTop w:val="0"/>
      <w:marBottom w:val="0"/>
      <w:divBdr>
        <w:top w:val="none" w:sz="0" w:space="0" w:color="auto"/>
        <w:left w:val="none" w:sz="0" w:space="0" w:color="auto"/>
        <w:bottom w:val="none" w:sz="0" w:space="0" w:color="auto"/>
        <w:right w:val="none" w:sz="0" w:space="0" w:color="auto"/>
      </w:divBdr>
    </w:div>
    <w:div w:id="1263344399">
      <w:bodyDiv w:val="1"/>
      <w:marLeft w:val="0"/>
      <w:marRight w:val="0"/>
      <w:marTop w:val="0"/>
      <w:marBottom w:val="0"/>
      <w:divBdr>
        <w:top w:val="none" w:sz="0" w:space="0" w:color="auto"/>
        <w:left w:val="none" w:sz="0" w:space="0" w:color="auto"/>
        <w:bottom w:val="none" w:sz="0" w:space="0" w:color="auto"/>
        <w:right w:val="none" w:sz="0" w:space="0" w:color="auto"/>
      </w:divBdr>
    </w:div>
    <w:div w:id="1487550096">
      <w:bodyDiv w:val="1"/>
      <w:marLeft w:val="0"/>
      <w:marRight w:val="0"/>
      <w:marTop w:val="0"/>
      <w:marBottom w:val="0"/>
      <w:divBdr>
        <w:top w:val="none" w:sz="0" w:space="0" w:color="auto"/>
        <w:left w:val="none" w:sz="0" w:space="0" w:color="auto"/>
        <w:bottom w:val="none" w:sz="0" w:space="0" w:color="auto"/>
        <w:right w:val="none" w:sz="0" w:space="0" w:color="auto"/>
      </w:divBdr>
    </w:div>
    <w:div w:id="1493134351">
      <w:bodyDiv w:val="1"/>
      <w:marLeft w:val="0"/>
      <w:marRight w:val="0"/>
      <w:marTop w:val="0"/>
      <w:marBottom w:val="0"/>
      <w:divBdr>
        <w:top w:val="none" w:sz="0" w:space="0" w:color="auto"/>
        <w:left w:val="none" w:sz="0" w:space="0" w:color="auto"/>
        <w:bottom w:val="none" w:sz="0" w:space="0" w:color="auto"/>
        <w:right w:val="none" w:sz="0" w:space="0" w:color="auto"/>
      </w:divBdr>
    </w:div>
    <w:div w:id="1537812595">
      <w:bodyDiv w:val="1"/>
      <w:marLeft w:val="0"/>
      <w:marRight w:val="0"/>
      <w:marTop w:val="0"/>
      <w:marBottom w:val="0"/>
      <w:divBdr>
        <w:top w:val="none" w:sz="0" w:space="0" w:color="auto"/>
        <w:left w:val="none" w:sz="0" w:space="0" w:color="auto"/>
        <w:bottom w:val="none" w:sz="0" w:space="0" w:color="auto"/>
        <w:right w:val="none" w:sz="0" w:space="0" w:color="auto"/>
      </w:divBdr>
    </w:div>
    <w:div w:id="1617252180">
      <w:bodyDiv w:val="1"/>
      <w:marLeft w:val="0"/>
      <w:marRight w:val="0"/>
      <w:marTop w:val="0"/>
      <w:marBottom w:val="0"/>
      <w:divBdr>
        <w:top w:val="none" w:sz="0" w:space="0" w:color="auto"/>
        <w:left w:val="none" w:sz="0" w:space="0" w:color="auto"/>
        <w:bottom w:val="none" w:sz="0" w:space="0" w:color="auto"/>
        <w:right w:val="none" w:sz="0" w:space="0" w:color="auto"/>
      </w:divBdr>
    </w:div>
    <w:div w:id="1651397702">
      <w:bodyDiv w:val="1"/>
      <w:marLeft w:val="0"/>
      <w:marRight w:val="0"/>
      <w:marTop w:val="0"/>
      <w:marBottom w:val="0"/>
      <w:divBdr>
        <w:top w:val="none" w:sz="0" w:space="0" w:color="auto"/>
        <w:left w:val="none" w:sz="0" w:space="0" w:color="auto"/>
        <w:bottom w:val="none" w:sz="0" w:space="0" w:color="auto"/>
        <w:right w:val="none" w:sz="0" w:space="0" w:color="auto"/>
      </w:divBdr>
    </w:div>
    <w:div w:id="1683780784">
      <w:bodyDiv w:val="1"/>
      <w:marLeft w:val="0"/>
      <w:marRight w:val="0"/>
      <w:marTop w:val="0"/>
      <w:marBottom w:val="0"/>
      <w:divBdr>
        <w:top w:val="none" w:sz="0" w:space="0" w:color="auto"/>
        <w:left w:val="none" w:sz="0" w:space="0" w:color="auto"/>
        <w:bottom w:val="none" w:sz="0" w:space="0" w:color="auto"/>
        <w:right w:val="none" w:sz="0" w:space="0" w:color="auto"/>
      </w:divBdr>
    </w:div>
    <w:div w:id="1888949020">
      <w:bodyDiv w:val="1"/>
      <w:marLeft w:val="0"/>
      <w:marRight w:val="0"/>
      <w:marTop w:val="0"/>
      <w:marBottom w:val="0"/>
      <w:divBdr>
        <w:top w:val="none" w:sz="0" w:space="0" w:color="auto"/>
        <w:left w:val="none" w:sz="0" w:space="0" w:color="auto"/>
        <w:bottom w:val="none" w:sz="0" w:space="0" w:color="auto"/>
        <w:right w:val="none" w:sz="0" w:space="0" w:color="auto"/>
      </w:divBdr>
    </w:div>
    <w:div w:id="2051761395">
      <w:bodyDiv w:val="1"/>
      <w:marLeft w:val="0"/>
      <w:marRight w:val="0"/>
      <w:marTop w:val="0"/>
      <w:marBottom w:val="0"/>
      <w:divBdr>
        <w:top w:val="none" w:sz="0" w:space="0" w:color="auto"/>
        <w:left w:val="none" w:sz="0" w:space="0" w:color="auto"/>
        <w:bottom w:val="none" w:sz="0" w:space="0" w:color="auto"/>
        <w:right w:val="none" w:sz="0" w:space="0" w:color="auto"/>
      </w:divBdr>
      <w:divsChild>
        <w:div w:id="688992899">
          <w:marLeft w:val="0"/>
          <w:marRight w:val="0"/>
          <w:marTop w:val="0"/>
          <w:marBottom w:val="0"/>
          <w:divBdr>
            <w:top w:val="none" w:sz="0" w:space="0" w:color="auto"/>
            <w:left w:val="none" w:sz="0" w:space="0" w:color="auto"/>
            <w:bottom w:val="none" w:sz="0" w:space="0" w:color="auto"/>
            <w:right w:val="none" w:sz="0" w:space="0" w:color="auto"/>
          </w:divBdr>
        </w:div>
        <w:div w:id="1379432070">
          <w:marLeft w:val="0"/>
          <w:marRight w:val="0"/>
          <w:marTop w:val="0"/>
          <w:marBottom w:val="0"/>
          <w:divBdr>
            <w:top w:val="none" w:sz="0" w:space="0" w:color="auto"/>
            <w:left w:val="none" w:sz="0" w:space="0" w:color="auto"/>
            <w:bottom w:val="none" w:sz="0" w:space="0" w:color="auto"/>
            <w:right w:val="none" w:sz="0" w:space="0" w:color="auto"/>
          </w:divBdr>
        </w:div>
        <w:div w:id="446582022">
          <w:marLeft w:val="0"/>
          <w:marRight w:val="0"/>
          <w:marTop w:val="0"/>
          <w:marBottom w:val="0"/>
          <w:divBdr>
            <w:top w:val="none" w:sz="0" w:space="0" w:color="auto"/>
            <w:left w:val="none" w:sz="0" w:space="0" w:color="auto"/>
            <w:bottom w:val="none" w:sz="0" w:space="0" w:color="auto"/>
            <w:right w:val="none" w:sz="0" w:space="0" w:color="auto"/>
          </w:divBdr>
        </w:div>
        <w:div w:id="1869757602">
          <w:marLeft w:val="0"/>
          <w:marRight w:val="0"/>
          <w:marTop w:val="0"/>
          <w:marBottom w:val="0"/>
          <w:divBdr>
            <w:top w:val="none" w:sz="0" w:space="0" w:color="auto"/>
            <w:left w:val="none" w:sz="0" w:space="0" w:color="auto"/>
            <w:bottom w:val="none" w:sz="0" w:space="0" w:color="auto"/>
            <w:right w:val="none" w:sz="0" w:space="0" w:color="auto"/>
          </w:divBdr>
        </w:div>
        <w:div w:id="537739949">
          <w:marLeft w:val="0"/>
          <w:marRight w:val="0"/>
          <w:marTop w:val="0"/>
          <w:marBottom w:val="0"/>
          <w:divBdr>
            <w:top w:val="none" w:sz="0" w:space="0" w:color="auto"/>
            <w:left w:val="none" w:sz="0" w:space="0" w:color="auto"/>
            <w:bottom w:val="none" w:sz="0" w:space="0" w:color="auto"/>
            <w:right w:val="none" w:sz="0" w:space="0" w:color="auto"/>
          </w:divBdr>
        </w:div>
      </w:divsChild>
    </w:div>
    <w:div w:id="2090344690">
      <w:bodyDiv w:val="1"/>
      <w:marLeft w:val="0"/>
      <w:marRight w:val="0"/>
      <w:marTop w:val="0"/>
      <w:marBottom w:val="0"/>
      <w:divBdr>
        <w:top w:val="none" w:sz="0" w:space="0" w:color="auto"/>
        <w:left w:val="none" w:sz="0" w:space="0" w:color="auto"/>
        <w:bottom w:val="none" w:sz="0" w:space="0" w:color="auto"/>
        <w:right w:val="none" w:sz="0" w:space="0" w:color="auto"/>
      </w:divBdr>
    </w:div>
    <w:div w:id="2090807976">
      <w:bodyDiv w:val="1"/>
      <w:marLeft w:val="0"/>
      <w:marRight w:val="0"/>
      <w:marTop w:val="0"/>
      <w:marBottom w:val="0"/>
      <w:divBdr>
        <w:top w:val="none" w:sz="0" w:space="0" w:color="auto"/>
        <w:left w:val="none" w:sz="0" w:space="0" w:color="auto"/>
        <w:bottom w:val="none" w:sz="0" w:space="0" w:color="auto"/>
        <w:right w:val="none" w:sz="0" w:space="0" w:color="auto"/>
      </w:divBdr>
    </w:div>
    <w:div w:id="2145654380">
      <w:bodyDiv w:val="1"/>
      <w:marLeft w:val="0"/>
      <w:marRight w:val="0"/>
      <w:marTop w:val="0"/>
      <w:marBottom w:val="0"/>
      <w:divBdr>
        <w:top w:val="none" w:sz="0" w:space="0" w:color="auto"/>
        <w:left w:val="none" w:sz="0" w:space="0" w:color="auto"/>
        <w:bottom w:val="none" w:sz="0" w:space="0" w:color="auto"/>
        <w:right w:val="none" w:sz="0" w:space="0" w:color="auto"/>
      </w:divBdr>
      <w:divsChild>
        <w:div w:id="601112101">
          <w:marLeft w:val="0"/>
          <w:marRight w:val="0"/>
          <w:marTop w:val="0"/>
          <w:marBottom w:val="0"/>
          <w:divBdr>
            <w:top w:val="none" w:sz="0" w:space="0" w:color="auto"/>
            <w:left w:val="none" w:sz="0" w:space="0" w:color="auto"/>
            <w:bottom w:val="none" w:sz="0" w:space="0" w:color="auto"/>
            <w:right w:val="none" w:sz="0" w:space="0" w:color="auto"/>
          </w:divBdr>
        </w:div>
        <w:div w:id="50352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1164-D41D-4928-8A3D-EE6D9291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5681</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Georgette Vlahos</dc:creator>
  <cp:lastModifiedBy>Tandem Energy Services</cp:lastModifiedBy>
  <cp:revision>4</cp:revision>
  <cp:lastPrinted>2019-02-28T23:19:00Z</cp:lastPrinted>
  <dcterms:created xsi:type="dcterms:W3CDTF">2019-04-09T01:36:00Z</dcterms:created>
  <dcterms:modified xsi:type="dcterms:W3CDTF">2019-04-09T01:45:00Z</dcterms:modified>
</cp:coreProperties>
</file>