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03" w:rsidRDefault="00586303" w:rsidP="001579DC">
      <w:pPr>
        <w:pStyle w:val="Default"/>
        <w:spacing w:line="276" w:lineRule="auto"/>
      </w:pPr>
    </w:p>
    <w:p w:rsidR="00586303" w:rsidRPr="001579DC" w:rsidRDefault="00586303" w:rsidP="001579DC">
      <w:pPr>
        <w:pStyle w:val="Default"/>
        <w:spacing w:line="276" w:lineRule="auto"/>
        <w:jc w:val="center"/>
        <w:rPr>
          <w:sz w:val="28"/>
          <w:szCs w:val="28"/>
        </w:rPr>
      </w:pPr>
      <w:r w:rsidRPr="001579DC">
        <w:rPr>
          <w:b/>
          <w:bCs/>
          <w:sz w:val="28"/>
          <w:szCs w:val="28"/>
        </w:rPr>
        <w:t>North Bay (Espanola) Acquisition Inc</w:t>
      </w:r>
    </w:p>
    <w:p w:rsidR="00586303" w:rsidRPr="001579DC" w:rsidRDefault="00586303" w:rsidP="001579DC">
      <w:pPr>
        <w:pStyle w:val="Default"/>
        <w:spacing w:line="276" w:lineRule="auto"/>
        <w:jc w:val="center"/>
        <w:rPr>
          <w:sz w:val="28"/>
          <w:szCs w:val="28"/>
        </w:rPr>
      </w:pPr>
      <w:r w:rsidRPr="001579DC">
        <w:rPr>
          <w:b/>
          <w:bCs/>
          <w:sz w:val="28"/>
          <w:szCs w:val="28"/>
        </w:rPr>
        <w:t>EB-2019-0015</w:t>
      </w:r>
    </w:p>
    <w:p w:rsidR="00586303" w:rsidRPr="001579DC" w:rsidRDefault="00586303" w:rsidP="001579DC">
      <w:pPr>
        <w:pStyle w:val="Default"/>
        <w:spacing w:line="276" w:lineRule="auto"/>
        <w:jc w:val="center"/>
        <w:rPr>
          <w:sz w:val="28"/>
          <w:szCs w:val="28"/>
        </w:rPr>
      </w:pPr>
      <w:r w:rsidRPr="001579DC">
        <w:rPr>
          <w:b/>
          <w:bCs/>
          <w:sz w:val="28"/>
          <w:szCs w:val="28"/>
        </w:rPr>
        <w:t>Procedural Order No. 3</w:t>
      </w:r>
    </w:p>
    <w:p w:rsidR="00586303" w:rsidRPr="001579DC" w:rsidRDefault="00586303" w:rsidP="001579DC">
      <w:pPr>
        <w:pStyle w:val="Default"/>
        <w:spacing w:line="276" w:lineRule="auto"/>
        <w:jc w:val="center"/>
        <w:rPr>
          <w:sz w:val="28"/>
          <w:szCs w:val="28"/>
        </w:rPr>
      </w:pPr>
      <w:r w:rsidRPr="001579DC">
        <w:rPr>
          <w:b/>
          <w:bCs/>
          <w:sz w:val="28"/>
          <w:szCs w:val="28"/>
        </w:rPr>
        <w:t>Donald D. Rennick</w:t>
      </w:r>
      <w:r w:rsidR="001579DC">
        <w:rPr>
          <w:b/>
          <w:bCs/>
          <w:sz w:val="28"/>
          <w:szCs w:val="28"/>
        </w:rPr>
        <w:t xml:space="preserve"> -</w:t>
      </w:r>
      <w:r w:rsidRPr="001579DC">
        <w:rPr>
          <w:b/>
          <w:bCs/>
          <w:sz w:val="28"/>
          <w:szCs w:val="28"/>
        </w:rPr>
        <w:t xml:space="preserve"> </w:t>
      </w:r>
      <w:r w:rsidR="001D164B" w:rsidRPr="001579DC">
        <w:rPr>
          <w:b/>
          <w:bCs/>
          <w:sz w:val="28"/>
          <w:szCs w:val="28"/>
        </w:rPr>
        <w:t xml:space="preserve">Reply </w:t>
      </w:r>
      <w:r w:rsidRPr="001579DC">
        <w:rPr>
          <w:b/>
          <w:bCs/>
          <w:sz w:val="28"/>
          <w:szCs w:val="28"/>
        </w:rPr>
        <w:t>Submissions</w:t>
      </w:r>
    </w:p>
    <w:p w:rsidR="00586303" w:rsidRPr="001579DC" w:rsidRDefault="00586303" w:rsidP="001579DC">
      <w:pPr>
        <w:pStyle w:val="Default"/>
        <w:spacing w:line="276" w:lineRule="auto"/>
        <w:jc w:val="center"/>
        <w:rPr>
          <w:sz w:val="28"/>
          <w:szCs w:val="28"/>
        </w:rPr>
      </w:pPr>
      <w:r w:rsidRPr="001579DC">
        <w:rPr>
          <w:b/>
          <w:bCs/>
          <w:sz w:val="28"/>
          <w:szCs w:val="28"/>
        </w:rPr>
        <w:t xml:space="preserve">May </w:t>
      </w:r>
      <w:r w:rsidR="001D164B" w:rsidRPr="001579DC">
        <w:rPr>
          <w:b/>
          <w:bCs/>
          <w:sz w:val="28"/>
          <w:szCs w:val="28"/>
        </w:rPr>
        <w:t>23</w:t>
      </w:r>
      <w:r w:rsidRPr="001579DC">
        <w:rPr>
          <w:b/>
          <w:bCs/>
          <w:sz w:val="28"/>
          <w:szCs w:val="28"/>
        </w:rPr>
        <w:t>, 2019</w:t>
      </w:r>
    </w:p>
    <w:p w:rsidR="00586303" w:rsidRDefault="00586303" w:rsidP="001579DC">
      <w:pPr>
        <w:rPr>
          <w:sz w:val="23"/>
          <w:szCs w:val="23"/>
        </w:rPr>
      </w:pPr>
    </w:p>
    <w:p w:rsidR="00C5093D" w:rsidRDefault="00C5093D" w:rsidP="001579DC">
      <w:pPr>
        <w:rPr>
          <w:rFonts w:ascii="Arial" w:hAnsi="Arial" w:cs="Arial"/>
          <w:sz w:val="24"/>
          <w:szCs w:val="24"/>
        </w:rPr>
      </w:pPr>
      <w:r w:rsidRPr="00C5093D">
        <w:rPr>
          <w:rFonts w:ascii="Arial" w:hAnsi="Arial" w:cs="Arial"/>
          <w:b/>
          <w:sz w:val="24"/>
          <w:szCs w:val="24"/>
        </w:rPr>
        <w:t>Preamble</w:t>
      </w:r>
    </w:p>
    <w:p w:rsidR="00116958" w:rsidRDefault="00C5093D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182CFC">
        <w:rPr>
          <w:rFonts w:ascii="Arial" w:hAnsi="Arial" w:cs="Arial"/>
          <w:sz w:val="24"/>
          <w:szCs w:val="24"/>
        </w:rPr>
        <w:t xml:space="preserve">e purpose of this </w:t>
      </w:r>
      <w:r w:rsidR="0080303B">
        <w:rPr>
          <w:rFonts w:ascii="Arial" w:hAnsi="Arial" w:cs="Arial"/>
          <w:sz w:val="24"/>
          <w:szCs w:val="24"/>
        </w:rPr>
        <w:t xml:space="preserve">motion </w:t>
      </w:r>
      <w:r w:rsidR="008403D4">
        <w:rPr>
          <w:rFonts w:ascii="Arial" w:hAnsi="Arial" w:cs="Arial"/>
          <w:sz w:val="24"/>
          <w:szCs w:val="24"/>
        </w:rPr>
        <w:t xml:space="preserve">and the </w:t>
      </w:r>
      <w:r w:rsidR="001226B7">
        <w:rPr>
          <w:rFonts w:ascii="Arial" w:hAnsi="Arial" w:cs="Arial"/>
          <w:sz w:val="24"/>
          <w:szCs w:val="24"/>
        </w:rPr>
        <w:t>queries</w:t>
      </w:r>
      <w:r w:rsidR="00393B73">
        <w:rPr>
          <w:rFonts w:ascii="Arial" w:hAnsi="Arial" w:cs="Arial"/>
          <w:sz w:val="24"/>
          <w:szCs w:val="24"/>
        </w:rPr>
        <w:t xml:space="preserve"> </w:t>
      </w:r>
      <w:r w:rsidR="008403D4">
        <w:rPr>
          <w:rFonts w:ascii="Arial" w:hAnsi="Arial" w:cs="Arial"/>
          <w:sz w:val="24"/>
          <w:szCs w:val="24"/>
        </w:rPr>
        <w:t xml:space="preserve">made </w:t>
      </w:r>
      <w:r w:rsidR="00393B73">
        <w:rPr>
          <w:rFonts w:ascii="Arial" w:hAnsi="Arial" w:cs="Arial"/>
          <w:sz w:val="24"/>
          <w:szCs w:val="24"/>
        </w:rPr>
        <w:t>w</w:t>
      </w:r>
      <w:r w:rsidR="00EE27E9">
        <w:rPr>
          <w:rFonts w:ascii="Arial" w:hAnsi="Arial" w:cs="Arial"/>
          <w:sz w:val="24"/>
          <w:szCs w:val="24"/>
        </w:rPr>
        <w:t>ere</w:t>
      </w:r>
      <w:r w:rsidR="00393B73">
        <w:rPr>
          <w:rFonts w:ascii="Arial" w:hAnsi="Arial" w:cs="Arial"/>
          <w:sz w:val="24"/>
          <w:szCs w:val="24"/>
        </w:rPr>
        <w:t xml:space="preserve"> </w:t>
      </w:r>
      <w:r w:rsidR="008403D4">
        <w:rPr>
          <w:rFonts w:ascii="Arial" w:hAnsi="Arial" w:cs="Arial"/>
          <w:sz w:val="24"/>
          <w:szCs w:val="24"/>
        </w:rPr>
        <w:t>not related to any agreement o</w:t>
      </w:r>
      <w:r w:rsidR="004A6CB2">
        <w:rPr>
          <w:rFonts w:ascii="Arial" w:hAnsi="Arial" w:cs="Arial"/>
          <w:sz w:val="24"/>
          <w:szCs w:val="24"/>
        </w:rPr>
        <w:t>r</w:t>
      </w:r>
      <w:r w:rsidR="008403D4">
        <w:rPr>
          <w:rFonts w:ascii="Arial" w:hAnsi="Arial" w:cs="Arial"/>
          <w:sz w:val="24"/>
          <w:szCs w:val="24"/>
        </w:rPr>
        <w:t xml:space="preserve"> disagreement with the </w:t>
      </w:r>
      <w:r w:rsidR="00393B73">
        <w:rPr>
          <w:rFonts w:ascii="Arial" w:hAnsi="Arial" w:cs="Arial"/>
          <w:sz w:val="24"/>
          <w:szCs w:val="24"/>
        </w:rPr>
        <w:t>IRR’s submitte</w:t>
      </w:r>
      <w:r w:rsidR="00AA3261">
        <w:rPr>
          <w:rFonts w:ascii="Arial" w:hAnsi="Arial" w:cs="Arial"/>
          <w:sz w:val="24"/>
          <w:szCs w:val="24"/>
        </w:rPr>
        <w:t xml:space="preserve">d by the </w:t>
      </w:r>
      <w:r w:rsidR="00EB7CBB">
        <w:rPr>
          <w:rFonts w:ascii="Arial" w:hAnsi="Arial" w:cs="Arial"/>
          <w:sz w:val="24"/>
          <w:szCs w:val="24"/>
        </w:rPr>
        <w:t>Applicant</w:t>
      </w:r>
      <w:r w:rsidR="00AA3261">
        <w:rPr>
          <w:rFonts w:ascii="Arial" w:hAnsi="Arial" w:cs="Arial"/>
          <w:sz w:val="24"/>
          <w:szCs w:val="24"/>
        </w:rPr>
        <w:t xml:space="preserve">. </w:t>
      </w:r>
    </w:p>
    <w:p w:rsidR="00182CFC" w:rsidRDefault="00FC0059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order to make submissions on this application it is necessary to </w:t>
      </w:r>
      <w:r w:rsidR="009531E2">
        <w:rPr>
          <w:rFonts w:ascii="Arial" w:hAnsi="Arial" w:cs="Arial"/>
          <w:sz w:val="24"/>
          <w:szCs w:val="24"/>
        </w:rPr>
        <w:t>gain an understanding of t</w:t>
      </w:r>
      <w:r>
        <w:rPr>
          <w:rFonts w:ascii="Arial" w:hAnsi="Arial" w:cs="Arial"/>
          <w:sz w:val="24"/>
          <w:szCs w:val="24"/>
        </w:rPr>
        <w:t xml:space="preserve">he </w:t>
      </w:r>
      <w:r w:rsidR="0074744E">
        <w:rPr>
          <w:rFonts w:ascii="Arial" w:hAnsi="Arial" w:cs="Arial"/>
          <w:sz w:val="24"/>
          <w:szCs w:val="24"/>
        </w:rPr>
        <w:t xml:space="preserve">arguments being presented as evidence. The IR’s </w:t>
      </w:r>
      <w:r w:rsidR="009B1912">
        <w:rPr>
          <w:rFonts w:ascii="Arial" w:hAnsi="Arial" w:cs="Arial"/>
          <w:sz w:val="24"/>
          <w:szCs w:val="24"/>
        </w:rPr>
        <w:t xml:space="preserve">submitted were an attempt to clarify those </w:t>
      </w:r>
      <w:r w:rsidR="000265C0">
        <w:rPr>
          <w:rFonts w:ascii="Arial" w:hAnsi="Arial" w:cs="Arial"/>
          <w:sz w:val="24"/>
          <w:szCs w:val="24"/>
        </w:rPr>
        <w:t xml:space="preserve">particular </w:t>
      </w:r>
      <w:r w:rsidR="009B1912">
        <w:rPr>
          <w:rFonts w:ascii="Arial" w:hAnsi="Arial" w:cs="Arial"/>
          <w:sz w:val="24"/>
          <w:szCs w:val="24"/>
        </w:rPr>
        <w:t xml:space="preserve">arguments which appeared unsupported, contradictory or </w:t>
      </w:r>
      <w:r w:rsidR="001C7790">
        <w:rPr>
          <w:rFonts w:ascii="Arial" w:hAnsi="Arial" w:cs="Arial"/>
          <w:sz w:val="24"/>
          <w:szCs w:val="24"/>
        </w:rPr>
        <w:t>without basis</w:t>
      </w:r>
      <w:r w:rsidR="009B1912">
        <w:rPr>
          <w:rFonts w:ascii="Arial" w:hAnsi="Arial" w:cs="Arial"/>
          <w:sz w:val="24"/>
          <w:szCs w:val="24"/>
        </w:rPr>
        <w:t xml:space="preserve"> in fact.</w:t>
      </w:r>
      <w:r w:rsidR="00116958">
        <w:rPr>
          <w:rFonts w:ascii="Arial" w:hAnsi="Arial" w:cs="Arial"/>
          <w:sz w:val="24"/>
          <w:szCs w:val="24"/>
        </w:rPr>
        <w:t xml:space="preserve"> The IRR’s in question did </w:t>
      </w:r>
      <w:r w:rsidR="001226B7">
        <w:rPr>
          <w:rFonts w:ascii="Arial" w:hAnsi="Arial" w:cs="Arial"/>
          <w:sz w:val="24"/>
          <w:szCs w:val="24"/>
        </w:rPr>
        <w:t>not provide</w:t>
      </w:r>
      <w:r w:rsidR="00264689">
        <w:rPr>
          <w:rFonts w:ascii="Arial" w:hAnsi="Arial" w:cs="Arial"/>
          <w:sz w:val="24"/>
          <w:szCs w:val="24"/>
        </w:rPr>
        <w:t xml:space="preserve"> the </w:t>
      </w:r>
      <w:r w:rsidR="008C3239">
        <w:rPr>
          <w:rFonts w:ascii="Arial" w:hAnsi="Arial" w:cs="Arial"/>
          <w:sz w:val="24"/>
          <w:szCs w:val="24"/>
        </w:rPr>
        <w:t xml:space="preserve">clarifying </w:t>
      </w:r>
      <w:r w:rsidR="00264689">
        <w:rPr>
          <w:rFonts w:ascii="Arial" w:hAnsi="Arial" w:cs="Arial"/>
          <w:sz w:val="24"/>
          <w:szCs w:val="24"/>
        </w:rPr>
        <w:t xml:space="preserve">information required </w:t>
      </w:r>
      <w:r w:rsidR="008C3239">
        <w:rPr>
          <w:rFonts w:ascii="Arial" w:hAnsi="Arial" w:cs="Arial"/>
          <w:sz w:val="24"/>
          <w:szCs w:val="24"/>
        </w:rPr>
        <w:t xml:space="preserve">and in some cases appeared </w:t>
      </w:r>
      <w:r w:rsidR="00116958">
        <w:rPr>
          <w:rFonts w:ascii="Arial" w:hAnsi="Arial" w:cs="Arial"/>
          <w:sz w:val="24"/>
          <w:szCs w:val="24"/>
        </w:rPr>
        <w:t>to avoid responding directly to the</w:t>
      </w:r>
      <w:r w:rsidR="008C3239">
        <w:rPr>
          <w:rFonts w:ascii="Arial" w:hAnsi="Arial" w:cs="Arial"/>
          <w:sz w:val="24"/>
          <w:szCs w:val="24"/>
        </w:rPr>
        <w:t>m</w:t>
      </w:r>
      <w:r w:rsidR="00116958">
        <w:rPr>
          <w:rFonts w:ascii="Arial" w:hAnsi="Arial" w:cs="Arial"/>
          <w:sz w:val="24"/>
          <w:szCs w:val="24"/>
        </w:rPr>
        <w:t xml:space="preserve">. </w:t>
      </w:r>
    </w:p>
    <w:p w:rsidR="005A70C0" w:rsidRDefault="005A70C0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B7CBB">
        <w:rPr>
          <w:rFonts w:ascii="Arial" w:hAnsi="Arial" w:cs="Arial"/>
          <w:sz w:val="24"/>
          <w:szCs w:val="24"/>
        </w:rPr>
        <w:t>Applicant</w:t>
      </w:r>
      <w:r>
        <w:rPr>
          <w:rFonts w:ascii="Arial" w:hAnsi="Arial" w:cs="Arial"/>
          <w:sz w:val="24"/>
          <w:szCs w:val="24"/>
        </w:rPr>
        <w:t xml:space="preserve"> suggests that its </w:t>
      </w:r>
      <w:r w:rsidR="001935F7">
        <w:rPr>
          <w:rFonts w:ascii="Arial" w:hAnsi="Arial" w:cs="Arial"/>
          <w:sz w:val="24"/>
          <w:szCs w:val="24"/>
        </w:rPr>
        <w:t>IRR’s were</w:t>
      </w:r>
      <w:r w:rsidR="00D7246A">
        <w:rPr>
          <w:rFonts w:ascii="Arial" w:hAnsi="Arial" w:cs="Arial"/>
          <w:sz w:val="24"/>
          <w:szCs w:val="24"/>
        </w:rPr>
        <w:t xml:space="preserve"> adequate and no further</w:t>
      </w:r>
      <w:r w:rsidR="001935F7">
        <w:rPr>
          <w:rFonts w:ascii="Arial" w:hAnsi="Arial" w:cs="Arial"/>
          <w:sz w:val="24"/>
          <w:szCs w:val="24"/>
        </w:rPr>
        <w:t xml:space="preserve"> responses are required but has, </w:t>
      </w:r>
      <w:r w:rsidR="00302800">
        <w:rPr>
          <w:rFonts w:ascii="Arial" w:hAnsi="Arial" w:cs="Arial"/>
          <w:sz w:val="24"/>
          <w:szCs w:val="24"/>
        </w:rPr>
        <w:t>nevertheless</w:t>
      </w:r>
      <w:r w:rsidR="001935F7">
        <w:rPr>
          <w:rFonts w:ascii="Arial" w:hAnsi="Arial" w:cs="Arial"/>
          <w:sz w:val="24"/>
          <w:szCs w:val="24"/>
        </w:rPr>
        <w:t>, provided further responses which are discussed below.</w:t>
      </w:r>
    </w:p>
    <w:p w:rsidR="00C5093D" w:rsidRDefault="00C5093D" w:rsidP="001579DC">
      <w:pPr>
        <w:rPr>
          <w:rFonts w:ascii="Arial" w:hAnsi="Arial" w:cs="Arial"/>
          <w:sz w:val="24"/>
          <w:szCs w:val="24"/>
        </w:rPr>
      </w:pPr>
    </w:p>
    <w:p w:rsidR="00F0095A" w:rsidRDefault="00330C3E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-1 (a)</w:t>
      </w:r>
    </w:p>
    <w:p w:rsidR="00E43F92" w:rsidRDefault="00A339BF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167C0">
        <w:rPr>
          <w:rFonts w:ascii="Arial" w:hAnsi="Arial" w:cs="Arial"/>
          <w:sz w:val="24"/>
          <w:szCs w:val="24"/>
        </w:rPr>
        <w:t xml:space="preserve">application </w:t>
      </w:r>
      <w:r>
        <w:rPr>
          <w:rFonts w:ascii="Arial" w:hAnsi="Arial" w:cs="Arial"/>
          <w:sz w:val="24"/>
          <w:szCs w:val="24"/>
        </w:rPr>
        <w:t xml:space="preserve">indicated that </w:t>
      </w:r>
      <w:r w:rsidR="00625A08">
        <w:rPr>
          <w:rFonts w:ascii="Arial" w:hAnsi="Arial" w:cs="Arial"/>
          <w:sz w:val="24"/>
          <w:szCs w:val="24"/>
        </w:rPr>
        <w:t>NBHDL customers would benefit with respect to price</w:t>
      </w:r>
      <w:r w:rsidR="002D0760">
        <w:rPr>
          <w:rFonts w:ascii="Arial" w:hAnsi="Arial" w:cs="Arial"/>
          <w:sz w:val="24"/>
          <w:szCs w:val="24"/>
        </w:rPr>
        <w:t>, among other things,</w:t>
      </w:r>
      <w:r w:rsidR="00625A08">
        <w:rPr>
          <w:rFonts w:ascii="Arial" w:hAnsi="Arial" w:cs="Arial"/>
          <w:sz w:val="24"/>
          <w:szCs w:val="24"/>
        </w:rPr>
        <w:t xml:space="preserve"> due to the efficiencies expected to be generated from the transaction. </w:t>
      </w:r>
      <w:r w:rsidR="00384A15">
        <w:rPr>
          <w:rFonts w:ascii="Arial" w:hAnsi="Arial" w:cs="Arial"/>
          <w:sz w:val="24"/>
          <w:szCs w:val="24"/>
        </w:rPr>
        <w:t>While the application suggested a reduction in OM&amp;A cost</w:t>
      </w:r>
      <w:r w:rsidR="00A6313F">
        <w:rPr>
          <w:rFonts w:ascii="Arial" w:hAnsi="Arial" w:cs="Arial"/>
          <w:sz w:val="24"/>
          <w:szCs w:val="24"/>
        </w:rPr>
        <w:t>s</w:t>
      </w:r>
      <w:r w:rsidR="00384A15">
        <w:rPr>
          <w:rFonts w:ascii="Arial" w:hAnsi="Arial" w:cs="Arial"/>
          <w:sz w:val="24"/>
          <w:szCs w:val="24"/>
        </w:rPr>
        <w:t xml:space="preserve">, a closer examination </w:t>
      </w:r>
      <w:r w:rsidR="000167C0">
        <w:rPr>
          <w:rFonts w:ascii="Arial" w:hAnsi="Arial" w:cs="Arial"/>
          <w:sz w:val="24"/>
          <w:szCs w:val="24"/>
        </w:rPr>
        <w:t>demonstrat</w:t>
      </w:r>
      <w:r w:rsidR="00B4223F">
        <w:rPr>
          <w:rFonts w:ascii="Arial" w:hAnsi="Arial" w:cs="Arial"/>
          <w:sz w:val="24"/>
          <w:szCs w:val="24"/>
        </w:rPr>
        <w:t>e</w:t>
      </w:r>
      <w:r w:rsidR="000167C0">
        <w:rPr>
          <w:rFonts w:ascii="Arial" w:hAnsi="Arial" w:cs="Arial"/>
          <w:sz w:val="24"/>
          <w:szCs w:val="24"/>
        </w:rPr>
        <w:t>d that there would</w:t>
      </w:r>
      <w:r w:rsidR="00B4223F">
        <w:rPr>
          <w:rFonts w:ascii="Arial" w:hAnsi="Arial" w:cs="Arial"/>
          <w:sz w:val="24"/>
          <w:szCs w:val="24"/>
        </w:rPr>
        <w:t xml:space="preserve"> be virtually </w:t>
      </w:r>
      <w:r w:rsidR="000746FD">
        <w:rPr>
          <w:rFonts w:ascii="Arial" w:hAnsi="Arial" w:cs="Arial"/>
          <w:sz w:val="24"/>
          <w:szCs w:val="24"/>
        </w:rPr>
        <w:t xml:space="preserve">no </w:t>
      </w:r>
      <w:r w:rsidR="003C133C">
        <w:rPr>
          <w:rFonts w:ascii="Arial" w:hAnsi="Arial" w:cs="Arial"/>
          <w:sz w:val="24"/>
          <w:szCs w:val="24"/>
        </w:rPr>
        <w:t xml:space="preserve">change in the </w:t>
      </w:r>
      <w:r w:rsidR="00A6313F">
        <w:rPr>
          <w:rFonts w:ascii="Arial" w:hAnsi="Arial" w:cs="Arial"/>
          <w:sz w:val="24"/>
          <w:szCs w:val="24"/>
        </w:rPr>
        <w:t xml:space="preserve">per customer cost for </w:t>
      </w:r>
      <w:r w:rsidR="00B4223F">
        <w:rPr>
          <w:rFonts w:ascii="Arial" w:hAnsi="Arial" w:cs="Arial"/>
          <w:sz w:val="24"/>
          <w:szCs w:val="24"/>
        </w:rPr>
        <w:t>NBHDL customer</w:t>
      </w:r>
      <w:r w:rsidR="00A6313F">
        <w:rPr>
          <w:rFonts w:ascii="Arial" w:hAnsi="Arial" w:cs="Arial"/>
          <w:sz w:val="24"/>
          <w:szCs w:val="24"/>
        </w:rPr>
        <w:t>s</w:t>
      </w:r>
      <w:r w:rsidR="00B4223F">
        <w:rPr>
          <w:rFonts w:ascii="Arial" w:hAnsi="Arial" w:cs="Arial"/>
          <w:sz w:val="24"/>
          <w:szCs w:val="24"/>
        </w:rPr>
        <w:t xml:space="preserve"> whether </w:t>
      </w:r>
      <w:r w:rsidR="003C133C">
        <w:rPr>
          <w:rFonts w:ascii="Arial" w:hAnsi="Arial" w:cs="Arial"/>
          <w:sz w:val="24"/>
          <w:szCs w:val="24"/>
        </w:rPr>
        <w:t>or not the amalgamation occurs.</w:t>
      </w:r>
      <w:r w:rsidR="002D0760">
        <w:rPr>
          <w:rFonts w:ascii="Arial" w:hAnsi="Arial" w:cs="Arial"/>
          <w:sz w:val="24"/>
          <w:szCs w:val="24"/>
        </w:rPr>
        <w:t xml:space="preserve"> </w:t>
      </w:r>
      <w:r w:rsidR="00717C00">
        <w:rPr>
          <w:rFonts w:ascii="Arial" w:hAnsi="Arial" w:cs="Arial"/>
          <w:sz w:val="24"/>
          <w:szCs w:val="24"/>
        </w:rPr>
        <w:t xml:space="preserve">The </w:t>
      </w:r>
      <w:r w:rsidR="00A91575">
        <w:rPr>
          <w:rFonts w:ascii="Arial" w:hAnsi="Arial" w:cs="Arial"/>
          <w:sz w:val="24"/>
          <w:szCs w:val="24"/>
        </w:rPr>
        <w:t xml:space="preserve">application </w:t>
      </w:r>
      <w:r w:rsidR="00536C92">
        <w:rPr>
          <w:rFonts w:ascii="Arial" w:hAnsi="Arial" w:cs="Arial"/>
          <w:sz w:val="24"/>
          <w:szCs w:val="24"/>
        </w:rPr>
        <w:t xml:space="preserve">evidence appeared contradictory and the </w:t>
      </w:r>
      <w:r w:rsidR="00717C00">
        <w:rPr>
          <w:rFonts w:ascii="Arial" w:hAnsi="Arial" w:cs="Arial"/>
          <w:sz w:val="24"/>
          <w:szCs w:val="24"/>
        </w:rPr>
        <w:t>interrogatory requested</w:t>
      </w:r>
      <w:r w:rsidR="000746FD">
        <w:rPr>
          <w:rFonts w:ascii="Arial" w:hAnsi="Arial" w:cs="Arial"/>
          <w:sz w:val="24"/>
          <w:szCs w:val="24"/>
        </w:rPr>
        <w:t xml:space="preserve"> specific</w:t>
      </w:r>
      <w:r w:rsidR="00717C00">
        <w:rPr>
          <w:rFonts w:ascii="Arial" w:hAnsi="Arial" w:cs="Arial"/>
          <w:sz w:val="24"/>
          <w:szCs w:val="24"/>
        </w:rPr>
        <w:t xml:space="preserve"> </w:t>
      </w:r>
      <w:r w:rsidR="003777BE">
        <w:rPr>
          <w:rFonts w:ascii="Arial" w:hAnsi="Arial" w:cs="Arial"/>
          <w:sz w:val="24"/>
          <w:szCs w:val="24"/>
        </w:rPr>
        <w:t xml:space="preserve">details of the benefits that would accrue to NBHDL customers because of </w:t>
      </w:r>
      <w:r w:rsidR="006A767D">
        <w:rPr>
          <w:rFonts w:ascii="Arial" w:hAnsi="Arial" w:cs="Arial"/>
          <w:sz w:val="24"/>
          <w:szCs w:val="24"/>
        </w:rPr>
        <w:t>the</w:t>
      </w:r>
      <w:r w:rsidR="003777BE">
        <w:rPr>
          <w:rFonts w:ascii="Arial" w:hAnsi="Arial" w:cs="Arial"/>
          <w:sz w:val="24"/>
          <w:szCs w:val="24"/>
        </w:rPr>
        <w:t xml:space="preserve"> amalgamation. The IR response did not supply those details. </w:t>
      </w:r>
    </w:p>
    <w:p w:rsidR="00330C3E" w:rsidRDefault="002D0760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</w:t>
      </w:r>
      <w:r w:rsidR="006A767D">
        <w:rPr>
          <w:rFonts w:ascii="Arial" w:hAnsi="Arial" w:cs="Arial"/>
          <w:sz w:val="24"/>
          <w:szCs w:val="24"/>
        </w:rPr>
        <w:t>request</w:t>
      </w:r>
      <w:r w:rsidR="004A7357">
        <w:rPr>
          <w:rFonts w:ascii="Arial" w:hAnsi="Arial" w:cs="Arial"/>
          <w:sz w:val="24"/>
          <w:szCs w:val="24"/>
        </w:rPr>
        <w:t xml:space="preserve"> was </w:t>
      </w:r>
      <w:r w:rsidR="002B0232">
        <w:rPr>
          <w:rFonts w:ascii="Arial" w:hAnsi="Arial" w:cs="Arial"/>
          <w:sz w:val="24"/>
          <w:szCs w:val="24"/>
        </w:rPr>
        <w:t xml:space="preserve">to provide </w:t>
      </w:r>
      <w:r w:rsidR="004A7357">
        <w:rPr>
          <w:rFonts w:ascii="Arial" w:hAnsi="Arial" w:cs="Arial"/>
          <w:sz w:val="24"/>
          <w:szCs w:val="24"/>
        </w:rPr>
        <w:t xml:space="preserve">the </w:t>
      </w:r>
      <w:r w:rsidR="00EB7CBB">
        <w:rPr>
          <w:rFonts w:ascii="Arial" w:hAnsi="Arial" w:cs="Arial"/>
          <w:sz w:val="24"/>
          <w:szCs w:val="24"/>
        </w:rPr>
        <w:t>Applicant</w:t>
      </w:r>
      <w:r w:rsidR="004A7357">
        <w:rPr>
          <w:rFonts w:ascii="Arial" w:hAnsi="Arial" w:cs="Arial"/>
          <w:sz w:val="24"/>
          <w:szCs w:val="24"/>
        </w:rPr>
        <w:t xml:space="preserve"> </w:t>
      </w:r>
      <w:r w:rsidR="002B0232">
        <w:rPr>
          <w:rFonts w:ascii="Arial" w:hAnsi="Arial" w:cs="Arial"/>
          <w:sz w:val="24"/>
          <w:szCs w:val="24"/>
        </w:rPr>
        <w:t xml:space="preserve">with an opportunity </w:t>
      </w:r>
      <w:r w:rsidR="004A7357">
        <w:rPr>
          <w:rFonts w:ascii="Arial" w:hAnsi="Arial" w:cs="Arial"/>
          <w:sz w:val="24"/>
          <w:szCs w:val="24"/>
        </w:rPr>
        <w:t xml:space="preserve">to provide </w:t>
      </w:r>
      <w:r w:rsidR="002B0232">
        <w:rPr>
          <w:rFonts w:ascii="Arial" w:hAnsi="Arial" w:cs="Arial"/>
          <w:sz w:val="24"/>
          <w:szCs w:val="24"/>
        </w:rPr>
        <w:t>additional support for the views expressed</w:t>
      </w:r>
      <w:r w:rsidR="00253751">
        <w:rPr>
          <w:rFonts w:ascii="Arial" w:hAnsi="Arial" w:cs="Arial"/>
          <w:sz w:val="24"/>
          <w:szCs w:val="24"/>
        </w:rPr>
        <w:t>.</w:t>
      </w:r>
      <w:r w:rsidR="004A7357">
        <w:rPr>
          <w:rFonts w:ascii="Arial" w:hAnsi="Arial" w:cs="Arial"/>
          <w:sz w:val="24"/>
          <w:szCs w:val="24"/>
        </w:rPr>
        <w:t xml:space="preserve"> The suggestion</w:t>
      </w:r>
      <w:r w:rsidR="007A7FDC">
        <w:rPr>
          <w:rFonts w:ascii="Arial" w:hAnsi="Arial" w:cs="Arial"/>
          <w:sz w:val="24"/>
          <w:szCs w:val="24"/>
        </w:rPr>
        <w:t xml:space="preserve"> in the </w:t>
      </w:r>
      <w:r w:rsidR="00C370B4">
        <w:rPr>
          <w:rFonts w:ascii="Arial" w:hAnsi="Arial" w:cs="Arial"/>
          <w:sz w:val="24"/>
          <w:szCs w:val="24"/>
        </w:rPr>
        <w:t>IRR that</w:t>
      </w:r>
      <w:r w:rsidR="004A7357">
        <w:rPr>
          <w:rFonts w:ascii="Arial" w:hAnsi="Arial" w:cs="Arial"/>
          <w:sz w:val="24"/>
          <w:szCs w:val="24"/>
        </w:rPr>
        <w:t xml:space="preserve"> the</w:t>
      </w:r>
      <w:r w:rsidR="00C370B4">
        <w:rPr>
          <w:rFonts w:ascii="Arial" w:hAnsi="Arial" w:cs="Arial"/>
          <w:sz w:val="24"/>
          <w:szCs w:val="24"/>
        </w:rPr>
        <w:t xml:space="preserve"> fixed costs wou</w:t>
      </w:r>
      <w:r w:rsidR="007A7FDC">
        <w:rPr>
          <w:rFonts w:ascii="Arial" w:hAnsi="Arial" w:cs="Arial"/>
          <w:sz w:val="24"/>
          <w:szCs w:val="24"/>
        </w:rPr>
        <w:t>ld</w:t>
      </w:r>
      <w:r w:rsidR="00F776EC">
        <w:rPr>
          <w:rFonts w:ascii="Arial" w:hAnsi="Arial" w:cs="Arial"/>
          <w:sz w:val="24"/>
          <w:szCs w:val="24"/>
        </w:rPr>
        <w:t xml:space="preserve"> be spread over a larger number of customers is stating the obvious. The numbers and calculations ind</w:t>
      </w:r>
      <w:r w:rsidR="00A91575">
        <w:rPr>
          <w:rFonts w:ascii="Arial" w:hAnsi="Arial" w:cs="Arial"/>
          <w:sz w:val="24"/>
          <w:szCs w:val="24"/>
        </w:rPr>
        <w:t xml:space="preserve">icate that cost per customer will not change </w:t>
      </w:r>
      <w:r w:rsidR="00116958">
        <w:rPr>
          <w:rFonts w:ascii="Arial" w:hAnsi="Arial" w:cs="Arial"/>
          <w:sz w:val="24"/>
          <w:szCs w:val="24"/>
        </w:rPr>
        <w:t xml:space="preserve">for NBHDL customers </w:t>
      </w:r>
      <w:r w:rsidR="00A91575">
        <w:rPr>
          <w:rFonts w:ascii="Arial" w:hAnsi="Arial" w:cs="Arial"/>
          <w:sz w:val="24"/>
          <w:szCs w:val="24"/>
        </w:rPr>
        <w:t>whether or not the amalgamation is approved.</w:t>
      </w:r>
      <w:r w:rsidR="002B0232">
        <w:rPr>
          <w:rFonts w:ascii="Arial" w:hAnsi="Arial" w:cs="Arial"/>
          <w:sz w:val="24"/>
          <w:szCs w:val="24"/>
        </w:rPr>
        <w:t xml:space="preserve"> The response </w:t>
      </w:r>
      <w:r w:rsidR="00AE11BF">
        <w:rPr>
          <w:rFonts w:ascii="Arial" w:hAnsi="Arial" w:cs="Arial"/>
          <w:sz w:val="24"/>
          <w:szCs w:val="24"/>
        </w:rPr>
        <w:t xml:space="preserve">confirms my original </w:t>
      </w:r>
      <w:r w:rsidR="0028498D">
        <w:rPr>
          <w:rFonts w:ascii="Arial" w:hAnsi="Arial" w:cs="Arial"/>
          <w:sz w:val="24"/>
          <w:szCs w:val="24"/>
        </w:rPr>
        <w:t>feelings on the matter.</w:t>
      </w:r>
    </w:p>
    <w:p w:rsidR="005D0426" w:rsidRDefault="005D0426" w:rsidP="001579DC">
      <w:pPr>
        <w:rPr>
          <w:rFonts w:ascii="Arial" w:hAnsi="Arial" w:cs="Arial"/>
          <w:sz w:val="24"/>
          <w:szCs w:val="24"/>
        </w:rPr>
      </w:pPr>
    </w:p>
    <w:p w:rsidR="005D0426" w:rsidRDefault="005D0426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lastRenderedPageBreak/>
        <w:t>DDR</w:t>
      </w:r>
      <w:r>
        <w:rPr>
          <w:rFonts w:ascii="Arial" w:hAnsi="Arial" w:cs="Arial"/>
          <w:sz w:val="24"/>
          <w:szCs w:val="24"/>
        </w:rPr>
        <w:t>-1 (b)</w:t>
      </w:r>
    </w:p>
    <w:p w:rsidR="0073236D" w:rsidRDefault="00BA2E66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034E3">
        <w:rPr>
          <w:rFonts w:ascii="Arial" w:hAnsi="Arial" w:cs="Arial"/>
          <w:sz w:val="24"/>
          <w:szCs w:val="24"/>
        </w:rPr>
        <w:t>a</w:t>
      </w:r>
      <w:r w:rsidR="00663B18">
        <w:rPr>
          <w:rFonts w:ascii="Arial" w:hAnsi="Arial" w:cs="Arial"/>
          <w:sz w:val="24"/>
          <w:szCs w:val="24"/>
        </w:rPr>
        <w:t>pplication</w:t>
      </w:r>
      <w:r>
        <w:rPr>
          <w:rFonts w:ascii="Arial" w:hAnsi="Arial" w:cs="Arial"/>
          <w:sz w:val="24"/>
          <w:szCs w:val="24"/>
        </w:rPr>
        <w:t xml:space="preserve"> indicated that the</w:t>
      </w:r>
      <w:r w:rsidR="00AD019B">
        <w:rPr>
          <w:rFonts w:ascii="Arial" w:hAnsi="Arial" w:cs="Arial"/>
          <w:sz w:val="24"/>
          <w:szCs w:val="24"/>
        </w:rPr>
        <w:t xml:space="preserve"> amalgamation would benefit customers of both NBHDL and ERHDC because of the</w:t>
      </w:r>
      <w:r>
        <w:rPr>
          <w:rFonts w:ascii="Arial" w:hAnsi="Arial" w:cs="Arial"/>
          <w:sz w:val="24"/>
          <w:szCs w:val="24"/>
        </w:rPr>
        <w:t xml:space="preserve"> sharing of engineering and operational expertise</w:t>
      </w:r>
      <w:r w:rsidR="00CA0F12">
        <w:rPr>
          <w:rFonts w:ascii="Arial" w:hAnsi="Arial" w:cs="Arial"/>
          <w:sz w:val="24"/>
          <w:szCs w:val="24"/>
        </w:rPr>
        <w:t>. The</w:t>
      </w:r>
      <w:r w:rsidR="004D0F9C">
        <w:rPr>
          <w:rFonts w:ascii="Arial" w:hAnsi="Arial" w:cs="Arial"/>
          <w:sz w:val="24"/>
          <w:szCs w:val="24"/>
        </w:rPr>
        <w:t xml:space="preserve"> evidence </w:t>
      </w:r>
      <w:r w:rsidR="00F76EB0">
        <w:rPr>
          <w:rFonts w:ascii="Arial" w:hAnsi="Arial" w:cs="Arial"/>
          <w:sz w:val="24"/>
          <w:szCs w:val="24"/>
        </w:rPr>
        <w:t>provided no d</w:t>
      </w:r>
      <w:r w:rsidR="004D0F9C">
        <w:rPr>
          <w:rFonts w:ascii="Arial" w:hAnsi="Arial" w:cs="Arial"/>
          <w:sz w:val="24"/>
          <w:szCs w:val="24"/>
        </w:rPr>
        <w:t>etail</w:t>
      </w:r>
      <w:r w:rsidR="00F76EB0">
        <w:rPr>
          <w:rFonts w:ascii="Arial" w:hAnsi="Arial" w:cs="Arial"/>
          <w:sz w:val="24"/>
          <w:szCs w:val="24"/>
        </w:rPr>
        <w:t xml:space="preserve">s of </w:t>
      </w:r>
      <w:r w:rsidR="0073236D">
        <w:rPr>
          <w:rFonts w:ascii="Arial" w:hAnsi="Arial" w:cs="Arial"/>
          <w:sz w:val="24"/>
          <w:szCs w:val="24"/>
        </w:rPr>
        <w:t>the</w:t>
      </w:r>
      <w:r w:rsidR="00F76EB0">
        <w:rPr>
          <w:rFonts w:ascii="Arial" w:hAnsi="Arial" w:cs="Arial"/>
          <w:sz w:val="24"/>
          <w:szCs w:val="24"/>
        </w:rPr>
        <w:t xml:space="preserve"> engineering and operational expertise </w:t>
      </w:r>
      <w:r w:rsidR="0073236D">
        <w:rPr>
          <w:rFonts w:ascii="Arial" w:hAnsi="Arial" w:cs="Arial"/>
          <w:sz w:val="24"/>
          <w:szCs w:val="24"/>
        </w:rPr>
        <w:t xml:space="preserve">unique to ERDHC that would be available to NBHDL </w:t>
      </w:r>
      <w:r w:rsidR="002C1985">
        <w:rPr>
          <w:rFonts w:ascii="Arial" w:hAnsi="Arial" w:cs="Arial"/>
          <w:sz w:val="24"/>
          <w:szCs w:val="24"/>
        </w:rPr>
        <w:t>as a result of</w:t>
      </w:r>
      <w:r w:rsidR="0073236D">
        <w:rPr>
          <w:rFonts w:ascii="Arial" w:hAnsi="Arial" w:cs="Arial"/>
          <w:sz w:val="24"/>
          <w:szCs w:val="24"/>
        </w:rPr>
        <w:t xml:space="preserve"> the </w:t>
      </w:r>
      <w:r w:rsidR="00EF7B07">
        <w:rPr>
          <w:rFonts w:ascii="Arial" w:hAnsi="Arial" w:cs="Arial"/>
          <w:sz w:val="24"/>
          <w:szCs w:val="24"/>
        </w:rPr>
        <w:t>amalgamation.</w:t>
      </w:r>
    </w:p>
    <w:p w:rsidR="005D0426" w:rsidRDefault="00EF7B07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motion request was provide</w:t>
      </w:r>
      <w:r w:rsidR="00C370B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</w:t>
      </w:r>
      <w:r w:rsidR="00EB7CBB">
        <w:rPr>
          <w:rFonts w:ascii="Arial" w:hAnsi="Arial" w:cs="Arial"/>
          <w:sz w:val="24"/>
          <w:szCs w:val="24"/>
        </w:rPr>
        <w:t>Applicant</w:t>
      </w:r>
      <w:r>
        <w:rPr>
          <w:rFonts w:ascii="Arial" w:hAnsi="Arial" w:cs="Arial"/>
          <w:sz w:val="24"/>
          <w:szCs w:val="24"/>
        </w:rPr>
        <w:t xml:space="preserve"> with an opportunity to </w:t>
      </w:r>
      <w:r w:rsidR="00C370B4">
        <w:rPr>
          <w:rFonts w:ascii="Arial" w:hAnsi="Arial" w:cs="Arial"/>
          <w:sz w:val="24"/>
          <w:szCs w:val="24"/>
        </w:rPr>
        <w:t>supply</w:t>
      </w:r>
      <w:r>
        <w:rPr>
          <w:rFonts w:ascii="Arial" w:hAnsi="Arial" w:cs="Arial"/>
          <w:sz w:val="24"/>
          <w:szCs w:val="24"/>
        </w:rPr>
        <w:t xml:space="preserve"> additional support for the views expressed. </w:t>
      </w:r>
      <w:r w:rsidR="000F2CD8">
        <w:rPr>
          <w:rFonts w:ascii="Arial" w:hAnsi="Arial" w:cs="Arial"/>
          <w:sz w:val="24"/>
          <w:szCs w:val="24"/>
        </w:rPr>
        <w:t xml:space="preserve">The </w:t>
      </w:r>
      <w:r w:rsidR="002C1985">
        <w:rPr>
          <w:rFonts w:ascii="Arial" w:hAnsi="Arial" w:cs="Arial"/>
          <w:sz w:val="24"/>
          <w:szCs w:val="24"/>
        </w:rPr>
        <w:t xml:space="preserve">general </w:t>
      </w:r>
      <w:r w:rsidR="00D14FAA">
        <w:rPr>
          <w:rFonts w:ascii="Arial" w:hAnsi="Arial" w:cs="Arial"/>
          <w:sz w:val="24"/>
          <w:szCs w:val="24"/>
        </w:rPr>
        <w:t>comments in the motion reply confirm</w:t>
      </w:r>
      <w:r w:rsidR="00FD254A">
        <w:rPr>
          <w:rFonts w:ascii="Arial" w:hAnsi="Arial" w:cs="Arial"/>
          <w:sz w:val="24"/>
          <w:szCs w:val="24"/>
        </w:rPr>
        <w:t xml:space="preserve"> </w:t>
      </w:r>
      <w:r w:rsidR="00D14FAA">
        <w:rPr>
          <w:rFonts w:ascii="Arial" w:hAnsi="Arial" w:cs="Arial"/>
          <w:sz w:val="24"/>
          <w:szCs w:val="24"/>
        </w:rPr>
        <w:t>my original thoughts on the matter.</w:t>
      </w:r>
    </w:p>
    <w:p w:rsidR="00B73595" w:rsidRDefault="00B73595" w:rsidP="001579DC">
      <w:pPr>
        <w:rPr>
          <w:rFonts w:ascii="Arial" w:hAnsi="Arial" w:cs="Arial"/>
          <w:sz w:val="24"/>
          <w:szCs w:val="24"/>
        </w:rPr>
      </w:pPr>
    </w:p>
    <w:p w:rsidR="00B73595" w:rsidRDefault="00B73595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-2 (b)</w:t>
      </w:r>
    </w:p>
    <w:p w:rsidR="00852CCB" w:rsidRDefault="009F0417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application included </w:t>
      </w:r>
      <w:r w:rsidR="00A70E93">
        <w:rPr>
          <w:rFonts w:ascii="Arial" w:hAnsi="Arial" w:cs="Arial"/>
          <w:sz w:val="24"/>
          <w:szCs w:val="24"/>
        </w:rPr>
        <w:t>evidence of the</w:t>
      </w:r>
      <w:r>
        <w:rPr>
          <w:rFonts w:ascii="Arial" w:hAnsi="Arial" w:cs="Arial"/>
          <w:sz w:val="24"/>
          <w:szCs w:val="24"/>
        </w:rPr>
        <w:t xml:space="preserve"> director’s approval of the </w:t>
      </w:r>
      <w:r w:rsidR="00E24BAC">
        <w:rPr>
          <w:rFonts w:ascii="Arial" w:hAnsi="Arial" w:cs="Arial"/>
          <w:sz w:val="24"/>
          <w:szCs w:val="24"/>
        </w:rPr>
        <w:t>proposed transaction</w:t>
      </w:r>
      <w:r>
        <w:rPr>
          <w:rFonts w:ascii="Arial" w:hAnsi="Arial" w:cs="Arial"/>
          <w:sz w:val="24"/>
          <w:szCs w:val="24"/>
        </w:rPr>
        <w:t xml:space="preserve">. </w:t>
      </w:r>
      <w:r w:rsidR="00FE0525">
        <w:rPr>
          <w:rFonts w:ascii="Arial" w:hAnsi="Arial" w:cs="Arial"/>
          <w:sz w:val="24"/>
          <w:szCs w:val="24"/>
        </w:rPr>
        <w:t xml:space="preserve">In order to comply with their mandate, directors must </w:t>
      </w:r>
      <w:r w:rsidR="00D524FB">
        <w:rPr>
          <w:rFonts w:ascii="Arial" w:hAnsi="Arial" w:cs="Arial"/>
          <w:sz w:val="24"/>
          <w:szCs w:val="24"/>
        </w:rPr>
        <w:t xml:space="preserve">necessarily </w:t>
      </w:r>
      <w:r w:rsidR="00FE0525">
        <w:rPr>
          <w:rFonts w:ascii="Arial" w:hAnsi="Arial" w:cs="Arial"/>
          <w:sz w:val="24"/>
          <w:szCs w:val="24"/>
        </w:rPr>
        <w:t>be made aware of the details o</w:t>
      </w:r>
      <w:r w:rsidR="00D524FB">
        <w:rPr>
          <w:rFonts w:ascii="Arial" w:hAnsi="Arial" w:cs="Arial"/>
          <w:sz w:val="24"/>
          <w:szCs w:val="24"/>
        </w:rPr>
        <w:t>f th</w:t>
      </w:r>
      <w:r w:rsidR="00E24BAC">
        <w:rPr>
          <w:rFonts w:ascii="Arial" w:hAnsi="Arial" w:cs="Arial"/>
          <w:sz w:val="24"/>
          <w:szCs w:val="24"/>
        </w:rPr>
        <w:t xml:space="preserve">at </w:t>
      </w:r>
      <w:r w:rsidR="00D524FB">
        <w:rPr>
          <w:rFonts w:ascii="Arial" w:hAnsi="Arial" w:cs="Arial"/>
          <w:sz w:val="24"/>
          <w:szCs w:val="24"/>
        </w:rPr>
        <w:t xml:space="preserve">transaction. The </w:t>
      </w:r>
      <w:r w:rsidR="00F72371">
        <w:rPr>
          <w:rFonts w:ascii="Arial" w:hAnsi="Arial" w:cs="Arial"/>
          <w:sz w:val="24"/>
          <w:szCs w:val="24"/>
        </w:rPr>
        <w:t xml:space="preserve">IR </w:t>
      </w:r>
      <w:r w:rsidR="00986EB5">
        <w:rPr>
          <w:rFonts w:ascii="Arial" w:hAnsi="Arial" w:cs="Arial"/>
          <w:sz w:val="24"/>
          <w:szCs w:val="24"/>
        </w:rPr>
        <w:t>was</w:t>
      </w:r>
      <w:r w:rsidR="00F72371">
        <w:rPr>
          <w:rFonts w:ascii="Arial" w:hAnsi="Arial" w:cs="Arial"/>
          <w:sz w:val="24"/>
          <w:szCs w:val="24"/>
        </w:rPr>
        <w:t xml:space="preserve"> an attempt to </w:t>
      </w:r>
      <w:r w:rsidR="0012603D">
        <w:rPr>
          <w:rFonts w:ascii="Arial" w:hAnsi="Arial" w:cs="Arial"/>
          <w:sz w:val="24"/>
          <w:szCs w:val="24"/>
        </w:rPr>
        <w:t>discover</w:t>
      </w:r>
      <w:r w:rsidR="00F72371">
        <w:rPr>
          <w:rFonts w:ascii="Arial" w:hAnsi="Arial" w:cs="Arial"/>
          <w:sz w:val="24"/>
          <w:szCs w:val="24"/>
        </w:rPr>
        <w:t xml:space="preserve"> what details </w:t>
      </w:r>
      <w:r w:rsidR="00A70E93">
        <w:rPr>
          <w:rFonts w:ascii="Arial" w:hAnsi="Arial" w:cs="Arial"/>
          <w:sz w:val="24"/>
          <w:szCs w:val="24"/>
        </w:rPr>
        <w:t xml:space="preserve">of the transaction </w:t>
      </w:r>
      <w:r w:rsidR="00C679E4">
        <w:rPr>
          <w:rFonts w:ascii="Arial" w:hAnsi="Arial" w:cs="Arial"/>
          <w:sz w:val="24"/>
          <w:szCs w:val="24"/>
        </w:rPr>
        <w:t>or other information was</w:t>
      </w:r>
      <w:r w:rsidR="00986EB5">
        <w:rPr>
          <w:rFonts w:ascii="Arial" w:hAnsi="Arial" w:cs="Arial"/>
          <w:sz w:val="24"/>
          <w:szCs w:val="24"/>
        </w:rPr>
        <w:t xml:space="preserve"> </w:t>
      </w:r>
      <w:r w:rsidR="00A70E93">
        <w:rPr>
          <w:rFonts w:ascii="Arial" w:hAnsi="Arial" w:cs="Arial"/>
          <w:sz w:val="24"/>
          <w:szCs w:val="24"/>
        </w:rPr>
        <w:t xml:space="preserve">presented to </w:t>
      </w:r>
      <w:r w:rsidR="00C679E4">
        <w:rPr>
          <w:rFonts w:ascii="Arial" w:hAnsi="Arial" w:cs="Arial"/>
          <w:sz w:val="24"/>
          <w:szCs w:val="24"/>
        </w:rPr>
        <w:t xml:space="preserve">board members </w:t>
      </w:r>
      <w:r w:rsidR="00852CCB">
        <w:rPr>
          <w:rFonts w:ascii="Arial" w:hAnsi="Arial" w:cs="Arial"/>
          <w:sz w:val="24"/>
          <w:szCs w:val="24"/>
        </w:rPr>
        <w:t xml:space="preserve">in order to obtain </w:t>
      </w:r>
      <w:r w:rsidR="00986EB5">
        <w:rPr>
          <w:rFonts w:ascii="Arial" w:hAnsi="Arial" w:cs="Arial"/>
          <w:sz w:val="24"/>
          <w:szCs w:val="24"/>
        </w:rPr>
        <w:t>the</w:t>
      </w:r>
      <w:r w:rsidR="00C679E4">
        <w:rPr>
          <w:rFonts w:ascii="Arial" w:hAnsi="Arial" w:cs="Arial"/>
          <w:sz w:val="24"/>
          <w:szCs w:val="24"/>
        </w:rPr>
        <w:t>ir</w:t>
      </w:r>
      <w:r w:rsidR="00986EB5">
        <w:rPr>
          <w:rFonts w:ascii="Arial" w:hAnsi="Arial" w:cs="Arial"/>
          <w:sz w:val="24"/>
          <w:szCs w:val="24"/>
        </w:rPr>
        <w:t xml:space="preserve"> approval</w:t>
      </w:r>
      <w:r w:rsidR="00F72371">
        <w:rPr>
          <w:rFonts w:ascii="Arial" w:hAnsi="Arial" w:cs="Arial"/>
          <w:sz w:val="24"/>
          <w:szCs w:val="24"/>
        </w:rPr>
        <w:t xml:space="preserve">. </w:t>
      </w:r>
    </w:p>
    <w:p w:rsidR="00B73595" w:rsidRDefault="00F72371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B7CBB">
        <w:rPr>
          <w:rFonts w:ascii="Arial" w:hAnsi="Arial" w:cs="Arial"/>
          <w:sz w:val="24"/>
          <w:szCs w:val="24"/>
        </w:rPr>
        <w:t>Applicant</w:t>
      </w:r>
      <w:r w:rsidR="00C826CA">
        <w:rPr>
          <w:rFonts w:ascii="Arial" w:hAnsi="Arial" w:cs="Arial"/>
          <w:sz w:val="24"/>
          <w:szCs w:val="24"/>
        </w:rPr>
        <w:t>’s</w:t>
      </w:r>
      <w:r w:rsidR="001260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 w:rsidR="00ED16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ponse</w:t>
      </w:r>
      <w:r w:rsidR="00CE33A8">
        <w:rPr>
          <w:rFonts w:ascii="Arial" w:hAnsi="Arial" w:cs="Arial"/>
          <w:sz w:val="24"/>
          <w:szCs w:val="24"/>
        </w:rPr>
        <w:t xml:space="preserve"> </w:t>
      </w:r>
      <w:r w:rsidR="00CD1CBB">
        <w:rPr>
          <w:rFonts w:ascii="Arial" w:hAnsi="Arial" w:cs="Arial"/>
          <w:sz w:val="24"/>
          <w:szCs w:val="24"/>
        </w:rPr>
        <w:t xml:space="preserve">simply </w:t>
      </w:r>
      <w:r w:rsidR="00CE33A8">
        <w:rPr>
          <w:rFonts w:ascii="Arial" w:hAnsi="Arial" w:cs="Arial"/>
          <w:sz w:val="24"/>
          <w:szCs w:val="24"/>
        </w:rPr>
        <w:t>pro</w:t>
      </w:r>
      <w:r w:rsidR="0082456E">
        <w:rPr>
          <w:rFonts w:ascii="Arial" w:hAnsi="Arial" w:cs="Arial"/>
          <w:sz w:val="24"/>
          <w:szCs w:val="24"/>
        </w:rPr>
        <w:t>vided a</w:t>
      </w:r>
      <w:r w:rsidR="00176669">
        <w:rPr>
          <w:rFonts w:ascii="Arial" w:hAnsi="Arial" w:cs="Arial"/>
          <w:sz w:val="24"/>
          <w:szCs w:val="24"/>
        </w:rPr>
        <w:t xml:space="preserve"> description of </w:t>
      </w:r>
      <w:r w:rsidR="00E13BE0">
        <w:rPr>
          <w:rFonts w:ascii="Arial" w:hAnsi="Arial" w:cs="Arial"/>
          <w:sz w:val="24"/>
          <w:szCs w:val="24"/>
        </w:rPr>
        <w:t xml:space="preserve">the </w:t>
      </w:r>
      <w:r w:rsidR="00176669">
        <w:rPr>
          <w:rFonts w:ascii="Arial" w:hAnsi="Arial" w:cs="Arial"/>
          <w:sz w:val="24"/>
          <w:szCs w:val="24"/>
        </w:rPr>
        <w:t>general</w:t>
      </w:r>
      <w:r w:rsidR="0082456E">
        <w:rPr>
          <w:rFonts w:ascii="Arial" w:hAnsi="Arial" w:cs="Arial"/>
          <w:sz w:val="24"/>
          <w:szCs w:val="24"/>
        </w:rPr>
        <w:t xml:space="preserve"> mandate of </w:t>
      </w:r>
      <w:r w:rsidR="00176669">
        <w:rPr>
          <w:rFonts w:ascii="Arial" w:hAnsi="Arial" w:cs="Arial"/>
          <w:sz w:val="24"/>
          <w:szCs w:val="24"/>
        </w:rPr>
        <w:t xml:space="preserve">all corporate board members. The motion request was to provide the </w:t>
      </w:r>
      <w:r w:rsidR="00EB7CBB">
        <w:rPr>
          <w:rFonts w:ascii="Arial" w:hAnsi="Arial" w:cs="Arial"/>
          <w:sz w:val="24"/>
          <w:szCs w:val="24"/>
        </w:rPr>
        <w:t>Applicant</w:t>
      </w:r>
      <w:r w:rsidR="00176669">
        <w:rPr>
          <w:rFonts w:ascii="Arial" w:hAnsi="Arial" w:cs="Arial"/>
          <w:sz w:val="24"/>
          <w:szCs w:val="24"/>
        </w:rPr>
        <w:t xml:space="preserve"> with the opportunity to </w:t>
      </w:r>
      <w:r w:rsidR="00E13BE0">
        <w:rPr>
          <w:rFonts w:ascii="Arial" w:hAnsi="Arial" w:cs="Arial"/>
          <w:sz w:val="24"/>
          <w:szCs w:val="24"/>
        </w:rPr>
        <w:t>expand on the</w:t>
      </w:r>
      <w:r w:rsidR="00790772">
        <w:rPr>
          <w:rFonts w:ascii="Arial" w:hAnsi="Arial" w:cs="Arial"/>
          <w:sz w:val="24"/>
          <w:szCs w:val="24"/>
        </w:rPr>
        <w:t xml:space="preserve"> IRR. The motion response supplie</w:t>
      </w:r>
      <w:r w:rsidR="00E13BE0">
        <w:rPr>
          <w:rFonts w:ascii="Arial" w:hAnsi="Arial" w:cs="Arial"/>
          <w:sz w:val="24"/>
          <w:szCs w:val="24"/>
        </w:rPr>
        <w:t xml:space="preserve">s nothing in </w:t>
      </w:r>
      <w:r w:rsidR="00790772">
        <w:rPr>
          <w:rFonts w:ascii="Arial" w:hAnsi="Arial" w:cs="Arial"/>
          <w:sz w:val="24"/>
          <w:szCs w:val="24"/>
        </w:rPr>
        <w:t xml:space="preserve">this </w:t>
      </w:r>
      <w:r w:rsidR="00E13BE0">
        <w:rPr>
          <w:rFonts w:ascii="Arial" w:hAnsi="Arial" w:cs="Arial"/>
          <w:sz w:val="24"/>
          <w:szCs w:val="24"/>
        </w:rPr>
        <w:t xml:space="preserve">regard and confirms my original </w:t>
      </w:r>
      <w:r w:rsidR="00CD1CBB">
        <w:rPr>
          <w:rFonts w:ascii="Arial" w:hAnsi="Arial" w:cs="Arial"/>
          <w:sz w:val="24"/>
          <w:szCs w:val="24"/>
        </w:rPr>
        <w:t>thoughts on the matter</w:t>
      </w:r>
      <w:r w:rsidR="00790772">
        <w:rPr>
          <w:rFonts w:ascii="Arial" w:hAnsi="Arial" w:cs="Arial"/>
          <w:sz w:val="24"/>
          <w:szCs w:val="24"/>
        </w:rPr>
        <w:t>.</w:t>
      </w:r>
      <w:r w:rsidR="00E13BE0">
        <w:rPr>
          <w:rFonts w:ascii="Arial" w:hAnsi="Arial" w:cs="Arial"/>
          <w:sz w:val="24"/>
          <w:szCs w:val="24"/>
        </w:rPr>
        <w:t xml:space="preserve"> </w:t>
      </w:r>
    </w:p>
    <w:p w:rsidR="00475E6A" w:rsidRDefault="00475E6A" w:rsidP="001579DC">
      <w:pPr>
        <w:rPr>
          <w:rFonts w:ascii="Arial" w:hAnsi="Arial" w:cs="Arial"/>
          <w:sz w:val="24"/>
          <w:szCs w:val="24"/>
        </w:rPr>
      </w:pPr>
    </w:p>
    <w:p w:rsidR="00475E6A" w:rsidRDefault="00475E6A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-3</w:t>
      </w:r>
    </w:p>
    <w:p w:rsidR="00BA44A5" w:rsidRDefault="00C826CA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IRR referenced responses to other intervenors. </w:t>
      </w:r>
      <w:r w:rsidR="005071E6">
        <w:rPr>
          <w:rFonts w:ascii="Arial" w:hAnsi="Arial" w:cs="Arial"/>
          <w:sz w:val="24"/>
          <w:szCs w:val="24"/>
        </w:rPr>
        <w:t xml:space="preserve">Based on the evidence the </w:t>
      </w:r>
      <w:r>
        <w:rPr>
          <w:rFonts w:ascii="Arial" w:hAnsi="Arial" w:cs="Arial"/>
          <w:sz w:val="24"/>
          <w:szCs w:val="24"/>
        </w:rPr>
        <w:t>responses were no</w:t>
      </w:r>
      <w:r w:rsidR="00513E9B">
        <w:rPr>
          <w:rFonts w:ascii="Arial" w:hAnsi="Arial" w:cs="Arial"/>
          <w:sz w:val="24"/>
          <w:szCs w:val="24"/>
        </w:rPr>
        <w:t xml:space="preserve">t adequate. The </w:t>
      </w:r>
      <w:r w:rsidR="004C7AFF">
        <w:rPr>
          <w:rFonts w:ascii="Arial" w:hAnsi="Arial" w:cs="Arial"/>
          <w:sz w:val="24"/>
          <w:szCs w:val="24"/>
        </w:rPr>
        <w:t>pro-forma statements did not provide the information requ</w:t>
      </w:r>
      <w:r w:rsidR="00B94750">
        <w:rPr>
          <w:rFonts w:ascii="Arial" w:hAnsi="Arial" w:cs="Arial"/>
          <w:sz w:val="24"/>
          <w:szCs w:val="24"/>
        </w:rPr>
        <w:t>ested</w:t>
      </w:r>
      <w:r w:rsidR="004C7AFF">
        <w:rPr>
          <w:rFonts w:ascii="Arial" w:hAnsi="Arial" w:cs="Arial"/>
          <w:sz w:val="24"/>
          <w:szCs w:val="24"/>
        </w:rPr>
        <w:t>.</w:t>
      </w:r>
    </w:p>
    <w:p w:rsidR="00C826CA" w:rsidRDefault="004C7AFF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5071E6">
        <w:rPr>
          <w:rFonts w:ascii="Arial" w:hAnsi="Arial" w:cs="Arial"/>
          <w:sz w:val="24"/>
          <w:szCs w:val="24"/>
        </w:rPr>
        <w:t xml:space="preserve"> </w:t>
      </w:r>
    </w:p>
    <w:p w:rsidR="004F3B2F" w:rsidRDefault="004F3B2F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-5</w:t>
      </w:r>
    </w:p>
    <w:p w:rsidR="008F10CC" w:rsidRDefault="008F10CC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suggested that NBHDL customers w</w:t>
      </w:r>
      <w:r w:rsidR="000004EB">
        <w:rPr>
          <w:rFonts w:ascii="Arial" w:hAnsi="Arial" w:cs="Arial"/>
          <w:sz w:val="24"/>
          <w:szCs w:val="24"/>
        </w:rPr>
        <w:t>ould</w:t>
      </w:r>
      <w:r>
        <w:rPr>
          <w:rFonts w:ascii="Arial" w:hAnsi="Arial" w:cs="Arial"/>
          <w:sz w:val="24"/>
          <w:szCs w:val="24"/>
        </w:rPr>
        <w:t xml:space="preserve"> benefit from lower OM&amp;A per customer costs following the amalgamation. The evidence </w:t>
      </w:r>
      <w:r w:rsidR="00063959">
        <w:rPr>
          <w:rFonts w:ascii="Arial" w:hAnsi="Arial" w:cs="Arial"/>
          <w:sz w:val="24"/>
          <w:szCs w:val="24"/>
        </w:rPr>
        <w:t>failed to</w:t>
      </w:r>
      <w:r w:rsidR="007D2D8E">
        <w:rPr>
          <w:rFonts w:ascii="Arial" w:hAnsi="Arial" w:cs="Arial"/>
          <w:sz w:val="24"/>
          <w:szCs w:val="24"/>
        </w:rPr>
        <w:t xml:space="preserve"> highlight the fact</w:t>
      </w:r>
      <w:r w:rsidR="00063959">
        <w:rPr>
          <w:rFonts w:ascii="Arial" w:hAnsi="Arial" w:cs="Arial"/>
          <w:sz w:val="24"/>
          <w:szCs w:val="24"/>
        </w:rPr>
        <w:t xml:space="preserve"> that </w:t>
      </w:r>
      <w:r w:rsidR="000004EB">
        <w:rPr>
          <w:rFonts w:ascii="Arial" w:hAnsi="Arial" w:cs="Arial"/>
          <w:sz w:val="24"/>
          <w:szCs w:val="24"/>
        </w:rPr>
        <w:t xml:space="preserve">any per customer savings would accrue to ERHDC customers and </w:t>
      </w:r>
      <w:r w:rsidR="00063959">
        <w:rPr>
          <w:rFonts w:ascii="Arial" w:hAnsi="Arial" w:cs="Arial"/>
          <w:sz w:val="24"/>
          <w:szCs w:val="24"/>
        </w:rPr>
        <w:t xml:space="preserve">the per customer cost </w:t>
      </w:r>
      <w:r w:rsidR="007D2D8E">
        <w:rPr>
          <w:rFonts w:ascii="Arial" w:hAnsi="Arial" w:cs="Arial"/>
          <w:sz w:val="24"/>
          <w:szCs w:val="24"/>
        </w:rPr>
        <w:t xml:space="preserve">for NBHDL customers would be unchanged whether or not the amalgamation took place. The IR was an attempt to get an acknowledgment of that fact from the </w:t>
      </w:r>
      <w:r w:rsidR="00EB7CBB">
        <w:rPr>
          <w:rFonts w:ascii="Arial" w:hAnsi="Arial" w:cs="Arial"/>
          <w:sz w:val="24"/>
          <w:szCs w:val="24"/>
        </w:rPr>
        <w:t>Applicant</w:t>
      </w:r>
      <w:r w:rsidR="007D2D8E">
        <w:rPr>
          <w:rFonts w:ascii="Arial" w:hAnsi="Arial" w:cs="Arial"/>
          <w:sz w:val="24"/>
          <w:szCs w:val="24"/>
        </w:rPr>
        <w:t xml:space="preserve">. </w:t>
      </w:r>
    </w:p>
    <w:p w:rsidR="00B461D8" w:rsidRDefault="00B461D8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IRR </w:t>
      </w:r>
      <w:r w:rsidR="00DC1D6D">
        <w:rPr>
          <w:rFonts w:ascii="Arial" w:hAnsi="Arial" w:cs="Arial"/>
          <w:sz w:val="24"/>
          <w:szCs w:val="24"/>
        </w:rPr>
        <w:t>suggest</w:t>
      </w:r>
      <w:r w:rsidR="00A364D3">
        <w:rPr>
          <w:rFonts w:ascii="Arial" w:hAnsi="Arial" w:cs="Arial"/>
          <w:sz w:val="24"/>
          <w:szCs w:val="24"/>
        </w:rPr>
        <w:t>ed</w:t>
      </w:r>
      <w:r w:rsidR="00DC1D6D">
        <w:rPr>
          <w:rFonts w:ascii="Arial" w:hAnsi="Arial" w:cs="Arial"/>
          <w:sz w:val="24"/>
          <w:szCs w:val="24"/>
        </w:rPr>
        <w:t xml:space="preserve"> that </w:t>
      </w:r>
      <w:r w:rsidR="00DE4A84">
        <w:rPr>
          <w:rFonts w:ascii="Arial" w:hAnsi="Arial" w:cs="Arial"/>
          <w:sz w:val="24"/>
          <w:szCs w:val="24"/>
        </w:rPr>
        <w:t xml:space="preserve">it would be a benefit to </w:t>
      </w:r>
      <w:r w:rsidR="00DC1D6D">
        <w:rPr>
          <w:rFonts w:ascii="Arial" w:hAnsi="Arial" w:cs="Arial"/>
          <w:sz w:val="24"/>
          <w:szCs w:val="24"/>
        </w:rPr>
        <w:t xml:space="preserve">NBHDL customers from having a larger customer base </w:t>
      </w:r>
      <w:r w:rsidR="00DE4A84">
        <w:rPr>
          <w:rFonts w:ascii="Arial" w:hAnsi="Arial" w:cs="Arial"/>
          <w:sz w:val="24"/>
          <w:szCs w:val="24"/>
        </w:rPr>
        <w:t xml:space="preserve">without a </w:t>
      </w:r>
      <w:r w:rsidR="003B0908">
        <w:rPr>
          <w:rFonts w:ascii="Arial" w:hAnsi="Arial" w:cs="Arial"/>
          <w:sz w:val="24"/>
          <w:szCs w:val="24"/>
        </w:rPr>
        <w:t xml:space="preserve">change in the OM&amp;A. The </w:t>
      </w:r>
      <w:r w:rsidR="00126EBD">
        <w:rPr>
          <w:rFonts w:ascii="Arial" w:hAnsi="Arial" w:cs="Arial"/>
          <w:sz w:val="24"/>
          <w:szCs w:val="24"/>
        </w:rPr>
        <w:t xml:space="preserve">motion query was </w:t>
      </w:r>
      <w:r w:rsidR="007D7F92">
        <w:rPr>
          <w:rFonts w:ascii="Arial" w:hAnsi="Arial" w:cs="Arial"/>
          <w:sz w:val="24"/>
          <w:szCs w:val="24"/>
        </w:rPr>
        <w:t xml:space="preserve">to </w:t>
      </w:r>
      <w:r w:rsidR="00126EBD">
        <w:rPr>
          <w:rFonts w:ascii="Arial" w:hAnsi="Arial" w:cs="Arial"/>
          <w:sz w:val="24"/>
          <w:szCs w:val="24"/>
        </w:rPr>
        <w:t xml:space="preserve">give the </w:t>
      </w:r>
      <w:r w:rsidR="00EB7CBB">
        <w:rPr>
          <w:rFonts w:ascii="Arial" w:hAnsi="Arial" w:cs="Arial"/>
          <w:sz w:val="24"/>
          <w:szCs w:val="24"/>
        </w:rPr>
        <w:t>Applicant</w:t>
      </w:r>
      <w:r w:rsidR="00126EBD">
        <w:rPr>
          <w:rFonts w:ascii="Arial" w:hAnsi="Arial" w:cs="Arial"/>
          <w:sz w:val="24"/>
          <w:szCs w:val="24"/>
        </w:rPr>
        <w:t xml:space="preserve"> an opportunity to expand on that suggestion. </w:t>
      </w:r>
    </w:p>
    <w:p w:rsidR="00627869" w:rsidRDefault="00627869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response suggests that </w:t>
      </w:r>
      <w:r w:rsidR="007D7F92">
        <w:rPr>
          <w:rFonts w:ascii="Arial" w:hAnsi="Arial" w:cs="Arial"/>
          <w:sz w:val="24"/>
          <w:szCs w:val="24"/>
        </w:rPr>
        <w:t xml:space="preserve">in spite of the fact that </w:t>
      </w:r>
      <w:r w:rsidR="00241C51">
        <w:rPr>
          <w:rFonts w:ascii="Arial" w:hAnsi="Arial" w:cs="Arial"/>
          <w:sz w:val="24"/>
          <w:szCs w:val="24"/>
        </w:rPr>
        <w:t xml:space="preserve">there </w:t>
      </w:r>
      <w:r w:rsidR="00087F16">
        <w:rPr>
          <w:rFonts w:ascii="Arial" w:hAnsi="Arial" w:cs="Arial"/>
          <w:sz w:val="24"/>
          <w:szCs w:val="24"/>
        </w:rPr>
        <w:t>are</w:t>
      </w:r>
      <w:r w:rsidR="00241C51">
        <w:rPr>
          <w:rFonts w:ascii="Arial" w:hAnsi="Arial" w:cs="Arial"/>
          <w:sz w:val="24"/>
          <w:szCs w:val="24"/>
        </w:rPr>
        <w:t xml:space="preserve"> no </w:t>
      </w:r>
      <w:r w:rsidR="00087F16">
        <w:rPr>
          <w:rFonts w:ascii="Arial" w:hAnsi="Arial" w:cs="Arial"/>
          <w:sz w:val="24"/>
          <w:szCs w:val="24"/>
        </w:rPr>
        <w:t xml:space="preserve">OM&amp;A </w:t>
      </w:r>
      <w:r w:rsidR="00241C51">
        <w:rPr>
          <w:rFonts w:ascii="Arial" w:hAnsi="Arial" w:cs="Arial"/>
          <w:sz w:val="24"/>
          <w:szCs w:val="24"/>
        </w:rPr>
        <w:t>sav</w:t>
      </w:r>
      <w:r w:rsidR="007D650D">
        <w:rPr>
          <w:rFonts w:ascii="Arial" w:hAnsi="Arial" w:cs="Arial"/>
          <w:sz w:val="24"/>
          <w:szCs w:val="24"/>
        </w:rPr>
        <w:t xml:space="preserve">ings to NBHDL customers </w:t>
      </w:r>
      <w:r w:rsidR="00934C66">
        <w:rPr>
          <w:rFonts w:ascii="Arial" w:hAnsi="Arial" w:cs="Arial"/>
          <w:sz w:val="24"/>
          <w:szCs w:val="24"/>
        </w:rPr>
        <w:t xml:space="preserve">they </w:t>
      </w:r>
      <w:r w:rsidR="007D7F92">
        <w:rPr>
          <w:rFonts w:ascii="Arial" w:hAnsi="Arial" w:cs="Arial"/>
          <w:sz w:val="24"/>
          <w:szCs w:val="24"/>
        </w:rPr>
        <w:t>will benefit a</w:t>
      </w:r>
      <w:r w:rsidR="007D650D">
        <w:rPr>
          <w:rFonts w:ascii="Arial" w:hAnsi="Arial" w:cs="Arial"/>
          <w:sz w:val="24"/>
          <w:szCs w:val="24"/>
        </w:rPr>
        <w:t>s a result of the amalgamation</w:t>
      </w:r>
      <w:r w:rsidR="00F83C9B">
        <w:rPr>
          <w:rFonts w:ascii="Arial" w:hAnsi="Arial" w:cs="Arial"/>
          <w:sz w:val="24"/>
          <w:szCs w:val="24"/>
        </w:rPr>
        <w:t xml:space="preserve"> because there will be a larger customer base</w:t>
      </w:r>
      <w:r w:rsidR="007D650D">
        <w:rPr>
          <w:rFonts w:ascii="Arial" w:hAnsi="Arial" w:cs="Arial"/>
          <w:sz w:val="24"/>
          <w:szCs w:val="24"/>
        </w:rPr>
        <w:t xml:space="preserve">.  The response </w:t>
      </w:r>
      <w:r w:rsidR="00241C51">
        <w:rPr>
          <w:rFonts w:ascii="Arial" w:hAnsi="Arial" w:cs="Arial"/>
          <w:sz w:val="24"/>
          <w:szCs w:val="24"/>
        </w:rPr>
        <w:t xml:space="preserve">confirms my </w:t>
      </w:r>
      <w:r w:rsidR="007D650D">
        <w:rPr>
          <w:rFonts w:ascii="Arial" w:hAnsi="Arial" w:cs="Arial"/>
          <w:sz w:val="24"/>
          <w:szCs w:val="24"/>
        </w:rPr>
        <w:t xml:space="preserve">original thoughts on the </w:t>
      </w:r>
      <w:r w:rsidR="00754F29">
        <w:rPr>
          <w:rFonts w:ascii="Arial" w:hAnsi="Arial" w:cs="Arial"/>
          <w:sz w:val="24"/>
          <w:szCs w:val="24"/>
        </w:rPr>
        <w:t xml:space="preserve">application’s evidence </w:t>
      </w:r>
      <w:r w:rsidR="007C09E0">
        <w:rPr>
          <w:rFonts w:ascii="Arial" w:hAnsi="Arial" w:cs="Arial"/>
          <w:sz w:val="24"/>
          <w:szCs w:val="24"/>
        </w:rPr>
        <w:t>regarding</w:t>
      </w:r>
      <w:r w:rsidR="00754F29">
        <w:rPr>
          <w:rFonts w:ascii="Arial" w:hAnsi="Arial" w:cs="Arial"/>
          <w:sz w:val="24"/>
          <w:szCs w:val="24"/>
        </w:rPr>
        <w:t xml:space="preserve"> OM&amp;A savings.</w:t>
      </w:r>
    </w:p>
    <w:p w:rsidR="00A364D3" w:rsidRDefault="00A364D3" w:rsidP="001579DC">
      <w:pPr>
        <w:rPr>
          <w:rFonts w:ascii="Arial" w:hAnsi="Arial" w:cs="Arial"/>
          <w:sz w:val="24"/>
          <w:szCs w:val="24"/>
        </w:rPr>
      </w:pPr>
    </w:p>
    <w:p w:rsidR="00AB3F16" w:rsidRDefault="00AB3F16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-7</w:t>
      </w:r>
    </w:p>
    <w:p w:rsidR="00AB3F16" w:rsidRDefault="00AB3F16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IR requested </w:t>
      </w:r>
      <w:r w:rsidR="00922CA4">
        <w:rPr>
          <w:rFonts w:ascii="Arial" w:hAnsi="Arial" w:cs="Arial"/>
          <w:sz w:val="24"/>
          <w:szCs w:val="24"/>
        </w:rPr>
        <w:t xml:space="preserve">an indication that the OM&amp;A savings resulting from the </w:t>
      </w:r>
      <w:r w:rsidR="002D55CD">
        <w:rPr>
          <w:rFonts w:ascii="Arial" w:hAnsi="Arial" w:cs="Arial"/>
          <w:sz w:val="24"/>
          <w:szCs w:val="24"/>
        </w:rPr>
        <w:t>amalgamation</w:t>
      </w:r>
      <w:r w:rsidR="00922CA4">
        <w:rPr>
          <w:rFonts w:ascii="Arial" w:hAnsi="Arial" w:cs="Arial"/>
          <w:sz w:val="24"/>
          <w:szCs w:val="24"/>
        </w:rPr>
        <w:t xml:space="preserve"> accrued to ERDHC customers only. The IRR</w:t>
      </w:r>
      <w:r w:rsidR="002D55CD">
        <w:rPr>
          <w:rFonts w:ascii="Arial" w:hAnsi="Arial" w:cs="Arial"/>
          <w:sz w:val="24"/>
          <w:szCs w:val="24"/>
        </w:rPr>
        <w:t xml:space="preserve"> relied on the response given in DDR-5.</w:t>
      </w:r>
    </w:p>
    <w:p w:rsidR="002D55CD" w:rsidRDefault="002D55CD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request was to provide an opportunity for </w:t>
      </w:r>
      <w:r w:rsidR="00E84CC6">
        <w:rPr>
          <w:rFonts w:ascii="Arial" w:hAnsi="Arial" w:cs="Arial"/>
          <w:sz w:val="24"/>
          <w:szCs w:val="24"/>
        </w:rPr>
        <w:t xml:space="preserve">the </w:t>
      </w:r>
      <w:r w:rsidR="00EB7CBB">
        <w:rPr>
          <w:rFonts w:ascii="Arial" w:hAnsi="Arial" w:cs="Arial"/>
          <w:sz w:val="24"/>
          <w:szCs w:val="24"/>
        </w:rPr>
        <w:t>Applicant</w:t>
      </w:r>
      <w:r w:rsidR="00E84CC6">
        <w:rPr>
          <w:rFonts w:ascii="Arial" w:hAnsi="Arial" w:cs="Arial"/>
          <w:sz w:val="24"/>
          <w:szCs w:val="24"/>
        </w:rPr>
        <w:t xml:space="preserve"> to provide</w:t>
      </w:r>
      <w:r w:rsidR="00F707B5">
        <w:rPr>
          <w:rFonts w:ascii="Arial" w:hAnsi="Arial" w:cs="Arial"/>
          <w:sz w:val="24"/>
          <w:szCs w:val="24"/>
        </w:rPr>
        <w:t xml:space="preserve"> a</w:t>
      </w:r>
      <w:r w:rsidR="00E84CC6">
        <w:rPr>
          <w:rFonts w:ascii="Arial" w:hAnsi="Arial" w:cs="Arial"/>
          <w:sz w:val="24"/>
          <w:szCs w:val="24"/>
        </w:rPr>
        <w:t xml:space="preserve"> further </w:t>
      </w:r>
      <w:r w:rsidR="00F707B5">
        <w:rPr>
          <w:rFonts w:ascii="Arial" w:hAnsi="Arial" w:cs="Arial"/>
          <w:sz w:val="24"/>
          <w:szCs w:val="24"/>
        </w:rPr>
        <w:t xml:space="preserve">explanation </w:t>
      </w:r>
      <w:r w:rsidR="00E84CC6">
        <w:rPr>
          <w:rFonts w:ascii="Arial" w:hAnsi="Arial" w:cs="Arial"/>
          <w:sz w:val="24"/>
          <w:szCs w:val="24"/>
        </w:rPr>
        <w:t>for stance taken. The matter will be addressed in the submission phase.</w:t>
      </w:r>
    </w:p>
    <w:p w:rsidR="00A87B3C" w:rsidRDefault="00A87B3C" w:rsidP="001579DC">
      <w:pPr>
        <w:rPr>
          <w:rFonts w:ascii="Arial" w:hAnsi="Arial" w:cs="Arial"/>
          <w:sz w:val="24"/>
          <w:szCs w:val="24"/>
        </w:rPr>
      </w:pPr>
    </w:p>
    <w:p w:rsidR="00A87B3C" w:rsidRDefault="00A87B3C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 w:rsidR="00DF09D5">
        <w:rPr>
          <w:rFonts w:ascii="Arial" w:hAnsi="Arial" w:cs="Arial"/>
          <w:sz w:val="24"/>
          <w:szCs w:val="24"/>
        </w:rPr>
        <w:t>-8</w:t>
      </w:r>
    </w:p>
    <w:p w:rsidR="00DF09D5" w:rsidRDefault="00DF09D5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application </w:t>
      </w:r>
      <w:r w:rsidR="00940ACB">
        <w:rPr>
          <w:rFonts w:ascii="Arial" w:hAnsi="Arial" w:cs="Arial"/>
          <w:sz w:val="24"/>
          <w:szCs w:val="24"/>
        </w:rPr>
        <w:t>suggests that ERHDC customers will benefit from NBHDL’s e</w:t>
      </w:r>
      <w:r w:rsidR="00FB41C3">
        <w:rPr>
          <w:rFonts w:ascii="Arial" w:hAnsi="Arial" w:cs="Arial"/>
          <w:sz w:val="24"/>
          <w:szCs w:val="24"/>
        </w:rPr>
        <w:t xml:space="preserve">xpertise in the design, planning and execution of future planned substation rebuilds. The IR asked the </w:t>
      </w:r>
      <w:r w:rsidR="00EB7CBB">
        <w:rPr>
          <w:rFonts w:ascii="Arial" w:hAnsi="Arial" w:cs="Arial"/>
          <w:sz w:val="24"/>
          <w:szCs w:val="24"/>
        </w:rPr>
        <w:t>Applicant</w:t>
      </w:r>
      <w:r w:rsidR="00FB41C3">
        <w:rPr>
          <w:rFonts w:ascii="Arial" w:hAnsi="Arial" w:cs="Arial"/>
          <w:sz w:val="24"/>
          <w:szCs w:val="24"/>
        </w:rPr>
        <w:t xml:space="preserve"> to provid</w:t>
      </w:r>
      <w:r w:rsidR="00CA722B">
        <w:rPr>
          <w:rFonts w:ascii="Arial" w:hAnsi="Arial" w:cs="Arial"/>
          <w:sz w:val="24"/>
          <w:szCs w:val="24"/>
        </w:rPr>
        <w:t>e an explanation to NBHDL customers regarding the monetary costs</w:t>
      </w:r>
      <w:r w:rsidR="00554A56">
        <w:rPr>
          <w:rFonts w:ascii="Arial" w:hAnsi="Arial" w:cs="Arial"/>
          <w:sz w:val="24"/>
          <w:szCs w:val="24"/>
        </w:rPr>
        <w:t xml:space="preserve">, which includes </w:t>
      </w:r>
      <w:r w:rsidR="00002BA5">
        <w:rPr>
          <w:rFonts w:ascii="Arial" w:hAnsi="Arial" w:cs="Arial"/>
          <w:sz w:val="24"/>
          <w:szCs w:val="24"/>
        </w:rPr>
        <w:t>NBHDL</w:t>
      </w:r>
      <w:r w:rsidR="00CA722B">
        <w:rPr>
          <w:rFonts w:ascii="Arial" w:hAnsi="Arial" w:cs="Arial"/>
          <w:sz w:val="24"/>
          <w:szCs w:val="24"/>
        </w:rPr>
        <w:t xml:space="preserve"> staff time and effort</w:t>
      </w:r>
      <w:r w:rsidR="00554A56">
        <w:rPr>
          <w:rFonts w:ascii="Arial" w:hAnsi="Arial" w:cs="Arial"/>
          <w:sz w:val="24"/>
          <w:szCs w:val="24"/>
        </w:rPr>
        <w:t xml:space="preserve">, </w:t>
      </w:r>
      <w:r w:rsidR="00CA722B">
        <w:rPr>
          <w:rFonts w:ascii="Arial" w:hAnsi="Arial" w:cs="Arial"/>
          <w:sz w:val="24"/>
          <w:szCs w:val="24"/>
        </w:rPr>
        <w:t xml:space="preserve">to pay for these rebuilds </w:t>
      </w:r>
      <w:r w:rsidR="00554A56">
        <w:rPr>
          <w:rFonts w:ascii="Arial" w:hAnsi="Arial" w:cs="Arial"/>
          <w:sz w:val="24"/>
          <w:szCs w:val="24"/>
        </w:rPr>
        <w:t xml:space="preserve">and how they </w:t>
      </w:r>
      <w:r w:rsidR="00CA722B">
        <w:rPr>
          <w:rFonts w:ascii="Arial" w:hAnsi="Arial" w:cs="Arial"/>
          <w:sz w:val="24"/>
          <w:szCs w:val="24"/>
        </w:rPr>
        <w:t>would not be harmful</w:t>
      </w:r>
      <w:r w:rsidR="00554A56">
        <w:rPr>
          <w:rFonts w:ascii="Arial" w:hAnsi="Arial" w:cs="Arial"/>
          <w:sz w:val="24"/>
          <w:szCs w:val="24"/>
        </w:rPr>
        <w:t xml:space="preserve">. </w:t>
      </w:r>
      <w:r w:rsidR="00CA722B">
        <w:rPr>
          <w:rFonts w:ascii="Arial" w:hAnsi="Arial" w:cs="Arial"/>
          <w:sz w:val="24"/>
          <w:szCs w:val="24"/>
        </w:rPr>
        <w:t xml:space="preserve"> The IRR suggested that there would be no cost to NBHDL </w:t>
      </w:r>
      <w:r w:rsidR="00EF7F81">
        <w:rPr>
          <w:rFonts w:ascii="Arial" w:hAnsi="Arial" w:cs="Arial"/>
          <w:sz w:val="24"/>
          <w:szCs w:val="24"/>
        </w:rPr>
        <w:t xml:space="preserve">customers </w:t>
      </w:r>
      <w:r w:rsidR="00CA722B">
        <w:rPr>
          <w:rFonts w:ascii="Arial" w:hAnsi="Arial" w:cs="Arial"/>
          <w:sz w:val="24"/>
          <w:szCs w:val="24"/>
        </w:rPr>
        <w:t xml:space="preserve">for supplying </w:t>
      </w:r>
      <w:r w:rsidR="00EF7F81">
        <w:rPr>
          <w:rFonts w:ascii="Arial" w:hAnsi="Arial" w:cs="Arial"/>
          <w:sz w:val="24"/>
          <w:szCs w:val="24"/>
        </w:rPr>
        <w:t>design, planning or execution skills and the financial costs arising from this 10 year endeavour would be fully paid by ERHDC customers.</w:t>
      </w:r>
    </w:p>
    <w:p w:rsidR="007A187D" w:rsidRDefault="007A187D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query </w:t>
      </w:r>
      <w:r w:rsidR="00002BA5">
        <w:rPr>
          <w:rFonts w:ascii="Arial" w:hAnsi="Arial" w:cs="Arial"/>
          <w:sz w:val="24"/>
          <w:szCs w:val="24"/>
        </w:rPr>
        <w:t>asked</w:t>
      </w:r>
      <w:r>
        <w:rPr>
          <w:rFonts w:ascii="Arial" w:hAnsi="Arial" w:cs="Arial"/>
          <w:sz w:val="24"/>
          <w:szCs w:val="24"/>
        </w:rPr>
        <w:t xml:space="preserve"> that the </w:t>
      </w:r>
      <w:r w:rsidR="00EB7CBB">
        <w:rPr>
          <w:rFonts w:ascii="Arial" w:hAnsi="Arial" w:cs="Arial"/>
          <w:sz w:val="24"/>
          <w:szCs w:val="24"/>
        </w:rPr>
        <w:t>Applicant</w:t>
      </w:r>
      <w:r>
        <w:rPr>
          <w:rFonts w:ascii="Arial" w:hAnsi="Arial" w:cs="Arial"/>
          <w:sz w:val="24"/>
          <w:szCs w:val="24"/>
        </w:rPr>
        <w:t xml:space="preserve"> confirm directly that no costs would be </w:t>
      </w:r>
      <w:r w:rsidR="003B62DF">
        <w:rPr>
          <w:rFonts w:ascii="Arial" w:hAnsi="Arial" w:cs="Arial"/>
          <w:sz w:val="24"/>
          <w:szCs w:val="24"/>
        </w:rPr>
        <w:t>borne</w:t>
      </w:r>
      <w:r>
        <w:rPr>
          <w:rFonts w:ascii="Arial" w:hAnsi="Arial" w:cs="Arial"/>
          <w:sz w:val="24"/>
          <w:szCs w:val="24"/>
        </w:rPr>
        <w:t xml:space="preserve"> by NBHDL customers. The motion response </w:t>
      </w:r>
      <w:r w:rsidR="005D7D6C">
        <w:rPr>
          <w:rFonts w:ascii="Arial" w:hAnsi="Arial" w:cs="Arial"/>
          <w:sz w:val="24"/>
          <w:szCs w:val="24"/>
        </w:rPr>
        <w:t>fails to confirm that fact.</w:t>
      </w:r>
    </w:p>
    <w:p w:rsidR="005D7D6C" w:rsidRDefault="005D7D6C" w:rsidP="001579DC">
      <w:pPr>
        <w:rPr>
          <w:rFonts w:ascii="Arial" w:hAnsi="Arial" w:cs="Arial"/>
          <w:sz w:val="24"/>
          <w:szCs w:val="24"/>
        </w:rPr>
      </w:pPr>
    </w:p>
    <w:p w:rsidR="005D7D6C" w:rsidRDefault="005D7D6C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-11</w:t>
      </w:r>
    </w:p>
    <w:p w:rsidR="00002BA5" w:rsidRDefault="00002BA5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IR requested d</w:t>
      </w:r>
      <w:r w:rsidR="00853C34">
        <w:rPr>
          <w:rFonts w:ascii="Arial" w:hAnsi="Arial" w:cs="Arial"/>
          <w:sz w:val="24"/>
          <w:szCs w:val="24"/>
        </w:rPr>
        <w:t xml:space="preserve">etails of the thinking that initiated the plan and </w:t>
      </w:r>
      <w:r w:rsidR="004D164D">
        <w:rPr>
          <w:rFonts w:ascii="Arial" w:hAnsi="Arial" w:cs="Arial"/>
          <w:sz w:val="24"/>
          <w:szCs w:val="24"/>
        </w:rPr>
        <w:t xml:space="preserve">came to the </w:t>
      </w:r>
      <w:r w:rsidR="002669EE">
        <w:rPr>
          <w:rFonts w:ascii="Arial" w:hAnsi="Arial" w:cs="Arial"/>
          <w:sz w:val="24"/>
          <w:szCs w:val="24"/>
        </w:rPr>
        <w:t>conclusion</w:t>
      </w:r>
      <w:r w:rsidR="00853C34">
        <w:rPr>
          <w:rFonts w:ascii="Arial" w:hAnsi="Arial" w:cs="Arial"/>
          <w:sz w:val="24"/>
          <w:szCs w:val="24"/>
        </w:rPr>
        <w:t xml:space="preserve"> that this would not be harmful to NBHDL customers.</w:t>
      </w:r>
      <w:r w:rsidR="00A44311">
        <w:rPr>
          <w:rFonts w:ascii="Arial" w:hAnsi="Arial" w:cs="Arial"/>
          <w:sz w:val="24"/>
          <w:szCs w:val="24"/>
        </w:rPr>
        <w:t xml:space="preserve"> The IRR suggested that this was part of NBHDL mission statement.</w:t>
      </w:r>
      <w:r w:rsidR="002F7705">
        <w:rPr>
          <w:rFonts w:ascii="Arial" w:hAnsi="Arial" w:cs="Arial"/>
          <w:sz w:val="24"/>
          <w:szCs w:val="24"/>
        </w:rPr>
        <w:t xml:space="preserve"> The IRR also suggested that all customers will be better off because of the economies of scale</w:t>
      </w:r>
      <w:r w:rsidR="00547AFE">
        <w:rPr>
          <w:rFonts w:ascii="Arial" w:hAnsi="Arial" w:cs="Arial"/>
          <w:sz w:val="24"/>
          <w:szCs w:val="24"/>
        </w:rPr>
        <w:t xml:space="preserve"> and the benefits of synergies created. </w:t>
      </w:r>
    </w:p>
    <w:p w:rsidR="00547AFE" w:rsidRDefault="00547AFE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Since the efficacy of th</w:t>
      </w:r>
      <w:r w:rsidR="00EC7D62">
        <w:rPr>
          <w:rFonts w:ascii="Arial" w:hAnsi="Arial" w:cs="Arial"/>
          <w:sz w:val="24"/>
          <w:szCs w:val="24"/>
        </w:rPr>
        <w:t xml:space="preserve">ese </w:t>
      </w:r>
      <w:r>
        <w:rPr>
          <w:rFonts w:ascii="Arial" w:hAnsi="Arial" w:cs="Arial"/>
          <w:sz w:val="24"/>
          <w:szCs w:val="24"/>
        </w:rPr>
        <w:t>statement</w:t>
      </w:r>
      <w:r w:rsidR="00EC7D6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E33CD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 xml:space="preserve">s not obvious to me, the motion query </w:t>
      </w:r>
      <w:r w:rsidR="00EE33CD">
        <w:rPr>
          <w:rFonts w:ascii="Arial" w:hAnsi="Arial" w:cs="Arial"/>
          <w:sz w:val="24"/>
          <w:szCs w:val="24"/>
        </w:rPr>
        <w:t>provid</w:t>
      </w:r>
      <w:r>
        <w:rPr>
          <w:rFonts w:ascii="Arial" w:hAnsi="Arial" w:cs="Arial"/>
          <w:sz w:val="24"/>
          <w:szCs w:val="24"/>
        </w:rPr>
        <w:t xml:space="preserve">ed a further opportunity for the </w:t>
      </w:r>
      <w:r w:rsidR="00EB7CBB">
        <w:rPr>
          <w:rFonts w:ascii="Arial" w:hAnsi="Arial" w:cs="Arial"/>
          <w:sz w:val="24"/>
          <w:szCs w:val="24"/>
        </w:rPr>
        <w:t>Applicant</w:t>
      </w:r>
      <w:r>
        <w:rPr>
          <w:rFonts w:ascii="Arial" w:hAnsi="Arial" w:cs="Arial"/>
          <w:sz w:val="24"/>
          <w:szCs w:val="24"/>
        </w:rPr>
        <w:t xml:space="preserve"> to provide more information.  </w:t>
      </w:r>
      <w:r w:rsidR="00EE33CD">
        <w:rPr>
          <w:rFonts w:ascii="Arial" w:hAnsi="Arial" w:cs="Arial"/>
          <w:sz w:val="24"/>
          <w:szCs w:val="24"/>
        </w:rPr>
        <w:t>The motion response confirmed my original understanding of the evidence.</w:t>
      </w:r>
    </w:p>
    <w:p w:rsidR="00EC7D62" w:rsidRDefault="00EC7D62" w:rsidP="001579DC">
      <w:pPr>
        <w:rPr>
          <w:rFonts w:ascii="Arial" w:hAnsi="Arial" w:cs="Arial"/>
          <w:sz w:val="24"/>
          <w:szCs w:val="24"/>
        </w:rPr>
      </w:pPr>
    </w:p>
    <w:p w:rsidR="00EC7D62" w:rsidRDefault="00EC7D62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-12</w:t>
      </w:r>
    </w:p>
    <w:p w:rsidR="008E6C5A" w:rsidRDefault="008D0B96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suggested</w:t>
      </w:r>
      <w:r w:rsidR="00996E5B">
        <w:rPr>
          <w:rFonts w:ascii="Arial" w:hAnsi="Arial" w:cs="Arial"/>
          <w:sz w:val="24"/>
          <w:szCs w:val="24"/>
        </w:rPr>
        <w:t xml:space="preserve"> that the transaction and transitional costs</w:t>
      </w:r>
      <w:r>
        <w:rPr>
          <w:rFonts w:ascii="Arial" w:hAnsi="Arial" w:cs="Arial"/>
          <w:sz w:val="24"/>
          <w:szCs w:val="24"/>
        </w:rPr>
        <w:t xml:space="preserve"> would</w:t>
      </w:r>
      <w:r w:rsidR="00C27B85">
        <w:rPr>
          <w:rFonts w:ascii="Arial" w:hAnsi="Arial" w:cs="Arial"/>
          <w:sz w:val="24"/>
          <w:szCs w:val="24"/>
        </w:rPr>
        <w:t xml:space="preserve"> not be included in rates. While the st</w:t>
      </w:r>
      <w:r w:rsidR="00006DA4">
        <w:rPr>
          <w:rFonts w:ascii="Arial" w:hAnsi="Arial" w:cs="Arial"/>
          <w:sz w:val="24"/>
          <w:szCs w:val="24"/>
        </w:rPr>
        <w:t>atement may be technically true</w:t>
      </w:r>
      <w:r w:rsidR="00DF111E">
        <w:rPr>
          <w:rFonts w:ascii="Arial" w:hAnsi="Arial" w:cs="Arial"/>
          <w:sz w:val="24"/>
          <w:szCs w:val="24"/>
        </w:rPr>
        <w:t xml:space="preserve">, it could be taken to infer that customers would not be paying for the costs. The IR </w:t>
      </w:r>
      <w:r w:rsidR="00AA7F7A">
        <w:rPr>
          <w:rFonts w:ascii="Arial" w:hAnsi="Arial" w:cs="Arial"/>
          <w:sz w:val="24"/>
          <w:szCs w:val="24"/>
        </w:rPr>
        <w:t xml:space="preserve">asked </w:t>
      </w:r>
      <w:r w:rsidR="00006DA4">
        <w:rPr>
          <w:rFonts w:ascii="Arial" w:hAnsi="Arial" w:cs="Arial"/>
          <w:sz w:val="24"/>
          <w:szCs w:val="24"/>
        </w:rPr>
        <w:t xml:space="preserve">the </w:t>
      </w:r>
      <w:r w:rsidR="00EB7CBB">
        <w:rPr>
          <w:rFonts w:ascii="Arial" w:hAnsi="Arial" w:cs="Arial"/>
          <w:sz w:val="24"/>
          <w:szCs w:val="24"/>
        </w:rPr>
        <w:t>Applicant</w:t>
      </w:r>
      <w:r w:rsidR="00006DA4">
        <w:rPr>
          <w:rFonts w:ascii="Arial" w:hAnsi="Arial" w:cs="Arial"/>
          <w:sz w:val="24"/>
          <w:szCs w:val="24"/>
        </w:rPr>
        <w:t xml:space="preserve"> </w:t>
      </w:r>
      <w:r w:rsidR="00AA7F7A">
        <w:rPr>
          <w:rFonts w:ascii="Arial" w:hAnsi="Arial" w:cs="Arial"/>
          <w:sz w:val="24"/>
          <w:szCs w:val="24"/>
        </w:rPr>
        <w:t xml:space="preserve">to </w:t>
      </w:r>
      <w:r w:rsidR="00006DA4">
        <w:rPr>
          <w:rFonts w:ascii="Arial" w:hAnsi="Arial" w:cs="Arial"/>
          <w:sz w:val="24"/>
          <w:szCs w:val="24"/>
        </w:rPr>
        <w:t>confirm</w:t>
      </w:r>
      <w:r w:rsidR="00DF111E">
        <w:rPr>
          <w:rFonts w:ascii="Arial" w:hAnsi="Arial" w:cs="Arial"/>
          <w:sz w:val="24"/>
          <w:szCs w:val="24"/>
        </w:rPr>
        <w:t xml:space="preserve"> th</w:t>
      </w:r>
      <w:r w:rsidR="00006DA4">
        <w:rPr>
          <w:rFonts w:ascii="Arial" w:hAnsi="Arial" w:cs="Arial"/>
          <w:sz w:val="24"/>
          <w:szCs w:val="24"/>
        </w:rPr>
        <w:t>at the</w:t>
      </w:r>
      <w:r w:rsidR="006C53BE">
        <w:rPr>
          <w:rFonts w:ascii="Arial" w:hAnsi="Arial" w:cs="Arial"/>
          <w:sz w:val="24"/>
          <w:szCs w:val="24"/>
        </w:rPr>
        <w:t xml:space="preserve"> funds for these expenditure</w:t>
      </w:r>
      <w:r w:rsidR="009E344F">
        <w:rPr>
          <w:rFonts w:ascii="Arial" w:hAnsi="Arial" w:cs="Arial"/>
          <w:sz w:val="24"/>
          <w:szCs w:val="24"/>
        </w:rPr>
        <w:t>s</w:t>
      </w:r>
      <w:r w:rsidR="006C53BE">
        <w:rPr>
          <w:rFonts w:ascii="Arial" w:hAnsi="Arial" w:cs="Arial"/>
          <w:sz w:val="24"/>
          <w:szCs w:val="24"/>
        </w:rPr>
        <w:t xml:space="preserve"> were</w:t>
      </w:r>
      <w:r w:rsidR="00EF588C">
        <w:rPr>
          <w:rFonts w:ascii="Arial" w:hAnsi="Arial" w:cs="Arial"/>
          <w:sz w:val="24"/>
          <w:szCs w:val="24"/>
        </w:rPr>
        <w:t xml:space="preserve"> or will be paid out of </w:t>
      </w:r>
      <w:r w:rsidR="006C53BE">
        <w:rPr>
          <w:rFonts w:ascii="Arial" w:hAnsi="Arial" w:cs="Arial"/>
          <w:sz w:val="24"/>
          <w:szCs w:val="24"/>
        </w:rPr>
        <w:t xml:space="preserve">delivery rates at some point and that all </w:t>
      </w:r>
      <w:r w:rsidR="00DF111E">
        <w:rPr>
          <w:rFonts w:ascii="Arial" w:hAnsi="Arial" w:cs="Arial"/>
          <w:sz w:val="24"/>
          <w:szCs w:val="24"/>
        </w:rPr>
        <w:t xml:space="preserve">costs would indeed be paid for by </w:t>
      </w:r>
      <w:r w:rsidR="00006DA4">
        <w:rPr>
          <w:rFonts w:ascii="Arial" w:hAnsi="Arial" w:cs="Arial"/>
          <w:sz w:val="24"/>
          <w:szCs w:val="24"/>
        </w:rPr>
        <w:t>customers.</w:t>
      </w:r>
      <w:r w:rsidR="00AA7F7A">
        <w:rPr>
          <w:rFonts w:ascii="Arial" w:hAnsi="Arial" w:cs="Arial"/>
          <w:sz w:val="24"/>
          <w:szCs w:val="24"/>
        </w:rPr>
        <w:t xml:space="preserve"> The IRR </w:t>
      </w:r>
      <w:r w:rsidR="008E6C5A">
        <w:rPr>
          <w:rFonts w:ascii="Arial" w:hAnsi="Arial" w:cs="Arial"/>
          <w:sz w:val="24"/>
          <w:szCs w:val="24"/>
        </w:rPr>
        <w:t xml:space="preserve">incorrectly suggested that costs would be </w:t>
      </w:r>
      <w:r w:rsidR="00D10ACE">
        <w:rPr>
          <w:rFonts w:ascii="Arial" w:hAnsi="Arial" w:cs="Arial"/>
          <w:sz w:val="24"/>
          <w:szCs w:val="24"/>
        </w:rPr>
        <w:t>funded through</w:t>
      </w:r>
      <w:r w:rsidR="008E6C5A">
        <w:rPr>
          <w:rFonts w:ascii="Arial" w:hAnsi="Arial" w:cs="Arial"/>
          <w:sz w:val="24"/>
          <w:szCs w:val="24"/>
        </w:rPr>
        <w:t xml:space="preserve"> retained earnings.</w:t>
      </w:r>
    </w:p>
    <w:p w:rsidR="009E344F" w:rsidRDefault="00537053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</w:t>
      </w:r>
      <w:r w:rsidR="009E344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 w:rsidR="009E344F">
        <w:rPr>
          <w:rFonts w:ascii="Arial" w:hAnsi="Arial" w:cs="Arial"/>
          <w:sz w:val="24"/>
          <w:szCs w:val="24"/>
        </w:rPr>
        <w:t xml:space="preserve">on query </w:t>
      </w:r>
      <w:r>
        <w:rPr>
          <w:rFonts w:ascii="Arial" w:hAnsi="Arial" w:cs="Arial"/>
          <w:sz w:val="24"/>
          <w:szCs w:val="24"/>
        </w:rPr>
        <w:t xml:space="preserve">was a further attempt to clarify the understanding of the original evidence in the application. </w:t>
      </w:r>
      <w:r w:rsidR="00DD3974">
        <w:rPr>
          <w:rFonts w:ascii="Arial" w:hAnsi="Arial" w:cs="Arial"/>
          <w:sz w:val="24"/>
          <w:szCs w:val="24"/>
        </w:rPr>
        <w:t>T</w:t>
      </w:r>
      <w:r w:rsidR="00EB02B4">
        <w:rPr>
          <w:rFonts w:ascii="Arial" w:hAnsi="Arial" w:cs="Arial"/>
          <w:sz w:val="24"/>
          <w:szCs w:val="24"/>
        </w:rPr>
        <w:t xml:space="preserve">he response to the query agrees there was an error in the wording </w:t>
      </w:r>
      <w:r w:rsidR="005176A8">
        <w:rPr>
          <w:rFonts w:ascii="Arial" w:hAnsi="Arial" w:cs="Arial"/>
          <w:sz w:val="24"/>
          <w:szCs w:val="24"/>
        </w:rPr>
        <w:t xml:space="preserve">in the application </w:t>
      </w:r>
      <w:r w:rsidR="00EB02B4">
        <w:rPr>
          <w:rFonts w:ascii="Arial" w:hAnsi="Arial" w:cs="Arial"/>
          <w:sz w:val="24"/>
          <w:szCs w:val="24"/>
        </w:rPr>
        <w:t xml:space="preserve">but </w:t>
      </w:r>
      <w:r w:rsidR="0037071A">
        <w:rPr>
          <w:rFonts w:ascii="Arial" w:hAnsi="Arial" w:cs="Arial"/>
          <w:sz w:val="24"/>
          <w:szCs w:val="24"/>
        </w:rPr>
        <w:t>suggests a further</w:t>
      </w:r>
      <w:r w:rsidR="00FF2A37">
        <w:rPr>
          <w:rFonts w:ascii="Arial" w:hAnsi="Arial" w:cs="Arial"/>
          <w:sz w:val="24"/>
          <w:szCs w:val="24"/>
        </w:rPr>
        <w:t xml:space="preserve"> explanation </w:t>
      </w:r>
      <w:r w:rsidR="00EF4DBA">
        <w:rPr>
          <w:rFonts w:ascii="Arial" w:hAnsi="Arial" w:cs="Arial"/>
          <w:sz w:val="24"/>
          <w:szCs w:val="24"/>
        </w:rPr>
        <w:t>of the original evidence is</w:t>
      </w:r>
      <w:r w:rsidR="0037071A">
        <w:rPr>
          <w:rFonts w:ascii="Arial" w:hAnsi="Arial" w:cs="Arial"/>
          <w:sz w:val="24"/>
          <w:szCs w:val="24"/>
        </w:rPr>
        <w:t xml:space="preserve"> not required. The response confirms my original understanding of the evidence.</w:t>
      </w:r>
    </w:p>
    <w:p w:rsidR="00EC7D62" w:rsidRDefault="00EC7D62" w:rsidP="001579DC">
      <w:pPr>
        <w:rPr>
          <w:rFonts w:ascii="Arial" w:hAnsi="Arial" w:cs="Arial"/>
          <w:sz w:val="24"/>
          <w:szCs w:val="24"/>
        </w:rPr>
      </w:pPr>
    </w:p>
    <w:p w:rsidR="00B155D2" w:rsidRDefault="00B155D2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-13</w:t>
      </w:r>
    </w:p>
    <w:p w:rsidR="00F522B8" w:rsidRDefault="00B155D2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query was not posed because of a disagreement with the </w:t>
      </w:r>
      <w:r w:rsidR="00EB7CBB">
        <w:rPr>
          <w:rFonts w:ascii="Arial" w:hAnsi="Arial" w:cs="Arial"/>
          <w:sz w:val="24"/>
          <w:szCs w:val="24"/>
        </w:rPr>
        <w:t>Applicant</w:t>
      </w:r>
      <w:r w:rsidR="00CA7E5A">
        <w:rPr>
          <w:rFonts w:ascii="Arial" w:hAnsi="Arial" w:cs="Arial"/>
          <w:sz w:val="24"/>
          <w:szCs w:val="24"/>
        </w:rPr>
        <w:t>’s response. The query was posed because</w:t>
      </w:r>
      <w:r w:rsidR="00F522B8">
        <w:rPr>
          <w:rFonts w:ascii="Arial" w:hAnsi="Arial" w:cs="Arial"/>
          <w:sz w:val="24"/>
          <w:szCs w:val="24"/>
        </w:rPr>
        <w:t xml:space="preserve"> the IRR </w:t>
      </w:r>
      <w:r w:rsidR="00CA7E5A">
        <w:rPr>
          <w:rFonts w:ascii="Arial" w:hAnsi="Arial" w:cs="Arial"/>
          <w:sz w:val="24"/>
          <w:szCs w:val="24"/>
        </w:rPr>
        <w:t>appear</w:t>
      </w:r>
      <w:r w:rsidR="00F522B8">
        <w:rPr>
          <w:rFonts w:ascii="Arial" w:hAnsi="Arial" w:cs="Arial"/>
          <w:sz w:val="24"/>
          <w:szCs w:val="24"/>
        </w:rPr>
        <w:t xml:space="preserve">ed </w:t>
      </w:r>
      <w:r w:rsidR="00CA7E5A">
        <w:rPr>
          <w:rFonts w:ascii="Arial" w:hAnsi="Arial" w:cs="Arial"/>
          <w:sz w:val="24"/>
          <w:szCs w:val="24"/>
        </w:rPr>
        <w:t xml:space="preserve">to </w:t>
      </w:r>
      <w:r w:rsidR="00F522B8">
        <w:rPr>
          <w:rFonts w:ascii="Arial" w:hAnsi="Arial" w:cs="Arial"/>
          <w:sz w:val="24"/>
          <w:szCs w:val="24"/>
        </w:rPr>
        <w:t xml:space="preserve">be trying to suggest </w:t>
      </w:r>
      <w:r w:rsidR="007D4678">
        <w:rPr>
          <w:rFonts w:ascii="Arial" w:hAnsi="Arial" w:cs="Arial"/>
          <w:sz w:val="24"/>
          <w:szCs w:val="24"/>
        </w:rPr>
        <w:t>that</w:t>
      </w:r>
      <w:r w:rsidR="00CA7E5A">
        <w:rPr>
          <w:rFonts w:ascii="Arial" w:hAnsi="Arial" w:cs="Arial"/>
          <w:sz w:val="24"/>
          <w:szCs w:val="24"/>
        </w:rPr>
        <w:t xml:space="preserve"> customers </w:t>
      </w:r>
      <w:r w:rsidR="007D4678">
        <w:rPr>
          <w:rFonts w:ascii="Arial" w:hAnsi="Arial" w:cs="Arial"/>
          <w:sz w:val="24"/>
          <w:szCs w:val="24"/>
        </w:rPr>
        <w:t>would not</w:t>
      </w:r>
      <w:r w:rsidR="00CA7E5A">
        <w:rPr>
          <w:rFonts w:ascii="Arial" w:hAnsi="Arial" w:cs="Arial"/>
          <w:sz w:val="24"/>
          <w:szCs w:val="24"/>
        </w:rPr>
        <w:t xml:space="preserve"> be </w:t>
      </w:r>
      <w:r w:rsidR="00F522B8">
        <w:rPr>
          <w:rFonts w:ascii="Arial" w:hAnsi="Arial" w:cs="Arial"/>
          <w:sz w:val="24"/>
          <w:szCs w:val="24"/>
        </w:rPr>
        <w:t>funding the</w:t>
      </w:r>
      <w:r w:rsidR="00CA7E5A">
        <w:rPr>
          <w:rFonts w:ascii="Arial" w:hAnsi="Arial" w:cs="Arial"/>
          <w:sz w:val="24"/>
          <w:szCs w:val="24"/>
        </w:rPr>
        <w:t xml:space="preserve"> legal and financial costs associated with </w:t>
      </w:r>
      <w:r w:rsidR="00D6690C">
        <w:rPr>
          <w:rFonts w:ascii="Arial" w:hAnsi="Arial" w:cs="Arial"/>
          <w:sz w:val="24"/>
          <w:szCs w:val="24"/>
        </w:rPr>
        <w:t>th</w:t>
      </w:r>
      <w:r w:rsidR="006B7ED3">
        <w:rPr>
          <w:rFonts w:ascii="Arial" w:hAnsi="Arial" w:cs="Arial"/>
          <w:sz w:val="24"/>
          <w:szCs w:val="24"/>
        </w:rPr>
        <w:t>is</w:t>
      </w:r>
      <w:r w:rsidR="00D6690C">
        <w:rPr>
          <w:rFonts w:ascii="Arial" w:hAnsi="Arial" w:cs="Arial"/>
          <w:sz w:val="24"/>
          <w:szCs w:val="24"/>
        </w:rPr>
        <w:t xml:space="preserve"> transaction. </w:t>
      </w:r>
    </w:p>
    <w:p w:rsidR="00D109FA" w:rsidRDefault="00D6690C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motion query was an attempt to discover if there was some information that I was missing</w:t>
      </w:r>
      <w:r w:rsidR="00CA6F8A">
        <w:rPr>
          <w:rFonts w:ascii="Arial" w:hAnsi="Arial" w:cs="Arial"/>
          <w:sz w:val="24"/>
          <w:szCs w:val="24"/>
        </w:rPr>
        <w:t xml:space="preserve"> or not understanding from the evidence provided.</w:t>
      </w:r>
      <w:r w:rsidR="00960F83">
        <w:rPr>
          <w:rFonts w:ascii="Arial" w:hAnsi="Arial" w:cs="Arial"/>
          <w:sz w:val="24"/>
          <w:szCs w:val="24"/>
        </w:rPr>
        <w:t xml:space="preserve"> The response confirmed my understanding of the original evidence. </w:t>
      </w:r>
    </w:p>
    <w:p w:rsidR="007D4678" w:rsidRDefault="007D4678" w:rsidP="001579DC">
      <w:pPr>
        <w:rPr>
          <w:rFonts w:ascii="Arial" w:hAnsi="Arial" w:cs="Arial"/>
          <w:sz w:val="24"/>
          <w:szCs w:val="24"/>
        </w:rPr>
      </w:pPr>
    </w:p>
    <w:p w:rsidR="00D109FA" w:rsidRDefault="00D109FA" w:rsidP="001579DC">
      <w:pPr>
        <w:rPr>
          <w:rFonts w:ascii="Arial" w:hAnsi="Arial" w:cs="Arial"/>
          <w:sz w:val="24"/>
          <w:szCs w:val="24"/>
        </w:rPr>
      </w:pPr>
      <w:r w:rsidRPr="00330C3E">
        <w:rPr>
          <w:rFonts w:ascii="Arial" w:hAnsi="Arial" w:cs="Arial"/>
          <w:sz w:val="24"/>
          <w:szCs w:val="24"/>
        </w:rPr>
        <w:t>DDR</w:t>
      </w:r>
      <w:r>
        <w:rPr>
          <w:rFonts w:ascii="Arial" w:hAnsi="Arial" w:cs="Arial"/>
          <w:sz w:val="24"/>
          <w:szCs w:val="24"/>
        </w:rPr>
        <w:t>-14</w:t>
      </w:r>
    </w:p>
    <w:p w:rsidR="00226095" w:rsidRDefault="00BC25A7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IR requested some clarification of the purchase price calculation. </w:t>
      </w:r>
      <w:r w:rsidR="00226095">
        <w:rPr>
          <w:rFonts w:ascii="Arial" w:hAnsi="Arial" w:cs="Arial"/>
          <w:sz w:val="24"/>
          <w:szCs w:val="24"/>
        </w:rPr>
        <w:t xml:space="preserve">The purchase price </w:t>
      </w:r>
      <w:r w:rsidR="00BC53B8">
        <w:rPr>
          <w:rFonts w:ascii="Arial" w:hAnsi="Arial" w:cs="Arial"/>
          <w:sz w:val="24"/>
          <w:szCs w:val="24"/>
        </w:rPr>
        <w:t>appears to be</w:t>
      </w:r>
      <w:r w:rsidR="00226095">
        <w:rPr>
          <w:rFonts w:ascii="Arial" w:hAnsi="Arial" w:cs="Arial"/>
          <w:sz w:val="24"/>
          <w:szCs w:val="24"/>
        </w:rPr>
        <w:t xml:space="preserve"> a result of using two methods to </w:t>
      </w:r>
      <w:r w:rsidR="00BC53B8">
        <w:rPr>
          <w:rFonts w:ascii="Arial" w:hAnsi="Arial" w:cs="Arial"/>
          <w:sz w:val="24"/>
          <w:szCs w:val="24"/>
        </w:rPr>
        <w:t>calculate the</w:t>
      </w:r>
      <w:r w:rsidR="00E9233D">
        <w:rPr>
          <w:rFonts w:ascii="Arial" w:hAnsi="Arial" w:cs="Arial"/>
          <w:sz w:val="24"/>
          <w:szCs w:val="24"/>
        </w:rPr>
        <w:t xml:space="preserve"> transaction </w:t>
      </w:r>
      <w:r w:rsidR="00BC53B8">
        <w:rPr>
          <w:rFonts w:ascii="Arial" w:hAnsi="Arial" w:cs="Arial"/>
          <w:sz w:val="24"/>
          <w:szCs w:val="24"/>
        </w:rPr>
        <w:t>valu</w:t>
      </w:r>
      <w:r w:rsidR="00E9233D">
        <w:rPr>
          <w:rFonts w:ascii="Arial" w:hAnsi="Arial" w:cs="Arial"/>
          <w:sz w:val="24"/>
          <w:szCs w:val="24"/>
        </w:rPr>
        <w:t>ation</w:t>
      </w:r>
      <w:r w:rsidR="00226095">
        <w:rPr>
          <w:rFonts w:ascii="Arial" w:hAnsi="Arial" w:cs="Arial"/>
          <w:sz w:val="24"/>
          <w:szCs w:val="24"/>
        </w:rPr>
        <w:t xml:space="preserve">. The purchase price may not be of interest to the </w:t>
      </w:r>
      <w:r w:rsidR="00BC53B8">
        <w:rPr>
          <w:rFonts w:ascii="Arial" w:hAnsi="Arial" w:cs="Arial"/>
          <w:sz w:val="24"/>
          <w:szCs w:val="24"/>
        </w:rPr>
        <w:t>OEB</w:t>
      </w:r>
      <w:r w:rsidR="00226095">
        <w:rPr>
          <w:rFonts w:ascii="Arial" w:hAnsi="Arial" w:cs="Arial"/>
          <w:sz w:val="24"/>
          <w:szCs w:val="24"/>
        </w:rPr>
        <w:t xml:space="preserve"> </w:t>
      </w:r>
      <w:r w:rsidR="00E9233D">
        <w:rPr>
          <w:rFonts w:ascii="Arial" w:hAnsi="Arial" w:cs="Arial"/>
          <w:sz w:val="24"/>
          <w:szCs w:val="24"/>
        </w:rPr>
        <w:t xml:space="preserve">but it is </w:t>
      </w:r>
      <w:r w:rsidR="00BC53B8">
        <w:rPr>
          <w:rFonts w:ascii="Arial" w:hAnsi="Arial" w:cs="Arial"/>
          <w:sz w:val="24"/>
          <w:szCs w:val="24"/>
        </w:rPr>
        <w:t>surely of interest to the NB</w:t>
      </w:r>
      <w:r w:rsidR="00E9233D">
        <w:rPr>
          <w:rFonts w:ascii="Arial" w:hAnsi="Arial" w:cs="Arial"/>
          <w:sz w:val="24"/>
          <w:szCs w:val="24"/>
        </w:rPr>
        <w:t>HDL customer</w:t>
      </w:r>
      <w:r w:rsidR="007D46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C7237A" w:rsidRDefault="002E22FB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query was </w:t>
      </w:r>
      <w:r w:rsidR="00320856">
        <w:rPr>
          <w:rFonts w:ascii="Arial" w:hAnsi="Arial" w:cs="Arial"/>
          <w:sz w:val="24"/>
          <w:szCs w:val="24"/>
        </w:rPr>
        <w:t xml:space="preserve">intended </w:t>
      </w:r>
      <w:r>
        <w:rPr>
          <w:rFonts w:ascii="Arial" w:hAnsi="Arial" w:cs="Arial"/>
          <w:sz w:val="24"/>
          <w:szCs w:val="24"/>
        </w:rPr>
        <w:t xml:space="preserve">to provide the </w:t>
      </w:r>
      <w:r w:rsidR="00EB7CBB">
        <w:rPr>
          <w:rFonts w:ascii="Arial" w:hAnsi="Arial" w:cs="Arial"/>
          <w:sz w:val="24"/>
          <w:szCs w:val="24"/>
        </w:rPr>
        <w:t>Applicant</w:t>
      </w:r>
      <w:r>
        <w:rPr>
          <w:rFonts w:ascii="Arial" w:hAnsi="Arial" w:cs="Arial"/>
          <w:sz w:val="24"/>
          <w:szCs w:val="24"/>
        </w:rPr>
        <w:t xml:space="preserve"> with the opportunity to provide further evidence that the purchase price was </w:t>
      </w:r>
      <w:r w:rsidR="00320856">
        <w:rPr>
          <w:rFonts w:ascii="Arial" w:hAnsi="Arial" w:cs="Arial"/>
          <w:sz w:val="24"/>
          <w:szCs w:val="24"/>
        </w:rPr>
        <w:t>reasonable</w:t>
      </w:r>
      <w:r>
        <w:rPr>
          <w:rFonts w:ascii="Arial" w:hAnsi="Arial" w:cs="Arial"/>
          <w:sz w:val="24"/>
          <w:szCs w:val="24"/>
        </w:rPr>
        <w:t xml:space="preserve">. </w:t>
      </w:r>
      <w:r w:rsidR="00067987">
        <w:rPr>
          <w:rFonts w:ascii="Arial" w:hAnsi="Arial" w:cs="Arial"/>
          <w:sz w:val="24"/>
          <w:szCs w:val="24"/>
        </w:rPr>
        <w:t xml:space="preserve">It is instructive to note that the </w:t>
      </w:r>
      <w:r w:rsidR="00EB7CBB">
        <w:rPr>
          <w:rFonts w:ascii="Arial" w:hAnsi="Arial" w:cs="Arial"/>
          <w:sz w:val="24"/>
          <w:szCs w:val="24"/>
        </w:rPr>
        <w:t>Applicant</w:t>
      </w:r>
      <w:r w:rsidR="00067987">
        <w:rPr>
          <w:rFonts w:ascii="Arial" w:hAnsi="Arial" w:cs="Arial"/>
          <w:sz w:val="24"/>
          <w:szCs w:val="24"/>
        </w:rPr>
        <w:t xml:space="preserve"> </w:t>
      </w:r>
      <w:r w:rsidR="00BC0FBB">
        <w:rPr>
          <w:rFonts w:ascii="Arial" w:hAnsi="Arial" w:cs="Arial"/>
          <w:sz w:val="24"/>
          <w:szCs w:val="24"/>
        </w:rPr>
        <w:t xml:space="preserve">promotes the benefit of </w:t>
      </w:r>
      <w:r w:rsidR="00E77AE1">
        <w:rPr>
          <w:rFonts w:ascii="Arial" w:hAnsi="Arial" w:cs="Arial"/>
          <w:sz w:val="24"/>
          <w:szCs w:val="24"/>
        </w:rPr>
        <w:t xml:space="preserve">saving of one dollar per </w:t>
      </w:r>
      <w:r w:rsidR="00393395">
        <w:rPr>
          <w:rFonts w:ascii="Arial" w:hAnsi="Arial" w:cs="Arial"/>
          <w:sz w:val="24"/>
          <w:szCs w:val="24"/>
        </w:rPr>
        <w:t xml:space="preserve">NBHDL </w:t>
      </w:r>
      <w:r w:rsidR="004A78E5">
        <w:rPr>
          <w:rFonts w:ascii="Arial" w:hAnsi="Arial" w:cs="Arial"/>
          <w:sz w:val="24"/>
          <w:szCs w:val="24"/>
        </w:rPr>
        <w:t xml:space="preserve">customer per </w:t>
      </w:r>
      <w:r w:rsidR="00E77AE1">
        <w:rPr>
          <w:rFonts w:ascii="Arial" w:hAnsi="Arial" w:cs="Arial"/>
          <w:sz w:val="24"/>
          <w:szCs w:val="24"/>
        </w:rPr>
        <w:t xml:space="preserve">year in </w:t>
      </w:r>
      <w:r w:rsidR="00E77AE1">
        <w:rPr>
          <w:rFonts w:ascii="Arial" w:hAnsi="Arial" w:cs="Arial"/>
          <w:sz w:val="24"/>
          <w:szCs w:val="24"/>
        </w:rPr>
        <w:lastRenderedPageBreak/>
        <w:t xml:space="preserve">OM&amp;A </w:t>
      </w:r>
      <w:r w:rsidR="00CF5CD4">
        <w:rPr>
          <w:rFonts w:ascii="Arial" w:hAnsi="Arial" w:cs="Arial"/>
          <w:sz w:val="24"/>
          <w:szCs w:val="24"/>
        </w:rPr>
        <w:t xml:space="preserve">expenses </w:t>
      </w:r>
      <w:r w:rsidR="004A78E5">
        <w:rPr>
          <w:rFonts w:ascii="Arial" w:hAnsi="Arial" w:cs="Arial"/>
          <w:sz w:val="24"/>
          <w:szCs w:val="24"/>
        </w:rPr>
        <w:t>following</w:t>
      </w:r>
      <w:r w:rsidR="004C2F6E">
        <w:rPr>
          <w:rFonts w:ascii="Arial" w:hAnsi="Arial" w:cs="Arial"/>
          <w:sz w:val="24"/>
          <w:szCs w:val="24"/>
        </w:rPr>
        <w:t xml:space="preserve"> seven years</w:t>
      </w:r>
      <w:r w:rsidR="00E77AE1">
        <w:rPr>
          <w:rFonts w:ascii="Arial" w:hAnsi="Arial" w:cs="Arial"/>
          <w:sz w:val="24"/>
          <w:szCs w:val="24"/>
        </w:rPr>
        <w:t xml:space="preserve"> </w:t>
      </w:r>
      <w:r w:rsidR="001C2E89">
        <w:rPr>
          <w:rFonts w:ascii="Arial" w:hAnsi="Arial" w:cs="Arial"/>
          <w:sz w:val="24"/>
          <w:szCs w:val="24"/>
        </w:rPr>
        <w:t xml:space="preserve">of </w:t>
      </w:r>
      <w:r w:rsidR="00F12A88">
        <w:rPr>
          <w:rFonts w:ascii="Arial" w:hAnsi="Arial" w:cs="Arial"/>
          <w:sz w:val="24"/>
          <w:szCs w:val="24"/>
        </w:rPr>
        <w:t xml:space="preserve">operations </w:t>
      </w:r>
      <w:r w:rsidR="004C2F6E">
        <w:rPr>
          <w:rFonts w:ascii="Arial" w:hAnsi="Arial" w:cs="Arial"/>
          <w:sz w:val="24"/>
          <w:szCs w:val="24"/>
        </w:rPr>
        <w:t xml:space="preserve">but </w:t>
      </w:r>
      <w:r w:rsidR="00CF5CD4">
        <w:rPr>
          <w:rFonts w:ascii="Arial" w:hAnsi="Arial" w:cs="Arial"/>
          <w:sz w:val="24"/>
          <w:szCs w:val="24"/>
        </w:rPr>
        <w:t xml:space="preserve">balks at </w:t>
      </w:r>
      <w:r w:rsidR="00BC0FBB">
        <w:rPr>
          <w:rFonts w:ascii="Arial" w:hAnsi="Arial" w:cs="Arial"/>
          <w:sz w:val="24"/>
          <w:szCs w:val="24"/>
        </w:rPr>
        <w:t xml:space="preserve">providing </w:t>
      </w:r>
      <w:r w:rsidR="00CF5CD4">
        <w:rPr>
          <w:rFonts w:ascii="Arial" w:hAnsi="Arial" w:cs="Arial"/>
          <w:sz w:val="24"/>
          <w:szCs w:val="24"/>
        </w:rPr>
        <w:t>a</w:t>
      </w:r>
      <w:r w:rsidR="00E50012">
        <w:rPr>
          <w:rFonts w:ascii="Arial" w:hAnsi="Arial" w:cs="Arial"/>
          <w:sz w:val="24"/>
          <w:szCs w:val="24"/>
        </w:rPr>
        <w:t xml:space="preserve">n explanation for what appears to be a </w:t>
      </w:r>
      <w:r w:rsidR="00F12A88">
        <w:rPr>
          <w:rFonts w:ascii="Arial" w:hAnsi="Arial" w:cs="Arial"/>
          <w:sz w:val="24"/>
          <w:szCs w:val="24"/>
        </w:rPr>
        <w:t xml:space="preserve">purchase price </w:t>
      </w:r>
      <w:r w:rsidR="00E50012">
        <w:rPr>
          <w:rFonts w:ascii="Arial" w:hAnsi="Arial" w:cs="Arial"/>
          <w:sz w:val="24"/>
          <w:szCs w:val="24"/>
        </w:rPr>
        <w:t>overvaluation of $1.6 million</w:t>
      </w:r>
      <w:r w:rsidR="00C7237A">
        <w:rPr>
          <w:rFonts w:ascii="Arial" w:hAnsi="Arial" w:cs="Arial"/>
          <w:sz w:val="24"/>
          <w:szCs w:val="24"/>
        </w:rPr>
        <w:t>.</w:t>
      </w:r>
      <w:r w:rsidR="00D36B37">
        <w:rPr>
          <w:rFonts w:ascii="Arial" w:hAnsi="Arial" w:cs="Arial"/>
          <w:sz w:val="24"/>
          <w:szCs w:val="24"/>
        </w:rPr>
        <w:t xml:space="preserve"> </w:t>
      </w:r>
      <w:r w:rsidR="00C7237A">
        <w:rPr>
          <w:rFonts w:ascii="Arial" w:hAnsi="Arial" w:cs="Arial"/>
          <w:sz w:val="24"/>
          <w:szCs w:val="24"/>
        </w:rPr>
        <w:t>The response confirms my understanding of the original evidence.</w:t>
      </w:r>
    </w:p>
    <w:p w:rsidR="00450014" w:rsidRDefault="00450014" w:rsidP="001579DC">
      <w:pPr>
        <w:rPr>
          <w:rFonts w:ascii="Arial" w:hAnsi="Arial" w:cs="Arial"/>
          <w:sz w:val="24"/>
          <w:szCs w:val="24"/>
        </w:rPr>
      </w:pPr>
    </w:p>
    <w:p w:rsidR="00B44161" w:rsidRDefault="00D36B37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44161" w:rsidRPr="00330C3E">
        <w:rPr>
          <w:rFonts w:ascii="Arial" w:hAnsi="Arial" w:cs="Arial"/>
          <w:sz w:val="24"/>
          <w:szCs w:val="24"/>
        </w:rPr>
        <w:t>DR</w:t>
      </w:r>
      <w:r w:rsidR="00B44161">
        <w:rPr>
          <w:rFonts w:ascii="Arial" w:hAnsi="Arial" w:cs="Arial"/>
          <w:sz w:val="24"/>
          <w:szCs w:val="24"/>
        </w:rPr>
        <w:t>-15</w:t>
      </w:r>
    </w:p>
    <w:p w:rsidR="00B44161" w:rsidRDefault="00BB1B2F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IR</w:t>
      </w:r>
      <w:r w:rsidR="00EC6CC1">
        <w:rPr>
          <w:rFonts w:ascii="Arial" w:hAnsi="Arial" w:cs="Arial"/>
          <w:sz w:val="24"/>
          <w:szCs w:val="24"/>
        </w:rPr>
        <w:t xml:space="preserve">R reference to </w:t>
      </w:r>
      <w:r>
        <w:rPr>
          <w:rFonts w:ascii="Arial" w:hAnsi="Arial" w:cs="Arial"/>
          <w:sz w:val="24"/>
          <w:szCs w:val="24"/>
        </w:rPr>
        <w:t xml:space="preserve">Staff – 4 (a) </w:t>
      </w:r>
      <w:r w:rsidR="00DF6242">
        <w:rPr>
          <w:rFonts w:ascii="Arial" w:hAnsi="Arial" w:cs="Arial"/>
          <w:sz w:val="24"/>
          <w:szCs w:val="24"/>
        </w:rPr>
        <w:t>provided the figures requested in</w:t>
      </w:r>
      <w:r w:rsidR="00361E26">
        <w:rPr>
          <w:rFonts w:ascii="Arial" w:hAnsi="Arial" w:cs="Arial"/>
          <w:sz w:val="24"/>
          <w:szCs w:val="24"/>
        </w:rPr>
        <w:t xml:space="preserve"> the IR but did not provide </w:t>
      </w:r>
      <w:r w:rsidR="00CC5FE6">
        <w:rPr>
          <w:rFonts w:ascii="Arial" w:hAnsi="Arial" w:cs="Arial"/>
          <w:sz w:val="24"/>
          <w:szCs w:val="24"/>
        </w:rPr>
        <w:t xml:space="preserve">the requested detail in </w:t>
      </w:r>
      <w:r w:rsidR="00361E26">
        <w:rPr>
          <w:rFonts w:ascii="Arial" w:hAnsi="Arial" w:cs="Arial"/>
          <w:sz w:val="24"/>
          <w:szCs w:val="24"/>
        </w:rPr>
        <w:t xml:space="preserve">support </w:t>
      </w:r>
      <w:r w:rsidR="00CC5FE6">
        <w:rPr>
          <w:rFonts w:ascii="Arial" w:hAnsi="Arial" w:cs="Arial"/>
          <w:sz w:val="24"/>
          <w:szCs w:val="24"/>
        </w:rPr>
        <w:t>of</w:t>
      </w:r>
      <w:r w:rsidR="00361E26">
        <w:rPr>
          <w:rFonts w:ascii="Arial" w:hAnsi="Arial" w:cs="Arial"/>
          <w:sz w:val="24"/>
          <w:szCs w:val="24"/>
        </w:rPr>
        <w:t xml:space="preserve"> the improvement in financial strength suggested </w:t>
      </w:r>
      <w:r w:rsidR="00CC5FE6">
        <w:rPr>
          <w:rFonts w:ascii="Arial" w:hAnsi="Arial" w:cs="Arial"/>
          <w:sz w:val="24"/>
          <w:szCs w:val="24"/>
        </w:rPr>
        <w:t>in the application</w:t>
      </w:r>
      <w:r w:rsidR="00361E26">
        <w:rPr>
          <w:rFonts w:ascii="Arial" w:hAnsi="Arial" w:cs="Arial"/>
          <w:sz w:val="24"/>
          <w:szCs w:val="24"/>
        </w:rPr>
        <w:t>.</w:t>
      </w:r>
    </w:p>
    <w:p w:rsidR="00D36B37" w:rsidRDefault="00CC5FE6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650E6B">
        <w:rPr>
          <w:rFonts w:ascii="Arial" w:hAnsi="Arial" w:cs="Arial"/>
          <w:sz w:val="24"/>
          <w:szCs w:val="24"/>
        </w:rPr>
        <w:t xml:space="preserve"> motion</w:t>
      </w:r>
      <w:r>
        <w:rPr>
          <w:rFonts w:ascii="Arial" w:hAnsi="Arial" w:cs="Arial"/>
          <w:sz w:val="24"/>
          <w:szCs w:val="24"/>
        </w:rPr>
        <w:t xml:space="preserve"> query was an attempt to understand</w:t>
      </w:r>
      <w:r w:rsidR="005E12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E1236">
        <w:rPr>
          <w:rFonts w:ascii="Arial" w:hAnsi="Arial" w:cs="Arial"/>
          <w:sz w:val="24"/>
          <w:szCs w:val="24"/>
        </w:rPr>
        <w:t xml:space="preserve">more fully, </w:t>
      </w:r>
      <w:r>
        <w:rPr>
          <w:rFonts w:ascii="Arial" w:hAnsi="Arial" w:cs="Arial"/>
          <w:sz w:val="24"/>
          <w:szCs w:val="24"/>
        </w:rPr>
        <w:t xml:space="preserve">the point being made by the </w:t>
      </w:r>
      <w:r w:rsidR="007034E3">
        <w:rPr>
          <w:rFonts w:ascii="Arial" w:hAnsi="Arial" w:cs="Arial"/>
          <w:sz w:val="24"/>
          <w:szCs w:val="24"/>
        </w:rPr>
        <w:t>a</w:t>
      </w:r>
      <w:r w:rsidR="00663B18">
        <w:rPr>
          <w:rFonts w:ascii="Arial" w:hAnsi="Arial" w:cs="Arial"/>
          <w:sz w:val="24"/>
          <w:szCs w:val="24"/>
        </w:rPr>
        <w:t>pplication</w:t>
      </w:r>
      <w:r w:rsidR="007034E3">
        <w:rPr>
          <w:rFonts w:ascii="Arial" w:hAnsi="Arial" w:cs="Arial"/>
          <w:sz w:val="24"/>
          <w:szCs w:val="24"/>
        </w:rPr>
        <w:t xml:space="preserve"> that</w:t>
      </w:r>
      <w:r w:rsidR="00650E6B">
        <w:rPr>
          <w:rFonts w:ascii="Arial" w:hAnsi="Arial" w:cs="Arial"/>
          <w:sz w:val="24"/>
          <w:szCs w:val="24"/>
        </w:rPr>
        <w:t xml:space="preserve"> more optimal debt to equity ratio</w:t>
      </w:r>
      <w:r w:rsidR="00281EB2">
        <w:rPr>
          <w:rFonts w:ascii="Arial" w:hAnsi="Arial" w:cs="Arial"/>
          <w:sz w:val="24"/>
          <w:szCs w:val="24"/>
        </w:rPr>
        <w:t>s would result from this amal</w:t>
      </w:r>
      <w:r w:rsidR="00650E6B">
        <w:rPr>
          <w:rFonts w:ascii="Arial" w:hAnsi="Arial" w:cs="Arial"/>
          <w:sz w:val="24"/>
          <w:szCs w:val="24"/>
        </w:rPr>
        <w:t>gamation</w:t>
      </w:r>
      <w:r w:rsidR="00D36B37">
        <w:rPr>
          <w:rFonts w:ascii="Arial" w:hAnsi="Arial" w:cs="Arial"/>
          <w:sz w:val="24"/>
          <w:szCs w:val="24"/>
        </w:rPr>
        <w:t>. The response to the motion query also omitted this information. The response confirms my understanding of the original evidence.</w:t>
      </w:r>
    </w:p>
    <w:p w:rsidR="00B5637C" w:rsidRDefault="00B5637C" w:rsidP="001579DC">
      <w:pPr>
        <w:rPr>
          <w:rFonts w:ascii="Arial" w:hAnsi="Arial" w:cs="Arial"/>
          <w:sz w:val="24"/>
          <w:szCs w:val="24"/>
        </w:rPr>
      </w:pPr>
    </w:p>
    <w:p w:rsidR="00B5637C" w:rsidRDefault="00B5637C" w:rsidP="001579D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30C3E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-16 (a)</w:t>
      </w:r>
    </w:p>
    <w:p w:rsidR="00666A4D" w:rsidRDefault="00B84429" w:rsidP="00157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</w:t>
      </w:r>
      <w:r w:rsidR="004068E5">
        <w:rPr>
          <w:rFonts w:ascii="Arial" w:hAnsi="Arial" w:cs="Arial"/>
          <w:sz w:val="24"/>
          <w:szCs w:val="24"/>
        </w:rPr>
        <w:t xml:space="preserve"> submission</w:t>
      </w:r>
      <w:r w:rsidR="008108BC">
        <w:rPr>
          <w:rFonts w:ascii="Arial" w:hAnsi="Arial" w:cs="Arial"/>
          <w:sz w:val="24"/>
          <w:szCs w:val="24"/>
        </w:rPr>
        <w:t>s</w:t>
      </w:r>
      <w:r w:rsidR="004068E5">
        <w:rPr>
          <w:rFonts w:ascii="Arial" w:hAnsi="Arial" w:cs="Arial"/>
          <w:sz w:val="24"/>
          <w:szCs w:val="24"/>
        </w:rPr>
        <w:t xml:space="preserve"> cannot be</w:t>
      </w:r>
      <w:r w:rsidR="008108BC">
        <w:rPr>
          <w:rFonts w:ascii="Arial" w:hAnsi="Arial" w:cs="Arial"/>
          <w:sz w:val="24"/>
          <w:szCs w:val="24"/>
        </w:rPr>
        <w:t xml:space="preserve"> </w:t>
      </w:r>
      <w:r w:rsidR="004068E5">
        <w:rPr>
          <w:rFonts w:ascii="Arial" w:hAnsi="Arial" w:cs="Arial"/>
          <w:sz w:val="24"/>
          <w:szCs w:val="24"/>
        </w:rPr>
        <w:t xml:space="preserve">made unless there is an understanding of the </w:t>
      </w:r>
      <w:r w:rsidR="008108BC">
        <w:rPr>
          <w:rFonts w:ascii="Arial" w:hAnsi="Arial" w:cs="Arial"/>
          <w:sz w:val="24"/>
          <w:szCs w:val="24"/>
        </w:rPr>
        <w:t>evidence</w:t>
      </w:r>
      <w:r w:rsidR="00FD69A3">
        <w:rPr>
          <w:rFonts w:ascii="Arial" w:hAnsi="Arial" w:cs="Arial"/>
          <w:sz w:val="24"/>
          <w:szCs w:val="24"/>
        </w:rPr>
        <w:t>.</w:t>
      </w:r>
      <w:r w:rsidR="00FA1F89">
        <w:rPr>
          <w:rFonts w:ascii="Arial" w:hAnsi="Arial" w:cs="Arial"/>
          <w:sz w:val="24"/>
          <w:szCs w:val="24"/>
        </w:rPr>
        <w:t xml:space="preserve"> O</w:t>
      </w:r>
      <w:r w:rsidR="00FD69A3">
        <w:rPr>
          <w:rFonts w:ascii="Arial" w:hAnsi="Arial" w:cs="Arial"/>
          <w:sz w:val="24"/>
          <w:szCs w:val="24"/>
        </w:rPr>
        <w:t>ther</w:t>
      </w:r>
      <w:r w:rsidR="00536C92">
        <w:rPr>
          <w:rFonts w:ascii="Arial" w:hAnsi="Arial" w:cs="Arial"/>
          <w:sz w:val="24"/>
          <w:szCs w:val="24"/>
        </w:rPr>
        <w:t xml:space="preserve"> than </w:t>
      </w:r>
      <w:r w:rsidR="00FD69A3">
        <w:rPr>
          <w:rFonts w:ascii="Arial" w:hAnsi="Arial" w:cs="Arial"/>
          <w:sz w:val="24"/>
          <w:szCs w:val="24"/>
        </w:rPr>
        <w:t>a single mention that</w:t>
      </w:r>
      <w:r w:rsidR="00536C92">
        <w:rPr>
          <w:rFonts w:ascii="Arial" w:hAnsi="Arial" w:cs="Arial"/>
          <w:sz w:val="24"/>
          <w:szCs w:val="24"/>
        </w:rPr>
        <w:t xml:space="preserve"> the $8 million purchase price will be financed, the </w:t>
      </w:r>
      <w:r w:rsidR="007034E3">
        <w:rPr>
          <w:rFonts w:ascii="Arial" w:hAnsi="Arial" w:cs="Arial"/>
          <w:sz w:val="24"/>
          <w:szCs w:val="24"/>
        </w:rPr>
        <w:t>a</w:t>
      </w:r>
      <w:r w:rsidR="00663B18">
        <w:rPr>
          <w:rFonts w:ascii="Arial" w:hAnsi="Arial" w:cs="Arial"/>
          <w:sz w:val="24"/>
          <w:szCs w:val="24"/>
        </w:rPr>
        <w:t>pplication</w:t>
      </w:r>
      <w:r w:rsidR="00536C92">
        <w:rPr>
          <w:rFonts w:ascii="Arial" w:hAnsi="Arial" w:cs="Arial"/>
          <w:sz w:val="24"/>
          <w:szCs w:val="24"/>
        </w:rPr>
        <w:t xml:space="preserve"> provides no evidence regarding the </w:t>
      </w:r>
      <w:r w:rsidR="00E2520B">
        <w:rPr>
          <w:rFonts w:ascii="Arial" w:hAnsi="Arial" w:cs="Arial"/>
          <w:sz w:val="24"/>
          <w:szCs w:val="24"/>
        </w:rPr>
        <w:t xml:space="preserve">term, interest rate or </w:t>
      </w:r>
      <w:r w:rsidR="00536C92">
        <w:rPr>
          <w:rFonts w:ascii="Arial" w:hAnsi="Arial" w:cs="Arial"/>
          <w:sz w:val="24"/>
          <w:szCs w:val="24"/>
        </w:rPr>
        <w:t xml:space="preserve">total cost to NBHDL customers </w:t>
      </w:r>
      <w:r w:rsidR="00E2520B">
        <w:rPr>
          <w:rFonts w:ascii="Arial" w:hAnsi="Arial" w:cs="Arial"/>
          <w:sz w:val="24"/>
          <w:szCs w:val="24"/>
        </w:rPr>
        <w:t>and</w:t>
      </w:r>
      <w:r w:rsidR="00536C92">
        <w:rPr>
          <w:rFonts w:ascii="Arial" w:hAnsi="Arial" w:cs="Arial"/>
          <w:sz w:val="24"/>
          <w:szCs w:val="24"/>
        </w:rPr>
        <w:t xml:space="preserve"> its affect on their pocketbooks. </w:t>
      </w:r>
      <w:r w:rsidR="00FA1F89">
        <w:rPr>
          <w:rFonts w:ascii="Arial" w:hAnsi="Arial" w:cs="Arial"/>
          <w:sz w:val="24"/>
          <w:szCs w:val="24"/>
        </w:rPr>
        <w:t xml:space="preserve">The IR was an attempt to solicit some response from the </w:t>
      </w:r>
      <w:r w:rsidR="00EB7CBB">
        <w:rPr>
          <w:rFonts w:ascii="Arial" w:hAnsi="Arial" w:cs="Arial"/>
          <w:sz w:val="24"/>
          <w:szCs w:val="24"/>
        </w:rPr>
        <w:t>Applicant</w:t>
      </w:r>
      <w:r w:rsidR="00FA1F89">
        <w:rPr>
          <w:rFonts w:ascii="Arial" w:hAnsi="Arial" w:cs="Arial"/>
          <w:sz w:val="24"/>
          <w:szCs w:val="24"/>
        </w:rPr>
        <w:t xml:space="preserve"> regarding those details. </w:t>
      </w:r>
      <w:r w:rsidR="00666A4D">
        <w:rPr>
          <w:rFonts w:ascii="Arial" w:hAnsi="Arial" w:cs="Arial"/>
          <w:sz w:val="24"/>
          <w:szCs w:val="24"/>
        </w:rPr>
        <w:t>The response confirms my understanding of the original evidence.</w:t>
      </w:r>
    </w:p>
    <w:p w:rsidR="00536C92" w:rsidRDefault="00536C92" w:rsidP="001579DC">
      <w:pPr>
        <w:spacing w:before="240"/>
        <w:rPr>
          <w:rFonts w:ascii="Arial" w:hAnsi="Arial" w:cs="Arial"/>
          <w:sz w:val="24"/>
          <w:szCs w:val="24"/>
        </w:rPr>
      </w:pPr>
    </w:p>
    <w:p w:rsidR="001579DC" w:rsidRPr="001579DC" w:rsidRDefault="001579DC" w:rsidP="001579DC">
      <w:pPr>
        <w:pStyle w:val="Default"/>
      </w:pPr>
      <w:r w:rsidRPr="001579DC">
        <w:t xml:space="preserve">Respectfully submitted on this May </w:t>
      </w:r>
      <w:r w:rsidR="00EC36DC">
        <w:t>23</w:t>
      </w:r>
      <w:r w:rsidRPr="001579DC">
        <w:t xml:space="preserve">, 2019 </w:t>
      </w:r>
    </w:p>
    <w:p w:rsidR="001579DC" w:rsidRPr="001579DC" w:rsidRDefault="001579DC" w:rsidP="001579DC">
      <w:pPr>
        <w:pStyle w:val="Default"/>
      </w:pPr>
    </w:p>
    <w:p w:rsidR="001579DC" w:rsidRPr="001579DC" w:rsidRDefault="001579DC" w:rsidP="001579DC">
      <w:pPr>
        <w:pStyle w:val="Default"/>
      </w:pPr>
    </w:p>
    <w:p w:rsidR="001579DC" w:rsidRPr="001579DC" w:rsidRDefault="001579DC" w:rsidP="001579DC">
      <w:pPr>
        <w:pStyle w:val="Default"/>
      </w:pPr>
    </w:p>
    <w:p w:rsidR="001579DC" w:rsidRPr="001579DC" w:rsidRDefault="001579DC" w:rsidP="001579DC">
      <w:pPr>
        <w:pStyle w:val="Default"/>
      </w:pPr>
      <w:r w:rsidRPr="001579DC">
        <w:t xml:space="preserve">____________________________ </w:t>
      </w:r>
    </w:p>
    <w:p w:rsidR="00EE27E9" w:rsidRDefault="00EE27E9" w:rsidP="001579DC">
      <w:pPr>
        <w:pStyle w:val="Default"/>
      </w:pPr>
    </w:p>
    <w:p w:rsidR="001579DC" w:rsidRPr="001579DC" w:rsidRDefault="001579DC" w:rsidP="001579DC">
      <w:pPr>
        <w:pStyle w:val="Default"/>
      </w:pPr>
      <w:r w:rsidRPr="001579DC">
        <w:t xml:space="preserve">D. D. Rennick, Intervenor </w:t>
      </w:r>
    </w:p>
    <w:p w:rsidR="001579DC" w:rsidRPr="001579DC" w:rsidRDefault="001579DC" w:rsidP="001579DC">
      <w:pPr>
        <w:pStyle w:val="Default"/>
      </w:pPr>
      <w:r w:rsidRPr="001579DC">
        <w:t xml:space="preserve">392 Surrey Drive </w:t>
      </w:r>
    </w:p>
    <w:p w:rsidR="001579DC" w:rsidRPr="001579DC" w:rsidRDefault="001579DC" w:rsidP="001579DC">
      <w:pPr>
        <w:pStyle w:val="Default"/>
      </w:pPr>
      <w:r w:rsidRPr="001579DC">
        <w:t xml:space="preserve">North Bay, ON P1C 1E3 </w:t>
      </w:r>
    </w:p>
    <w:p w:rsidR="001579DC" w:rsidRPr="001579DC" w:rsidRDefault="001579DC" w:rsidP="001579DC">
      <w:pPr>
        <w:pStyle w:val="Default"/>
      </w:pPr>
      <w:r w:rsidRPr="001579DC">
        <w:t xml:space="preserve">(705) 476- 2007 (705) 845-7345 </w:t>
      </w:r>
    </w:p>
    <w:p w:rsidR="00475E6A" w:rsidRPr="001579DC" w:rsidRDefault="001579DC" w:rsidP="001579DC">
      <w:pPr>
        <w:rPr>
          <w:rFonts w:ascii="Arial" w:hAnsi="Arial" w:cs="Arial"/>
          <w:sz w:val="24"/>
          <w:szCs w:val="24"/>
        </w:rPr>
      </w:pPr>
      <w:r w:rsidRPr="001579DC">
        <w:rPr>
          <w:sz w:val="24"/>
          <w:szCs w:val="24"/>
        </w:rPr>
        <w:t>ddrennick@cogeco.ca</w:t>
      </w:r>
    </w:p>
    <w:p w:rsidR="00475E6A" w:rsidRDefault="00475E6A" w:rsidP="001579DC">
      <w:pPr>
        <w:rPr>
          <w:rFonts w:ascii="Arial" w:hAnsi="Arial" w:cs="Arial"/>
          <w:sz w:val="24"/>
          <w:szCs w:val="24"/>
        </w:rPr>
      </w:pPr>
    </w:p>
    <w:p w:rsidR="005D0426" w:rsidRDefault="005D0426" w:rsidP="001579DC">
      <w:pPr>
        <w:rPr>
          <w:rFonts w:ascii="Arial" w:hAnsi="Arial" w:cs="Arial"/>
          <w:sz w:val="24"/>
          <w:szCs w:val="24"/>
        </w:rPr>
      </w:pPr>
    </w:p>
    <w:sectPr w:rsidR="005D0426" w:rsidSect="00F00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0C3E"/>
    <w:rsid w:val="000004EB"/>
    <w:rsid w:val="00002BA5"/>
    <w:rsid w:val="00006DA4"/>
    <w:rsid w:val="000167C0"/>
    <w:rsid w:val="000265C0"/>
    <w:rsid w:val="000320CE"/>
    <w:rsid w:val="00063959"/>
    <w:rsid w:val="00067987"/>
    <w:rsid w:val="000746FD"/>
    <w:rsid w:val="00087F16"/>
    <w:rsid w:val="00092C50"/>
    <w:rsid w:val="00095580"/>
    <w:rsid w:val="000A562B"/>
    <w:rsid w:val="000F2CD8"/>
    <w:rsid w:val="000F45AE"/>
    <w:rsid w:val="001007C3"/>
    <w:rsid w:val="00116958"/>
    <w:rsid w:val="001226B7"/>
    <w:rsid w:val="0012603D"/>
    <w:rsid w:val="00126EBD"/>
    <w:rsid w:val="00155458"/>
    <w:rsid w:val="001579DC"/>
    <w:rsid w:val="00176669"/>
    <w:rsid w:val="00182CFC"/>
    <w:rsid w:val="001935F7"/>
    <w:rsid w:val="001C2E89"/>
    <w:rsid w:val="001C7790"/>
    <w:rsid w:val="001D164B"/>
    <w:rsid w:val="00214360"/>
    <w:rsid w:val="00226095"/>
    <w:rsid w:val="00241C51"/>
    <w:rsid w:val="00253751"/>
    <w:rsid w:val="00264689"/>
    <w:rsid w:val="002669EE"/>
    <w:rsid w:val="00281EB2"/>
    <w:rsid w:val="0028498D"/>
    <w:rsid w:val="002B0232"/>
    <w:rsid w:val="002B16F8"/>
    <w:rsid w:val="002C150F"/>
    <w:rsid w:val="002C1985"/>
    <w:rsid w:val="002D0760"/>
    <w:rsid w:val="002D55CD"/>
    <w:rsid w:val="002E22FB"/>
    <w:rsid w:val="002F68B1"/>
    <w:rsid w:val="002F7705"/>
    <w:rsid w:val="00302800"/>
    <w:rsid w:val="00316C51"/>
    <w:rsid w:val="003204F6"/>
    <w:rsid w:val="00320856"/>
    <w:rsid w:val="00327D92"/>
    <w:rsid w:val="00330C3E"/>
    <w:rsid w:val="00361E26"/>
    <w:rsid w:val="0037071A"/>
    <w:rsid w:val="003777BE"/>
    <w:rsid w:val="0038053F"/>
    <w:rsid w:val="00384A15"/>
    <w:rsid w:val="00393395"/>
    <w:rsid w:val="00393B73"/>
    <w:rsid w:val="003B0908"/>
    <w:rsid w:val="003B2E87"/>
    <w:rsid w:val="003B62DF"/>
    <w:rsid w:val="003B7496"/>
    <w:rsid w:val="003C133C"/>
    <w:rsid w:val="003E64D8"/>
    <w:rsid w:val="003F2F10"/>
    <w:rsid w:val="003F4529"/>
    <w:rsid w:val="003F5FC6"/>
    <w:rsid w:val="004068E5"/>
    <w:rsid w:val="0042278A"/>
    <w:rsid w:val="004241CF"/>
    <w:rsid w:val="00450014"/>
    <w:rsid w:val="00475E6A"/>
    <w:rsid w:val="004A6CB2"/>
    <w:rsid w:val="004A7357"/>
    <w:rsid w:val="004A78E5"/>
    <w:rsid w:val="004C2F6E"/>
    <w:rsid w:val="004C7AFF"/>
    <w:rsid w:val="004D00F0"/>
    <w:rsid w:val="004D0F9C"/>
    <w:rsid w:val="004D164D"/>
    <w:rsid w:val="004E72A5"/>
    <w:rsid w:val="004F3B2F"/>
    <w:rsid w:val="004F69E5"/>
    <w:rsid w:val="005071E6"/>
    <w:rsid w:val="00513E9B"/>
    <w:rsid w:val="005141F1"/>
    <w:rsid w:val="00515058"/>
    <w:rsid w:val="005176A8"/>
    <w:rsid w:val="005249D0"/>
    <w:rsid w:val="00536C92"/>
    <w:rsid w:val="00537053"/>
    <w:rsid w:val="00547AFE"/>
    <w:rsid w:val="00554A56"/>
    <w:rsid w:val="00586303"/>
    <w:rsid w:val="005A70C0"/>
    <w:rsid w:val="005C41CE"/>
    <w:rsid w:val="005D0426"/>
    <w:rsid w:val="005D7D6C"/>
    <w:rsid w:val="005E1236"/>
    <w:rsid w:val="00625A08"/>
    <w:rsid w:val="00627869"/>
    <w:rsid w:val="00650E6B"/>
    <w:rsid w:val="00663B18"/>
    <w:rsid w:val="00666A4D"/>
    <w:rsid w:val="0067238F"/>
    <w:rsid w:val="00697C5D"/>
    <w:rsid w:val="006A06B5"/>
    <w:rsid w:val="006A767D"/>
    <w:rsid w:val="006B7ED3"/>
    <w:rsid w:val="006C53BE"/>
    <w:rsid w:val="006C5EB8"/>
    <w:rsid w:val="006D2AF3"/>
    <w:rsid w:val="006E73EB"/>
    <w:rsid w:val="007034E3"/>
    <w:rsid w:val="00704CC8"/>
    <w:rsid w:val="00717C00"/>
    <w:rsid w:val="0073236D"/>
    <w:rsid w:val="0074744E"/>
    <w:rsid w:val="00754F29"/>
    <w:rsid w:val="0077549C"/>
    <w:rsid w:val="00782E5A"/>
    <w:rsid w:val="00790772"/>
    <w:rsid w:val="007A187D"/>
    <w:rsid w:val="007A2E48"/>
    <w:rsid w:val="007A7FDC"/>
    <w:rsid w:val="007B7979"/>
    <w:rsid w:val="007C09E0"/>
    <w:rsid w:val="007D2D8E"/>
    <w:rsid w:val="007D4678"/>
    <w:rsid w:val="007D650D"/>
    <w:rsid w:val="007D7F92"/>
    <w:rsid w:val="0080303B"/>
    <w:rsid w:val="008108BC"/>
    <w:rsid w:val="0082456E"/>
    <w:rsid w:val="008403D4"/>
    <w:rsid w:val="00852CCB"/>
    <w:rsid w:val="00853C34"/>
    <w:rsid w:val="008A432B"/>
    <w:rsid w:val="008B2651"/>
    <w:rsid w:val="008C3239"/>
    <w:rsid w:val="008D0B96"/>
    <w:rsid w:val="008D54CC"/>
    <w:rsid w:val="008E6C5A"/>
    <w:rsid w:val="008F10CC"/>
    <w:rsid w:val="009170B1"/>
    <w:rsid w:val="00922CA4"/>
    <w:rsid w:val="00934C66"/>
    <w:rsid w:val="00935737"/>
    <w:rsid w:val="00940ACB"/>
    <w:rsid w:val="009531E2"/>
    <w:rsid w:val="00960F83"/>
    <w:rsid w:val="00986EB5"/>
    <w:rsid w:val="00996E5B"/>
    <w:rsid w:val="009B1912"/>
    <w:rsid w:val="009C0EE5"/>
    <w:rsid w:val="009E344F"/>
    <w:rsid w:val="009F0417"/>
    <w:rsid w:val="00A339BF"/>
    <w:rsid w:val="00A364D3"/>
    <w:rsid w:val="00A44311"/>
    <w:rsid w:val="00A454BD"/>
    <w:rsid w:val="00A6313F"/>
    <w:rsid w:val="00A70E93"/>
    <w:rsid w:val="00A87B3C"/>
    <w:rsid w:val="00A91575"/>
    <w:rsid w:val="00AA3261"/>
    <w:rsid w:val="00AA7F7A"/>
    <w:rsid w:val="00AB3F16"/>
    <w:rsid w:val="00AD019B"/>
    <w:rsid w:val="00AE11BF"/>
    <w:rsid w:val="00B155D2"/>
    <w:rsid w:val="00B4223F"/>
    <w:rsid w:val="00B44161"/>
    <w:rsid w:val="00B461D8"/>
    <w:rsid w:val="00B5637C"/>
    <w:rsid w:val="00B73595"/>
    <w:rsid w:val="00B84429"/>
    <w:rsid w:val="00B90DF8"/>
    <w:rsid w:val="00B94750"/>
    <w:rsid w:val="00BA2E66"/>
    <w:rsid w:val="00BA44A5"/>
    <w:rsid w:val="00BB1B2F"/>
    <w:rsid w:val="00BC0FBB"/>
    <w:rsid w:val="00BC25A7"/>
    <w:rsid w:val="00BC2D22"/>
    <w:rsid w:val="00BC53B8"/>
    <w:rsid w:val="00BC7F95"/>
    <w:rsid w:val="00BF555D"/>
    <w:rsid w:val="00C27B85"/>
    <w:rsid w:val="00C370B4"/>
    <w:rsid w:val="00C5093D"/>
    <w:rsid w:val="00C6217E"/>
    <w:rsid w:val="00C679E4"/>
    <w:rsid w:val="00C7237A"/>
    <w:rsid w:val="00C826CA"/>
    <w:rsid w:val="00C9749F"/>
    <w:rsid w:val="00CA0F12"/>
    <w:rsid w:val="00CA6F8A"/>
    <w:rsid w:val="00CA722B"/>
    <w:rsid w:val="00CA7E5A"/>
    <w:rsid w:val="00CC5FE6"/>
    <w:rsid w:val="00CD1CBB"/>
    <w:rsid w:val="00CD1D73"/>
    <w:rsid w:val="00CE33A8"/>
    <w:rsid w:val="00CF5CD4"/>
    <w:rsid w:val="00CF75A9"/>
    <w:rsid w:val="00D109FA"/>
    <w:rsid w:val="00D10ACE"/>
    <w:rsid w:val="00D12CC3"/>
    <w:rsid w:val="00D14FAA"/>
    <w:rsid w:val="00D1657E"/>
    <w:rsid w:val="00D36B37"/>
    <w:rsid w:val="00D51549"/>
    <w:rsid w:val="00D51E53"/>
    <w:rsid w:val="00D524FB"/>
    <w:rsid w:val="00D6690C"/>
    <w:rsid w:val="00D7246A"/>
    <w:rsid w:val="00DB3CB2"/>
    <w:rsid w:val="00DB400A"/>
    <w:rsid w:val="00DC1D6D"/>
    <w:rsid w:val="00DD3974"/>
    <w:rsid w:val="00DE4A84"/>
    <w:rsid w:val="00DE7749"/>
    <w:rsid w:val="00DF09D5"/>
    <w:rsid w:val="00DF111E"/>
    <w:rsid w:val="00DF6242"/>
    <w:rsid w:val="00E13BE0"/>
    <w:rsid w:val="00E2120C"/>
    <w:rsid w:val="00E24BAC"/>
    <w:rsid w:val="00E24ECF"/>
    <w:rsid w:val="00E2520B"/>
    <w:rsid w:val="00E43F92"/>
    <w:rsid w:val="00E50012"/>
    <w:rsid w:val="00E77AE1"/>
    <w:rsid w:val="00E84CC6"/>
    <w:rsid w:val="00E9233D"/>
    <w:rsid w:val="00EB02B4"/>
    <w:rsid w:val="00EB7CBB"/>
    <w:rsid w:val="00EC36DC"/>
    <w:rsid w:val="00EC6CC1"/>
    <w:rsid w:val="00EC7D62"/>
    <w:rsid w:val="00ED1691"/>
    <w:rsid w:val="00EE27E9"/>
    <w:rsid w:val="00EE33CD"/>
    <w:rsid w:val="00EF4DBA"/>
    <w:rsid w:val="00EF588C"/>
    <w:rsid w:val="00EF7B07"/>
    <w:rsid w:val="00EF7F81"/>
    <w:rsid w:val="00F0095A"/>
    <w:rsid w:val="00F1080C"/>
    <w:rsid w:val="00F12A88"/>
    <w:rsid w:val="00F30BEE"/>
    <w:rsid w:val="00F372A8"/>
    <w:rsid w:val="00F47EEE"/>
    <w:rsid w:val="00F522B8"/>
    <w:rsid w:val="00F6133D"/>
    <w:rsid w:val="00F707B5"/>
    <w:rsid w:val="00F72371"/>
    <w:rsid w:val="00F76EB0"/>
    <w:rsid w:val="00F776EC"/>
    <w:rsid w:val="00F83C9B"/>
    <w:rsid w:val="00FA1F89"/>
    <w:rsid w:val="00FB41C3"/>
    <w:rsid w:val="00FB76FF"/>
    <w:rsid w:val="00FC0059"/>
    <w:rsid w:val="00FD254A"/>
    <w:rsid w:val="00FD69A3"/>
    <w:rsid w:val="00FE0525"/>
    <w:rsid w:val="00FF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63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</dc:creator>
  <cp:lastModifiedBy>Don</cp:lastModifiedBy>
  <cp:revision>25</cp:revision>
  <dcterms:created xsi:type="dcterms:W3CDTF">2019-05-18T17:13:00Z</dcterms:created>
  <dcterms:modified xsi:type="dcterms:W3CDTF">2019-05-22T18:30:00Z</dcterms:modified>
</cp:coreProperties>
</file>