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3D6B" w14:textId="091F9DD0" w:rsidR="001412F5" w:rsidRDefault="00812854" w:rsidP="00F85AC0">
      <w:r>
        <w:fldChar w:fldCharType="begin"/>
      </w:r>
      <w:r>
        <w:instrText xml:space="preserve"> MACROBUTTON MTEditEquationSection2 </w:instrText>
      </w:r>
      <w:r w:rsidRPr="0081285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14:paraId="41382868" w14:textId="77777777" w:rsidR="001412F5" w:rsidRDefault="001412F5" w:rsidP="00F85AC0"/>
    <w:p w14:paraId="22730569" w14:textId="77777777" w:rsidR="001412F5" w:rsidRDefault="001412F5" w:rsidP="00F85AC0"/>
    <w:p w14:paraId="31A348A4" w14:textId="77777777" w:rsidR="001412F5" w:rsidRDefault="001412F5" w:rsidP="00F85AC0"/>
    <w:p w14:paraId="60267798" w14:textId="77777777" w:rsidR="001412F5" w:rsidRDefault="001412F5" w:rsidP="00F85AC0"/>
    <w:p w14:paraId="3EC6EF04" w14:textId="77777777" w:rsidR="001412F5" w:rsidRDefault="001412F5" w:rsidP="00F85AC0"/>
    <w:p w14:paraId="70CC3C66" w14:textId="77777777" w:rsidR="001412F5" w:rsidRDefault="001412F5" w:rsidP="00F85AC0"/>
    <w:p w14:paraId="66360DFD" w14:textId="6EC12EC5" w:rsidR="001412F5" w:rsidRPr="00CA09A7" w:rsidRDefault="00641D54" w:rsidP="00F85AC0">
      <w:pPr>
        <w:pStyle w:val="Title"/>
        <w:rPr>
          <w:spacing w:val="0"/>
        </w:rPr>
      </w:pPr>
      <w:r>
        <w:rPr>
          <w:spacing w:val="0"/>
        </w:rPr>
        <w:t>Regulated Price Plan Roadmap Pilot Program</w:t>
      </w:r>
      <w:r w:rsidR="007864C0">
        <w:rPr>
          <w:spacing w:val="0"/>
        </w:rPr>
        <w:t xml:space="preserve"> Interim Impact Evaluation: Summer 2018</w:t>
      </w:r>
    </w:p>
    <w:p w14:paraId="42C38358" w14:textId="6489DF89" w:rsidR="001412F5" w:rsidRDefault="007D02E4" w:rsidP="00855231">
      <w:pPr>
        <w:pStyle w:val="Subtitle"/>
        <w:rPr>
          <w:spacing w:val="0"/>
        </w:rPr>
      </w:pPr>
      <w:r>
        <w:rPr>
          <w:spacing w:val="0"/>
        </w:rPr>
        <w:t>Evaluation Report</w:t>
      </w:r>
    </w:p>
    <w:p w14:paraId="6192980A" w14:textId="7BD3378C" w:rsidR="00151674" w:rsidRPr="00151674" w:rsidRDefault="007864C0" w:rsidP="00243DC6">
      <w:r>
        <w:t>2019-</w:t>
      </w:r>
      <w:r w:rsidR="00B56D53">
        <w:t>05-</w:t>
      </w:r>
      <w:r w:rsidR="00EE5A5D">
        <w:t>24</w:t>
      </w:r>
    </w:p>
    <w:p w14:paraId="4FDFA600" w14:textId="77777777" w:rsidR="001412F5" w:rsidRPr="00CA09A7" w:rsidRDefault="001412F5" w:rsidP="001412F5"/>
    <w:p w14:paraId="51F03D31" w14:textId="77777777" w:rsidR="001412F5" w:rsidRPr="00CA09A7" w:rsidRDefault="001412F5" w:rsidP="00855231">
      <w:pPr>
        <w:pStyle w:val="Subtitle"/>
        <w:rPr>
          <w:spacing w:val="0"/>
        </w:rPr>
      </w:pPr>
      <w:r w:rsidRPr="00CA09A7">
        <w:rPr>
          <w:spacing w:val="0"/>
        </w:rPr>
        <w:t>Prepared for:</w:t>
      </w:r>
    </w:p>
    <w:p w14:paraId="08686FEC" w14:textId="77777777" w:rsidR="001412F5" w:rsidRPr="00CA09A7" w:rsidRDefault="001412F5" w:rsidP="001412F5">
      <w:pPr>
        <w:rPr>
          <w:b/>
          <w:bCs/>
          <w:color w:val="6F6754"/>
        </w:rPr>
      </w:pPr>
    </w:p>
    <w:p w14:paraId="299A7286" w14:textId="43876706" w:rsidR="001412F5" w:rsidRPr="00CA09A7" w:rsidRDefault="005F6998" w:rsidP="001412F5">
      <w:pPr>
        <w:rPr>
          <w:b/>
          <w:bCs/>
          <w:color w:val="6F6754"/>
        </w:rPr>
      </w:pPr>
      <w:r>
        <w:rPr>
          <w:noProof/>
        </w:rPr>
        <w:drawing>
          <wp:inline distT="114300" distB="114300" distL="114300" distR="114300" wp14:anchorId="3C882267" wp14:editId="4D9C9F5C">
            <wp:extent cx="1690688" cy="2025477"/>
            <wp:effectExtent l="0" t="0" r="0" b="0"/>
            <wp:docPr id="5" name="image09.jpg" descr="London-Hydro-Logo.jpg"/>
            <wp:cNvGraphicFramePr/>
            <a:graphic xmlns:a="http://schemas.openxmlformats.org/drawingml/2006/main">
              <a:graphicData uri="http://schemas.openxmlformats.org/drawingml/2006/picture">
                <pic:pic xmlns:pic="http://schemas.openxmlformats.org/drawingml/2006/picture">
                  <pic:nvPicPr>
                    <pic:cNvPr id="0" name="image09.jpg" descr="London-Hydro-Logo.jpg"/>
                    <pic:cNvPicPr preferRelativeResize="0"/>
                  </pic:nvPicPr>
                  <pic:blipFill>
                    <a:blip r:embed="rId8"/>
                    <a:srcRect/>
                    <a:stretch>
                      <a:fillRect/>
                    </a:stretch>
                  </pic:blipFill>
                  <pic:spPr>
                    <a:xfrm>
                      <a:off x="0" y="0"/>
                      <a:ext cx="1690688" cy="2025477"/>
                    </a:xfrm>
                    <a:prstGeom prst="rect">
                      <a:avLst/>
                    </a:prstGeom>
                    <a:ln/>
                  </pic:spPr>
                </pic:pic>
              </a:graphicData>
            </a:graphic>
          </wp:inline>
        </w:drawing>
      </w:r>
    </w:p>
    <w:p w14:paraId="25284497" w14:textId="77777777" w:rsidR="001412F5" w:rsidRPr="00CA09A7" w:rsidRDefault="001412F5" w:rsidP="001412F5">
      <w:pPr>
        <w:rPr>
          <w:b/>
          <w:bCs/>
          <w:color w:val="6F6754"/>
        </w:rPr>
      </w:pPr>
    </w:p>
    <w:p w14:paraId="14DC1A64" w14:textId="77777777" w:rsidR="001412F5" w:rsidRPr="00CA09A7" w:rsidRDefault="001412F5" w:rsidP="001412F5">
      <w:pPr>
        <w:rPr>
          <w:b/>
          <w:bCs/>
          <w:color w:val="6F6754"/>
        </w:rPr>
      </w:pPr>
    </w:p>
    <w:p w14:paraId="5AED3762" w14:textId="77777777" w:rsidR="001412F5" w:rsidRPr="00CA09A7" w:rsidRDefault="001412F5" w:rsidP="001412F5">
      <w:pPr>
        <w:rPr>
          <w:b/>
          <w:bCs/>
          <w:color w:val="6F6754"/>
        </w:rPr>
      </w:pPr>
    </w:p>
    <w:p w14:paraId="4CD63CA0" w14:textId="77777777" w:rsidR="001412F5" w:rsidRPr="00CA09A7" w:rsidRDefault="001412F5" w:rsidP="001412F5">
      <w:pPr>
        <w:rPr>
          <w:rStyle w:val="CoverText"/>
        </w:rPr>
      </w:pPr>
    </w:p>
    <w:p w14:paraId="51E09912" w14:textId="4435FDD0" w:rsidR="001412F5" w:rsidRDefault="00FF7B5C" w:rsidP="00F376CD">
      <w:pPr>
        <w:pStyle w:val="Subtitle"/>
        <w:rPr>
          <w:rStyle w:val="CoverText"/>
          <w:i/>
          <w:spacing w:val="0"/>
        </w:rPr>
      </w:pPr>
      <w:r>
        <w:rPr>
          <w:rStyle w:val="CoverText"/>
          <w:i/>
          <w:spacing w:val="0"/>
        </w:rPr>
        <w:t>Prepared</w:t>
      </w:r>
      <w:r w:rsidR="00AF6C48" w:rsidRPr="00CA09A7">
        <w:rPr>
          <w:rStyle w:val="CoverText"/>
          <w:i/>
          <w:spacing w:val="0"/>
        </w:rPr>
        <w:t xml:space="preserve"> by:</w:t>
      </w:r>
    </w:p>
    <w:p w14:paraId="6656FE96" w14:textId="5B690768" w:rsidR="00FF7B5C" w:rsidRDefault="00FF7B5C" w:rsidP="00FF7B5C"/>
    <w:p w14:paraId="674E197D" w14:textId="6C83E044" w:rsidR="00FF7B5C" w:rsidRPr="00FF7B5C" w:rsidRDefault="00FF7B5C" w:rsidP="00FF7B5C">
      <w:pPr>
        <w:rPr>
          <w:rStyle w:val="CoverText"/>
        </w:rPr>
      </w:pPr>
      <w:r w:rsidRPr="00FF7B5C">
        <w:rPr>
          <w:rStyle w:val="CoverText"/>
        </w:rPr>
        <w:t>Peter Steele-Mosey, Associate Director</w:t>
      </w:r>
    </w:p>
    <w:p w14:paraId="1A3F8D29" w14:textId="77777777" w:rsidR="00FF7B5C" w:rsidRPr="00FF7B5C" w:rsidRDefault="00FF7B5C" w:rsidP="00FF7B5C"/>
    <w:p w14:paraId="305D244D" w14:textId="77777777" w:rsidR="001412F5" w:rsidRPr="00CA09A7" w:rsidRDefault="001412F5" w:rsidP="001412F5">
      <w:pPr>
        <w:rPr>
          <w:rStyle w:val="CoverText"/>
        </w:rPr>
      </w:pPr>
      <w:r w:rsidRPr="00CA09A7">
        <w:rPr>
          <w:rStyle w:val="CoverText"/>
        </w:rPr>
        <w:t xml:space="preserve">Navigant Consulting, </w:t>
      </w:r>
      <w:r w:rsidR="003E6ABC">
        <w:rPr>
          <w:rStyle w:val="CoverText"/>
        </w:rPr>
        <w:t>Ltd</w:t>
      </w:r>
      <w:r w:rsidRPr="00CA09A7">
        <w:rPr>
          <w:rStyle w:val="CoverText"/>
        </w:rPr>
        <w:t>.</w:t>
      </w:r>
    </w:p>
    <w:p w14:paraId="19A5E268" w14:textId="27434263" w:rsidR="001412F5" w:rsidRDefault="00FF7B5C" w:rsidP="003E6ABC">
      <w:pPr>
        <w:rPr>
          <w:rStyle w:val="CoverText"/>
        </w:rPr>
      </w:pPr>
      <w:r>
        <w:rPr>
          <w:rStyle w:val="CoverText"/>
        </w:rPr>
        <w:t>First Canadian Place</w:t>
      </w:r>
    </w:p>
    <w:p w14:paraId="5A56A9CD" w14:textId="56147B62" w:rsidR="00FF7B5C" w:rsidRDefault="00FF7B5C" w:rsidP="003E6ABC">
      <w:pPr>
        <w:rPr>
          <w:rStyle w:val="CoverText"/>
        </w:rPr>
      </w:pPr>
      <w:r>
        <w:rPr>
          <w:rStyle w:val="CoverText"/>
        </w:rPr>
        <w:t>100 King St. W. Suite 4950</w:t>
      </w:r>
    </w:p>
    <w:p w14:paraId="6ACE4DDE" w14:textId="7E3474A9" w:rsidR="00FF7B5C" w:rsidRDefault="00FF7B5C" w:rsidP="003E6ABC">
      <w:pPr>
        <w:rPr>
          <w:rStyle w:val="CoverText"/>
        </w:rPr>
      </w:pPr>
      <w:r>
        <w:rPr>
          <w:rStyle w:val="CoverText"/>
        </w:rPr>
        <w:t>P.O. Box 64</w:t>
      </w:r>
    </w:p>
    <w:p w14:paraId="3D6C85E9" w14:textId="08C41A32" w:rsidR="00FF7B5C" w:rsidRPr="00CA09A7" w:rsidRDefault="00FF7B5C" w:rsidP="003E6ABC">
      <w:pPr>
        <w:rPr>
          <w:rStyle w:val="CoverText"/>
        </w:rPr>
      </w:pPr>
      <w:r>
        <w:rPr>
          <w:rStyle w:val="CoverText"/>
        </w:rPr>
        <w:t>Toronto, ON, M5X 1B1</w:t>
      </w:r>
    </w:p>
    <w:p w14:paraId="62C13053" w14:textId="77777777" w:rsidR="001412F5" w:rsidRPr="00CA09A7" w:rsidRDefault="003E6ABC" w:rsidP="001412F5">
      <w:pPr>
        <w:rPr>
          <w:rStyle w:val="CoverText"/>
        </w:rPr>
      </w:pPr>
      <w:r>
        <w:rPr>
          <w:rStyle w:val="CoverText"/>
        </w:rPr>
        <w:t>416.777.2440</w:t>
      </w:r>
    </w:p>
    <w:p w14:paraId="2867CBC0" w14:textId="77777777" w:rsidR="001412F5" w:rsidRPr="00CA09A7" w:rsidRDefault="001412F5" w:rsidP="001412F5">
      <w:pPr>
        <w:rPr>
          <w:rStyle w:val="CoverText"/>
        </w:rPr>
      </w:pPr>
      <w:r w:rsidRPr="00CA09A7">
        <w:rPr>
          <w:rStyle w:val="CoverText"/>
        </w:rPr>
        <w:t>navigant.com</w:t>
      </w:r>
    </w:p>
    <w:p w14:paraId="0A7FBB98" w14:textId="2031AACF" w:rsidR="001412F5" w:rsidRPr="00CA09A7" w:rsidRDefault="001412F5" w:rsidP="00C227A0">
      <w:pPr>
        <w:rPr>
          <w:rStyle w:val="CoverText"/>
        </w:rPr>
        <w:sectPr w:rsidR="001412F5" w:rsidRPr="00CA09A7" w:rsidSect="00AE78DC">
          <w:headerReference w:type="default" r:id="rId9"/>
          <w:footerReference w:type="default" r:id="rId10"/>
          <w:pgSz w:w="12240" w:h="15840" w:code="1"/>
          <w:pgMar w:top="1440" w:right="1440" w:bottom="1440" w:left="1440" w:header="720" w:footer="720" w:gutter="0"/>
          <w:cols w:space="720"/>
          <w:docGrid w:linePitch="360"/>
        </w:sectPr>
      </w:pPr>
    </w:p>
    <w:p w14:paraId="614C7DEC" w14:textId="77777777" w:rsidR="001412F5" w:rsidRPr="001535D3" w:rsidRDefault="001412F5" w:rsidP="00083825">
      <w:pPr>
        <w:pStyle w:val="TOCHeading"/>
        <w:rPr>
          <w:bCs/>
        </w:rPr>
      </w:pPr>
      <w:bookmarkStart w:id="0" w:name="_Toc62272964"/>
      <w:r w:rsidRPr="001535D3">
        <w:lastRenderedPageBreak/>
        <w:t>Table of Contents</w:t>
      </w:r>
      <w:bookmarkEnd w:id="0"/>
    </w:p>
    <w:p w14:paraId="5A9858FE" w14:textId="25456FFA" w:rsidR="00413291" w:rsidRDefault="007B2FBD">
      <w:pPr>
        <w:pStyle w:val="TOC1"/>
        <w:rPr>
          <w:rFonts w:asciiTheme="minorHAnsi" w:eastAsiaTheme="minorEastAsia" w:hAnsiTheme="minorHAnsi"/>
          <w:b w:val="0"/>
          <w:noProof/>
          <w:sz w:val="22"/>
        </w:rPr>
      </w:pPr>
      <w:r>
        <w:fldChar w:fldCharType="begin"/>
      </w:r>
      <w:r>
        <w:instrText xml:space="preserve"> TOC \o "1-3" \h \z \t "Heading 5,1,Heading 6,2,Heading 7,1,Heading 8,2,Heading 9,3" </w:instrText>
      </w:r>
      <w:r>
        <w:fldChar w:fldCharType="separate"/>
      </w:r>
      <w:hyperlink w:anchor="_Toc8393565" w:history="1">
        <w:r w:rsidR="00413291" w:rsidRPr="0019648A">
          <w:rPr>
            <w:rStyle w:val="Hyperlink"/>
            <w:noProof/>
          </w:rPr>
          <w:t>1. Executive Summary</w:t>
        </w:r>
        <w:r w:rsidR="00413291">
          <w:rPr>
            <w:noProof/>
            <w:webHidden/>
          </w:rPr>
          <w:tab/>
        </w:r>
        <w:r w:rsidR="00413291">
          <w:rPr>
            <w:noProof/>
            <w:webHidden/>
          </w:rPr>
          <w:fldChar w:fldCharType="begin"/>
        </w:r>
        <w:r w:rsidR="00413291">
          <w:rPr>
            <w:noProof/>
            <w:webHidden/>
          </w:rPr>
          <w:instrText xml:space="preserve"> PAGEREF _Toc8393565 \h </w:instrText>
        </w:r>
        <w:r w:rsidR="00413291">
          <w:rPr>
            <w:noProof/>
            <w:webHidden/>
          </w:rPr>
        </w:r>
        <w:r w:rsidR="00413291">
          <w:rPr>
            <w:noProof/>
            <w:webHidden/>
          </w:rPr>
          <w:fldChar w:fldCharType="separate"/>
        </w:r>
        <w:r w:rsidR="00413291">
          <w:rPr>
            <w:noProof/>
            <w:webHidden/>
          </w:rPr>
          <w:t>4</w:t>
        </w:r>
        <w:r w:rsidR="00413291">
          <w:rPr>
            <w:noProof/>
            <w:webHidden/>
          </w:rPr>
          <w:fldChar w:fldCharType="end"/>
        </w:r>
      </w:hyperlink>
    </w:p>
    <w:p w14:paraId="219AFD17" w14:textId="4B54019E" w:rsidR="00413291" w:rsidRDefault="00EE5A5D">
      <w:pPr>
        <w:pStyle w:val="TOC2"/>
        <w:rPr>
          <w:rFonts w:asciiTheme="minorHAnsi" w:eastAsiaTheme="minorEastAsia" w:hAnsiTheme="minorHAnsi" w:cstheme="minorBidi"/>
          <w:sz w:val="22"/>
          <w:szCs w:val="22"/>
        </w:rPr>
      </w:pPr>
      <w:hyperlink w:anchor="_Toc8393566" w:history="1">
        <w:r w:rsidR="00413291" w:rsidRPr="0019648A">
          <w:rPr>
            <w:rStyle w:val="Hyperlink"/>
          </w:rPr>
          <w:t>1.1 Introduction &amp; Program Description</w:t>
        </w:r>
        <w:r w:rsidR="00413291">
          <w:rPr>
            <w:webHidden/>
          </w:rPr>
          <w:tab/>
        </w:r>
        <w:r w:rsidR="00413291">
          <w:rPr>
            <w:webHidden/>
          </w:rPr>
          <w:fldChar w:fldCharType="begin"/>
        </w:r>
        <w:r w:rsidR="00413291">
          <w:rPr>
            <w:webHidden/>
          </w:rPr>
          <w:instrText xml:space="preserve"> PAGEREF _Toc8393566 \h </w:instrText>
        </w:r>
        <w:r w:rsidR="00413291">
          <w:rPr>
            <w:webHidden/>
          </w:rPr>
        </w:r>
        <w:r w:rsidR="00413291">
          <w:rPr>
            <w:webHidden/>
          </w:rPr>
          <w:fldChar w:fldCharType="separate"/>
        </w:r>
        <w:r w:rsidR="00413291">
          <w:rPr>
            <w:webHidden/>
          </w:rPr>
          <w:t>4</w:t>
        </w:r>
        <w:r w:rsidR="00413291">
          <w:rPr>
            <w:webHidden/>
          </w:rPr>
          <w:fldChar w:fldCharType="end"/>
        </w:r>
      </w:hyperlink>
    </w:p>
    <w:p w14:paraId="51EC15A6" w14:textId="3076AA16" w:rsidR="00413291" w:rsidRDefault="00EE5A5D">
      <w:pPr>
        <w:pStyle w:val="TOC2"/>
        <w:rPr>
          <w:rFonts w:asciiTheme="minorHAnsi" w:eastAsiaTheme="minorEastAsia" w:hAnsiTheme="minorHAnsi" w:cstheme="minorBidi"/>
          <w:sz w:val="22"/>
          <w:szCs w:val="22"/>
        </w:rPr>
      </w:pPr>
      <w:hyperlink w:anchor="_Toc8393567" w:history="1">
        <w:r w:rsidR="00413291" w:rsidRPr="0019648A">
          <w:rPr>
            <w:rStyle w:val="Hyperlink"/>
          </w:rPr>
          <w:t>1.2 Approach, Data, and Sampling</w:t>
        </w:r>
        <w:r w:rsidR="00413291">
          <w:rPr>
            <w:webHidden/>
          </w:rPr>
          <w:tab/>
        </w:r>
        <w:r w:rsidR="00413291">
          <w:rPr>
            <w:webHidden/>
          </w:rPr>
          <w:fldChar w:fldCharType="begin"/>
        </w:r>
        <w:r w:rsidR="00413291">
          <w:rPr>
            <w:webHidden/>
          </w:rPr>
          <w:instrText xml:space="preserve"> PAGEREF _Toc8393567 \h </w:instrText>
        </w:r>
        <w:r w:rsidR="00413291">
          <w:rPr>
            <w:webHidden/>
          </w:rPr>
        </w:r>
        <w:r w:rsidR="00413291">
          <w:rPr>
            <w:webHidden/>
          </w:rPr>
          <w:fldChar w:fldCharType="separate"/>
        </w:r>
        <w:r w:rsidR="00413291">
          <w:rPr>
            <w:webHidden/>
          </w:rPr>
          <w:t>5</w:t>
        </w:r>
        <w:r w:rsidR="00413291">
          <w:rPr>
            <w:webHidden/>
          </w:rPr>
          <w:fldChar w:fldCharType="end"/>
        </w:r>
      </w:hyperlink>
    </w:p>
    <w:p w14:paraId="69076748" w14:textId="4B1BED1B" w:rsidR="00413291" w:rsidRDefault="00EE5A5D">
      <w:pPr>
        <w:pStyle w:val="TOC2"/>
        <w:rPr>
          <w:rFonts w:asciiTheme="minorHAnsi" w:eastAsiaTheme="minorEastAsia" w:hAnsiTheme="minorHAnsi" w:cstheme="minorBidi"/>
          <w:sz w:val="22"/>
          <w:szCs w:val="22"/>
        </w:rPr>
      </w:pPr>
      <w:hyperlink w:anchor="_Toc8393568" w:history="1">
        <w:r w:rsidR="00413291" w:rsidRPr="0019648A">
          <w:rPr>
            <w:rStyle w:val="Hyperlink"/>
          </w:rPr>
          <w:t>1.3 Key Findings</w:t>
        </w:r>
        <w:r w:rsidR="00413291">
          <w:rPr>
            <w:webHidden/>
          </w:rPr>
          <w:tab/>
        </w:r>
        <w:r w:rsidR="00413291">
          <w:rPr>
            <w:webHidden/>
          </w:rPr>
          <w:fldChar w:fldCharType="begin"/>
        </w:r>
        <w:r w:rsidR="00413291">
          <w:rPr>
            <w:webHidden/>
          </w:rPr>
          <w:instrText xml:space="preserve"> PAGEREF _Toc8393568 \h </w:instrText>
        </w:r>
        <w:r w:rsidR="00413291">
          <w:rPr>
            <w:webHidden/>
          </w:rPr>
        </w:r>
        <w:r w:rsidR="00413291">
          <w:rPr>
            <w:webHidden/>
          </w:rPr>
          <w:fldChar w:fldCharType="separate"/>
        </w:r>
        <w:r w:rsidR="00413291">
          <w:rPr>
            <w:webHidden/>
          </w:rPr>
          <w:t>5</w:t>
        </w:r>
        <w:r w:rsidR="00413291">
          <w:rPr>
            <w:webHidden/>
          </w:rPr>
          <w:fldChar w:fldCharType="end"/>
        </w:r>
      </w:hyperlink>
    </w:p>
    <w:p w14:paraId="5C121729" w14:textId="23A8A0BF" w:rsidR="00413291" w:rsidRDefault="00EE5A5D">
      <w:pPr>
        <w:pStyle w:val="TOC3"/>
        <w:rPr>
          <w:rFonts w:asciiTheme="minorHAnsi" w:hAnsiTheme="minorHAnsi"/>
          <w:sz w:val="22"/>
          <w:szCs w:val="22"/>
        </w:rPr>
      </w:pPr>
      <w:hyperlink w:anchor="_Toc8393569" w:history="1">
        <w:r w:rsidR="00413291" w:rsidRPr="0019648A">
          <w:rPr>
            <w:rStyle w:val="Hyperlink"/>
          </w:rPr>
          <w:t>1.3.1 Energy Impact Key Findings</w:t>
        </w:r>
        <w:r w:rsidR="00413291">
          <w:rPr>
            <w:webHidden/>
          </w:rPr>
          <w:tab/>
        </w:r>
        <w:r w:rsidR="00413291">
          <w:rPr>
            <w:webHidden/>
          </w:rPr>
          <w:fldChar w:fldCharType="begin"/>
        </w:r>
        <w:r w:rsidR="00413291">
          <w:rPr>
            <w:webHidden/>
          </w:rPr>
          <w:instrText xml:space="preserve"> PAGEREF _Toc8393569 \h </w:instrText>
        </w:r>
        <w:r w:rsidR="00413291">
          <w:rPr>
            <w:webHidden/>
          </w:rPr>
        </w:r>
        <w:r w:rsidR="00413291">
          <w:rPr>
            <w:webHidden/>
          </w:rPr>
          <w:fldChar w:fldCharType="separate"/>
        </w:r>
        <w:r w:rsidR="00413291">
          <w:rPr>
            <w:webHidden/>
          </w:rPr>
          <w:t>5</w:t>
        </w:r>
        <w:r w:rsidR="00413291">
          <w:rPr>
            <w:webHidden/>
          </w:rPr>
          <w:fldChar w:fldCharType="end"/>
        </w:r>
      </w:hyperlink>
    </w:p>
    <w:p w14:paraId="3D0F7036" w14:textId="775709D3" w:rsidR="00413291" w:rsidRDefault="00EE5A5D">
      <w:pPr>
        <w:pStyle w:val="TOC3"/>
        <w:rPr>
          <w:rFonts w:asciiTheme="minorHAnsi" w:hAnsiTheme="minorHAnsi"/>
          <w:sz w:val="22"/>
          <w:szCs w:val="22"/>
        </w:rPr>
      </w:pPr>
      <w:hyperlink w:anchor="_Toc8393570" w:history="1">
        <w:r w:rsidR="00413291" w:rsidRPr="0019648A">
          <w:rPr>
            <w:rStyle w:val="Hyperlink"/>
          </w:rPr>
          <w:t>1.3.2 CPP Event Demand Impact Key Findings</w:t>
        </w:r>
        <w:r w:rsidR="00413291">
          <w:rPr>
            <w:webHidden/>
          </w:rPr>
          <w:tab/>
        </w:r>
        <w:r w:rsidR="00413291">
          <w:rPr>
            <w:webHidden/>
          </w:rPr>
          <w:fldChar w:fldCharType="begin"/>
        </w:r>
        <w:r w:rsidR="00413291">
          <w:rPr>
            <w:webHidden/>
          </w:rPr>
          <w:instrText xml:space="preserve"> PAGEREF _Toc8393570 \h </w:instrText>
        </w:r>
        <w:r w:rsidR="00413291">
          <w:rPr>
            <w:webHidden/>
          </w:rPr>
        </w:r>
        <w:r w:rsidR="00413291">
          <w:rPr>
            <w:webHidden/>
          </w:rPr>
          <w:fldChar w:fldCharType="separate"/>
        </w:r>
        <w:r w:rsidR="00413291">
          <w:rPr>
            <w:webHidden/>
          </w:rPr>
          <w:t>6</w:t>
        </w:r>
        <w:r w:rsidR="00413291">
          <w:rPr>
            <w:webHidden/>
          </w:rPr>
          <w:fldChar w:fldCharType="end"/>
        </w:r>
      </w:hyperlink>
    </w:p>
    <w:p w14:paraId="1450AC2D" w14:textId="1858851F" w:rsidR="00413291" w:rsidRDefault="00EE5A5D">
      <w:pPr>
        <w:pStyle w:val="TOC2"/>
        <w:rPr>
          <w:rFonts w:asciiTheme="minorHAnsi" w:eastAsiaTheme="minorEastAsia" w:hAnsiTheme="minorHAnsi" w:cstheme="minorBidi"/>
          <w:sz w:val="22"/>
          <w:szCs w:val="22"/>
        </w:rPr>
      </w:pPr>
      <w:hyperlink w:anchor="_Toc8393571" w:history="1">
        <w:r w:rsidR="00413291" w:rsidRPr="0019648A">
          <w:rPr>
            <w:rStyle w:val="Hyperlink"/>
          </w:rPr>
          <w:t>1.4 Conclusions</w:t>
        </w:r>
        <w:r w:rsidR="00413291">
          <w:rPr>
            <w:webHidden/>
          </w:rPr>
          <w:tab/>
        </w:r>
        <w:r w:rsidR="00413291">
          <w:rPr>
            <w:webHidden/>
          </w:rPr>
          <w:fldChar w:fldCharType="begin"/>
        </w:r>
        <w:r w:rsidR="00413291">
          <w:rPr>
            <w:webHidden/>
          </w:rPr>
          <w:instrText xml:space="preserve"> PAGEREF _Toc8393571 \h </w:instrText>
        </w:r>
        <w:r w:rsidR="00413291">
          <w:rPr>
            <w:webHidden/>
          </w:rPr>
        </w:r>
        <w:r w:rsidR="00413291">
          <w:rPr>
            <w:webHidden/>
          </w:rPr>
          <w:fldChar w:fldCharType="separate"/>
        </w:r>
        <w:r w:rsidR="00413291">
          <w:rPr>
            <w:webHidden/>
          </w:rPr>
          <w:t>8</w:t>
        </w:r>
        <w:r w:rsidR="00413291">
          <w:rPr>
            <w:webHidden/>
          </w:rPr>
          <w:fldChar w:fldCharType="end"/>
        </w:r>
      </w:hyperlink>
    </w:p>
    <w:p w14:paraId="75E9E4AE" w14:textId="11CC7855" w:rsidR="00413291" w:rsidRDefault="00EE5A5D">
      <w:pPr>
        <w:pStyle w:val="TOC1"/>
        <w:rPr>
          <w:rFonts w:asciiTheme="minorHAnsi" w:eastAsiaTheme="minorEastAsia" w:hAnsiTheme="minorHAnsi"/>
          <w:b w:val="0"/>
          <w:noProof/>
          <w:sz w:val="22"/>
        </w:rPr>
      </w:pPr>
      <w:hyperlink w:anchor="_Toc8393572" w:history="1">
        <w:r w:rsidR="00413291" w:rsidRPr="0019648A">
          <w:rPr>
            <w:rStyle w:val="Hyperlink"/>
            <w:noProof/>
          </w:rPr>
          <w:t>2. Introduction and Pilot Overview</w:t>
        </w:r>
        <w:r w:rsidR="00413291">
          <w:rPr>
            <w:noProof/>
            <w:webHidden/>
          </w:rPr>
          <w:tab/>
        </w:r>
        <w:r w:rsidR="00413291">
          <w:rPr>
            <w:noProof/>
            <w:webHidden/>
          </w:rPr>
          <w:fldChar w:fldCharType="begin"/>
        </w:r>
        <w:r w:rsidR="00413291">
          <w:rPr>
            <w:noProof/>
            <w:webHidden/>
          </w:rPr>
          <w:instrText xml:space="preserve"> PAGEREF _Toc8393572 \h </w:instrText>
        </w:r>
        <w:r w:rsidR="00413291">
          <w:rPr>
            <w:noProof/>
            <w:webHidden/>
          </w:rPr>
        </w:r>
        <w:r w:rsidR="00413291">
          <w:rPr>
            <w:noProof/>
            <w:webHidden/>
          </w:rPr>
          <w:fldChar w:fldCharType="separate"/>
        </w:r>
        <w:r w:rsidR="00413291">
          <w:rPr>
            <w:noProof/>
            <w:webHidden/>
          </w:rPr>
          <w:t>11</w:t>
        </w:r>
        <w:r w:rsidR="00413291">
          <w:rPr>
            <w:noProof/>
            <w:webHidden/>
          </w:rPr>
          <w:fldChar w:fldCharType="end"/>
        </w:r>
      </w:hyperlink>
    </w:p>
    <w:p w14:paraId="28F6D91B" w14:textId="016B4043" w:rsidR="00413291" w:rsidRDefault="00EE5A5D">
      <w:pPr>
        <w:pStyle w:val="TOC2"/>
        <w:rPr>
          <w:rFonts w:asciiTheme="minorHAnsi" w:eastAsiaTheme="minorEastAsia" w:hAnsiTheme="minorHAnsi" w:cstheme="minorBidi"/>
          <w:sz w:val="22"/>
          <w:szCs w:val="22"/>
        </w:rPr>
      </w:pPr>
      <w:hyperlink w:anchor="_Toc8393573" w:history="1">
        <w:r w:rsidR="00413291" w:rsidRPr="0019648A">
          <w:rPr>
            <w:rStyle w:val="Hyperlink"/>
          </w:rPr>
          <w:t>2.1 Pilot Overview</w:t>
        </w:r>
        <w:r w:rsidR="00413291">
          <w:rPr>
            <w:webHidden/>
          </w:rPr>
          <w:tab/>
        </w:r>
        <w:r w:rsidR="00413291">
          <w:rPr>
            <w:webHidden/>
          </w:rPr>
          <w:fldChar w:fldCharType="begin"/>
        </w:r>
        <w:r w:rsidR="00413291">
          <w:rPr>
            <w:webHidden/>
          </w:rPr>
          <w:instrText xml:space="preserve"> PAGEREF _Toc8393573 \h </w:instrText>
        </w:r>
        <w:r w:rsidR="00413291">
          <w:rPr>
            <w:webHidden/>
          </w:rPr>
        </w:r>
        <w:r w:rsidR="00413291">
          <w:rPr>
            <w:webHidden/>
          </w:rPr>
          <w:fldChar w:fldCharType="separate"/>
        </w:r>
        <w:r w:rsidR="00413291">
          <w:rPr>
            <w:webHidden/>
          </w:rPr>
          <w:t>11</w:t>
        </w:r>
        <w:r w:rsidR="00413291">
          <w:rPr>
            <w:webHidden/>
          </w:rPr>
          <w:fldChar w:fldCharType="end"/>
        </w:r>
      </w:hyperlink>
    </w:p>
    <w:p w14:paraId="20F397E2" w14:textId="471597AA" w:rsidR="00413291" w:rsidRDefault="00EE5A5D">
      <w:pPr>
        <w:pStyle w:val="TOC2"/>
        <w:rPr>
          <w:rFonts w:asciiTheme="minorHAnsi" w:eastAsiaTheme="minorEastAsia" w:hAnsiTheme="minorHAnsi" w:cstheme="minorBidi"/>
          <w:sz w:val="22"/>
          <w:szCs w:val="22"/>
        </w:rPr>
      </w:pPr>
      <w:hyperlink w:anchor="_Toc8393574" w:history="1">
        <w:r w:rsidR="00413291" w:rsidRPr="0019648A">
          <w:rPr>
            <w:rStyle w:val="Hyperlink"/>
          </w:rPr>
          <w:t>2.2 Pilot Participants</w:t>
        </w:r>
        <w:r w:rsidR="00413291">
          <w:rPr>
            <w:webHidden/>
          </w:rPr>
          <w:tab/>
        </w:r>
        <w:r w:rsidR="00413291">
          <w:rPr>
            <w:webHidden/>
          </w:rPr>
          <w:fldChar w:fldCharType="begin"/>
        </w:r>
        <w:r w:rsidR="00413291">
          <w:rPr>
            <w:webHidden/>
          </w:rPr>
          <w:instrText xml:space="preserve"> PAGEREF _Toc8393574 \h </w:instrText>
        </w:r>
        <w:r w:rsidR="00413291">
          <w:rPr>
            <w:webHidden/>
          </w:rPr>
        </w:r>
        <w:r w:rsidR="00413291">
          <w:rPr>
            <w:webHidden/>
          </w:rPr>
          <w:fldChar w:fldCharType="separate"/>
        </w:r>
        <w:r w:rsidR="00413291">
          <w:rPr>
            <w:webHidden/>
          </w:rPr>
          <w:t>13</w:t>
        </w:r>
        <w:r w:rsidR="00413291">
          <w:rPr>
            <w:webHidden/>
          </w:rPr>
          <w:fldChar w:fldCharType="end"/>
        </w:r>
      </w:hyperlink>
    </w:p>
    <w:p w14:paraId="3C167FFC" w14:textId="32F2E3E1" w:rsidR="00413291" w:rsidRDefault="00EE5A5D">
      <w:pPr>
        <w:pStyle w:val="TOC2"/>
        <w:rPr>
          <w:rFonts w:asciiTheme="minorHAnsi" w:eastAsiaTheme="minorEastAsia" w:hAnsiTheme="minorHAnsi" w:cstheme="minorBidi"/>
          <w:sz w:val="22"/>
          <w:szCs w:val="22"/>
        </w:rPr>
      </w:pPr>
      <w:hyperlink w:anchor="_Toc8393575" w:history="1">
        <w:r w:rsidR="00413291" w:rsidRPr="0019648A">
          <w:rPr>
            <w:rStyle w:val="Hyperlink"/>
          </w:rPr>
          <w:t>2.3 Participant Commodity Prices</w:t>
        </w:r>
        <w:r w:rsidR="00413291">
          <w:rPr>
            <w:webHidden/>
          </w:rPr>
          <w:tab/>
        </w:r>
        <w:r w:rsidR="00413291">
          <w:rPr>
            <w:webHidden/>
          </w:rPr>
          <w:fldChar w:fldCharType="begin"/>
        </w:r>
        <w:r w:rsidR="00413291">
          <w:rPr>
            <w:webHidden/>
          </w:rPr>
          <w:instrText xml:space="preserve"> PAGEREF _Toc8393575 \h </w:instrText>
        </w:r>
        <w:r w:rsidR="00413291">
          <w:rPr>
            <w:webHidden/>
          </w:rPr>
        </w:r>
        <w:r w:rsidR="00413291">
          <w:rPr>
            <w:webHidden/>
          </w:rPr>
          <w:fldChar w:fldCharType="separate"/>
        </w:r>
        <w:r w:rsidR="00413291">
          <w:rPr>
            <w:webHidden/>
          </w:rPr>
          <w:t>13</w:t>
        </w:r>
        <w:r w:rsidR="00413291">
          <w:rPr>
            <w:webHidden/>
          </w:rPr>
          <w:fldChar w:fldCharType="end"/>
        </w:r>
      </w:hyperlink>
    </w:p>
    <w:p w14:paraId="4638B9F1" w14:textId="0B052491" w:rsidR="00413291" w:rsidRDefault="00EE5A5D">
      <w:pPr>
        <w:pStyle w:val="TOC2"/>
        <w:rPr>
          <w:rFonts w:asciiTheme="minorHAnsi" w:eastAsiaTheme="minorEastAsia" w:hAnsiTheme="minorHAnsi" w:cstheme="minorBidi"/>
          <w:sz w:val="22"/>
          <w:szCs w:val="22"/>
        </w:rPr>
      </w:pPr>
      <w:hyperlink w:anchor="_Toc8393576" w:history="1">
        <w:r w:rsidR="00413291" w:rsidRPr="0019648A">
          <w:rPr>
            <w:rStyle w:val="Hyperlink"/>
          </w:rPr>
          <w:t>2.4 Evaluation Goals and Objectives.</w:t>
        </w:r>
        <w:r w:rsidR="00413291">
          <w:rPr>
            <w:webHidden/>
          </w:rPr>
          <w:tab/>
        </w:r>
        <w:r w:rsidR="00413291">
          <w:rPr>
            <w:webHidden/>
          </w:rPr>
          <w:fldChar w:fldCharType="begin"/>
        </w:r>
        <w:r w:rsidR="00413291">
          <w:rPr>
            <w:webHidden/>
          </w:rPr>
          <w:instrText xml:space="preserve"> PAGEREF _Toc8393576 \h </w:instrText>
        </w:r>
        <w:r w:rsidR="00413291">
          <w:rPr>
            <w:webHidden/>
          </w:rPr>
        </w:r>
        <w:r w:rsidR="00413291">
          <w:rPr>
            <w:webHidden/>
          </w:rPr>
          <w:fldChar w:fldCharType="separate"/>
        </w:r>
        <w:r w:rsidR="00413291">
          <w:rPr>
            <w:webHidden/>
          </w:rPr>
          <w:t>15</w:t>
        </w:r>
        <w:r w:rsidR="00413291">
          <w:rPr>
            <w:webHidden/>
          </w:rPr>
          <w:fldChar w:fldCharType="end"/>
        </w:r>
      </w:hyperlink>
    </w:p>
    <w:p w14:paraId="094232C3" w14:textId="7190D41A" w:rsidR="00413291" w:rsidRDefault="00EE5A5D">
      <w:pPr>
        <w:pStyle w:val="TOC1"/>
        <w:rPr>
          <w:rFonts w:asciiTheme="minorHAnsi" w:eastAsiaTheme="minorEastAsia" w:hAnsiTheme="minorHAnsi"/>
          <w:b w:val="0"/>
          <w:noProof/>
          <w:sz w:val="22"/>
        </w:rPr>
      </w:pPr>
      <w:hyperlink w:anchor="_Toc8393577" w:history="1">
        <w:r w:rsidR="00413291" w:rsidRPr="0019648A">
          <w:rPr>
            <w:rStyle w:val="Hyperlink"/>
            <w:noProof/>
          </w:rPr>
          <w:t>3. Pilot Data and Evaluation Approach</w:t>
        </w:r>
        <w:r w:rsidR="00413291">
          <w:rPr>
            <w:noProof/>
            <w:webHidden/>
          </w:rPr>
          <w:tab/>
        </w:r>
        <w:r w:rsidR="00413291">
          <w:rPr>
            <w:noProof/>
            <w:webHidden/>
          </w:rPr>
          <w:fldChar w:fldCharType="begin"/>
        </w:r>
        <w:r w:rsidR="00413291">
          <w:rPr>
            <w:noProof/>
            <w:webHidden/>
          </w:rPr>
          <w:instrText xml:space="preserve"> PAGEREF _Toc8393577 \h </w:instrText>
        </w:r>
        <w:r w:rsidR="00413291">
          <w:rPr>
            <w:noProof/>
            <w:webHidden/>
          </w:rPr>
        </w:r>
        <w:r w:rsidR="00413291">
          <w:rPr>
            <w:noProof/>
            <w:webHidden/>
          </w:rPr>
          <w:fldChar w:fldCharType="separate"/>
        </w:r>
        <w:r w:rsidR="00413291">
          <w:rPr>
            <w:noProof/>
            <w:webHidden/>
          </w:rPr>
          <w:t>17</w:t>
        </w:r>
        <w:r w:rsidR="00413291">
          <w:rPr>
            <w:noProof/>
            <w:webHidden/>
          </w:rPr>
          <w:fldChar w:fldCharType="end"/>
        </w:r>
      </w:hyperlink>
    </w:p>
    <w:p w14:paraId="4BA21F02" w14:textId="49F42C6E" w:rsidR="00413291" w:rsidRDefault="00EE5A5D">
      <w:pPr>
        <w:pStyle w:val="TOC2"/>
        <w:rPr>
          <w:rFonts w:asciiTheme="minorHAnsi" w:eastAsiaTheme="minorEastAsia" w:hAnsiTheme="minorHAnsi" w:cstheme="minorBidi"/>
          <w:sz w:val="22"/>
          <w:szCs w:val="22"/>
        </w:rPr>
      </w:pPr>
      <w:hyperlink w:anchor="_Toc8393578" w:history="1">
        <w:r w:rsidR="00413291" w:rsidRPr="0019648A">
          <w:rPr>
            <w:rStyle w:val="Hyperlink"/>
          </w:rPr>
          <w:t>3.1 Data</w:t>
        </w:r>
        <w:r w:rsidR="00413291">
          <w:rPr>
            <w:webHidden/>
          </w:rPr>
          <w:tab/>
        </w:r>
        <w:r w:rsidR="00413291">
          <w:rPr>
            <w:webHidden/>
          </w:rPr>
          <w:fldChar w:fldCharType="begin"/>
        </w:r>
        <w:r w:rsidR="00413291">
          <w:rPr>
            <w:webHidden/>
          </w:rPr>
          <w:instrText xml:space="preserve"> PAGEREF _Toc8393578 \h </w:instrText>
        </w:r>
        <w:r w:rsidR="00413291">
          <w:rPr>
            <w:webHidden/>
          </w:rPr>
        </w:r>
        <w:r w:rsidR="00413291">
          <w:rPr>
            <w:webHidden/>
          </w:rPr>
          <w:fldChar w:fldCharType="separate"/>
        </w:r>
        <w:r w:rsidR="00413291">
          <w:rPr>
            <w:webHidden/>
          </w:rPr>
          <w:t>17</w:t>
        </w:r>
        <w:r w:rsidR="00413291">
          <w:rPr>
            <w:webHidden/>
          </w:rPr>
          <w:fldChar w:fldCharType="end"/>
        </w:r>
      </w:hyperlink>
    </w:p>
    <w:p w14:paraId="258C6419" w14:textId="038B34E6" w:rsidR="00413291" w:rsidRDefault="00EE5A5D">
      <w:pPr>
        <w:pStyle w:val="TOC3"/>
        <w:rPr>
          <w:rFonts w:asciiTheme="minorHAnsi" w:hAnsiTheme="minorHAnsi"/>
          <w:sz w:val="22"/>
          <w:szCs w:val="22"/>
        </w:rPr>
      </w:pPr>
      <w:hyperlink w:anchor="_Toc8393579" w:history="1">
        <w:r w:rsidR="00413291" w:rsidRPr="0019648A">
          <w:rPr>
            <w:rStyle w:val="Hyperlink"/>
          </w:rPr>
          <w:t>3.1.1 Participant and Non-Participant Hourly Consumption Data</w:t>
        </w:r>
        <w:r w:rsidR="00413291">
          <w:rPr>
            <w:webHidden/>
          </w:rPr>
          <w:tab/>
        </w:r>
        <w:r w:rsidR="00413291">
          <w:rPr>
            <w:webHidden/>
          </w:rPr>
          <w:fldChar w:fldCharType="begin"/>
        </w:r>
        <w:r w:rsidR="00413291">
          <w:rPr>
            <w:webHidden/>
          </w:rPr>
          <w:instrText xml:space="preserve"> PAGEREF _Toc8393579 \h </w:instrText>
        </w:r>
        <w:r w:rsidR="00413291">
          <w:rPr>
            <w:webHidden/>
          </w:rPr>
        </w:r>
        <w:r w:rsidR="00413291">
          <w:rPr>
            <w:webHidden/>
          </w:rPr>
          <w:fldChar w:fldCharType="separate"/>
        </w:r>
        <w:r w:rsidR="00413291">
          <w:rPr>
            <w:webHidden/>
          </w:rPr>
          <w:t>17</w:t>
        </w:r>
        <w:r w:rsidR="00413291">
          <w:rPr>
            <w:webHidden/>
          </w:rPr>
          <w:fldChar w:fldCharType="end"/>
        </w:r>
      </w:hyperlink>
    </w:p>
    <w:p w14:paraId="15E8DACB" w14:textId="7DBBB7C9" w:rsidR="00413291" w:rsidRDefault="00EE5A5D">
      <w:pPr>
        <w:pStyle w:val="TOC3"/>
        <w:rPr>
          <w:rFonts w:asciiTheme="minorHAnsi" w:hAnsiTheme="minorHAnsi"/>
          <w:sz w:val="22"/>
          <w:szCs w:val="22"/>
        </w:rPr>
      </w:pPr>
      <w:hyperlink w:anchor="_Toc8393580" w:history="1">
        <w:r w:rsidR="00413291" w:rsidRPr="0019648A">
          <w:rPr>
            <w:rStyle w:val="Hyperlink"/>
          </w:rPr>
          <w:t>3.1.2 Hourly Weather Data</w:t>
        </w:r>
        <w:r w:rsidR="00413291">
          <w:rPr>
            <w:webHidden/>
          </w:rPr>
          <w:tab/>
        </w:r>
        <w:r w:rsidR="00413291">
          <w:rPr>
            <w:webHidden/>
          </w:rPr>
          <w:fldChar w:fldCharType="begin"/>
        </w:r>
        <w:r w:rsidR="00413291">
          <w:rPr>
            <w:webHidden/>
          </w:rPr>
          <w:instrText xml:space="preserve"> PAGEREF _Toc8393580 \h </w:instrText>
        </w:r>
        <w:r w:rsidR="00413291">
          <w:rPr>
            <w:webHidden/>
          </w:rPr>
        </w:r>
        <w:r w:rsidR="00413291">
          <w:rPr>
            <w:webHidden/>
          </w:rPr>
          <w:fldChar w:fldCharType="separate"/>
        </w:r>
        <w:r w:rsidR="00413291">
          <w:rPr>
            <w:webHidden/>
          </w:rPr>
          <w:t>19</w:t>
        </w:r>
        <w:r w:rsidR="00413291">
          <w:rPr>
            <w:webHidden/>
          </w:rPr>
          <w:fldChar w:fldCharType="end"/>
        </w:r>
      </w:hyperlink>
    </w:p>
    <w:p w14:paraId="211E4AB5" w14:textId="7F2DF90B" w:rsidR="00413291" w:rsidRDefault="00EE5A5D">
      <w:pPr>
        <w:pStyle w:val="TOC3"/>
        <w:rPr>
          <w:rFonts w:asciiTheme="minorHAnsi" w:hAnsiTheme="minorHAnsi"/>
          <w:sz w:val="22"/>
          <w:szCs w:val="22"/>
        </w:rPr>
      </w:pPr>
      <w:hyperlink w:anchor="_Toc8393581" w:history="1">
        <w:r w:rsidR="00413291" w:rsidRPr="0019648A">
          <w:rPr>
            <w:rStyle w:val="Hyperlink"/>
          </w:rPr>
          <w:t>3.1.3 CPP Event Schedule</w:t>
        </w:r>
        <w:r w:rsidR="00413291">
          <w:rPr>
            <w:webHidden/>
          </w:rPr>
          <w:tab/>
        </w:r>
        <w:r w:rsidR="00413291">
          <w:rPr>
            <w:webHidden/>
          </w:rPr>
          <w:fldChar w:fldCharType="begin"/>
        </w:r>
        <w:r w:rsidR="00413291">
          <w:rPr>
            <w:webHidden/>
          </w:rPr>
          <w:instrText xml:space="preserve"> PAGEREF _Toc8393581 \h </w:instrText>
        </w:r>
        <w:r w:rsidR="00413291">
          <w:rPr>
            <w:webHidden/>
          </w:rPr>
        </w:r>
        <w:r w:rsidR="00413291">
          <w:rPr>
            <w:webHidden/>
          </w:rPr>
          <w:fldChar w:fldCharType="separate"/>
        </w:r>
        <w:r w:rsidR="00413291">
          <w:rPr>
            <w:webHidden/>
          </w:rPr>
          <w:t>20</w:t>
        </w:r>
        <w:r w:rsidR="00413291">
          <w:rPr>
            <w:webHidden/>
          </w:rPr>
          <w:fldChar w:fldCharType="end"/>
        </w:r>
      </w:hyperlink>
    </w:p>
    <w:p w14:paraId="2224B4A2" w14:textId="3F57E6DF" w:rsidR="00413291" w:rsidRDefault="00EE5A5D">
      <w:pPr>
        <w:pStyle w:val="TOC3"/>
        <w:rPr>
          <w:rFonts w:asciiTheme="minorHAnsi" w:hAnsiTheme="minorHAnsi"/>
          <w:sz w:val="22"/>
          <w:szCs w:val="22"/>
        </w:rPr>
      </w:pPr>
      <w:hyperlink w:anchor="_Toc8393582" w:history="1">
        <w:r w:rsidR="00413291" w:rsidRPr="0019648A">
          <w:rPr>
            <w:rStyle w:val="Hyperlink"/>
          </w:rPr>
          <w:t>3.1.4 CPP Group Connectivity Data</w:t>
        </w:r>
        <w:r w:rsidR="00413291">
          <w:rPr>
            <w:webHidden/>
          </w:rPr>
          <w:tab/>
        </w:r>
        <w:r w:rsidR="00413291">
          <w:rPr>
            <w:webHidden/>
          </w:rPr>
          <w:fldChar w:fldCharType="begin"/>
        </w:r>
        <w:r w:rsidR="00413291">
          <w:rPr>
            <w:webHidden/>
          </w:rPr>
          <w:instrText xml:space="preserve"> PAGEREF _Toc8393582 \h </w:instrText>
        </w:r>
        <w:r w:rsidR="00413291">
          <w:rPr>
            <w:webHidden/>
          </w:rPr>
        </w:r>
        <w:r w:rsidR="00413291">
          <w:rPr>
            <w:webHidden/>
          </w:rPr>
          <w:fldChar w:fldCharType="separate"/>
        </w:r>
        <w:r w:rsidR="00413291">
          <w:rPr>
            <w:webHidden/>
          </w:rPr>
          <w:t>21</w:t>
        </w:r>
        <w:r w:rsidR="00413291">
          <w:rPr>
            <w:webHidden/>
          </w:rPr>
          <w:fldChar w:fldCharType="end"/>
        </w:r>
      </w:hyperlink>
    </w:p>
    <w:p w14:paraId="75326B23" w14:textId="660227AF" w:rsidR="00413291" w:rsidRDefault="00EE5A5D">
      <w:pPr>
        <w:pStyle w:val="TOC2"/>
        <w:rPr>
          <w:rFonts w:asciiTheme="minorHAnsi" w:eastAsiaTheme="minorEastAsia" w:hAnsiTheme="minorHAnsi" w:cstheme="minorBidi"/>
          <w:sz w:val="22"/>
          <w:szCs w:val="22"/>
        </w:rPr>
      </w:pPr>
      <w:hyperlink w:anchor="_Toc8393583" w:history="1">
        <w:r w:rsidR="00413291" w:rsidRPr="0019648A">
          <w:rPr>
            <w:rStyle w:val="Hyperlink"/>
          </w:rPr>
          <w:t>3.2 Experimental Design</w:t>
        </w:r>
        <w:r w:rsidR="00413291">
          <w:rPr>
            <w:webHidden/>
          </w:rPr>
          <w:tab/>
        </w:r>
        <w:r w:rsidR="00413291">
          <w:rPr>
            <w:webHidden/>
          </w:rPr>
          <w:fldChar w:fldCharType="begin"/>
        </w:r>
        <w:r w:rsidR="00413291">
          <w:rPr>
            <w:webHidden/>
          </w:rPr>
          <w:instrText xml:space="preserve"> PAGEREF _Toc8393583 \h </w:instrText>
        </w:r>
        <w:r w:rsidR="00413291">
          <w:rPr>
            <w:webHidden/>
          </w:rPr>
        </w:r>
        <w:r w:rsidR="00413291">
          <w:rPr>
            <w:webHidden/>
          </w:rPr>
          <w:fldChar w:fldCharType="separate"/>
        </w:r>
        <w:r w:rsidR="00413291">
          <w:rPr>
            <w:webHidden/>
          </w:rPr>
          <w:t>22</w:t>
        </w:r>
        <w:r w:rsidR="00413291">
          <w:rPr>
            <w:webHidden/>
          </w:rPr>
          <w:fldChar w:fldCharType="end"/>
        </w:r>
      </w:hyperlink>
    </w:p>
    <w:p w14:paraId="2A451813" w14:textId="2BBDDB36" w:rsidR="00413291" w:rsidRDefault="00EE5A5D">
      <w:pPr>
        <w:pStyle w:val="TOC2"/>
        <w:rPr>
          <w:rFonts w:asciiTheme="minorHAnsi" w:eastAsiaTheme="minorEastAsia" w:hAnsiTheme="minorHAnsi" w:cstheme="minorBidi"/>
          <w:sz w:val="22"/>
          <w:szCs w:val="22"/>
        </w:rPr>
      </w:pPr>
      <w:hyperlink w:anchor="_Toc8393584" w:history="1">
        <w:r w:rsidR="00413291" w:rsidRPr="0019648A">
          <w:rPr>
            <w:rStyle w:val="Hyperlink"/>
          </w:rPr>
          <w:t>3.3 Energy Impact Approach</w:t>
        </w:r>
        <w:r w:rsidR="00413291">
          <w:rPr>
            <w:webHidden/>
          </w:rPr>
          <w:tab/>
        </w:r>
        <w:r w:rsidR="00413291">
          <w:rPr>
            <w:webHidden/>
          </w:rPr>
          <w:fldChar w:fldCharType="begin"/>
        </w:r>
        <w:r w:rsidR="00413291">
          <w:rPr>
            <w:webHidden/>
          </w:rPr>
          <w:instrText xml:space="preserve"> PAGEREF _Toc8393584 \h </w:instrText>
        </w:r>
        <w:r w:rsidR="00413291">
          <w:rPr>
            <w:webHidden/>
          </w:rPr>
        </w:r>
        <w:r w:rsidR="00413291">
          <w:rPr>
            <w:webHidden/>
          </w:rPr>
          <w:fldChar w:fldCharType="separate"/>
        </w:r>
        <w:r w:rsidR="00413291">
          <w:rPr>
            <w:webHidden/>
          </w:rPr>
          <w:t>23</w:t>
        </w:r>
        <w:r w:rsidR="00413291">
          <w:rPr>
            <w:webHidden/>
          </w:rPr>
          <w:fldChar w:fldCharType="end"/>
        </w:r>
      </w:hyperlink>
    </w:p>
    <w:p w14:paraId="37B95C35" w14:textId="02B017A2" w:rsidR="00413291" w:rsidRDefault="00EE5A5D">
      <w:pPr>
        <w:pStyle w:val="TOC2"/>
        <w:rPr>
          <w:rFonts w:asciiTheme="minorHAnsi" w:eastAsiaTheme="minorEastAsia" w:hAnsiTheme="minorHAnsi" w:cstheme="minorBidi"/>
          <w:sz w:val="22"/>
          <w:szCs w:val="22"/>
        </w:rPr>
      </w:pPr>
      <w:hyperlink w:anchor="_Toc8393585" w:history="1">
        <w:r w:rsidR="00413291" w:rsidRPr="0019648A">
          <w:rPr>
            <w:rStyle w:val="Hyperlink"/>
          </w:rPr>
          <w:t>3.4 CPP Demand Impact Approach</w:t>
        </w:r>
        <w:r w:rsidR="00413291">
          <w:rPr>
            <w:webHidden/>
          </w:rPr>
          <w:tab/>
        </w:r>
        <w:r w:rsidR="00413291">
          <w:rPr>
            <w:webHidden/>
          </w:rPr>
          <w:fldChar w:fldCharType="begin"/>
        </w:r>
        <w:r w:rsidR="00413291">
          <w:rPr>
            <w:webHidden/>
          </w:rPr>
          <w:instrText xml:space="preserve"> PAGEREF _Toc8393585 \h </w:instrText>
        </w:r>
        <w:r w:rsidR="00413291">
          <w:rPr>
            <w:webHidden/>
          </w:rPr>
        </w:r>
        <w:r w:rsidR="00413291">
          <w:rPr>
            <w:webHidden/>
          </w:rPr>
          <w:fldChar w:fldCharType="separate"/>
        </w:r>
        <w:r w:rsidR="00413291">
          <w:rPr>
            <w:webHidden/>
          </w:rPr>
          <w:t>25</w:t>
        </w:r>
        <w:r w:rsidR="00413291">
          <w:rPr>
            <w:webHidden/>
          </w:rPr>
          <w:fldChar w:fldCharType="end"/>
        </w:r>
      </w:hyperlink>
    </w:p>
    <w:p w14:paraId="5D1325C8" w14:textId="24D6B0C1" w:rsidR="00413291" w:rsidRDefault="00EE5A5D">
      <w:pPr>
        <w:pStyle w:val="TOC2"/>
        <w:rPr>
          <w:rFonts w:asciiTheme="minorHAnsi" w:eastAsiaTheme="minorEastAsia" w:hAnsiTheme="minorHAnsi" w:cstheme="minorBidi"/>
          <w:sz w:val="22"/>
          <w:szCs w:val="22"/>
        </w:rPr>
      </w:pPr>
      <w:hyperlink w:anchor="_Toc8393586" w:history="1">
        <w:r w:rsidR="00413291" w:rsidRPr="0019648A">
          <w:rPr>
            <w:rStyle w:val="Hyperlink"/>
          </w:rPr>
          <w:t>3.5 Elasticities</w:t>
        </w:r>
        <w:r w:rsidR="00413291">
          <w:rPr>
            <w:webHidden/>
          </w:rPr>
          <w:tab/>
        </w:r>
        <w:r w:rsidR="00413291">
          <w:rPr>
            <w:webHidden/>
          </w:rPr>
          <w:fldChar w:fldCharType="begin"/>
        </w:r>
        <w:r w:rsidR="00413291">
          <w:rPr>
            <w:webHidden/>
          </w:rPr>
          <w:instrText xml:space="preserve"> PAGEREF _Toc8393586 \h </w:instrText>
        </w:r>
        <w:r w:rsidR="00413291">
          <w:rPr>
            <w:webHidden/>
          </w:rPr>
        </w:r>
        <w:r w:rsidR="00413291">
          <w:rPr>
            <w:webHidden/>
          </w:rPr>
          <w:fldChar w:fldCharType="separate"/>
        </w:r>
        <w:r w:rsidR="00413291">
          <w:rPr>
            <w:webHidden/>
          </w:rPr>
          <w:t>26</w:t>
        </w:r>
        <w:r w:rsidR="00413291">
          <w:rPr>
            <w:webHidden/>
          </w:rPr>
          <w:fldChar w:fldCharType="end"/>
        </w:r>
      </w:hyperlink>
    </w:p>
    <w:p w14:paraId="429D6344" w14:textId="36C7A0F4" w:rsidR="00413291" w:rsidRDefault="00EE5A5D">
      <w:pPr>
        <w:pStyle w:val="TOC1"/>
        <w:rPr>
          <w:rFonts w:asciiTheme="minorHAnsi" w:eastAsiaTheme="minorEastAsia" w:hAnsiTheme="minorHAnsi"/>
          <w:b w:val="0"/>
          <w:noProof/>
          <w:sz w:val="22"/>
        </w:rPr>
      </w:pPr>
      <w:hyperlink w:anchor="_Toc8393587" w:history="1">
        <w:r w:rsidR="00413291" w:rsidRPr="0019648A">
          <w:rPr>
            <w:rStyle w:val="Hyperlink"/>
            <w:noProof/>
          </w:rPr>
          <w:t>4. Results</w:t>
        </w:r>
        <w:r w:rsidR="00413291">
          <w:rPr>
            <w:noProof/>
            <w:webHidden/>
          </w:rPr>
          <w:tab/>
        </w:r>
        <w:r w:rsidR="00413291">
          <w:rPr>
            <w:noProof/>
            <w:webHidden/>
          </w:rPr>
          <w:fldChar w:fldCharType="begin"/>
        </w:r>
        <w:r w:rsidR="00413291">
          <w:rPr>
            <w:noProof/>
            <w:webHidden/>
          </w:rPr>
          <w:instrText xml:space="preserve"> PAGEREF _Toc8393587 \h </w:instrText>
        </w:r>
        <w:r w:rsidR="00413291">
          <w:rPr>
            <w:noProof/>
            <w:webHidden/>
          </w:rPr>
        </w:r>
        <w:r w:rsidR="00413291">
          <w:rPr>
            <w:noProof/>
            <w:webHidden/>
          </w:rPr>
          <w:fldChar w:fldCharType="separate"/>
        </w:r>
        <w:r w:rsidR="00413291">
          <w:rPr>
            <w:noProof/>
            <w:webHidden/>
          </w:rPr>
          <w:t>27</w:t>
        </w:r>
        <w:r w:rsidR="00413291">
          <w:rPr>
            <w:noProof/>
            <w:webHidden/>
          </w:rPr>
          <w:fldChar w:fldCharType="end"/>
        </w:r>
      </w:hyperlink>
    </w:p>
    <w:p w14:paraId="2AF5F9FA" w14:textId="0DA99115" w:rsidR="00413291" w:rsidRDefault="00EE5A5D">
      <w:pPr>
        <w:pStyle w:val="TOC2"/>
        <w:rPr>
          <w:rFonts w:asciiTheme="minorHAnsi" w:eastAsiaTheme="minorEastAsia" w:hAnsiTheme="minorHAnsi" w:cstheme="minorBidi"/>
          <w:sz w:val="22"/>
          <w:szCs w:val="22"/>
        </w:rPr>
      </w:pPr>
      <w:hyperlink w:anchor="_Toc8393588" w:history="1">
        <w:r w:rsidR="00413291" w:rsidRPr="0019648A">
          <w:rPr>
            <w:rStyle w:val="Hyperlink"/>
          </w:rPr>
          <w:t>4.1 Energy Impacts</w:t>
        </w:r>
        <w:r w:rsidR="00413291">
          <w:rPr>
            <w:webHidden/>
          </w:rPr>
          <w:tab/>
        </w:r>
        <w:r w:rsidR="00413291">
          <w:rPr>
            <w:webHidden/>
          </w:rPr>
          <w:fldChar w:fldCharType="begin"/>
        </w:r>
        <w:r w:rsidR="00413291">
          <w:rPr>
            <w:webHidden/>
          </w:rPr>
          <w:instrText xml:space="preserve"> PAGEREF _Toc8393588 \h </w:instrText>
        </w:r>
        <w:r w:rsidR="00413291">
          <w:rPr>
            <w:webHidden/>
          </w:rPr>
        </w:r>
        <w:r w:rsidR="00413291">
          <w:rPr>
            <w:webHidden/>
          </w:rPr>
          <w:fldChar w:fldCharType="separate"/>
        </w:r>
        <w:r w:rsidR="00413291">
          <w:rPr>
            <w:webHidden/>
          </w:rPr>
          <w:t>27</w:t>
        </w:r>
        <w:r w:rsidR="00413291">
          <w:rPr>
            <w:webHidden/>
          </w:rPr>
          <w:fldChar w:fldCharType="end"/>
        </w:r>
      </w:hyperlink>
    </w:p>
    <w:p w14:paraId="3983B03B" w14:textId="5BF08B92" w:rsidR="00413291" w:rsidRDefault="00EE5A5D">
      <w:pPr>
        <w:pStyle w:val="TOC3"/>
        <w:rPr>
          <w:rFonts w:asciiTheme="minorHAnsi" w:hAnsiTheme="minorHAnsi"/>
          <w:sz w:val="22"/>
          <w:szCs w:val="22"/>
        </w:rPr>
      </w:pPr>
      <w:hyperlink w:anchor="_Toc8393589" w:history="1">
        <w:r w:rsidR="00413291" w:rsidRPr="0019648A">
          <w:rPr>
            <w:rStyle w:val="Hyperlink"/>
          </w:rPr>
          <w:t>4.1.1 CPP and CPP/RT Participants</w:t>
        </w:r>
        <w:r w:rsidR="00413291">
          <w:rPr>
            <w:webHidden/>
          </w:rPr>
          <w:tab/>
        </w:r>
        <w:r w:rsidR="00413291">
          <w:rPr>
            <w:webHidden/>
          </w:rPr>
          <w:fldChar w:fldCharType="begin"/>
        </w:r>
        <w:r w:rsidR="00413291">
          <w:rPr>
            <w:webHidden/>
          </w:rPr>
          <w:instrText xml:space="preserve"> PAGEREF _Toc8393589 \h </w:instrText>
        </w:r>
        <w:r w:rsidR="00413291">
          <w:rPr>
            <w:webHidden/>
          </w:rPr>
        </w:r>
        <w:r w:rsidR="00413291">
          <w:rPr>
            <w:webHidden/>
          </w:rPr>
          <w:fldChar w:fldCharType="separate"/>
        </w:r>
        <w:r w:rsidR="00413291">
          <w:rPr>
            <w:webHidden/>
          </w:rPr>
          <w:t>28</w:t>
        </w:r>
        <w:r w:rsidR="00413291">
          <w:rPr>
            <w:webHidden/>
          </w:rPr>
          <w:fldChar w:fldCharType="end"/>
        </w:r>
      </w:hyperlink>
    </w:p>
    <w:p w14:paraId="0C0C9B0F" w14:textId="6E75C136" w:rsidR="00413291" w:rsidRDefault="00EE5A5D">
      <w:pPr>
        <w:pStyle w:val="TOC3"/>
        <w:rPr>
          <w:rFonts w:asciiTheme="minorHAnsi" w:hAnsiTheme="minorHAnsi"/>
          <w:sz w:val="22"/>
          <w:szCs w:val="22"/>
        </w:rPr>
      </w:pPr>
      <w:hyperlink w:anchor="_Toc8393590" w:history="1">
        <w:r w:rsidR="00413291" w:rsidRPr="0019648A">
          <w:rPr>
            <w:rStyle w:val="Hyperlink"/>
          </w:rPr>
          <w:t>4.1.2 RT-only Participants</w:t>
        </w:r>
        <w:r w:rsidR="00413291">
          <w:rPr>
            <w:webHidden/>
          </w:rPr>
          <w:tab/>
        </w:r>
        <w:r w:rsidR="00413291">
          <w:rPr>
            <w:webHidden/>
          </w:rPr>
          <w:fldChar w:fldCharType="begin"/>
        </w:r>
        <w:r w:rsidR="00413291">
          <w:rPr>
            <w:webHidden/>
          </w:rPr>
          <w:instrText xml:space="preserve"> PAGEREF _Toc8393590 \h </w:instrText>
        </w:r>
        <w:r w:rsidR="00413291">
          <w:rPr>
            <w:webHidden/>
          </w:rPr>
        </w:r>
        <w:r w:rsidR="00413291">
          <w:rPr>
            <w:webHidden/>
          </w:rPr>
          <w:fldChar w:fldCharType="separate"/>
        </w:r>
        <w:r w:rsidR="00413291">
          <w:rPr>
            <w:webHidden/>
          </w:rPr>
          <w:t>33</w:t>
        </w:r>
        <w:r w:rsidR="00413291">
          <w:rPr>
            <w:webHidden/>
          </w:rPr>
          <w:fldChar w:fldCharType="end"/>
        </w:r>
      </w:hyperlink>
    </w:p>
    <w:p w14:paraId="5AA536D6" w14:textId="217C386E" w:rsidR="00413291" w:rsidRDefault="00EE5A5D">
      <w:pPr>
        <w:pStyle w:val="TOC2"/>
        <w:rPr>
          <w:rFonts w:asciiTheme="minorHAnsi" w:eastAsiaTheme="minorEastAsia" w:hAnsiTheme="minorHAnsi" w:cstheme="minorBidi"/>
          <w:sz w:val="22"/>
          <w:szCs w:val="22"/>
        </w:rPr>
      </w:pPr>
      <w:hyperlink w:anchor="_Toc8393591" w:history="1">
        <w:r w:rsidR="00413291" w:rsidRPr="0019648A">
          <w:rPr>
            <w:rStyle w:val="Hyperlink"/>
          </w:rPr>
          <w:t>4.2 Critical Peak Event Demand Impacts</w:t>
        </w:r>
        <w:r w:rsidR="00413291">
          <w:rPr>
            <w:webHidden/>
          </w:rPr>
          <w:tab/>
        </w:r>
        <w:r w:rsidR="00413291">
          <w:rPr>
            <w:webHidden/>
          </w:rPr>
          <w:fldChar w:fldCharType="begin"/>
        </w:r>
        <w:r w:rsidR="00413291">
          <w:rPr>
            <w:webHidden/>
          </w:rPr>
          <w:instrText xml:space="preserve"> PAGEREF _Toc8393591 \h </w:instrText>
        </w:r>
        <w:r w:rsidR="00413291">
          <w:rPr>
            <w:webHidden/>
          </w:rPr>
        </w:r>
        <w:r w:rsidR="00413291">
          <w:rPr>
            <w:webHidden/>
          </w:rPr>
          <w:fldChar w:fldCharType="separate"/>
        </w:r>
        <w:r w:rsidR="00413291">
          <w:rPr>
            <w:webHidden/>
          </w:rPr>
          <w:t>38</w:t>
        </w:r>
        <w:r w:rsidR="00413291">
          <w:rPr>
            <w:webHidden/>
          </w:rPr>
          <w:fldChar w:fldCharType="end"/>
        </w:r>
      </w:hyperlink>
    </w:p>
    <w:p w14:paraId="0F3585EA" w14:textId="54D01B7E" w:rsidR="00413291" w:rsidRDefault="00EE5A5D">
      <w:pPr>
        <w:pStyle w:val="TOC3"/>
        <w:rPr>
          <w:rFonts w:asciiTheme="minorHAnsi" w:hAnsiTheme="minorHAnsi"/>
          <w:sz w:val="22"/>
          <w:szCs w:val="22"/>
        </w:rPr>
      </w:pPr>
      <w:hyperlink w:anchor="_Toc8393592" w:history="1">
        <w:r w:rsidR="00413291" w:rsidRPr="0019648A">
          <w:rPr>
            <w:rStyle w:val="Hyperlink"/>
          </w:rPr>
          <w:t>4.2.1 Summer 2018 Average Impacts (Ex-Post)</w:t>
        </w:r>
        <w:r w:rsidR="00413291">
          <w:rPr>
            <w:webHidden/>
          </w:rPr>
          <w:tab/>
        </w:r>
        <w:r w:rsidR="00413291">
          <w:rPr>
            <w:webHidden/>
          </w:rPr>
          <w:fldChar w:fldCharType="begin"/>
        </w:r>
        <w:r w:rsidR="00413291">
          <w:rPr>
            <w:webHidden/>
          </w:rPr>
          <w:instrText xml:space="preserve"> PAGEREF _Toc8393592 \h </w:instrText>
        </w:r>
        <w:r w:rsidR="00413291">
          <w:rPr>
            <w:webHidden/>
          </w:rPr>
        </w:r>
        <w:r w:rsidR="00413291">
          <w:rPr>
            <w:webHidden/>
          </w:rPr>
          <w:fldChar w:fldCharType="separate"/>
        </w:r>
        <w:r w:rsidR="00413291">
          <w:rPr>
            <w:webHidden/>
          </w:rPr>
          <w:t>40</w:t>
        </w:r>
        <w:r w:rsidR="00413291">
          <w:rPr>
            <w:webHidden/>
          </w:rPr>
          <w:fldChar w:fldCharType="end"/>
        </w:r>
      </w:hyperlink>
    </w:p>
    <w:p w14:paraId="135F1124" w14:textId="4D778E79" w:rsidR="00413291" w:rsidRDefault="00EE5A5D">
      <w:pPr>
        <w:pStyle w:val="TOC3"/>
        <w:rPr>
          <w:rFonts w:asciiTheme="minorHAnsi" w:hAnsiTheme="minorHAnsi"/>
          <w:sz w:val="22"/>
          <w:szCs w:val="22"/>
        </w:rPr>
      </w:pPr>
      <w:hyperlink w:anchor="_Toc8393593" w:history="1">
        <w:r w:rsidR="00413291" w:rsidRPr="0019648A">
          <w:rPr>
            <w:rStyle w:val="Hyperlink"/>
          </w:rPr>
          <w:t>4.2.2 Summer 2018 Average Impacts (Ex-Post) by Connectivity Status</w:t>
        </w:r>
        <w:r w:rsidR="00413291">
          <w:rPr>
            <w:webHidden/>
          </w:rPr>
          <w:tab/>
        </w:r>
        <w:r w:rsidR="00413291">
          <w:rPr>
            <w:webHidden/>
          </w:rPr>
          <w:fldChar w:fldCharType="begin"/>
        </w:r>
        <w:r w:rsidR="00413291">
          <w:rPr>
            <w:webHidden/>
          </w:rPr>
          <w:instrText xml:space="preserve"> PAGEREF _Toc8393593 \h </w:instrText>
        </w:r>
        <w:r w:rsidR="00413291">
          <w:rPr>
            <w:webHidden/>
          </w:rPr>
        </w:r>
        <w:r w:rsidR="00413291">
          <w:rPr>
            <w:webHidden/>
          </w:rPr>
          <w:fldChar w:fldCharType="separate"/>
        </w:r>
        <w:r w:rsidR="00413291">
          <w:rPr>
            <w:webHidden/>
          </w:rPr>
          <w:t>44</w:t>
        </w:r>
        <w:r w:rsidR="00413291">
          <w:rPr>
            <w:webHidden/>
          </w:rPr>
          <w:fldChar w:fldCharType="end"/>
        </w:r>
      </w:hyperlink>
    </w:p>
    <w:p w14:paraId="41214F38" w14:textId="64AD941B" w:rsidR="00413291" w:rsidRDefault="00EE5A5D">
      <w:pPr>
        <w:pStyle w:val="TOC3"/>
        <w:rPr>
          <w:rFonts w:asciiTheme="minorHAnsi" w:hAnsiTheme="minorHAnsi"/>
          <w:sz w:val="22"/>
          <w:szCs w:val="22"/>
        </w:rPr>
      </w:pPr>
      <w:hyperlink w:anchor="_Toc8393594" w:history="1">
        <w:r w:rsidR="00413291" w:rsidRPr="0019648A">
          <w:rPr>
            <w:rStyle w:val="Hyperlink"/>
          </w:rPr>
          <w:t>4.2.3 Summer Capability Estimates (Ex-Ante)</w:t>
        </w:r>
        <w:r w:rsidR="00413291">
          <w:rPr>
            <w:webHidden/>
          </w:rPr>
          <w:tab/>
        </w:r>
        <w:r w:rsidR="00413291">
          <w:rPr>
            <w:webHidden/>
          </w:rPr>
          <w:fldChar w:fldCharType="begin"/>
        </w:r>
        <w:r w:rsidR="00413291">
          <w:rPr>
            <w:webHidden/>
          </w:rPr>
          <w:instrText xml:space="preserve"> PAGEREF _Toc8393594 \h </w:instrText>
        </w:r>
        <w:r w:rsidR="00413291">
          <w:rPr>
            <w:webHidden/>
          </w:rPr>
        </w:r>
        <w:r w:rsidR="00413291">
          <w:rPr>
            <w:webHidden/>
          </w:rPr>
          <w:fldChar w:fldCharType="separate"/>
        </w:r>
        <w:r w:rsidR="00413291">
          <w:rPr>
            <w:webHidden/>
          </w:rPr>
          <w:t>49</w:t>
        </w:r>
        <w:r w:rsidR="00413291">
          <w:rPr>
            <w:webHidden/>
          </w:rPr>
          <w:fldChar w:fldCharType="end"/>
        </w:r>
      </w:hyperlink>
    </w:p>
    <w:p w14:paraId="35E8F993" w14:textId="6436DC74" w:rsidR="00413291" w:rsidRDefault="00EE5A5D">
      <w:pPr>
        <w:pStyle w:val="TOC2"/>
        <w:rPr>
          <w:rFonts w:asciiTheme="minorHAnsi" w:eastAsiaTheme="minorEastAsia" w:hAnsiTheme="minorHAnsi" w:cstheme="minorBidi"/>
          <w:sz w:val="22"/>
          <w:szCs w:val="22"/>
        </w:rPr>
      </w:pPr>
      <w:hyperlink w:anchor="_Toc8393595" w:history="1">
        <w:r w:rsidR="00413291" w:rsidRPr="0019648A">
          <w:rPr>
            <w:rStyle w:val="Hyperlink"/>
          </w:rPr>
          <w:t>4.3 Elasticity Findings</w:t>
        </w:r>
        <w:r w:rsidR="00413291">
          <w:rPr>
            <w:webHidden/>
          </w:rPr>
          <w:tab/>
        </w:r>
        <w:r w:rsidR="00413291">
          <w:rPr>
            <w:webHidden/>
          </w:rPr>
          <w:fldChar w:fldCharType="begin"/>
        </w:r>
        <w:r w:rsidR="00413291">
          <w:rPr>
            <w:webHidden/>
          </w:rPr>
          <w:instrText xml:space="preserve"> PAGEREF _Toc8393595 \h </w:instrText>
        </w:r>
        <w:r w:rsidR="00413291">
          <w:rPr>
            <w:webHidden/>
          </w:rPr>
        </w:r>
        <w:r w:rsidR="00413291">
          <w:rPr>
            <w:webHidden/>
          </w:rPr>
          <w:fldChar w:fldCharType="separate"/>
        </w:r>
        <w:r w:rsidR="00413291">
          <w:rPr>
            <w:webHidden/>
          </w:rPr>
          <w:t>50</w:t>
        </w:r>
        <w:r w:rsidR="00413291">
          <w:rPr>
            <w:webHidden/>
          </w:rPr>
          <w:fldChar w:fldCharType="end"/>
        </w:r>
      </w:hyperlink>
    </w:p>
    <w:p w14:paraId="45BB5B43" w14:textId="74AEC3BC" w:rsidR="00413291" w:rsidRDefault="00EE5A5D">
      <w:pPr>
        <w:pStyle w:val="TOC2"/>
        <w:rPr>
          <w:rFonts w:asciiTheme="minorHAnsi" w:eastAsiaTheme="minorEastAsia" w:hAnsiTheme="minorHAnsi" w:cstheme="minorBidi"/>
          <w:sz w:val="22"/>
          <w:szCs w:val="22"/>
        </w:rPr>
      </w:pPr>
      <w:hyperlink w:anchor="_Toc8393596" w:history="1">
        <w:r w:rsidR="00413291" w:rsidRPr="0019648A">
          <w:rPr>
            <w:rStyle w:val="Hyperlink"/>
          </w:rPr>
          <w:t>4.4 Revenue Adequacy</w:t>
        </w:r>
        <w:r w:rsidR="00413291">
          <w:rPr>
            <w:webHidden/>
          </w:rPr>
          <w:tab/>
        </w:r>
        <w:r w:rsidR="00413291">
          <w:rPr>
            <w:webHidden/>
          </w:rPr>
          <w:fldChar w:fldCharType="begin"/>
        </w:r>
        <w:r w:rsidR="00413291">
          <w:rPr>
            <w:webHidden/>
          </w:rPr>
          <w:instrText xml:space="preserve"> PAGEREF _Toc8393596 \h </w:instrText>
        </w:r>
        <w:r w:rsidR="00413291">
          <w:rPr>
            <w:webHidden/>
          </w:rPr>
        </w:r>
        <w:r w:rsidR="00413291">
          <w:rPr>
            <w:webHidden/>
          </w:rPr>
          <w:fldChar w:fldCharType="separate"/>
        </w:r>
        <w:r w:rsidR="00413291">
          <w:rPr>
            <w:webHidden/>
          </w:rPr>
          <w:t>51</w:t>
        </w:r>
        <w:r w:rsidR="00413291">
          <w:rPr>
            <w:webHidden/>
          </w:rPr>
          <w:fldChar w:fldCharType="end"/>
        </w:r>
      </w:hyperlink>
    </w:p>
    <w:p w14:paraId="3FA8F188" w14:textId="57E08BB0" w:rsidR="00413291" w:rsidRDefault="00EE5A5D">
      <w:pPr>
        <w:pStyle w:val="TOC1"/>
        <w:rPr>
          <w:rFonts w:asciiTheme="minorHAnsi" w:eastAsiaTheme="minorEastAsia" w:hAnsiTheme="minorHAnsi"/>
          <w:b w:val="0"/>
          <w:noProof/>
          <w:sz w:val="22"/>
        </w:rPr>
      </w:pPr>
      <w:hyperlink w:anchor="_Toc8393597" w:history="1">
        <w:r w:rsidR="00413291" w:rsidRPr="0019648A">
          <w:rPr>
            <w:rStyle w:val="Hyperlink"/>
            <w:noProof/>
          </w:rPr>
          <w:t>5. Key Findings, Conclusions, and Recommendations</w:t>
        </w:r>
        <w:r w:rsidR="00413291">
          <w:rPr>
            <w:noProof/>
            <w:webHidden/>
          </w:rPr>
          <w:tab/>
        </w:r>
        <w:r w:rsidR="00413291">
          <w:rPr>
            <w:noProof/>
            <w:webHidden/>
          </w:rPr>
          <w:fldChar w:fldCharType="begin"/>
        </w:r>
        <w:r w:rsidR="00413291">
          <w:rPr>
            <w:noProof/>
            <w:webHidden/>
          </w:rPr>
          <w:instrText xml:space="preserve"> PAGEREF _Toc8393597 \h </w:instrText>
        </w:r>
        <w:r w:rsidR="00413291">
          <w:rPr>
            <w:noProof/>
            <w:webHidden/>
          </w:rPr>
        </w:r>
        <w:r w:rsidR="00413291">
          <w:rPr>
            <w:noProof/>
            <w:webHidden/>
          </w:rPr>
          <w:fldChar w:fldCharType="separate"/>
        </w:r>
        <w:r w:rsidR="00413291">
          <w:rPr>
            <w:noProof/>
            <w:webHidden/>
          </w:rPr>
          <w:t>54</w:t>
        </w:r>
        <w:r w:rsidR="00413291">
          <w:rPr>
            <w:noProof/>
            <w:webHidden/>
          </w:rPr>
          <w:fldChar w:fldCharType="end"/>
        </w:r>
      </w:hyperlink>
    </w:p>
    <w:p w14:paraId="4F46C03A" w14:textId="540836AB" w:rsidR="00413291" w:rsidRDefault="00EE5A5D">
      <w:pPr>
        <w:pStyle w:val="TOC2"/>
        <w:rPr>
          <w:rFonts w:asciiTheme="minorHAnsi" w:eastAsiaTheme="minorEastAsia" w:hAnsiTheme="minorHAnsi" w:cstheme="minorBidi"/>
          <w:sz w:val="22"/>
          <w:szCs w:val="22"/>
        </w:rPr>
      </w:pPr>
      <w:hyperlink w:anchor="_Toc8393598" w:history="1">
        <w:r w:rsidR="00413291" w:rsidRPr="0019648A">
          <w:rPr>
            <w:rStyle w:val="Hyperlink"/>
          </w:rPr>
          <w:t>5.1 Key Findings</w:t>
        </w:r>
        <w:r w:rsidR="00413291">
          <w:rPr>
            <w:webHidden/>
          </w:rPr>
          <w:tab/>
        </w:r>
        <w:r w:rsidR="00413291">
          <w:rPr>
            <w:webHidden/>
          </w:rPr>
          <w:fldChar w:fldCharType="begin"/>
        </w:r>
        <w:r w:rsidR="00413291">
          <w:rPr>
            <w:webHidden/>
          </w:rPr>
          <w:instrText xml:space="preserve"> PAGEREF _Toc8393598 \h </w:instrText>
        </w:r>
        <w:r w:rsidR="00413291">
          <w:rPr>
            <w:webHidden/>
          </w:rPr>
        </w:r>
        <w:r w:rsidR="00413291">
          <w:rPr>
            <w:webHidden/>
          </w:rPr>
          <w:fldChar w:fldCharType="separate"/>
        </w:r>
        <w:r w:rsidR="00413291">
          <w:rPr>
            <w:webHidden/>
          </w:rPr>
          <w:t>54</w:t>
        </w:r>
        <w:r w:rsidR="00413291">
          <w:rPr>
            <w:webHidden/>
          </w:rPr>
          <w:fldChar w:fldCharType="end"/>
        </w:r>
      </w:hyperlink>
    </w:p>
    <w:p w14:paraId="68495865" w14:textId="60E99247" w:rsidR="00413291" w:rsidRDefault="00EE5A5D">
      <w:pPr>
        <w:pStyle w:val="TOC3"/>
        <w:rPr>
          <w:rFonts w:asciiTheme="minorHAnsi" w:hAnsiTheme="minorHAnsi"/>
          <w:sz w:val="22"/>
          <w:szCs w:val="22"/>
        </w:rPr>
      </w:pPr>
      <w:hyperlink w:anchor="_Toc8393599" w:history="1">
        <w:r w:rsidR="00413291" w:rsidRPr="0019648A">
          <w:rPr>
            <w:rStyle w:val="Hyperlink"/>
          </w:rPr>
          <w:t>5.1.1 Energy Impact Key Findings</w:t>
        </w:r>
        <w:r w:rsidR="00413291">
          <w:rPr>
            <w:webHidden/>
          </w:rPr>
          <w:tab/>
        </w:r>
        <w:r w:rsidR="00413291">
          <w:rPr>
            <w:webHidden/>
          </w:rPr>
          <w:fldChar w:fldCharType="begin"/>
        </w:r>
        <w:r w:rsidR="00413291">
          <w:rPr>
            <w:webHidden/>
          </w:rPr>
          <w:instrText xml:space="preserve"> PAGEREF _Toc8393599 \h </w:instrText>
        </w:r>
        <w:r w:rsidR="00413291">
          <w:rPr>
            <w:webHidden/>
          </w:rPr>
        </w:r>
        <w:r w:rsidR="00413291">
          <w:rPr>
            <w:webHidden/>
          </w:rPr>
          <w:fldChar w:fldCharType="separate"/>
        </w:r>
        <w:r w:rsidR="00413291">
          <w:rPr>
            <w:webHidden/>
          </w:rPr>
          <w:t>54</w:t>
        </w:r>
        <w:r w:rsidR="00413291">
          <w:rPr>
            <w:webHidden/>
          </w:rPr>
          <w:fldChar w:fldCharType="end"/>
        </w:r>
      </w:hyperlink>
    </w:p>
    <w:p w14:paraId="60D10709" w14:textId="2DACDF7D" w:rsidR="00413291" w:rsidRDefault="00EE5A5D">
      <w:pPr>
        <w:pStyle w:val="TOC3"/>
        <w:rPr>
          <w:rFonts w:asciiTheme="minorHAnsi" w:hAnsiTheme="minorHAnsi"/>
          <w:sz w:val="22"/>
          <w:szCs w:val="22"/>
        </w:rPr>
      </w:pPr>
      <w:hyperlink w:anchor="_Toc8393600" w:history="1">
        <w:r w:rsidR="00413291" w:rsidRPr="0019648A">
          <w:rPr>
            <w:rStyle w:val="Hyperlink"/>
          </w:rPr>
          <w:t>5.1.2 CPP Event Demand Impact Key Findings</w:t>
        </w:r>
        <w:r w:rsidR="00413291">
          <w:rPr>
            <w:webHidden/>
          </w:rPr>
          <w:tab/>
        </w:r>
        <w:r w:rsidR="00413291">
          <w:rPr>
            <w:webHidden/>
          </w:rPr>
          <w:fldChar w:fldCharType="begin"/>
        </w:r>
        <w:r w:rsidR="00413291">
          <w:rPr>
            <w:webHidden/>
          </w:rPr>
          <w:instrText xml:space="preserve"> PAGEREF _Toc8393600 \h </w:instrText>
        </w:r>
        <w:r w:rsidR="00413291">
          <w:rPr>
            <w:webHidden/>
          </w:rPr>
        </w:r>
        <w:r w:rsidR="00413291">
          <w:rPr>
            <w:webHidden/>
          </w:rPr>
          <w:fldChar w:fldCharType="separate"/>
        </w:r>
        <w:r w:rsidR="00413291">
          <w:rPr>
            <w:webHidden/>
          </w:rPr>
          <w:t>54</w:t>
        </w:r>
        <w:r w:rsidR="00413291">
          <w:rPr>
            <w:webHidden/>
          </w:rPr>
          <w:fldChar w:fldCharType="end"/>
        </w:r>
      </w:hyperlink>
    </w:p>
    <w:p w14:paraId="4E07D722" w14:textId="2AECB7D2" w:rsidR="00413291" w:rsidRDefault="00EE5A5D">
      <w:pPr>
        <w:pStyle w:val="TOC2"/>
        <w:rPr>
          <w:rFonts w:asciiTheme="minorHAnsi" w:eastAsiaTheme="minorEastAsia" w:hAnsiTheme="minorHAnsi" w:cstheme="minorBidi"/>
          <w:sz w:val="22"/>
          <w:szCs w:val="22"/>
        </w:rPr>
      </w:pPr>
      <w:hyperlink w:anchor="_Toc8393601" w:history="1">
        <w:r w:rsidR="00413291" w:rsidRPr="0019648A">
          <w:rPr>
            <w:rStyle w:val="Hyperlink"/>
          </w:rPr>
          <w:t>5.2 Conclusions</w:t>
        </w:r>
        <w:r w:rsidR="00413291">
          <w:rPr>
            <w:webHidden/>
          </w:rPr>
          <w:tab/>
        </w:r>
        <w:r w:rsidR="00413291">
          <w:rPr>
            <w:webHidden/>
          </w:rPr>
          <w:fldChar w:fldCharType="begin"/>
        </w:r>
        <w:r w:rsidR="00413291">
          <w:rPr>
            <w:webHidden/>
          </w:rPr>
          <w:instrText xml:space="preserve"> PAGEREF _Toc8393601 \h </w:instrText>
        </w:r>
        <w:r w:rsidR="00413291">
          <w:rPr>
            <w:webHidden/>
          </w:rPr>
        </w:r>
        <w:r w:rsidR="00413291">
          <w:rPr>
            <w:webHidden/>
          </w:rPr>
          <w:fldChar w:fldCharType="separate"/>
        </w:r>
        <w:r w:rsidR="00413291">
          <w:rPr>
            <w:webHidden/>
          </w:rPr>
          <w:t>55</w:t>
        </w:r>
        <w:r w:rsidR="00413291">
          <w:rPr>
            <w:webHidden/>
          </w:rPr>
          <w:fldChar w:fldCharType="end"/>
        </w:r>
      </w:hyperlink>
    </w:p>
    <w:p w14:paraId="1DD51EA7" w14:textId="68617EA4" w:rsidR="00413291" w:rsidRDefault="00EE5A5D">
      <w:pPr>
        <w:pStyle w:val="TOC2"/>
        <w:rPr>
          <w:rFonts w:asciiTheme="minorHAnsi" w:eastAsiaTheme="minorEastAsia" w:hAnsiTheme="minorHAnsi" w:cstheme="minorBidi"/>
          <w:sz w:val="22"/>
          <w:szCs w:val="22"/>
        </w:rPr>
      </w:pPr>
      <w:hyperlink w:anchor="_Toc8393602" w:history="1">
        <w:r w:rsidR="00413291" w:rsidRPr="0019648A">
          <w:rPr>
            <w:rStyle w:val="Hyperlink"/>
          </w:rPr>
          <w:t>5.3 Recommendations</w:t>
        </w:r>
        <w:r w:rsidR="00413291">
          <w:rPr>
            <w:webHidden/>
          </w:rPr>
          <w:tab/>
        </w:r>
        <w:r w:rsidR="00413291">
          <w:rPr>
            <w:webHidden/>
          </w:rPr>
          <w:fldChar w:fldCharType="begin"/>
        </w:r>
        <w:r w:rsidR="00413291">
          <w:rPr>
            <w:webHidden/>
          </w:rPr>
          <w:instrText xml:space="preserve"> PAGEREF _Toc8393602 \h </w:instrText>
        </w:r>
        <w:r w:rsidR="00413291">
          <w:rPr>
            <w:webHidden/>
          </w:rPr>
        </w:r>
        <w:r w:rsidR="00413291">
          <w:rPr>
            <w:webHidden/>
          </w:rPr>
          <w:fldChar w:fldCharType="separate"/>
        </w:r>
        <w:r w:rsidR="00413291">
          <w:rPr>
            <w:webHidden/>
          </w:rPr>
          <w:t>57</w:t>
        </w:r>
        <w:r w:rsidR="00413291">
          <w:rPr>
            <w:webHidden/>
          </w:rPr>
          <w:fldChar w:fldCharType="end"/>
        </w:r>
      </w:hyperlink>
    </w:p>
    <w:p w14:paraId="1405A458" w14:textId="02DC4F4C" w:rsidR="00413291" w:rsidRDefault="00EE5A5D">
      <w:pPr>
        <w:pStyle w:val="TOC1"/>
        <w:rPr>
          <w:rFonts w:asciiTheme="minorHAnsi" w:eastAsiaTheme="minorEastAsia" w:hAnsiTheme="minorHAnsi"/>
          <w:b w:val="0"/>
          <w:noProof/>
          <w:sz w:val="22"/>
        </w:rPr>
      </w:pPr>
      <w:hyperlink w:anchor="_Toc8393603" w:history="1">
        <w:r w:rsidR="00413291" w:rsidRPr="0019648A">
          <w:rPr>
            <w:rStyle w:val="Hyperlink"/>
            <w:noProof/>
            <w14:scene3d>
              <w14:camera w14:prst="orthographicFront"/>
              <w14:lightRig w14:rig="threePt" w14:dir="t">
                <w14:rot w14:lat="0" w14:lon="0" w14:rev="0"/>
              </w14:lightRig>
            </w14:scene3d>
          </w:rPr>
          <w:t>Appendix A.</w:t>
        </w:r>
        <w:r w:rsidR="00413291" w:rsidRPr="0019648A">
          <w:rPr>
            <w:rStyle w:val="Hyperlink"/>
            <w:noProof/>
          </w:rPr>
          <w:t xml:space="preserve"> Approach – Additional Detail</w:t>
        </w:r>
        <w:r w:rsidR="00413291">
          <w:rPr>
            <w:noProof/>
            <w:webHidden/>
          </w:rPr>
          <w:tab/>
        </w:r>
        <w:r w:rsidR="00413291">
          <w:rPr>
            <w:noProof/>
            <w:webHidden/>
          </w:rPr>
          <w:fldChar w:fldCharType="begin"/>
        </w:r>
        <w:r w:rsidR="00413291">
          <w:rPr>
            <w:noProof/>
            <w:webHidden/>
          </w:rPr>
          <w:instrText xml:space="preserve"> PAGEREF _Toc8393603 \h </w:instrText>
        </w:r>
        <w:r w:rsidR="00413291">
          <w:rPr>
            <w:noProof/>
            <w:webHidden/>
          </w:rPr>
        </w:r>
        <w:r w:rsidR="00413291">
          <w:rPr>
            <w:noProof/>
            <w:webHidden/>
          </w:rPr>
          <w:fldChar w:fldCharType="separate"/>
        </w:r>
        <w:r w:rsidR="00413291">
          <w:rPr>
            <w:noProof/>
            <w:webHidden/>
          </w:rPr>
          <w:t>59</w:t>
        </w:r>
        <w:r w:rsidR="00413291">
          <w:rPr>
            <w:noProof/>
            <w:webHidden/>
          </w:rPr>
          <w:fldChar w:fldCharType="end"/>
        </w:r>
      </w:hyperlink>
    </w:p>
    <w:p w14:paraId="377E75DF" w14:textId="2F5EF050" w:rsidR="00413291" w:rsidRDefault="00EE5A5D">
      <w:pPr>
        <w:pStyle w:val="TOC2"/>
        <w:rPr>
          <w:rFonts w:asciiTheme="minorHAnsi" w:eastAsiaTheme="minorEastAsia" w:hAnsiTheme="minorHAnsi" w:cstheme="minorBidi"/>
          <w:sz w:val="22"/>
          <w:szCs w:val="22"/>
        </w:rPr>
      </w:pPr>
      <w:hyperlink w:anchor="_Toc8393604" w:history="1">
        <w:r w:rsidR="00413291" w:rsidRPr="0019648A">
          <w:rPr>
            <w:rStyle w:val="Hyperlink"/>
            <w:rFonts w:cs="Arial"/>
          </w:rPr>
          <w:t>A.1</w:t>
        </w:r>
        <w:r w:rsidR="00413291" w:rsidRPr="0019648A">
          <w:rPr>
            <w:rStyle w:val="Hyperlink"/>
          </w:rPr>
          <w:t xml:space="preserve"> Data</w:t>
        </w:r>
        <w:r w:rsidR="00413291">
          <w:rPr>
            <w:webHidden/>
          </w:rPr>
          <w:tab/>
        </w:r>
        <w:r w:rsidR="00413291">
          <w:rPr>
            <w:webHidden/>
          </w:rPr>
          <w:fldChar w:fldCharType="begin"/>
        </w:r>
        <w:r w:rsidR="00413291">
          <w:rPr>
            <w:webHidden/>
          </w:rPr>
          <w:instrText xml:space="preserve"> PAGEREF _Toc8393604 \h </w:instrText>
        </w:r>
        <w:r w:rsidR="00413291">
          <w:rPr>
            <w:webHidden/>
          </w:rPr>
        </w:r>
        <w:r w:rsidR="00413291">
          <w:rPr>
            <w:webHidden/>
          </w:rPr>
          <w:fldChar w:fldCharType="separate"/>
        </w:r>
        <w:r w:rsidR="00413291">
          <w:rPr>
            <w:webHidden/>
          </w:rPr>
          <w:t>59</w:t>
        </w:r>
        <w:r w:rsidR="00413291">
          <w:rPr>
            <w:webHidden/>
          </w:rPr>
          <w:fldChar w:fldCharType="end"/>
        </w:r>
      </w:hyperlink>
    </w:p>
    <w:p w14:paraId="097CC4CE" w14:textId="0DF98850" w:rsidR="00413291" w:rsidRDefault="00EE5A5D">
      <w:pPr>
        <w:pStyle w:val="TOC2"/>
        <w:rPr>
          <w:rFonts w:asciiTheme="minorHAnsi" w:eastAsiaTheme="minorEastAsia" w:hAnsiTheme="minorHAnsi" w:cstheme="minorBidi"/>
          <w:sz w:val="22"/>
          <w:szCs w:val="22"/>
        </w:rPr>
      </w:pPr>
      <w:hyperlink w:anchor="_Toc8393605" w:history="1">
        <w:r w:rsidR="00413291" w:rsidRPr="0019648A">
          <w:rPr>
            <w:rStyle w:val="Hyperlink"/>
            <w:rFonts w:cs="Arial"/>
          </w:rPr>
          <w:t>A.2</w:t>
        </w:r>
        <w:r w:rsidR="00413291" w:rsidRPr="0019648A">
          <w:rPr>
            <w:rStyle w:val="Hyperlink"/>
          </w:rPr>
          <w:t xml:space="preserve"> Energy Analysis Model Specification</w:t>
        </w:r>
        <w:r w:rsidR="00413291">
          <w:rPr>
            <w:webHidden/>
          </w:rPr>
          <w:tab/>
        </w:r>
        <w:r w:rsidR="00413291">
          <w:rPr>
            <w:webHidden/>
          </w:rPr>
          <w:fldChar w:fldCharType="begin"/>
        </w:r>
        <w:r w:rsidR="00413291">
          <w:rPr>
            <w:webHidden/>
          </w:rPr>
          <w:instrText xml:space="preserve"> PAGEREF _Toc8393605 \h </w:instrText>
        </w:r>
        <w:r w:rsidR="00413291">
          <w:rPr>
            <w:webHidden/>
          </w:rPr>
        </w:r>
        <w:r w:rsidR="00413291">
          <w:rPr>
            <w:webHidden/>
          </w:rPr>
          <w:fldChar w:fldCharType="separate"/>
        </w:r>
        <w:r w:rsidR="00413291">
          <w:rPr>
            <w:webHidden/>
          </w:rPr>
          <w:t>60</w:t>
        </w:r>
        <w:r w:rsidR="00413291">
          <w:rPr>
            <w:webHidden/>
          </w:rPr>
          <w:fldChar w:fldCharType="end"/>
        </w:r>
      </w:hyperlink>
    </w:p>
    <w:p w14:paraId="1296CFAE" w14:textId="2DD7D8A2" w:rsidR="00413291" w:rsidRDefault="00EE5A5D">
      <w:pPr>
        <w:pStyle w:val="TOC2"/>
        <w:rPr>
          <w:rFonts w:asciiTheme="minorHAnsi" w:eastAsiaTheme="minorEastAsia" w:hAnsiTheme="minorHAnsi" w:cstheme="minorBidi"/>
          <w:sz w:val="22"/>
          <w:szCs w:val="22"/>
        </w:rPr>
      </w:pPr>
      <w:hyperlink w:anchor="_Toc8393606" w:history="1">
        <w:r w:rsidR="00413291" w:rsidRPr="0019648A">
          <w:rPr>
            <w:rStyle w:val="Hyperlink"/>
            <w:rFonts w:cs="Arial"/>
          </w:rPr>
          <w:t>A.3</w:t>
        </w:r>
        <w:r w:rsidR="00413291" w:rsidRPr="0019648A">
          <w:rPr>
            <w:rStyle w:val="Hyperlink"/>
          </w:rPr>
          <w:t xml:space="preserve"> CPP Event Day Demand Model Specification</w:t>
        </w:r>
        <w:r w:rsidR="00413291">
          <w:rPr>
            <w:webHidden/>
          </w:rPr>
          <w:tab/>
        </w:r>
        <w:r w:rsidR="00413291">
          <w:rPr>
            <w:webHidden/>
          </w:rPr>
          <w:fldChar w:fldCharType="begin"/>
        </w:r>
        <w:r w:rsidR="00413291">
          <w:rPr>
            <w:webHidden/>
          </w:rPr>
          <w:instrText xml:space="preserve"> PAGEREF _Toc8393606 \h </w:instrText>
        </w:r>
        <w:r w:rsidR="00413291">
          <w:rPr>
            <w:webHidden/>
          </w:rPr>
        </w:r>
        <w:r w:rsidR="00413291">
          <w:rPr>
            <w:webHidden/>
          </w:rPr>
          <w:fldChar w:fldCharType="separate"/>
        </w:r>
        <w:r w:rsidR="00413291">
          <w:rPr>
            <w:webHidden/>
          </w:rPr>
          <w:t>62</w:t>
        </w:r>
        <w:r w:rsidR="00413291">
          <w:rPr>
            <w:webHidden/>
          </w:rPr>
          <w:fldChar w:fldCharType="end"/>
        </w:r>
      </w:hyperlink>
    </w:p>
    <w:p w14:paraId="3EAA0C92" w14:textId="50ED36FB" w:rsidR="00413291" w:rsidRDefault="00EE5A5D">
      <w:pPr>
        <w:pStyle w:val="TOC2"/>
        <w:rPr>
          <w:rFonts w:asciiTheme="minorHAnsi" w:eastAsiaTheme="minorEastAsia" w:hAnsiTheme="minorHAnsi" w:cstheme="minorBidi"/>
          <w:sz w:val="22"/>
          <w:szCs w:val="22"/>
        </w:rPr>
      </w:pPr>
      <w:hyperlink w:anchor="_Toc8393607" w:history="1">
        <w:r w:rsidR="00413291" w:rsidRPr="0019648A">
          <w:rPr>
            <w:rStyle w:val="Hyperlink"/>
            <w:rFonts w:cs="Arial"/>
          </w:rPr>
          <w:t>A.4</w:t>
        </w:r>
        <w:r w:rsidR="00413291" w:rsidRPr="0019648A">
          <w:rPr>
            <w:rStyle w:val="Hyperlink"/>
          </w:rPr>
          <w:t xml:space="preserve"> Pre-Period Consumption Variable Creation</w:t>
        </w:r>
        <w:r w:rsidR="00413291">
          <w:rPr>
            <w:webHidden/>
          </w:rPr>
          <w:tab/>
        </w:r>
        <w:r w:rsidR="00413291">
          <w:rPr>
            <w:webHidden/>
          </w:rPr>
          <w:fldChar w:fldCharType="begin"/>
        </w:r>
        <w:r w:rsidR="00413291">
          <w:rPr>
            <w:webHidden/>
          </w:rPr>
          <w:instrText xml:space="preserve"> PAGEREF _Toc8393607 \h </w:instrText>
        </w:r>
        <w:r w:rsidR="00413291">
          <w:rPr>
            <w:webHidden/>
          </w:rPr>
        </w:r>
        <w:r w:rsidR="00413291">
          <w:rPr>
            <w:webHidden/>
          </w:rPr>
          <w:fldChar w:fldCharType="separate"/>
        </w:r>
        <w:r w:rsidR="00413291">
          <w:rPr>
            <w:webHidden/>
          </w:rPr>
          <w:t>63</w:t>
        </w:r>
        <w:r w:rsidR="00413291">
          <w:rPr>
            <w:webHidden/>
          </w:rPr>
          <w:fldChar w:fldCharType="end"/>
        </w:r>
      </w:hyperlink>
    </w:p>
    <w:p w14:paraId="1CB10606" w14:textId="6D90CA71" w:rsidR="00413291" w:rsidRDefault="00EE5A5D">
      <w:pPr>
        <w:pStyle w:val="TOC2"/>
        <w:rPr>
          <w:rFonts w:asciiTheme="minorHAnsi" w:eastAsiaTheme="minorEastAsia" w:hAnsiTheme="minorHAnsi" w:cstheme="minorBidi"/>
          <w:sz w:val="22"/>
          <w:szCs w:val="22"/>
        </w:rPr>
      </w:pPr>
      <w:hyperlink w:anchor="_Toc8393608" w:history="1">
        <w:r w:rsidR="00413291" w:rsidRPr="0019648A">
          <w:rPr>
            <w:rStyle w:val="Hyperlink"/>
            <w:rFonts w:cs="Arial"/>
          </w:rPr>
          <w:t>A.5</w:t>
        </w:r>
        <w:r w:rsidR="00413291" w:rsidRPr="0019648A">
          <w:rPr>
            <w:rStyle w:val="Hyperlink"/>
          </w:rPr>
          <w:t xml:space="preserve"> Participant Incentives and the Question of Bias</w:t>
        </w:r>
        <w:r w:rsidR="00413291">
          <w:rPr>
            <w:webHidden/>
          </w:rPr>
          <w:tab/>
        </w:r>
        <w:r w:rsidR="00413291">
          <w:rPr>
            <w:webHidden/>
          </w:rPr>
          <w:fldChar w:fldCharType="begin"/>
        </w:r>
        <w:r w:rsidR="00413291">
          <w:rPr>
            <w:webHidden/>
          </w:rPr>
          <w:instrText xml:space="preserve"> PAGEREF _Toc8393608 \h </w:instrText>
        </w:r>
        <w:r w:rsidR="00413291">
          <w:rPr>
            <w:webHidden/>
          </w:rPr>
        </w:r>
        <w:r w:rsidR="00413291">
          <w:rPr>
            <w:webHidden/>
          </w:rPr>
          <w:fldChar w:fldCharType="separate"/>
        </w:r>
        <w:r w:rsidR="00413291">
          <w:rPr>
            <w:webHidden/>
          </w:rPr>
          <w:t>64</w:t>
        </w:r>
        <w:r w:rsidR="00413291">
          <w:rPr>
            <w:webHidden/>
          </w:rPr>
          <w:fldChar w:fldCharType="end"/>
        </w:r>
      </w:hyperlink>
    </w:p>
    <w:p w14:paraId="6EF0A8EB" w14:textId="6C38D034" w:rsidR="00E3636E" w:rsidRDefault="007B2FBD" w:rsidP="001412F5">
      <w:r>
        <w:rPr>
          <w:b/>
          <w:noProof/>
          <w:snapToGrid w:val="0"/>
          <w:sz w:val="24"/>
        </w:rPr>
        <w:fldChar w:fldCharType="end"/>
      </w:r>
    </w:p>
    <w:p w14:paraId="218D3B28" w14:textId="2AD9EA7F" w:rsidR="00B9017B" w:rsidRDefault="00F8785F">
      <w:pPr>
        <w:rPr>
          <w:b/>
        </w:rPr>
      </w:pPr>
      <w:r>
        <w:rPr>
          <w:b/>
        </w:rPr>
        <w:t>Additional Appendices provided as separate documents:</w:t>
      </w:r>
    </w:p>
    <w:p w14:paraId="15D8EB50" w14:textId="7C80A6E4" w:rsidR="00910C9B" w:rsidRDefault="00910C9B" w:rsidP="00F8785F">
      <w:pPr>
        <w:pStyle w:val="ListParagraph"/>
        <w:numPr>
          <w:ilvl w:val="0"/>
          <w:numId w:val="32"/>
        </w:numPr>
        <w:rPr>
          <w:b/>
        </w:rPr>
      </w:pPr>
      <w:r>
        <w:rPr>
          <w:b/>
        </w:rPr>
        <w:t>Appendix B: OEB Required Pilot Metrics</w:t>
      </w:r>
      <w:r>
        <w:t>. A spreadsheet file containing the data required by the OEB as an output from this analysis.</w:t>
      </w:r>
    </w:p>
    <w:p w14:paraId="0505C8EE" w14:textId="07F07FFC" w:rsidR="00F8785F" w:rsidRPr="00910C9B" w:rsidRDefault="00F8785F" w:rsidP="00F8785F">
      <w:pPr>
        <w:pStyle w:val="ListParagraph"/>
        <w:numPr>
          <w:ilvl w:val="0"/>
          <w:numId w:val="32"/>
        </w:numPr>
        <w:rPr>
          <w:b/>
        </w:rPr>
      </w:pPr>
      <w:r>
        <w:rPr>
          <w:b/>
        </w:rPr>
        <w:t xml:space="preserve">Appendix </w:t>
      </w:r>
      <w:r w:rsidR="00910C9B">
        <w:rPr>
          <w:b/>
        </w:rPr>
        <w:t>C</w:t>
      </w:r>
      <w:r>
        <w:rPr>
          <w:b/>
        </w:rPr>
        <w:t xml:space="preserve">: </w:t>
      </w:r>
      <w:r w:rsidR="00910C9B">
        <w:rPr>
          <w:b/>
        </w:rPr>
        <w:t>General Outputs</w:t>
      </w:r>
      <w:r w:rsidR="00910C9B">
        <w:t xml:space="preserve">. A spreadsheet file containing the data associated with the figures presented in Chapter </w:t>
      </w:r>
      <w:r w:rsidR="00910C9B">
        <w:fldChar w:fldCharType="begin"/>
      </w:r>
      <w:r w:rsidR="00910C9B">
        <w:instrText xml:space="preserve"> REF _Ref965399 \w \h </w:instrText>
      </w:r>
      <w:r w:rsidR="00910C9B">
        <w:fldChar w:fldCharType="separate"/>
      </w:r>
      <w:r w:rsidR="00413291">
        <w:t>3</w:t>
      </w:r>
      <w:r w:rsidR="00910C9B">
        <w:fldChar w:fldCharType="end"/>
      </w:r>
      <w:r w:rsidR="00910C9B">
        <w:t>.</w:t>
      </w:r>
    </w:p>
    <w:p w14:paraId="40C23A7E" w14:textId="05A93E16" w:rsidR="00910C9B" w:rsidRPr="00910C9B" w:rsidRDefault="00910C9B" w:rsidP="00F8785F">
      <w:pPr>
        <w:pStyle w:val="ListParagraph"/>
        <w:numPr>
          <w:ilvl w:val="0"/>
          <w:numId w:val="32"/>
        </w:numPr>
        <w:rPr>
          <w:b/>
        </w:rPr>
      </w:pPr>
      <w:r>
        <w:rPr>
          <w:b/>
        </w:rPr>
        <w:t xml:space="preserve">Appendix D: Energy Impact Outputs. </w:t>
      </w:r>
      <w:r>
        <w:t xml:space="preserve">A spreadsheet file containing the data associated with the figures (excluding load profiles) presented in Section </w:t>
      </w:r>
      <w:r>
        <w:fldChar w:fldCharType="begin"/>
      </w:r>
      <w:r>
        <w:instrText xml:space="preserve"> REF _Ref1123745 \w \h </w:instrText>
      </w:r>
      <w:r>
        <w:fldChar w:fldCharType="separate"/>
      </w:r>
      <w:r w:rsidR="00413291">
        <w:t>4.1</w:t>
      </w:r>
      <w:r>
        <w:fldChar w:fldCharType="end"/>
      </w:r>
    </w:p>
    <w:p w14:paraId="5C7FFED7" w14:textId="77A9702A" w:rsidR="00910C9B" w:rsidRPr="00910C9B" w:rsidRDefault="00910C9B" w:rsidP="00F8785F">
      <w:pPr>
        <w:pStyle w:val="ListParagraph"/>
        <w:numPr>
          <w:ilvl w:val="0"/>
          <w:numId w:val="32"/>
        </w:numPr>
        <w:rPr>
          <w:b/>
        </w:rPr>
      </w:pPr>
      <w:r>
        <w:rPr>
          <w:b/>
        </w:rPr>
        <w:t xml:space="preserve">Appendix E: CPP Event Demand Impacts. </w:t>
      </w:r>
      <w:r>
        <w:t xml:space="preserve">A spreadsheet file containing the data associated with the figures (excluding load profiles) presented in Section </w:t>
      </w:r>
      <w:r>
        <w:fldChar w:fldCharType="begin"/>
      </w:r>
      <w:r>
        <w:instrText xml:space="preserve"> REF _Ref1123750 \w \h </w:instrText>
      </w:r>
      <w:r>
        <w:fldChar w:fldCharType="separate"/>
      </w:r>
      <w:r w:rsidR="00413291">
        <w:t>4.2</w:t>
      </w:r>
      <w:r>
        <w:fldChar w:fldCharType="end"/>
      </w:r>
    </w:p>
    <w:p w14:paraId="239E3844" w14:textId="6B96BD31" w:rsidR="00910C9B" w:rsidRPr="00910C9B" w:rsidRDefault="00910C9B" w:rsidP="00F8785F">
      <w:pPr>
        <w:pStyle w:val="ListParagraph"/>
        <w:numPr>
          <w:ilvl w:val="0"/>
          <w:numId w:val="32"/>
        </w:numPr>
        <w:rPr>
          <w:b/>
        </w:rPr>
      </w:pPr>
      <w:r>
        <w:rPr>
          <w:b/>
        </w:rPr>
        <w:t>Appendix F: Seasonal Load Profiles.</w:t>
      </w:r>
      <w:r>
        <w:t xml:space="preserve"> A PDF file containing the full set of load profiles referenced in Section </w:t>
      </w:r>
      <w:r>
        <w:fldChar w:fldCharType="begin"/>
      </w:r>
      <w:r>
        <w:instrText xml:space="preserve"> REF _Ref1123745 \w \h </w:instrText>
      </w:r>
      <w:r>
        <w:fldChar w:fldCharType="separate"/>
      </w:r>
      <w:r w:rsidR="00413291">
        <w:t>4.1</w:t>
      </w:r>
      <w:r>
        <w:fldChar w:fldCharType="end"/>
      </w:r>
      <w:r>
        <w:t>.</w:t>
      </w:r>
    </w:p>
    <w:p w14:paraId="3AC7DCA4" w14:textId="3C55F5D5" w:rsidR="00910C9B" w:rsidRPr="009A3412" w:rsidRDefault="00910C9B" w:rsidP="00F8785F">
      <w:pPr>
        <w:pStyle w:val="ListParagraph"/>
        <w:numPr>
          <w:ilvl w:val="0"/>
          <w:numId w:val="32"/>
        </w:numPr>
        <w:rPr>
          <w:b/>
        </w:rPr>
      </w:pPr>
      <w:r>
        <w:rPr>
          <w:b/>
        </w:rPr>
        <w:t xml:space="preserve">Appendix G: CPP Event Load Profiles. </w:t>
      </w:r>
      <w:r>
        <w:t xml:space="preserve">A PDF file containing the full set of average event load profiles referenced in Section </w:t>
      </w:r>
      <w:r>
        <w:fldChar w:fldCharType="begin"/>
      </w:r>
      <w:r>
        <w:instrText xml:space="preserve"> REF _Ref1123750 \w \h </w:instrText>
      </w:r>
      <w:r>
        <w:fldChar w:fldCharType="separate"/>
      </w:r>
      <w:r w:rsidR="00413291">
        <w:t>4.2</w:t>
      </w:r>
      <w:r>
        <w:fldChar w:fldCharType="end"/>
      </w:r>
    </w:p>
    <w:p w14:paraId="200B834D" w14:textId="4F13EF80" w:rsidR="009A3412" w:rsidRPr="00413291" w:rsidRDefault="009A3412" w:rsidP="00F8785F">
      <w:pPr>
        <w:pStyle w:val="ListParagraph"/>
        <w:numPr>
          <w:ilvl w:val="0"/>
          <w:numId w:val="32"/>
        </w:numPr>
        <w:rPr>
          <w:b/>
        </w:rPr>
      </w:pPr>
      <w:r>
        <w:rPr>
          <w:b/>
        </w:rPr>
        <w:t xml:space="preserve">Appendix H: Alternative Control Group Approach. </w:t>
      </w:r>
      <w:r>
        <w:t>An MS Word document outlining the alternative control group developed, but not, in the end, used, for this evaluation.</w:t>
      </w:r>
    </w:p>
    <w:p w14:paraId="4AD7EFB8" w14:textId="536FC1D7" w:rsidR="00B560A1" w:rsidRPr="00F8785F" w:rsidRDefault="00B560A1" w:rsidP="00F8785F">
      <w:pPr>
        <w:pStyle w:val="ListParagraph"/>
        <w:numPr>
          <w:ilvl w:val="0"/>
          <w:numId w:val="32"/>
        </w:numPr>
        <w:rPr>
          <w:b/>
        </w:rPr>
      </w:pPr>
      <w:r>
        <w:rPr>
          <w:b/>
        </w:rPr>
        <w:t xml:space="preserve">Appendix I: Participant Engagement Tools and Strategy. </w:t>
      </w:r>
      <w:r>
        <w:t xml:space="preserve">An MS Word document providing additional detail </w:t>
      </w:r>
      <w:r w:rsidR="00FD6DC6">
        <w:t>about the Trickl app, the customer engagement strategy used by London Hydro</w:t>
      </w:r>
      <w:r w:rsidR="00413291">
        <w:t>, and customer disconnections</w:t>
      </w:r>
      <w:r w:rsidR="00FD6DC6">
        <w:t>.</w:t>
      </w:r>
    </w:p>
    <w:p w14:paraId="422323B4" w14:textId="742B508E" w:rsidR="001D21DF" w:rsidRDefault="001D21DF">
      <w:pPr>
        <w:spacing w:line="240" w:lineRule="auto"/>
      </w:pPr>
      <w:r>
        <w:br w:type="page"/>
      </w:r>
    </w:p>
    <w:p w14:paraId="3B7F07C7" w14:textId="124F55FD" w:rsidR="001D21DF" w:rsidRPr="001D21DF" w:rsidRDefault="001D21DF" w:rsidP="001D21DF">
      <w:pPr>
        <w:pStyle w:val="TableofFigures"/>
        <w:jc w:val="center"/>
        <w:rPr>
          <w:b/>
          <w:sz w:val="28"/>
        </w:rPr>
      </w:pPr>
      <w:r w:rsidRPr="001D21DF">
        <w:rPr>
          <w:b/>
          <w:sz w:val="28"/>
        </w:rPr>
        <w:lastRenderedPageBreak/>
        <w:t>Table of Figures</w:t>
      </w:r>
    </w:p>
    <w:p w14:paraId="5B2FF459" w14:textId="08296EB5" w:rsidR="00413291" w:rsidRDefault="001D21DF">
      <w:pPr>
        <w:pStyle w:val="TableofFigure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8393609" w:history="1">
        <w:r w:rsidR="00413291" w:rsidRPr="00C5410A">
          <w:rPr>
            <w:rStyle w:val="Hyperlink"/>
            <w:noProof/>
          </w:rPr>
          <w:t>Figure 1: Ex-Ante and Ex-Post Impact Scatter Plot</w:t>
        </w:r>
        <w:r w:rsidR="00413291">
          <w:rPr>
            <w:noProof/>
            <w:webHidden/>
          </w:rPr>
          <w:tab/>
        </w:r>
        <w:r w:rsidR="00413291">
          <w:rPr>
            <w:noProof/>
            <w:webHidden/>
          </w:rPr>
          <w:fldChar w:fldCharType="begin"/>
        </w:r>
        <w:r w:rsidR="00413291">
          <w:rPr>
            <w:noProof/>
            <w:webHidden/>
          </w:rPr>
          <w:instrText xml:space="preserve"> PAGEREF _Toc8393609 \h </w:instrText>
        </w:r>
        <w:r w:rsidR="00413291">
          <w:rPr>
            <w:noProof/>
            <w:webHidden/>
          </w:rPr>
        </w:r>
        <w:r w:rsidR="00413291">
          <w:rPr>
            <w:noProof/>
            <w:webHidden/>
          </w:rPr>
          <w:fldChar w:fldCharType="separate"/>
        </w:r>
        <w:r w:rsidR="00413291">
          <w:rPr>
            <w:noProof/>
            <w:webHidden/>
          </w:rPr>
          <w:t>7</w:t>
        </w:r>
        <w:r w:rsidR="00413291">
          <w:rPr>
            <w:noProof/>
            <w:webHidden/>
          </w:rPr>
          <w:fldChar w:fldCharType="end"/>
        </w:r>
      </w:hyperlink>
    </w:p>
    <w:p w14:paraId="59BDD4C5" w14:textId="555EDF35" w:rsidR="00413291" w:rsidRDefault="00EE5A5D">
      <w:pPr>
        <w:pStyle w:val="TableofFigures"/>
        <w:rPr>
          <w:rFonts w:asciiTheme="minorHAnsi" w:eastAsiaTheme="minorEastAsia" w:hAnsiTheme="minorHAnsi" w:cstheme="minorBidi"/>
          <w:noProof/>
          <w:sz w:val="22"/>
          <w:szCs w:val="22"/>
        </w:rPr>
      </w:pPr>
      <w:hyperlink w:anchor="_Toc8393610" w:history="1">
        <w:r w:rsidR="00413291" w:rsidRPr="00C5410A">
          <w:rPr>
            <w:rStyle w:val="Hyperlink"/>
            <w:noProof/>
          </w:rPr>
          <w:t>Figure 2: RPP Standard and Pilot TOU Rates</w:t>
        </w:r>
        <w:r w:rsidR="00413291">
          <w:rPr>
            <w:noProof/>
            <w:webHidden/>
          </w:rPr>
          <w:tab/>
        </w:r>
        <w:r w:rsidR="00413291">
          <w:rPr>
            <w:noProof/>
            <w:webHidden/>
          </w:rPr>
          <w:fldChar w:fldCharType="begin"/>
        </w:r>
        <w:r w:rsidR="00413291">
          <w:rPr>
            <w:noProof/>
            <w:webHidden/>
          </w:rPr>
          <w:instrText xml:space="preserve"> PAGEREF _Toc8393610 \h </w:instrText>
        </w:r>
        <w:r w:rsidR="00413291">
          <w:rPr>
            <w:noProof/>
            <w:webHidden/>
          </w:rPr>
        </w:r>
        <w:r w:rsidR="00413291">
          <w:rPr>
            <w:noProof/>
            <w:webHidden/>
          </w:rPr>
          <w:fldChar w:fldCharType="separate"/>
        </w:r>
        <w:r w:rsidR="00413291">
          <w:rPr>
            <w:noProof/>
            <w:webHidden/>
          </w:rPr>
          <w:t>14</w:t>
        </w:r>
        <w:r w:rsidR="00413291">
          <w:rPr>
            <w:noProof/>
            <w:webHidden/>
          </w:rPr>
          <w:fldChar w:fldCharType="end"/>
        </w:r>
      </w:hyperlink>
    </w:p>
    <w:p w14:paraId="62986C9F" w14:textId="4A8A08B3" w:rsidR="00413291" w:rsidRDefault="00EE5A5D">
      <w:pPr>
        <w:pStyle w:val="TableofFigures"/>
        <w:rPr>
          <w:rFonts w:asciiTheme="minorHAnsi" w:eastAsiaTheme="minorEastAsia" w:hAnsiTheme="minorHAnsi" w:cstheme="minorBidi"/>
          <w:noProof/>
          <w:sz w:val="22"/>
          <w:szCs w:val="22"/>
        </w:rPr>
      </w:pPr>
      <w:hyperlink w:anchor="_Toc8393611" w:history="1">
        <w:r w:rsidR="00413291" w:rsidRPr="00C5410A">
          <w:rPr>
            <w:rStyle w:val="Hyperlink"/>
            <w:noProof/>
          </w:rPr>
          <w:t>Figure 3: Summary of Interval Data Provided</w:t>
        </w:r>
        <w:r w:rsidR="00413291">
          <w:rPr>
            <w:noProof/>
            <w:webHidden/>
          </w:rPr>
          <w:tab/>
        </w:r>
        <w:r w:rsidR="00413291">
          <w:rPr>
            <w:noProof/>
            <w:webHidden/>
          </w:rPr>
          <w:fldChar w:fldCharType="begin"/>
        </w:r>
        <w:r w:rsidR="00413291">
          <w:rPr>
            <w:noProof/>
            <w:webHidden/>
          </w:rPr>
          <w:instrText xml:space="preserve"> PAGEREF _Toc8393611 \h </w:instrText>
        </w:r>
        <w:r w:rsidR="00413291">
          <w:rPr>
            <w:noProof/>
            <w:webHidden/>
          </w:rPr>
        </w:r>
        <w:r w:rsidR="00413291">
          <w:rPr>
            <w:noProof/>
            <w:webHidden/>
          </w:rPr>
          <w:fldChar w:fldCharType="separate"/>
        </w:r>
        <w:r w:rsidR="00413291">
          <w:rPr>
            <w:noProof/>
            <w:webHidden/>
          </w:rPr>
          <w:t>18</w:t>
        </w:r>
        <w:r w:rsidR="00413291">
          <w:rPr>
            <w:noProof/>
            <w:webHidden/>
          </w:rPr>
          <w:fldChar w:fldCharType="end"/>
        </w:r>
      </w:hyperlink>
    </w:p>
    <w:p w14:paraId="0C8BEE8D" w14:textId="713FFD51" w:rsidR="00413291" w:rsidRDefault="00EE5A5D">
      <w:pPr>
        <w:pStyle w:val="TableofFigures"/>
        <w:rPr>
          <w:rFonts w:asciiTheme="minorHAnsi" w:eastAsiaTheme="minorEastAsia" w:hAnsiTheme="minorHAnsi" w:cstheme="minorBidi"/>
          <w:noProof/>
          <w:sz w:val="22"/>
          <w:szCs w:val="22"/>
        </w:rPr>
      </w:pPr>
      <w:hyperlink w:anchor="_Toc8393612" w:history="1">
        <w:r w:rsidR="00413291" w:rsidRPr="00C5410A">
          <w:rPr>
            <w:rStyle w:val="Hyperlink"/>
            <w:noProof/>
          </w:rPr>
          <w:t>Figure 4: Final Number of Customers Included in Sample – By Analysis Type</w:t>
        </w:r>
        <w:r w:rsidR="00413291">
          <w:rPr>
            <w:noProof/>
            <w:webHidden/>
          </w:rPr>
          <w:tab/>
        </w:r>
        <w:r w:rsidR="00413291">
          <w:rPr>
            <w:noProof/>
            <w:webHidden/>
          </w:rPr>
          <w:fldChar w:fldCharType="begin"/>
        </w:r>
        <w:r w:rsidR="00413291">
          <w:rPr>
            <w:noProof/>
            <w:webHidden/>
          </w:rPr>
          <w:instrText xml:space="preserve"> PAGEREF _Toc8393612 \h </w:instrText>
        </w:r>
        <w:r w:rsidR="00413291">
          <w:rPr>
            <w:noProof/>
            <w:webHidden/>
          </w:rPr>
        </w:r>
        <w:r w:rsidR="00413291">
          <w:rPr>
            <w:noProof/>
            <w:webHidden/>
          </w:rPr>
          <w:fldChar w:fldCharType="separate"/>
        </w:r>
        <w:r w:rsidR="00413291">
          <w:rPr>
            <w:noProof/>
            <w:webHidden/>
          </w:rPr>
          <w:t>18</w:t>
        </w:r>
        <w:r w:rsidR="00413291">
          <w:rPr>
            <w:noProof/>
            <w:webHidden/>
          </w:rPr>
          <w:fldChar w:fldCharType="end"/>
        </w:r>
      </w:hyperlink>
    </w:p>
    <w:p w14:paraId="6F4B4214" w14:textId="2D256EFD" w:rsidR="00413291" w:rsidRDefault="00EE5A5D">
      <w:pPr>
        <w:pStyle w:val="TableofFigures"/>
        <w:rPr>
          <w:rFonts w:asciiTheme="minorHAnsi" w:eastAsiaTheme="minorEastAsia" w:hAnsiTheme="minorHAnsi" w:cstheme="minorBidi"/>
          <w:noProof/>
          <w:sz w:val="22"/>
          <w:szCs w:val="22"/>
        </w:rPr>
      </w:pPr>
      <w:hyperlink w:anchor="_Toc8393613" w:history="1">
        <w:r w:rsidR="00413291" w:rsidRPr="00C5410A">
          <w:rPr>
            <w:rStyle w:val="Hyperlink"/>
            <w:noProof/>
          </w:rPr>
          <w:t>Figure 5: Participant and Control Monthly Consumption</w:t>
        </w:r>
        <w:r w:rsidR="00413291">
          <w:rPr>
            <w:noProof/>
            <w:webHidden/>
          </w:rPr>
          <w:tab/>
        </w:r>
        <w:r w:rsidR="00413291">
          <w:rPr>
            <w:noProof/>
            <w:webHidden/>
          </w:rPr>
          <w:fldChar w:fldCharType="begin"/>
        </w:r>
        <w:r w:rsidR="00413291">
          <w:rPr>
            <w:noProof/>
            <w:webHidden/>
          </w:rPr>
          <w:instrText xml:space="preserve"> PAGEREF _Toc8393613 \h </w:instrText>
        </w:r>
        <w:r w:rsidR="00413291">
          <w:rPr>
            <w:noProof/>
            <w:webHidden/>
          </w:rPr>
        </w:r>
        <w:r w:rsidR="00413291">
          <w:rPr>
            <w:noProof/>
            <w:webHidden/>
          </w:rPr>
          <w:fldChar w:fldCharType="separate"/>
        </w:r>
        <w:r w:rsidR="00413291">
          <w:rPr>
            <w:noProof/>
            <w:webHidden/>
          </w:rPr>
          <w:t>19</w:t>
        </w:r>
        <w:r w:rsidR="00413291">
          <w:rPr>
            <w:noProof/>
            <w:webHidden/>
          </w:rPr>
          <w:fldChar w:fldCharType="end"/>
        </w:r>
      </w:hyperlink>
    </w:p>
    <w:p w14:paraId="3532F593" w14:textId="1CD58DB1" w:rsidR="00413291" w:rsidRDefault="00EE5A5D">
      <w:pPr>
        <w:pStyle w:val="TableofFigures"/>
        <w:rPr>
          <w:rFonts w:asciiTheme="minorHAnsi" w:eastAsiaTheme="minorEastAsia" w:hAnsiTheme="minorHAnsi" w:cstheme="minorBidi"/>
          <w:noProof/>
          <w:sz w:val="22"/>
          <w:szCs w:val="22"/>
        </w:rPr>
      </w:pPr>
      <w:hyperlink w:anchor="_Toc8393614" w:history="1">
        <w:r w:rsidR="00413291" w:rsidRPr="00C5410A">
          <w:rPr>
            <w:rStyle w:val="Hyperlink"/>
            <w:noProof/>
          </w:rPr>
          <w:t>Figure 6: Daily Temperatures in Program Period</w:t>
        </w:r>
        <w:r w:rsidR="00413291">
          <w:rPr>
            <w:noProof/>
            <w:webHidden/>
          </w:rPr>
          <w:tab/>
        </w:r>
        <w:r w:rsidR="00413291">
          <w:rPr>
            <w:noProof/>
            <w:webHidden/>
          </w:rPr>
          <w:fldChar w:fldCharType="begin"/>
        </w:r>
        <w:r w:rsidR="00413291">
          <w:rPr>
            <w:noProof/>
            <w:webHidden/>
          </w:rPr>
          <w:instrText xml:space="preserve"> PAGEREF _Toc8393614 \h </w:instrText>
        </w:r>
        <w:r w:rsidR="00413291">
          <w:rPr>
            <w:noProof/>
            <w:webHidden/>
          </w:rPr>
        </w:r>
        <w:r w:rsidR="00413291">
          <w:rPr>
            <w:noProof/>
            <w:webHidden/>
          </w:rPr>
          <w:fldChar w:fldCharType="separate"/>
        </w:r>
        <w:r w:rsidR="00413291">
          <w:rPr>
            <w:noProof/>
            <w:webHidden/>
          </w:rPr>
          <w:t>20</w:t>
        </w:r>
        <w:r w:rsidR="00413291">
          <w:rPr>
            <w:noProof/>
            <w:webHidden/>
          </w:rPr>
          <w:fldChar w:fldCharType="end"/>
        </w:r>
      </w:hyperlink>
    </w:p>
    <w:p w14:paraId="7F03C910" w14:textId="54CE1469" w:rsidR="00413291" w:rsidRDefault="00EE5A5D">
      <w:pPr>
        <w:pStyle w:val="TableofFigures"/>
        <w:rPr>
          <w:rFonts w:asciiTheme="minorHAnsi" w:eastAsiaTheme="minorEastAsia" w:hAnsiTheme="minorHAnsi" w:cstheme="minorBidi"/>
          <w:noProof/>
          <w:sz w:val="22"/>
          <w:szCs w:val="22"/>
        </w:rPr>
      </w:pPr>
      <w:hyperlink w:anchor="_Toc8393615" w:history="1">
        <w:r w:rsidR="00413291" w:rsidRPr="00C5410A">
          <w:rPr>
            <w:rStyle w:val="Hyperlink"/>
            <w:noProof/>
          </w:rPr>
          <w:t>Figure 7: Summer 2018 CPP Schedule</w:t>
        </w:r>
        <w:r w:rsidR="00413291">
          <w:rPr>
            <w:noProof/>
            <w:webHidden/>
          </w:rPr>
          <w:tab/>
        </w:r>
        <w:r w:rsidR="00413291">
          <w:rPr>
            <w:noProof/>
            <w:webHidden/>
          </w:rPr>
          <w:fldChar w:fldCharType="begin"/>
        </w:r>
        <w:r w:rsidR="00413291">
          <w:rPr>
            <w:noProof/>
            <w:webHidden/>
          </w:rPr>
          <w:instrText xml:space="preserve"> PAGEREF _Toc8393615 \h </w:instrText>
        </w:r>
        <w:r w:rsidR="00413291">
          <w:rPr>
            <w:noProof/>
            <w:webHidden/>
          </w:rPr>
        </w:r>
        <w:r w:rsidR="00413291">
          <w:rPr>
            <w:noProof/>
            <w:webHidden/>
          </w:rPr>
          <w:fldChar w:fldCharType="separate"/>
        </w:r>
        <w:r w:rsidR="00413291">
          <w:rPr>
            <w:noProof/>
            <w:webHidden/>
          </w:rPr>
          <w:t>20</w:t>
        </w:r>
        <w:r w:rsidR="00413291">
          <w:rPr>
            <w:noProof/>
            <w:webHidden/>
          </w:rPr>
          <w:fldChar w:fldCharType="end"/>
        </w:r>
      </w:hyperlink>
    </w:p>
    <w:p w14:paraId="4F4561A6" w14:textId="6F9DA601" w:rsidR="00413291" w:rsidRDefault="00EE5A5D">
      <w:pPr>
        <w:pStyle w:val="TableofFigures"/>
        <w:rPr>
          <w:rFonts w:asciiTheme="minorHAnsi" w:eastAsiaTheme="minorEastAsia" w:hAnsiTheme="minorHAnsi" w:cstheme="minorBidi"/>
          <w:noProof/>
          <w:sz w:val="22"/>
          <w:szCs w:val="22"/>
        </w:rPr>
      </w:pPr>
      <w:hyperlink w:anchor="_Toc8393616" w:history="1">
        <w:r w:rsidR="00413291" w:rsidRPr="00C5410A">
          <w:rPr>
            <w:rStyle w:val="Hyperlink"/>
            <w:noProof/>
          </w:rPr>
          <w:t>Figure 8: Event-Specific Connectivity Rate</w:t>
        </w:r>
        <w:r w:rsidR="00413291">
          <w:rPr>
            <w:noProof/>
            <w:webHidden/>
          </w:rPr>
          <w:tab/>
        </w:r>
        <w:r w:rsidR="00413291">
          <w:rPr>
            <w:noProof/>
            <w:webHidden/>
          </w:rPr>
          <w:fldChar w:fldCharType="begin"/>
        </w:r>
        <w:r w:rsidR="00413291">
          <w:rPr>
            <w:noProof/>
            <w:webHidden/>
          </w:rPr>
          <w:instrText xml:space="preserve"> PAGEREF _Toc8393616 \h </w:instrText>
        </w:r>
        <w:r w:rsidR="00413291">
          <w:rPr>
            <w:noProof/>
            <w:webHidden/>
          </w:rPr>
        </w:r>
        <w:r w:rsidR="00413291">
          <w:rPr>
            <w:noProof/>
            <w:webHidden/>
          </w:rPr>
          <w:fldChar w:fldCharType="separate"/>
        </w:r>
        <w:r w:rsidR="00413291">
          <w:rPr>
            <w:noProof/>
            <w:webHidden/>
          </w:rPr>
          <w:t>21</w:t>
        </w:r>
        <w:r w:rsidR="00413291">
          <w:rPr>
            <w:noProof/>
            <w:webHidden/>
          </w:rPr>
          <w:fldChar w:fldCharType="end"/>
        </w:r>
      </w:hyperlink>
    </w:p>
    <w:p w14:paraId="33BFFA71" w14:textId="0AD8C2CF" w:rsidR="00413291" w:rsidRDefault="00EE5A5D">
      <w:pPr>
        <w:pStyle w:val="TableofFigures"/>
        <w:rPr>
          <w:rFonts w:asciiTheme="minorHAnsi" w:eastAsiaTheme="minorEastAsia" w:hAnsiTheme="minorHAnsi" w:cstheme="minorBidi"/>
          <w:noProof/>
          <w:sz w:val="22"/>
          <w:szCs w:val="22"/>
        </w:rPr>
      </w:pPr>
      <w:hyperlink w:anchor="_Toc8393617" w:history="1">
        <w:r w:rsidR="00413291" w:rsidRPr="00C5410A">
          <w:rPr>
            <w:rStyle w:val="Hyperlink"/>
            <w:noProof/>
          </w:rPr>
          <w:t>Figure 9: Distribution of Disconnection Frequency</w:t>
        </w:r>
        <w:r w:rsidR="00413291">
          <w:rPr>
            <w:noProof/>
            <w:webHidden/>
          </w:rPr>
          <w:tab/>
        </w:r>
        <w:r w:rsidR="00413291">
          <w:rPr>
            <w:noProof/>
            <w:webHidden/>
          </w:rPr>
          <w:fldChar w:fldCharType="begin"/>
        </w:r>
        <w:r w:rsidR="00413291">
          <w:rPr>
            <w:noProof/>
            <w:webHidden/>
          </w:rPr>
          <w:instrText xml:space="preserve"> PAGEREF _Toc8393617 \h </w:instrText>
        </w:r>
        <w:r w:rsidR="00413291">
          <w:rPr>
            <w:noProof/>
            <w:webHidden/>
          </w:rPr>
        </w:r>
        <w:r w:rsidR="00413291">
          <w:rPr>
            <w:noProof/>
            <w:webHidden/>
          </w:rPr>
          <w:fldChar w:fldCharType="separate"/>
        </w:r>
        <w:r w:rsidR="00413291">
          <w:rPr>
            <w:noProof/>
            <w:webHidden/>
          </w:rPr>
          <w:t>22</w:t>
        </w:r>
        <w:r w:rsidR="00413291">
          <w:rPr>
            <w:noProof/>
            <w:webHidden/>
          </w:rPr>
          <w:fldChar w:fldCharType="end"/>
        </w:r>
      </w:hyperlink>
    </w:p>
    <w:p w14:paraId="66F7926C" w14:textId="15940B60" w:rsidR="00413291" w:rsidRDefault="00EE5A5D">
      <w:pPr>
        <w:pStyle w:val="TableofFigures"/>
        <w:rPr>
          <w:rFonts w:asciiTheme="minorHAnsi" w:eastAsiaTheme="minorEastAsia" w:hAnsiTheme="minorHAnsi" w:cstheme="minorBidi"/>
          <w:noProof/>
          <w:sz w:val="22"/>
          <w:szCs w:val="22"/>
        </w:rPr>
      </w:pPr>
      <w:hyperlink w:anchor="_Toc8393618" w:history="1">
        <w:r w:rsidR="00413291" w:rsidRPr="00C5410A">
          <w:rPr>
            <w:rStyle w:val="Hyperlink"/>
            <w:noProof/>
          </w:rPr>
          <w:t>Figure 10: CPP Energy Impacts – Excludes CPP Event Days</w:t>
        </w:r>
        <w:r w:rsidR="00413291">
          <w:rPr>
            <w:noProof/>
            <w:webHidden/>
          </w:rPr>
          <w:tab/>
        </w:r>
        <w:r w:rsidR="00413291">
          <w:rPr>
            <w:noProof/>
            <w:webHidden/>
          </w:rPr>
          <w:fldChar w:fldCharType="begin"/>
        </w:r>
        <w:r w:rsidR="00413291">
          <w:rPr>
            <w:noProof/>
            <w:webHidden/>
          </w:rPr>
          <w:instrText xml:space="preserve"> PAGEREF _Toc8393618 \h </w:instrText>
        </w:r>
        <w:r w:rsidR="00413291">
          <w:rPr>
            <w:noProof/>
            <w:webHidden/>
          </w:rPr>
        </w:r>
        <w:r w:rsidR="00413291">
          <w:rPr>
            <w:noProof/>
            <w:webHidden/>
          </w:rPr>
          <w:fldChar w:fldCharType="separate"/>
        </w:r>
        <w:r w:rsidR="00413291">
          <w:rPr>
            <w:noProof/>
            <w:webHidden/>
          </w:rPr>
          <w:t>28</w:t>
        </w:r>
        <w:r w:rsidR="00413291">
          <w:rPr>
            <w:noProof/>
            <w:webHidden/>
          </w:rPr>
          <w:fldChar w:fldCharType="end"/>
        </w:r>
      </w:hyperlink>
    </w:p>
    <w:p w14:paraId="42B91D1D" w14:textId="55B37ABF" w:rsidR="00413291" w:rsidRDefault="00EE5A5D">
      <w:pPr>
        <w:pStyle w:val="TableofFigures"/>
        <w:rPr>
          <w:rFonts w:asciiTheme="minorHAnsi" w:eastAsiaTheme="minorEastAsia" w:hAnsiTheme="minorHAnsi" w:cstheme="minorBidi"/>
          <w:noProof/>
          <w:sz w:val="22"/>
          <w:szCs w:val="22"/>
        </w:rPr>
      </w:pPr>
      <w:hyperlink w:anchor="_Toc8393619" w:history="1">
        <w:r w:rsidR="00413291" w:rsidRPr="00C5410A">
          <w:rPr>
            <w:rStyle w:val="Hyperlink"/>
            <w:noProof/>
          </w:rPr>
          <w:t>Figure 11: CPP Energy Impacts: Includes CPP Event Days</w:t>
        </w:r>
        <w:r w:rsidR="00413291">
          <w:rPr>
            <w:noProof/>
            <w:webHidden/>
          </w:rPr>
          <w:tab/>
        </w:r>
        <w:r w:rsidR="00413291">
          <w:rPr>
            <w:noProof/>
            <w:webHidden/>
          </w:rPr>
          <w:fldChar w:fldCharType="begin"/>
        </w:r>
        <w:r w:rsidR="00413291">
          <w:rPr>
            <w:noProof/>
            <w:webHidden/>
          </w:rPr>
          <w:instrText xml:space="preserve"> PAGEREF _Toc8393619 \h </w:instrText>
        </w:r>
        <w:r w:rsidR="00413291">
          <w:rPr>
            <w:noProof/>
            <w:webHidden/>
          </w:rPr>
        </w:r>
        <w:r w:rsidR="00413291">
          <w:rPr>
            <w:noProof/>
            <w:webHidden/>
          </w:rPr>
          <w:fldChar w:fldCharType="separate"/>
        </w:r>
        <w:r w:rsidR="00413291">
          <w:rPr>
            <w:noProof/>
            <w:webHidden/>
          </w:rPr>
          <w:t>29</w:t>
        </w:r>
        <w:r w:rsidR="00413291">
          <w:rPr>
            <w:noProof/>
            <w:webHidden/>
          </w:rPr>
          <w:fldChar w:fldCharType="end"/>
        </w:r>
      </w:hyperlink>
    </w:p>
    <w:p w14:paraId="529EC03E" w14:textId="1E546AB0" w:rsidR="00413291" w:rsidRDefault="00EE5A5D">
      <w:pPr>
        <w:pStyle w:val="TableofFigures"/>
        <w:rPr>
          <w:rFonts w:asciiTheme="minorHAnsi" w:eastAsiaTheme="minorEastAsia" w:hAnsiTheme="minorHAnsi" w:cstheme="minorBidi"/>
          <w:noProof/>
          <w:sz w:val="22"/>
          <w:szCs w:val="22"/>
        </w:rPr>
      </w:pPr>
      <w:hyperlink w:anchor="_Toc8393620" w:history="1">
        <w:r w:rsidR="00413291" w:rsidRPr="00C5410A">
          <w:rPr>
            <w:rStyle w:val="Hyperlink"/>
            <w:noProof/>
          </w:rPr>
          <w:t>Figure 12: CPP Participants – Summer 2017 Weekday Load Profile</w:t>
        </w:r>
        <w:r w:rsidR="00413291">
          <w:rPr>
            <w:noProof/>
            <w:webHidden/>
          </w:rPr>
          <w:tab/>
        </w:r>
        <w:r w:rsidR="00413291">
          <w:rPr>
            <w:noProof/>
            <w:webHidden/>
          </w:rPr>
          <w:fldChar w:fldCharType="begin"/>
        </w:r>
        <w:r w:rsidR="00413291">
          <w:rPr>
            <w:noProof/>
            <w:webHidden/>
          </w:rPr>
          <w:instrText xml:space="preserve"> PAGEREF _Toc8393620 \h </w:instrText>
        </w:r>
        <w:r w:rsidR="00413291">
          <w:rPr>
            <w:noProof/>
            <w:webHidden/>
          </w:rPr>
        </w:r>
        <w:r w:rsidR="00413291">
          <w:rPr>
            <w:noProof/>
            <w:webHidden/>
          </w:rPr>
          <w:fldChar w:fldCharType="separate"/>
        </w:r>
        <w:r w:rsidR="00413291">
          <w:rPr>
            <w:noProof/>
            <w:webHidden/>
          </w:rPr>
          <w:t>30</w:t>
        </w:r>
        <w:r w:rsidR="00413291">
          <w:rPr>
            <w:noProof/>
            <w:webHidden/>
          </w:rPr>
          <w:fldChar w:fldCharType="end"/>
        </w:r>
      </w:hyperlink>
    </w:p>
    <w:p w14:paraId="2F41FB24" w14:textId="61127B1A" w:rsidR="00413291" w:rsidRDefault="00EE5A5D">
      <w:pPr>
        <w:pStyle w:val="TableofFigures"/>
        <w:rPr>
          <w:rFonts w:asciiTheme="minorHAnsi" w:eastAsiaTheme="minorEastAsia" w:hAnsiTheme="minorHAnsi" w:cstheme="minorBidi"/>
          <w:noProof/>
          <w:sz w:val="22"/>
          <w:szCs w:val="22"/>
        </w:rPr>
      </w:pPr>
      <w:hyperlink w:anchor="_Toc8393621" w:history="1">
        <w:r w:rsidR="00413291" w:rsidRPr="00C5410A">
          <w:rPr>
            <w:rStyle w:val="Hyperlink"/>
            <w:noProof/>
          </w:rPr>
          <w:t>Figure 13: CPP Participants – Summer 2016 Weekday Load Profile</w:t>
        </w:r>
        <w:r w:rsidR="00413291">
          <w:rPr>
            <w:noProof/>
            <w:webHidden/>
          </w:rPr>
          <w:tab/>
        </w:r>
        <w:r w:rsidR="00413291">
          <w:rPr>
            <w:noProof/>
            <w:webHidden/>
          </w:rPr>
          <w:fldChar w:fldCharType="begin"/>
        </w:r>
        <w:r w:rsidR="00413291">
          <w:rPr>
            <w:noProof/>
            <w:webHidden/>
          </w:rPr>
          <w:instrText xml:space="preserve"> PAGEREF _Toc8393621 \h </w:instrText>
        </w:r>
        <w:r w:rsidR="00413291">
          <w:rPr>
            <w:noProof/>
            <w:webHidden/>
          </w:rPr>
        </w:r>
        <w:r w:rsidR="00413291">
          <w:rPr>
            <w:noProof/>
            <w:webHidden/>
          </w:rPr>
          <w:fldChar w:fldCharType="separate"/>
        </w:r>
        <w:r w:rsidR="00413291">
          <w:rPr>
            <w:noProof/>
            <w:webHidden/>
          </w:rPr>
          <w:t>30</w:t>
        </w:r>
        <w:r w:rsidR="00413291">
          <w:rPr>
            <w:noProof/>
            <w:webHidden/>
          </w:rPr>
          <w:fldChar w:fldCharType="end"/>
        </w:r>
      </w:hyperlink>
    </w:p>
    <w:p w14:paraId="114C6E25" w14:textId="63391185" w:rsidR="00413291" w:rsidRDefault="00EE5A5D">
      <w:pPr>
        <w:pStyle w:val="TableofFigures"/>
        <w:rPr>
          <w:rFonts w:asciiTheme="minorHAnsi" w:eastAsiaTheme="minorEastAsia" w:hAnsiTheme="minorHAnsi" w:cstheme="minorBidi"/>
          <w:noProof/>
          <w:sz w:val="22"/>
          <w:szCs w:val="22"/>
        </w:rPr>
      </w:pPr>
      <w:hyperlink w:anchor="_Toc8393622" w:history="1">
        <w:r w:rsidR="00413291" w:rsidRPr="00C5410A">
          <w:rPr>
            <w:rStyle w:val="Hyperlink"/>
            <w:noProof/>
          </w:rPr>
          <w:t>Figure 14: CPP Participants – Summer 2018 (Program Period) Weekday Load Profile</w:t>
        </w:r>
        <w:r w:rsidR="00413291">
          <w:rPr>
            <w:noProof/>
            <w:webHidden/>
          </w:rPr>
          <w:tab/>
        </w:r>
        <w:r w:rsidR="00413291">
          <w:rPr>
            <w:noProof/>
            <w:webHidden/>
          </w:rPr>
          <w:fldChar w:fldCharType="begin"/>
        </w:r>
        <w:r w:rsidR="00413291">
          <w:rPr>
            <w:noProof/>
            <w:webHidden/>
          </w:rPr>
          <w:instrText xml:space="preserve"> PAGEREF _Toc8393622 \h </w:instrText>
        </w:r>
        <w:r w:rsidR="00413291">
          <w:rPr>
            <w:noProof/>
            <w:webHidden/>
          </w:rPr>
        </w:r>
        <w:r w:rsidR="00413291">
          <w:rPr>
            <w:noProof/>
            <w:webHidden/>
          </w:rPr>
          <w:fldChar w:fldCharType="separate"/>
        </w:r>
        <w:r w:rsidR="00413291">
          <w:rPr>
            <w:noProof/>
            <w:webHidden/>
          </w:rPr>
          <w:t>31</w:t>
        </w:r>
        <w:r w:rsidR="00413291">
          <w:rPr>
            <w:noProof/>
            <w:webHidden/>
          </w:rPr>
          <w:fldChar w:fldCharType="end"/>
        </w:r>
      </w:hyperlink>
    </w:p>
    <w:p w14:paraId="3C2A41A8" w14:textId="5C1CDB1B" w:rsidR="00413291" w:rsidRDefault="00EE5A5D">
      <w:pPr>
        <w:pStyle w:val="TableofFigures"/>
        <w:rPr>
          <w:rFonts w:asciiTheme="minorHAnsi" w:eastAsiaTheme="minorEastAsia" w:hAnsiTheme="minorHAnsi" w:cstheme="minorBidi"/>
          <w:noProof/>
          <w:sz w:val="22"/>
          <w:szCs w:val="22"/>
        </w:rPr>
      </w:pPr>
      <w:hyperlink w:anchor="_Toc8393623" w:history="1">
        <w:r w:rsidR="00413291" w:rsidRPr="00C5410A">
          <w:rPr>
            <w:rStyle w:val="Hyperlink"/>
            <w:noProof/>
          </w:rPr>
          <w:t>Figure 15: CPP Energy Impact Parameters of Interest</w:t>
        </w:r>
        <w:r w:rsidR="00413291">
          <w:rPr>
            <w:noProof/>
            <w:webHidden/>
          </w:rPr>
          <w:tab/>
        </w:r>
        <w:r w:rsidR="00413291">
          <w:rPr>
            <w:noProof/>
            <w:webHidden/>
          </w:rPr>
          <w:fldChar w:fldCharType="begin"/>
        </w:r>
        <w:r w:rsidR="00413291">
          <w:rPr>
            <w:noProof/>
            <w:webHidden/>
          </w:rPr>
          <w:instrText xml:space="preserve"> PAGEREF _Toc8393623 \h </w:instrText>
        </w:r>
        <w:r w:rsidR="00413291">
          <w:rPr>
            <w:noProof/>
            <w:webHidden/>
          </w:rPr>
        </w:r>
        <w:r w:rsidR="00413291">
          <w:rPr>
            <w:noProof/>
            <w:webHidden/>
          </w:rPr>
          <w:fldChar w:fldCharType="separate"/>
        </w:r>
        <w:r w:rsidR="00413291">
          <w:rPr>
            <w:noProof/>
            <w:webHidden/>
          </w:rPr>
          <w:t>32</w:t>
        </w:r>
        <w:r w:rsidR="00413291">
          <w:rPr>
            <w:noProof/>
            <w:webHidden/>
          </w:rPr>
          <w:fldChar w:fldCharType="end"/>
        </w:r>
      </w:hyperlink>
    </w:p>
    <w:p w14:paraId="3C25970F" w14:textId="45FB3818" w:rsidR="00413291" w:rsidRDefault="00EE5A5D">
      <w:pPr>
        <w:pStyle w:val="TableofFigures"/>
        <w:rPr>
          <w:rFonts w:asciiTheme="minorHAnsi" w:eastAsiaTheme="minorEastAsia" w:hAnsiTheme="minorHAnsi" w:cstheme="minorBidi"/>
          <w:noProof/>
          <w:sz w:val="22"/>
          <w:szCs w:val="22"/>
        </w:rPr>
      </w:pPr>
      <w:hyperlink w:anchor="_Toc8393624" w:history="1">
        <w:r w:rsidR="00413291" w:rsidRPr="00C5410A">
          <w:rPr>
            <w:rStyle w:val="Hyperlink"/>
            <w:noProof/>
          </w:rPr>
          <w:t>Figure 16: CPP Participants – October 2017 Weekday Load Profile</w:t>
        </w:r>
        <w:r w:rsidR="00413291">
          <w:rPr>
            <w:noProof/>
            <w:webHidden/>
          </w:rPr>
          <w:tab/>
        </w:r>
        <w:r w:rsidR="00413291">
          <w:rPr>
            <w:noProof/>
            <w:webHidden/>
          </w:rPr>
          <w:fldChar w:fldCharType="begin"/>
        </w:r>
        <w:r w:rsidR="00413291">
          <w:rPr>
            <w:noProof/>
            <w:webHidden/>
          </w:rPr>
          <w:instrText xml:space="preserve"> PAGEREF _Toc8393624 \h </w:instrText>
        </w:r>
        <w:r w:rsidR="00413291">
          <w:rPr>
            <w:noProof/>
            <w:webHidden/>
          </w:rPr>
        </w:r>
        <w:r w:rsidR="00413291">
          <w:rPr>
            <w:noProof/>
            <w:webHidden/>
          </w:rPr>
          <w:fldChar w:fldCharType="separate"/>
        </w:r>
        <w:r w:rsidR="00413291">
          <w:rPr>
            <w:noProof/>
            <w:webHidden/>
          </w:rPr>
          <w:t>32</w:t>
        </w:r>
        <w:r w:rsidR="00413291">
          <w:rPr>
            <w:noProof/>
            <w:webHidden/>
          </w:rPr>
          <w:fldChar w:fldCharType="end"/>
        </w:r>
      </w:hyperlink>
    </w:p>
    <w:p w14:paraId="0920E9CD" w14:textId="7F33F0A7" w:rsidR="00413291" w:rsidRDefault="00EE5A5D">
      <w:pPr>
        <w:pStyle w:val="TableofFigures"/>
        <w:rPr>
          <w:rFonts w:asciiTheme="minorHAnsi" w:eastAsiaTheme="minorEastAsia" w:hAnsiTheme="minorHAnsi" w:cstheme="minorBidi"/>
          <w:noProof/>
          <w:sz w:val="22"/>
          <w:szCs w:val="22"/>
        </w:rPr>
      </w:pPr>
      <w:hyperlink w:anchor="_Toc8393625" w:history="1">
        <w:r w:rsidR="00413291" w:rsidRPr="00C5410A">
          <w:rPr>
            <w:rStyle w:val="Hyperlink"/>
            <w:noProof/>
          </w:rPr>
          <w:t>Figure 17: CPP Participants – October 2017 Weekday Load Profile</w:t>
        </w:r>
        <w:r w:rsidR="00413291">
          <w:rPr>
            <w:noProof/>
            <w:webHidden/>
          </w:rPr>
          <w:tab/>
        </w:r>
        <w:r w:rsidR="00413291">
          <w:rPr>
            <w:noProof/>
            <w:webHidden/>
          </w:rPr>
          <w:fldChar w:fldCharType="begin"/>
        </w:r>
        <w:r w:rsidR="00413291">
          <w:rPr>
            <w:noProof/>
            <w:webHidden/>
          </w:rPr>
          <w:instrText xml:space="preserve"> PAGEREF _Toc8393625 \h </w:instrText>
        </w:r>
        <w:r w:rsidR="00413291">
          <w:rPr>
            <w:noProof/>
            <w:webHidden/>
          </w:rPr>
        </w:r>
        <w:r w:rsidR="00413291">
          <w:rPr>
            <w:noProof/>
            <w:webHidden/>
          </w:rPr>
          <w:fldChar w:fldCharType="separate"/>
        </w:r>
        <w:r w:rsidR="00413291">
          <w:rPr>
            <w:noProof/>
            <w:webHidden/>
          </w:rPr>
          <w:t>33</w:t>
        </w:r>
        <w:r w:rsidR="00413291">
          <w:rPr>
            <w:noProof/>
            <w:webHidden/>
          </w:rPr>
          <w:fldChar w:fldCharType="end"/>
        </w:r>
      </w:hyperlink>
    </w:p>
    <w:p w14:paraId="4EB61EA9" w14:textId="6AA6E2A7" w:rsidR="00413291" w:rsidRDefault="00EE5A5D">
      <w:pPr>
        <w:pStyle w:val="TableofFigures"/>
        <w:rPr>
          <w:rFonts w:asciiTheme="minorHAnsi" w:eastAsiaTheme="minorEastAsia" w:hAnsiTheme="minorHAnsi" w:cstheme="minorBidi"/>
          <w:noProof/>
          <w:sz w:val="22"/>
          <w:szCs w:val="22"/>
        </w:rPr>
      </w:pPr>
      <w:hyperlink w:anchor="_Toc8393626" w:history="1">
        <w:r w:rsidR="00413291" w:rsidRPr="00C5410A">
          <w:rPr>
            <w:rStyle w:val="Hyperlink"/>
            <w:noProof/>
          </w:rPr>
          <w:t>Figure 18: RT-Only Energy Impacts</w:t>
        </w:r>
        <w:r w:rsidR="00413291">
          <w:rPr>
            <w:noProof/>
            <w:webHidden/>
          </w:rPr>
          <w:tab/>
        </w:r>
        <w:r w:rsidR="00413291">
          <w:rPr>
            <w:noProof/>
            <w:webHidden/>
          </w:rPr>
          <w:fldChar w:fldCharType="begin"/>
        </w:r>
        <w:r w:rsidR="00413291">
          <w:rPr>
            <w:noProof/>
            <w:webHidden/>
          </w:rPr>
          <w:instrText xml:space="preserve"> PAGEREF _Toc8393626 \h </w:instrText>
        </w:r>
        <w:r w:rsidR="00413291">
          <w:rPr>
            <w:noProof/>
            <w:webHidden/>
          </w:rPr>
        </w:r>
        <w:r w:rsidR="00413291">
          <w:rPr>
            <w:noProof/>
            <w:webHidden/>
          </w:rPr>
          <w:fldChar w:fldCharType="separate"/>
        </w:r>
        <w:r w:rsidR="00413291">
          <w:rPr>
            <w:noProof/>
            <w:webHidden/>
          </w:rPr>
          <w:t>34</w:t>
        </w:r>
        <w:r w:rsidR="00413291">
          <w:rPr>
            <w:noProof/>
            <w:webHidden/>
          </w:rPr>
          <w:fldChar w:fldCharType="end"/>
        </w:r>
      </w:hyperlink>
    </w:p>
    <w:p w14:paraId="3BC31448" w14:textId="518A522E" w:rsidR="00413291" w:rsidRDefault="00EE5A5D">
      <w:pPr>
        <w:pStyle w:val="TableofFigures"/>
        <w:rPr>
          <w:rFonts w:asciiTheme="minorHAnsi" w:eastAsiaTheme="minorEastAsia" w:hAnsiTheme="minorHAnsi" w:cstheme="minorBidi"/>
          <w:noProof/>
          <w:sz w:val="22"/>
          <w:szCs w:val="22"/>
        </w:rPr>
      </w:pPr>
      <w:hyperlink w:anchor="_Toc8393627" w:history="1">
        <w:r w:rsidR="00413291" w:rsidRPr="00C5410A">
          <w:rPr>
            <w:rStyle w:val="Hyperlink"/>
            <w:noProof/>
          </w:rPr>
          <w:t>Figure 19: RT-Only Participants – Summer 2017 Weekday Load Profile</w:t>
        </w:r>
        <w:r w:rsidR="00413291">
          <w:rPr>
            <w:noProof/>
            <w:webHidden/>
          </w:rPr>
          <w:tab/>
        </w:r>
        <w:r w:rsidR="00413291">
          <w:rPr>
            <w:noProof/>
            <w:webHidden/>
          </w:rPr>
          <w:fldChar w:fldCharType="begin"/>
        </w:r>
        <w:r w:rsidR="00413291">
          <w:rPr>
            <w:noProof/>
            <w:webHidden/>
          </w:rPr>
          <w:instrText xml:space="preserve"> PAGEREF _Toc8393627 \h </w:instrText>
        </w:r>
        <w:r w:rsidR="00413291">
          <w:rPr>
            <w:noProof/>
            <w:webHidden/>
          </w:rPr>
        </w:r>
        <w:r w:rsidR="00413291">
          <w:rPr>
            <w:noProof/>
            <w:webHidden/>
          </w:rPr>
          <w:fldChar w:fldCharType="separate"/>
        </w:r>
        <w:r w:rsidR="00413291">
          <w:rPr>
            <w:noProof/>
            <w:webHidden/>
          </w:rPr>
          <w:t>35</w:t>
        </w:r>
        <w:r w:rsidR="00413291">
          <w:rPr>
            <w:noProof/>
            <w:webHidden/>
          </w:rPr>
          <w:fldChar w:fldCharType="end"/>
        </w:r>
      </w:hyperlink>
    </w:p>
    <w:p w14:paraId="45EDF4A8" w14:textId="43250BA9" w:rsidR="00413291" w:rsidRDefault="00EE5A5D">
      <w:pPr>
        <w:pStyle w:val="TableofFigures"/>
        <w:rPr>
          <w:rFonts w:asciiTheme="minorHAnsi" w:eastAsiaTheme="minorEastAsia" w:hAnsiTheme="minorHAnsi" w:cstheme="minorBidi"/>
          <w:noProof/>
          <w:sz w:val="22"/>
          <w:szCs w:val="22"/>
        </w:rPr>
      </w:pPr>
      <w:hyperlink w:anchor="_Toc8393628" w:history="1">
        <w:r w:rsidR="00413291" w:rsidRPr="00C5410A">
          <w:rPr>
            <w:rStyle w:val="Hyperlink"/>
            <w:noProof/>
          </w:rPr>
          <w:t>Figure 20: RT-Only Participants – Summer 2016 Weekday Load Profile</w:t>
        </w:r>
        <w:r w:rsidR="00413291">
          <w:rPr>
            <w:noProof/>
            <w:webHidden/>
          </w:rPr>
          <w:tab/>
        </w:r>
        <w:r w:rsidR="00413291">
          <w:rPr>
            <w:noProof/>
            <w:webHidden/>
          </w:rPr>
          <w:fldChar w:fldCharType="begin"/>
        </w:r>
        <w:r w:rsidR="00413291">
          <w:rPr>
            <w:noProof/>
            <w:webHidden/>
          </w:rPr>
          <w:instrText xml:space="preserve"> PAGEREF _Toc8393628 \h </w:instrText>
        </w:r>
        <w:r w:rsidR="00413291">
          <w:rPr>
            <w:noProof/>
            <w:webHidden/>
          </w:rPr>
        </w:r>
        <w:r w:rsidR="00413291">
          <w:rPr>
            <w:noProof/>
            <w:webHidden/>
          </w:rPr>
          <w:fldChar w:fldCharType="separate"/>
        </w:r>
        <w:r w:rsidR="00413291">
          <w:rPr>
            <w:noProof/>
            <w:webHidden/>
          </w:rPr>
          <w:t>36</w:t>
        </w:r>
        <w:r w:rsidR="00413291">
          <w:rPr>
            <w:noProof/>
            <w:webHidden/>
          </w:rPr>
          <w:fldChar w:fldCharType="end"/>
        </w:r>
      </w:hyperlink>
    </w:p>
    <w:p w14:paraId="54CFBD74" w14:textId="5F667EB1" w:rsidR="00413291" w:rsidRDefault="00EE5A5D">
      <w:pPr>
        <w:pStyle w:val="TableofFigures"/>
        <w:rPr>
          <w:rFonts w:asciiTheme="minorHAnsi" w:eastAsiaTheme="minorEastAsia" w:hAnsiTheme="minorHAnsi" w:cstheme="minorBidi"/>
          <w:noProof/>
          <w:sz w:val="22"/>
          <w:szCs w:val="22"/>
        </w:rPr>
      </w:pPr>
      <w:hyperlink w:anchor="_Toc8393629" w:history="1">
        <w:r w:rsidR="00413291" w:rsidRPr="00C5410A">
          <w:rPr>
            <w:rStyle w:val="Hyperlink"/>
            <w:noProof/>
          </w:rPr>
          <w:t>Figure 21: RT-Only Participants – Summer 2018 (Program Period) Weekday Load Profile</w:t>
        </w:r>
        <w:r w:rsidR="00413291">
          <w:rPr>
            <w:noProof/>
            <w:webHidden/>
          </w:rPr>
          <w:tab/>
        </w:r>
        <w:r w:rsidR="00413291">
          <w:rPr>
            <w:noProof/>
            <w:webHidden/>
          </w:rPr>
          <w:fldChar w:fldCharType="begin"/>
        </w:r>
        <w:r w:rsidR="00413291">
          <w:rPr>
            <w:noProof/>
            <w:webHidden/>
          </w:rPr>
          <w:instrText xml:space="preserve"> PAGEREF _Toc8393629 \h </w:instrText>
        </w:r>
        <w:r w:rsidR="00413291">
          <w:rPr>
            <w:noProof/>
            <w:webHidden/>
          </w:rPr>
        </w:r>
        <w:r w:rsidR="00413291">
          <w:rPr>
            <w:noProof/>
            <w:webHidden/>
          </w:rPr>
          <w:fldChar w:fldCharType="separate"/>
        </w:r>
        <w:r w:rsidR="00413291">
          <w:rPr>
            <w:noProof/>
            <w:webHidden/>
          </w:rPr>
          <w:t>37</w:t>
        </w:r>
        <w:r w:rsidR="00413291">
          <w:rPr>
            <w:noProof/>
            <w:webHidden/>
          </w:rPr>
          <w:fldChar w:fldCharType="end"/>
        </w:r>
      </w:hyperlink>
    </w:p>
    <w:p w14:paraId="40A3DE9C" w14:textId="6960C268" w:rsidR="00413291" w:rsidRDefault="00EE5A5D">
      <w:pPr>
        <w:pStyle w:val="TableofFigures"/>
        <w:rPr>
          <w:rFonts w:asciiTheme="minorHAnsi" w:eastAsiaTheme="minorEastAsia" w:hAnsiTheme="minorHAnsi" w:cstheme="minorBidi"/>
          <w:noProof/>
          <w:sz w:val="22"/>
          <w:szCs w:val="22"/>
        </w:rPr>
      </w:pPr>
      <w:hyperlink w:anchor="_Toc8393630" w:history="1">
        <w:r w:rsidR="00413291" w:rsidRPr="00C5410A">
          <w:rPr>
            <w:rStyle w:val="Hyperlink"/>
            <w:noProof/>
          </w:rPr>
          <w:t>Figure 22: RT-Only Energy Impact Parameters of Interest</w:t>
        </w:r>
        <w:r w:rsidR="00413291">
          <w:rPr>
            <w:noProof/>
            <w:webHidden/>
          </w:rPr>
          <w:tab/>
        </w:r>
        <w:r w:rsidR="00413291">
          <w:rPr>
            <w:noProof/>
            <w:webHidden/>
          </w:rPr>
          <w:fldChar w:fldCharType="begin"/>
        </w:r>
        <w:r w:rsidR="00413291">
          <w:rPr>
            <w:noProof/>
            <w:webHidden/>
          </w:rPr>
          <w:instrText xml:space="preserve"> PAGEREF _Toc8393630 \h </w:instrText>
        </w:r>
        <w:r w:rsidR="00413291">
          <w:rPr>
            <w:noProof/>
            <w:webHidden/>
          </w:rPr>
        </w:r>
        <w:r w:rsidR="00413291">
          <w:rPr>
            <w:noProof/>
            <w:webHidden/>
          </w:rPr>
          <w:fldChar w:fldCharType="separate"/>
        </w:r>
        <w:r w:rsidR="00413291">
          <w:rPr>
            <w:noProof/>
            <w:webHidden/>
          </w:rPr>
          <w:t>38</w:t>
        </w:r>
        <w:r w:rsidR="00413291">
          <w:rPr>
            <w:noProof/>
            <w:webHidden/>
          </w:rPr>
          <w:fldChar w:fldCharType="end"/>
        </w:r>
      </w:hyperlink>
    </w:p>
    <w:p w14:paraId="699FEDD9" w14:textId="7E29CB26" w:rsidR="00413291" w:rsidRDefault="00EE5A5D">
      <w:pPr>
        <w:pStyle w:val="TableofFigures"/>
        <w:rPr>
          <w:rFonts w:asciiTheme="minorHAnsi" w:eastAsiaTheme="minorEastAsia" w:hAnsiTheme="minorHAnsi" w:cstheme="minorBidi"/>
          <w:noProof/>
          <w:sz w:val="22"/>
          <w:szCs w:val="22"/>
        </w:rPr>
      </w:pPr>
      <w:hyperlink w:anchor="_Toc8393631" w:history="1">
        <w:r w:rsidR="00413291" w:rsidRPr="00C5410A">
          <w:rPr>
            <w:rStyle w:val="Hyperlink"/>
            <w:noProof/>
          </w:rPr>
          <w:t>Figure 23: Total Program CPP Event Impacts, Average Connectivity</w:t>
        </w:r>
        <w:r w:rsidR="00413291">
          <w:rPr>
            <w:noProof/>
            <w:webHidden/>
          </w:rPr>
          <w:tab/>
        </w:r>
        <w:r w:rsidR="00413291">
          <w:rPr>
            <w:noProof/>
            <w:webHidden/>
          </w:rPr>
          <w:fldChar w:fldCharType="begin"/>
        </w:r>
        <w:r w:rsidR="00413291">
          <w:rPr>
            <w:noProof/>
            <w:webHidden/>
          </w:rPr>
          <w:instrText xml:space="preserve"> PAGEREF _Toc8393631 \h </w:instrText>
        </w:r>
        <w:r w:rsidR="00413291">
          <w:rPr>
            <w:noProof/>
            <w:webHidden/>
          </w:rPr>
        </w:r>
        <w:r w:rsidR="00413291">
          <w:rPr>
            <w:noProof/>
            <w:webHidden/>
          </w:rPr>
          <w:fldChar w:fldCharType="separate"/>
        </w:r>
        <w:r w:rsidR="00413291">
          <w:rPr>
            <w:noProof/>
            <w:webHidden/>
          </w:rPr>
          <w:t>41</w:t>
        </w:r>
        <w:r w:rsidR="00413291">
          <w:rPr>
            <w:noProof/>
            <w:webHidden/>
          </w:rPr>
          <w:fldChar w:fldCharType="end"/>
        </w:r>
      </w:hyperlink>
    </w:p>
    <w:p w14:paraId="37747C3E" w14:textId="675B8A27" w:rsidR="00413291" w:rsidRDefault="00EE5A5D">
      <w:pPr>
        <w:pStyle w:val="TableofFigures"/>
        <w:rPr>
          <w:rFonts w:asciiTheme="minorHAnsi" w:eastAsiaTheme="minorEastAsia" w:hAnsiTheme="minorHAnsi" w:cstheme="minorBidi"/>
          <w:noProof/>
          <w:sz w:val="22"/>
          <w:szCs w:val="22"/>
        </w:rPr>
      </w:pPr>
      <w:hyperlink w:anchor="_Toc8393632" w:history="1">
        <w:r w:rsidR="00413291" w:rsidRPr="00C5410A">
          <w:rPr>
            <w:rStyle w:val="Hyperlink"/>
            <w:noProof/>
          </w:rPr>
          <w:t>Figure 24: DR Component of CPP Event Impacts, Average Connectivity</w:t>
        </w:r>
        <w:r w:rsidR="00413291">
          <w:rPr>
            <w:noProof/>
            <w:webHidden/>
          </w:rPr>
          <w:tab/>
        </w:r>
        <w:r w:rsidR="00413291">
          <w:rPr>
            <w:noProof/>
            <w:webHidden/>
          </w:rPr>
          <w:fldChar w:fldCharType="begin"/>
        </w:r>
        <w:r w:rsidR="00413291">
          <w:rPr>
            <w:noProof/>
            <w:webHidden/>
          </w:rPr>
          <w:instrText xml:space="preserve"> PAGEREF _Toc8393632 \h </w:instrText>
        </w:r>
        <w:r w:rsidR="00413291">
          <w:rPr>
            <w:noProof/>
            <w:webHidden/>
          </w:rPr>
        </w:r>
        <w:r w:rsidR="00413291">
          <w:rPr>
            <w:noProof/>
            <w:webHidden/>
          </w:rPr>
          <w:fldChar w:fldCharType="separate"/>
        </w:r>
        <w:r w:rsidR="00413291">
          <w:rPr>
            <w:noProof/>
            <w:webHidden/>
          </w:rPr>
          <w:t>41</w:t>
        </w:r>
        <w:r w:rsidR="00413291">
          <w:rPr>
            <w:noProof/>
            <w:webHidden/>
          </w:rPr>
          <w:fldChar w:fldCharType="end"/>
        </w:r>
      </w:hyperlink>
    </w:p>
    <w:p w14:paraId="0ACF2B45" w14:textId="217A02BE" w:rsidR="00413291" w:rsidRDefault="00EE5A5D">
      <w:pPr>
        <w:pStyle w:val="TableofFigures"/>
        <w:rPr>
          <w:rFonts w:asciiTheme="minorHAnsi" w:eastAsiaTheme="minorEastAsia" w:hAnsiTheme="minorHAnsi" w:cstheme="minorBidi"/>
          <w:noProof/>
          <w:sz w:val="22"/>
          <w:szCs w:val="22"/>
        </w:rPr>
      </w:pPr>
      <w:hyperlink w:anchor="_Toc8393633" w:history="1">
        <w:r w:rsidR="00413291" w:rsidRPr="00C5410A">
          <w:rPr>
            <w:rStyle w:val="Hyperlink"/>
            <w:noProof/>
          </w:rPr>
          <w:t>Figure 25: Average CPP Event Day Load Profile – Events Beginning at 5pm</w:t>
        </w:r>
        <w:r w:rsidR="00413291">
          <w:rPr>
            <w:noProof/>
            <w:webHidden/>
          </w:rPr>
          <w:tab/>
        </w:r>
        <w:r w:rsidR="00413291">
          <w:rPr>
            <w:noProof/>
            <w:webHidden/>
          </w:rPr>
          <w:fldChar w:fldCharType="begin"/>
        </w:r>
        <w:r w:rsidR="00413291">
          <w:rPr>
            <w:noProof/>
            <w:webHidden/>
          </w:rPr>
          <w:instrText xml:space="preserve"> PAGEREF _Toc8393633 \h </w:instrText>
        </w:r>
        <w:r w:rsidR="00413291">
          <w:rPr>
            <w:noProof/>
            <w:webHidden/>
          </w:rPr>
        </w:r>
        <w:r w:rsidR="00413291">
          <w:rPr>
            <w:noProof/>
            <w:webHidden/>
          </w:rPr>
          <w:fldChar w:fldCharType="separate"/>
        </w:r>
        <w:r w:rsidR="00413291">
          <w:rPr>
            <w:noProof/>
            <w:webHidden/>
          </w:rPr>
          <w:t>43</w:t>
        </w:r>
        <w:r w:rsidR="00413291">
          <w:rPr>
            <w:noProof/>
            <w:webHidden/>
          </w:rPr>
          <w:fldChar w:fldCharType="end"/>
        </w:r>
      </w:hyperlink>
    </w:p>
    <w:p w14:paraId="48BBBA40" w14:textId="189701B7" w:rsidR="00413291" w:rsidRDefault="00EE5A5D">
      <w:pPr>
        <w:pStyle w:val="TableofFigures"/>
        <w:rPr>
          <w:rFonts w:asciiTheme="minorHAnsi" w:eastAsiaTheme="minorEastAsia" w:hAnsiTheme="minorHAnsi" w:cstheme="minorBidi"/>
          <w:noProof/>
          <w:sz w:val="22"/>
          <w:szCs w:val="22"/>
        </w:rPr>
      </w:pPr>
      <w:hyperlink w:anchor="_Toc8393634" w:history="1">
        <w:r w:rsidR="00413291" w:rsidRPr="00C5410A">
          <w:rPr>
            <w:rStyle w:val="Hyperlink"/>
            <w:noProof/>
          </w:rPr>
          <w:t>Figure 26: Average CPP Event Day Load Profile – Events Beginning at 6pm</w:t>
        </w:r>
        <w:r w:rsidR="00413291">
          <w:rPr>
            <w:noProof/>
            <w:webHidden/>
          </w:rPr>
          <w:tab/>
        </w:r>
        <w:r w:rsidR="00413291">
          <w:rPr>
            <w:noProof/>
            <w:webHidden/>
          </w:rPr>
          <w:fldChar w:fldCharType="begin"/>
        </w:r>
        <w:r w:rsidR="00413291">
          <w:rPr>
            <w:noProof/>
            <w:webHidden/>
          </w:rPr>
          <w:instrText xml:space="preserve"> PAGEREF _Toc8393634 \h </w:instrText>
        </w:r>
        <w:r w:rsidR="00413291">
          <w:rPr>
            <w:noProof/>
            <w:webHidden/>
          </w:rPr>
        </w:r>
        <w:r w:rsidR="00413291">
          <w:rPr>
            <w:noProof/>
            <w:webHidden/>
          </w:rPr>
          <w:fldChar w:fldCharType="separate"/>
        </w:r>
        <w:r w:rsidR="00413291">
          <w:rPr>
            <w:noProof/>
            <w:webHidden/>
          </w:rPr>
          <w:t>43</w:t>
        </w:r>
        <w:r w:rsidR="00413291">
          <w:rPr>
            <w:noProof/>
            <w:webHidden/>
          </w:rPr>
          <w:fldChar w:fldCharType="end"/>
        </w:r>
      </w:hyperlink>
    </w:p>
    <w:p w14:paraId="64E50E54" w14:textId="68A1E1C2" w:rsidR="00413291" w:rsidRDefault="00EE5A5D">
      <w:pPr>
        <w:pStyle w:val="TableofFigures"/>
        <w:rPr>
          <w:rFonts w:asciiTheme="minorHAnsi" w:eastAsiaTheme="minorEastAsia" w:hAnsiTheme="minorHAnsi" w:cstheme="minorBidi"/>
          <w:noProof/>
          <w:sz w:val="22"/>
          <w:szCs w:val="22"/>
        </w:rPr>
      </w:pPr>
      <w:hyperlink w:anchor="_Toc8393635" w:history="1">
        <w:r w:rsidR="00413291" w:rsidRPr="00C5410A">
          <w:rPr>
            <w:rStyle w:val="Hyperlink"/>
            <w:noProof/>
          </w:rPr>
          <w:t>Figure 27: Total Program CPP Event Impacts, 100% Connectivity</w:t>
        </w:r>
        <w:r w:rsidR="00413291">
          <w:rPr>
            <w:noProof/>
            <w:webHidden/>
          </w:rPr>
          <w:tab/>
        </w:r>
        <w:r w:rsidR="00413291">
          <w:rPr>
            <w:noProof/>
            <w:webHidden/>
          </w:rPr>
          <w:fldChar w:fldCharType="begin"/>
        </w:r>
        <w:r w:rsidR="00413291">
          <w:rPr>
            <w:noProof/>
            <w:webHidden/>
          </w:rPr>
          <w:instrText xml:space="preserve"> PAGEREF _Toc8393635 \h </w:instrText>
        </w:r>
        <w:r w:rsidR="00413291">
          <w:rPr>
            <w:noProof/>
            <w:webHidden/>
          </w:rPr>
        </w:r>
        <w:r w:rsidR="00413291">
          <w:rPr>
            <w:noProof/>
            <w:webHidden/>
          </w:rPr>
          <w:fldChar w:fldCharType="separate"/>
        </w:r>
        <w:r w:rsidR="00413291">
          <w:rPr>
            <w:noProof/>
            <w:webHidden/>
          </w:rPr>
          <w:t>45</w:t>
        </w:r>
        <w:r w:rsidR="00413291">
          <w:rPr>
            <w:noProof/>
            <w:webHidden/>
          </w:rPr>
          <w:fldChar w:fldCharType="end"/>
        </w:r>
      </w:hyperlink>
    </w:p>
    <w:p w14:paraId="426387A1" w14:textId="58D3A72E" w:rsidR="00413291" w:rsidRDefault="00EE5A5D">
      <w:pPr>
        <w:pStyle w:val="TableofFigures"/>
        <w:rPr>
          <w:rFonts w:asciiTheme="minorHAnsi" w:eastAsiaTheme="minorEastAsia" w:hAnsiTheme="minorHAnsi" w:cstheme="minorBidi"/>
          <w:noProof/>
          <w:sz w:val="22"/>
          <w:szCs w:val="22"/>
        </w:rPr>
      </w:pPr>
      <w:hyperlink w:anchor="_Toc8393636" w:history="1">
        <w:r w:rsidR="00413291" w:rsidRPr="00C5410A">
          <w:rPr>
            <w:rStyle w:val="Hyperlink"/>
            <w:noProof/>
          </w:rPr>
          <w:t>Figure 28:Total Program CPP Event Impacts, 0% Connectivity</w:t>
        </w:r>
        <w:r w:rsidR="00413291">
          <w:rPr>
            <w:noProof/>
            <w:webHidden/>
          </w:rPr>
          <w:tab/>
        </w:r>
        <w:r w:rsidR="00413291">
          <w:rPr>
            <w:noProof/>
            <w:webHidden/>
          </w:rPr>
          <w:fldChar w:fldCharType="begin"/>
        </w:r>
        <w:r w:rsidR="00413291">
          <w:rPr>
            <w:noProof/>
            <w:webHidden/>
          </w:rPr>
          <w:instrText xml:space="preserve"> PAGEREF _Toc8393636 \h </w:instrText>
        </w:r>
        <w:r w:rsidR="00413291">
          <w:rPr>
            <w:noProof/>
            <w:webHidden/>
          </w:rPr>
        </w:r>
        <w:r w:rsidR="00413291">
          <w:rPr>
            <w:noProof/>
            <w:webHidden/>
          </w:rPr>
          <w:fldChar w:fldCharType="separate"/>
        </w:r>
        <w:r w:rsidR="00413291">
          <w:rPr>
            <w:noProof/>
            <w:webHidden/>
          </w:rPr>
          <w:t>46</w:t>
        </w:r>
        <w:r w:rsidR="00413291">
          <w:rPr>
            <w:noProof/>
            <w:webHidden/>
          </w:rPr>
          <w:fldChar w:fldCharType="end"/>
        </w:r>
      </w:hyperlink>
    </w:p>
    <w:p w14:paraId="7F570087" w14:textId="2CCA9059" w:rsidR="00413291" w:rsidRDefault="00EE5A5D">
      <w:pPr>
        <w:pStyle w:val="TableofFigures"/>
        <w:rPr>
          <w:rFonts w:asciiTheme="minorHAnsi" w:eastAsiaTheme="minorEastAsia" w:hAnsiTheme="minorHAnsi" w:cstheme="minorBidi"/>
          <w:noProof/>
          <w:sz w:val="22"/>
          <w:szCs w:val="22"/>
        </w:rPr>
      </w:pPr>
      <w:hyperlink w:anchor="_Toc8393637" w:history="1">
        <w:r w:rsidR="00413291" w:rsidRPr="00C5410A">
          <w:rPr>
            <w:rStyle w:val="Hyperlink"/>
            <w:noProof/>
          </w:rPr>
          <w:t>Figure 29: DR Component of CPP Event Impacts, 0% Connectivity</w:t>
        </w:r>
        <w:r w:rsidR="00413291">
          <w:rPr>
            <w:noProof/>
            <w:webHidden/>
          </w:rPr>
          <w:tab/>
        </w:r>
        <w:r w:rsidR="00413291">
          <w:rPr>
            <w:noProof/>
            <w:webHidden/>
          </w:rPr>
          <w:fldChar w:fldCharType="begin"/>
        </w:r>
        <w:r w:rsidR="00413291">
          <w:rPr>
            <w:noProof/>
            <w:webHidden/>
          </w:rPr>
          <w:instrText xml:space="preserve"> PAGEREF _Toc8393637 \h </w:instrText>
        </w:r>
        <w:r w:rsidR="00413291">
          <w:rPr>
            <w:noProof/>
            <w:webHidden/>
          </w:rPr>
        </w:r>
        <w:r w:rsidR="00413291">
          <w:rPr>
            <w:noProof/>
            <w:webHidden/>
          </w:rPr>
          <w:fldChar w:fldCharType="separate"/>
        </w:r>
        <w:r w:rsidR="00413291">
          <w:rPr>
            <w:noProof/>
            <w:webHidden/>
          </w:rPr>
          <w:t>47</w:t>
        </w:r>
        <w:r w:rsidR="00413291">
          <w:rPr>
            <w:noProof/>
            <w:webHidden/>
          </w:rPr>
          <w:fldChar w:fldCharType="end"/>
        </w:r>
      </w:hyperlink>
    </w:p>
    <w:p w14:paraId="47BC4177" w14:textId="297E70D2" w:rsidR="00413291" w:rsidRDefault="00EE5A5D">
      <w:pPr>
        <w:pStyle w:val="TableofFigures"/>
        <w:rPr>
          <w:rFonts w:asciiTheme="minorHAnsi" w:eastAsiaTheme="minorEastAsia" w:hAnsiTheme="minorHAnsi" w:cstheme="minorBidi"/>
          <w:noProof/>
          <w:sz w:val="22"/>
          <w:szCs w:val="22"/>
        </w:rPr>
      </w:pPr>
      <w:hyperlink w:anchor="_Toc8393638" w:history="1">
        <w:r w:rsidR="00413291" w:rsidRPr="00C5410A">
          <w:rPr>
            <w:rStyle w:val="Hyperlink"/>
            <w:noProof/>
          </w:rPr>
          <w:t>Figure 30: Average CPP Event Day Load Profile – Events Beginning at 5pm, Disconnected Participants</w:t>
        </w:r>
        <w:r w:rsidR="00413291">
          <w:rPr>
            <w:noProof/>
            <w:webHidden/>
          </w:rPr>
          <w:tab/>
        </w:r>
        <w:r w:rsidR="00413291">
          <w:rPr>
            <w:noProof/>
            <w:webHidden/>
          </w:rPr>
          <w:fldChar w:fldCharType="begin"/>
        </w:r>
        <w:r w:rsidR="00413291">
          <w:rPr>
            <w:noProof/>
            <w:webHidden/>
          </w:rPr>
          <w:instrText xml:space="preserve"> PAGEREF _Toc8393638 \h </w:instrText>
        </w:r>
        <w:r w:rsidR="00413291">
          <w:rPr>
            <w:noProof/>
            <w:webHidden/>
          </w:rPr>
        </w:r>
        <w:r w:rsidR="00413291">
          <w:rPr>
            <w:noProof/>
            <w:webHidden/>
          </w:rPr>
          <w:fldChar w:fldCharType="separate"/>
        </w:r>
        <w:r w:rsidR="00413291">
          <w:rPr>
            <w:noProof/>
            <w:webHidden/>
          </w:rPr>
          <w:t>48</w:t>
        </w:r>
        <w:r w:rsidR="00413291">
          <w:rPr>
            <w:noProof/>
            <w:webHidden/>
          </w:rPr>
          <w:fldChar w:fldCharType="end"/>
        </w:r>
      </w:hyperlink>
    </w:p>
    <w:p w14:paraId="1C2846FA" w14:textId="1F2D6DD4" w:rsidR="00413291" w:rsidRDefault="00EE5A5D">
      <w:pPr>
        <w:pStyle w:val="TableofFigures"/>
        <w:rPr>
          <w:rFonts w:asciiTheme="minorHAnsi" w:eastAsiaTheme="minorEastAsia" w:hAnsiTheme="minorHAnsi" w:cstheme="minorBidi"/>
          <w:noProof/>
          <w:sz w:val="22"/>
          <w:szCs w:val="22"/>
        </w:rPr>
      </w:pPr>
      <w:hyperlink w:anchor="_Toc8393639" w:history="1">
        <w:r w:rsidR="00413291" w:rsidRPr="00C5410A">
          <w:rPr>
            <w:rStyle w:val="Hyperlink"/>
            <w:noProof/>
          </w:rPr>
          <w:t>Figure 31: DR Impact Parameters and P-Values</w:t>
        </w:r>
        <w:r w:rsidR="00413291">
          <w:rPr>
            <w:noProof/>
            <w:webHidden/>
          </w:rPr>
          <w:tab/>
        </w:r>
        <w:r w:rsidR="00413291">
          <w:rPr>
            <w:noProof/>
            <w:webHidden/>
          </w:rPr>
          <w:fldChar w:fldCharType="begin"/>
        </w:r>
        <w:r w:rsidR="00413291">
          <w:rPr>
            <w:noProof/>
            <w:webHidden/>
          </w:rPr>
          <w:instrText xml:space="preserve"> PAGEREF _Toc8393639 \h </w:instrText>
        </w:r>
        <w:r w:rsidR="00413291">
          <w:rPr>
            <w:noProof/>
            <w:webHidden/>
          </w:rPr>
        </w:r>
        <w:r w:rsidR="00413291">
          <w:rPr>
            <w:noProof/>
            <w:webHidden/>
          </w:rPr>
          <w:fldChar w:fldCharType="separate"/>
        </w:r>
        <w:r w:rsidR="00413291">
          <w:rPr>
            <w:noProof/>
            <w:webHidden/>
          </w:rPr>
          <w:t>49</w:t>
        </w:r>
        <w:r w:rsidR="00413291">
          <w:rPr>
            <w:noProof/>
            <w:webHidden/>
          </w:rPr>
          <w:fldChar w:fldCharType="end"/>
        </w:r>
      </w:hyperlink>
    </w:p>
    <w:p w14:paraId="5037A901" w14:textId="1E4AEBDD" w:rsidR="00413291" w:rsidRDefault="00EE5A5D">
      <w:pPr>
        <w:pStyle w:val="TableofFigures"/>
        <w:rPr>
          <w:rFonts w:asciiTheme="minorHAnsi" w:eastAsiaTheme="minorEastAsia" w:hAnsiTheme="minorHAnsi" w:cstheme="minorBidi"/>
          <w:noProof/>
          <w:sz w:val="22"/>
          <w:szCs w:val="22"/>
        </w:rPr>
      </w:pPr>
      <w:hyperlink w:anchor="_Toc8393640" w:history="1">
        <w:r w:rsidR="00413291" w:rsidRPr="00C5410A">
          <w:rPr>
            <w:rStyle w:val="Hyperlink"/>
            <w:noProof/>
          </w:rPr>
          <w:t>Figure 32: Ex-Ante and Ex-Post Impact Scatter Plot</w:t>
        </w:r>
        <w:r w:rsidR="00413291">
          <w:rPr>
            <w:noProof/>
            <w:webHidden/>
          </w:rPr>
          <w:tab/>
        </w:r>
        <w:r w:rsidR="00413291">
          <w:rPr>
            <w:noProof/>
            <w:webHidden/>
          </w:rPr>
          <w:fldChar w:fldCharType="begin"/>
        </w:r>
        <w:r w:rsidR="00413291">
          <w:rPr>
            <w:noProof/>
            <w:webHidden/>
          </w:rPr>
          <w:instrText xml:space="preserve"> PAGEREF _Toc8393640 \h </w:instrText>
        </w:r>
        <w:r w:rsidR="00413291">
          <w:rPr>
            <w:noProof/>
            <w:webHidden/>
          </w:rPr>
        </w:r>
        <w:r w:rsidR="00413291">
          <w:rPr>
            <w:noProof/>
            <w:webHidden/>
          </w:rPr>
          <w:fldChar w:fldCharType="separate"/>
        </w:r>
        <w:r w:rsidR="00413291">
          <w:rPr>
            <w:noProof/>
            <w:webHidden/>
          </w:rPr>
          <w:t>50</w:t>
        </w:r>
        <w:r w:rsidR="00413291">
          <w:rPr>
            <w:noProof/>
            <w:webHidden/>
          </w:rPr>
          <w:fldChar w:fldCharType="end"/>
        </w:r>
      </w:hyperlink>
    </w:p>
    <w:p w14:paraId="025B7072" w14:textId="01E41CFF" w:rsidR="00413291" w:rsidRDefault="00EE5A5D">
      <w:pPr>
        <w:pStyle w:val="TableofFigures"/>
        <w:rPr>
          <w:rFonts w:asciiTheme="minorHAnsi" w:eastAsiaTheme="minorEastAsia" w:hAnsiTheme="minorHAnsi" w:cstheme="minorBidi"/>
          <w:noProof/>
          <w:sz w:val="22"/>
          <w:szCs w:val="22"/>
        </w:rPr>
      </w:pPr>
      <w:hyperlink w:anchor="_Toc8393641" w:history="1">
        <w:r w:rsidR="00413291" w:rsidRPr="00C5410A">
          <w:rPr>
            <w:rStyle w:val="Hyperlink"/>
            <w:noProof/>
          </w:rPr>
          <w:t>Figure 33: Revenue Adequacy</w:t>
        </w:r>
        <w:r w:rsidR="00413291">
          <w:rPr>
            <w:noProof/>
            <w:webHidden/>
          </w:rPr>
          <w:tab/>
        </w:r>
        <w:r w:rsidR="00413291">
          <w:rPr>
            <w:noProof/>
            <w:webHidden/>
          </w:rPr>
          <w:fldChar w:fldCharType="begin"/>
        </w:r>
        <w:r w:rsidR="00413291">
          <w:rPr>
            <w:noProof/>
            <w:webHidden/>
          </w:rPr>
          <w:instrText xml:space="preserve"> PAGEREF _Toc8393641 \h </w:instrText>
        </w:r>
        <w:r w:rsidR="00413291">
          <w:rPr>
            <w:noProof/>
            <w:webHidden/>
          </w:rPr>
        </w:r>
        <w:r w:rsidR="00413291">
          <w:rPr>
            <w:noProof/>
            <w:webHidden/>
          </w:rPr>
          <w:fldChar w:fldCharType="separate"/>
        </w:r>
        <w:r w:rsidR="00413291">
          <w:rPr>
            <w:noProof/>
            <w:webHidden/>
          </w:rPr>
          <w:t>51</w:t>
        </w:r>
        <w:r w:rsidR="00413291">
          <w:rPr>
            <w:noProof/>
            <w:webHidden/>
          </w:rPr>
          <w:fldChar w:fldCharType="end"/>
        </w:r>
      </w:hyperlink>
    </w:p>
    <w:p w14:paraId="08F57A2B" w14:textId="7B2A20B7" w:rsidR="00413291" w:rsidRDefault="00EE5A5D">
      <w:pPr>
        <w:pStyle w:val="TableofFigures"/>
        <w:rPr>
          <w:rFonts w:asciiTheme="minorHAnsi" w:eastAsiaTheme="minorEastAsia" w:hAnsiTheme="minorHAnsi" w:cstheme="minorBidi"/>
          <w:noProof/>
          <w:sz w:val="22"/>
          <w:szCs w:val="22"/>
        </w:rPr>
      </w:pPr>
      <w:hyperlink w:anchor="_Toc8393642" w:history="1">
        <w:r w:rsidR="00413291" w:rsidRPr="00C5410A">
          <w:rPr>
            <w:rStyle w:val="Hyperlink"/>
            <w:noProof/>
          </w:rPr>
          <w:t>Figure 34: Distribution of CPP-Only Participant Cost Differentials</w:t>
        </w:r>
        <w:r w:rsidR="00413291">
          <w:rPr>
            <w:noProof/>
            <w:webHidden/>
          </w:rPr>
          <w:tab/>
        </w:r>
        <w:r w:rsidR="00413291">
          <w:rPr>
            <w:noProof/>
            <w:webHidden/>
          </w:rPr>
          <w:fldChar w:fldCharType="begin"/>
        </w:r>
        <w:r w:rsidR="00413291">
          <w:rPr>
            <w:noProof/>
            <w:webHidden/>
          </w:rPr>
          <w:instrText xml:space="preserve"> PAGEREF _Toc8393642 \h </w:instrText>
        </w:r>
        <w:r w:rsidR="00413291">
          <w:rPr>
            <w:noProof/>
            <w:webHidden/>
          </w:rPr>
        </w:r>
        <w:r w:rsidR="00413291">
          <w:rPr>
            <w:noProof/>
            <w:webHidden/>
          </w:rPr>
          <w:fldChar w:fldCharType="separate"/>
        </w:r>
        <w:r w:rsidR="00413291">
          <w:rPr>
            <w:noProof/>
            <w:webHidden/>
          </w:rPr>
          <w:t>52</w:t>
        </w:r>
        <w:r w:rsidR="00413291">
          <w:rPr>
            <w:noProof/>
            <w:webHidden/>
          </w:rPr>
          <w:fldChar w:fldCharType="end"/>
        </w:r>
      </w:hyperlink>
    </w:p>
    <w:p w14:paraId="4C5C724E" w14:textId="6716C4CD" w:rsidR="00413291" w:rsidRDefault="00EE5A5D">
      <w:pPr>
        <w:pStyle w:val="TableofFigures"/>
        <w:rPr>
          <w:rFonts w:asciiTheme="minorHAnsi" w:eastAsiaTheme="minorEastAsia" w:hAnsiTheme="minorHAnsi" w:cstheme="minorBidi"/>
          <w:noProof/>
          <w:sz w:val="22"/>
          <w:szCs w:val="22"/>
        </w:rPr>
      </w:pPr>
      <w:hyperlink w:anchor="_Toc8393643" w:history="1">
        <w:r w:rsidR="00413291" w:rsidRPr="00C5410A">
          <w:rPr>
            <w:rStyle w:val="Hyperlink"/>
            <w:noProof/>
          </w:rPr>
          <w:t>Figure 35: Distribution of CPP/RT Participant Cost Differentials</w:t>
        </w:r>
        <w:r w:rsidR="00413291">
          <w:rPr>
            <w:noProof/>
            <w:webHidden/>
          </w:rPr>
          <w:tab/>
        </w:r>
        <w:r w:rsidR="00413291">
          <w:rPr>
            <w:noProof/>
            <w:webHidden/>
          </w:rPr>
          <w:fldChar w:fldCharType="begin"/>
        </w:r>
        <w:r w:rsidR="00413291">
          <w:rPr>
            <w:noProof/>
            <w:webHidden/>
          </w:rPr>
          <w:instrText xml:space="preserve"> PAGEREF _Toc8393643 \h </w:instrText>
        </w:r>
        <w:r w:rsidR="00413291">
          <w:rPr>
            <w:noProof/>
            <w:webHidden/>
          </w:rPr>
        </w:r>
        <w:r w:rsidR="00413291">
          <w:rPr>
            <w:noProof/>
            <w:webHidden/>
          </w:rPr>
          <w:fldChar w:fldCharType="separate"/>
        </w:r>
        <w:r w:rsidR="00413291">
          <w:rPr>
            <w:noProof/>
            <w:webHidden/>
          </w:rPr>
          <w:t>53</w:t>
        </w:r>
        <w:r w:rsidR="00413291">
          <w:rPr>
            <w:noProof/>
            <w:webHidden/>
          </w:rPr>
          <w:fldChar w:fldCharType="end"/>
        </w:r>
      </w:hyperlink>
    </w:p>
    <w:p w14:paraId="1199EB07" w14:textId="6C97E9CA" w:rsidR="00413291" w:rsidRDefault="00EE5A5D">
      <w:pPr>
        <w:pStyle w:val="TableofFigures"/>
        <w:rPr>
          <w:rFonts w:asciiTheme="minorHAnsi" w:eastAsiaTheme="minorEastAsia" w:hAnsiTheme="minorHAnsi" w:cstheme="minorBidi"/>
          <w:noProof/>
          <w:sz w:val="22"/>
          <w:szCs w:val="22"/>
        </w:rPr>
      </w:pPr>
      <w:hyperlink w:anchor="_Toc8393644" w:history="1">
        <w:r w:rsidR="00413291" w:rsidRPr="00C5410A">
          <w:rPr>
            <w:rStyle w:val="Hyperlink"/>
            <w:noProof/>
          </w:rPr>
          <w:t>Figure 35: Energy Analysis Sample</w:t>
        </w:r>
        <w:r w:rsidR="00413291">
          <w:rPr>
            <w:noProof/>
            <w:webHidden/>
          </w:rPr>
          <w:tab/>
        </w:r>
        <w:r w:rsidR="00413291">
          <w:rPr>
            <w:noProof/>
            <w:webHidden/>
          </w:rPr>
          <w:fldChar w:fldCharType="begin"/>
        </w:r>
        <w:r w:rsidR="00413291">
          <w:rPr>
            <w:noProof/>
            <w:webHidden/>
          </w:rPr>
          <w:instrText xml:space="preserve"> PAGEREF _Toc8393644 \h </w:instrText>
        </w:r>
        <w:r w:rsidR="00413291">
          <w:rPr>
            <w:noProof/>
            <w:webHidden/>
          </w:rPr>
        </w:r>
        <w:r w:rsidR="00413291">
          <w:rPr>
            <w:noProof/>
            <w:webHidden/>
          </w:rPr>
          <w:fldChar w:fldCharType="separate"/>
        </w:r>
        <w:r w:rsidR="00413291">
          <w:rPr>
            <w:noProof/>
            <w:webHidden/>
          </w:rPr>
          <w:t>59</w:t>
        </w:r>
        <w:r w:rsidR="00413291">
          <w:rPr>
            <w:noProof/>
            <w:webHidden/>
          </w:rPr>
          <w:fldChar w:fldCharType="end"/>
        </w:r>
      </w:hyperlink>
    </w:p>
    <w:p w14:paraId="58DA27C9" w14:textId="60910E61" w:rsidR="00413291" w:rsidRDefault="00EE5A5D">
      <w:pPr>
        <w:pStyle w:val="TableofFigures"/>
        <w:rPr>
          <w:rFonts w:asciiTheme="minorHAnsi" w:eastAsiaTheme="minorEastAsia" w:hAnsiTheme="minorHAnsi" w:cstheme="minorBidi"/>
          <w:noProof/>
          <w:sz w:val="22"/>
          <w:szCs w:val="22"/>
        </w:rPr>
      </w:pPr>
      <w:hyperlink w:anchor="_Toc8393645" w:history="1">
        <w:r w:rsidR="00413291" w:rsidRPr="00C5410A">
          <w:rPr>
            <w:rStyle w:val="Hyperlink"/>
            <w:noProof/>
          </w:rPr>
          <w:t>Figure 36: CPP Event Demand Sample</w:t>
        </w:r>
        <w:r w:rsidR="00413291">
          <w:rPr>
            <w:noProof/>
            <w:webHidden/>
          </w:rPr>
          <w:tab/>
        </w:r>
        <w:r w:rsidR="00413291">
          <w:rPr>
            <w:noProof/>
            <w:webHidden/>
          </w:rPr>
          <w:fldChar w:fldCharType="begin"/>
        </w:r>
        <w:r w:rsidR="00413291">
          <w:rPr>
            <w:noProof/>
            <w:webHidden/>
          </w:rPr>
          <w:instrText xml:space="preserve"> PAGEREF _Toc8393645 \h </w:instrText>
        </w:r>
        <w:r w:rsidR="00413291">
          <w:rPr>
            <w:noProof/>
            <w:webHidden/>
          </w:rPr>
        </w:r>
        <w:r w:rsidR="00413291">
          <w:rPr>
            <w:noProof/>
            <w:webHidden/>
          </w:rPr>
          <w:fldChar w:fldCharType="separate"/>
        </w:r>
        <w:r w:rsidR="00413291">
          <w:rPr>
            <w:noProof/>
            <w:webHidden/>
          </w:rPr>
          <w:t>60</w:t>
        </w:r>
        <w:r w:rsidR="00413291">
          <w:rPr>
            <w:noProof/>
            <w:webHidden/>
          </w:rPr>
          <w:fldChar w:fldCharType="end"/>
        </w:r>
      </w:hyperlink>
    </w:p>
    <w:p w14:paraId="4435255B" w14:textId="74E241B8" w:rsidR="00413291" w:rsidRDefault="00EE5A5D">
      <w:pPr>
        <w:pStyle w:val="TableofFigures"/>
        <w:rPr>
          <w:rFonts w:asciiTheme="minorHAnsi" w:eastAsiaTheme="minorEastAsia" w:hAnsiTheme="minorHAnsi" w:cstheme="minorBidi"/>
          <w:noProof/>
          <w:sz w:val="22"/>
          <w:szCs w:val="22"/>
        </w:rPr>
      </w:pPr>
      <w:hyperlink w:anchor="_Toc8393646" w:history="1">
        <w:r w:rsidR="00413291" w:rsidRPr="00C5410A">
          <w:rPr>
            <w:rStyle w:val="Hyperlink"/>
            <w:noProof/>
          </w:rPr>
          <w:t>Figure 37: Day-Type Definitions</w:t>
        </w:r>
        <w:r w:rsidR="00413291">
          <w:rPr>
            <w:noProof/>
            <w:webHidden/>
          </w:rPr>
          <w:tab/>
        </w:r>
        <w:r w:rsidR="00413291">
          <w:rPr>
            <w:noProof/>
            <w:webHidden/>
          </w:rPr>
          <w:fldChar w:fldCharType="begin"/>
        </w:r>
        <w:r w:rsidR="00413291">
          <w:rPr>
            <w:noProof/>
            <w:webHidden/>
          </w:rPr>
          <w:instrText xml:space="preserve"> PAGEREF _Toc8393646 \h </w:instrText>
        </w:r>
        <w:r w:rsidR="00413291">
          <w:rPr>
            <w:noProof/>
            <w:webHidden/>
          </w:rPr>
        </w:r>
        <w:r w:rsidR="00413291">
          <w:rPr>
            <w:noProof/>
            <w:webHidden/>
          </w:rPr>
          <w:fldChar w:fldCharType="separate"/>
        </w:r>
        <w:r w:rsidR="00413291">
          <w:rPr>
            <w:noProof/>
            <w:webHidden/>
          </w:rPr>
          <w:t>64</w:t>
        </w:r>
        <w:r w:rsidR="00413291">
          <w:rPr>
            <w:noProof/>
            <w:webHidden/>
          </w:rPr>
          <w:fldChar w:fldCharType="end"/>
        </w:r>
      </w:hyperlink>
    </w:p>
    <w:p w14:paraId="3CBE4B20" w14:textId="6D93D3C4" w:rsidR="00681B72" w:rsidRDefault="001D21DF" w:rsidP="002D7723">
      <w:r>
        <w:fldChar w:fldCharType="end"/>
      </w:r>
    </w:p>
    <w:p w14:paraId="31264D7D" w14:textId="44D83BA1" w:rsidR="007864C0" w:rsidRDefault="007864C0" w:rsidP="00462685">
      <w:pPr>
        <w:pStyle w:val="Heading1"/>
      </w:pPr>
      <w:bookmarkStart w:id="1" w:name="_Toc8393565"/>
      <w:bookmarkStart w:id="2" w:name="_Ref496552966"/>
      <w:r>
        <w:lastRenderedPageBreak/>
        <w:t>Executive Summary</w:t>
      </w:r>
      <w:bookmarkEnd w:id="1"/>
    </w:p>
    <w:p w14:paraId="36746475" w14:textId="63225907" w:rsidR="007864C0" w:rsidRDefault="00D370A9" w:rsidP="007864C0">
      <w:r>
        <w:t>This executive summary provides a high-level overview of the London Hydro Regulated Price Plan (RPP) pilot program, a brief summary of the data and methods used for quantifying impacts, the key evaluation findings, and the conclusions about the program motivated by those findings.</w:t>
      </w:r>
    </w:p>
    <w:p w14:paraId="45482514" w14:textId="2DC2B0D5" w:rsidR="007864C0" w:rsidRDefault="007864C0" w:rsidP="007864C0">
      <w:pPr>
        <w:pStyle w:val="Heading2"/>
      </w:pPr>
      <w:bookmarkStart w:id="3" w:name="_Toc8393566"/>
      <w:r>
        <w:t>Introduction &amp; Program Description</w:t>
      </w:r>
      <w:bookmarkEnd w:id="3"/>
    </w:p>
    <w:p w14:paraId="1F50FE3F" w14:textId="77777777" w:rsidR="00CD3018" w:rsidRDefault="00D370A9" w:rsidP="00D370A9">
      <w:r>
        <w:t xml:space="preserve">London Hydro’s RPP pilot is an experiment funded by the Ontario Energy Board </w:t>
      </w:r>
      <w:r w:rsidR="0002697C">
        <w:t xml:space="preserve">(OEB) </w:t>
      </w:r>
      <w:r>
        <w:t>as part of its ongoing RPP Roadmap, and is a test of two experimental treatments, and of their interaction.</w:t>
      </w:r>
    </w:p>
    <w:p w14:paraId="60DD9537" w14:textId="77777777" w:rsidR="00CD3018" w:rsidRDefault="00CD3018" w:rsidP="00D370A9"/>
    <w:p w14:paraId="4D005117" w14:textId="03161692" w:rsidR="00D370A9" w:rsidRDefault="00D370A9" w:rsidP="00D370A9">
      <w:r>
        <w:t xml:space="preserve">This </w:t>
      </w:r>
      <w:r w:rsidR="00CD3018">
        <w:t xml:space="preserve">pilot is </w:t>
      </w:r>
      <w:r>
        <w:t>an experiment designed to test the impacts of</w:t>
      </w:r>
      <w:r w:rsidR="00CD3018">
        <w:t xml:space="preserve"> these two treatments across three distinct groups of participants, specifically</w:t>
      </w:r>
      <w:r>
        <w:t>:</w:t>
      </w:r>
    </w:p>
    <w:p w14:paraId="4ACAC536" w14:textId="429581B6" w:rsidR="0002697C" w:rsidRDefault="00D370A9" w:rsidP="00D370A9">
      <w:pPr>
        <w:pStyle w:val="ListParagraph"/>
        <w:numPr>
          <w:ilvl w:val="0"/>
          <w:numId w:val="20"/>
        </w:numPr>
      </w:pPr>
      <w:r>
        <w:rPr>
          <w:b/>
        </w:rPr>
        <w:t>Real-Time Information</w:t>
      </w:r>
      <w:r w:rsidR="00925212">
        <w:rPr>
          <w:b/>
        </w:rPr>
        <w:t xml:space="preserve"> (RT)</w:t>
      </w:r>
      <w:r>
        <w:rPr>
          <w:b/>
        </w:rPr>
        <w:t xml:space="preserve">. </w:t>
      </w:r>
      <w:r>
        <w:t xml:space="preserve">The impact on participant consumption patterns of the provision of real-time information (the RT treatment) via </w:t>
      </w:r>
      <w:r w:rsidR="00C72EF5">
        <w:t>a</w:t>
      </w:r>
      <w:r w:rsidR="00925212">
        <w:t xml:space="preserve"> mobile application: “Trickl” provide</w:t>
      </w:r>
      <w:r w:rsidR="00C72EF5">
        <w:t>s</w:t>
      </w:r>
      <w:r w:rsidR="00925212">
        <w:t xml:space="preserve"> real-time consumption data, energy saving tips, and notifications when overall energy consumption exceeds that of peer households</w:t>
      </w:r>
      <w:r w:rsidR="0002697C">
        <w:t>.</w:t>
      </w:r>
    </w:p>
    <w:p w14:paraId="2033B766" w14:textId="2750333F" w:rsidR="00D370A9" w:rsidRDefault="0002697C" w:rsidP="0002697C">
      <w:pPr>
        <w:pStyle w:val="ListParagraph"/>
      </w:pPr>
      <w:r>
        <w:t xml:space="preserve">Approximately </w:t>
      </w:r>
      <w:r w:rsidRPr="0002697C">
        <w:rPr>
          <w:u w:val="single"/>
        </w:rPr>
        <w:t>1,000</w:t>
      </w:r>
      <w:r>
        <w:t xml:space="preserve"> London Hydro customers were enrolled in this stream.</w:t>
      </w:r>
    </w:p>
    <w:p w14:paraId="2DBFEFB7" w14:textId="7C9DFE60" w:rsidR="0002697C" w:rsidRDefault="00D370A9" w:rsidP="00D370A9">
      <w:pPr>
        <w:pStyle w:val="ListParagraph"/>
        <w:numPr>
          <w:ilvl w:val="0"/>
          <w:numId w:val="20"/>
        </w:numPr>
      </w:pPr>
      <w:r>
        <w:rPr>
          <w:b/>
        </w:rPr>
        <w:t>Critical Peak Pricing</w:t>
      </w:r>
      <w:r w:rsidR="00925212">
        <w:rPr>
          <w:b/>
        </w:rPr>
        <w:t xml:space="preserve"> (CPP)</w:t>
      </w:r>
      <w:r>
        <w:rPr>
          <w:b/>
        </w:rPr>
        <w:t xml:space="preserve">. </w:t>
      </w:r>
      <w:r>
        <w:t>The impact on participant consumption patterns (and demand during critical peak events) of providing customers with a slightly discounted Off-Peak time-of-use (TOU) rate in exchange for being subjected to 18 one-hour critical peak pricing periods over the course of the summer.</w:t>
      </w:r>
      <w:r w:rsidR="0002697C">
        <w:t xml:space="preserve"> The critical peak price was set at </w:t>
      </w:r>
      <w:r w:rsidR="005A61C8">
        <w:t>59.5</w:t>
      </w:r>
      <w:r w:rsidR="0002697C">
        <w:t xml:space="preserve"> cents per kWh by the OEB.</w:t>
      </w:r>
    </w:p>
    <w:p w14:paraId="6D56999B" w14:textId="04A5E63D" w:rsidR="0002697C" w:rsidRDefault="0002697C" w:rsidP="0002697C">
      <w:pPr>
        <w:pStyle w:val="ListParagraph"/>
      </w:pPr>
      <w:r>
        <w:t xml:space="preserve">All CPP participants are provided with </w:t>
      </w:r>
      <w:r w:rsidR="005A61C8">
        <w:t xml:space="preserve">one </w:t>
      </w:r>
      <w:r>
        <w:t>“smart plug” and a load control switch installed at the participant’s electrical panel. Each switch is capable of controlling up to three 30 amp circuits.</w:t>
      </w:r>
      <w:r w:rsidR="00CD3018">
        <w:t xml:space="preserve"> These enabling technologies respond to a control signal dispatched by London Hydro and are intended to automate some CPP event demand reductions.</w:t>
      </w:r>
    </w:p>
    <w:p w14:paraId="7B0F87F0" w14:textId="368C1007" w:rsidR="00D370A9" w:rsidRDefault="0002697C" w:rsidP="0002697C">
      <w:pPr>
        <w:pStyle w:val="ListParagraph"/>
      </w:pPr>
      <w:r>
        <w:t xml:space="preserve">Approximately </w:t>
      </w:r>
      <w:r>
        <w:rPr>
          <w:u w:val="single"/>
        </w:rPr>
        <w:t>300</w:t>
      </w:r>
      <w:r>
        <w:t xml:space="preserve"> participants were enrolled in this stream</w:t>
      </w:r>
    </w:p>
    <w:p w14:paraId="1DDEF1C2" w14:textId="442408B4" w:rsidR="00D370A9" w:rsidRDefault="00D370A9" w:rsidP="00D370A9">
      <w:pPr>
        <w:pStyle w:val="ListParagraph"/>
        <w:numPr>
          <w:ilvl w:val="0"/>
          <w:numId w:val="20"/>
        </w:numPr>
      </w:pPr>
      <w:r>
        <w:rPr>
          <w:b/>
        </w:rPr>
        <w:t>Combined Effects</w:t>
      </w:r>
      <w:r w:rsidR="00D712AA">
        <w:rPr>
          <w:b/>
        </w:rPr>
        <w:t xml:space="preserve"> (CPP/RT)</w:t>
      </w:r>
      <w:r>
        <w:rPr>
          <w:b/>
        </w:rPr>
        <w:t xml:space="preserve">. </w:t>
      </w:r>
      <w:r>
        <w:t>The impact on participant consumption patterns (and demand during critical peak events) of combining both treatments</w:t>
      </w:r>
      <w:r w:rsidR="00CD3018">
        <w:t xml:space="preserve"> (CPP and RT together)</w:t>
      </w:r>
      <w:r>
        <w:t>.</w:t>
      </w:r>
    </w:p>
    <w:p w14:paraId="7B8B0D09" w14:textId="77777777" w:rsidR="0002697C" w:rsidRDefault="0002697C" w:rsidP="0002697C">
      <w:pPr>
        <w:pStyle w:val="ListParagraph"/>
      </w:pPr>
      <w:r>
        <w:t xml:space="preserve">Approximately </w:t>
      </w:r>
      <w:r>
        <w:rPr>
          <w:u w:val="single"/>
        </w:rPr>
        <w:t>300</w:t>
      </w:r>
      <w:r>
        <w:t xml:space="preserve"> participants were enrolled in this stream</w:t>
      </w:r>
    </w:p>
    <w:p w14:paraId="0CED64CA" w14:textId="77777777" w:rsidR="00D370A9" w:rsidRDefault="00D370A9" w:rsidP="00D370A9"/>
    <w:p w14:paraId="3B8BBE28" w14:textId="7979BBEA" w:rsidR="0002697C" w:rsidRDefault="0002697C" w:rsidP="00D370A9">
      <w:r>
        <w:t>In addition to the approximately 1,700 participants enrolled in the three groups, approximately 450 customers were enrolled as control customers.</w:t>
      </w:r>
      <w:r w:rsidR="005D411B">
        <w:rPr>
          <w:rStyle w:val="FootnoteReference"/>
        </w:rPr>
        <w:footnoteReference w:id="2"/>
      </w:r>
      <w:r>
        <w:t xml:space="preserve"> These customers applied to participate in the pilot program but were not enrolled</w:t>
      </w:r>
      <w:r w:rsidR="003237F1">
        <w:t xml:space="preserve"> by London Hydro</w:t>
      </w:r>
      <w:r>
        <w:t>. This “recruit-and-deny” strategy enabled the pilot to be evaluated as a randomized control trial (RCT). For the purposes of the impact analysis, these RCT control customers act in a manner analogous to that of the placebo group in a pharmaceutical trial.</w:t>
      </w:r>
      <w:r w:rsidR="003237F1">
        <w:t xml:space="preserve"> RCTs are generally considered the “gold standard” for program evaluation.</w:t>
      </w:r>
    </w:p>
    <w:p w14:paraId="134610E4" w14:textId="77777777" w:rsidR="0002697C" w:rsidRDefault="0002697C" w:rsidP="00D370A9"/>
    <w:p w14:paraId="7DE7EF88" w14:textId="1C8E2FEB" w:rsidR="007864C0" w:rsidRDefault="00D370A9" w:rsidP="00D370A9">
      <w:r>
        <w:t xml:space="preserve">Enabling technology (see below) deployment and participant enrollment took place over the course of the period beginning </w:t>
      </w:r>
      <w:r w:rsidR="00310947">
        <w:t>at scale in July</w:t>
      </w:r>
      <w:r>
        <w:t xml:space="preserve"> of 2017 through until May 1</w:t>
      </w:r>
      <w:r w:rsidR="00310947">
        <w:t xml:space="preserve"> of 2018</w:t>
      </w:r>
      <w:r>
        <w:t>, at which time the pilot became live. From this point on, the participants subject to the CPP rate were liable for the all charges they incurred under the new rate.</w:t>
      </w:r>
    </w:p>
    <w:p w14:paraId="15D11E72" w14:textId="49BC56A9" w:rsidR="003E6DAB" w:rsidRDefault="003E6DAB" w:rsidP="00D370A9">
      <w:r>
        <w:lastRenderedPageBreak/>
        <w:t xml:space="preserve">As part of its efforts to support the success of the pilot, and to provide participants with the knowledge and ability to take advantage of the tools offered by the pilot (both informational and price-related), London Hydro </w:t>
      </w:r>
      <w:r w:rsidR="00F16F4D">
        <w:t xml:space="preserve">maintained an active customer engagement strategy over the summer of 2018. A </w:t>
      </w:r>
      <w:r w:rsidR="00FD6DC6">
        <w:t xml:space="preserve">summary of this is presented in Section </w:t>
      </w:r>
      <w:r w:rsidR="00FD6DC6">
        <w:fldChar w:fldCharType="begin"/>
      </w:r>
      <w:r w:rsidR="00FD6DC6">
        <w:instrText xml:space="preserve"> REF _Ref5724615 \w \h </w:instrText>
      </w:r>
      <w:r w:rsidR="00FD6DC6">
        <w:fldChar w:fldCharType="separate"/>
      </w:r>
      <w:r w:rsidR="00413291">
        <w:t>2.1</w:t>
      </w:r>
      <w:r w:rsidR="00FD6DC6">
        <w:fldChar w:fldCharType="end"/>
      </w:r>
      <w:r w:rsidR="00FD6DC6">
        <w:t>, and a</w:t>
      </w:r>
      <w:r w:rsidR="00362E43">
        <w:t xml:space="preserve"> </w:t>
      </w:r>
      <w:r w:rsidR="00F16F4D">
        <w:t>detailed timeline and description of this strategy may be found in Appendix I, under a separate cover.</w:t>
      </w:r>
    </w:p>
    <w:p w14:paraId="105DB64A" w14:textId="037E94FA" w:rsidR="007864C0" w:rsidRDefault="007864C0" w:rsidP="007864C0">
      <w:pPr>
        <w:pStyle w:val="Heading2"/>
      </w:pPr>
      <w:bookmarkStart w:id="4" w:name="_Toc8393567"/>
      <w:r>
        <w:t>Approach, Data, and Sampling</w:t>
      </w:r>
      <w:bookmarkEnd w:id="4"/>
    </w:p>
    <w:p w14:paraId="1DD86F02" w14:textId="0EB1B6C6" w:rsidR="0002697C" w:rsidRDefault="0002697C" w:rsidP="007864C0">
      <w:r>
        <w:t>London Hydro provided Navigant with hourly electricity consumption data for all participants and RCT controls, from May 2016 through to the end of October 2018. When estimating impacts, only the program period (May through October of 2018) data were used. Consumption in pre-program periods was used to develop regression variables for the impact estimation intended to improve the precision</w:t>
      </w:r>
      <w:r w:rsidR="001A54F6">
        <w:rPr>
          <w:rStyle w:val="FootnoteReference"/>
        </w:rPr>
        <w:footnoteReference w:id="3"/>
      </w:r>
      <w:r>
        <w:t xml:space="preserve"> and accuracy of the estimation, and Navigant used consumption in these prior periods as a contrast to consumption in the program period to better understand the program impacts.</w:t>
      </w:r>
    </w:p>
    <w:p w14:paraId="7959F319" w14:textId="77777777" w:rsidR="0002697C" w:rsidRDefault="0002697C" w:rsidP="007864C0"/>
    <w:p w14:paraId="7E2AD414" w14:textId="62B1CAB0" w:rsidR="0002697C" w:rsidRDefault="0002697C" w:rsidP="007864C0">
      <w:r>
        <w:t xml:space="preserve">Both energy impacts and CPP event day impacts were estimated using regression analysis. The daily </w:t>
      </w:r>
      <w:r w:rsidR="00FB0E01">
        <w:t xml:space="preserve">average </w:t>
      </w:r>
      <w:r>
        <w:t xml:space="preserve">energy impacts were estimated using all summer consumption data, aggregated to a daily series, by TOU period. CPP event impacts were estimated using only the days on which CPP events occurred. </w:t>
      </w:r>
    </w:p>
    <w:p w14:paraId="2B940203" w14:textId="77777777" w:rsidR="0002697C" w:rsidRDefault="0002697C" w:rsidP="007864C0"/>
    <w:p w14:paraId="2A25DEB6" w14:textId="2DBF52D5" w:rsidR="007864C0" w:rsidRDefault="0002697C" w:rsidP="007864C0">
      <w:r>
        <w:t xml:space="preserve">In addition to participant consumption data, Navigant leveraged connectivity data collected by London Hydro </w:t>
      </w:r>
      <w:r w:rsidR="00320B96">
        <w:t xml:space="preserve">as part of the CPP event demand analysis. </w:t>
      </w:r>
      <w:r w:rsidR="00AD5366">
        <w:t xml:space="preserve">These data track which CPP participants’ enabling technologies were </w:t>
      </w:r>
      <w:r w:rsidR="00FB0E01">
        <w:t>connected</w:t>
      </w:r>
      <w:r w:rsidR="00AD5366">
        <w:t xml:space="preserve"> and able to receive the curtailment signal during CPP events. </w:t>
      </w:r>
      <w:r w:rsidR="00320B96">
        <w:t xml:space="preserve">These data enabled Navigant to differentiate between </w:t>
      </w:r>
      <w:r w:rsidR="00AD5366">
        <w:t>purely behavioural CPP event impacts (i.e., impacts from the group whose enabling technologies</w:t>
      </w:r>
      <w:r>
        <w:t xml:space="preserve"> </w:t>
      </w:r>
      <w:r w:rsidR="00AD5366">
        <w:t>were not connected) and impacts that were a combination of behaviour and automation.</w:t>
      </w:r>
    </w:p>
    <w:p w14:paraId="5C01D7B5" w14:textId="4E234765" w:rsidR="007864C0" w:rsidRDefault="00D370A9" w:rsidP="007864C0">
      <w:pPr>
        <w:pStyle w:val="Heading2"/>
      </w:pPr>
      <w:bookmarkStart w:id="5" w:name="_Toc8393568"/>
      <w:r>
        <w:t>Key Findings</w:t>
      </w:r>
      <w:bookmarkEnd w:id="5"/>
    </w:p>
    <w:p w14:paraId="7E16109E" w14:textId="55CC51BF" w:rsidR="005B14FD" w:rsidRDefault="005B14FD" w:rsidP="005B14FD">
      <w:r>
        <w:t>There are two components of Navigant’s impact analysis: the energy impact analysis, and the CPP event demand impact analysis.</w:t>
      </w:r>
    </w:p>
    <w:p w14:paraId="18C41571" w14:textId="556AA564" w:rsidR="005B14FD" w:rsidRDefault="005B14FD" w:rsidP="005B14FD">
      <w:pPr>
        <w:pStyle w:val="Heading3"/>
      </w:pPr>
      <w:bookmarkStart w:id="6" w:name="_Toc8393569"/>
      <w:r>
        <w:t>Energy Impact Key Findings</w:t>
      </w:r>
      <w:bookmarkEnd w:id="6"/>
    </w:p>
    <w:p w14:paraId="7C939CA3" w14:textId="7D248BD9" w:rsidR="005B14FD" w:rsidRDefault="005B14FD" w:rsidP="005B14FD">
      <w:r>
        <w:t>Navigant’s key findings from the energy impact analysis include:</w:t>
      </w:r>
    </w:p>
    <w:p w14:paraId="45ED210F" w14:textId="64379EC4" w:rsidR="005B14FD" w:rsidRDefault="005B14FD" w:rsidP="005B14FD">
      <w:pPr>
        <w:pStyle w:val="ListParagraph"/>
        <w:numPr>
          <w:ilvl w:val="0"/>
          <w:numId w:val="26"/>
        </w:numPr>
      </w:pPr>
      <w:r>
        <w:rPr>
          <w:b/>
        </w:rPr>
        <w:t xml:space="preserve">CPP participants </w:t>
      </w:r>
      <w:r w:rsidR="00FB0E01">
        <w:rPr>
          <w:b/>
        </w:rPr>
        <w:t>delivered</w:t>
      </w:r>
      <w:r>
        <w:rPr>
          <w:b/>
        </w:rPr>
        <w:t xml:space="preserve"> On-Peak and Mid-Peak energy savings with a reasonably high degree of certainty. </w:t>
      </w:r>
      <w:r>
        <w:t>CPP and CPP/RT participants reduced their</w:t>
      </w:r>
      <w:r w:rsidR="00FB0E01">
        <w:t xml:space="preserve"> daily</w:t>
      </w:r>
      <w:r>
        <w:t>:</w:t>
      </w:r>
    </w:p>
    <w:p w14:paraId="351A226D" w14:textId="1AD1B08C" w:rsidR="005B14FD" w:rsidRDefault="005B14FD" w:rsidP="005B14FD">
      <w:pPr>
        <w:pStyle w:val="ListParagraph"/>
        <w:numPr>
          <w:ilvl w:val="1"/>
          <w:numId w:val="26"/>
        </w:numPr>
      </w:pPr>
      <w:r>
        <w:t>On-Peak consumption by approximately 5% on average</w:t>
      </w:r>
    </w:p>
    <w:p w14:paraId="46A7919B" w14:textId="77777777" w:rsidR="005B14FD" w:rsidRDefault="005B14FD" w:rsidP="005B14FD">
      <w:pPr>
        <w:pStyle w:val="ListParagraph"/>
        <w:numPr>
          <w:ilvl w:val="1"/>
          <w:numId w:val="26"/>
        </w:numPr>
      </w:pPr>
      <w:r>
        <w:t>Mid-Peak consumption by approximately 3% on average</w:t>
      </w:r>
    </w:p>
    <w:p w14:paraId="2589B144" w14:textId="6425A160" w:rsidR="005B14FD" w:rsidRDefault="005B14FD" w:rsidP="005B14FD">
      <w:pPr>
        <w:pStyle w:val="ListParagraph"/>
        <w:numPr>
          <w:ilvl w:val="0"/>
          <w:numId w:val="26"/>
        </w:numPr>
      </w:pPr>
      <w:r>
        <w:rPr>
          <w:b/>
        </w:rPr>
        <w:t xml:space="preserve">RT-Only participants </w:t>
      </w:r>
      <w:r w:rsidR="00FB0E01">
        <w:rPr>
          <w:b/>
        </w:rPr>
        <w:t>delivered</w:t>
      </w:r>
      <w:r>
        <w:rPr>
          <w:b/>
        </w:rPr>
        <w:t xml:space="preserve"> modest</w:t>
      </w:r>
      <w:r w:rsidR="00372DD1">
        <w:rPr>
          <w:b/>
        </w:rPr>
        <w:t xml:space="preserve"> </w:t>
      </w:r>
      <w:r>
        <w:rPr>
          <w:b/>
        </w:rPr>
        <w:t>On-Peak energy savings</w:t>
      </w:r>
      <w:r w:rsidR="00372DD1">
        <w:rPr>
          <w:b/>
        </w:rPr>
        <w:t>, although these results are less certain</w:t>
      </w:r>
      <w:r>
        <w:rPr>
          <w:b/>
        </w:rPr>
        <w:t xml:space="preserve">. </w:t>
      </w:r>
      <w:r>
        <w:t>RT participants reduced their On-Peak consumption by just over 2%, although these results are less certain than those of the CPP group.</w:t>
      </w:r>
    </w:p>
    <w:p w14:paraId="2E623BE5" w14:textId="77777777" w:rsidR="005B14FD" w:rsidRDefault="005B14FD" w:rsidP="005B14FD">
      <w:pPr>
        <w:pStyle w:val="ListParagraph"/>
        <w:numPr>
          <w:ilvl w:val="0"/>
          <w:numId w:val="26"/>
        </w:numPr>
      </w:pPr>
      <w:r>
        <w:rPr>
          <w:b/>
        </w:rPr>
        <w:lastRenderedPageBreak/>
        <w:t>CPP partici</w:t>
      </w:r>
      <w:r w:rsidRPr="00462040">
        <w:rPr>
          <w:b/>
        </w:rPr>
        <w:t>pants also equipped with the RT technology are saving the same as CPP-only participants.</w:t>
      </w:r>
      <w:r>
        <w:rPr>
          <w:b/>
        </w:rPr>
        <w:t xml:space="preserve"> </w:t>
      </w:r>
      <w:r>
        <w:t>Navigant found no statistically significant difference between the energy savings achieved by CPP and CPP/RT participants. This suggests that savings are being driven by a combination of the price-effect (attempting to reduce risk by limiting consumption during periods more likely to observe a critical peak price) and the educational component provided by London Hydro.</w:t>
      </w:r>
    </w:p>
    <w:p w14:paraId="09A090E5" w14:textId="77777777" w:rsidR="005B14FD" w:rsidRPr="00045E94" w:rsidRDefault="005B14FD" w:rsidP="005B14FD">
      <w:pPr>
        <w:pStyle w:val="ListParagraph"/>
        <w:numPr>
          <w:ilvl w:val="0"/>
          <w:numId w:val="26"/>
        </w:numPr>
      </w:pPr>
      <w:r w:rsidRPr="00045E94">
        <w:rPr>
          <w:b/>
        </w:rPr>
        <w:t>Energy savings appear to be driven by a variety of end-uses.</w:t>
      </w:r>
      <w:r>
        <w:t xml:space="preserve"> Based on the regression-estimated parameters, approximately a third (On-Peak) and 40% (Mid-Peak) of CPP participant savings are insensitive to temperature, with the balance of savings being temperature driven. This suggests that participants did not rely solely on reducing A/C use (typically the largest single discretionary load in a home) to achieve savings. For RT participants approximately 60% of savings appear to be temperature-insensitive.</w:t>
      </w:r>
    </w:p>
    <w:p w14:paraId="6FE3465A" w14:textId="77777777" w:rsidR="005B14FD" w:rsidRDefault="005B14FD" w:rsidP="005B14FD">
      <w:pPr>
        <w:pStyle w:val="Heading3"/>
      </w:pPr>
      <w:bookmarkStart w:id="7" w:name="_Toc8393570"/>
      <w:r>
        <w:t>CPP Event Demand Impact Key Findings</w:t>
      </w:r>
      <w:bookmarkEnd w:id="7"/>
    </w:p>
    <w:p w14:paraId="051D6818" w14:textId="7E6229C9" w:rsidR="001F4B2F" w:rsidRDefault="001F4B2F" w:rsidP="005B14FD">
      <w:r>
        <w:fldChar w:fldCharType="begin"/>
      </w:r>
      <w:r>
        <w:instrText xml:space="preserve"> REF _Ref1546818 \h </w:instrText>
      </w:r>
      <w:r>
        <w:fldChar w:fldCharType="separate"/>
      </w:r>
      <w:r w:rsidR="00413291">
        <w:t xml:space="preserve">Figure </w:t>
      </w:r>
      <w:r w:rsidR="00413291">
        <w:rPr>
          <w:noProof/>
        </w:rPr>
        <w:t>1</w:t>
      </w:r>
      <w:r>
        <w:fldChar w:fldCharType="end"/>
      </w:r>
      <w:r>
        <w:t xml:space="preserve">, below, </w:t>
      </w:r>
      <w:r w:rsidR="00AD5366">
        <w:t xml:space="preserve">shows </w:t>
      </w:r>
      <w:r>
        <w:t>a scatterplot of CPP event impact and temperature pairs</w:t>
      </w:r>
      <w:r w:rsidR="00AD5366">
        <w:t>. This plot contains three series of CPP event impact/temperature pairs:</w:t>
      </w:r>
    </w:p>
    <w:p w14:paraId="12EF20BF" w14:textId="2809D7B8" w:rsidR="001F4B2F" w:rsidRDefault="001F4B2F" w:rsidP="001F4B2F">
      <w:pPr>
        <w:pStyle w:val="ListParagraph"/>
        <w:numPr>
          <w:ilvl w:val="0"/>
          <w:numId w:val="26"/>
        </w:numPr>
      </w:pPr>
      <w:r>
        <w:t xml:space="preserve">The </w:t>
      </w:r>
      <w:r w:rsidRPr="001F4B2F">
        <w:rPr>
          <w:b/>
        </w:rPr>
        <w:t xml:space="preserve">yellow </w:t>
      </w:r>
      <w:r>
        <w:rPr>
          <w:b/>
        </w:rPr>
        <w:t>triangles</w:t>
      </w:r>
      <w:r>
        <w:t xml:space="preserve"> indicate average program impact, per participant for each event.</w:t>
      </w:r>
    </w:p>
    <w:p w14:paraId="3F026BCA" w14:textId="7ED33E6F" w:rsidR="001F4B2F" w:rsidRDefault="001F4B2F" w:rsidP="001F4B2F">
      <w:pPr>
        <w:pStyle w:val="ListParagraph"/>
        <w:numPr>
          <w:ilvl w:val="0"/>
          <w:numId w:val="26"/>
        </w:numPr>
      </w:pPr>
      <w:r>
        <w:t xml:space="preserve">The </w:t>
      </w:r>
      <w:r>
        <w:rPr>
          <w:b/>
        </w:rPr>
        <w:t>green diamonds</w:t>
      </w:r>
      <w:r>
        <w:t xml:space="preserve"> indicate the average program impact when only including participants whose enabling technologies were </w:t>
      </w:r>
      <w:r w:rsidRPr="00AD5366">
        <w:rPr>
          <w:i/>
        </w:rPr>
        <w:t>connected</w:t>
      </w:r>
      <w:r>
        <w:t xml:space="preserve"> at the time of the CPP event, per participant for each event.</w:t>
      </w:r>
    </w:p>
    <w:p w14:paraId="4895C815" w14:textId="0A8E41A1" w:rsidR="001F4B2F" w:rsidRDefault="001F4B2F" w:rsidP="001F4B2F">
      <w:pPr>
        <w:pStyle w:val="ListParagraph"/>
        <w:numPr>
          <w:ilvl w:val="0"/>
          <w:numId w:val="26"/>
        </w:numPr>
      </w:pPr>
      <w:r>
        <w:t xml:space="preserve">The </w:t>
      </w:r>
      <w:r>
        <w:rPr>
          <w:b/>
        </w:rPr>
        <w:t>blue squares</w:t>
      </w:r>
      <w:r>
        <w:t xml:space="preserve"> indicate the average program impact when only including participants whose enabling technologies were </w:t>
      </w:r>
      <w:r>
        <w:rPr>
          <w:i/>
        </w:rPr>
        <w:t>disconnected</w:t>
      </w:r>
      <w:r>
        <w:t xml:space="preserve"> at the time of the CPP event, per participant for each event. Note that since all these participants are not connected, all impacts shown below are behavioural, rather than automated via signal from London Hydro.</w:t>
      </w:r>
    </w:p>
    <w:p w14:paraId="0E78679A" w14:textId="7BAA4692" w:rsidR="001F4B2F" w:rsidRDefault="001F4B2F" w:rsidP="001F4B2F"/>
    <w:p w14:paraId="4E623EE8" w14:textId="54E78244" w:rsidR="001F4B2F" w:rsidRDefault="001F4B2F" w:rsidP="001F4B2F">
      <w:r>
        <w:t>The whiskers surrounding each marker provide the 90% confidence interval in the impact, and the solid lines that run through the markers indicate the average relationship between CPP event program impacts and contemporaneous outdoor temperature. These are the ex-ante estimates of program capability under a range of different temperatures.</w:t>
      </w:r>
    </w:p>
    <w:p w14:paraId="507D3FBF" w14:textId="15DA2D92" w:rsidR="00983DA3" w:rsidRDefault="00983DA3" w:rsidP="001F4B2F"/>
    <w:p w14:paraId="6E12F036" w14:textId="24067281" w:rsidR="00983DA3" w:rsidRDefault="00983DA3" w:rsidP="001F4B2F">
      <w:r>
        <w:t>This chart illustrates the estimated relationship between the average demand response capability of the program under a range of outdoor temperatures – a key output of this study.</w:t>
      </w:r>
    </w:p>
    <w:p w14:paraId="6880E6D0" w14:textId="2CA3A3C0" w:rsidR="00C0137E" w:rsidRDefault="00C0137E" w:rsidP="005B14FD"/>
    <w:p w14:paraId="5BD4E06B" w14:textId="58332123" w:rsidR="001F4B2F" w:rsidRDefault="001F4B2F" w:rsidP="001F4B2F">
      <w:pPr>
        <w:pStyle w:val="Caption"/>
        <w:jc w:val="left"/>
      </w:pPr>
      <w:bookmarkStart w:id="8" w:name="_Ref1546818"/>
      <w:bookmarkStart w:id="9" w:name="_Toc8393609"/>
      <w:r>
        <w:lastRenderedPageBreak/>
        <w:t xml:space="preserve">Figure </w:t>
      </w:r>
      <w:fldSimple w:instr=" SEQ Figure \* ARABIC ">
        <w:r w:rsidR="00413291">
          <w:rPr>
            <w:noProof/>
          </w:rPr>
          <w:t>1</w:t>
        </w:r>
      </w:fldSimple>
      <w:bookmarkEnd w:id="8"/>
      <w:r>
        <w:t>: Ex-Ante and Ex-Post Impact Scatter Plot</w:t>
      </w:r>
      <w:bookmarkEnd w:id="9"/>
    </w:p>
    <w:p w14:paraId="1CCDBADE" w14:textId="4A164D55" w:rsidR="00C0137E" w:rsidRDefault="00C0137E" w:rsidP="001F4B2F">
      <w:pPr>
        <w:keepNext/>
      </w:pPr>
      <w:r>
        <w:rPr>
          <w:noProof/>
        </w:rPr>
        <w:drawing>
          <wp:inline distT="0" distB="0" distL="0" distR="0" wp14:anchorId="65BABEC5" wp14:editId="1FA2931F">
            <wp:extent cx="5943600" cy="4161155"/>
            <wp:effectExtent l="0" t="0" r="0" b="0"/>
            <wp:docPr id="20" name="Chart 20">
              <a:extLst xmlns:a="http://schemas.openxmlformats.org/drawingml/2006/main">
                <a:ext uri="{FF2B5EF4-FFF2-40B4-BE49-F238E27FC236}">
                  <a16:creationId xmlns:a16="http://schemas.microsoft.com/office/drawing/2014/main" id="{B4064D13-C0EA-4B63-8145-10A61CCA7F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A19051" w14:textId="77777777" w:rsidR="001F4B2F" w:rsidRDefault="001F4B2F" w:rsidP="001F4B2F">
      <w:pPr>
        <w:keepNext/>
      </w:pPr>
    </w:p>
    <w:p w14:paraId="7D0EEE7E" w14:textId="3E30A2B6" w:rsidR="005B14FD" w:rsidRDefault="005B14FD" w:rsidP="005B14FD">
      <w:r>
        <w:t>Navigant’s</w:t>
      </w:r>
      <w:r w:rsidR="00C0137E">
        <w:t xml:space="preserve"> other</w:t>
      </w:r>
      <w:r>
        <w:t xml:space="preserve"> key findings from the demand impact analysis include:</w:t>
      </w:r>
    </w:p>
    <w:p w14:paraId="40E04518" w14:textId="3DB59B89" w:rsidR="005B14FD" w:rsidRDefault="005B14FD" w:rsidP="005B14FD">
      <w:pPr>
        <w:pStyle w:val="ListParagraph"/>
        <w:numPr>
          <w:ilvl w:val="0"/>
          <w:numId w:val="29"/>
        </w:numPr>
      </w:pPr>
      <w:r>
        <w:rPr>
          <w:b/>
        </w:rPr>
        <w:t xml:space="preserve">CPP event demand reductions were substantial. </w:t>
      </w:r>
      <w:r>
        <w:t xml:space="preserve">On average, CPP participants delivered 0.67 kW of </w:t>
      </w:r>
      <w:r w:rsidR="00AD5366">
        <w:t>demand reductions</w:t>
      </w:r>
      <w:r>
        <w:t xml:space="preserve"> (approximately a third of baseline demand) during CPP events and delivered 1 kW of </w:t>
      </w:r>
      <w:r w:rsidR="00AD5366">
        <w:t>reductions per participant</w:t>
      </w:r>
      <w:r>
        <w:t xml:space="preserve"> during the hottest event</w:t>
      </w:r>
      <w:r w:rsidR="00AD5366">
        <w:t>,</w:t>
      </w:r>
      <w:r>
        <w:t xml:space="preserve"> on July 4</w:t>
      </w:r>
      <w:r w:rsidRPr="00130CA6">
        <w:rPr>
          <w:vertAlign w:val="superscript"/>
        </w:rPr>
        <w:t>th</w:t>
      </w:r>
      <w:r>
        <w:t>.</w:t>
      </w:r>
    </w:p>
    <w:p w14:paraId="76C78427" w14:textId="09AAB8A5" w:rsidR="005B14FD" w:rsidRDefault="005B14FD" w:rsidP="005B14FD">
      <w:pPr>
        <w:pStyle w:val="ListParagraph"/>
        <w:numPr>
          <w:ilvl w:val="0"/>
          <w:numId w:val="29"/>
        </w:numPr>
      </w:pPr>
      <w:r>
        <w:rPr>
          <w:b/>
        </w:rPr>
        <w:t xml:space="preserve">There is a behavioural element to CPP event impacts. </w:t>
      </w:r>
      <w:r>
        <w:t xml:space="preserve">CPP participants are equipped with enabling technologies (a switch at the panel, and one or two smart plugs) that respond automatically to London Hydro’s price signal. </w:t>
      </w:r>
      <w:r w:rsidR="00AD5366">
        <w:t>Even though</w:t>
      </w:r>
      <w:r>
        <w:t xml:space="preserve"> participants receive </w:t>
      </w:r>
      <w:r w:rsidR="005A61C8">
        <w:t>approximately</w:t>
      </w:r>
      <w:r>
        <w:t xml:space="preserve"> 15 minutes’ notification of an event, there are clear behavioural elements to </w:t>
      </w:r>
      <w:r w:rsidR="00AD5366">
        <w:t xml:space="preserve">their </w:t>
      </w:r>
      <w:r>
        <w:t>response</w:t>
      </w:r>
      <w:r w:rsidR="00AE5DC1">
        <w:t xml:space="preserve"> over and above the automated response delivered by the switches and smart plu</w:t>
      </w:r>
      <w:r w:rsidR="005A61C8">
        <w:t>g</w:t>
      </w:r>
      <w:r w:rsidR="00AE5DC1">
        <w:t>s</w:t>
      </w:r>
      <w:r>
        <w:t>.</w:t>
      </w:r>
    </w:p>
    <w:p w14:paraId="0BD81039" w14:textId="77777777" w:rsidR="00515B53" w:rsidRDefault="005B14FD" w:rsidP="00515B53">
      <w:pPr>
        <w:pStyle w:val="ListParagraph"/>
        <w:numPr>
          <w:ilvl w:val="1"/>
          <w:numId w:val="29"/>
        </w:numPr>
      </w:pPr>
      <w:r>
        <w:rPr>
          <w:i/>
        </w:rPr>
        <w:t xml:space="preserve">Participants reduced consumption during hours in which CPP events were likely to occur. </w:t>
      </w:r>
      <w:r>
        <w:t xml:space="preserve"> CPP participants reduce their exposure to the CPP rate by making changes to their consumption habits in anticipation of CPP events</w:t>
      </w:r>
      <w:r w:rsidR="00AD5366">
        <w:t xml:space="preserve"> – substantial savings are achieved in hours of the CPP event day </w:t>
      </w:r>
      <w:r w:rsidR="00AE5DC1">
        <w:t>leading up to the CPP event, despite participants not having any knowledge of when the event will occur until 15 minutes before it does</w:t>
      </w:r>
      <w:r w:rsidR="00AD5366">
        <w:t>.</w:t>
      </w:r>
      <w:r>
        <w:t xml:space="preserve"> </w:t>
      </w:r>
    </w:p>
    <w:p w14:paraId="12A3BEF9" w14:textId="4F0F8864" w:rsidR="00515B53" w:rsidRDefault="005B14FD" w:rsidP="00515B53">
      <w:pPr>
        <w:pStyle w:val="ListParagraph"/>
        <w:numPr>
          <w:ilvl w:val="1"/>
          <w:numId w:val="29"/>
        </w:numPr>
      </w:pPr>
      <w:r w:rsidRPr="00515B53">
        <w:rPr>
          <w:i/>
        </w:rPr>
        <w:t>Disconnected participants still delivered demand response.</w:t>
      </w:r>
      <w:r>
        <w:t xml:space="preserve"> For any given event, approximately 20% of participants’ devices could not receive, or respond to, London Hydro’s </w:t>
      </w:r>
      <w:r w:rsidR="00AD5366">
        <w:t xml:space="preserve">curtailment </w:t>
      </w:r>
      <w:r>
        <w:t>signal.</w:t>
      </w:r>
      <w:r w:rsidR="00515B53">
        <w:t xml:space="preserve"> These participants were still able to, on average, with only 15 </w:t>
      </w:r>
      <w:r w:rsidR="00515B53">
        <w:lastRenderedPageBreak/>
        <w:t>minutes’ notice, to reduce demand by 0.2 kW each without the program-deployed enabling technologies.</w:t>
      </w:r>
      <w:r w:rsidR="00012FBE">
        <w:rPr>
          <w:rStyle w:val="FootnoteReference"/>
        </w:rPr>
        <w:footnoteReference w:id="4"/>
      </w:r>
    </w:p>
    <w:p w14:paraId="497FBA6D" w14:textId="2EE2066A" w:rsidR="005B14FD" w:rsidRDefault="00515B53" w:rsidP="00515B53">
      <w:pPr>
        <w:pStyle w:val="ListParagraph"/>
        <w:ind w:left="1440"/>
      </w:pPr>
      <w:r>
        <w:t>Some additional context may be helpful in understanding how remarkable this is: an evaluation of San Diego Gas and Electric’s voluntary CPP rate</w:t>
      </w:r>
      <w:r>
        <w:rPr>
          <w:rStyle w:val="FootnoteReference"/>
        </w:rPr>
        <w:footnoteReference w:id="5"/>
      </w:r>
      <w:r>
        <w:t xml:space="preserve"> (notification provided no later than 3pm on the day </w:t>
      </w:r>
      <w:r w:rsidRPr="000B085B">
        <w:rPr>
          <w:i/>
        </w:rPr>
        <w:t>prior</w:t>
      </w:r>
      <w:r>
        <w:t xml:space="preserve"> to the event) found the average response (at an average temperature of 99 degrees Fahrenheit, or approximately </w:t>
      </w:r>
      <w:r>
        <w:rPr>
          <w:i/>
        </w:rPr>
        <w:t>37</w:t>
      </w:r>
      <w:r>
        <w:t xml:space="preserve"> degrees Celsius) was only 0.14 kW.</w:t>
      </w:r>
    </w:p>
    <w:p w14:paraId="465D1CE3" w14:textId="6C47ACD8" w:rsidR="0002697C" w:rsidRDefault="005B14FD" w:rsidP="005B14FD">
      <w:pPr>
        <w:pStyle w:val="ListParagraph"/>
        <w:numPr>
          <w:ilvl w:val="0"/>
          <w:numId w:val="29"/>
        </w:numPr>
      </w:pPr>
      <w:r w:rsidRPr="00045E94">
        <w:rPr>
          <w:b/>
        </w:rPr>
        <w:t xml:space="preserve">Demand reductions appear to be largely, but not overwhelmingly, driven by changes in space-cooling. </w:t>
      </w:r>
      <w:r>
        <w:t>An examination of the estimated relationships between impacts and temperature is strongly suggestive of the fact that approximately a third of the average CPP event impact (approximately 0.2 to 0.3 kW) is driven by an end-us</w:t>
      </w:r>
      <w:r w:rsidR="00AD5366">
        <w:t xml:space="preserve">e, or end-uses, </w:t>
      </w:r>
      <w:r>
        <w:t>other than space-cooling.</w:t>
      </w:r>
    </w:p>
    <w:p w14:paraId="3A76D82A" w14:textId="07DA40CA" w:rsidR="00D370A9" w:rsidRDefault="005B14FD" w:rsidP="005B14FD">
      <w:pPr>
        <w:pStyle w:val="ListParagraph"/>
        <w:numPr>
          <w:ilvl w:val="0"/>
          <w:numId w:val="29"/>
        </w:numPr>
      </w:pPr>
      <w:r w:rsidRPr="0002697C">
        <w:rPr>
          <w:b/>
        </w:rPr>
        <w:t>Real-time information on consumption did not affect demand reductions.</w:t>
      </w:r>
      <w:r>
        <w:t xml:space="preserve"> The impacts of the CPP and CPP/RT group were not statistically significantly different from one another – the availability of the energy tracking app did not impact participants’ ability to deliver demand reductions</w:t>
      </w:r>
    </w:p>
    <w:p w14:paraId="53EE247F" w14:textId="44AF64B4" w:rsidR="00D370A9" w:rsidRDefault="00D370A9" w:rsidP="00D370A9">
      <w:pPr>
        <w:pStyle w:val="Heading2"/>
      </w:pPr>
      <w:bookmarkStart w:id="10" w:name="_Toc8393571"/>
      <w:r>
        <w:t>Conclusions</w:t>
      </w:r>
      <w:bookmarkEnd w:id="10"/>
    </w:p>
    <w:p w14:paraId="0F5C4A52" w14:textId="77777777" w:rsidR="00451A5C" w:rsidRDefault="00451A5C" w:rsidP="00451A5C">
      <w:r>
        <w:t>Navigant has drawn three main conclusions from this interim evaluation of the London Hydro RPP Pilot:</w:t>
      </w:r>
    </w:p>
    <w:p w14:paraId="297C49B7" w14:textId="77777777" w:rsidR="007834EC" w:rsidRDefault="007834EC" w:rsidP="007834EC">
      <w:pPr>
        <w:pStyle w:val="ListParagraph"/>
        <w:numPr>
          <w:ilvl w:val="0"/>
          <w:numId w:val="31"/>
        </w:numPr>
      </w:pPr>
      <w:r>
        <w:rPr>
          <w:b/>
        </w:rPr>
        <w:t xml:space="preserve">The available evidence suggests that education and customer engagement are key factors in enabling participant response. </w:t>
      </w:r>
      <w:r>
        <w:t xml:space="preserve">Education and engagement are key elements of </w:t>
      </w:r>
      <w:r w:rsidRPr="005569F7">
        <w:rPr>
          <w:i/>
        </w:rPr>
        <w:t>all</w:t>
      </w:r>
      <w:r>
        <w:t xml:space="preserve"> programs and pilots that seek to motivate a behavioural response from participants. The question may be asked, why does Navigant single this as a key factor rather than attributing impacts </w:t>
      </w:r>
      <w:r w:rsidRPr="005569F7">
        <w:rPr>
          <w:i/>
        </w:rPr>
        <w:t>only</w:t>
      </w:r>
      <w:r>
        <w:t xml:space="preserve"> to the pricing and informational/technological treatment? This hypothesis is driven by two findings:</w:t>
      </w:r>
    </w:p>
    <w:p w14:paraId="2024AFE6" w14:textId="77777777" w:rsidR="007834EC" w:rsidRDefault="007834EC" w:rsidP="007834EC">
      <w:pPr>
        <w:pStyle w:val="ListParagraph"/>
        <w:numPr>
          <w:ilvl w:val="1"/>
          <w:numId w:val="31"/>
        </w:numPr>
      </w:pPr>
      <w:r w:rsidRPr="004F6356">
        <w:rPr>
          <w:i/>
        </w:rPr>
        <w:t>The RT tr</w:t>
      </w:r>
      <w:r w:rsidRPr="00600063">
        <w:rPr>
          <w:i/>
        </w:rPr>
        <w:t>eatment motivates no incremental energy or demand impact from CPP/RT participants</w:t>
      </w:r>
      <w:r>
        <w:rPr>
          <w:i/>
        </w:rPr>
        <w:t>, but delivers energy savings for RT-only participants</w:t>
      </w:r>
      <w:r w:rsidRPr="00600063">
        <w:rPr>
          <w:i/>
        </w:rPr>
        <w:t xml:space="preserve">. </w:t>
      </w:r>
      <w:r>
        <w:t>For both energy impacts and CPP event demand impacts, Navigant found that the combined CPP/RT treatment did not deliver any incremental statistically significant impacts, indicating that the RT treatment provided no additional benefit to participants already subject to CPP.</w:t>
      </w:r>
    </w:p>
    <w:p w14:paraId="3A7CC9CB" w14:textId="77777777" w:rsidR="007834EC" w:rsidRDefault="007834EC" w:rsidP="007834EC">
      <w:pPr>
        <w:pStyle w:val="ListParagraph"/>
        <w:ind w:left="1440"/>
      </w:pPr>
      <w:r>
        <w:t xml:space="preserve">Yet, the RT-only treatment </w:t>
      </w:r>
      <w:r w:rsidRPr="004F6356">
        <w:rPr>
          <w:i/>
        </w:rPr>
        <w:t>did</w:t>
      </w:r>
      <w:r>
        <w:t xml:space="preserve"> deliver material energy savings. These two findings seem at odds – if the RT treatment on its own delivers savings, and the CPP treatment on its own delivers savings, why would the two treatments combined not deliver more savings than one of the treatments alone?</w:t>
      </w:r>
    </w:p>
    <w:p w14:paraId="60565646" w14:textId="0A4D02B0" w:rsidR="007834EC" w:rsidRDefault="007834EC" w:rsidP="007834EC">
      <w:pPr>
        <w:pStyle w:val="ListParagraph"/>
        <w:ind w:left="1440"/>
      </w:pPr>
      <w:r>
        <w:lastRenderedPageBreak/>
        <w:t>Navigant believes that the most likely explanation is that in fact the RT technology –the app – isn’t what’s responsible for the energy savings.</w:t>
      </w:r>
      <w:r>
        <w:rPr>
          <w:rStyle w:val="FootnoteReference"/>
        </w:rPr>
        <w:footnoteReference w:id="6"/>
      </w:r>
      <w:r>
        <w:t xml:space="preserve"> Rather, these offerings are the shiny object that entices customers to participate in the program, and savings are delivered through the concerted effort of the utility to educate participants in effective, practical strategies that deliver modest energy savings.</w:t>
      </w:r>
    </w:p>
    <w:p w14:paraId="6B3899FD" w14:textId="77777777" w:rsidR="007834EC" w:rsidRDefault="007834EC" w:rsidP="007834EC">
      <w:pPr>
        <w:pStyle w:val="ListParagraph"/>
        <w:numPr>
          <w:ilvl w:val="1"/>
          <w:numId w:val="31"/>
        </w:numPr>
      </w:pPr>
      <w:r>
        <w:rPr>
          <w:i/>
        </w:rPr>
        <w:t xml:space="preserve">The price-only treatment (CPP) motivates a change in behaviour </w:t>
      </w:r>
      <w:r w:rsidRPr="00600063">
        <w:rPr>
          <w:i/>
          <w:u w:val="single"/>
        </w:rPr>
        <w:t>even when there is no direct price signal to do so</w:t>
      </w:r>
      <w:r>
        <w:rPr>
          <w:i/>
        </w:rPr>
        <w:t xml:space="preserve">. </w:t>
      </w:r>
      <w:r>
        <w:t xml:space="preserve">The majority of the </w:t>
      </w:r>
      <w:r w:rsidRPr="00600063">
        <w:t>energy</w:t>
      </w:r>
      <w:r>
        <w:t xml:space="preserve"> savings achieved by the CPP-only group were achieved in non-event periods.</w:t>
      </w:r>
      <w:r>
        <w:rPr>
          <w:rStyle w:val="FootnoteReference"/>
        </w:rPr>
        <w:footnoteReference w:id="7"/>
      </w:r>
      <w:r>
        <w:t xml:space="preserve"> </w:t>
      </w:r>
    </w:p>
    <w:p w14:paraId="75786196" w14:textId="77777777" w:rsidR="007834EC" w:rsidRDefault="007834EC" w:rsidP="007834EC">
      <w:pPr>
        <w:pStyle w:val="ListParagraph"/>
        <w:ind w:left="1440"/>
      </w:pPr>
      <w:r>
        <w:t xml:space="preserve">Certainly, this behaviour may be explained through the lens of expected value – participants assessing when peak prices will occur and making behavioural adjustments on this basis. The problem with this hypothesis is that is that it cannot explain why impacts were greatest in the On-Peak period, and yet, </w:t>
      </w:r>
      <w:r>
        <w:rPr>
          <w:i/>
        </w:rPr>
        <w:t>by design</w:t>
      </w:r>
      <w:r>
        <w:t>, the CPP price can only occur in the final hour of that period (from 4pm to 5pm).</w:t>
      </w:r>
    </w:p>
    <w:p w14:paraId="2644C03D" w14:textId="77777777" w:rsidR="007834EC" w:rsidRDefault="007834EC" w:rsidP="007834EC">
      <w:pPr>
        <w:pStyle w:val="ListParagraph"/>
        <w:ind w:left="1440"/>
      </w:pPr>
      <w:r>
        <w:t xml:space="preserve">A rational economic actor responding purely to price might adjust their behaviour in the window from 4pm to 5pm, but otherwise has no motivation to adjust their behaviour in the On-Peak period. </w:t>
      </w:r>
    </w:p>
    <w:p w14:paraId="00DA54F4" w14:textId="353521F4" w:rsidR="001B21E5" w:rsidRDefault="007834EC" w:rsidP="00B560A1">
      <w:pPr>
        <w:pStyle w:val="ListParagraph"/>
      </w:pPr>
      <w:r>
        <w:t>It is on the basis of these two observations regarding the estimated impacts that Navigant infers that the customer engagement strategy used by London Hydro to support the deployment of the pilot design was a critical factor in empowering customer decision-making, and ultimately delivering the final reported results</w:t>
      </w:r>
      <w:r w:rsidR="001B21E5">
        <w:t xml:space="preserve">. </w:t>
      </w:r>
    </w:p>
    <w:p w14:paraId="336BCD33" w14:textId="07743EBB" w:rsidR="00451A5C" w:rsidRDefault="00451A5C" w:rsidP="00451A5C">
      <w:pPr>
        <w:pStyle w:val="ListParagraph"/>
        <w:numPr>
          <w:ilvl w:val="0"/>
          <w:numId w:val="31"/>
        </w:numPr>
      </w:pPr>
      <w:r>
        <w:rPr>
          <w:b/>
        </w:rPr>
        <w:t xml:space="preserve">Critical peak pricing can be a tool for energy conservation as well as demand reduction. </w:t>
      </w:r>
      <w:r>
        <w:t xml:space="preserve">CPP participants are provided with 15 minutes or less of notice when a CPP event occurs. This limits the scope of what actions participants can take in the short term when they receive event notification. In response to this challenge, it appears that participants have worked to limit their exposure to the </w:t>
      </w:r>
      <w:r w:rsidR="00AE5DC1">
        <w:t xml:space="preserve">critical peak </w:t>
      </w:r>
      <w:r>
        <w:t xml:space="preserve">rate by </w:t>
      </w:r>
      <w:r w:rsidR="00AE5DC1">
        <w:t>reducing</w:t>
      </w:r>
      <w:r>
        <w:t xml:space="preserve"> consumption in hours in which events are likely to occur.</w:t>
      </w:r>
    </w:p>
    <w:p w14:paraId="49ABDFB0" w14:textId="77777777" w:rsidR="00451A5C" w:rsidRDefault="00451A5C" w:rsidP="00451A5C">
      <w:pPr>
        <w:pStyle w:val="ListParagraph"/>
      </w:pPr>
      <w:r>
        <w:t>Participants have been educated to understand that CPP events are driven by system needs, and that system needs are driven (in the summer) by weather. And so, daily energy impacts (even when no event takes place) are correlated with temperature. Participants undertake actions that reduce their risk exposure even as the risk of a CPP event climbs (i.e., temperature increases). Put another way, participants are provided with a qualitative understanding of the factors that drive the prices they will face and develop rules of thumb for responding to those prices.</w:t>
      </w:r>
      <w:r>
        <w:rPr>
          <w:rStyle w:val="FootnoteReference"/>
        </w:rPr>
        <w:footnoteReference w:id="8"/>
      </w:r>
      <w:r>
        <w:t xml:space="preserve"> </w:t>
      </w:r>
    </w:p>
    <w:p w14:paraId="61B14BAF" w14:textId="6C9B7173" w:rsidR="00451A5C" w:rsidRDefault="00451A5C" w:rsidP="00AE5DC1">
      <w:pPr>
        <w:pStyle w:val="ListParagraph"/>
        <w:numPr>
          <w:ilvl w:val="0"/>
          <w:numId w:val="31"/>
        </w:numPr>
      </w:pPr>
      <w:r>
        <w:rPr>
          <w:b/>
        </w:rPr>
        <w:lastRenderedPageBreak/>
        <w:t xml:space="preserve">Participants can be remarkably nimble in responding to very short-term changes in price.  </w:t>
      </w:r>
      <w:r>
        <w:t xml:space="preserve">Navigant did not expect to find that disconnected participants delivered </w:t>
      </w:r>
      <w:r w:rsidRPr="00AE5DC1">
        <w:rPr>
          <w:i/>
        </w:rPr>
        <w:t>any</w:t>
      </w:r>
      <w:r>
        <w:t xml:space="preserve"> demand response. It was Navigant’s hypothesis that the very short notification period would mean that </w:t>
      </w:r>
      <w:r w:rsidR="00AE5DC1">
        <w:t>“</w:t>
      </w:r>
      <w:r>
        <w:t>DR only</w:t>
      </w:r>
      <w:r w:rsidR="00AE5DC1">
        <w:t>”</w:t>
      </w:r>
      <w:r>
        <w:t xml:space="preserve"> response (as opposed to the more general response in anticipation of a potential event) would be limited to those participants whose enabling technologies were connected to London Hydro’s systems and able to respond automatically to London Hydro’s curtailment signal.</w:t>
      </w:r>
    </w:p>
    <w:p w14:paraId="24D336C1" w14:textId="48A4D420" w:rsidR="000B085B" w:rsidRDefault="00451A5C" w:rsidP="00451A5C">
      <w:pPr>
        <w:pStyle w:val="ListParagraph"/>
      </w:pPr>
      <w:r>
        <w:t xml:space="preserve">The findings of this analysis require a rejection of this initial hypothesis. On average, </w:t>
      </w:r>
      <w:r w:rsidR="00AE5DC1">
        <w:t>it appears that</w:t>
      </w:r>
      <w:r>
        <w:t xml:space="preserve"> disconnected participants were able to contribute approximately 0.2 kW of </w:t>
      </w:r>
      <w:r w:rsidR="00AE5DC1">
        <w:t>“</w:t>
      </w:r>
      <w:r>
        <w:t>pure</w:t>
      </w:r>
      <w:r w:rsidR="00AE5DC1">
        <w:t>”</w:t>
      </w:r>
      <w:r>
        <w:t xml:space="preserve"> demand response during the CPP events. That is, on average, participants were able, with 15 minutes</w:t>
      </w:r>
      <w:r w:rsidR="005A61C8">
        <w:t>’</w:t>
      </w:r>
      <w:r>
        <w:t xml:space="preserve"> notice, to reduce demand on average by 0.2 kW</w:t>
      </w:r>
      <w:r w:rsidR="000B085B">
        <w:t xml:space="preserve"> without the program-deployed enabling technologies</w:t>
      </w:r>
      <w:r>
        <w:t>.</w:t>
      </w:r>
    </w:p>
    <w:p w14:paraId="17B73146" w14:textId="3C70FA7A" w:rsidR="00D370A9" w:rsidRDefault="00451A5C" w:rsidP="000B085B">
      <w:pPr>
        <w:pStyle w:val="ListParagraph"/>
      </w:pPr>
      <w:r>
        <w:t xml:space="preserve">  </w:t>
      </w:r>
    </w:p>
    <w:p w14:paraId="08B16126" w14:textId="61C6830E" w:rsidR="00451A5C" w:rsidRDefault="00451A5C" w:rsidP="00451A5C"/>
    <w:p w14:paraId="179EA820" w14:textId="2780752F" w:rsidR="00451A5C" w:rsidRPr="00D370A9" w:rsidRDefault="00451A5C" w:rsidP="00451A5C">
      <w:r>
        <w:t xml:space="preserve">Recommendations for ongoing research motivated by these conclusions can be found in section </w:t>
      </w:r>
      <w:r>
        <w:fldChar w:fldCharType="begin"/>
      </w:r>
      <w:r>
        <w:instrText xml:space="preserve"> REF _Ref1550337 \w \h </w:instrText>
      </w:r>
      <w:r>
        <w:fldChar w:fldCharType="separate"/>
      </w:r>
      <w:r w:rsidR="00413291">
        <w:t>5.3</w:t>
      </w:r>
      <w:r>
        <w:fldChar w:fldCharType="end"/>
      </w:r>
      <w:r>
        <w:t xml:space="preserve"> of the main body of the report below.</w:t>
      </w:r>
    </w:p>
    <w:p w14:paraId="5BB4225C" w14:textId="77777777" w:rsidR="007864C0" w:rsidRPr="007864C0" w:rsidRDefault="007864C0" w:rsidP="007864C0"/>
    <w:p w14:paraId="6A81DEDE" w14:textId="772DBFDC" w:rsidR="00F43F31" w:rsidRDefault="006E0C69" w:rsidP="00462685">
      <w:pPr>
        <w:pStyle w:val="Heading1"/>
      </w:pPr>
      <w:bookmarkStart w:id="11" w:name="_Ref965387"/>
      <w:bookmarkStart w:id="12" w:name="_Toc8393572"/>
      <w:r>
        <w:lastRenderedPageBreak/>
        <w:t>Introduction and Pilot Overview</w:t>
      </w:r>
      <w:bookmarkEnd w:id="2"/>
      <w:bookmarkEnd w:id="11"/>
      <w:bookmarkEnd w:id="12"/>
    </w:p>
    <w:p w14:paraId="09BD5ACA" w14:textId="6C726E1B" w:rsidR="006E0C69" w:rsidRDefault="00BF1A21" w:rsidP="00C227A0">
      <w:r>
        <w:t xml:space="preserve">Navigant’s interim evaluation of London Hydro’s (LH) Regulated Price Plan (RPP) pilot covers all evaluation activities for the summer (May through October) of 2018. It is divided into </w:t>
      </w:r>
      <w:r w:rsidR="00F40A6E">
        <w:t>four</w:t>
      </w:r>
      <w:r>
        <w:t xml:space="preserve"> chapters.</w:t>
      </w:r>
    </w:p>
    <w:p w14:paraId="21F36F80" w14:textId="7C0857B6" w:rsidR="006E0C69" w:rsidRDefault="00BF1A21" w:rsidP="00600ADC">
      <w:pPr>
        <w:pStyle w:val="ListParagraph"/>
        <w:numPr>
          <w:ilvl w:val="0"/>
          <w:numId w:val="13"/>
        </w:numPr>
      </w:pPr>
      <w:r w:rsidRPr="00BF1A21">
        <w:rPr>
          <w:b/>
        </w:rPr>
        <w:fldChar w:fldCharType="begin"/>
      </w:r>
      <w:r w:rsidRPr="00BF1A21">
        <w:rPr>
          <w:b/>
        </w:rPr>
        <w:instrText xml:space="preserve"> REF _Ref965387 \h  \* MERGEFORMAT </w:instrText>
      </w:r>
      <w:r w:rsidRPr="00BF1A21">
        <w:rPr>
          <w:b/>
        </w:rPr>
      </w:r>
      <w:r w:rsidRPr="00BF1A21">
        <w:rPr>
          <w:b/>
        </w:rPr>
        <w:fldChar w:fldCharType="separate"/>
      </w:r>
      <w:r w:rsidR="00413291" w:rsidRPr="00413291">
        <w:rPr>
          <w:b/>
        </w:rPr>
        <w:t>Introduction and Pilot Overview</w:t>
      </w:r>
      <w:r w:rsidRPr="00BF1A21">
        <w:rPr>
          <w:b/>
        </w:rPr>
        <w:fldChar w:fldCharType="end"/>
      </w:r>
      <w:r w:rsidRPr="00BF1A21">
        <w:rPr>
          <w:b/>
        </w:rPr>
        <w:t>.</w:t>
      </w:r>
      <w:r>
        <w:rPr>
          <w:b/>
        </w:rPr>
        <w:t xml:space="preserve"> </w:t>
      </w:r>
      <w:r w:rsidR="006E0C69">
        <w:t xml:space="preserve">This </w:t>
      </w:r>
      <w:r>
        <w:t>chapter</w:t>
      </w:r>
      <w:r w:rsidR="006E0C69">
        <w:t xml:space="preserve"> provides a high-level description of the key features of the pilot.</w:t>
      </w:r>
    </w:p>
    <w:p w14:paraId="682E2A1D" w14:textId="61A6CC19" w:rsidR="006E0C69" w:rsidRDefault="00BF1A21" w:rsidP="00600ADC">
      <w:pPr>
        <w:pStyle w:val="ListParagraph"/>
        <w:numPr>
          <w:ilvl w:val="0"/>
          <w:numId w:val="13"/>
        </w:numPr>
      </w:pPr>
      <w:r w:rsidRPr="00BF1A21">
        <w:rPr>
          <w:b/>
        </w:rPr>
        <w:fldChar w:fldCharType="begin"/>
      </w:r>
      <w:r w:rsidRPr="00BF1A21">
        <w:rPr>
          <w:b/>
        </w:rPr>
        <w:instrText xml:space="preserve"> REF _Ref965399 \h  \* MERGEFORMAT </w:instrText>
      </w:r>
      <w:r w:rsidRPr="00BF1A21">
        <w:rPr>
          <w:b/>
        </w:rPr>
      </w:r>
      <w:r w:rsidRPr="00BF1A21">
        <w:rPr>
          <w:b/>
        </w:rPr>
        <w:fldChar w:fldCharType="separate"/>
      </w:r>
      <w:r w:rsidR="00413291" w:rsidRPr="00413291">
        <w:rPr>
          <w:b/>
        </w:rPr>
        <w:t>Pilot Data and Evaluation Approach</w:t>
      </w:r>
      <w:r w:rsidRPr="00BF1A21">
        <w:rPr>
          <w:b/>
        </w:rPr>
        <w:fldChar w:fldCharType="end"/>
      </w:r>
      <w:r w:rsidR="006E0C69" w:rsidRPr="00BF1A21">
        <w:rPr>
          <w:b/>
        </w:rPr>
        <w:t>.</w:t>
      </w:r>
      <w:r w:rsidR="006E0C69">
        <w:t xml:space="preserve"> This </w:t>
      </w:r>
      <w:r>
        <w:t>chapter provides an overview of the data used as part of this evaluation, and of the analytic methods employed to estimate impacts. A detailed description of the methods used in this evaluation (including model specifications, etc.) may be found in</w:t>
      </w:r>
      <w:r w:rsidR="00F40A6E">
        <w:t xml:space="preserve"> </w:t>
      </w:r>
      <w:r w:rsidR="00F40A6E">
        <w:fldChar w:fldCharType="begin"/>
      </w:r>
      <w:r w:rsidR="00F40A6E">
        <w:instrText xml:space="preserve"> REF _Ref1560373 \n \h </w:instrText>
      </w:r>
      <w:r w:rsidR="00F40A6E">
        <w:fldChar w:fldCharType="separate"/>
      </w:r>
      <w:r w:rsidR="00413291">
        <w:t>Appendix A</w:t>
      </w:r>
      <w:r w:rsidR="00F40A6E">
        <w:fldChar w:fldCharType="end"/>
      </w:r>
      <w:r>
        <w:t>.</w:t>
      </w:r>
    </w:p>
    <w:p w14:paraId="33083B46" w14:textId="76AAD691" w:rsidR="006E0C69" w:rsidRDefault="00BF1A21" w:rsidP="00600ADC">
      <w:pPr>
        <w:pStyle w:val="ListParagraph"/>
        <w:numPr>
          <w:ilvl w:val="0"/>
          <w:numId w:val="13"/>
        </w:numPr>
      </w:pPr>
      <w:r w:rsidRPr="00500D7A">
        <w:rPr>
          <w:b/>
        </w:rPr>
        <w:fldChar w:fldCharType="begin"/>
      </w:r>
      <w:r w:rsidRPr="00500D7A">
        <w:rPr>
          <w:b/>
        </w:rPr>
        <w:instrText xml:space="preserve"> REF _Ref965604 \h </w:instrText>
      </w:r>
      <w:r w:rsidR="00500D7A">
        <w:rPr>
          <w:b/>
        </w:rPr>
        <w:instrText xml:space="preserve"> \* MERGEFORMAT </w:instrText>
      </w:r>
      <w:r w:rsidRPr="00500D7A">
        <w:rPr>
          <w:b/>
        </w:rPr>
      </w:r>
      <w:r w:rsidRPr="00500D7A">
        <w:rPr>
          <w:b/>
        </w:rPr>
        <w:fldChar w:fldCharType="separate"/>
      </w:r>
      <w:r w:rsidR="00413291" w:rsidRPr="00413291">
        <w:rPr>
          <w:b/>
        </w:rPr>
        <w:t>Results</w:t>
      </w:r>
      <w:r w:rsidRPr="00500D7A">
        <w:rPr>
          <w:b/>
        </w:rPr>
        <w:fldChar w:fldCharType="end"/>
      </w:r>
      <w:r w:rsidRPr="00500D7A">
        <w:rPr>
          <w:b/>
        </w:rPr>
        <w:t>.</w:t>
      </w:r>
      <w:r>
        <w:t xml:space="preserve"> This chapter presents the findings of Navigant’s analysis, and some discussion of the </w:t>
      </w:r>
      <w:r w:rsidR="00F40A6E">
        <w:t>results.</w:t>
      </w:r>
    </w:p>
    <w:p w14:paraId="0D5C280D" w14:textId="43543510" w:rsidR="006E0C69" w:rsidRDefault="00BF1A21" w:rsidP="00600ADC">
      <w:pPr>
        <w:pStyle w:val="ListParagraph"/>
        <w:numPr>
          <w:ilvl w:val="0"/>
          <w:numId w:val="13"/>
        </w:numPr>
      </w:pPr>
      <w:r w:rsidRPr="00F40A6E">
        <w:rPr>
          <w:b/>
        </w:rPr>
        <w:fldChar w:fldCharType="begin"/>
      </w:r>
      <w:r w:rsidRPr="00F40A6E">
        <w:rPr>
          <w:b/>
        </w:rPr>
        <w:instrText xml:space="preserve"> REF _Ref965637 \h </w:instrText>
      </w:r>
      <w:r w:rsidR="00500D7A" w:rsidRPr="00F40A6E">
        <w:rPr>
          <w:b/>
        </w:rPr>
        <w:instrText xml:space="preserve"> \* MERGEFORMAT </w:instrText>
      </w:r>
      <w:r w:rsidRPr="00F40A6E">
        <w:rPr>
          <w:b/>
        </w:rPr>
      </w:r>
      <w:r w:rsidRPr="00F40A6E">
        <w:rPr>
          <w:b/>
        </w:rPr>
        <w:fldChar w:fldCharType="separate"/>
      </w:r>
      <w:r w:rsidR="00413291" w:rsidRPr="00413291">
        <w:rPr>
          <w:b/>
        </w:rPr>
        <w:t>Key Findings, Conclusions</w:t>
      </w:r>
      <w:r w:rsidRPr="00F40A6E">
        <w:rPr>
          <w:b/>
        </w:rPr>
        <w:fldChar w:fldCharType="end"/>
      </w:r>
      <w:r w:rsidR="006E0C69" w:rsidRPr="00F40A6E">
        <w:rPr>
          <w:b/>
        </w:rPr>
        <w:t>.</w:t>
      </w:r>
      <w:r w:rsidR="006E0C69">
        <w:t xml:space="preserve"> </w:t>
      </w:r>
      <w:r>
        <w:t xml:space="preserve"> This chapter presents Navigant’s key conclusions regarding its evaluation of the LH RPP pilot as deployed for the summer of 2018.</w:t>
      </w:r>
    </w:p>
    <w:p w14:paraId="4C540478" w14:textId="3C12516A" w:rsidR="00500D7A" w:rsidRDefault="00500D7A" w:rsidP="00500D7A"/>
    <w:p w14:paraId="25CA1678" w14:textId="0592CEAB" w:rsidR="00500D7A" w:rsidRDefault="00500D7A" w:rsidP="00500D7A">
      <w:r>
        <w:t xml:space="preserve">The remainder of this introductory chapter is divided into </w:t>
      </w:r>
      <w:r w:rsidR="00F40A6E">
        <w:t xml:space="preserve">four </w:t>
      </w:r>
      <w:r>
        <w:t>sections:</w:t>
      </w:r>
    </w:p>
    <w:p w14:paraId="7717C544" w14:textId="457D69F1" w:rsidR="004E386B" w:rsidRDefault="004E386B" w:rsidP="00600ADC">
      <w:pPr>
        <w:pStyle w:val="ListParagraph"/>
        <w:numPr>
          <w:ilvl w:val="0"/>
          <w:numId w:val="20"/>
        </w:numPr>
      </w:pPr>
      <w:r w:rsidRPr="0002697C">
        <w:rPr>
          <w:b/>
        </w:rPr>
        <w:fldChar w:fldCharType="begin"/>
      </w:r>
      <w:r w:rsidRPr="0002697C">
        <w:rPr>
          <w:b/>
        </w:rPr>
        <w:instrText xml:space="preserve"> REF _Ref966438 \h </w:instrText>
      </w:r>
      <w:r w:rsidR="0002697C">
        <w:rPr>
          <w:b/>
        </w:rPr>
        <w:instrText xml:space="preserve"> \* MERGEFORMAT </w:instrText>
      </w:r>
      <w:r w:rsidRPr="0002697C">
        <w:rPr>
          <w:b/>
        </w:rPr>
      </w:r>
      <w:r w:rsidRPr="0002697C">
        <w:rPr>
          <w:b/>
        </w:rPr>
        <w:fldChar w:fldCharType="separate"/>
      </w:r>
      <w:r w:rsidR="00413291" w:rsidRPr="00413291">
        <w:rPr>
          <w:b/>
        </w:rPr>
        <w:t>Pilot Overview</w:t>
      </w:r>
      <w:r w:rsidRPr="0002697C">
        <w:rPr>
          <w:b/>
        </w:rPr>
        <w:fldChar w:fldCharType="end"/>
      </w:r>
      <w:r w:rsidRPr="0002697C">
        <w:rPr>
          <w:b/>
        </w:rPr>
        <w:t>.</w:t>
      </w:r>
      <w:r>
        <w:t xml:space="preserve"> Provides a brief overview of the pilot.</w:t>
      </w:r>
    </w:p>
    <w:p w14:paraId="38CABC1E" w14:textId="649CFFAC" w:rsidR="004E386B" w:rsidRDefault="004E386B" w:rsidP="00600ADC">
      <w:pPr>
        <w:pStyle w:val="ListParagraph"/>
        <w:numPr>
          <w:ilvl w:val="0"/>
          <w:numId w:val="20"/>
        </w:numPr>
      </w:pPr>
      <w:r w:rsidRPr="0002697C">
        <w:rPr>
          <w:b/>
        </w:rPr>
        <w:fldChar w:fldCharType="begin"/>
      </w:r>
      <w:r w:rsidRPr="0002697C">
        <w:rPr>
          <w:b/>
        </w:rPr>
        <w:instrText xml:space="preserve"> REF _Ref966440 \h </w:instrText>
      </w:r>
      <w:r w:rsidR="0002697C">
        <w:rPr>
          <w:b/>
        </w:rPr>
        <w:instrText xml:space="preserve"> \* MERGEFORMAT </w:instrText>
      </w:r>
      <w:r w:rsidRPr="0002697C">
        <w:rPr>
          <w:b/>
        </w:rPr>
      </w:r>
      <w:r w:rsidRPr="0002697C">
        <w:rPr>
          <w:b/>
        </w:rPr>
        <w:fldChar w:fldCharType="separate"/>
      </w:r>
      <w:r w:rsidR="00413291" w:rsidRPr="00413291">
        <w:rPr>
          <w:b/>
        </w:rPr>
        <w:t>Pilot Participants</w:t>
      </w:r>
      <w:r w:rsidRPr="0002697C">
        <w:rPr>
          <w:b/>
        </w:rPr>
        <w:fldChar w:fldCharType="end"/>
      </w:r>
      <w:r w:rsidRPr="0002697C">
        <w:rPr>
          <w:b/>
        </w:rPr>
        <w:t>.</w:t>
      </w:r>
      <w:r>
        <w:t xml:space="preserve"> Provides a more detailed description of the </w:t>
      </w:r>
      <w:r w:rsidR="005B31FC">
        <w:t>treatments applied to the participants.</w:t>
      </w:r>
    </w:p>
    <w:p w14:paraId="50B94E0B" w14:textId="7862D747" w:rsidR="004E386B" w:rsidRDefault="004E386B" w:rsidP="00600ADC">
      <w:pPr>
        <w:pStyle w:val="ListParagraph"/>
        <w:numPr>
          <w:ilvl w:val="0"/>
          <w:numId w:val="20"/>
        </w:numPr>
      </w:pPr>
      <w:r w:rsidRPr="0002697C">
        <w:rPr>
          <w:b/>
        </w:rPr>
        <w:fldChar w:fldCharType="begin"/>
      </w:r>
      <w:r w:rsidRPr="0002697C">
        <w:rPr>
          <w:b/>
        </w:rPr>
        <w:instrText xml:space="preserve"> REF _Ref966441 \h </w:instrText>
      </w:r>
      <w:r w:rsidR="0002697C">
        <w:rPr>
          <w:b/>
        </w:rPr>
        <w:instrText xml:space="preserve"> \* MERGEFORMAT </w:instrText>
      </w:r>
      <w:r w:rsidRPr="0002697C">
        <w:rPr>
          <w:b/>
        </w:rPr>
      </w:r>
      <w:r w:rsidRPr="0002697C">
        <w:rPr>
          <w:b/>
        </w:rPr>
        <w:fldChar w:fldCharType="separate"/>
      </w:r>
      <w:r w:rsidR="00413291">
        <w:rPr>
          <w:bCs/>
        </w:rPr>
        <w:t>Error! Reference source not found.</w:t>
      </w:r>
      <w:r w:rsidRPr="0002697C">
        <w:rPr>
          <w:b/>
        </w:rPr>
        <w:fldChar w:fldCharType="end"/>
      </w:r>
      <w:r w:rsidR="005B31FC" w:rsidRPr="0002697C">
        <w:rPr>
          <w:b/>
        </w:rPr>
        <w:t>.</w:t>
      </w:r>
      <w:r w:rsidR="005B31FC">
        <w:t xml:space="preserve"> Describes the rate structure applied as part of this pilot.</w:t>
      </w:r>
    </w:p>
    <w:p w14:paraId="600CC9DD" w14:textId="57014FE1" w:rsidR="00500D7A" w:rsidRPr="0002697C" w:rsidRDefault="004E386B" w:rsidP="00600ADC">
      <w:pPr>
        <w:pStyle w:val="ListParagraph"/>
        <w:numPr>
          <w:ilvl w:val="0"/>
          <w:numId w:val="20"/>
        </w:numPr>
        <w:rPr>
          <w:b/>
        </w:rPr>
      </w:pPr>
      <w:r w:rsidRPr="0002697C">
        <w:rPr>
          <w:b/>
        </w:rPr>
        <w:fldChar w:fldCharType="begin"/>
      </w:r>
      <w:r w:rsidRPr="0002697C">
        <w:rPr>
          <w:b/>
        </w:rPr>
        <w:instrText xml:space="preserve"> REF _Ref966443 \h </w:instrText>
      </w:r>
      <w:r w:rsidR="0002697C">
        <w:rPr>
          <w:b/>
        </w:rPr>
        <w:instrText xml:space="preserve"> \* MERGEFORMAT </w:instrText>
      </w:r>
      <w:r w:rsidRPr="0002697C">
        <w:rPr>
          <w:b/>
        </w:rPr>
      </w:r>
      <w:r w:rsidRPr="0002697C">
        <w:rPr>
          <w:b/>
        </w:rPr>
        <w:fldChar w:fldCharType="separate"/>
      </w:r>
      <w:r w:rsidR="00413291" w:rsidRPr="00413291">
        <w:rPr>
          <w:b/>
        </w:rPr>
        <w:t>Evaluation Goals and Objectives.</w:t>
      </w:r>
      <w:r w:rsidRPr="0002697C">
        <w:rPr>
          <w:b/>
        </w:rPr>
        <w:fldChar w:fldCharType="end"/>
      </w:r>
      <w:r w:rsidR="005B31FC" w:rsidRPr="0002697C">
        <w:rPr>
          <w:b/>
        </w:rPr>
        <w:t xml:space="preserve"> </w:t>
      </w:r>
      <w:r w:rsidR="00F40A6E">
        <w:t>Provides a summary of the key evaluation goals, as originally developed during the evaluation planning phase.</w:t>
      </w:r>
    </w:p>
    <w:p w14:paraId="212EEA9F" w14:textId="49C1D0E2" w:rsidR="00500D7A" w:rsidRDefault="00500D7A" w:rsidP="00500D7A">
      <w:pPr>
        <w:pStyle w:val="Heading2"/>
      </w:pPr>
      <w:bookmarkStart w:id="13" w:name="_Ref966438"/>
      <w:bookmarkStart w:id="14" w:name="_Ref5724615"/>
      <w:bookmarkStart w:id="15" w:name="_Toc8393573"/>
      <w:r>
        <w:t>Pilot Overview</w:t>
      </w:r>
      <w:bookmarkEnd w:id="13"/>
      <w:bookmarkEnd w:id="14"/>
      <w:bookmarkEnd w:id="15"/>
    </w:p>
    <w:p w14:paraId="2B773E5B" w14:textId="429D045B" w:rsidR="005B31FC" w:rsidRDefault="00A06554" w:rsidP="005B31FC">
      <w:r>
        <w:t>London Hydro’s RPP pilot</w:t>
      </w:r>
      <w:r w:rsidR="00C263F7">
        <w:t xml:space="preserve"> is an experiment funded by the Ontario Energy Board as part of its ongoing RPP Roadmap, and</w:t>
      </w:r>
      <w:r>
        <w:t xml:space="preserve"> is a test of two independent treatments, and of their interaction. </w:t>
      </w:r>
    </w:p>
    <w:p w14:paraId="4BB35584" w14:textId="77777777" w:rsidR="005F5D7D" w:rsidRDefault="005F5D7D" w:rsidP="005B31FC"/>
    <w:p w14:paraId="1CBCF15A" w14:textId="52C787D8" w:rsidR="005F5D7D" w:rsidRDefault="005F5D7D" w:rsidP="005B31FC">
      <w:r>
        <w:t>This pilot is an experiment designed to test the impacts of these two treatments across three distinct groups of participants, specifically:</w:t>
      </w:r>
    </w:p>
    <w:p w14:paraId="1801F3E2" w14:textId="38663DE5" w:rsidR="005F5D7D" w:rsidRDefault="005F5D7D" w:rsidP="005F5D7D">
      <w:pPr>
        <w:pStyle w:val="ListParagraph"/>
        <w:numPr>
          <w:ilvl w:val="0"/>
          <w:numId w:val="20"/>
        </w:numPr>
      </w:pPr>
      <w:r>
        <w:rPr>
          <w:b/>
        </w:rPr>
        <w:t xml:space="preserve">Real-Time Information (RT). </w:t>
      </w:r>
      <w:bookmarkStart w:id="16" w:name="_Hlk7557570"/>
      <w:r>
        <w:t xml:space="preserve">The impact on participant consumption patterns of the provision of real-time information (the RT treatment) via </w:t>
      </w:r>
      <w:r w:rsidR="005A61C8">
        <w:t>a</w:t>
      </w:r>
      <w:r>
        <w:t xml:space="preserve"> mobile application: “Trickl”</w:t>
      </w:r>
      <w:r w:rsidR="005A61C8">
        <w:t xml:space="preserve"> which</w:t>
      </w:r>
      <w:r>
        <w:t xml:space="preserve"> provide</w:t>
      </w:r>
      <w:r w:rsidR="005A61C8">
        <w:t>s</w:t>
      </w:r>
      <w:r>
        <w:t xml:space="preserve"> real-time consumption data, energy saving tips, and notifications when overall energy consumption exceeds that of peer households.</w:t>
      </w:r>
      <w:bookmarkEnd w:id="16"/>
      <w:r w:rsidR="00134E52">
        <w:t xml:space="preserve"> </w:t>
      </w:r>
    </w:p>
    <w:p w14:paraId="1DF5D668" w14:textId="77777777" w:rsidR="005F5D7D" w:rsidRDefault="005F5D7D" w:rsidP="005F5D7D">
      <w:pPr>
        <w:pStyle w:val="ListParagraph"/>
      </w:pPr>
      <w:r>
        <w:t xml:space="preserve">Approximately </w:t>
      </w:r>
      <w:r w:rsidRPr="0002697C">
        <w:rPr>
          <w:u w:val="single"/>
        </w:rPr>
        <w:t>1,000</w:t>
      </w:r>
      <w:r>
        <w:t xml:space="preserve"> London Hydro customers were enrolled in this stream.</w:t>
      </w:r>
    </w:p>
    <w:p w14:paraId="7B2F1B2F" w14:textId="39110044" w:rsidR="005F5D7D" w:rsidRDefault="005F5D7D" w:rsidP="005F5D7D">
      <w:pPr>
        <w:pStyle w:val="ListParagraph"/>
        <w:numPr>
          <w:ilvl w:val="0"/>
          <w:numId w:val="20"/>
        </w:numPr>
      </w:pPr>
      <w:r>
        <w:rPr>
          <w:b/>
        </w:rPr>
        <w:t xml:space="preserve">Critical Peak Pricing (CPP). </w:t>
      </w:r>
      <w:r>
        <w:t xml:space="preserve">The impact on participant consumption patterns (and demand during critical peak events) of providing customers with a slightly discounted Off-Peak time-of-use (TOU) rate in exchange for being subjected to 18 one-hour critical peak pricing periods over the course of the summer. The critical peak price was set at </w:t>
      </w:r>
      <w:r w:rsidR="005A61C8">
        <w:t>59.5</w:t>
      </w:r>
      <w:r>
        <w:t xml:space="preserve"> cents per kWh by the OEB.</w:t>
      </w:r>
    </w:p>
    <w:p w14:paraId="5932DE3F" w14:textId="11646B6E" w:rsidR="005F5D7D" w:rsidRDefault="005F5D7D" w:rsidP="005F5D7D">
      <w:pPr>
        <w:pStyle w:val="ListParagraph"/>
      </w:pPr>
      <w:r>
        <w:t xml:space="preserve">All CPP participants are provided with </w:t>
      </w:r>
      <w:r w:rsidR="005A61C8">
        <w:t xml:space="preserve">a </w:t>
      </w:r>
      <w:r>
        <w:t xml:space="preserve">smart plug and a load control switch installed at the participant’s electrical panel. Each switch is capable of controlling up to three 30 amp circuits. These enabling technologies respond to a control signal dispatched by London Hydro and are </w:t>
      </w:r>
      <w:r>
        <w:lastRenderedPageBreak/>
        <w:t>intended to automate some CPP event demand reductions.</w:t>
      </w:r>
      <w:r w:rsidR="00134E52">
        <w:t xml:space="preserve"> CPP participants were also equipped with the Trickl app. This app was used to communicate notification for CPP events and to provide participants with the ability to remotely control the technologies provided by London Hydro.</w:t>
      </w:r>
    </w:p>
    <w:p w14:paraId="0F85009D" w14:textId="77777777" w:rsidR="005F5D7D" w:rsidRDefault="005F5D7D" w:rsidP="005F5D7D">
      <w:pPr>
        <w:pStyle w:val="ListParagraph"/>
      </w:pPr>
      <w:r>
        <w:t xml:space="preserve">Approximately </w:t>
      </w:r>
      <w:r>
        <w:rPr>
          <w:u w:val="single"/>
        </w:rPr>
        <w:t>300</w:t>
      </w:r>
      <w:r>
        <w:t xml:space="preserve"> participants were enrolled in this stream</w:t>
      </w:r>
    </w:p>
    <w:p w14:paraId="7C7545D2" w14:textId="77777777" w:rsidR="005F5D7D" w:rsidRDefault="005F5D7D" w:rsidP="005F5D7D">
      <w:pPr>
        <w:pStyle w:val="ListParagraph"/>
        <w:numPr>
          <w:ilvl w:val="0"/>
          <w:numId w:val="20"/>
        </w:numPr>
      </w:pPr>
      <w:r>
        <w:rPr>
          <w:b/>
        </w:rPr>
        <w:t xml:space="preserve">Combined Effects (CPP/RT). </w:t>
      </w:r>
      <w:r>
        <w:t>The impact on participant consumption patterns (and demand during critical peak events) of combining both treatments (CPP and RT together).</w:t>
      </w:r>
    </w:p>
    <w:p w14:paraId="58ADD5D3" w14:textId="3A0491BC" w:rsidR="00500626" w:rsidRDefault="005F5D7D" w:rsidP="005F5D7D">
      <w:pPr>
        <w:pStyle w:val="ListParagraph"/>
      </w:pPr>
      <w:r>
        <w:t xml:space="preserve">Approximately </w:t>
      </w:r>
      <w:r>
        <w:rPr>
          <w:u w:val="single"/>
        </w:rPr>
        <w:t>300</w:t>
      </w:r>
      <w:r>
        <w:t xml:space="preserve"> participants were enrolled in this stream</w:t>
      </w:r>
    </w:p>
    <w:p w14:paraId="1EA3F65D" w14:textId="77777777" w:rsidR="00500626" w:rsidRDefault="00500626" w:rsidP="00500626"/>
    <w:p w14:paraId="75A36328" w14:textId="4DF2EBB9" w:rsidR="00134E52" w:rsidRDefault="00134E52" w:rsidP="00500626">
      <w:r>
        <w:t>Additional detail regarding the functionality and appearance of the Trickl app may be found in Appendix I, under a separate cover.</w:t>
      </w:r>
    </w:p>
    <w:p w14:paraId="25A4868E" w14:textId="77777777" w:rsidR="00134E52" w:rsidRDefault="00134E52" w:rsidP="00500626"/>
    <w:p w14:paraId="3B1FF031" w14:textId="4BB18E0D" w:rsidR="005F5D7D" w:rsidRDefault="005F5D7D" w:rsidP="00500626">
      <w:r>
        <w:t>In addition to the approximately 1,700 participants enrolled in the three groups, approximately 450 customers were enrolled as control customers.</w:t>
      </w:r>
      <w:r>
        <w:rPr>
          <w:rStyle w:val="FootnoteReference"/>
        </w:rPr>
        <w:footnoteReference w:id="9"/>
      </w:r>
      <w:r>
        <w:t xml:space="preserve"> These customers applied to participate in the pilot program but were not enrolled by London Hydro. This “recruit-and-deny” strategy enabled the pilot to be evaluated as a randomized control trial (RCT). For the purposes of the impact analysis, these RCT control customers act in a manner analogous to that of the placebo group in a pharmaceutical trial. RCTs are generally considered the “gold standard” for program evaluation.</w:t>
      </w:r>
    </w:p>
    <w:p w14:paraId="6DED2223" w14:textId="77777777" w:rsidR="005F5D7D" w:rsidRDefault="005F5D7D" w:rsidP="00500626"/>
    <w:p w14:paraId="66A30E1C" w14:textId="67C63F7E" w:rsidR="00500626" w:rsidRDefault="00500626" w:rsidP="00500626">
      <w:r>
        <w:t xml:space="preserve">Enabling technology (see below) deployment and participant enrollment took place over the course of the period beginning in </w:t>
      </w:r>
      <w:r w:rsidR="006C3688">
        <w:t xml:space="preserve">July </w:t>
      </w:r>
      <w:r>
        <w:t>of 2017 through until May 1</w:t>
      </w:r>
      <w:r w:rsidR="005A3F75">
        <w:t xml:space="preserve"> of 2018</w:t>
      </w:r>
      <w:r>
        <w:t>, at which time the pilot became live. From this point on, the participants subject to the CPP rate were liable for the all charges they incurred under the new rate.</w:t>
      </w:r>
    </w:p>
    <w:p w14:paraId="27A494B3" w14:textId="68A8A72F" w:rsidR="00134E52" w:rsidRDefault="00134E52" w:rsidP="00500626"/>
    <w:p w14:paraId="2922A6C5" w14:textId="6F489B96" w:rsidR="00134E52" w:rsidRDefault="00134E52" w:rsidP="00500626">
      <w:r>
        <w:t xml:space="preserve">To </w:t>
      </w:r>
      <w:r w:rsidR="00D85F46">
        <w:t xml:space="preserve">support the success of the price, technology, and informational treatments, London Hydro also pursued an active customer engagement strategy. Over the course of the pilot, London Hydro engaged in </w:t>
      </w:r>
      <w:r w:rsidR="00B560A1">
        <w:t>a number of</w:t>
      </w:r>
      <w:r w:rsidR="00D85F46">
        <w:t xml:space="preserve"> customer engagement activities</w:t>
      </w:r>
      <w:r w:rsidR="00B560A1">
        <w:t>, the most important of which</w:t>
      </w:r>
      <w:r w:rsidR="00907B8C">
        <w:t xml:space="preserve"> – for summer impacts –</w:t>
      </w:r>
      <w:r w:rsidR="00B560A1">
        <w:t xml:space="preserve"> are:</w:t>
      </w:r>
    </w:p>
    <w:p w14:paraId="1DAD957C" w14:textId="77777777" w:rsidR="00D85F46" w:rsidRDefault="00D85F46" w:rsidP="00D85F46">
      <w:pPr>
        <w:pStyle w:val="ListParagraph"/>
        <w:numPr>
          <w:ilvl w:val="0"/>
          <w:numId w:val="20"/>
        </w:numPr>
      </w:pPr>
      <w:r w:rsidRPr="00413291">
        <w:rPr>
          <w:b/>
        </w:rPr>
        <w:t>Breakfast events.</w:t>
      </w:r>
      <w:r>
        <w:t xml:space="preserve"> Attended by approximately 500 of the pilot participants, these two events in March 2018 were designed to</w:t>
      </w:r>
    </w:p>
    <w:p w14:paraId="26895C58" w14:textId="77777777" w:rsidR="00D85F46" w:rsidRDefault="00D85F46" w:rsidP="00D85F46">
      <w:pPr>
        <w:pStyle w:val="ListParagraph"/>
        <w:numPr>
          <w:ilvl w:val="1"/>
          <w:numId w:val="20"/>
        </w:numPr>
      </w:pPr>
      <w:r>
        <w:t>build enthusiasm for participation;</w:t>
      </w:r>
    </w:p>
    <w:p w14:paraId="6E1A3577" w14:textId="7CCBBAB9" w:rsidR="00D85F46" w:rsidRDefault="00D85F46" w:rsidP="00D85F46">
      <w:pPr>
        <w:pStyle w:val="ListParagraph"/>
        <w:numPr>
          <w:ilvl w:val="1"/>
          <w:numId w:val="20"/>
        </w:numPr>
      </w:pPr>
      <w:r>
        <w:t>provide participants with information about how they could maximize the value of the treatments</w:t>
      </w:r>
      <w:r w:rsidR="006B1082">
        <w:t>; and,</w:t>
      </w:r>
    </w:p>
    <w:p w14:paraId="3B9699C3" w14:textId="1AE484D0" w:rsidR="006B1082" w:rsidRDefault="006B1082" w:rsidP="00D85F46">
      <w:pPr>
        <w:pStyle w:val="ListParagraph"/>
        <w:numPr>
          <w:ilvl w:val="1"/>
          <w:numId w:val="20"/>
        </w:numPr>
      </w:pPr>
      <w:r>
        <w:t>proactively address connectivity issues reported by participants and schedule home visits to resolve those issues.</w:t>
      </w:r>
    </w:p>
    <w:p w14:paraId="4BC7E4B9" w14:textId="4573C0B3" w:rsidR="006B1082" w:rsidRDefault="006B1082" w:rsidP="006B1082">
      <w:pPr>
        <w:pStyle w:val="ListParagraph"/>
        <w:numPr>
          <w:ilvl w:val="0"/>
          <w:numId w:val="20"/>
        </w:numPr>
      </w:pPr>
      <w:r w:rsidRPr="00413291">
        <w:rPr>
          <w:b/>
        </w:rPr>
        <w:t>Ambassador focus groups.</w:t>
      </w:r>
      <w:r>
        <w:t xml:space="preserve"> These focus groups, attended by approximately 60 participants, were intended to leverage participant enthusiasm and obtain participant feedback to be used for course-correction of app feature improvements.</w:t>
      </w:r>
    </w:p>
    <w:p w14:paraId="7D2C390D" w14:textId="06DB0CF8" w:rsidR="00B560A1" w:rsidRDefault="006B1082" w:rsidP="00413291">
      <w:pPr>
        <w:pStyle w:val="ListParagraph"/>
        <w:numPr>
          <w:ilvl w:val="0"/>
          <w:numId w:val="20"/>
        </w:numPr>
      </w:pPr>
      <w:r>
        <w:rPr>
          <w:b/>
        </w:rPr>
        <w:t>Door to Door Engagement.</w:t>
      </w:r>
      <w:r>
        <w:t xml:space="preserve"> Proactive, in-person communication with program participants to </w:t>
      </w:r>
      <w:r w:rsidR="00FF25A3">
        <w:t xml:space="preserve">help resolve connectivity issues and to ensure that participants felt that their experiences and engagement were valued by London Hydro. </w:t>
      </w:r>
      <w:r w:rsidR="00B560A1">
        <w:t>Proactive technical assistance is important for pilots such as this one. When devices cease to function properly, busy customers not have the inclination to contact London Hydro to resolve the problem. As a result of this door-knocking campaign, London Hydro booked 125 appointments for in-home technical assistance.</w:t>
      </w:r>
    </w:p>
    <w:p w14:paraId="65B7CF9C" w14:textId="7668EC53" w:rsidR="00500626" w:rsidRDefault="00500626" w:rsidP="00500626"/>
    <w:p w14:paraId="535B1512" w14:textId="6E1B11FB" w:rsidR="00B560A1" w:rsidRDefault="00B560A1" w:rsidP="00500626">
      <w:r>
        <w:t>Additional details of marketing efforts and London Hydro’s customer engagement strategy may be found in Appendix I, under a separate cover.</w:t>
      </w:r>
    </w:p>
    <w:p w14:paraId="78512AD7" w14:textId="77777777" w:rsidR="00B560A1" w:rsidRDefault="00B560A1" w:rsidP="00500626"/>
    <w:p w14:paraId="323F18F3" w14:textId="38F6139C" w:rsidR="00500626" w:rsidRDefault="00500626" w:rsidP="00500626">
      <w:r>
        <w:t>This pilot will continue until April 30, 2019, after which Navigant will complete the second part of this evaluation, the evaluation of impacts in the winter months, and Navigant’s sub-contractor, Ipsos Public Affairs, will conduct a</w:t>
      </w:r>
      <w:r w:rsidR="006B1082">
        <w:t>n</w:t>
      </w:r>
      <w:r>
        <w:t xml:space="preserve"> Energy Literacy study of participants.</w:t>
      </w:r>
    </w:p>
    <w:p w14:paraId="2160C873" w14:textId="35079A20" w:rsidR="002D00F4" w:rsidRDefault="00500D7A" w:rsidP="002D00F4">
      <w:pPr>
        <w:pStyle w:val="Heading2"/>
      </w:pPr>
      <w:bookmarkStart w:id="17" w:name="_Ref966440"/>
      <w:bookmarkStart w:id="18" w:name="_Toc8393574"/>
      <w:r>
        <w:t xml:space="preserve">Pilot </w:t>
      </w:r>
      <w:r w:rsidR="002D00F4">
        <w:t>Participants</w:t>
      </w:r>
      <w:bookmarkEnd w:id="17"/>
      <w:bookmarkEnd w:id="18"/>
    </w:p>
    <w:p w14:paraId="369AC251" w14:textId="6F363D9E" w:rsidR="006E0C69" w:rsidRDefault="00C263F7" w:rsidP="006E0C69">
      <w:r>
        <w:t>As noted above, pilot participants are recruited into one of three different groups. Details of the treatments applied to each group are summarized below.</w:t>
      </w:r>
    </w:p>
    <w:p w14:paraId="522377CC" w14:textId="3B7EBC23" w:rsidR="00BE68B6" w:rsidRDefault="00BE68B6" w:rsidP="00600ADC">
      <w:pPr>
        <w:pStyle w:val="ListParagraph"/>
        <w:numPr>
          <w:ilvl w:val="0"/>
          <w:numId w:val="14"/>
        </w:numPr>
      </w:pPr>
      <w:r>
        <w:rPr>
          <w:b/>
        </w:rPr>
        <w:t>RT.</w:t>
      </w:r>
      <w:r>
        <w:t xml:space="preserve"> These participants are provided with an in-home energy gateway that </w:t>
      </w:r>
      <w:r w:rsidR="005F5D7D">
        <w:t>delivers</w:t>
      </w:r>
      <w:r>
        <w:t xml:space="preserve"> information to participating customers via </w:t>
      </w:r>
      <w:r w:rsidR="00AD00FA" w:rsidRPr="005F6675">
        <w:t>an IOS/Android app: Trickl</w:t>
      </w:r>
      <w:r>
        <w:t>.</w:t>
      </w:r>
      <w:r w:rsidR="0093538B">
        <w:t xml:space="preserve"> </w:t>
      </w:r>
      <w:r>
        <w:t>The information provided to customers include</w:t>
      </w:r>
      <w:r w:rsidR="00FD6DC6">
        <w:t>s</w:t>
      </w:r>
      <w:r>
        <w:t>:</w:t>
      </w:r>
    </w:p>
    <w:p w14:paraId="7C120742" w14:textId="712CA4EA" w:rsidR="00BE68B6" w:rsidRDefault="00BE68B6" w:rsidP="00600ADC">
      <w:pPr>
        <w:pStyle w:val="ListParagraph"/>
        <w:numPr>
          <w:ilvl w:val="1"/>
          <w:numId w:val="14"/>
        </w:numPr>
      </w:pPr>
      <w:r>
        <w:t>Real-time electricity consumption data</w:t>
      </w:r>
    </w:p>
    <w:p w14:paraId="0277ED73" w14:textId="63D934D6" w:rsidR="00BE68B6" w:rsidRDefault="00BE68B6" w:rsidP="00600ADC">
      <w:pPr>
        <w:pStyle w:val="ListParagraph"/>
        <w:numPr>
          <w:ilvl w:val="1"/>
          <w:numId w:val="14"/>
        </w:numPr>
      </w:pPr>
      <w:r>
        <w:t>Baseload analytics</w:t>
      </w:r>
    </w:p>
    <w:p w14:paraId="2CDB6EA1" w14:textId="7361DA20" w:rsidR="005F6675" w:rsidRDefault="005F6675" w:rsidP="00600ADC">
      <w:pPr>
        <w:pStyle w:val="ListParagraph"/>
        <w:numPr>
          <w:ilvl w:val="1"/>
          <w:numId w:val="14"/>
        </w:numPr>
      </w:pPr>
      <w:r>
        <w:t xml:space="preserve">“Push” notifications from the Trickl app to flag when participant energy use exceeds that of similar </w:t>
      </w:r>
      <w:r w:rsidR="005F5D7D">
        <w:t>peers and</w:t>
      </w:r>
      <w:r>
        <w:t xml:space="preserve"> other timely customized tips.</w:t>
      </w:r>
    </w:p>
    <w:p w14:paraId="7D90782C" w14:textId="346F1FD8" w:rsidR="005F6675" w:rsidRDefault="005F6675" w:rsidP="005F6675">
      <w:pPr>
        <w:pStyle w:val="ListParagraph"/>
      </w:pPr>
      <w:bookmarkStart w:id="19" w:name="_Hlk7557495"/>
    </w:p>
    <w:bookmarkEnd w:id="19"/>
    <w:p w14:paraId="5F47D801" w14:textId="06F8C2DB" w:rsidR="00BE68B6" w:rsidRDefault="00BE68B6" w:rsidP="00600ADC">
      <w:pPr>
        <w:pStyle w:val="ListParagraph"/>
        <w:numPr>
          <w:ilvl w:val="0"/>
          <w:numId w:val="14"/>
        </w:numPr>
      </w:pPr>
      <w:r>
        <w:rPr>
          <w:b/>
        </w:rPr>
        <w:t>CPP.</w:t>
      </w:r>
      <w:r>
        <w:t xml:space="preserve"> These participants are subject to a critical peak price</w:t>
      </w:r>
      <w:r w:rsidR="001F4B2F">
        <w:t xml:space="preserve"> of </w:t>
      </w:r>
      <w:r w:rsidR="005A61C8">
        <w:t>59.5</w:t>
      </w:r>
      <w:r w:rsidR="001F4B2F">
        <w:t xml:space="preserve"> cents per kWh</w:t>
      </w:r>
      <w:r w:rsidR="00DF7F89">
        <w:t>, set by the OEB</w:t>
      </w:r>
      <w:r w:rsidR="0093538B">
        <w:t xml:space="preserve">. CPP events are called by the OEB or its designate </w:t>
      </w:r>
      <w:r w:rsidR="002D00F4">
        <w:t>as required for evaluation purposes</w:t>
      </w:r>
      <w:r w:rsidR="005F5D7D">
        <w:t xml:space="preserve"> and dispatched by London Hydro</w:t>
      </w:r>
      <w:r w:rsidR="0093538B">
        <w:t xml:space="preserve">. All CPP participants are provided with </w:t>
      </w:r>
      <w:r w:rsidR="005A61C8">
        <w:t xml:space="preserve">a </w:t>
      </w:r>
      <w:r w:rsidR="0093538B">
        <w:t>smart plug and a load control switch installed at the participant’s electrical panel. Each switch is capable of controlling</w:t>
      </w:r>
      <w:r w:rsidR="002D00F4">
        <w:t xml:space="preserve"> up to</w:t>
      </w:r>
      <w:r w:rsidR="0093538B">
        <w:t xml:space="preserve"> three 30 amp circuits.</w:t>
      </w:r>
    </w:p>
    <w:p w14:paraId="05F44D99" w14:textId="5F543AC9" w:rsidR="0093538B" w:rsidRDefault="0093538B" w:rsidP="00600ADC">
      <w:pPr>
        <w:pStyle w:val="ListParagraph"/>
        <w:numPr>
          <w:ilvl w:val="0"/>
          <w:numId w:val="14"/>
        </w:numPr>
      </w:pPr>
      <w:r>
        <w:rPr>
          <w:b/>
        </w:rPr>
        <w:t xml:space="preserve">CPP/RT. </w:t>
      </w:r>
      <w:r>
        <w:t>These participants are provided with both the CPP enabling technology, and the real-time energy monitoring equipment and software</w:t>
      </w:r>
      <w:r w:rsidR="002D00F4">
        <w:t xml:space="preserve"> and are subject to the CPP prices</w:t>
      </w:r>
      <w:r>
        <w:t>.</w:t>
      </w:r>
    </w:p>
    <w:p w14:paraId="0FEFB88E" w14:textId="08044BC2" w:rsidR="002D00F4" w:rsidRDefault="004B634F" w:rsidP="002D00F4">
      <w:pPr>
        <w:pStyle w:val="Heading2"/>
      </w:pPr>
      <w:bookmarkStart w:id="20" w:name="_Toc8393575"/>
      <w:r>
        <w:t xml:space="preserve">Participant Commodity </w:t>
      </w:r>
      <w:r w:rsidR="00907B8C">
        <w:t>Prices</w:t>
      </w:r>
      <w:bookmarkEnd w:id="20"/>
    </w:p>
    <w:p w14:paraId="3CCD5302" w14:textId="7F0C134B" w:rsidR="004B634F" w:rsidRDefault="004B634F" w:rsidP="0093538B">
      <w:r>
        <w:t xml:space="preserve">All residential electricity consumers in Ontario are subject to </w:t>
      </w:r>
      <w:r w:rsidR="003D26EE">
        <w:t xml:space="preserve">time-of-use (TOU) commodity </w:t>
      </w:r>
      <w:r w:rsidR="00907B8C">
        <w:t>prices</w:t>
      </w:r>
      <w:r w:rsidR="003D26EE">
        <w:t xml:space="preserve">. Participants enrolled in the CPP and CPP/RT treatment groups receive a discounted Off-Peak rate in exchange for being subject to a very high critical peak price when events are triggered by the OEB. </w:t>
      </w:r>
    </w:p>
    <w:p w14:paraId="7A7C7199" w14:textId="60C75E26" w:rsidR="003D26EE" w:rsidRDefault="003D26EE" w:rsidP="0093538B"/>
    <w:p w14:paraId="5B73C5DF" w14:textId="457FE251" w:rsidR="003D26EE" w:rsidRDefault="003D26EE" w:rsidP="0093538B">
      <w:r>
        <w:t xml:space="preserve">These rates, and the schedule by which they are applied are provided in </w:t>
      </w:r>
      <w:r>
        <w:fldChar w:fldCharType="begin"/>
      </w:r>
      <w:r>
        <w:instrText xml:space="preserve"> REF _Ref4674169 \h </w:instrText>
      </w:r>
      <w:r>
        <w:fldChar w:fldCharType="separate"/>
      </w:r>
      <w:r w:rsidR="00413291">
        <w:t xml:space="preserve">Figure </w:t>
      </w:r>
      <w:r w:rsidR="00413291">
        <w:rPr>
          <w:noProof/>
        </w:rPr>
        <w:t>2</w:t>
      </w:r>
      <w:r>
        <w:fldChar w:fldCharType="end"/>
      </w:r>
      <w:r>
        <w:t>, below. A more detailed description of the CPP rate follows.</w:t>
      </w:r>
      <w:r>
        <w:rPr>
          <w:rStyle w:val="FootnoteReference"/>
        </w:rPr>
        <w:footnoteReference w:id="10"/>
      </w:r>
    </w:p>
    <w:p w14:paraId="072C8517" w14:textId="7A0D9B04" w:rsidR="003D26EE" w:rsidRDefault="003D26EE" w:rsidP="0093538B"/>
    <w:p w14:paraId="43A4C6AC" w14:textId="13A3E99C" w:rsidR="003D26EE" w:rsidRDefault="003D26EE" w:rsidP="00413291">
      <w:pPr>
        <w:pStyle w:val="Caption"/>
      </w:pPr>
      <w:bookmarkStart w:id="21" w:name="_Ref4674169"/>
      <w:bookmarkStart w:id="22" w:name="_Toc8393610"/>
      <w:r>
        <w:lastRenderedPageBreak/>
        <w:t xml:space="preserve">Figure </w:t>
      </w:r>
      <w:fldSimple w:instr=" SEQ Figure \* ARABIC ">
        <w:r w:rsidR="00413291">
          <w:rPr>
            <w:noProof/>
          </w:rPr>
          <w:t>2</w:t>
        </w:r>
      </w:fldSimple>
      <w:bookmarkEnd w:id="21"/>
      <w:r>
        <w:t>: RPP Standard and Pilot TOU Rates</w:t>
      </w:r>
      <w:bookmarkEnd w:id="22"/>
    </w:p>
    <w:tbl>
      <w:tblPr>
        <w:tblStyle w:val="TableGrid"/>
        <w:tblW w:w="8455" w:type="dxa"/>
        <w:tblLook w:val="04A0" w:firstRow="1" w:lastRow="0" w:firstColumn="1" w:lastColumn="0" w:noHBand="0" w:noVBand="1"/>
      </w:tblPr>
      <w:tblGrid>
        <w:gridCol w:w="4585"/>
        <w:gridCol w:w="1980"/>
        <w:gridCol w:w="1890"/>
      </w:tblGrid>
      <w:tr w:rsidR="003D26EE" w14:paraId="27161B30" w14:textId="77777777" w:rsidTr="00413291">
        <w:tc>
          <w:tcPr>
            <w:tcW w:w="4585" w:type="dxa"/>
            <w:vMerge w:val="restart"/>
            <w:shd w:val="clear" w:color="auto" w:fill="555759" w:themeFill="text2"/>
            <w:vAlign w:val="center"/>
          </w:tcPr>
          <w:p w14:paraId="7E102F17" w14:textId="01506101" w:rsidR="003D26EE" w:rsidRPr="00413291" w:rsidRDefault="003D26EE" w:rsidP="00413291">
            <w:pPr>
              <w:keepNext/>
              <w:jc w:val="center"/>
              <w:rPr>
                <w:color w:val="FFFFFF" w:themeColor="background1"/>
              </w:rPr>
            </w:pPr>
            <w:r w:rsidRPr="00413291">
              <w:rPr>
                <w:color w:val="FFFFFF" w:themeColor="background1"/>
              </w:rPr>
              <w:t>Pricing Period</w:t>
            </w:r>
          </w:p>
        </w:tc>
        <w:tc>
          <w:tcPr>
            <w:tcW w:w="3870" w:type="dxa"/>
            <w:gridSpan w:val="2"/>
            <w:shd w:val="clear" w:color="auto" w:fill="555759" w:themeFill="text2"/>
          </w:tcPr>
          <w:p w14:paraId="5DC3440A" w14:textId="6A0C431A" w:rsidR="003D26EE" w:rsidRPr="00413291" w:rsidRDefault="003D26EE" w:rsidP="00413291">
            <w:pPr>
              <w:keepNext/>
              <w:jc w:val="center"/>
              <w:rPr>
                <w:color w:val="FFFFFF" w:themeColor="background1"/>
              </w:rPr>
            </w:pPr>
            <w:r w:rsidRPr="00413291">
              <w:rPr>
                <w:color w:val="FFFFFF" w:themeColor="background1"/>
              </w:rPr>
              <w:t>Commodity Rate (cents/kWh)</w:t>
            </w:r>
          </w:p>
        </w:tc>
      </w:tr>
      <w:tr w:rsidR="003D26EE" w14:paraId="20C879D6" w14:textId="77777777" w:rsidTr="00413291">
        <w:tc>
          <w:tcPr>
            <w:tcW w:w="4585" w:type="dxa"/>
            <w:vMerge/>
            <w:shd w:val="clear" w:color="auto" w:fill="555759" w:themeFill="text2"/>
          </w:tcPr>
          <w:p w14:paraId="1C747621" w14:textId="77777777" w:rsidR="003D26EE" w:rsidRPr="00413291" w:rsidRDefault="003D26EE" w:rsidP="00413291">
            <w:pPr>
              <w:keepNext/>
              <w:rPr>
                <w:color w:val="FFFFFF" w:themeColor="background1"/>
              </w:rPr>
            </w:pPr>
          </w:p>
        </w:tc>
        <w:tc>
          <w:tcPr>
            <w:tcW w:w="1980" w:type="dxa"/>
            <w:shd w:val="clear" w:color="auto" w:fill="555759" w:themeFill="text2"/>
          </w:tcPr>
          <w:p w14:paraId="3AE499B8" w14:textId="139846E1" w:rsidR="003D26EE" w:rsidRPr="00413291" w:rsidRDefault="003D26EE" w:rsidP="00413291">
            <w:pPr>
              <w:keepNext/>
              <w:jc w:val="center"/>
              <w:rPr>
                <w:color w:val="FFFFFF" w:themeColor="background1"/>
              </w:rPr>
            </w:pPr>
            <w:r w:rsidRPr="00413291">
              <w:rPr>
                <w:color w:val="FFFFFF" w:themeColor="background1"/>
              </w:rPr>
              <w:t>Standard RPP Consumers</w:t>
            </w:r>
          </w:p>
        </w:tc>
        <w:tc>
          <w:tcPr>
            <w:tcW w:w="1890" w:type="dxa"/>
            <w:shd w:val="clear" w:color="auto" w:fill="555759" w:themeFill="text2"/>
          </w:tcPr>
          <w:p w14:paraId="6EE9F77D" w14:textId="53E3E7C0" w:rsidR="003D26EE" w:rsidRPr="00413291" w:rsidRDefault="003D26EE" w:rsidP="00413291">
            <w:pPr>
              <w:keepNext/>
              <w:jc w:val="center"/>
              <w:rPr>
                <w:color w:val="FFFFFF" w:themeColor="background1"/>
              </w:rPr>
            </w:pPr>
            <w:r w:rsidRPr="00413291">
              <w:rPr>
                <w:color w:val="FFFFFF" w:themeColor="background1"/>
              </w:rPr>
              <w:t>CPP and CPP/RT Participants</w:t>
            </w:r>
          </w:p>
        </w:tc>
      </w:tr>
      <w:tr w:rsidR="003D26EE" w14:paraId="4FA4C511" w14:textId="77777777" w:rsidTr="00413291">
        <w:tc>
          <w:tcPr>
            <w:tcW w:w="4585" w:type="dxa"/>
          </w:tcPr>
          <w:p w14:paraId="161DB4F7" w14:textId="77777777" w:rsidR="003D26EE" w:rsidRDefault="003D26EE" w:rsidP="00413291">
            <w:pPr>
              <w:keepNext/>
            </w:pPr>
            <w:r>
              <w:t>Off-Peak</w:t>
            </w:r>
          </w:p>
          <w:p w14:paraId="0CB427DF" w14:textId="77777777" w:rsidR="003D26EE" w:rsidRDefault="003D26EE" w:rsidP="00413291">
            <w:pPr>
              <w:keepNext/>
              <w:ind w:left="240"/>
            </w:pPr>
            <w:r>
              <w:t>7pm to 7am, on weekdays</w:t>
            </w:r>
          </w:p>
          <w:p w14:paraId="766A5C11" w14:textId="77777777" w:rsidR="003D26EE" w:rsidRDefault="003D26EE" w:rsidP="00413291">
            <w:pPr>
              <w:keepNext/>
              <w:ind w:left="240"/>
            </w:pPr>
            <w:r>
              <w:t>24 hours on weekends and holidays.</w:t>
            </w:r>
          </w:p>
        </w:tc>
        <w:tc>
          <w:tcPr>
            <w:tcW w:w="1980" w:type="dxa"/>
            <w:vAlign w:val="center"/>
          </w:tcPr>
          <w:p w14:paraId="695AF202" w14:textId="0F16B48F" w:rsidR="003D26EE" w:rsidRDefault="003D26EE" w:rsidP="00413291">
            <w:pPr>
              <w:keepNext/>
              <w:jc w:val="center"/>
            </w:pPr>
            <w:r>
              <w:t>6.5</w:t>
            </w:r>
          </w:p>
        </w:tc>
        <w:tc>
          <w:tcPr>
            <w:tcW w:w="1890" w:type="dxa"/>
            <w:vAlign w:val="center"/>
          </w:tcPr>
          <w:p w14:paraId="61031E0D" w14:textId="3DBE37BD" w:rsidR="003D26EE" w:rsidRDefault="003D26EE" w:rsidP="00413291">
            <w:pPr>
              <w:keepNext/>
              <w:jc w:val="center"/>
            </w:pPr>
            <w:r>
              <w:t>6</w:t>
            </w:r>
          </w:p>
        </w:tc>
      </w:tr>
      <w:tr w:rsidR="003D26EE" w14:paraId="09D2DE76" w14:textId="77777777" w:rsidTr="00413291">
        <w:tc>
          <w:tcPr>
            <w:tcW w:w="4585" w:type="dxa"/>
          </w:tcPr>
          <w:p w14:paraId="7F29100A" w14:textId="77777777" w:rsidR="003D26EE" w:rsidRDefault="003D26EE" w:rsidP="00413291">
            <w:pPr>
              <w:keepNext/>
            </w:pPr>
            <w:r>
              <w:t>Mid-Peak</w:t>
            </w:r>
          </w:p>
          <w:p w14:paraId="65593AEE" w14:textId="3C01DB48" w:rsidR="003D26EE" w:rsidRDefault="003D26EE" w:rsidP="00413291">
            <w:pPr>
              <w:keepNext/>
              <w:ind w:left="240"/>
            </w:pPr>
            <w:r>
              <w:t>7am to 11am and 5pm to 9pm, summer</w:t>
            </w:r>
            <w:r w:rsidR="00851F17">
              <w:rPr>
                <w:rStyle w:val="FootnoteReference"/>
              </w:rPr>
              <w:footnoteReference w:id="11"/>
            </w:r>
            <w:r>
              <w:t xml:space="preserve"> weekdays</w:t>
            </w:r>
          </w:p>
          <w:p w14:paraId="2B369A7F" w14:textId="77777777" w:rsidR="003D26EE" w:rsidRDefault="003D26EE" w:rsidP="00413291">
            <w:pPr>
              <w:keepNext/>
              <w:ind w:left="240"/>
            </w:pPr>
            <w:r>
              <w:t>11am to 5pm, winter weekdays</w:t>
            </w:r>
          </w:p>
        </w:tc>
        <w:tc>
          <w:tcPr>
            <w:tcW w:w="1980" w:type="dxa"/>
            <w:vAlign w:val="center"/>
          </w:tcPr>
          <w:p w14:paraId="68D1D266" w14:textId="135A2C70" w:rsidR="003D26EE" w:rsidRDefault="003D26EE" w:rsidP="00413291">
            <w:pPr>
              <w:keepNext/>
              <w:jc w:val="center"/>
            </w:pPr>
            <w:r>
              <w:t>9.4</w:t>
            </w:r>
          </w:p>
        </w:tc>
        <w:tc>
          <w:tcPr>
            <w:tcW w:w="1890" w:type="dxa"/>
            <w:vAlign w:val="center"/>
          </w:tcPr>
          <w:p w14:paraId="54819235" w14:textId="6E3989E1" w:rsidR="003D26EE" w:rsidRDefault="003D26EE" w:rsidP="00413291">
            <w:pPr>
              <w:keepNext/>
              <w:jc w:val="center"/>
            </w:pPr>
            <w:r>
              <w:t>9.4</w:t>
            </w:r>
          </w:p>
        </w:tc>
      </w:tr>
      <w:tr w:rsidR="003D26EE" w14:paraId="65790773" w14:textId="77777777" w:rsidTr="00413291">
        <w:tc>
          <w:tcPr>
            <w:tcW w:w="4585" w:type="dxa"/>
          </w:tcPr>
          <w:p w14:paraId="79AD1B39" w14:textId="77777777" w:rsidR="003D26EE" w:rsidRDefault="003D26EE" w:rsidP="00413291">
            <w:pPr>
              <w:keepNext/>
            </w:pPr>
            <w:r>
              <w:t>On-Peak</w:t>
            </w:r>
          </w:p>
          <w:p w14:paraId="00FA490E" w14:textId="77777777" w:rsidR="003D26EE" w:rsidRDefault="003D26EE" w:rsidP="00413291">
            <w:pPr>
              <w:keepNext/>
              <w:ind w:left="240"/>
            </w:pPr>
            <w:r>
              <w:t>11am to 5pm, summer weekdays</w:t>
            </w:r>
          </w:p>
          <w:p w14:paraId="1CD14E91" w14:textId="77777777" w:rsidR="003D26EE" w:rsidRDefault="003D26EE" w:rsidP="00413291">
            <w:pPr>
              <w:keepNext/>
              <w:ind w:left="240"/>
            </w:pPr>
            <w:r>
              <w:t xml:space="preserve">7am to 11am and 5pm to 9pm, winter weekdays </w:t>
            </w:r>
          </w:p>
        </w:tc>
        <w:tc>
          <w:tcPr>
            <w:tcW w:w="1980" w:type="dxa"/>
            <w:vAlign w:val="center"/>
          </w:tcPr>
          <w:p w14:paraId="24BFD829" w14:textId="56BC30DC" w:rsidR="003D26EE" w:rsidRDefault="003D26EE" w:rsidP="00413291">
            <w:pPr>
              <w:keepNext/>
              <w:jc w:val="center"/>
            </w:pPr>
            <w:r>
              <w:t>13.2</w:t>
            </w:r>
          </w:p>
        </w:tc>
        <w:tc>
          <w:tcPr>
            <w:tcW w:w="1890" w:type="dxa"/>
            <w:vAlign w:val="center"/>
          </w:tcPr>
          <w:p w14:paraId="6ED466CF" w14:textId="0CAB43B6" w:rsidR="003D26EE" w:rsidRDefault="003D26EE" w:rsidP="00413291">
            <w:pPr>
              <w:keepNext/>
              <w:jc w:val="center"/>
            </w:pPr>
            <w:r>
              <w:t>13.2</w:t>
            </w:r>
          </w:p>
        </w:tc>
      </w:tr>
      <w:tr w:rsidR="003D26EE" w14:paraId="774E4B77" w14:textId="77777777" w:rsidTr="00413291">
        <w:tc>
          <w:tcPr>
            <w:tcW w:w="4585" w:type="dxa"/>
          </w:tcPr>
          <w:p w14:paraId="4EEE1280" w14:textId="77777777" w:rsidR="003D26EE" w:rsidRDefault="003D26EE" w:rsidP="00413291">
            <w:pPr>
              <w:keepNext/>
            </w:pPr>
            <w:r>
              <w:t>Critical Peak</w:t>
            </w:r>
          </w:p>
          <w:p w14:paraId="6F1FACC1" w14:textId="4CA23D4D" w:rsidR="003D26EE" w:rsidRDefault="00851F17" w:rsidP="00413291">
            <w:pPr>
              <w:keepNext/>
              <w:ind w:left="240"/>
            </w:pPr>
            <w:r>
              <w:t>18 one-hour events in summer</w:t>
            </w:r>
          </w:p>
          <w:p w14:paraId="1B140ED1" w14:textId="77777777" w:rsidR="003D26EE" w:rsidRDefault="00851F17">
            <w:pPr>
              <w:keepNext/>
              <w:ind w:left="240"/>
            </w:pPr>
            <w:r>
              <w:t>18 one-hour events in winter</w:t>
            </w:r>
          </w:p>
          <w:p w14:paraId="2D334A1F" w14:textId="4CD637CF" w:rsidR="009F3C67" w:rsidRDefault="009F3C67" w:rsidP="00413291">
            <w:pPr>
              <w:keepNext/>
              <w:ind w:left="240"/>
            </w:pPr>
            <w:r>
              <w:t>Events occur only between 4pm and 8pm, prevailing time, on non-holiday weekdays</w:t>
            </w:r>
          </w:p>
        </w:tc>
        <w:tc>
          <w:tcPr>
            <w:tcW w:w="1980" w:type="dxa"/>
            <w:vAlign w:val="center"/>
          </w:tcPr>
          <w:p w14:paraId="23AF5138" w14:textId="625953DB" w:rsidR="003D26EE" w:rsidRDefault="009F3C67" w:rsidP="00413291">
            <w:pPr>
              <w:keepNext/>
              <w:jc w:val="center"/>
            </w:pPr>
            <w:r>
              <w:t>N/A</w:t>
            </w:r>
          </w:p>
        </w:tc>
        <w:tc>
          <w:tcPr>
            <w:tcW w:w="1890" w:type="dxa"/>
            <w:vAlign w:val="center"/>
          </w:tcPr>
          <w:p w14:paraId="17CB8F89" w14:textId="21F26468" w:rsidR="003D26EE" w:rsidRDefault="00851F17" w:rsidP="00413291">
            <w:pPr>
              <w:keepNext/>
              <w:jc w:val="center"/>
            </w:pPr>
            <w:r>
              <w:t>59.5</w:t>
            </w:r>
          </w:p>
        </w:tc>
      </w:tr>
    </w:tbl>
    <w:p w14:paraId="7700E91A" w14:textId="77777777" w:rsidR="003D26EE" w:rsidRDefault="003D26EE" w:rsidP="0093538B"/>
    <w:p w14:paraId="6357A2AB" w14:textId="001F2583" w:rsidR="0095737C" w:rsidRDefault="0093538B" w:rsidP="0093538B">
      <w:r>
        <w:t xml:space="preserve">CPP events </w:t>
      </w:r>
      <w:r w:rsidR="002B5155">
        <w:t>lasted for</w:t>
      </w:r>
      <w:r>
        <w:t xml:space="preserve"> one hour each, and participants </w:t>
      </w:r>
      <w:r w:rsidR="002B5155">
        <w:t>were</w:t>
      </w:r>
      <w:r>
        <w:t xml:space="preserve"> provided with fifteen minutes’ notification. Given this very short notification period</w:t>
      </w:r>
      <w:r w:rsidR="002D00F4">
        <w:t xml:space="preserve"> </w:t>
      </w:r>
      <w:r w:rsidR="002B5155">
        <w:t>Navigant anticipated</w:t>
      </w:r>
      <w:r>
        <w:t xml:space="preserve"> that demand response (DR) impacts </w:t>
      </w:r>
      <w:r w:rsidR="002B5155">
        <w:t>would</w:t>
      </w:r>
      <w:r>
        <w:t xml:space="preserve"> be driven almost entirely by the enabling technology.</w:t>
      </w:r>
    </w:p>
    <w:p w14:paraId="2B47C632" w14:textId="77777777" w:rsidR="0095737C" w:rsidRDefault="0095737C" w:rsidP="0093538B"/>
    <w:p w14:paraId="5A356CA4" w14:textId="45EEB475" w:rsidR="0055420D" w:rsidRDefault="0093538B" w:rsidP="0093538B">
      <w:r>
        <w:t xml:space="preserve">Each participant </w:t>
      </w:r>
      <w:r w:rsidR="002B5155">
        <w:t>was</w:t>
      </w:r>
      <w:r>
        <w:t xml:space="preserve"> subject to </w:t>
      </w:r>
      <w:r w:rsidR="002B5155">
        <w:t>18</w:t>
      </w:r>
      <w:r>
        <w:t xml:space="preserve"> CPP events over the course of the pilot</w:t>
      </w:r>
      <w:r w:rsidR="002B5155">
        <w:t xml:space="preserve"> in the summer of 2018</w:t>
      </w:r>
      <w:r>
        <w:t>, six per month in July</w:t>
      </w:r>
      <w:r w:rsidR="002B5155">
        <w:t xml:space="preserve"> and</w:t>
      </w:r>
      <w:r>
        <w:t xml:space="preserve"> August, and three per month in June</w:t>
      </w:r>
      <w:r w:rsidR="002B5155">
        <w:t xml:space="preserve"> and</w:t>
      </w:r>
      <w:r>
        <w:t xml:space="preserve"> September.</w:t>
      </w:r>
      <w:r w:rsidR="0095737C">
        <w:t xml:space="preserve"> </w:t>
      </w:r>
      <w:r w:rsidR="0055420D">
        <w:t xml:space="preserve">CPP events are called as directed by the </w:t>
      </w:r>
      <w:r w:rsidR="00811F52">
        <w:t>OEB and</w:t>
      </w:r>
      <w:r w:rsidR="0055420D">
        <w:t xml:space="preserve"> are intended to fall on the peak demand hour falling between 4pm and 8pm on the top six (July, August) or top three (June, September) demand days of the month. In the summer of 2018, CPP events all either fell between 5pm and 6pm (13 events) or between 6pm and 7pm (five events). All events occurred within the Mid-Peak TOU period.</w:t>
      </w:r>
    </w:p>
    <w:p w14:paraId="1DD7A4B5" w14:textId="77777777" w:rsidR="0055420D" w:rsidRDefault="0055420D" w:rsidP="0093538B"/>
    <w:p w14:paraId="1ABB0B55" w14:textId="02E171CE" w:rsidR="00246B8E" w:rsidRDefault="002B5155" w:rsidP="0093538B">
      <w:r>
        <w:t>T</w:t>
      </w:r>
      <w:r w:rsidR="00246B8E">
        <w:t xml:space="preserve">he CPP rate to which participants </w:t>
      </w:r>
      <w:r>
        <w:t>were</w:t>
      </w:r>
      <w:r w:rsidR="00246B8E">
        <w:t xml:space="preserve"> subject during CPP events </w:t>
      </w:r>
      <w:r w:rsidR="0095737C">
        <w:t>was</w:t>
      </w:r>
      <w:r w:rsidR="00983DA3">
        <w:t xml:space="preserve"> </w:t>
      </w:r>
      <w:r w:rsidR="005A61C8">
        <w:t>59.5</w:t>
      </w:r>
      <w:r w:rsidR="00246B8E">
        <w:t xml:space="preserve"> cents per kWh.</w:t>
      </w:r>
    </w:p>
    <w:p w14:paraId="0F3BE890" w14:textId="7F5F4663" w:rsidR="0093538B" w:rsidRDefault="0093538B" w:rsidP="0093538B"/>
    <w:p w14:paraId="7B68A5FA" w14:textId="1058101F" w:rsidR="002D00F4" w:rsidRDefault="0093538B" w:rsidP="0093538B">
      <w:r>
        <w:t>CPP participants are incented to participate through t</w:t>
      </w:r>
      <w:r w:rsidR="008E0C7B">
        <w:t>hree</w:t>
      </w:r>
      <w:r>
        <w:t xml:space="preserve"> mechanisms: </w:t>
      </w:r>
    </w:p>
    <w:p w14:paraId="36351137" w14:textId="13AF5E6E" w:rsidR="002D00F4" w:rsidRDefault="002D00F4" w:rsidP="00600ADC">
      <w:pPr>
        <w:pStyle w:val="ListParagraph"/>
        <w:numPr>
          <w:ilvl w:val="0"/>
          <w:numId w:val="17"/>
        </w:numPr>
      </w:pPr>
      <w:r>
        <w:t>A</w:t>
      </w:r>
      <w:r w:rsidR="00246B8E">
        <w:t>ll CPP participants pay a discounted Off-Peak TOU price, six cents per kWh, as opposed to the standard rate of 6</w:t>
      </w:r>
      <w:r w:rsidR="00983DA3">
        <w:t>.5</w:t>
      </w:r>
      <w:r w:rsidR="00246B8E">
        <w:t xml:space="preserve"> cents per kWh, </w:t>
      </w:r>
    </w:p>
    <w:p w14:paraId="051C3A95" w14:textId="17B93404" w:rsidR="0093538B" w:rsidRDefault="002D00F4" w:rsidP="00600ADC">
      <w:pPr>
        <w:pStyle w:val="ListParagraph"/>
        <w:numPr>
          <w:ilvl w:val="0"/>
          <w:numId w:val="17"/>
        </w:numPr>
      </w:pPr>
      <w:r>
        <w:t>A</w:t>
      </w:r>
      <w:r w:rsidR="00246B8E">
        <w:t>ll CPP participants will receive a $25 incentive for enrolling and an additional $75 incentive payment at the end of the pilot.</w:t>
      </w:r>
    </w:p>
    <w:p w14:paraId="370D4D8D" w14:textId="7F62DDBC" w:rsidR="003424F9" w:rsidRDefault="003424F9" w:rsidP="00600ADC">
      <w:pPr>
        <w:pStyle w:val="ListParagraph"/>
        <w:numPr>
          <w:ilvl w:val="0"/>
          <w:numId w:val="17"/>
        </w:numPr>
      </w:pPr>
      <w:r>
        <w:t>All CPP participants received 150 Aeroplan™ points for registering for the pilot.</w:t>
      </w:r>
    </w:p>
    <w:p w14:paraId="0EE16DDC" w14:textId="79F99490" w:rsidR="005E277C" w:rsidRDefault="005E277C" w:rsidP="005E277C"/>
    <w:p w14:paraId="76C5519E" w14:textId="1D6F3075" w:rsidR="005E277C" w:rsidRDefault="005E277C" w:rsidP="00413291">
      <w:r>
        <w:t xml:space="preserve">It is Navigant’s opinion that the offering of these incentives has not biased the findings of this evaluation. A detailed description of the reasons why may be found in Section </w:t>
      </w:r>
      <w:r>
        <w:fldChar w:fldCharType="begin"/>
      </w:r>
      <w:r>
        <w:instrText xml:space="preserve"> REF _Ref7558459 \n \h </w:instrText>
      </w:r>
      <w:r>
        <w:fldChar w:fldCharType="separate"/>
      </w:r>
      <w:r w:rsidR="00413291">
        <w:t>A.5</w:t>
      </w:r>
      <w:r>
        <w:fldChar w:fldCharType="end"/>
      </w:r>
      <w:r>
        <w:t xml:space="preserve"> of </w:t>
      </w:r>
      <w:r>
        <w:fldChar w:fldCharType="begin"/>
      </w:r>
      <w:r>
        <w:instrText xml:space="preserve"> REF _Ref1560369 \n \h </w:instrText>
      </w:r>
      <w:r>
        <w:fldChar w:fldCharType="separate"/>
      </w:r>
      <w:r w:rsidR="00413291">
        <w:t>Appendix A</w:t>
      </w:r>
      <w:r>
        <w:fldChar w:fldCharType="end"/>
      </w:r>
      <w:r w:rsidR="008E0C7B">
        <w:t>.</w:t>
      </w:r>
      <w:r>
        <w:t>.</w:t>
      </w:r>
    </w:p>
    <w:p w14:paraId="066DE54B" w14:textId="546E5D38" w:rsidR="00246B8E" w:rsidRDefault="00500D7A" w:rsidP="00500D7A">
      <w:pPr>
        <w:pStyle w:val="Heading2"/>
      </w:pPr>
      <w:bookmarkStart w:id="23" w:name="_Toc5103089"/>
      <w:bookmarkStart w:id="24" w:name="_Ref966443"/>
      <w:bookmarkStart w:id="25" w:name="_Toc8393576"/>
      <w:bookmarkEnd w:id="23"/>
      <w:r>
        <w:lastRenderedPageBreak/>
        <w:t>Evaluation Goals and Objectives</w:t>
      </w:r>
      <w:r w:rsidR="007D006E">
        <w:t>.</w:t>
      </w:r>
      <w:bookmarkEnd w:id="24"/>
      <w:bookmarkEnd w:id="25"/>
    </w:p>
    <w:p w14:paraId="35DD0669" w14:textId="7FEED41A" w:rsidR="005B31FC" w:rsidRDefault="005B31FC" w:rsidP="005B31FC">
      <w:r>
        <w:t>Per the approved evaluation plan, Navigant was tasked with estimating two types of impact as part of this evaluation:</w:t>
      </w:r>
      <w:r w:rsidR="00262D38">
        <w:t xml:space="preserve"> energy impacts, and demand impacts associated with the CPP events. More specifically, Navigant was tasked with estimating:</w:t>
      </w:r>
    </w:p>
    <w:p w14:paraId="69A4A149" w14:textId="6A4C572B" w:rsidR="00262D38" w:rsidRDefault="00262D38" w:rsidP="00600ADC">
      <w:pPr>
        <w:pStyle w:val="ListParagraph"/>
        <w:numPr>
          <w:ilvl w:val="0"/>
          <w:numId w:val="21"/>
        </w:numPr>
        <w:spacing w:after="160" w:line="259" w:lineRule="auto"/>
        <w:contextualSpacing/>
      </w:pPr>
      <w:r w:rsidRPr="00262D38">
        <w:rPr>
          <w:b/>
        </w:rPr>
        <w:t xml:space="preserve">Ex-Post Energy Impacts. </w:t>
      </w:r>
      <w:r w:rsidRPr="00C602CD">
        <w:t>“Ex-post” impacts refer to the estimated impacts of actually occurring (i.e., historical) events.</w:t>
      </w:r>
      <w:r>
        <w:t xml:space="preserve"> Ex-post estimated impacts estimated include:</w:t>
      </w:r>
    </w:p>
    <w:p w14:paraId="6BCC5930" w14:textId="77777777" w:rsidR="00262D38" w:rsidRDefault="00262D38" w:rsidP="00600ADC">
      <w:pPr>
        <w:pStyle w:val="ListParagraph"/>
        <w:numPr>
          <w:ilvl w:val="1"/>
          <w:numId w:val="15"/>
        </w:numPr>
        <w:spacing w:after="160" w:line="259" w:lineRule="auto"/>
        <w:contextualSpacing/>
      </w:pPr>
      <w:r>
        <w:t>The average impact of the RT treatment on participant energy consumption by:</w:t>
      </w:r>
    </w:p>
    <w:p w14:paraId="19868751" w14:textId="712E11D1" w:rsidR="00262D38" w:rsidRDefault="00262D38" w:rsidP="00600ADC">
      <w:pPr>
        <w:pStyle w:val="ListParagraph"/>
        <w:numPr>
          <w:ilvl w:val="2"/>
          <w:numId w:val="15"/>
        </w:numPr>
        <w:spacing w:after="160" w:line="259" w:lineRule="auto"/>
        <w:contextualSpacing/>
      </w:pPr>
      <w:r>
        <w:t xml:space="preserve">TOU period </w:t>
      </w:r>
    </w:p>
    <w:p w14:paraId="5901F216" w14:textId="6CD41FB6" w:rsidR="00262D38" w:rsidRDefault="00262D38" w:rsidP="00600ADC">
      <w:pPr>
        <w:pStyle w:val="ListParagraph"/>
        <w:numPr>
          <w:ilvl w:val="2"/>
          <w:numId w:val="15"/>
        </w:numPr>
        <w:spacing w:after="160" w:line="259" w:lineRule="auto"/>
        <w:contextualSpacing/>
      </w:pPr>
      <w:r>
        <w:t>RPP season</w:t>
      </w:r>
      <w:r>
        <w:rPr>
          <w:rStyle w:val="FootnoteReference"/>
        </w:rPr>
        <w:footnoteReference w:id="12"/>
      </w:r>
    </w:p>
    <w:p w14:paraId="35D8CEA1" w14:textId="77777777" w:rsidR="00262D38" w:rsidRDefault="00262D38" w:rsidP="00600ADC">
      <w:pPr>
        <w:pStyle w:val="ListParagraph"/>
        <w:numPr>
          <w:ilvl w:val="1"/>
          <w:numId w:val="15"/>
        </w:numPr>
        <w:spacing w:after="160" w:line="259" w:lineRule="auto"/>
        <w:contextualSpacing/>
      </w:pPr>
      <w:r>
        <w:t xml:space="preserve">The average impact of the CPP treatment </w:t>
      </w:r>
      <w:r>
        <w:rPr>
          <w:i/>
        </w:rPr>
        <w:t>on non-event days</w:t>
      </w:r>
      <w:r>
        <w:rPr>
          <w:rStyle w:val="FootnoteReference"/>
          <w:i/>
        </w:rPr>
        <w:footnoteReference w:id="13"/>
      </w:r>
      <w:r>
        <w:t xml:space="preserve"> by:</w:t>
      </w:r>
    </w:p>
    <w:p w14:paraId="597BC8E8" w14:textId="3FB78610" w:rsidR="00262D38" w:rsidRDefault="00262D38" w:rsidP="00600ADC">
      <w:pPr>
        <w:pStyle w:val="ListParagraph"/>
        <w:numPr>
          <w:ilvl w:val="2"/>
          <w:numId w:val="15"/>
        </w:numPr>
        <w:spacing w:after="160" w:line="259" w:lineRule="auto"/>
        <w:contextualSpacing/>
      </w:pPr>
      <w:r>
        <w:t xml:space="preserve">TOU period </w:t>
      </w:r>
    </w:p>
    <w:p w14:paraId="7CD764FD" w14:textId="77777777" w:rsidR="00262D38" w:rsidRDefault="00262D38" w:rsidP="00600ADC">
      <w:pPr>
        <w:pStyle w:val="ListParagraph"/>
        <w:numPr>
          <w:ilvl w:val="2"/>
          <w:numId w:val="15"/>
        </w:numPr>
        <w:spacing w:after="160" w:line="259" w:lineRule="auto"/>
        <w:contextualSpacing/>
      </w:pPr>
      <w:r>
        <w:t>RPP season</w:t>
      </w:r>
    </w:p>
    <w:p w14:paraId="2F12E951" w14:textId="13D16337" w:rsidR="00262D38" w:rsidRDefault="00262D38" w:rsidP="00600ADC">
      <w:pPr>
        <w:pStyle w:val="ListParagraph"/>
        <w:numPr>
          <w:ilvl w:val="1"/>
          <w:numId w:val="15"/>
        </w:numPr>
        <w:spacing w:after="160" w:line="259" w:lineRule="auto"/>
        <w:contextualSpacing/>
      </w:pPr>
      <w:r>
        <w:t xml:space="preserve">The average incremental impact of the </w:t>
      </w:r>
      <w:r w:rsidR="002F1ADB">
        <w:t>RT</w:t>
      </w:r>
      <w:r>
        <w:t xml:space="preserve"> treatment on </w:t>
      </w:r>
      <w:r w:rsidR="002F1ADB">
        <w:t>CPP</w:t>
      </w:r>
      <w:r>
        <w:t xml:space="preserve"> savings </w:t>
      </w:r>
      <w:r>
        <w:rPr>
          <w:i/>
        </w:rPr>
        <w:t>on non-event days</w:t>
      </w:r>
      <w:r>
        <w:t xml:space="preserve"> by:</w:t>
      </w:r>
    </w:p>
    <w:p w14:paraId="038DA591" w14:textId="01E22036" w:rsidR="00262D38" w:rsidRDefault="00262D38" w:rsidP="00600ADC">
      <w:pPr>
        <w:pStyle w:val="ListParagraph"/>
        <w:numPr>
          <w:ilvl w:val="2"/>
          <w:numId w:val="15"/>
        </w:numPr>
        <w:spacing w:after="160" w:line="259" w:lineRule="auto"/>
        <w:contextualSpacing/>
      </w:pPr>
      <w:r>
        <w:t xml:space="preserve">TOU period </w:t>
      </w:r>
    </w:p>
    <w:p w14:paraId="6C1556AF" w14:textId="77777777" w:rsidR="00262D38" w:rsidRDefault="00262D38" w:rsidP="00600ADC">
      <w:pPr>
        <w:pStyle w:val="ListParagraph"/>
        <w:numPr>
          <w:ilvl w:val="2"/>
          <w:numId w:val="15"/>
        </w:numPr>
        <w:spacing w:after="160" w:line="259" w:lineRule="auto"/>
        <w:contextualSpacing/>
      </w:pPr>
      <w:r>
        <w:t>RPP season</w:t>
      </w:r>
    </w:p>
    <w:p w14:paraId="0DE04FEE" w14:textId="25634416" w:rsidR="00262D38" w:rsidRDefault="00262D38" w:rsidP="00262D38">
      <w:pPr>
        <w:pStyle w:val="ListParagraph"/>
        <w:spacing w:after="160" w:line="259" w:lineRule="auto"/>
        <w:ind w:left="1440"/>
        <w:contextualSpacing/>
      </w:pPr>
      <w:r>
        <w:t>As noted in the evaluation plan, these impacts are reported only when they are found to be statistically significant.</w:t>
      </w:r>
    </w:p>
    <w:p w14:paraId="6C37C500" w14:textId="77777777" w:rsidR="00262D38" w:rsidRPr="00246B8E" w:rsidRDefault="00262D38" w:rsidP="00262D38">
      <w:pPr>
        <w:pStyle w:val="ListParagraph"/>
        <w:spacing w:after="160" w:line="259" w:lineRule="auto"/>
        <w:ind w:left="1440"/>
        <w:contextualSpacing/>
      </w:pPr>
    </w:p>
    <w:p w14:paraId="4CF6E8D7" w14:textId="49B9D0AE" w:rsidR="00262D38" w:rsidRDefault="00262D38" w:rsidP="00600ADC">
      <w:pPr>
        <w:pStyle w:val="ListParagraph"/>
        <w:numPr>
          <w:ilvl w:val="0"/>
          <w:numId w:val="21"/>
        </w:numPr>
        <w:spacing w:after="160" w:line="259" w:lineRule="auto"/>
        <w:contextualSpacing/>
      </w:pPr>
      <w:r w:rsidRPr="00262D38">
        <w:rPr>
          <w:b/>
        </w:rPr>
        <w:t xml:space="preserve">Ex-Post </w:t>
      </w:r>
      <w:r w:rsidR="002F1ADB">
        <w:rPr>
          <w:b/>
        </w:rPr>
        <w:t>CPP Event Demand</w:t>
      </w:r>
      <w:r>
        <w:rPr>
          <w:b/>
        </w:rPr>
        <w:t xml:space="preserve"> </w:t>
      </w:r>
      <w:r w:rsidRPr="00262D38">
        <w:rPr>
          <w:b/>
        </w:rPr>
        <w:t>Impacts.</w:t>
      </w:r>
      <w:r>
        <w:t xml:space="preserve"> </w:t>
      </w:r>
      <w:r w:rsidRPr="00C602CD">
        <w:t>“Ex-post” impacts refer to the estimated impacts of actually</w:t>
      </w:r>
      <w:r>
        <w:t>-</w:t>
      </w:r>
      <w:r w:rsidRPr="00C602CD">
        <w:t xml:space="preserve">occurring (i.e., historical) </w:t>
      </w:r>
      <w:r w:rsidR="00FB6B65">
        <w:t xml:space="preserve">critical peak pricing </w:t>
      </w:r>
      <w:r w:rsidRPr="00C602CD">
        <w:t>events.</w:t>
      </w:r>
      <w:r>
        <w:t xml:space="preserve"> Ex-post estimated impacts include:</w:t>
      </w:r>
    </w:p>
    <w:p w14:paraId="7AB32527" w14:textId="508F3948" w:rsidR="00262D38" w:rsidRDefault="00262D38" w:rsidP="00600ADC">
      <w:pPr>
        <w:pStyle w:val="ListParagraph"/>
        <w:numPr>
          <w:ilvl w:val="1"/>
          <w:numId w:val="16"/>
        </w:numPr>
        <w:spacing w:after="160" w:line="259" w:lineRule="auto"/>
        <w:contextualSpacing/>
      </w:pPr>
      <w:r>
        <w:t xml:space="preserve">The average </w:t>
      </w:r>
      <w:r w:rsidR="002F1ADB">
        <w:t>program demand</w:t>
      </w:r>
      <w:r>
        <w:t xml:space="preserve"> impact for every hour </w:t>
      </w:r>
      <w:r w:rsidR="00FB6B65">
        <w:t xml:space="preserve">(all events last an hour) </w:t>
      </w:r>
      <w:r>
        <w:t xml:space="preserve">in which CPP events </w:t>
      </w:r>
      <w:r w:rsidR="002F1ADB">
        <w:t>are</w:t>
      </w:r>
      <w:r>
        <w:t xml:space="preserve"> called.</w:t>
      </w:r>
    </w:p>
    <w:p w14:paraId="6DFA35EA" w14:textId="3D1D8548" w:rsidR="00262D38" w:rsidRDefault="00262D38" w:rsidP="00600ADC">
      <w:pPr>
        <w:pStyle w:val="ListParagraph"/>
        <w:numPr>
          <w:ilvl w:val="1"/>
          <w:numId w:val="16"/>
        </w:numPr>
        <w:spacing w:after="160" w:line="259" w:lineRule="auto"/>
        <w:contextualSpacing/>
      </w:pPr>
      <w:r>
        <w:t xml:space="preserve">The average incremental effect of the RT treatment on CPP </w:t>
      </w:r>
      <w:r w:rsidR="002F1ADB">
        <w:t>event demand</w:t>
      </w:r>
      <w:r>
        <w:t xml:space="preserve"> impacts for every hour in which CPP events are called.</w:t>
      </w:r>
      <w:r>
        <w:rPr>
          <w:rStyle w:val="FootnoteReference"/>
        </w:rPr>
        <w:footnoteReference w:id="14"/>
      </w:r>
      <w:r>
        <w:t xml:space="preserve"> </w:t>
      </w:r>
    </w:p>
    <w:p w14:paraId="4EF4462D" w14:textId="5D263DAE" w:rsidR="00262D38" w:rsidRDefault="00262D38" w:rsidP="00600ADC">
      <w:pPr>
        <w:pStyle w:val="ListParagraph"/>
        <w:numPr>
          <w:ilvl w:val="0"/>
          <w:numId w:val="21"/>
        </w:numPr>
        <w:spacing w:after="160" w:line="259" w:lineRule="auto"/>
        <w:contextualSpacing/>
      </w:pPr>
      <w:r w:rsidRPr="00FB6B65">
        <w:rPr>
          <w:b/>
        </w:rPr>
        <w:t>Ex-Ante Impacts.</w:t>
      </w:r>
      <w:r>
        <w:t xml:space="preserve"> </w:t>
      </w:r>
      <w:r w:rsidRPr="00C602CD">
        <w:t>“Ex-ante” impacts refer to the pre</w:t>
      </w:r>
      <w:r w:rsidR="00FB6B65">
        <w:t>dicted DR capability of a program or treatment. These values are estimated by applying a range of temperatures to the regression-estimated parameters</w:t>
      </w:r>
      <w:r>
        <w:t>.</w:t>
      </w:r>
    </w:p>
    <w:p w14:paraId="0C351C72" w14:textId="77777777" w:rsidR="00262D38" w:rsidRDefault="00262D38" w:rsidP="00262D38"/>
    <w:p w14:paraId="1BFD995C" w14:textId="0488DF5C" w:rsidR="005B31FC" w:rsidRPr="00246B8E" w:rsidRDefault="00262D38" w:rsidP="00262D38">
      <w:r>
        <w:t xml:space="preserve">In addition to the impacts above, Navigant </w:t>
      </w:r>
      <w:r w:rsidR="00FB6B65">
        <w:t>has reported</w:t>
      </w:r>
      <w:r w:rsidR="002F1ADB">
        <w:t>: the estimated impact on system coincident peak demand</w:t>
      </w:r>
      <w:r w:rsidR="002F1ADB">
        <w:rPr>
          <w:rStyle w:val="FootnoteReference"/>
        </w:rPr>
        <w:footnoteReference w:id="15"/>
      </w:r>
      <w:r>
        <w:t xml:space="preserve"> an estimated point own-price</w:t>
      </w:r>
      <w:r w:rsidR="00FB6B65">
        <w:t xml:space="preserve"> daily</w:t>
      </w:r>
      <w:r>
        <w:t xml:space="preserve"> elasticity of demand</w:t>
      </w:r>
      <w:r w:rsidR="00FB6B65">
        <w:t xml:space="preserve">, and the inter-period substitution elasticity (between </w:t>
      </w:r>
      <w:r w:rsidR="00FD6DC6">
        <w:t>Mid-Peak</w:t>
      </w:r>
      <w:r w:rsidR="00FB6B65">
        <w:t xml:space="preserve"> and non-On-Peak periods)</w:t>
      </w:r>
      <w:r>
        <w:t xml:space="preserve">. </w:t>
      </w:r>
      <w:r w:rsidR="00FB6B65">
        <w:t xml:space="preserve">These values are provided in Appendix </w:t>
      </w:r>
      <w:r w:rsidR="002F1ADB">
        <w:t>B</w:t>
      </w:r>
      <w:r w:rsidR="00FB6B65">
        <w:t xml:space="preserve">, a spreadsheet document highlighting OEB-requested output metrics for this </w:t>
      </w:r>
      <w:r w:rsidR="005A61C8">
        <w:t>report</w:t>
      </w:r>
      <w:r w:rsidR="009F6397">
        <w:t>, and are discussed below in the body of the report</w:t>
      </w:r>
      <w:r w:rsidR="00FB6B65">
        <w:t>.</w:t>
      </w:r>
    </w:p>
    <w:p w14:paraId="10A21955" w14:textId="6485F622" w:rsidR="00C227A0" w:rsidRDefault="00C227A0" w:rsidP="00C227A0"/>
    <w:p w14:paraId="7A6F952C" w14:textId="04EC9D83" w:rsidR="002A7ABE" w:rsidRDefault="007864C0" w:rsidP="002A7ABE">
      <w:pPr>
        <w:pStyle w:val="Heading1"/>
      </w:pPr>
      <w:bookmarkStart w:id="26" w:name="_Ref965399"/>
      <w:bookmarkStart w:id="27" w:name="_Toc8393577"/>
      <w:r>
        <w:lastRenderedPageBreak/>
        <w:t>Pilot Data and Evaluation A</w:t>
      </w:r>
      <w:r w:rsidR="00BF1A21">
        <w:t>pp</w:t>
      </w:r>
      <w:r>
        <w:t>roach</w:t>
      </w:r>
      <w:bookmarkEnd w:id="26"/>
      <w:bookmarkEnd w:id="27"/>
    </w:p>
    <w:p w14:paraId="756A4972" w14:textId="466ED777" w:rsidR="007864C0" w:rsidRDefault="00FE310A" w:rsidP="007864C0">
      <w:r>
        <w:t>This chapter of the interim evaluation report provides a high-level description of the data used by Navigant for this analysis, and the methods employed. Technical readers, interested in more detail regarding the specifics of the approach, are encouraged to consult</w:t>
      </w:r>
      <w:r w:rsidR="00F27B9D">
        <w:t xml:space="preserve"> </w:t>
      </w:r>
      <w:r w:rsidR="00F27B9D">
        <w:fldChar w:fldCharType="begin"/>
      </w:r>
      <w:r w:rsidR="00F27B9D">
        <w:instrText xml:space="preserve"> REF _Ref1560369 \n \h </w:instrText>
      </w:r>
      <w:r w:rsidR="00F27B9D">
        <w:fldChar w:fldCharType="separate"/>
      </w:r>
      <w:r w:rsidR="00413291">
        <w:t>Appendix A</w:t>
      </w:r>
      <w:r w:rsidR="00F27B9D">
        <w:fldChar w:fldCharType="end"/>
      </w:r>
      <w:r>
        <w:t>, which includes a more technical description of the approach, including regression model specifications.</w:t>
      </w:r>
    </w:p>
    <w:p w14:paraId="469F9EDD" w14:textId="069CC8E8" w:rsidR="00FE310A" w:rsidRDefault="00FE310A" w:rsidP="007864C0"/>
    <w:p w14:paraId="47D42620" w14:textId="7F3156F2" w:rsidR="00FE310A" w:rsidRDefault="00FE310A" w:rsidP="007864C0">
      <w:r>
        <w:t>This chapter is divided into three sections:</w:t>
      </w:r>
    </w:p>
    <w:p w14:paraId="22E16E1D" w14:textId="5B0A9CB7" w:rsidR="00FE310A" w:rsidRDefault="00FE310A" w:rsidP="00600ADC">
      <w:pPr>
        <w:pStyle w:val="ListParagraph"/>
        <w:numPr>
          <w:ilvl w:val="0"/>
          <w:numId w:val="22"/>
        </w:numPr>
      </w:pPr>
      <w:r w:rsidRPr="00FE310A">
        <w:rPr>
          <w:b/>
        </w:rPr>
        <w:fldChar w:fldCharType="begin"/>
      </w:r>
      <w:r w:rsidRPr="00FE310A">
        <w:rPr>
          <w:b/>
        </w:rPr>
        <w:instrText xml:space="preserve"> REF _Ref972798 \h </w:instrText>
      </w:r>
      <w:r>
        <w:rPr>
          <w:b/>
        </w:rPr>
        <w:instrText xml:space="preserve"> \* MERGEFORMAT </w:instrText>
      </w:r>
      <w:r w:rsidRPr="00FE310A">
        <w:rPr>
          <w:b/>
        </w:rPr>
      </w:r>
      <w:r w:rsidRPr="00FE310A">
        <w:rPr>
          <w:b/>
        </w:rPr>
        <w:fldChar w:fldCharType="separate"/>
      </w:r>
      <w:r w:rsidR="00413291" w:rsidRPr="00413291">
        <w:rPr>
          <w:b/>
        </w:rPr>
        <w:t>Data</w:t>
      </w:r>
      <w:r w:rsidRPr="00FE310A">
        <w:rPr>
          <w:b/>
        </w:rPr>
        <w:fldChar w:fldCharType="end"/>
      </w:r>
      <w:r w:rsidRPr="00FE310A">
        <w:rPr>
          <w:b/>
        </w:rPr>
        <w:t>.</w:t>
      </w:r>
      <w:r>
        <w:t xml:space="preserve"> This section provides an overview of the data used in this analysis.</w:t>
      </w:r>
    </w:p>
    <w:p w14:paraId="2802D04E" w14:textId="1A63E46C" w:rsidR="00F27B9D" w:rsidRPr="00FE310A" w:rsidRDefault="00B33E43" w:rsidP="00F27B9D">
      <w:pPr>
        <w:pStyle w:val="ListParagraph"/>
        <w:numPr>
          <w:ilvl w:val="0"/>
          <w:numId w:val="22"/>
        </w:numPr>
        <w:rPr>
          <w:b/>
        </w:rPr>
      </w:pPr>
      <w:r w:rsidRPr="00F27B9D">
        <w:rPr>
          <w:b/>
        </w:rPr>
        <w:fldChar w:fldCharType="begin"/>
      </w:r>
      <w:r w:rsidRPr="00F27B9D">
        <w:rPr>
          <w:b/>
        </w:rPr>
        <w:instrText xml:space="preserve"> REF _Ref974557 \h  \* MERGEFORMAT </w:instrText>
      </w:r>
      <w:r w:rsidRPr="00F27B9D">
        <w:rPr>
          <w:b/>
        </w:rPr>
      </w:r>
      <w:r w:rsidRPr="00F27B9D">
        <w:rPr>
          <w:b/>
        </w:rPr>
        <w:fldChar w:fldCharType="separate"/>
      </w:r>
      <w:r w:rsidR="00413291" w:rsidRPr="00413291">
        <w:rPr>
          <w:b/>
        </w:rPr>
        <w:t>Experimental Design</w:t>
      </w:r>
      <w:r w:rsidRPr="00F27B9D">
        <w:rPr>
          <w:b/>
        </w:rPr>
        <w:fldChar w:fldCharType="end"/>
      </w:r>
      <w:r w:rsidRPr="00F27B9D">
        <w:rPr>
          <w:b/>
        </w:rPr>
        <w:t xml:space="preserve">. </w:t>
      </w:r>
      <w:r>
        <w:t>This section provides an overview of the experimental design used for this evaluation.</w:t>
      </w:r>
    </w:p>
    <w:p w14:paraId="07ED82B2" w14:textId="20E4FDFD" w:rsidR="00FE310A" w:rsidRDefault="00F27B9D" w:rsidP="00600ADC">
      <w:pPr>
        <w:pStyle w:val="ListParagraph"/>
        <w:numPr>
          <w:ilvl w:val="0"/>
          <w:numId w:val="22"/>
        </w:numPr>
      </w:pPr>
      <w:r w:rsidRPr="00F27B9D">
        <w:rPr>
          <w:b/>
        </w:rPr>
        <w:fldChar w:fldCharType="begin"/>
      </w:r>
      <w:r w:rsidRPr="00F27B9D">
        <w:rPr>
          <w:b/>
        </w:rPr>
        <w:instrText xml:space="preserve"> REF _Ref1129672 \h  \* MERGEFORMAT </w:instrText>
      </w:r>
      <w:r w:rsidRPr="00F27B9D">
        <w:rPr>
          <w:b/>
        </w:rPr>
      </w:r>
      <w:r w:rsidRPr="00F27B9D">
        <w:rPr>
          <w:b/>
        </w:rPr>
        <w:fldChar w:fldCharType="separate"/>
      </w:r>
      <w:r w:rsidR="00413291" w:rsidRPr="00413291">
        <w:rPr>
          <w:b/>
        </w:rPr>
        <w:t>Energy Impact Approach</w:t>
      </w:r>
      <w:r w:rsidRPr="00F27B9D">
        <w:rPr>
          <w:b/>
        </w:rPr>
        <w:fldChar w:fldCharType="end"/>
      </w:r>
      <w:r w:rsidR="00FE310A" w:rsidRPr="00FE310A">
        <w:rPr>
          <w:b/>
        </w:rPr>
        <w:t>.</w:t>
      </w:r>
      <w:r w:rsidR="00FE310A">
        <w:t xml:space="preserve"> This section provides an overview of how TOU-period daily energy impacts were estimated.</w:t>
      </w:r>
    </w:p>
    <w:p w14:paraId="37AEB2A4" w14:textId="798C64F3" w:rsidR="00FE310A" w:rsidRDefault="00FE310A" w:rsidP="00600ADC">
      <w:pPr>
        <w:pStyle w:val="ListParagraph"/>
        <w:numPr>
          <w:ilvl w:val="0"/>
          <w:numId w:val="22"/>
        </w:numPr>
      </w:pPr>
      <w:r w:rsidRPr="00FE310A">
        <w:rPr>
          <w:b/>
        </w:rPr>
        <w:fldChar w:fldCharType="begin"/>
      </w:r>
      <w:r w:rsidRPr="00FE310A">
        <w:rPr>
          <w:b/>
        </w:rPr>
        <w:instrText xml:space="preserve"> REF _Ref972867 \h </w:instrText>
      </w:r>
      <w:r>
        <w:rPr>
          <w:b/>
        </w:rPr>
        <w:instrText xml:space="preserve"> \* MERGEFORMAT </w:instrText>
      </w:r>
      <w:r w:rsidRPr="00FE310A">
        <w:rPr>
          <w:b/>
        </w:rPr>
      </w:r>
      <w:r w:rsidRPr="00FE310A">
        <w:rPr>
          <w:b/>
        </w:rPr>
        <w:fldChar w:fldCharType="separate"/>
      </w:r>
      <w:r w:rsidR="00413291" w:rsidRPr="00413291">
        <w:rPr>
          <w:b/>
        </w:rPr>
        <w:t>CPP Demand Impact Approach</w:t>
      </w:r>
      <w:r w:rsidRPr="00FE310A">
        <w:rPr>
          <w:b/>
        </w:rPr>
        <w:fldChar w:fldCharType="end"/>
      </w:r>
      <w:r w:rsidRPr="00FE310A">
        <w:rPr>
          <w:b/>
        </w:rPr>
        <w:t>.</w:t>
      </w:r>
      <w:r>
        <w:t xml:space="preserve"> This section provides an overview of how the CPP-driven DR impacts were estimated.</w:t>
      </w:r>
    </w:p>
    <w:p w14:paraId="3AE25CB4" w14:textId="3F97D4A9" w:rsidR="007864C0" w:rsidRDefault="007864C0" w:rsidP="007864C0">
      <w:pPr>
        <w:pStyle w:val="Heading2"/>
      </w:pPr>
      <w:bookmarkStart w:id="28" w:name="_Ref972798"/>
      <w:bookmarkStart w:id="29" w:name="_Toc8393578"/>
      <w:r>
        <w:t>Data</w:t>
      </w:r>
      <w:bookmarkEnd w:id="28"/>
      <w:bookmarkEnd w:id="29"/>
    </w:p>
    <w:p w14:paraId="3EC61FDA" w14:textId="5053853F" w:rsidR="007864C0" w:rsidRDefault="0073323A" w:rsidP="007864C0">
      <w:r>
        <w:t>Navigant used the following types of data to estimate impacts:</w:t>
      </w:r>
    </w:p>
    <w:p w14:paraId="41415055" w14:textId="178018B0" w:rsidR="0073323A" w:rsidRDefault="0073323A" w:rsidP="00600ADC">
      <w:pPr>
        <w:pStyle w:val="ListParagraph"/>
        <w:numPr>
          <w:ilvl w:val="0"/>
          <w:numId w:val="22"/>
        </w:numPr>
      </w:pPr>
      <w:r>
        <w:t>Participant and non-participant interval (hourly consumption) data.</w:t>
      </w:r>
    </w:p>
    <w:p w14:paraId="283FDC0D" w14:textId="1A35227F" w:rsidR="0073323A" w:rsidRDefault="0073323A" w:rsidP="00600ADC">
      <w:pPr>
        <w:pStyle w:val="ListParagraph"/>
        <w:numPr>
          <w:ilvl w:val="0"/>
          <w:numId w:val="22"/>
        </w:numPr>
      </w:pPr>
      <w:r>
        <w:t>Hourly weather data</w:t>
      </w:r>
    </w:p>
    <w:p w14:paraId="0379232E" w14:textId="07D87CEE" w:rsidR="0073323A" w:rsidRDefault="0073323A" w:rsidP="00600ADC">
      <w:pPr>
        <w:pStyle w:val="ListParagraph"/>
        <w:numPr>
          <w:ilvl w:val="0"/>
          <w:numId w:val="22"/>
        </w:numPr>
      </w:pPr>
      <w:r>
        <w:t>CPP event schedule data</w:t>
      </w:r>
    </w:p>
    <w:p w14:paraId="173D6C0A" w14:textId="33DFAA2B" w:rsidR="0073323A" w:rsidRDefault="0073323A" w:rsidP="00600ADC">
      <w:pPr>
        <w:pStyle w:val="ListParagraph"/>
        <w:numPr>
          <w:ilvl w:val="0"/>
          <w:numId w:val="22"/>
        </w:numPr>
      </w:pPr>
      <w:r>
        <w:t>CPP participant group connectivity data</w:t>
      </w:r>
    </w:p>
    <w:p w14:paraId="3948004B" w14:textId="7B9C0E41" w:rsidR="0073323A" w:rsidRDefault="00B33E43" w:rsidP="00B33E43">
      <w:pPr>
        <w:pStyle w:val="Heading3"/>
      </w:pPr>
      <w:bookmarkStart w:id="30" w:name="_Ref2944038"/>
      <w:bookmarkStart w:id="31" w:name="_Toc8393579"/>
      <w:r>
        <w:t>Participant and Non-Participant Hourly Consumption Data</w:t>
      </w:r>
      <w:bookmarkEnd w:id="30"/>
      <w:bookmarkEnd w:id="31"/>
    </w:p>
    <w:p w14:paraId="2CDBE0DB" w14:textId="78124EE8" w:rsidR="00B33E43" w:rsidRDefault="00B33E43" w:rsidP="00B33E43">
      <w:r>
        <w:t xml:space="preserve">London Hydro provided Navigant with more than three years’ worth of participant and non-participant data. The total number of customers for whom data were available on any given day is summarized below in </w:t>
      </w:r>
      <w:r>
        <w:fldChar w:fldCharType="begin"/>
      </w:r>
      <w:r>
        <w:instrText xml:space="preserve"> REF _Ref974235 \h </w:instrText>
      </w:r>
      <w:r>
        <w:fldChar w:fldCharType="separate"/>
      </w:r>
      <w:r w:rsidR="00413291">
        <w:t xml:space="preserve">Figure </w:t>
      </w:r>
      <w:r w:rsidR="00413291">
        <w:rPr>
          <w:noProof/>
        </w:rPr>
        <w:t>3</w:t>
      </w:r>
      <w:r>
        <w:fldChar w:fldCharType="end"/>
      </w:r>
      <w:r>
        <w:t>. This includes three groups of customers: RT participants, CPP and CPP/RT participants, and “randomized control trial” (RCT) non-participants (controls).</w:t>
      </w:r>
    </w:p>
    <w:p w14:paraId="3A85CC8A" w14:textId="7117A388" w:rsidR="00B33E43" w:rsidRDefault="00B33E43" w:rsidP="00B33E43"/>
    <w:p w14:paraId="32E98FEB" w14:textId="05BFD658" w:rsidR="00B33E43" w:rsidRDefault="00B33E43" w:rsidP="00B33E43">
      <w:r>
        <w:t>This last group is a group of customers that applied to enroll in the pilot, but were not accepted, so as to act as controls, and provide a true experimental design for the pilot. More details regarding this feature of the evaluation may be found below.</w:t>
      </w:r>
    </w:p>
    <w:p w14:paraId="60DDAC3A" w14:textId="0CD74B3E" w:rsidR="00B33E43" w:rsidRDefault="00B33E43" w:rsidP="00B33E43"/>
    <w:p w14:paraId="715E84BB" w14:textId="19A43516" w:rsidR="00B33E43" w:rsidRDefault="00B33E43" w:rsidP="00B33E43">
      <w:pPr>
        <w:pStyle w:val="Caption"/>
      </w:pPr>
      <w:bookmarkStart w:id="32" w:name="_Ref974235"/>
      <w:bookmarkStart w:id="33" w:name="_Toc8393611"/>
      <w:r>
        <w:lastRenderedPageBreak/>
        <w:t xml:space="preserve">Figure </w:t>
      </w:r>
      <w:fldSimple w:instr=" SEQ Figure \* ARABIC ">
        <w:r w:rsidR="00413291">
          <w:rPr>
            <w:noProof/>
          </w:rPr>
          <w:t>3</w:t>
        </w:r>
      </w:fldSimple>
      <w:bookmarkEnd w:id="32"/>
      <w:r>
        <w:t>: Summary of Interval Data Provided</w:t>
      </w:r>
      <w:bookmarkEnd w:id="33"/>
    </w:p>
    <w:p w14:paraId="3A6E44A4" w14:textId="044F0D02" w:rsidR="00B33E43" w:rsidRDefault="00B33E43" w:rsidP="008E5798">
      <w:pPr>
        <w:jc w:val="center"/>
      </w:pPr>
      <w:r>
        <w:rPr>
          <w:noProof/>
        </w:rPr>
        <w:drawing>
          <wp:inline distT="0" distB="0" distL="0" distR="0" wp14:anchorId="30673A3D" wp14:editId="5FE37F77">
            <wp:extent cx="5943600" cy="2813685"/>
            <wp:effectExtent l="0" t="0" r="0" b="5715"/>
            <wp:docPr id="1" name="Chart 1">
              <a:extLst xmlns:a="http://schemas.openxmlformats.org/drawingml/2006/main">
                <a:ext uri="{FF2B5EF4-FFF2-40B4-BE49-F238E27FC236}">
                  <a16:creationId xmlns:a16="http://schemas.microsoft.com/office/drawing/2014/main" id="{FFFD82DC-C9EA-4FAE-81EA-FEDEB94E8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B2C87C" w14:textId="54AD08E0" w:rsidR="00B33E43" w:rsidRDefault="00B33E43" w:rsidP="00B33E43"/>
    <w:p w14:paraId="0D3A6C3E" w14:textId="28901C45" w:rsidR="00B33E43" w:rsidRDefault="00B33E43" w:rsidP="00B33E43">
      <w:r>
        <w:t xml:space="preserve">Interval data used to estimate the results included in this report covered the period from May 1, 2017 through October 31, 2017, and May 1, 2018 through October 31, 2018. The pre-period summer data were used to help control for </w:t>
      </w:r>
      <w:r w:rsidR="00600ADC">
        <w:t xml:space="preserve">non-program-related patterns in individual customer consumption (see below for more details). </w:t>
      </w:r>
    </w:p>
    <w:p w14:paraId="3B995B8F" w14:textId="345A7838" w:rsidR="005A3F75" w:rsidRDefault="005A3F75" w:rsidP="00B33E43"/>
    <w:p w14:paraId="0DC2C9E6" w14:textId="28A60D0C" w:rsidR="005A3F75" w:rsidRDefault="005A3F75" w:rsidP="00B33E43">
      <w:r>
        <w:t xml:space="preserve">The final sample size (number of customers) following the data preparation and processing (details of which may be found in </w:t>
      </w:r>
      <w:r>
        <w:fldChar w:fldCharType="begin"/>
      </w:r>
      <w:r>
        <w:instrText xml:space="preserve"> REF _Ref1560369 \n \h </w:instrText>
      </w:r>
      <w:r>
        <w:fldChar w:fldCharType="separate"/>
      </w:r>
      <w:r w:rsidR="00413291">
        <w:t>Appendix A</w:t>
      </w:r>
      <w:r>
        <w:fldChar w:fldCharType="end"/>
      </w:r>
      <w:r>
        <w:t xml:space="preserve">), are shown in </w:t>
      </w:r>
      <w:r>
        <w:fldChar w:fldCharType="begin"/>
      </w:r>
      <w:r>
        <w:instrText xml:space="preserve"> REF _Ref4685715 \h </w:instrText>
      </w:r>
      <w:r>
        <w:fldChar w:fldCharType="separate"/>
      </w:r>
      <w:r w:rsidR="00413291">
        <w:t xml:space="preserve">Figure </w:t>
      </w:r>
      <w:r w:rsidR="00413291">
        <w:rPr>
          <w:noProof/>
        </w:rPr>
        <w:t>4</w:t>
      </w:r>
      <w:r>
        <w:fldChar w:fldCharType="end"/>
      </w:r>
      <w:r>
        <w:t>, below. Final sample sizes are smaller for the CPP event demand analysis than for the energy analysis due the requirements of the different regressions estimated.</w:t>
      </w:r>
      <w:r>
        <w:rPr>
          <w:rStyle w:val="FootnoteReference"/>
        </w:rPr>
        <w:footnoteReference w:id="16"/>
      </w:r>
    </w:p>
    <w:p w14:paraId="05B9C232" w14:textId="77777777" w:rsidR="005A3F75" w:rsidRDefault="005A3F75" w:rsidP="00B33E43"/>
    <w:p w14:paraId="5F598772" w14:textId="03F65E15" w:rsidR="005A3F75" w:rsidRDefault="005A3F75" w:rsidP="00413291">
      <w:pPr>
        <w:pStyle w:val="Caption"/>
      </w:pPr>
      <w:bookmarkStart w:id="34" w:name="_Ref4685715"/>
      <w:bookmarkStart w:id="35" w:name="_Toc8393612"/>
      <w:r>
        <w:t xml:space="preserve">Figure </w:t>
      </w:r>
      <w:fldSimple w:instr=" SEQ Figure \* ARABIC ">
        <w:r w:rsidR="00413291">
          <w:rPr>
            <w:noProof/>
          </w:rPr>
          <w:t>4</w:t>
        </w:r>
      </w:fldSimple>
      <w:bookmarkEnd w:id="34"/>
      <w:r>
        <w:t>: Final Number of Customers Included in Sample – By Analysis Type</w:t>
      </w:r>
      <w:bookmarkEnd w:id="35"/>
    </w:p>
    <w:tbl>
      <w:tblPr>
        <w:tblStyle w:val="EnergyTable"/>
        <w:tblW w:w="0" w:type="auto"/>
        <w:tblLook w:val="04A0" w:firstRow="1" w:lastRow="0" w:firstColumn="1" w:lastColumn="0" w:noHBand="0" w:noVBand="1"/>
      </w:tblPr>
      <w:tblGrid>
        <w:gridCol w:w="1710"/>
        <w:gridCol w:w="1840"/>
        <w:gridCol w:w="2151"/>
      </w:tblGrid>
      <w:tr w:rsidR="005A3F75" w14:paraId="36DE4DE4" w14:textId="77777777" w:rsidTr="004132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5F1E0BE2" w14:textId="47B8A6B3" w:rsidR="005A3F75" w:rsidRDefault="005A3F75" w:rsidP="00B33E43">
            <w:r>
              <w:t>Group</w:t>
            </w:r>
          </w:p>
        </w:tc>
        <w:tc>
          <w:tcPr>
            <w:tcW w:w="1840" w:type="dxa"/>
          </w:tcPr>
          <w:p w14:paraId="1EBACF12" w14:textId="150B8C02" w:rsidR="005A3F75" w:rsidRDefault="005A3F75" w:rsidP="00B33E43">
            <w:pPr>
              <w:cnfStyle w:val="100000000000" w:firstRow="1" w:lastRow="0" w:firstColumn="0" w:lastColumn="0" w:oddVBand="0" w:evenVBand="0" w:oddHBand="0" w:evenHBand="0" w:firstRowFirstColumn="0" w:firstRowLastColumn="0" w:lastRowFirstColumn="0" w:lastRowLastColumn="0"/>
            </w:pPr>
            <w:r>
              <w:t>Final Sample for Energy Analysis</w:t>
            </w:r>
          </w:p>
        </w:tc>
        <w:tc>
          <w:tcPr>
            <w:tcW w:w="2151" w:type="dxa"/>
          </w:tcPr>
          <w:p w14:paraId="7FA6A393" w14:textId="1AEAF550" w:rsidR="005A3F75" w:rsidRDefault="005A3F75" w:rsidP="00B33E43">
            <w:pPr>
              <w:cnfStyle w:val="100000000000" w:firstRow="1" w:lastRow="0" w:firstColumn="0" w:lastColumn="0" w:oddVBand="0" w:evenVBand="0" w:oddHBand="0" w:evenHBand="0" w:firstRowFirstColumn="0" w:firstRowLastColumn="0" w:lastRowFirstColumn="0" w:lastRowLastColumn="0"/>
            </w:pPr>
            <w:r>
              <w:t>Final Sample for CPP Event Demand Analysis</w:t>
            </w:r>
          </w:p>
        </w:tc>
      </w:tr>
      <w:tr w:rsidR="005A3F75" w14:paraId="4B4DB7B8" w14:textId="77777777" w:rsidTr="00413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95EF7AD" w14:textId="5D659726" w:rsidR="005A3F75" w:rsidRDefault="005A3F75" w:rsidP="00413291">
            <w:pPr>
              <w:jc w:val="left"/>
            </w:pPr>
            <w:r>
              <w:t>CPP</w:t>
            </w:r>
          </w:p>
        </w:tc>
        <w:tc>
          <w:tcPr>
            <w:tcW w:w="1840" w:type="dxa"/>
            <w:vAlign w:val="top"/>
          </w:tcPr>
          <w:p w14:paraId="1B506524" w14:textId="2673C788" w:rsidR="005A3F75" w:rsidRDefault="005A3F75" w:rsidP="005A3F75">
            <w:pPr>
              <w:cnfStyle w:val="000000100000" w:firstRow="0" w:lastRow="0" w:firstColumn="0" w:lastColumn="0" w:oddVBand="0" w:evenVBand="0" w:oddHBand="1" w:evenHBand="0" w:firstRowFirstColumn="0" w:firstRowLastColumn="0" w:lastRowFirstColumn="0" w:lastRowLastColumn="0"/>
            </w:pPr>
            <w:r w:rsidRPr="00B14EFD">
              <w:t>308</w:t>
            </w:r>
          </w:p>
        </w:tc>
        <w:tc>
          <w:tcPr>
            <w:tcW w:w="2151" w:type="dxa"/>
            <w:vAlign w:val="top"/>
          </w:tcPr>
          <w:p w14:paraId="7644DFE1" w14:textId="5A089069" w:rsidR="005A3F75" w:rsidRDefault="005A3F75" w:rsidP="005A3F75">
            <w:pPr>
              <w:cnfStyle w:val="000000100000" w:firstRow="0" w:lastRow="0" w:firstColumn="0" w:lastColumn="0" w:oddVBand="0" w:evenVBand="0" w:oddHBand="1" w:evenHBand="0" w:firstRowFirstColumn="0" w:firstRowLastColumn="0" w:lastRowFirstColumn="0" w:lastRowLastColumn="0"/>
            </w:pPr>
            <w:r w:rsidRPr="00093C82">
              <w:t>282</w:t>
            </w:r>
          </w:p>
        </w:tc>
      </w:tr>
      <w:tr w:rsidR="005A3F75" w14:paraId="32A27754" w14:textId="77777777" w:rsidTr="00413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7F8DE6C8" w14:textId="3A59025C" w:rsidR="005A3F75" w:rsidRDefault="005A3F75" w:rsidP="00413291">
            <w:pPr>
              <w:jc w:val="left"/>
            </w:pPr>
            <w:r>
              <w:t>CPP/RT</w:t>
            </w:r>
          </w:p>
        </w:tc>
        <w:tc>
          <w:tcPr>
            <w:tcW w:w="1840" w:type="dxa"/>
            <w:vAlign w:val="top"/>
          </w:tcPr>
          <w:p w14:paraId="01DB77CD" w14:textId="42BA85F2" w:rsidR="005A3F75" w:rsidRDefault="005A3F75" w:rsidP="005A3F75">
            <w:pPr>
              <w:cnfStyle w:val="000000010000" w:firstRow="0" w:lastRow="0" w:firstColumn="0" w:lastColumn="0" w:oddVBand="0" w:evenVBand="0" w:oddHBand="0" w:evenHBand="1" w:firstRowFirstColumn="0" w:firstRowLastColumn="0" w:lastRowFirstColumn="0" w:lastRowLastColumn="0"/>
            </w:pPr>
            <w:r w:rsidRPr="00B14EFD">
              <w:t>334</w:t>
            </w:r>
          </w:p>
        </w:tc>
        <w:tc>
          <w:tcPr>
            <w:tcW w:w="2151" w:type="dxa"/>
            <w:vAlign w:val="top"/>
          </w:tcPr>
          <w:p w14:paraId="5B8FB1BD" w14:textId="1598F918" w:rsidR="005A3F75" w:rsidRDefault="005A3F75" w:rsidP="005A3F75">
            <w:pPr>
              <w:cnfStyle w:val="000000010000" w:firstRow="0" w:lastRow="0" w:firstColumn="0" w:lastColumn="0" w:oddVBand="0" w:evenVBand="0" w:oddHBand="0" w:evenHBand="1" w:firstRowFirstColumn="0" w:firstRowLastColumn="0" w:lastRowFirstColumn="0" w:lastRowLastColumn="0"/>
            </w:pPr>
            <w:r w:rsidRPr="00093C82">
              <w:t>308</w:t>
            </w:r>
          </w:p>
        </w:tc>
      </w:tr>
      <w:tr w:rsidR="005A3F75" w14:paraId="7A27C8BE" w14:textId="77777777" w:rsidTr="004132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1DC8AFED" w14:textId="3D4150D5" w:rsidR="005A3F75" w:rsidRDefault="005A3F75" w:rsidP="00413291">
            <w:pPr>
              <w:jc w:val="left"/>
            </w:pPr>
            <w:r>
              <w:t>RT</w:t>
            </w:r>
          </w:p>
        </w:tc>
        <w:tc>
          <w:tcPr>
            <w:tcW w:w="1840" w:type="dxa"/>
            <w:vAlign w:val="top"/>
          </w:tcPr>
          <w:p w14:paraId="3711EBD8" w14:textId="08B17114" w:rsidR="005A3F75" w:rsidRDefault="005A3F75" w:rsidP="005A3F75">
            <w:pPr>
              <w:cnfStyle w:val="000000100000" w:firstRow="0" w:lastRow="0" w:firstColumn="0" w:lastColumn="0" w:oddVBand="0" w:evenVBand="0" w:oddHBand="1" w:evenHBand="0" w:firstRowFirstColumn="0" w:firstRowLastColumn="0" w:lastRowFirstColumn="0" w:lastRowLastColumn="0"/>
            </w:pPr>
            <w:r w:rsidRPr="00B14EFD">
              <w:t>1,129</w:t>
            </w:r>
          </w:p>
        </w:tc>
        <w:tc>
          <w:tcPr>
            <w:tcW w:w="2151" w:type="dxa"/>
            <w:vAlign w:val="top"/>
          </w:tcPr>
          <w:p w14:paraId="459181A7" w14:textId="26CD65E5" w:rsidR="005A3F75" w:rsidRDefault="005A3F75" w:rsidP="005A3F75">
            <w:pPr>
              <w:cnfStyle w:val="000000100000" w:firstRow="0" w:lastRow="0" w:firstColumn="0" w:lastColumn="0" w:oddVBand="0" w:evenVBand="0" w:oddHBand="1" w:evenHBand="0" w:firstRowFirstColumn="0" w:firstRowLastColumn="0" w:lastRowFirstColumn="0" w:lastRowLastColumn="0"/>
            </w:pPr>
            <w:r>
              <w:t>N/A</w:t>
            </w:r>
          </w:p>
        </w:tc>
      </w:tr>
      <w:tr w:rsidR="005A3F75" w14:paraId="5B83852E" w14:textId="77777777" w:rsidTr="004132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634D227F" w14:textId="36F7C063" w:rsidR="005A3F75" w:rsidRDefault="005A3F75" w:rsidP="00413291">
            <w:pPr>
              <w:jc w:val="left"/>
            </w:pPr>
            <w:r>
              <w:t>RCT Control</w:t>
            </w:r>
          </w:p>
        </w:tc>
        <w:tc>
          <w:tcPr>
            <w:tcW w:w="1840" w:type="dxa"/>
            <w:vAlign w:val="top"/>
          </w:tcPr>
          <w:p w14:paraId="21315D8C" w14:textId="1A4BCFC7" w:rsidR="005A3F75" w:rsidRDefault="005A3F75" w:rsidP="005A3F75">
            <w:pPr>
              <w:cnfStyle w:val="000000010000" w:firstRow="0" w:lastRow="0" w:firstColumn="0" w:lastColumn="0" w:oddVBand="0" w:evenVBand="0" w:oddHBand="0" w:evenHBand="1" w:firstRowFirstColumn="0" w:firstRowLastColumn="0" w:lastRowFirstColumn="0" w:lastRowLastColumn="0"/>
            </w:pPr>
            <w:r w:rsidRPr="00B14EFD">
              <w:t>454</w:t>
            </w:r>
          </w:p>
        </w:tc>
        <w:tc>
          <w:tcPr>
            <w:tcW w:w="2151" w:type="dxa"/>
          </w:tcPr>
          <w:p w14:paraId="7DDE7D8D" w14:textId="4856D0F6" w:rsidR="005A3F75" w:rsidRDefault="005A3F75" w:rsidP="005A3F75">
            <w:pPr>
              <w:cnfStyle w:val="000000010000" w:firstRow="0" w:lastRow="0" w:firstColumn="0" w:lastColumn="0" w:oddVBand="0" w:evenVBand="0" w:oddHBand="0" w:evenHBand="1" w:firstRowFirstColumn="0" w:firstRowLastColumn="0" w:lastRowFirstColumn="0" w:lastRowLastColumn="0"/>
            </w:pPr>
            <w:r w:rsidRPr="00093C82">
              <w:t>446</w:t>
            </w:r>
          </w:p>
        </w:tc>
      </w:tr>
    </w:tbl>
    <w:p w14:paraId="17C0A004" w14:textId="15709E9B" w:rsidR="005A3F75" w:rsidRDefault="005A3F75" w:rsidP="00B33E43"/>
    <w:p w14:paraId="1C814D58" w14:textId="2A9A832D" w:rsidR="00284B90" w:rsidRDefault="00284B90" w:rsidP="00B33E43">
      <w:r>
        <w:t>Although a larger sample is always preferred due to the additional degrees of freedom (and thus higher precision), the sample sizes available were sufficient for the analysis conducted.</w:t>
      </w:r>
    </w:p>
    <w:p w14:paraId="04A721B4" w14:textId="004F8324" w:rsidR="007075E2" w:rsidRDefault="007075E2" w:rsidP="00B33E43"/>
    <w:p w14:paraId="0566BF84" w14:textId="356A9E10" w:rsidR="007075E2" w:rsidRDefault="007075E2" w:rsidP="00B33E43">
      <w:r>
        <w:lastRenderedPageBreak/>
        <w:t>Monthly consumption values were very similar across all four groups considered in this analysis (CPP, CPP/RT, RT-only, and RCT controls). The average monthly consumption values of each group during the three summers are presented in</w:t>
      </w:r>
      <w:r w:rsidR="006724AE">
        <w:t xml:space="preserve"> </w:t>
      </w:r>
      <w:r w:rsidR="006724AE">
        <w:fldChar w:fldCharType="begin"/>
      </w:r>
      <w:r w:rsidR="006724AE">
        <w:instrText xml:space="preserve"> REF _Ref5203706 \h </w:instrText>
      </w:r>
      <w:r w:rsidR="006724AE">
        <w:fldChar w:fldCharType="separate"/>
      </w:r>
      <w:r w:rsidR="00413291">
        <w:t xml:space="preserve">Figure </w:t>
      </w:r>
      <w:r w:rsidR="00413291">
        <w:rPr>
          <w:noProof/>
        </w:rPr>
        <w:t>5</w:t>
      </w:r>
      <w:r w:rsidR="006724AE">
        <w:fldChar w:fldCharType="end"/>
      </w:r>
      <w:r>
        <w:t xml:space="preserve"> below</w:t>
      </w:r>
      <w:r w:rsidR="006724AE">
        <w:t>. The whisker bars represent the 90% confidence interval around the sample mean in each year. As may be seen, not only are all monthly consumption values very close, but in every year, the confidence intervals of all groups overlap.</w:t>
      </w:r>
    </w:p>
    <w:p w14:paraId="0F8337DB" w14:textId="129545F6" w:rsidR="007075E2" w:rsidRDefault="007075E2" w:rsidP="00B33E43"/>
    <w:p w14:paraId="55617BCC" w14:textId="7A99E35F" w:rsidR="006724AE" w:rsidRDefault="006724AE" w:rsidP="006724AE">
      <w:pPr>
        <w:pStyle w:val="Caption"/>
      </w:pPr>
      <w:bookmarkStart w:id="36" w:name="_Ref5203706"/>
      <w:bookmarkStart w:id="37" w:name="_Toc8393613"/>
      <w:r>
        <w:t xml:space="preserve">Figure </w:t>
      </w:r>
      <w:fldSimple w:instr=" SEQ Figure \* ARABIC ">
        <w:r w:rsidR="00413291">
          <w:rPr>
            <w:noProof/>
          </w:rPr>
          <w:t>5</w:t>
        </w:r>
      </w:fldSimple>
      <w:bookmarkEnd w:id="36"/>
      <w:r>
        <w:t>: Participant and Control Monthly Consumption</w:t>
      </w:r>
      <w:r w:rsidR="00A527E3">
        <w:rPr>
          <w:rStyle w:val="FootnoteReference"/>
        </w:rPr>
        <w:footnoteReference w:id="17"/>
      </w:r>
      <w:bookmarkEnd w:id="37"/>
    </w:p>
    <w:p w14:paraId="03A9AC0A" w14:textId="311A7624" w:rsidR="007075E2" w:rsidRDefault="006724AE" w:rsidP="00413291">
      <w:pPr>
        <w:jc w:val="center"/>
      </w:pPr>
      <w:r>
        <w:rPr>
          <w:noProof/>
        </w:rPr>
        <w:drawing>
          <wp:inline distT="0" distB="0" distL="0" distR="0" wp14:anchorId="5F3311C0" wp14:editId="453CE850">
            <wp:extent cx="4878387" cy="3273425"/>
            <wp:effectExtent l="0" t="0" r="0" b="3175"/>
            <wp:docPr id="18" name="Chart 18">
              <a:extLst xmlns:a="http://schemas.openxmlformats.org/drawingml/2006/main">
                <a:ext uri="{FF2B5EF4-FFF2-40B4-BE49-F238E27FC236}">
                  <a16:creationId xmlns:a16="http://schemas.microsoft.com/office/drawing/2014/main" id="{93E5859D-36C5-41B7-9690-46992F7B81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7E4F9B" w14:textId="73DDD1CF" w:rsidR="00600ADC" w:rsidRDefault="00600ADC" w:rsidP="00600ADC">
      <w:pPr>
        <w:pStyle w:val="Heading3"/>
      </w:pPr>
      <w:bookmarkStart w:id="38" w:name="_Toc8393580"/>
      <w:r>
        <w:t>Hourly Weather Data</w:t>
      </w:r>
      <w:bookmarkEnd w:id="38"/>
    </w:p>
    <w:p w14:paraId="1FC6E3B8" w14:textId="02ECDBBD" w:rsidR="00600ADC" w:rsidRDefault="00600ADC" w:rsidP="00600ADC">
      <w:r>
        <w:t xml:space="preserve">London Hydro provided Navigant with hourly weather data (dry bulb, dew point, relative humidity, etc.) from an appropriate weather station in London Hydro’s service territory for the same period as the interval data, up until May 2018. Data for the months following that period were obtained </w:t>
      </w:r>
      <w:r w:rsidR="00F27B9D">
        <w:t xml:space="preserve">directly </w:t>
      </w:r>
      <w:r>
        <w:t>from Environment Canada’s “London A” weather station (TC identifier: YXU).</w:t>
      </w:r>
    </w:p>
    <w:p w14:paraId="0163444F" w14:textId="4FDF25EE" w:rsidR="00600ADC" w:rsidRDefault="00600ADC" w:rsidP="00600ADC"/>
    <w:p w14:paraId="3EBEE917" w14:textId="2C180322" w:rsidR="00600ADC" w:rsidRDefault="00600ADC" w:rsidP="00600ADC">
      <w:r>
        <w:t>Unfortunately, the non-dry bulb (e.g., dew point, relative humidity, etc.) time series in the Environment Canada were all missing a sufficiently high number of observations that Navigant deemed it prudent not to use these values in the analysis (i.e.,</w:t>
      </w:r>
      <w:r w:rsidR="00F27B9D">
        <w:t xml:space="preserve"> of the weather data,</w:t>
      </w:r>
      <w:r>
        <w:t xml:space="preserve"> only dry bulb temperature values are used in this analysis).</w:t>
      </w:r>
    </w:p>
    <w:p w14:paraId="303CFEED" w14:textId="33609ECB" w:rsidR="00F27B9D" w:rsidRDefault="00F27B9D" w:rsidP="00600ADC"/>
    <w:p w14:paraId="1CB89C3A" w14:textId="6FEF3B83" w:rsidR="00F27B9D" w:rsidRDefault="00F27B9D" w:rsidP="00600ADC">
      <w:r>
        <w:lastRenderedPageBreak/>
        <w:fldChar w:fldCharType="begin"/>
      </w:r>
      <w:r>
        <w:instrText xml:space="preserve"> REF _Ref1561748 \h </w:instrText>
      </w:r>
      <w:r>
        <w:fldChar w:fldCharType="separate"/>
      </w:r>
      <w:r w:rsidR="00413291">
        <w:t xml:space="preserve">Figure </w:t>
      </w:r>
      <w:r w:rsidR="00413291">
        <w:rPr>
          <w:noProof/>
        </w:rPr>
        <w:t>6</w:t>
      </w:r>
      <w:r>
        <w:fldChar w:fldCharType="end"/>
      </w:r>
      <w:r>
        <w:t xml:space="preserve">, below, provides a summary of daily mean (blue line) and maximum (yellow line) observed temperatures during the program period. CPP event days are flagged with red diamonds. </w:t>
      </w:r>
    </w:p>
    <w:p w14:paraId="72BA96A5" w14:textId="26E04FD5" w:rsidR="00600ADC" w:rsidRDefault="00600ADC" w:rsidP="00600ADC"/>
    <w:p w14:paraId="066354EE" w14:textId="77777777" w:rsidR="00C274B0" w:rsidRDefault="00C274B0" w:rsidP="00600ADC"/>
    <w:p w14:paraId="429391D7" w14:textId="3E40662B" w:rsidR="00F27B9D" w:rsidRDefault="00F27B9D" w:rsidP="00F27B9D">
      <w:pPr>
        <w:pStyle w:val="Caption"/>
      </w:pPr>
      <w:bookmarkStart w:id="39" w:name="_Ref1561748"/>
      <w:bookmarkStart w:id="40" w:name="_Toc8393614"/>
      <w:r>
        <w:t xml:space="preserve">Figure </w:t>
      </w:r>
      <w:fldSimple w:instr=" SEQ Figure \* ARABIC ">
        <w:r w:rsidR="00413291">
          <w:rPr>
            <w:noProof/>
          </w:rPr>
          <w:t>6</w:t>
        </w:r>
      </w:fldSimple>
      <w:bookmarkEnd w:id="39"/>
      <w:r>
        <w:t>: Daily Temperatures in Program Period</w:t>
      </w:r>
      <w:bookmarkEnd w:id="40"/>
    </w:p>
    <w:p w14:paraId="7A91B024" w14:textId="77777777" w:rsidR="001B0A63" w:rsidRDefault="001B0A63" w:rsidP="001B0A63">
      <w:pPr>
        <w:keepNext/>
      </w:pPr>
      <w:r>
        <w:rPr>
          <w:noProof/>
        </w:rPr>
        <w:drawing>
          <wp:inline distT="0" distB="0" distL="0" distR="0" wp14:anchorId="5DD2B7C8" wp14:editId="4D67122D">
            <wp:extent cx="5943600" cy="2929890"/>
            <wp:effectExtent l="0" t="0" r="0" b="3810"/>
            <wp:docPr id="2" name="Chart 2">
              <a:extLst xmlns:a="http://schemas.openxmlformats.org/drawingml/2006/main">
                <a:ext uri="{FF2B5EF4-FFF2-40B4-BE49-F238E27FC236}">
                  <a16:creationId xmlns:a16="http://schemas.microsoft.com/office/drawing/2014/main" id="{97FD6897-DBDB-44EF-AF9D-0A418B3BFE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BCA598" w14:textId="65A2BA49" w:rsidR="00600ADC" w:rsidRDefault="00600ADC" w:rsidP="00600ADC">
      <w:pPr>
        <w:pStyle w:val="Heading3"/>
      </w:pPr>
      <w:bookmarkStart w:id="41" w:name="_Toc8393581"/>
      <w:r>
        <w:t>CPP Event Schedule</w:t>
      </w:r>
      <w:bookmarkEnd w:id="41"/>
    </w:p>
    <w:p w14:paraId="2ED181C0" w14:textId="07B9D72F" w:rsidR="00600ADC" w:rsidRDefault="00F315BA" w:rsidP="00600ADC">
      <w:r>
        <w:t xml:space="preserve">Altogether 18 CPP events were called </w:t>
      </w:r>
      <w:r w:rsidR="00363680">
        <w:t xml:space="preserve">during the summer of 2018. These </w:t>
      </w:r>
      <w:r w:rsidR="00F27B9D">
        <w:t xml:space="preserve">dates of </w:t>
      </w:r>
      <w:r w:rsidR="00363680">
        <w:t xml:space="preserve">events are </w:t>
      </w:r>
      <w:r w:rsidR="00F27B9D">
        <w:t>selected</w:t>
      </w:r>
      <w:r w:rsidR="00363680">
        <w:t xml:space="preserve"> by the OEB to maximize the information value of pilot. </w:t>
      </w:r>
      <w:r w:rsidR="00F27B9D">
        <w:t>Altogether 13 events were called for the period between 5pm and 6pm, and five events were called for the period between 6pm and 7pm.</w:t>
      </w:r>
    </w:p>
    <w:p w14:paraId="2CE9790A" w14:textId="3996A9E3" w:rsidR="00363680" w:rsidRDefault="00363680" w:rsidP="00600ADC"/>
    <w:p w14:paraId="4E7C8034" w14:textId="49146409" w:rsidR="00363680" w:rsidRDefault="00363680" w:rsidP="00363680">
      <w:pPr>
        <w:pStyle w:val="Caption"/>
      </w:pPr>
      <w:bookmarkStart w:id="42" w:name="_Toc8393615"/>
      <w:r>
        <w:t xml:space="preserve">Figure </w:t>
      </w:r>
      <w:fldSimple w:instr=" SEQ Figure \* ARABIC ">
        <w:r w:rsidR="00413291">
          <w:rPr>
            <w:noProof/>
          </w:rPr>
          <w:t>7</w:t>
        </w:r>
      </w:fldSimple>
      <w:r>
        <w:t>: Summer 2018 CPP Schedule</w:t>
      </w:r>
      <w:bookmarkEnd w:id="42"/>
    </w:p>
    <w:tbl>
      <w:tblPr>
        <w:tblW w:w="3700" w:type="dxa"/>
        <w:jc w:val="center"/>
        <w:tblLook w:val="04A0" w:firstRow="1" w:lastRow="0" w:firstColumn="1" w:lastColumn="0" w:noHBand="0" w:noVBand="1"/>
      </w:tblPr>
      <w:tblGrid>
        <w:gridCol w:w="1180"/>
        <w:gridCol w:w="1300"/>
        <w:gridCol w:w="1220"/>
      </w:tblGrid>
      <w:tr w:rsidR="00363680" w:rsidRPr="00363680" w14:paraId="61368C47" w14:textId="77777777" w:rsidTr="00413291">
        <w:trPr>
          <w:trHeight w:val="420"/>
          <w:tblHeader/>
          <w:jc w:val="center"/>
        </w:trPr>
        <w:tc>
          <w:tcPr>
            <w:tcW w:w="1180" w:type="dxa"/>
            <w:tcBorders>
              <w:top w:val="single" w:sz="4" w:space="0" w:color="auto"/>
              <w:left w:val="single" w:sz="4" w:space="0" w:color="auto"/>
              <w:bottom w:val="single" w:sz="4" w:space="0" w:color="auto"/>
              <w:right w:val="nil"/>
            </w:tcBorders>
            <w:shd w:val="clear" w:color="000000" w:fill="555759"/>
            <w:noWrap/>
            <w:vAlign w:val="center"/>
            <w:hideMark/>
          </w:tcPr>
          <w:p w14:paraId="467E823A" w14:textId="77777777" w:rsidR="00363680" w:rsidRPr="00363680" w:rsidRDefault="00363680" w:rsidP="00363680">
            <w:pPr>
              <w:spacing w:line="240" w:lineRule="auto"/>
              <w:jc w:val="center"/>
              <w:rPr>
                <w:rFonts w:cs="Arial"/>
                <w:b/>
                <w:bCs/>
                <w:color w:val="FFFFFF"/>
                <w:sz w:val="16"/>
                <w:szCs w:val="16"/>
              </w:rPr>
            </w:pPr>
            <w:r w:rsidRPr="00363680">
              <w:rPr>
                <w:rFonts w:cs="Arial"/>
                <w:b/>
                <w:bCs/>
                <w:color w:val="FFFFFF"/>
                <w:sz w:val="16"/>
                <w:szCs w:val="16"/>
              </w:rPr>
              <w:t>Date</w:t>
            </w:r>
          </w:p>
        </w:tc>
        <w:tc>
          <w:tcPr>
            <w:tcW w:w="1300" w:type="dxa"/>
            <w:tcBorders>
              <w:top w:val="single" w:sz="4" w:space="0" w:color="auto"/>
              <w:left w:val="nil"/>
              <w:bottom w:val="single" w:sz="4" w:space="0" w:color="auto"/>
              <w:right w:val="nil"/>
            </w:tcBorders>
            <w:shd w:val="clear" w:color="000000" w:fill="555759"/>
            <w:vAlign w:val="center"/>
            <w:hideMark/>
          </w:tcPr>
          <w:p w14:paraId="7E56B792" w14:textId="77777777" w:rsidR="00363680" w:rsidRPr="00363680" w:rsidRDefault="00363680" w:rsidP="00363680">
            <w:pPr>
              <w:spacing w:line="240" w:lineRule="auto"/>
              <w:jc w:val="center"/>
              <w:rPr>
                <w:rFonts w:cs="Arial"/>
                <w:b/>
                <w:bCs/>
                <w:color w:val="FFFFFF"/>
                <w:sz w:val="16"/>
                <w:szCs w:val="16"/>
              </w:rPr>
            </w:pPr>
            <w:r w:rsidRPr="00363680">
              <w:rPr>
                <w:rFonts w:cs="Arial"/>
                <w:b/>
                <w:bCs/>
                <w:color w:val="FFFFFF"/>
                <w:sz w:val="16"/>
                <w:szCs w:val="16"/>
              </w:rPr>
              <w:t>Event Start Time</w:t>
            </w:r>
          </w:p>
        </w:tc>
        <w:tc>
          <w:tcPr>
            <w:tcW w:w="1220" w:type="dxa"/>
            <w:tcBorders>
              <w:top w:val="single" w:sz="4" w:space="0" w:color="auto"/>
              <w:left w:val="nil"/>
              <w:bottom w:val="single" w:sz="4" w:space="0" w:color="auto"/>
              <w:right w:val="single" w:sz="4" w:space="0" w:color="auto"/>
            </w:tcBorders>
            <w:shd w:val="clear" w:color="000000" w:fill="555759"/>
            <w:vAlign w:val="center"/>
            <w:hideMark/>
          </w:tcPr>
          <w:p w14:paraId="5FCD4756" w14:textId="77777777" w:rsidR="00363680" w:rsidRPr="00363680" w:rsidRDefault="00363680" w:rsidP="00363680">
            <w:pPr>
              <w:spacing w:line="240" w:lineRule="auto"/>
              <w:jc w:val="center"/>
              <w:rPr>
                <w:rFonts w:cs="Arial"/>
                <w:b/>
                <w:bCs/>
                <w:color w:val="FFFFFF"/>
                <w:sz w:val="16"/>
                <w:szCs w:val="16"/>
              </w:rPr>
            </w:pPr>
            <w:r w:rsidRPr="00363680">
              <w:rPr>
                <w:rFonts w:cs="Arial"/>
                <w:b/>
                <w:bCs/>
                <w:color w:val="FFFFFF"/>
                <w:sz w:val="16"/>
                <w:szCs w:val="16"/>
              </w:rPr>
              <w:t>Event End Time</w:t>
            </w:r>
          </w:p>
        </w:tc>
      </w:tr>
      <w:tr w:rsidR="00363680" w:rsidRPr="00363680" w14:paraId="66E8F781"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04B05810" w14:textId="77777777" w:rsidR="00363680" w:rsidRPr="00363680" w:rsidRDefault="00363680" w:rsidP="00363680">
            <w:pPr>
              <w:spacing w:line="240" w:lineRule="auto"/>
              <w:jc w:val="right"/>
              <w:rPr>
                <w:rFonts w:cs="Arial"/>
                <w:sz w:val="16"/>
                <w:szCs w:val="16"/>
              </w:rPr>
            </w:pPr>
            <w:r w:rsidRPr="00363680">
              <w:rPr>
                <w:rFonts w:cs="Arial"/>
                <w:sz w:val="16"/>
                <w:szCs w:val="16"/>
              </w:rPr>
              <w:t>2018-06-01</w:t>
            </w:r>
          </w:p>
        </w:tc>
        <w:tc>
          <w:tcPr>
            <w:tcW w:w="1300" w:type="dxa"/>
            <w:tcBorders>
              <w:top w:val="nil"/>
              <w:left w:val="nil"/>
              <w:bottom w:val="nil"/>
              <w:right w:val="nil"/>
            </w:tcBorders>
            <w:shd w:val="clear" w:color="000000" w:fill="FFFFFF"/>
            <w:noWrap/>
            <w:vAlign w:val="center"/>
            <w:hideMark/>
          </w:tcPr>
          <w:p w14:paraId="7C2F103C"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c>
          <w:tcPr>
            <w:tcW w:w="1220" w:type="dxa"/>
            <w:tcBorders>
              <w:top w:val="nil"/>
              <w:left w:val="single" w:sz="4" w:space="0" w:color="auto"/>
              <w:bottom w:val="nil"/>
              <w:right w:val="single" w:sz="4" w:space="0" w:color="auto"/>
            </w:tcBorders>
            <w:shd w:val="clear" w:color="000000" w:fill="FFFFFF"/>
            <w:noWrap/>
            <w:vAlign w:val="center"/>
            <w:hideMark/>
          </w:tcPr>
          <w:p w14:paraId="348ED75E" w14:textId="77777777" w:rsidR="00363680" w:rsidRPr="00363680" w:rsidRDefault="00363680" w:rsidP="00363680">
            <w:pPr>
              <w:spacing w:line="240" w:lineRule="auto"/>
              <w:jc w:val="center"/>
              <w:rPr>
                <w:rFonts w:cs="Arial"/>
                <w:sz w:val="16"/>
                <w:szCs w:val="16"/>
              </w:rPr>
            </w:pPr>
            <w:r w:rsidRPr="00363680">
              <w:rPr>
                <w:rFonts w:cs="Arial"/>
                <w:sz w:val="16"/>
                <w:szCs w:val="16"/>
              </w:rPr>
              <w:t>7:00 PM</w:t>
            </w:r>
          </w:p>
        </w:tc>
      </w:tr>
      <w:tr w:rsidR="00363680" w:rsidRPr="00363680" w14:paraId="42C7564F"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126BFF36" w14:textId="77777777" w:rsidR="00363680" w:rsidRPr="00363680" w:rsidRDefault="00363680" w:rsidP="00363680">
            <w:pPr>
              <w:spacing w:line="240" w:lineRule="auto"/>
              <w:jc w:val="right"/>
              <w:rPr>
                <w:rFonts w:cs="Arial"/>
                <w:sz w:val="16"/>
                <w:szCs w:val="16"/>
              </w:rPr>
            </w:pPr>
            <w:r w:rsidRPr="00363680">
              <w:rPr>
                <w:rFonts w:cs="Arial"/>
                <w:sz w:val="16"/>
                <w:szCs w:val="16"/>
              </w:rPr>
              <w:t>2018-06-18</w:t>
            </w:r>
          </w:p>
        </w:tc>
        <w:tc>
          <w:tcPr>
            <w:tcW w:w="1300" w:type="dxa"/>
            <w:tcBorders>
              <w:top w:val="nil"/>
              <w:left w:val="nil"/>
              <w:bottom w:val="nil"/>
              <w:right w:val="nil"/>
            </w:tcBorders>
            <w:shd w:val="clear" w:color="000000" w:fill="F2F2F2"/>
            <w:noWrap/>
            <w:vAlign w:val="center"/>
            <w:hideMark/>
          </w:tcPr>
          <w:p w14:paraId="542A6AF2"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7A55A5D2"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01CDD20D"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7446F9A0" w14:textId="77777777" w:rsidR="00363680" w:rsidRPr="00363680" w:rsidRDefault="00363680" w:rsidP="00363680">
            <w:pPr>
              <w:spacing w:line="240" w:lineRule="auto"/>
              <w:jc w:val="right"/>
              <w:rPr>
                <w:rFonts w:cs="Arial"/>
                <w:sz w:val="16"/>
                <w:szCs w:val="16"/>
              </w:rPr>
            </w:pPr>
            <w:r w:rsidRPr="00363680">
              <w:rPr>
                <w:rFonts w:cs="Arial"/>
                <w:sz w:val="16"/>
                <w:szCs w:val="16"/>
              </w:rPr>
              <w:t>2018-06-29</w:t>
            </w:r>
          </w:p>
        </w:tc>
        <w:tc>
          <w:tcPr>
            <w:tcW w:w="1300" w:type="dxa"/>
            <w:tcBorders>
              <w:top w:val="nil"/>
              <w:left w:val="nil"/>
              <w:bottom w:val="nil"/>
              <w:right w:val="nil"/>
            </w:tcBorders>
            <w:shd w:val="clear" w:color="000000" w:fill="FFFFFF"/>
            <w:noWrap/>
            <w:vAlign w:val="center"/>
            <w:hideMark/>
          </w:tcPr>
          <w:p w14:paraId="61E362AA"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c>
          <w:tcPr>
            <w:tcW w:w="1220" w:type="dxa"/>
            <w:tcBorders>
              <w:top w:val="nil"/>
              <w:left w:val="single" w:sz="4" w:space="0" w:color="auto"/>
              <w:bottom w:val="nil"/>
              <w:right w:val="single" w:sz="4" w:space="0" w:color="auto"/>
            </w:tcBorders>
            <w:shd w:val="clear" w:color="000000" w:fill="FFFFFF"/>
            <w:noWrap/>
            <w:vAlign w:val="center"/>
            <w:hideMark/>
          </w:tcPr>
          <w:p w14:paraId="6B4CF131" w14:textId="77777777" w:rsidR="00363680" w:rsidRPr="00363680" w:rsidRDefault="00363680" w:rsidP="00363680">
            <w:pPr>
              <w:spacing w:line="240" w:lineRule="auto"/>
              <w:jc w:val="center"/>
              <w:rPr>
                <w:rFonts w:cs="Arial"/>
                <w:sz w:val="16"/>
                <w:szCs w:val="16"/>
              </w:rPr>
            </w:pPr>
            <w:r w:rsidRPr="00363680">
              <w:rPr>
                <w:rFonts w:cs="Arial"/>
                <w:sz w:val="16"/>
                <w:szCs w:val="16"/>
              </w:rPr>
              <w:t>7:00 PM</w:t>
            </w:r>
          </w:p>
        </w:tc>
      </w:tr>
      <w:tr w:rsidR="00363680" w:rsidRPr="00363680" w14:paraId="2645EBDD"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4FFFE9E7" w14:textId="77777777" w:rsidR="00363680" w:rsidRPr="00363680" w:rsidRDefault="00363680" w:rsidP="00363680">
            <w:pPr>
              <w:spacing w:line="240" w:lineRule="auto"/>
              <w:jc w:val="right"/>
              <w:rPr>
                <w:rFonts w:cs="Arial"/>
                <w:sz w:val="16"/>
                <w:szCs w:val="16"/>
              </w:rPr>
            </w:pPr>
            <w:r w:rsidRPr="00363680">
              <w:rPr>
                <w:rFonts w:cs="Arial"/>
                <w:sz w:val="16"/>
                <w:szCs w:val="16"/>
              </w:rPr>
              <w:t>2018-07-03</w:t>
            </w:r>
          </w:p>
        </w:tc>
        <w:tc>
          <w:tcPr>
            <w:tcW w:w="1300" w:type="dxa"/>
            <w:tcBorders>
              <w:top w:val="nil"/>
              <w:left w:val="nil"/>
              <w:bottom w:val="nil"/>
              <w:right w:val="nil"/>
            </w:tcBorders>
            <w:shd w:val="clear" w:color="000000" w:fill="F2F2F2"/>
            <w:noWrap/>
            <w:vAlign w:val="center"/>
            <w:hideMark/>
          </w:tcPr>
          <w:p w14:paraId="27BD3111"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2010241B"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5B0C1D53"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63763EC5" w14:textId="77777777" w:rsidR="00363680" w:rsidRPr="00363680" w:rsidRDefault="00363680" w:rsidP="00363680">
            <w:pPr>
              <w:spacing w:line="240" w:lineRule="auto"/>
              <w:jc w:val="right"/>
              <w:rPr>
                <w:rFonts w:cs="Arial"/>
                <w:sz w:val="16"/>
                <w:szCs w:val="16"/>
              </w:rPr>
            </w:pPr>
            <w:r w:rsidRPr="00363680">
              <w:rPr>
                <w:rFonts w:cs="Arial"/>
                <w:sz w:val="16"/>
                <w:szCs w:val="16"/>
              </w:rPr>
              <w:t>2018-07-04</w:t>
            </w:r>
          </w:p>
        </w:tc>
        <w:tc>
          <w:tcPr>
            <w:tcW w:w="1300" w:type="dxa"/>
            <w:tcBorders>
              <w:top w:val="nil"/>
              <w:left w:val="nil"/>
              <w:bottom w:val="nil"/>
              <w:right w:val="nil"/>
            </w:tcBorders>
            <w:shd w:val="clear" w:color="000000" w:fill="FFFFFF"/>
            <w:noWrap/>
            <w:vAlign w:val="center"/>
            <w:hideMark/>
          </w:tcPr>
          <w:p w14:paraId="4A530254"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c>
          <w:tcPr>
            <w:tcW w:w="1220" w:type="dxa"/>
            <w:tcBorders>
              <w:top w:val="nil"/>
              <w:left w:val="single" w:sz="4" w:space="0" w:color="auto"/>
              <w:bottom w:val="nil"/>
              <w:right w:val="single" w:sz="4" w:space="0" w:color="auto"/>
            </w:tcBorders>
            <w:shd w:val="clear" w:color="000000" w:fill="FFFFFF"/>
            <w:noWrap/>
            <w:vAlign w:val="center"/>
            <w:hideMark/>
          </w:tcPr>
          <w:p w14:paraId="6D8D2688" w14:textId="77777777" w:rsidR="00363680" w:rsidRPr="00363680" w:rsidRDefault="00363680" w:rsidP="00363680">
            <w:pPr>
              <w:spacing w:line="240" w:lineRule="auto"/>
              <w:jc w:val="center"/>
              <w:rPr>
                <w:rFonts w:cs="Arial"/>
                <w:sz w:val="16"/>
                <w:szCs w:val="16"/>
              </w:rPr>
            </w:pPr>
            <w:r w:rsidRPr="00363680">
              <w:rPr>
                <w:rFonts w:cs="Arial"/>
                <w:sz w:val="16"/>
                <w:szCs w:val="16"/>
              </w:rPr>
              <w:t>7:00 PM</w:t>
            </w:r>
          </w:p>
        </w:tc>
      </w:tr>
      <w:tr w:rsidR="00363680" w:rsidRPr="00363680" w14:paraId="6FF3BAF7"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7ACDE4F9" w14:textId="77777777" w:rsidR="00363680" w:rsidRPr="00363680" w:rsidRDefault="00363680" w:rsidP="00363680">
            <w:pPr>
              <w:spacing w:line="240" w:lineRule="auto"/>
              <w:jc w:val="right"/>
              <w:rPr>
                <w:rFonts w:cs="Arial"/>
                <w:sz w:val="16"/>
                <w:szCs w:val="16"/>
              </w:rPr>
            </w:pPr>
            <w:r w:rsidRPr="00363680">
              <w:rPr>
                <w:rFonts w:cs="Arial"/>
                <w:sz w:val="16"/>
                <w:szCs w:val="16"/>
              </w:rPr>
              <w:t>2018-07-05</w:t>
            </w:r>
          </w:p>
        </w:tc>
        <w:tc>
          <w:tcPr>
            <w:tcW w:w="1300" w:type="dxa"/>
            <w:tcBorders>
              <w:top w:val="nil"/>
              <w:left w:val="nil"/>
              <w:bottom w:val="nil"/>
              <w:right w:val="nil"/>
            </w:tcBorders>
            <w:shd w:val="clear" w:color="000000" w:fill="F2F2F2"/>
            <w:noWrap/>
            <w:vAlign w:val="center"/>
            <w:hideMark/>
          </w:tcPr>
          <w:p w14:paraId="47D60CE8"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c>
          <w:tcPr>
            <w:tcW w:w="1220" w:type="dxa"/>
            <w:tcBorders>
              <w:top w:val="nil"/>
              <w:left w:val="single" w:sz="4" w:space="0" w:color="auto"/>
              <w:bottom w:val="nil"/>
              <w:right w:val="single" w:sz="4" w:space="0" w:color="auto"/>
            </w:tcBorders>
            <w:shd w:val="clear" w:color="000000" w:fill="F2F2F2"/>
            <w:noWrap/>
            <w:vAlign w:val="center"/>
            <w:hideMark/>
          </w:tcPr>
          <w:p w14:paraId="79BA0236" w14:textId="77777777" w:rsidR="00363680" w:rsidRPr="00363680" w:rsidRDefault="00363680" w:rsidP="00363680">
            <w:pPr>
              <w:spacing w:line="240" w:lineRule="auto"/>
              <w:jc w:val="center"/>
              <w:rPr>
                <w:rFonts w:cs="Arial"/>
                <w:sz w:val="16"/>
                <w:szCs w:val="16"/>
              </w:rPr>
            </w:pPr>
            <w:r w:rsidRPr="00363680">
              <w:rPr>
                <w:rFonts w:cs="Arial"/>
                <w:sz w:val="16"/>
                <w:szCs w:val="16"/>
              </w:rPr>
              <w:t>7:00 PM</w:t>
            </w:r>
          </w:p>
        </w:tc>
      </w:tr>
      <w:tr w:rsidR="00363680" w:rsidRPr="00363680" w14:paraId="024F6BC6"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74587E8D" w14:textId="77777777" w:rsidR="00363680" w:rsidRPr="00363680" w:rsidRDefault="00363680" w:rsidP="00363680">
            <w:pPr>
              <w:spacing w:line="240" w:lineRule="auto"/>
              <w:jc w:val="right"/>
              <w:rPr>
                <w:rFonts w:cs="Arial"/>
                <w:sz w:val="16"/>
                <w:szCs w:val="16"/>
              </w:rPr>
            </w:pPr>
            <w:r w:rsidRPr="00363680">
              <w:rPr>
                <w:rFonts w:cs="Arial"/>
                <w:sz w:val="16"/>
                <w:szCs w:val="16"/>
              </w:rPr>
              <w:t>2018-07-16</w:t>
            </w:r>
          </w:p>
        </w:tc>
        <w:tc>
          <w:tcPr>
            <w:tcW w:w="1300" w:type="dxa"/>
            <w:tcBorders>
              <w:top w:val="nil"/>
              <w:left w:val="nil"/>
              <w:bottom w:val="nil"/>
              <w:right w:val="nil"/>
            </w:tcBorders>
            <w:shd w:val="clear" w:color="000000" w:fill="FFFFFF"/>
            <w:noWrap/>
            <w:vAlign w:val="center"/>
            <w:hideMark/>
          </w:tcPr>
          <w:p w14:paraId="01FBEBED"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FFFFF"/>
            <w:noWrap/>
            <w:vAlign w:val="center"/>
            <w:hideMark/>
          </w:tcPr>
          <w:p w14:paraId="38968A96"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3A50249C"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3BE635CA" w14:textId="77777777" w:rsidR="00363680" w:rsidRPr="00363680" w:rsidRDefault="00363680" w:rsidP="00363680">
            <w:pPr>
              <w:spacing w:line="240" w:lineRule="auto"/>
              <w:jc w:val="right"/>
              <w:rPr>
                <w:rFonts w:cs="Arial"/>
                <w:sz w:val="16"/>
                <w:szCs w:val="16"/>
              </w:rPr>
            </w:pPr>
            <w:r w:rsidRPr="00363680">
              <w:rPr>
                <w:rFonts w:cs="Arial"/>
                <w:sz w:val="16"/>
                <w:szCs w:val="16"/>
              </w:rPr>
              <w:t>2018-07-17</w:t>
            </w:r>
          </w:p>
        </w:tc>
        <w:tc>
          <w:tcPr>
            <w:tcW w:w="1300" w:type="dxa"/>
            <w:tcBorders>
              <w:top w:val="nil"/>
              <w:left w:val="nil"/>
              <w:bottom w:val="nil"/>
              <w:right w:val="nil"/>
            </w:tcBorders>
            <w:shd w:val="clear" w:color="000000" w:fill="F2F2F2"/>
            <w:noWrap/>
            <w:vAlign w:val="center"/>
            <w:hideMark/>
          </w:tcPr>
          <w:p w14:paraId="09AA5C55"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67A4DA1B"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47ACF20F"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2F99569B" w14:textId="77777777" w:rsidR="00363680" w:rsidRPr="00363680" w:rsidRDefault="00363680" w:rsidP="00363680">
            <w:pPr>
              <w:spacing w:line="240" w:lineRule="auto"/>
              <w:jc w:val="right"/>
              <w:rPr>
                <w:rFonts w:cs="Arial"/>
                <w:sz w:val="16"/>
                <w:szCs w:val="16"/>
              </w:rPr>
            </w:pPr>
            <w:r w:rsidRPr="00363680">
              <w:rPr>
                <w:rFonts w:cs="Arial"/>
                <w:sz w:val="16"/>
                <w:szCs w:val="16"/>
              </w:rPr>
              <w:t>2018-07-24</w:t>
            </w:r>
          </w:p>
        </w:tc>
        <w:tc>
          <w:tcPr>
            <w:tcW w:w="1300" w:type="dxa"/>
            <w:tcBorders>
              <w:top w:val="nil"/>
              <w:left w:val="nil"/>
              <w:bottom w:val="nil"/>
              <w:right w:val="nil"/>
            </w:tcBorders>
            <w:shd w:val="clear" w:color="000000" w:fill="FFFFFF"/>
            <w:noWrap/>
            <w:vAlign w:val="center"/>
            <w:hideMark/>
          </w:tcPr>
          <w:p w14:paraId="289C3B4C"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FFFFF"/>
            <w:noWrap/>
            <w:vAlign w:val="center"/>
            <w:hideMark/>
          </w:tcPr>
          <w:p w14:paraId="0C9B94ED"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77DAFED8"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50CEF87F" w14:textId="77777777" w:rsidR="00363680" w:rsidRPr="00363680" w:rsidRDefault="00363680" w:rsidP="00363680">
            <w:pPr>
              <w:spacing w:line="240" w:lineRule="auto"/>
              <w:jc w:val="right"/>
              <w:rPr>
                <w:rFonts w:cs="Arial"/>
                <w:sz w:val="16"/>
                <w:szCs w:val="16"/>
              </w:rPr>
            </w:pPr>
            <w:r w:rsidRPr="00363680">
              <w:rPr>
                <w:rFonts w:cs="Arial"/>
                <w:sz w:val="16"/>
                <w:szCs w:val="16"/>
              </w:rPr>
              <w:t>2018-08-07</w:t>
            </w:r>
          </w:p>
        </w:tc>
        <w:tc>
          <w:tcPr>
            <w:tcW w:w="1300" w:type="dxa"/>
            <w:tcBorders>
              <w:top w:val="nil"/>
              <w:left w:val="nil"/>
              <w:bottom w:val="nil"/>
              <w:right w:val="nil"/>
            </w:tcBorders>
            <w:shd w:val="clear" w:color="000000" w:fill="F2F2F2"/>
            <w:noWrap/>
            <w:vAlign w:val="center"/>
            <w:hideMark/>
          </w:tcPr>
          <w:p w14:paraId="2F20122E"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7C6633B7"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11646D72"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276F9EFA" w14:textId="77777777" w:rsidR="00363680" w:rsidRPr="00363680" w:rsidRDefault="00363680" w:rsidP="00363680">
            <w:pPr>
              <w:spacing w:line="240" w:lineRule="auto"/>
              <w:jc w:val="right"/>
              <w:rPr>
                <w:rFonts w:cs="Arial"/>
                <w:sz w:val="16"/>
                <w:szCs w:val="16"/>
              </w:rPr>
            </w:pPr>
            <w:r w:rsidRPr="00363680">
              <w:rPr>
                <w:rFonts w:cs="Arial"/>
                <w:sz w:val="16"/>
                <w:szCs w:val="16"/>
              </w:rPr>
              <w:t>2018-08-15</w:t>
            </w:r>
          </w:p>
        </w:tc>
        <w:tc>
          <w:tcPr>
            <w:tcW w:w="1300" w:type="dxa"/>
            <w:tcBorders>
              <w:top w:val="nil"/>
              <w:left w:val="nil"/>
              <w:bottom w:val="nil"/>
              <w:right w:val="nil"/>
            </w:tcBorders>
            <w:shd w:val="clear" w:color="000000" w:fill="FFFFFF"/>
            <w:noWrap/>
            <w:vAlign w:val="center"/>
            <w:hideMark/>
          </w:tcPr>
          <w:p w14:paraId="0032B610"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c>
          <w:tcPr>
            <w:tcW w:w="1220" w:type="dxa"/>
            <w:tcBorders>
              <w:top w:val="nil"/>
              <w:left w:val="single" w:sz="4" w:space="0" w:color="auto"/>
              <w:bottom w:val="nil"/>
              <w:right w:val="single" w:sz="4" w:space="0" w:color="auto"/>
            </w:tcBorders>
            <w:shd w:val="clear" w:color="000000" w:fill="FFFFFF"/>
            <w:noWrap/>
            <w:vAlign w:val="center"/>
            <w:hideMark/>
          </w:tcPr>
          <w:p w14:paraId="347F441A" w14:textId="77777777" w:rsidR="00363680" w:rsidRPr="00363680" w:rsidRDefault="00363680" w:rsidP="00363680">
            <w:pPr>
              <w:spacing w:line="240" w:lineRule="auto"/>
              <w:jc w:val="center"/>
              <w:rPr>
                <w:rFonts w:cs="Arial"/>
                <w:sz w:val="16"/>
                <w:szCs w:val="16"/>
              </w:rPr>
            </w:pPr>
            <w:r w:rsidRPr="00363680">
              <w:rPr>
                <w:rFonts w:cs="Arial"/>
                <w:sz w:val="16"/>
                <w:szCs w:val="16"/>
              </w:rPr>
              <w:t>7:00 PM</w:t>
            </w:r>
          </w:p>
        </w:tc>
      </w:tr>
      <w:tr w:rsidR="00363680" w:rsidRPr="00363680" w14:paraId="17935499"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54C761AA" w14:textId="77777777" w:rsidR="00363680" w:rsidRPr="00363680" w:rsidRDefault="00363680" w:rsidP="00363680">
            <w:pPr>
              <w:spacing w:line="240" w:lineRule="auto"/>
              <w:jc w:val="right"/>
              <w:rPr>
                <w:rFonts w:cs="Arial"/>
                <w:sz w:val="16"/>
                <w:szCs w:val="16"/>
              </w:rPr>
            </w:pPr>
            <w:r w:rsidRPr="00363680">
              <w:rPr>
                <w:rFonts w:cs="Arial"/>
                <w:sz w:val="16"/>
                <w:szCs w:val="16"/>
              </w:rPr>
              <w:t>2018-08-16</w:t>
            </w:r>
          </w:p>
        </w:tc>
        <w:tc>
          <w:tcPr>
            <w:tcW w:w="1300" w:type="dxa"/>
            <w:tcBorders>
              <w:top w:val="nil"/>
              <w:left w:val="nil"/>
              <w:bottom w:val="nil"/>
              <w:right w:val="nil"/>
            </w:tcBorders>
            <w:shd w:val="clear" w:color="000000" w:fill="F2F2F2"/>
            <w:noWrap/>
            <w:vAlign w:val="center"/>
            <w:hideMark/>
          </w:tcPr>
          <w:p w14:paraId="7FFA99E2"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4BEE7F38"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77933913"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0A212F7A" w14:textId="77777777" w:rsidR="00363680" w:rsidRPr="00363680" w:rsidRDefault="00363680" w:rsidP="00363680">
            <w:pPr>
              <w:spacing w:line="240" w:lineRule="auto"/>
              <w:jc w:val="right"/>
              <w:rPr>
                <w:rFonts w:cs="Arial"/>
                <w:sz w:val="16"/>
                <w:szCs w:val="16"/>
              </w:rPr>
            </w:pPr>
            <w:r w:rsidRPr="00363680">
              <w:rPr>
                <w:rFonts w:cs="Arial"/>
                <w:sz w:val="16"/>
                <w:szCs w:val="16"/>
              </w:rPr>
              <w:t>2018-08-17</w:t>
            </w:r>
          </w:p>
        </w:tc>
        <w:tc>
          <w:tcPr>
            <w:tcW w:w="1300" w:type="dxa"/>
            <w:tcBorders>
              <w:top w:val="nil"/>
              <w:left w:val="nil"/>
              <w:bottom w:val="nil"/>
              <w:right w:val="nil"/>
            </w:tcBorders>
            <w:shd w:val="clear" w:color="000000" w:fill="FFFFFF"/>
            <w:noWrap/>
            <w:vAlign w:val="center"/>
            <w:hideMark/>
          </w:tcPr>
          <w:p w14:paraId="36271025"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FFFFF"/>
            <w:noWrap/>
            <w:vAlign w:val="center"/>
            <w:hideMark/>
          </w:tcPr>
          <w:p w14:paraId="13A33775"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75A790BA"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6601893B" w14:textId="77777777" w:rsidR="00363680" w:rsidRPr="00363680" w:rsidRDefault="00363680" w:rsidP="00363680">
            <w:pPr>
              <w:spacing w:line="240" w:lineRule="auto"/>
              <w:jc w:val="right"/>
              <w:rPr>
                <w:rFonts w:cs="Arial"/>
                <w:sz w:val="16"/>
                <w:szCs w:val="16"/>
              </w:rPr>
            </w:pPr>
            <w:r w:rsidRPr="00363680">
              <w:rPr>
                <w:rFonts w:cs="Arial"/>
                <w:sz w:val="16"/>
                <w:szCs w:val="16"/>
              </w:rPr>
              <w:t>2018-08-20</w:t>
            </w:r>
          </w:p>
        </w:tc>
        <w:tc>
          <w:tcPr>
            <w:tcW w:w="1300" w:type="dxa"/>
            <w:tcBorders>
              <w:top w:val="nil"/>
              <w:left w:val="nil"/>
              <w:bottom w:val="nil"/>
              <w:right w:val="nil"/>
            </w:tcBorders>
            <w:shd w:val="clear" w:color="000000" w:fill="F2F2F2"/>
            <w:noWrap/>
            <w:vAlign w:val="center"/>
            <w:hideMark/>
          </w:tcPr>
          <w:p w14:paraId="63FA9C09"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2040EBEC"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7A99C2ED"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3868212A" w14:textId="77777777" w:rsidR="00363680" w:rsidRPr="00363680" w:rsidRDefault="00363680" w:rsidP="00363680">
            <w:pPr>
              <w:spacing w:line="240" w:lineRule="auto"/>
              <w:jc w:val="right"/>
              <w:rPr>
                <w:rFonts w:cs="Arial"/>
                <w:sz w:val="16"/>
                <w:szCs w:val="16"/>
              </w:rPr>
            </w:pPr>
            <w:r w:rsidRPr="00363680">
              <w:rPr>
                <w:rFonts w:cs="Arial"/>
                <w:sz w:val="16"/>
                <w:szCs w:val="16"/>
              </w:rPr>
              <w:t>2018-08-27</w:t>
            </w:r>
          </w:p>
        </w:tc>
        <w:tc>
          <w:tcPr>
            <w:tcW w:w="1300" w:type="dxa"/>
            <w:tcBorders>
              <w:top w:val="nil"/>
              <w:left w:val="nil"/>
              <w:bottom w:val="nil"/>
              <w:right w:val="nil"/>
            </w:tcBorders>
            <w:shd w:val="clear" w:color="000000" w:fill="FFFFFF"/>
            <w:noWrap/>
            <w:vAlign w:val="center"/>
            <w:hideMark/>
          </w:tcPr>
          <w:p w14:paraId="0DCD09D3"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FFFFF"/>
            <w:noWrap/>
            <w:vAlign w:val="center"/>
            <w:hideMark/>
          </w:tcPr>
          <w:p w14:paraId="0DFE94A9"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0D4C5A84" w14:textId="77777777" w:rsidTr="00363680">
        <w:trPr>
          <w:trHeight w:val="200"/>
          <w:jc w:val="center"/>
        </w:trPr>
        <w:tc>
          <w:tcPr>
            <w:tcW w:w="1180" w:type="dxa"/>
            <w:tcBorders>
              <w:top w:val="nil"/>
              <w:left w:val="single" w:sz="4" w:space="0" w:color="auto"/>
              <w:bottom w:val="nil"/>
              <w:right w:val="single" w:sz="4" w:space="0" w:color="auto"/>
            </w:tcBorders>
            <w:shd w:val="clear" w:color="000000" w:fill="F2F2F2"/>
            <w:noWrap/>
            <w:vAlign w:val="bottom"/>
            <w:hideMark/>
          </w:tcPr>
          <w:p w14:paraId="77D7EC64" w14:textId="77777777" w:rsidR="00363680" w:rsidRPr="00363680" w:rsidRDefault="00363680" w:rsidP="00363680">
            <w:pPr>
              <w:spacing w:line="240" w:lineRule="auto"/>
              <w:jc w:val="right"/>
              <w:rPr>
                <w:rFonts w:cs="Arial"/>
                <w:sz w:val="16"/>
                <w:szCs w:val="16"/>
              </w:rPr>
            </w:pPr>
            <w:r w:rsidRPr="00363680">
              <w:rPr>
                <w:rFonts w:cs="Arial"/>
                <w:sz w:val="16"/>
                <w:szCs w:val="16"/>
              </w:rPr>
              <w:t>2018-09-05</w:t>
            </w:r>
          </w:p>
        </w:tc>
        <w:tc>
          <w:tcPr>
            <w:tcW w:w="1300" w:type="dxa"/>
            <w:tcBorders>
              <w:top w:val="nil"/>
              <w:left w:val="nil"/>
              <w:bottom w:val="nil"/>
              <w:right w:val="nil"/>
            </w:tcBorders>
            <w:shd w:val="clear" w:color="000000" w:fill="F2F2F2"/>
            <w:noWrap/>
            <w:vAlign w:val="center"/>
            <w:hideMark/>
          </w:tcPr>
          <w:p w14:paraId="3194A08E"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2F2F2"/>
            <w:noWrap/>
            <w:vAlign w:val="center"/>
            <w:hideMark/>
          </w:tcPr>
          <w:p w14:paraId="2DE0348A"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06659F03" w14:textId="77777777" w:rsidTr="00363680">
        <w:trPr>
          <w:trHeight w:val="200"/>
          <w:jc w:val="center"/>
        </w:trPr>
        <w:tc>
          <w:tcPr>
            <w:tcW w:w="1180" w:type="dxa"/>
            <w:tcBorders>
              <w:top w:val="nil"/>
              <w:left w:val="single" w:sz="4" w:space="0" w:color="auto"/>
              <w:bottom w:val="nil"/>
              <w:right w:val="single" w:sz="4" w:space="0" w:color="auto"/>
            </w:tcBorders>
            <w:shd w:val="clear" w:color="000000" w:fill="FFFFFF"/>
            <w:noWrap/>
            <w:vAlign w:val="bottom"/>
            <w:hideMark/>
          </w:tcPr>
          <w:p w14:paraId="45393F43" w14:textId="77777777" w:rsidR="00363680" w:rsidRPr="00363680" w:rsidRDefault="00363680" w:rsidP="00363680">
            <w:pPr>
              <w:spacing w:line="240" w:lineRule="auto"/>
              <w:jc w:val="right"/>
              <w:rPr>
                <w:rFonts w:cs="Arial"/>
                <w:sz w:val="16"/>
                <w:szCs w:val="16"/>
              </w:rPr>
            </w:pPr>
            <w:r w:rsidRPr="00363680">
              <w:rPr>
                <w:rFonts w:cs="Arial"/>
                <w:sz w:val="16"/>
                <w:szCs w:val="16"/>
              </w:rPr>
              <w:t>2018-09-06</w:t>
            </w:r>
          </w:p>
        </w:tc>
        <w:tc>
          <w:tcPr>
            <w:tcW w:w="1300" w:type="dxa"/>
            <w:tcBorders>
              <w:top w:val="nil"/>
              <w:left w:val="nil"/>
              <w:bottom w:val="nil"/>
              <w:right w:val="nil"/>
            </w:tcBorders>
            <w:shd w:val="clear" w:color="000000" w:fill="FFFFFF"/>
            <w:noWrap/>
            <w:vAlign w:val="center"/>
            <w:hideMark/>
          </w:tcPr>
          <w:p w14:paraId="403CC7DB"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nil"/>
              <w:right w:val="single" w:sz="4" w:space="0" w:color="auto"/>
            </w:tcBorders>
            <w:shd w:val="clear" w:color="000000" w:fill="FFFFFF"/>
            <w:noWrap/>
            <w:vAlign w:val="center"/>
            <w:hideMark/>
          </w:tcPr>
          <w:p w14:paraId="76CBE037"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r w:rsidR="00363680" w:rsidRPr="00363680" w14:paraId="50D13D88" w14:textId="77777777" w:rsidTr="00363680">
        <w:trPr>
          <w:trHeight w:val="200"/>
          <w:jc w:val="center"/>
        </w:trPr>
        <w:tc>
          <w:tcPr>
            <w:tcW w:w="1180" w:type="dxa"/>
            <w:tcBorders>
              <w:top w:val="nil"/>
              <w:left w:val="single" w:sz="4" w:space="0" w:color="auto"/>
              <w:bottom w:val="single" w:sz="4" w:space="0" w:color="auto"/>
              <w:right w:val="single" w:sz="4" w:space="0" w:color="auto"/>
            </w:tcBorders>
            <w:shd w:val="clear" w:color="000000" w:fill="F2F2F2"/>
            <w:noWrap/>
            <w:vAlign w:val="bottom"/>
            <w:hideMark/>
          </w:tcPr>
          <w:p w14:paraId="0391E17A" w14:textId="77777777" w:rsidR="00363680" w:rsidRPr="00363680" w:rsidRDefault="00363680" w:rsidP="00363680">
            <w:pPr>
              <w:spacing w:line="240" w:lineRule="auto"/>
              <w:jc w:val="right"/>
              <w:rPr>
                <w:rFonts w:cs="Arial"/>
                <w:sz w:val="16"/>
                <w:szCs w:val="16"/>
              </w:rPr>
            </w:pPr>
            <w:r w:rsidRPr="00363680">
              <w:rPr>
                <w:rFonts w:cs="Arial"/>
                <w:sz w:val="16"/>
                <w:szCs w:val="16"/>
              </w:rPr>
              <w:t>2018-09-17</w:t>
            </w:r>
          </w:p>
        </w:tc>
        <w:tc>
          <w:tcPr>
            <w:tcW w:w="1300" w:type="dxa"/>
            <w:tcBorders>
              <w:top w:val="nil"/>
              <w:left w:val="nil"/>
              <w:bottom w:val="single" w:sz="4" w:space="0" w:color="auto"/>
              <w:right w:val="nil"/>
            </w:tcBorders>
            <w:shd w:val="clear" w:color="000000" w:fill="F2F2F2"/>
            <w:noWrap/>
            <w:vAlign w:val="center"/>
            <w:hideMark/>
          </w:tcPr>
          <w:p w14:paraId="0E83BF51" w14:textId="77777777" w:rsidR="00363680" w:rsidRPr="00363680" w:rsidRDefault="00363680" w:rsidP="00363680">
            <w:pPr>
              <w:spacing w:line="240" w:lineRule="auto"/>
              <w:jc w:val="center"/>
              <w:rPr>
                <w:rFonts w:cs="Arial"/>
                <w:sz w:val="16"/>
                <w:szCs w:val="16"/>
              </w:rPr>
            </w:pPr>
            <w:r w:rsidRPr="00363680">
              <w:rPr>
                <w:rFonts w:cs="Arial"/>
                <w:sz w:val="16"/>
                <w:szCs w:val="16"/>
              </w:rPr>
              <w:t>5:00 PM</w:t>
            </w:r>
          </w:p>
        </w:tc>
        <w:tc>
          <w:tcPr>
            <w:tcW w:w="1220" w:type="dxa"/>
            <w:tcBorders>
              <w:top w:val="nil"/>
              <w:left w:val="single" w:sz="4" w:space="0" w:color="auto"/>
              <w:bottom w:val="single" w:sz="4" w:space="0" w:color="auto"/>
              <w:right w:val="single" w:sz="4" w:space="0" w:color="auto"/>
            </w:tcBorders>
            <w:shd w:val="clear" w:color="000000" w:fill="F2F2F2"/>
            <w:noWrap/>
            <w:vAlign w:val="center"/>
            <w:hideMark/>
          </w:tcPr>
          <w:p w14:paraId="6F4F5087" w14:textId="77777777" w:rsidR="00363680" w:rsidRPr="00363680" w:rsidRDefault="00363680" w:rsidP="00363680">
            <w:pPr>
              <w:spacing w:line="240" w:lineRule="auto"/>
              <w:jc w:val="center"/>
              <w:rPr>
                <w:rFonts w:cs="Arial"/>
                <w:sz w:val="16"/>
                <w:szCs w:val="16"/>
              </w:rPr>
            </w:pPr>
            <w:r w:rsidRPr="00363680">
              <w:rPr>
                <w:rFonts w:cs="Arial"/>
                <w:sz w:val="16"/>
                <w:szCs w:val="16"/>
              </w:rPr>
              <w:t>6:00 PM</w:t>
            </w:r>
          </w:p>
        </w:tc>
      </w:tr>
    </w:tbl>
    <w:p w14:paraId="64003C55" w14:textId="7CE87127" w:rsidR="00363680" w:rsidRDefault="00363680" w:rsidP="00600ADC"/>
    <w:p w14:paraId="7C49EA63" w14:textId="41294F7F" w:rsidR="00363680" w:rsidRDefault="00363680" w:rsidP="00363680">
      <w:pPr>
        <w:pStyle w:val="Heading3"/>
      </w:pPr>
      <w:bookmarkStart w:id="43" w:name="_Ref1488905"/>
      <w:bookmarkStart w:id="44" w:name="_Toc8393582"/>
      <w:r>
        <w:t>CPP Group Connectivity Data</w:t>
      </w:r>
      <w:bookmarkEnd w:id="43"/>
      <w:bookmarkEnd w:id="44"/>
    </w:p>
    <w:p w14:paraId="68DB8AC9" w14:textId="168345A0" w:rsidR="00363680" w:rsidRDefault="002B5155" w:rsidP="00363680">
      <w:r>
        <w:t xml:space="preserve">As part of this pilot, London Hydro staff have tracked the connectivity of individual </w:t>
      </w:r>
      <w:r w:rsidR="00B5607F">
        <w:t xml:space="preserve">CPP and CPP/RT </w:t>
      </w:r>
      <w:r>
        <w:t xml:space="preserve">participants. For any given event, participants’ </w:t>
      </w:r>
      <w:r w:rsidR="006B0E8E">
        <w:t>enabling technologies</w:t>
      </w:r>
      <w:r>
        <w:t xml:space="preserve"> (the switch at the panel and the smart plug) may or may not be connected, via a hub, to the London Hydro dispatch system. Those participants not connected to the system on event days did not benefit from the automatic control of connected appliances (e.g., central A/C). </w:t>
      </w:r>
    </w:p>
    <w:p w14:paraId="7F6736E5" w14:textId="77189CAE" w:rsidR="002B5155" w:rsidRDefault="002B5155" w:rsidP="00363680"/>
    <w:p w14:paraId="063FA8A4" w14:textId="4E468105" w:rsidR="002B5155" w:rsidRDefault="002B5155" w:rsidP="00363680">
      <w:r>
        <w:t>On average approximately 80% of participants were connected for any given event.</w:t>
      </w:r>
      <w:r w:rsidR="003945EA">
        <w:t>.</w:t>
      </w:r>
      <w:r>
        <w:t xml:space="preserve"> </w:t>
      </w:r>
    </w:p>
    <w:p w14:paraId="28139ADD" w14:textId="10AA4F05" w:rsidR="002B5155" w:rsidRDefault="002B5155" w:rsidP="00363680"/>
    <w:p w14:paraId="2B96E451" w14:textId="1DA4A471" w:rsidR="002B5155" w:rsidRDefault="002B5155" w:rsidP="006B0E8E">
      <w:pPr>
        <w:pStyle w:val="Caption"/>
      </w:pPr>
      <w:bookmarkStart w:id="45" w:name="_Toc8393616"/>
      <w:r>
        <w:t xml:space="preserve">Figure </w:t>
      </w:r>
      <w:fldSimple w:instr=" SEQ Figure \* ARABIC ">
        <w:r w:rsidR="00413291">
          <w:rPr>
            <w:noProof/>
          </w:rPr>
          <w:t>8</w:t>
        </w:r>
      </w:fldSimple>
      <w:r>
        <w:t>: Event-Specific Connectivity Rate</w:t>
      </w:r>
      <w:bookmarkEnd w:id="45"/>
    </w:p>
    <w:p w14:paraId="70A62876" w14:textId="4587FFAE" w:rsidR="002B5155" w:rsidRDefault="002B5155" w:rsidP="006B0E8E">
      <w:pPr>
        <w:jc w:val="center"/>
      </w:pPr>
      <w:r>
        <w:rPr>
          <w:noProof/>
        </w:rPr>
        <w:drawing>
          <wp:inline distT="0" distB="0" distL="0" distR="0" wp14:anchorId="6ACC5551" wp14:editId="3BF207C7">
            <wp:extent cx="5194299" cy="3124200"/>
            <wp:effectExtent l="0" t="0" r="6985" b="0"/>
            <wp:docPr id="4" name="Chart 4">
              <a:extLst xmlns:a="http://schemas.openxmlformats.org/drawingml/2006/main">
                <a:ext uri="{FF2B5EF4-FFF2-40B4-BE49-F238E27FC236}">
                  <a16:creationId xmlns:a16="http://schemas.microsoft.com/office/drawing/2014/main" id="{F8DC5DA7-7DA3-4A39-94B1-86335F341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688C62" w14:textId="4E3D9E5D" w:rsidR="003945EA" w:rsidRDefault="003945EA" w:rsidP="00363680"/>
    <w:p w14:paraId="2CF143B5" w14:textId="0F7063F8" w:rsidR="00977AAA" w:rsidRDefault="00977AAA" w:rsidP="00363680">
      <w:r>
        <w:fldChar w:fldCharType="begin"/>
      </w:r>
      <w:r>
        <w:instrText xml:space="preserve"> REF _Ref1022192 \h </w:instrText>
      </w:r>
      <w:r>
        <w:fldChar w:fldCharType="separate"/>
      </w:r>
      <w:r w:rsidR="00413291">
        <w:t xml:space="preserve">Figure </w:t>
      </w:r>
      <w:r w:rsidR="00413291">
        <w:rPr>
          <w:noProof/>
        </w:rPr>
        <w:t>9</w:t>
      </w:r>
      <w:r>
        <w:fldChar w:fldCharType="end"/>
      </w:r>
      <w:r>
        <w:t xml:space="preserve">, below, shows the distribution across CPP and CPP/RT participants of disconnection frequency. This plot shows, for example, that 14% of participants were disconnected for only a single event, 6% were disconnected for two events, etc. Altogether 46% of participants were connected for </w:t>
      </w:r>
      <w:r w:rsidRPr="006B0E8E">
        <w:rPr>
          <w:i/>
        </w:rPr>
        <w:t>all</w:t>
      </w:r>
      <w:r>
        <w:t xml:space="preserve"> events, and 4% of participants were not connected for any of the events.</w:t>
      </w:r>
    </w:p>
    <w:p w14:paraId="07CE4596" w14:textId="3580D3A1" w:rsidR="00977AAA" w:rsidRDefault="00977AAA" w:rsidP="00977AAA">
      <w:pPr>
        <w:pStyle w:val="Caption"/>
      </w:pPr>
      <w:bookmarkStart w:id="46" w:name="_Ref1022192"/>
      <w:bookmarkStart w:id="47" w:name="_Toc8393617"/>
      <w:r>
        <w:lastRenderedPageBreak/>
        <w:t xml:space="preserve">Figure </w:t>
      </w:r>
      <w:fldSimple w:instr=" SEQ Figure \* ARABIC ">
        <w:r w:rsidR="00413291">
          <w:rPr>
            <w:noProof/>
          </w:rPr>
          <w:t>9</w:t>
        </w:r>
      </w:fldSimple>
      <w:bookmarkEnd w:id="46"/>
      <w:r>
        <w:t>: Distribution of Disconnection Frequency</w:t>
      </w:r>
      <w:bookmarkEnd w:id="47"/>
    </w:p>
    <w:p w14:paraId="386BB3C2" w14:textId="32DA335B" w:rsidR="003945EA" w:rsidRDefault="00977AAA" w:rsidP="00977AAA">
      <w:pPr>
        <w:jc w:val="center"/>
      </w:pPr>
      <w:r>
        <w:rPr>
          <w:noProof/>
        </w:rPr>
        <w:drawing>
          <wp:inline distT="0" distB="0" distL="0" distR="0" wp14:anchorId="432659C4" wp14:editId="314E929D">
            <wp:extent cx="4575175" cy="2746375"/>
            <wp:effectExtent l="0" t="0" r="0" b="0"/>
            <wp:docPr id="6" name="Chart 6">
              <a:extLst xmlns:a="http://schemas.openxmlformats.org/drawingml/2006/main">
                <a:ext uri="{FF2B5EF4-FFF2-40B4-BE49-F238E27FC236}">
                  <a16:creationId xmlns:a16="http://schemas.microsoft.com/office/drawing/2014/main" id="{96C44EED-192E-4264-B3E1-9B6E0645E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F0EB3E" w14:textId="5AE2553C" w:rsidR="00977AAA" w:rsidRDefault="00977AAA" w:rsidP="00977AAA">
      <w:r>
        <w:t xml:space="preserve">These disconnected customers are </w:t>
      </w:r>
      <w:r w:rsidR="00BB7E41">
        <w:t>an</w:t>
      </w:r>
      <w:r>
        <w:t xml:space="preserve"> advantage for this pilot evaluation, from the standpoint of information gathering.</w:t>
      </w:r>
      <w:r>
        <w:rPr>
          <w:rStyle w:val="FootnoteReference"/>
        </w:rPr>
        <w:footnoteReference w:id="18"/>
      </w:r>
      <w:r w:rsidR="00BB7E41">
        <w:t xml:space="preserve"> The fact that a meaningful (though relatively small) proportion of the participant population are disconnected for any given event makes it possible to quantify the purely behavioural impact of the CPP event – that is, absent the control technology, are participants still able to respond to the CPP event with 15 minutes’ notice?</w:t>
      </w:r>
    </w:p>
    <w:p w14:paraId="124303F7" w14:textId="295D10C3" w:rsidR="00DE6D2F" w:rsidRDefault="00DE6D2F" w:rsidP="00977AAA"/>
    <w:p w14:paraId="0037FDE4" w14:textId="56B01ED2" w:rsidR="00DE6D2F" w:rsidRPr="001814C5" w:rsidRDefault="00DE6D2F" w:rsidP="00DE6D2F">
      <w:r w:rsidRPr="001814C5">
        <w:t>Participants not connected are still subject to the pilot pricing and are therefore</w:t>
      </w:r>
      <w:r>
        <w:t xml:space="preserve"> still considered pilot</w:t>
      </w:r>
      <w:r w:rsidRPr="001814C5">
        <w:t xml:space="preserve"> participants.</w:t>
      </w:r>
    </w:p>
    <w:p w14:paraId="34788C1F" w14:textId="6643297C" w:rsidR="00B33E43" w:rsidRDefault="00B33E43" w:rsidP="007864C0">
      <w:pPr>
        <w:pStyle w:val="Heading2"/>
      </w:pPr>
      <w:bookmarkStart w:id="48" w:name="_Ref974557"/>
      <w:bookmarkStart w:id="49" w:name="_Toc8393583"/>
      <w:bookmarkStart w:id="50" w:name="_Ref972819"/>
      <w:r>
        <w:t>Experimental Design</w:t>
      </w:r>
      <w:bookmarkEnd w:id="48"/>
      <w:bookmarkEnd w:id="49"/>
    </w:p>
    <w:p w14:paraId="399B7574" w14:textId="7B496A10" w:rsidR="00B33E43" w:rsidRDefault="006B5693" w:rsidP="00B33E43">
      <w:r>
        <w:t>A pilot program is an experiment, and the primary goal of</w:t>
      </w:r>
      <w:r w:rsidR="00DA38CB">
        <w:t xml:space="preserve"> an experiment </w:t>
      </w:r>
      <w:r>
        <w:t>is to provide</w:t>
      </w:r>
      <w:r w:rsidR="00DA38CB">
        <w:t xml:space="preserve"> information. In this case, the goal is to provi</w:t>
      </w:r>
      <w:r w:rsidR="00CF6FED">
        <w:t>d</w:t>
      </w:r>
      <w:r w:rsidR="00DA38CB">
        <w:t>e</w:t>
      </w:r>
      <w:r>
        <w:t xml:space="preserve"> key decision-makers with </w:t>
      </w:r>
      <w:r w:rsidR="002C5EBC">
        <w:t>the information they require in order to ascertain whether it is advisable to proceed with a wider program roll-out, and whether any changes should be applied to the design of the program itself.</w:t>
      </w:r>
    </w:p>
    <w:p w14:paraId="417F37C5" w14:textId="5E2ABF69" w:rsidR="002C5EBC" w:rsidRDefault="002C5EBC" w:rsidP="00B33E43"/>
    <w:p w14:paraId="28FE1229" w14:textId="760A4E48" w:rsidR="002C5EBC" w:rsidRDefault="002C5EBC" w:rsidP="00B33E43">
      <w:r>
        <w:t xml:space="preserve">The key quantitative information provided by a pilot is the </w:t>
      </w:r>
      <w:r w:rsidR="009A3412">
        <w:t xml:space="preserve">set of </w:t>
      </w:r>
      <w:r>
        <w:t>estimated impact</w:t>
      </w:r>
      <w:r w:rsidR="009A3412">
        <w:t>s</w:t>
      </w:r>
      <w:r>
        <w:t xml:space="preserve"> – what was the impact of the pilot on the key metrics of customer behaviour? </w:t>
      </w:r>
      <w:r w:rsidR="009A3412">
        <w:t>To</w:t>
      </w:r>
      <w:r>
        <w:t xml:space="preserve"> isolate the program effect from other, non-program, effects, the establishment of a robust counterfactual is vital. The counterfactual</w:t>
      </w:r>
      <w:r w:rsidR="009A3412">
        <w:t>, or baseline,</w:t>
      </w:r>
      <w:r>
        <w:t xml:space="preserve"> is the “but for” – “</w:t>
      </w:r>
      <w:r w:rsidRPr="009A3412">
        <w:rPr>
          <w:i/>
        </w:rPr>
        <w:t>but for the program, how would participants have behaved?</w:t>
      </w:r>
      <w:r>
        <w:t xml:space="preserve">”. </w:t>
      </w:r>
    </w:p>
    <w:p w14:paraId="4D1F9508" w14:textId="574E966C" w:rsidR="002C5EBC" w:rsidRDefault="002C5EBC" w:rsidP="00B33E43"/>
    <w:p w14:paraId="45720D79" w14:textId="77777777" w:rsidR="002C5EBC" w:rsidRDefault="002C5EBC" w:rsidP="00B33E43">
      <w:r>
        <w:t>The gold standard for counterfactuals is the randomized control trial (RCT). This is the standard approach for evaluating the effects of pharmaceutical drugs: some participants in the trial are provided with the experimental medication, while others are provided with a placebo. This ensures that results are not biased due to self-selection.</w:t>
      </w:r>
    </w:p>
    <w:p w14:paraId="302F56AD" w14:textId="77777777" w:rsidR="002C5EBC" w:rsidRDefault="002C5EBC" w:rsidP="00B33E43"/>
    <w:p w14:paraId="7CED92FC" w14:textId="5E54A912" w:rsidR="002C5EBC" w:rsidRDefault="002C5EBC" w:rsidP="00B33E43">
      <w:r>
        <w:t>RCTs may also be applied to energy efficiency or demand response evaluation. In this case, the standard approach is to use an enrollment technique known as “recruit-and-deny”. The procedure works in the following manner: applicants to a program are either enrolled in the program (and so become treatment participants), or else denied enrollment (sometimes by being wait-listed) and so act as control customers.</w:t>
      </w:r>
    </w:p>
    <w:p w14:paraId="70E70335" w14:textId="4BEFF61D" w:rsidR="002C5EBC" w:rsidRDefault="002C5EBC" w:rsidP="00B33E43"/>
    <w:p w14:paraId="4FC18D9A" w14:textId="2413000A" w:rsidR="002C5EBC" w:rsidRDefault="002C5EBC" w:rsidP="00B33E43">
      <w:r>
        <w:t>The original design of the program called for RCT controls to be developed for both the RT-only and CPP and CPP/RT groups. During the enrollment process the RT-only stream had too few applicants to support this design, and RCT controls (approximately 450) were drawn only from the population that applied to the CPP and CPP/RT stream.</w:t>
      </w:r>
    </w:p>
    <w:p w14:paraId="07F54492" w14:textId="3653979B" w:rsidR="002C5EBC" w:rsidRDefault="002C5EBC" w:rsidP="00B33E43"/>
    <w:p w14:paraId="3FEBF392" w14:textId="614CEA3A" w:rsidR="002C5EBC" w:rsidRDefault="000669F0" w:rsidP="00B33E43">
      <w:r>
        <w:t xml:space="preserve">As a contingency against </w:t>
      </w:r>
      <w:r w:rsidR="009A3412">
        <w:t>the possibility that the RCT controls that applied to join the CPP treatment might not be suitable as controls for the RT-only treatment</w:t>
      </w:r>
      <w:r>
        <w:t xml:space="preserve">, Navigant developed an alternative approach for creating a control group for the RT-only customers. Control customers were selected from a large pool of non-participating customer based on consumption patterns observed in the summer prior to the program period. The details of this approach may be found in Appendix </w:t>
      </w:r>
      <w:r w:rsidR="00BE236B">
        <w:t>H</w:t>
      </w:r>
      <w:r>
        <w:t>.</w:t>
      </w:r>
    </w:p>
    <w:p w14:paraId="6BD2B7B2" w14:textId="3D50ED47" w:rsidR="000669F0" w:rsidRDefault="000669F0" w:rsidP="00B33E43"/>
    <w:p w14:paraId="4ED6B2CA" w14:textId="2C3131D7" w:rsidR="002C5EBC" w:rsidRPr="00B33E43" w:rsidRDefault="000669F0" w:rsidP="00B33E43">
      <w:r>
        <w:t>At the outset of Navigant’s analysis, however, testing of the two control groups revealed that the RCT control group provided a more accurate counterfactual in the testing period</w:t>
      </w:r>
      <w:r w:rsidR="00BE236B">
        <w:t xml:space="preserve"> (the summer of 2016)</w:t>
      </w:r>
      <w:r>
        <w:t xml:space="preserve"> than the matched controls</w:t>
      </w:r>
      <w:r>
        <w:rPr>
          <w:rStyle w:val="FootnoteReference"/>
        </w:rPr>
        <w:footnoteReference w:id="19"/>
      </w:r>
      <w:r>
        <w:t xml:space="preserve">, and so </w:t>
      </w:r>
      <w:r w:rsidR="00BE236B">
        <w:t>the RCT controls were used as the control</w:t>
      </w:r>
      <w:r>
        <w:t xml:space="preserve"> group</w:t>
      </w:r>
      <w:r w:rsidR="00BE236B">
        <w:t xml:space="preserve"> for all pilot participants </w:t>
      </w:r>
      <w:r>
        <w:t>in the final analysis.</w:t>
      </w:r>
    </w:p>
    <w:p w14:paraId="1CC87520" w14:textId="61A5E615" w:rsidR="007864C0" w:rsidRDefault="007864C0" w:rsidP="007864C0">
      <w:pPr>
        <w:pStyle w:val="Heading2"/>
      </w:pPr>
      <w:bookmarkStart w:id="51" w:name="_Ref1129672"/>
      <w:bookmarkStart w:id="52" w:name="_Toc8393584"/>
      <w:r>
        <w:t>Energy Impact Approach</w:t>
      </w:r>
      <w:bookmarkEnd w:id="50"/>
      <w:bookmarkEnd w:id="51"/>
      <w:bookmarkEnd w:id="52"/>
    </w:p>
    <w:p w14:paraId="717C3920" w14:textId="0115682A" w:rsidR="007864C0" w:rsidRDefault="00A0664D" w:rsidP="007864C0">
      <w:r>
        <w:t xml:space="preserve">Participant energy impacts were estimated using only data from the program period. </w:t>
      </w:r>
      <w:r w:rsidR="00753BF5">
        <w:t>Impacts were estimated using a panel data regression of daily energy consumption by TOU period. Although there are only three TOU periods in Ontario, Navigant estimated impacts for four: On-Peak, Mid-Peak, non-holiday weekday Off-Peak, and weekend and holiday Off-Peak.</w:t>
      </w:r>
      <w:r w:rsidR="00FF4C1D">
        <w:t xml:space="preserve"> The Off-Peak periods were differentiated to allow for the fact that consumption patterns are substantially different during the overnight Off-Peak than during the weekend or holiday Off-Peak period.</w:t>
      </w:r>
    </w:p>
    <w:p w14:paraId="6BE764D5" w14:textId="40235103" w:rsidR="00753BF5" w:rsidRDefault="00753BF5" w:rsidP="007864C0"/>
    <w:p w14:paraId="6E67303C" w14:textId="024E0154" w:rsidR="00753BF5" w:rsidRDefault="00FF4C1D" w:rsidP="00753BF5">
      <w:r>
        <w:t>The same regression specification was applied to three different sets of participant and control consumption data</w:t>
      </w:r>
      <w:r w:rsidR="00753BF5">
        <w:t>:</w:t>
      </w:r>
    </w:p>
    <w:p w14:paraId="4D2E97AD" w14:textId="47F98115" w:rsidR="00753BF5" w:rsidRDefault="00753BF5" w:rsidP="00753BF5">
      <w:pPr>
        <w:pStyle w:val="ListParagraph"/>
        <w:numPr>
          <w:ilvl w:val="0"/>
          <w:numId w:val="24"/>
        </w:numPr>
      </w:pPr>
      <w:r>
        <w:t>RT-only participants and RCT controls</w:t>
      </w:r>
    </w:p>
    <w:p w14:paraId="056DD086" w14:textId="67F8CF0C" w:rsidR="00753BF5" w:rsidRDefault="00753BF5" w:rsidP="00753BF5">
      <w:pPr>
        <w:pStyle w:val="ListParagraph"/>
        <w:numPr>
          <w:ilvl w:val="0"/>
          <w:numId w:val="24"/>
        </w:numPr>
      </w:pPr>
      <w:r>
        <w:t>CPP and CPP/RT participants and RCT controls, including all summer days.</w:t>
      </w:r>
    </w:p>
    <w:p w14:paraId="4F2BF020" w14:textId="3D5D28EF" w:rsidR="00753BF5" w:rsidRDefault="00753BF5" w:rsidP="00753BF5">
      <w:pPr>
        <w:pStyle w:val="ListParagraph"/>
        <w:numPr>
          <w:ilvl w:val="0"/>
          <w:numId w:val="24"/>
        </w:numPr>
      </w:pPr>
      <w:r>
        <w:t xml:space="preserve">CPP and CPP/RT participants and RCT controls, </w:t>
      </w:r>
      <w:r>
        <w:rPr>
          <w:i/>
        </w:rPr>
        <w:t>excluding</w:t>
      </w:r>
      <w:r>
        <w:t xml:space="preserve"> CPP event days.</w:t>
      </w:r>
    </w:p>
    <w:p w14:paraId="39F83716" w14:textId="7C9927F4" w:rsidR="00753BF5" w:rsidRDefault="00753BF5" w:rsidP="00753BF5"/>
    <w:p w14:paraId="1A9EB4BA" w14:textId="58151A34" w:rsidR="00FF4C1D" w:rsidRDefault="00FF4C1D" w:rsidP="00753BF5">
      <w:r>
        <w:t xml:space="preserve">The estimated impacts of these regressions are reported and discussed in Section </w:t>
      </w:r>
      <w:r>
        <w:fldChar w:fldCharType="begin"/>
      </w:r>
      <w:r>
        <w:instrText xml:space="preserve"> REF _Ref1123745 \w \h </w:instrText>
      </w:r>
      <w:r>
        <w:fldChar w:fldCharType="separate"/>
      </w:r>
      <w:r w:rsidR="00413291">
        <w:t>4.1</w:t>
      </w:r>
      <w:r>
        <w:fldChar w:fldCharType="end"/>
      </w:r>
      <w:r>
        <w:t>, below.</w:t>
      </w:r>
    </w:p>
    <w:p w14:paraId="7D480074" w14:textId="77777777" w:rsidR="00FF4C1D" w:rsidRDefault="00FF4C1D" w:rsidP="00753BF5"/>
    <w:p w14:paraId="047CC6C6" w14:textId="168020BC" w:rsidR="00753BF5" w:rsidRDefault="00753BF5" w:rsidP="00753BF5">
      <w:r>
        <w:lastRenderedPageBreak/>
        <w:t xml:space="preserve">Key elements of the </w:t>
      </w:r>
      <w:r w:rsidR="0027565C">
        <w:t xml:space="preserve">estimated regression specification </w:t>
      </w:r>
      <w:r>
        <w:t>include:</w:t>
      </w:r>
    </w:p>
    <w:p w14:paraId="2719DD19" w14:textId="68D861B7" w:rsidR="00753BF5" w:rsidRDefault="00753BF5" w:rsidP="00753BF5">
      <w:pPr>
        <w:pStyle w:val="ListParagraph"/>
        <w:numPr>
          <w:ilvl w:val="0"/>
          <w:numId w:val="25"/>
        </w:numPr>
      </w:pPr>
      <w:r w:rsidRPr="00753BF5">
        <w:rPr>
          <w:b/>
        </w:rPr>
        <w:t xml:space="preserve">TOU </w:t>
      </w:r>
      <w:r>
        <w:rPr>
          <w:b/>
        </w:rPr>
        <w:t>P</w:t>
      </w:r>
      <w:r w:rsidRPr="00753BF5">
        <w:rPr>
          <w:b/>
        </w:rPr>
        <w:t xml:space="preserve">eriod </w:t>
      </w:r>
      <w:r>
        <w:rPr>
          <w:b/>
        </w:rPr>
        <w:t>D</w:t>
      </w:r>
      <w:r w:rsidRPr="00753BF5">
        <w:rPr>
          <w:b/>
        </w:rPr>
        <w:t xml:space="preserve">ummy </w:t>
      </w:r>
      <w:r>
        <w:rPr>
          <w:b/>
        </w:rPr>
        <w:t>V</w:t>
      </w:r>
      <w:r w:rsidRPr="00753BF5">
        <w:rPr>
          <w:b/>
        </w:rPr>
        <w:t>ariables.</w:t>
      </w:r>
      <w:r>
        <w:t xml:space="preserve"> Four dummy variables (one for each period) were included in the model specification. These were interacted with </w:t>
      </w:r>
      <w:r w:rsidRPr="00FF4C1D">
        <w:rPr>
          <w:i/>
        </w:rPr>
        <w:t>all</w:t>
      </w:r>
      <w:r>
        <w:t xml:space="preserve"> other variables included in the regression equation, delivering estimated impacts equivalent to those that would be obtained if a different regression were used for each TOU period.</w:t>
      </w:r>
      <w:r>
        <w:rPr>
          <w:rStyle w:val="FootnoteReference"/>
        </w:rPr>
        <w:footnoteReference w:id="20"/>
      </w:r>
      <w:r>
        <w:t xml:space="preserve"> </w:t>
      </w:r>
    </w:p>
    <w:p w14:paraId="623B70FA" w14:textId="241FFCFB" w:rsidR="00FD2D33" w:rsidRDefault="00753BF5" w:rsidP="00753BF5">
      <w:pPr>
        <w:pStyle w:val="ListParagraph"/>
        <w:numPr>
          <w:ilvl w:val="0"/>
          <w:numId w:val="25"/>
        </w:numPr>
      </w:pPr>
      <w:r>
        <w:rPr>
          <w:b/>
        </w:rPr>
        <w:t>Pre-Period Consumption Values.</w:t>
      </w:r>
      <w:r w:rsidR="00FD2D33">
        <w:rPr>
          <w:b/>
        </w:rPr>
        <w:t xml:space="preserve"> </w:t>
      </w:r>
      <w:r w:rsidR="00FD2D33">
        <w:t xml:space="preserve">Based on a series 15 different day-types (capturing differences in weather – see </w:t>
      </w:r>
      <w:r w:rsidR="00175B18">
        <w:fldChar w:fldCharType="begin"/>
      </w:r>
      <w:r w:rsidR="00175B18">
        <w:instrText xml:space="preserve"> REF _Ref1560369 \n \h </w:instrText>
      </w:r>
      <w:r w:rsidR="00175B18">
        <w:fldChar w:fldCharType="separate"/>
      </w:r>
      <w:r w:rsidR="00413291">
        <w:t>Appendix A</w:t>
      </w:r>
      <w:r w:rsidR="00175B18">
        <w:fldChar w:fldCharType="end"/>
      </w:r>
      <w:r w:rsidR="00175B18">
        <w:t xml:space="preserve"> </w:t>
      </w:r>
      <w:r w:rsidR="00FD2D33">
        <w:t xml:space="preserve">for details), Navigant developed a series of 360 individual-specific pre-program average hourly consumption values. </w:t>
      </w:r>
      <w:r w:rsidR="00966A86">
        <w:t>These values are applied to the hourly weather series and then aggregated to the daily level (by TOU period) for the energy analysis and</w:t>
      </w:r>
      <w:r w:rsidR="00FD2D33">
        <w:t xml:space="preserve"> are included in the regression specification to control for pre-existing individual customer consumption patterns. This set of values is analogous to including a </w:t>
      </w:r>
      <w:r w:rsidR="00966A86">
        <w:t>highly granular set of</w:t>
      </w:r>
      <w:r w:rsidR="00FD2D33">
        <w:t xml:space="preserve"> different individual-level fixed effects in the regression equation.</w:t>
      </w:r>
    </w:p>
    <w:p w14:paraId="35BD4D72" w14:textId="7319E9B1" w:rsidR="00966A86" w:rsidRDefault="00966A86" w:rsidP="00753BF5">
      <w:pPr>
        <w:pStyle w:val="ListParagraph"/>
        <w:numPr>
          <w:ilvl w:val="0"/>
          <w:numId w:val="25"/>
        </w:numPr>
      </w:pPr>
      <w:r>
        <w:rPr>
          <w:b/>
        </w:rPr>
        <w:t>Monthly/Day-Type Dummies.</w:t>
      </w:r>
      <w:r>
        <w:t xml:space="preserve"> The pre-period consumption values described above are interacted in the regression with a series of dummies representing the averaging periods used to develop them. There are 15 day-type dummies, that capture seasonal effects (month of year) as well as coarser temperature effects (extreme, vs mild temperature days). For more details, please see</w:t>
      </w:r>
      <w:r w:rsidR="003A5CBB">
        <w:t xml:space="preserve"> </w:t>
      </w:r>
      <w:r w:rsidR="003A5CBB">
        <w:fldChar w:fldCharType="begin"/>
      </w:r>
      <w:r w:rsidR="003A5CBB">
        <w:instrText xml:space="preserve"> REF _Ref1560369 \n \h </w:instrText>
      </w:r>
      <w:r w:rsidR="003A5CBB">
        <w:fldChar w:fldCharType="separate"/>
      </w:r>
      <w:r w:rsidR="00413291">
        <w:t>Appendix A</w:t>
      </w:r>
      <w:r w:rsidR="003A5CBB">
        <w:fldChar w:fldCharType="end"/>
      </w:r>
      <w:r>
        <w:t>.</w:t>
      </w:r>
    </w:p>
    <w:p w14:paraId="066D72BB" w14:textId="77777777" w:rsidR="003A5CBB" w:rsidRDefault="00FD2D33" w:rsidP="00753BF5">
      <w:pPr>
        <w:pStyle w:val="ListParagraph"/>
        <w:numPr>
          <w:ilvl w:val="0"/>
          <w:numId w:val="25"/>
        </w:numPr>
      </w:pPr>
      <w:r>
        <w:rPr>
          <w:b/>
        </w:rPr>
        <w:t xml:space="preserve">Temperature. </w:t>
      </w:r>
      <w:r>
        <w:t xml:space="preserve">The total number of cooling and heating degree hours observed in the given TOU period on each day of the sample is included to control for any variation in average consumption </w:t>
      </w:r>
      <w:r w:rsidR="003A5CBB">
        <w:t xml:space="preserve">(not already captured by the pre-period consumption variable discussed above) </w:t>
      </w:r>
      <w:r>
        <w:t>attributable to weather effects.</w:t>
      </w:r>
    </w:p>
    <w:p w14:paraId="5AEDD3BB" w14:textId="101EBE0B" w:rsidR="00FD2D33" w:rsidRDefault="00FD2D33" w:rsidP="003A5CBB">
      <w:pPr>
        <w:pStyle w:val="ListParagraph"/>
      </w:pPr>
      <w:r>
        <w:t>Also included is a daily heat-build-up variable and daily cold build-up variable. These 72 hour exponentially decaying moving averages capture the effects on consumption of heat waves or cold snaps.</w:t>
      </w:r>
    </w:p>
    <w:p w14:paraId="75CB5662" w14:textId="61797396" w:rsidR="00753BF5" w:rsidRDefault="00FD2D33" w:rsidP="00753BF5">
      <w:pPr>
        <w:pStyle w:val="ListParagraph"/>
        <w:numPr>
          <w:ilvl w:val="0"/>
          <w:numId w:val="25"/>
        </w:numPr>
      </w:pPr>
      <w:r>
        <w:rPr>
          <w:b/>
        </w:rPr>
        <w:t>Treatment Dummy</w:t>
      </w:r>
      <w:r>
        <w:t>. A treatment dummy variable was included to capture the program effect. The estimate parameter associated with this variable captures the impact of the program. It is included as an intercept variable (i.e., interacted only with the TOU dummy, above) and as a slope variable (</w:t>
      </w:r>
      <w:r w:rsidR="003A5CBB">
        <w:t xml:space="preserve">also </w:t>
      </w:r>
      <w:r>
        <w:t>interacted with the number of cooling degree hours). The first of these captures the impact of the program on cooler days, and the second captures the incremental impact of each additional cooling degree hour observed in a given TOU period</w:t>
      </w:r>
      <w:r w:rsidR="003A5CBB">
        <w:t>, i.e., effectively identifies the portion of energy savings derived from space-cooling energy savings</w:t>
      </w:r>
      <w:r>
        <w:t>.</w:t>
      </w:r>
    </w:p>
    <w:p w14:paraId="6DA5478D" w14:textId="0676C9AC" w:rsidR="00FD2D33" w:rsidRDefault="00FD2D33" w:rsidP="00FD2D33"/>
    <w:p w14:paraId="16237D64" w14:textId="2CF94E68" w:rsidR="00FD2D33" w:rsidRDefault="00FD2D33" w:rsidP="00FD2D33">
      <w:r>
        <w:t>A full model specification, and additional detail regarding variable development may be found in</w:t>
      </w:r>
      <w:r w:rsidR="003A5CBB">
        <w:t xml:space="preserve"> </w:t>
      </w:r>
      <w:r w:rsidR="003A5CBB">
        <w:fldChar w:fldCharType="begin"/>
      </w:r>
      <w:r w:rsidR="003A5CBB">
        <w:instrText xml:space="preserve"> REF _Ref1560369 \n \h </w:instrText>
      </w:r>
      <w:r w:rsidR="003A5CBB">
        <w:fldChar w:fldCharType="separate"/>
      </w:r>
      <w:r w:rsidR="00413291">
        <w:t>Appendix A</w:t>
      </w:r>
      <w:r w:rsidR="003A5CBB">
        <w:fldChar w:fldCharType="end"/>
      </w:r>
      <w:r>
        <w:t xml:space="preserve">. </w:t>
      </w:r>
      <w:r w:rsidR="009F6397">
        <w:t>Essentially the same model specification was used to estimate the average treatment impact during the IESO-define</w:t>
      </w:r>
      <w:r w:rsidR="00334319">
        <w:t>d</w:t>
      </w:r>
      <w:r w:rsidR="009F6397">
        <w:t xml:space="preserve"> “system coincident peak” period – the period between 1pm and 6pm on non-holiday weekdays in June, July, and August. The key difference is that there was no TOU period dimension (i.e., each date appeared only a single time</w:t>
      </w:r>
      <w:r w:rsidR="00334319">
        <w:t xml:space="preserve"> for a given customer</w:t>
      </w:r>
      <w:r w:rsidR="009F6397">
        <w:t>), and that the dependent variable was total consumption in the system coincident peak period (instead of in one of the four specified TOU periods).</w:t>
      </w:r>
    </w:p>
    <w:p w14:paraId="39688D2A" w14:textId="21511827" w:rsidR="00FD2D33" w:rsidRDefault="00FD2D33" w:rsidP="00FD2D33"/>
    <w:p w14:paraId="3F186523" w14:textId="324FF2D5" w:rsidR="00FD2D33" w:rsidRDefault="00FD2D33" w:rsidP="00FD2D33">
      <w:r>
        <w:t>Not included in any of the regression specifications is any kind of interaction effect between the CPP and the RT treatments. That is, none of the results presented in this report</w:t>
      </w:r>
      <w:r w:rsidR="00A3381C">
        <w:t xml:space="preserve"> are derived from a regression equation that controls for the incremental effect on CPP participants’ impacts of </w:t>
      </w:r>
      <w:r w:rsidR="00A3381C" w:rsidRPr="003A5CBB">
        <w:rPr>
          <w:i/>
        </w:rPr>
        <w:t>also</w:t>
      </w:r>
      <w:r w:rsidR="00A3381C">
        <w:t xml:space="preserve"> being equipped with </w:t>
      </w:r>
      <w:r w:rsidR="00A3381C">
        <w:lastRenderedPageBreak/>
        <w:t xml:space="preserve">the RT </w:t>
      </w:r>
      <w:r w:rsidR="003A5CBB">
        <w:t>technologies (online portal and mobile application)</w:t>
      </w:r>
      <w:r w:rsidR="00A3381C">
        <w:t xml:space="preserve">. </w:t>
      </w:r>
      <w:r w:rsidR="003A5CBB">
        <w:t>T</w:t>
      </w:r>
      <w:r w:rsidR="00A3381C">
        <w:t>hese regressions do not differentiate between CPP and CPP/RT group energy impacts.</w:t>
      </w:r>
    </w:p>
    <w:p w14:paraId="2D3C9D95" w14:textId="414A72C1" w:rsidR="00A3381C" w:rsidRDefault="00A3381C" w:rsidP="00FD2D33"/>
    <w:p w14:paraId="60213712" w14:textId="23C1FFEE" w:rsidR="00A3381C" w:rsidRDefault="00A3381C" w:rsidP="00FD2D33">
      <w:r>
        <w:t>This is based upon earlier testing that found that this effect was not statistically significant at any conventional level of significance. More specifically, for the CPP and CPP/RT group, Navigant estimate</w:t>
      </w:r>
      <w:r w:rsidR="003A5CBB">
        <w:t>d</w:t>
      </w:r>
      <w:r>
        <w:t xml:space="preserve"> a regression model in which the treatment dummy variable was interacted with another variable flagging whether that customer also had access to the RT technology. In these test regressions (including and excluding CPP event days), Navigant found that the incremental effect of the RT treatment on CPP participants’ changes in behaviour was not statistically significant, and so dropped this interaction from the final analysis.</w:t>
      </w:r>
    </w:p>
    <w:p w14:paraId="43C29111" w14:textId="51971E60" w:rsidR="007864C0" w:rsidRDefault="007864C0" w:rsidP="007864C0">
      <w:pPr>
        <w:pStyle w:val="Heading2"/>
      </w:pPr>
      <w:bookmarkStart w:id="53" w:name="_Ref972867"/>
      <w:bookmarkStart w:id="54" w:name="_Toc8393585"/>
      <w:r>
        <w:t>CPP Demand Impact Approach</w:t>
      </w:r>
      <w:bookmarkEnd w:id="53"/>
      <w:bookmarkEnd w:id="54"/>
    </w:p>
    <w:p w14:paraId="2D753A65" w14:textId="13D9E8F8" w:rsidR="007864C0" w:rsidRDefault="00AB0367" w:rsidP="007864C0">
      <w:r>
        <w:t>Participant demand response impact</w:t>
      </w:r>
      <w:r w:rsidR="00587FD0">
        <w:t>s</w:t>
      </w:r>
      <w:r>
        <w:t xml:space="preserve"> on CPP event days were estimated using only data from </w:t>
      </w:r>
      <w:r w:rsidR="00587FD0">
        <w:t xml:space="preserve">summer 2018 CPP event days. </w:t>
      </w:r>
      <w:r>
        <w:t>Impacts were estimated using a panel data regression of hourly energy use.</w:t>
      </w:r>
      <w:r w:rsidR="0027565C">
        <w:t xml:space="preserve"> All impacts were estimated using a single model specification.</w:t>
      </w:r>
    </w:p>
    <w:p w14:paraId="070A7A37" w14:textId="0F44DCF4" w:rsidR="0027565C" w:rsidRDefault="0027565C" w:rsidP="007864C0"/>
    <w:p w14:paraId="5FDD3D4D" w14:textId="232202D7" w:rsidR="0027565C" w:rsidRDefault="0027565C" w:rsidP="007864C0">
      <w:r>
        <w:t xml:space="preserve">Navigant’s regression model specification is designed to deliver estimates in </w:t>
      </w:r>
      <w:r w:rsidR="00587FD0">
        <w:t>four</w:t>
      </w:r>
      <w:r>
        <w:t xml:space="preserve"> key areas</w:t>
      </w:r>
      <w:r w:rsidR="00587FD0">
        <w:t>. It is designed to provide</w:t>
      </w:r>
      <w:r>
        <w:t>:</w:t>
      </w:r>
    </w:p>
    <w:p w14:paraId="656898D1" w14:textId="6603B5B6" w:rsidR="0027565C" w:rsidRDefault="0027565C" w:rsidP="0027565C">
      <w:pPr>
        <w:pStyle w:val="ListParagraph"/>
        <w:numPr>
          <w:ilvl w:val="0"/>
          <w:numId w:val="25"/>
        </w:numPr>
      </w:pPr>
      <w:r>
        <w:rPr>
          <w:b/>
        </w:rPr>
        <w:t xml:space="preserve">Ex-Post Total Impact. </w:t>
      </w:r>
      <w:r w:rsidR="00587FD0">
        <w:t>An</w:t>
      </w:r>
      <w:r>
        <w:t xml:space="preserve"> estimate </w:t>
      </w:r>
      <w:r w:rsidR="00587FD0">
        <w:t xml:space="preserve">of </w:t>
      </w:r>
      <w:r>
        <w:t xml:space="preserve">the total historical impact of the program </w:t>
      </w:r>
      <w:r w:rsidR="00587FD0">
        <w:t>d</w:t>
      </w:r>
      <w:r>
        <w:t xml:space="preserve">uring CPP events. That is, </w:t>
      </w:r>
      <w:r w:rsidR="00587FD0">
        <w:t>an</w:t>
      </w:r>
      <w:r>
        <w:t xml:space="preserve"> estimate</w:t>
      </w:r>
      <w:r w:rsidR="00587FD0">
        <w:t xml:space="preserve"> of</w:t>
      </w:r>
      <w:r>
        <w:t xml:space="preserve"> the difference between a participant’s demand during the CPP event, and what it would have been had there been no program at all. This defines the estimated </w:t>
      </w:r>
      <w:r w:rsidR="00587FD0">
        <w:rPr>
          <w:i/>
        </w:rPr>
        <w:t xml:space="preserve">total </w:t>
      </w:r>
      <w:r w:rsidRPr="00587FD0">
        <w:t>impact</w:t>
      </w:r>
      <w:r>
        <w:rPr>
          <w:i/>
        </w:rPr>
        <w:t xml:space="preserve"> </w:t>
      </w:r>
      <w:r>
        <w:t>of the program.</w:t>
      </w:r>
    </w:p>
    <w:p w14:paraId="07DFE763" w14:textId="239B1E44" w:rsidR="0027565C" w:rsidRDefault="0027565C" w:rsidP="0027565C">
      <w:pPr>
        <w:pStyle w:val="ListParagraph"/>
        <w:numPr>
          <w:ilvl w:val="0"/>
          <w:numId w:val="25"/>
        </w:numPr>
      </w:pPr>
      <w:r>
        <w:rPr>
          <w:b/>
        </w:rPr>
        <w:t xml:space="preserve">Ex-Post DR Impact. </w:t>
      </w:r>
      <w:r w:rsidR="00587FD0">
        <w:t>An</w:t>
      </w:r>
      <w:r>
        <w:t xml:space="preserve"> estimate</w:t>
      </w:r>
      <w:r w:rsidR="00587FD0">
        <w:t xml:space="preserve"> of</w:t>
      </w:r>
      <w:r>
        <w:t xml:space="preserve"> the historical impact of CPP events, given that the program is in place. Put another way, this </w:t>
      </w:r>
      <w:r w:rsidR="00587FD0">
        <w:t>is an estimate of the difference between what a participant’s demand was during the CPP event, and what it would have been had there been no event on that day, but in all other respects (including the existence of the program) the days were the same</w:t>
      </w:r>
      <w:r>
        <w:t>.</w:t>
      </w:r>
      <w:r w:rsidR="00587FD0">
        <w:t xml:space="preserve"> This defines the estimated “</w:t>
      </w:r>
      <w:r w:rsidR="00587FD0" w:rsidRPr="00587FD0">
        <w:rPr>
          <w:i/>
        </w:rPr>
        <w:t>DR only</w:t>
      </w:r>
      <w:r w:rsidR="00587FD0">
        <w:t>” impact of the program.</w:t>
      </w:r>
    </w:p>
    <w:p w14:paraId="51E4B31B" w14:textId="4AF586A3" w:rsidR="0027565C" w:rsidRDefault="0027565C" w:rsidP="0027565C">
      <w:pPr>
        <w:pStyle w:val="ListParagraph"/>
        <w:numPr>
          <w:ilvl w:val="0"/>
          <w:numId w:val="25"/>
        </w:numPr>
      </w:pPr>
      <w:r>
        <w:rPr>
          <w:b/>
        </w:rPr>
        <w:t xml:space="preserve">Ex-Ante Total Impact. </w:t>
      </w:r>
      <w:r>
        <w:t xml:space="preserve">A prediction of total impacts across a range of temperatures. This defines the estimated </w:t>
      </w:r>
      <w:r>
        <w:rPr>
          <w:i/>
        </w:rPr>
        <w:t xml:space="preserve">capability </w:t>
      </w:r>
      <w:r>
        <w:t>of the program.</w:t>
      </w:r>
    </w:p>
    <w:p w14:paraId="483AFDE5" w14:textId="01385BE6" w:rsidR="0027565C" w:rsidRDefault="0027565C" w:rsidP="0027565C">
      <w:pPr>
        <w:pStyle w:val="ListParagraph"/>
        <w:numPr>
          <w:ilvl w:val="0"/>
          <w:numId w:val="25"/>
        </w:numPr>
      </w:pPr>
      <w:r>
        <w:rPr>
          <w:b/>
        </w:rPr>
        <w:t xml:space="preserve">Ex-Ante DR Impact. </w:t>
      </w:r>
      <w:r>
        <w:t>A prediction of the DR-only impacts across a range of temperatures.</w:t>
      </w:r>
    </w:p>
    <w:p w14:paraId="6A2A46C5" w14:textId="643AC195" w:rsidR="0027565C" w:rsidRDefault="0027565C" w:rsidP="0027565C"/>
    <w:p w14:paraId="014AC2FF" w14:textId="252098D5" w:rsidR="0027565C" w:rsidRDefault="0027565C" w:rsidP="0027565C">
      <w:r>
        <w:t xml:space="preserve">Key </w:t>
      </w:r>
      <w:r w:rsidR="00DE224E">
        <w:t xml:space="preserve">variables included in </w:t>
      </w:r>
      <w:r>
        <w:t xml:space="preserve">the regression specification </w:t>
      </w:r>
      <w:r w:rsidR="00DE224E">
        <w:t>are</w:t>
      </w:r>
      <w:r>
        <w:t>:</w:t>
      </w:r>
    </w:p>
    <w:p w14:paraId="16026C77" w14:textId="1FCD5E31" w:rsidR="007864C0" w:rsidRDefault="00BD607B" w:rsidP="0027565C">
      <w:pPr>
        <w:pStyle w:val="ListParagraph"/>
        <w:numPr>
          <w:ilvl w:val="0"/>
          <w:numId w:val="26"/>
        </w:numPr>
      </w:pPr>
      <w:r>
        <w:rPr>
          <w:b/>
        </w:rPr>
        <w:t>Hour-of-Day Dummies.</w:t>
      </w:r>
      <w:r>
        <w:t xml:space="preserve"> A set of 24 hourly dummies. </w:t>
      </w:r>
      <w:r w:rsidR="001C3BFC">
        <w:t>These are interacted with all other non-treatment variables (and in some cases some treatment variables).</w:t>
      </w:r>
    </w:p>
    <w:p w14:paraId="3067E5FF" w14:textId="07F9C357" w:rsidR="00BD607B" w:rsidRDefault="001C3BFC" w:rsidP="0027565C">
      <w:pPr>
        <w:pStyle w:val="ListParagraph"/>
        <w:numPr>
          <w:ilvl w:val="0"/>
          <w:numId w:val="26"/>
        </w:numPr>
      </w:pPr>
      <w:r>
        <w:rPr>
          <w:b/>
        </w:rPr>
        <w:t>Temperature</w:t>
      </w:r>
      <w:r>
        <w:t>. Heating degree hours, cooling degree hours, and heat build-up.</w:t>
      </w:r>
    </w:p>
    <w:p w14:paraId="13C79FA0" w14:textId="3A41F939" w:rsidR="001C3BFC" w:rsidRDefault="001C3BFC" w:rsidP="0027565C">
      <w:pPr>
        <w:pStyle w:val="ListParagraph"/>
        <w:numPr>
          <w:ilvl w:val="0"/>
          <w:numId w:val="26"/>
        </w:numPr>
      </w:pPr>
      <w:r>
        <w:rPr>
          <w:b/>
        </w:rPr>
        <w:t xml:space="preserve">Hourly Pre-Period Consumption Values. </w:t>
      </w:r>
      <w:r>
        <w:t xml:space="preserve">Average participant specific pre-period consumption for the given day-type. These act, as in the energy regression, as highly granular fixed effects. See </w:t>
      </w:r>
      <w:r w:rsidR="00DE224E">
        <w:fldChar w:fldCharType="begin"/>
      </w:r>
      <w:r w:rsidR="00DE224E">
        <w:instrText xml:space="preserve"> REF _Ref1560369 \n \h </w:instrText>
      </w:r>
      <w:r w:rsidR="00DE224E">
        <w:fldChar w:fldCharType="separate"/>
      </w:r>
      <w:r w:rsidR="00413291">
        <w:t>Appendix A</w:t>
      </w:r>
      <w:r w:rsidR="00DE224E">
        <w:fldChar w:fldCharType="end"/>
      </w:r>
      <w:r w:rsidR="00DE224E">
        <w:t xml:space="preserve"> </w:t>
      </w:r>
      <w:r>
        <w:t>for more details.</w:t>
      </w:r>
    </w:p>
    <w:p w14:paraId="7F8E007A" w14:textId="485B9D4B" w:rsidR="001C3BFC" w:rsidRDefault="001C3BFC" w:rsidP="0027565C">
      <w:pPr>
        <w:pStyle w:val="ListParagraph"/>
        <w:numPr>
          <w:ilvl w:val="0"/>
          <w:numId w:val="26"/>
        </w:numPr>
      </w:pPr>
      <w:r>
        <w:rPr>
          <w:b/>
        </w:rPr>
        <w:t xml:space="preserve">Non-DR Program Dummies. </w:t>
      </w:r>
      <w:r>
        <w:t>A set of variables (the treatment dummy interacted with the hourly dummies) intended to capture the non-CPP-event treatment effects on a CPP event day</w:t>
      </w:r>
      <w:r w:rsidR="009720BE">
        <w:t xml:space="preserve"> – i.e., to capture </w:t>
      </w:r>
      <w:r w:rsidR="00F703CF">
        <w:t xml:space="preserve">the effect on participant demand of their anticipating when an event </w:t>
      </w:r>
      <w:r w:rsidR="00F703CF">
        <w:rPr>
          <w:i/>
        </w:rPr>
        <w:t>may</w:t>
      </w:r>
      <w:r w:rsidR="00F703CF">
        <w:t xml:space="preserve"> occur</w:t>
      </w:r>
      <w:r>
        <w:t>. This set of variables is included as both intercept dummies, and as slope dummies (interacted with cooling degree hours).</w:t>
      </w:r>
    </w:p>
    <w:p w14:paraId="7FB04483" w14:textId="05A47BF5" w:rsidR="001C3BFC" w:rsidRDefault="001C3BFC" w:rsidP="0027565C">
      <w:pPr>
        <w:pStyle w:val="ListParagraph"/>
        <w:numPr>
          <w:ilvl w:val="0"/>
          <w:numId w:val="26"/>
        </w:numPr>
      </w:pPr>
      <w:r>
        <w:rPr>
          <w:b/>
        </w:rPr>
        <w:lastRenderedPageBreak/>
        <w:t xml:space="preserve">DR Event Dummy. </w:t>
      </w:r>
      <w:r>
        <w:t xml:space="preserve">A dummy variable intended to capture </w:t>
      </w:r>
      <w:r w:rsidR="00250E44">
        <w:t xml:space="preserve">CPP event </w:t>
      </w:r>
      <w:r w:rsidR="00F703CF">
        <w:t>“</w:t>
      </w:r>
      <w:r w:rsidR="00250E44">
        <w:t xml:space="preserve">DR </w:t>
      </w:r>
      <w:r w:rsidR="00F703CF">
        <w:t xml:space="preserve">only” </w:t>
      </w:r>
      <w:r w:rsidR="00250E44">
        <w:t>impacts. This is included both as an intercept dummy and a slope dummy (interacted with cooling degree hours)</w:t>
      </w:r>
      <w:r w:rsidR="00F703CF">
        <w:t>, both of which are included as-is and also interacted with a variable that captures whether the enabling technologies are connected and able to be automatically controlled via London Hydro’s curtailment signal.</w:t>
      </w:r>
    </w:p>
    <w:p w14:paraId="5E743223" w14:textId="655324D2" w:rsidR="00250E44" w:rsidRDefault="00250E44" w:rsidP="0027565C">
      <w:pPr>
        <w:pStyle w:val="ListParagraph"/>
        <w:numPr>
          <w:ilvl w:val="0"/>
          <w:numId w:val="26"/>
        </w:numPr>
      </w:pPr>
      <w:r>
        <w:rPr>
          <w:b/>
        </w:rPr>
        <w:t xml:space="preserve">Snapback Variables. </w:t>
      </w:r>
      <w:r>
        <w:t>Four dummy variables (one for each of the four hours immediately following the DR event) interacted with the cooling degree hours observed during the event. These variables are designed to control for any snapback effects.</w:t>
      </w:r>
      <w:r>
        <w:rPr>
          <w:rStyle w:val="FootnoteReference"/>
        </w:rPr>
        <w:footnoteReference w:id="21"/>
      </w:r>
    </w:p>
    <w:p w14:paraId="41B87A95" w14:textId="573284C2" w:rsidR="00250E44" w:rsidRDefault="00250E44" w:rsidP="00250E44"/>
    <w:p w14:paraId="481BE6E9" w14:textId="57B9E908" w:rsidR="00250E44" w:rsidRDefault="00250E44" w:rsidP="00250E44">
      <w:r>
        <w:t xml:space="preserve">Additional details, and the full model specification may be found in </w:t>
      </w:r>
      <w:r w:rsidR="00F703CF">
        <w:fldChar w:fldCharType="begin"/>
      </w:r>
      <w:r w:rsidR="00F703CF">
        <w:instrText xml:space="preserve"> REF _Ref1560369 \n \h </w:instrText>
      </w:r>
      <w:r w:rsidR="00F703CF">
        <w:fldChar w:fldCharType="separate"/>
      </w:r>
      <w:r w:rsidR="00413291">
        <w:t>Appendix A</w:t>
      </w:r>
      <w:r w:rsidR="00F703CF">
        <w:fldChar w:fldCharType="end"/>
      </w:r>
      <w:r>
        <w:t>.</w:t>
      </w:r>
    </w:p>
    <w:p w14:paraId="0E7F4A67" w14:textId="382D69F9" w:rsidR="009F6397" w:rsidRDefault="009F6397" w:rsidP="009F6397">
      <w:pPr>
        <w:pStyle w:val="Heading2"/>
      </w:pPr>
      <w:bookmarkStart w:id="55" w:name="_Toc8393586"/>
      <w:r>
        <w:t>Elasticities</w:t>
      </w:r>
      <w:bookmarkEnd w:id="55"/>
    </w:p>
    <w:p w14:paraId="41D041D3" w14:textId="645CA7CA" w:rsidR="001E4D43" w:rsidRDefault="001E4D43" w:rsidP="009F6397">
      <w:r>
        <w:t>As per the OEB evaluation metrics requirements, Navigant used the outputs from the analysis described above to develop estimates of two different metrics of price sensitivity for the group of participants subject to the CPP rate:</w:t>
      </w:r>
    </w:p>
    <w:p w14:paraId="70E25C6B" w14:textId="28011F4F" w:rsidR="001E4D43" w:rsidRPr="00413291" w:rsidRDefault="001E4D43" w:rsidP="001E4D43">
      <w:pPr>
        <w:pStyle w:val="ListParagraph"/>
        <w:numPr>
          <w:ilvl w:val="0"/>
          <w:numId w:val="26"/>
        </w:numPr>
        <w:rPr>
          <w:b/>
        </w:rPr>
      </w:pPr>
      <w:r w:rsidRPr="00413291">
        <w:rPr>
          <w:b/>
        </w:rPr>
        <w:t>Own/daily price elasticity of demand.</w:t>
      </w:r>
      <w:r>
        <w:rPr>
          <w:b/>
        </w:rPr>
        <w:t xml:space="preserve"> </w:t>
      </w:r>
      <w:r>
        <w:t>This describes the relationship between CPP and CPP/RT participants’ average daily demand and the average daily cost of electricity.</w:t>
      </w:r>
    </w:p>
    <w:p w14:paraId="414755E4" w14:textId="67C66F4D" w:rsidR="009F6397" w:rsidRPr="00413291" w:rsidRDefault="001E4D43" w:rsidP="001E4D43">
      <w:pPr>
        <w:pStyle w:val="ListParagraph"/>
        <w:numPr>
          <w:ilvl w:val="0"/>
          <w:numId w:val="26"/>
        </w:numPr>
        <w:rPr>
          <w:b/>
        </w:rPr>
      </w:pPr>
      <w:r>
        <w:rPr>
          <w:b/>
        </w:rPr>
        <w:t>Inter-period elasticity of substitution.</w:t>
      </w:r>
      <w:r w:rsidRPr="00413291">
        <w:rPr>
          <w:b/>
        </w:rPr>
        <w:t xml:space="preserve">  </w:t>
      </w:r>
      <w:r>
        <w:t>This describes the relative relationship between electricity pricing and demand for two different time periods – analogous to a cross-price elasticity. The two time periods applied for this analysis are the Mid-Peak and the Off-Peak periods (no CPP events occurred outside of the Mid-Peak period).</w:t>
      </w:r>
    </w:p>
    <w:p w14:paraId="42A8C785" w14:textId="39B0F0D9" w:rsidR="001E4D43" w:rsidRDefault="001E4D43" w:rsidP="001E4D43">
      <w:pPr>
        <w:rPr>
          <w:b/>
        </w:rPr>
      </w:pPr>
    </w:p>
    <w:p w14:paraId="7693466C" w14:textId="77777777" w:rsidR="005E33D6" w:rsidRDefault="005E33D6" w:rsidP="001E4D43">
      <w:r>
        <w:t>Changes in average participant cost were estimated by apply comparing:</w:t>
      </w:r>
    </w:p>
    <w:p w14:paraId="44DD2705" w14:textId="5C035EA8" w:rsidR="005E33D6" w:rsidRDefault="005E33D6" w:rsidP="005E33D6">
      <w:pPr>
        <w:pStyle w:val="ListParagraph"/>
        <w:numPr>
          <w:ilvl w:val="0"/>
          <w:numId w:val="26"/>
        </w:numPr>
      </w:pPr>
      <w:r>
        <w:t>The average cost of electricity in the relevant period assuming counterfactual (baseline) consumption applied to status quo TOU prices. This is the average cost had there been no program.</w:t>
      </w:r>
    </w:p>
    <w:p w14:paraId="0AA16D4E" w14:textId="7257A20E" w:rsidR="005E33D6" w:rsidRDefault="005E33D6" w:rsidP="00413291">
      <w:pPr>
        <w:pStyle w:val="ListParagraph"/>
      </w:pPr>
      <w:r>
        <w:t>with</w:t>
      </w:r>
    </w:p>
    <w:p w14:paraId="5414884D" w14:textId="3D495AD4" w:rsidR="001E4D43" w:rsidRDefault="005E33D6" w:rsidP="005E33D6">
      <w:pPr>
        <w:pStyle w:val="ListParagraph"/>
        <w:numPr>
          <w:ilvl w:val="0"/>
          <w:numId w:val="26"/>
        </w:numPr>
      </w:pPr>
      <w:r>
        <w:t xml:space="preserve">The average cost of electricity in the relevant period assuming counterfactual (baseline) consumption applied to </w:t>
      </w:r>
      <w:r>
        <w:rPr>
          <w:i/>
        </w:rPr>
        <w:t>actual</w:t>
      </w:r>
      <w:r>
        <w:t xml:space="preserve"> pilot rates.</w:t>
      </w:r>
      <w:r w:rsidRPr="00413291">
        <w:t xml:space="preserve"> </w:t>
      </w:r>
      <w:r>
        <w:t>This is the average cost, given that a program exists, but assuming no participant response to the rates.</w:t>
      </w:r>
    </w:p>
    <w:p w14:paraId="422E3BE0" w14:textId="2F40064C" w:rsidR="005E33D6" w:rsidRDefault="005E33D6" w:rsidP="005E33D6"/>
    <w:p w14:paraId="463E690D" w14:textId="43E2F015" w:rsidR="00355DC7" w:rsidRPr="005E33D6" w:rsidRDefault="00355DC7" w:rsidP="005E33D6">
      <w:r>
        <w:t>The details of the calculation itself may be found in Appendix B, the spreadsheet that accompanies this report.</w:t>
      </w:r>
    </w:p>
    <w:p w14:paraId="70DC6493" w14:textId="233E29D9" w:rsidR="00C227A0" w:rsidRDefault="00BF1A21" w:rsidP="00BF1A21">
      <w:pPr>
        <w:pStyle w:val="Heading1"/>
      </w:pPr>
      <w:bookmarkStart w:id="56" w:name="_Ref965604"/>
      <w:bookmarkStart w:id="57" w:name="_Toc8393587"/>
      <w:r>
        <w:lastRenderedPageBreak/>
        <w:t>Results</w:t>
      </w:r>
      <w:bookmarkEnd w:id="56"/>
      <w:bookmarkEnd w:id="57"/>
      <w:r w:rsidR="002A7ABE">
        <w:t xml:space="preserve"> </w:t>
      </w:r>
    </w:p>
    <w:p w14:paraId="2BCDFFA9" w14:textId="5D6CAC28" w:rsidR="002A7ABE" w:rsidRDefault="00250E44" w:rsidP="002A7ABE">
      <w:r>
        <w:t>This chapter provides the results of Navigant’s impact evaluation of the London Hydro RPP pilot program in the summer of 2018.</w:t>
      </w:r>
    </w:p>
    <w:p w14:paraId="2D156DEC" w14:textId="53DEB9D3" w:rsidR="00250E44" w:rsidRDefault="00250E44" w:rsidP="002A7ABE"/>
    <w:p w14:paraId="228BB4B0" w14:textId="60EC31A7" w:rsidR="00C71937" w:rsidRDefault="00C71937" w:rsidP="002A7ABE">
      <w:r>
        <w:t>This chapter is divided into two main sections:</w:t>
      </w:r>
    </w:p>
    <w:p w14:paraId="25767602" w14:textId="49BF031D" w:rsidR="00C71937" w:rsidRDefault="00C71937" w:rsidP="00C71937">
      <w:pPr>
        <w:pStyle w:val="ListParagraph"/>
        <w:numPr>
          <w:ilvl w:val="0"/>
          <w:numId w:val="27"/>
        </w:numPr>
      </w:pPr>
      <w:r w:rsidRPr="00F703CF">
        <w:rPr>
          <w:b/>
        </w:rPr>
        <w:fldChar w:fldCharType="begin"/>
      </w:r>
      <w:r w:rsidRPr="00F703CF">
        <w:rPr>
          <w:b/>
        </w:rPr>
        <w:instrText xml:space="preserve"> REF _Ref1123745 \h </w:instrText>
      </w:r>
      <w:r w:rsidR="00F703CF">
        <w:rPr>
          <w:b/>
        </w:rPr>
        <w:instrText xml:space="preserve"> \* MERGEFORMAT </w:instrText>
      </w:r>
      <w:r w:rsidRPr="00F703CF">
        <w:rPr>
          <w:b/>
        </w:rPr>
      </w:r>
      <w:r w:rsidRPr="00F703CF">
        <w:rPr>
          <w:b/>
        </w:rPr>
        <w:fldChar w:fldCharType="separate"/>
      </w:r>
      <w:r w:rsidR="00413291" w:rsidRPr="00413291">
        <w:rPr>
          <w:b/>
        </w:rPr>
        <w:t>Energy Impacts</w:t>
      </w:r>
      <w:r w:rsidRPr="00F703CF">
        <w:rPr>
          <w:b/>
        </w:rPr>
        <w:fldChar w:fldCharType="end"/>
      </w:r>
      <w:r w:rsidRPr="00F703CF">
        <w:rPr>
          <w:b/>
        </w:rPr>
        <w:t>.</w:t>
      </w:r>
      <w:r>
        <w:t xml:space="preserve"> This section provides and discusses the estimated impacts on daily energy consumption of the program for all participants.</w:t>
      </w:r>
    </w:p>
    <w:p w14:paraId="6039B021" w14:textId="48D28208" w:rsidR="00C71937" w:rsidRDefault="00C71937" w:rsidP="00C71937">
      <w:pPr>
        <w:pStyle w:val="ListParagraph"/>
        <w:numPr>
          <w:ilvl w:val="0"/>
          <w:numId w:val="27"/>
        </w:numPr>
      </w:pPr>
      <w:r w:rsidRPr="00F703CF">
        <w:rPr>
          <w:b/>
        </w:rPr>
        <w:fldChar w:fldCharType="begin"/>
      </w:r>
      <w:r w:rsidRPr="00F703CF">
        <w:rPr>
          <w:b/>
        </w:rPr>
        <w:instrText xml:space="preserve"> REF _Ref1123750 \h </w:instrText>
      </w:r>
      <w:r w:rsidR="00F703CF">
        <w:rPr>
          <w:b/>
        </w:rPr>
        <w:instrText xml:space="preserve"> \* MERGEFORMAT </w:instrText>
      </w:r>
      <w:r w:rsidRPr="00F703CF">
        <w:rPr>
          <w:b/>
        </w:rPr>
      </w:r>
      <w:r w:rsidRPr="00F703CF">
        <w:rPr>
          <w:b/>
        </w:rPr>
        <w:fldChar w:fldCharType="separate"/>
      </w:r>
      <w:r w:rsidR="00413291" w:rsidRPr="00413291">
        <w:rPr>
          <w:b/>
        </w:rPr>
        <w:t>Critical Peak Event Demand Impacts</w:t>
      </w:r>
      <w:r w:rsidRPr="00F703CF">
        <w:rPr>
          <w:b/>
        </w:rPr>
        <w:fldChar w:fldCharType="end"/>
      </w:r>
      <w:r w:rsidRPr="00F703CF">
        <w:rPr>
          <w:b/>
        </w:rPr>
        <w:t>.</w:t>
      </w:r>
      <w:r>
        <w:t xml:space="preserve"> This section provides and discusses the estimated CPP event demand impacts delivered by the CPP and CPP/RT participants.</w:t>
      </w:r>
    </w:p>
    <w:p w14:paraId="6B5B94C7" w14:textId="0BB0CB2B" w:rsidR="00BF1A21" w:rsidRDefault="00500D7A" w:rsidP="00500D7A">
      <w:pPr>
        <w:pStyle w:val="Heading2"/>
      </w:pPr>
      <w:bookmarkStart w:id="58" w:name="_Ref1123745"/>
      <w:bookmarkStart w:id="59" w:name="_Toc8393588"/>
      <w:r>
        <w:t>Energy Impacts</w:t>
      </w:r>
      <w:bookmarkEnd w:id="58"/>
      <w:bookmarkEnd w:id="59"/>
    </w:p>
    <w:p w14:paraId="515E950B" w14:textId="77777777" w:rsidR="007B1D8D" w:rsidRDefault="007B1D8D" w:rsidP="007B1D8D">
      <w:r>
        <w:t>Navigant’s key findings from the energy impact analysis include:</w:t>
      </w:r>
    </w:p>
    <w:p w14:paraId="3488B225" w14:textId="77370694" w:rsidR="007B1D8D" w:rsidRDefault="007B1D8D" w:rsidP="007B1D8D">
      <w:pPr>
        <w:pStyle w:val="ListParagraph"/>
        <w:numPr>
          <w:ilvl w:val="0"/>
          <w:numId w:val="26"/>
        </w:numPr>
      </w:pPr>
      <w:r>
        <w:rPr>
          <w:b/>
        </w:rPr>
        <w:t xml:space="preserve">CPP participants delivered On-Peak and Mid-Peak energy savings with a reasonably high degree of certainty. </w:t>
      </w:r>
      <w:r>
        <w:t>CPP and CPP/RT participants reduced their daily:</w:t>
      </w:r>
    </w:p>
    <w:p w14:paraId="7B270589" w14:textId="77777777" w:rsidR="007B1D8D" w:rsidRDefault="007B1D8D" w:rsidP="007B1D8D">
      <w:pPr>
        <w:pStyle w:val="ListParagraph"/>
        <w:numPr>
          <w:ilvl w:val="1"/>
          <w:numId w:val="26"/>
        </w:numPr>
      </w:pPr>
      <w:r>
        <w:t>On-Peak consumption by approximately 5% on average</w:t>
      </w:r>
    </w:p>
    <w:p w14:paraId="2D765720" w14:textId="266B20E3" w:rsidR="00355DC7" w:rsidRDefault="007B1D8D">
      <w:pPr>
        <w:pStyle w:val="ListParagraph"/>
        <w:numPr>
          <w:ilvl w:val="1"/>
          <w:numId w:val="26"/>
        </w:numPr>
      </w:pPr>
      <w:r>
        <w:t>Mid-Peak consumption by approximately 3% on average</w:t>
      </w:r>
    </w:p>
    <w:p w14:paraId="2CBDEE9F" w14:textId="15044425" w:rsidR="007B1D8D" w:rsidRDefault="001A54F6" w:rsidP="007B1D8D">
      <w:pPr>
        <w:pStyle w:val="ListParagraph"/>
        <w:numPr>
          <w:ilvl w:val="0"/>
          <w:numId w:val="26"/>
        </w:numPr>
      </w:pPr>
      <w:r>
        <w:rPr>
          <w:b/>
        </w:rPr>
        <w:t>RT-Only participants delivered modest On-Peak energy savings, although these results are less certain.</w:t>
      </w:r>
      <w:r w:rsidR="007B1D8D">
        <w:rPr>
          <w:b/>
        </w:rPr>
        <w:t xml:space="preserve">. </w:t>
      </w:r>
      <w:r w:rsidR="007B1D8D">
        <w:t>RT participants reduced their On-Peak consumption by just over 2%, although these results are less certain than those of the CPP group.</w:t>
      </w:r>
    </w:p>
    <w:p w14:paraId="0D780DA6" w14:textId="77777777" w:rsidR="007B1D8D" w:rsidRDefault="007B1D8D" w:rsidP="007B1D8D">
      <w:pPr>
        <w:pStyle w:val="ListParagraph"/>
        <w:numPr>
          <w:ilvl w:val="0"/>
          <w:numId w:val="26"/>
        </w:numPr>
      </w:pPr>
      <w:r>
        <w:rPr>
          <w:b/>
        </w:rPr>
        <w:t>CPP partici</w:t>
      </w:r>
      <w:r w:rsidRPr="00462040">
        <w:rPr>
          <w:b/>
        </w:rPr>
        <w:t>pants also equipped with the RT technology are saving the same as CPP-only participants.</w:t>
      </w:r>
      <w:r>
        <w:rPr>
          <w:b/>
        </w:rPr>
        <w:t xml:space="preserve"> </w:t>
      </w:r>
      <w:r>
        <w:t>Navigant found no statistically significant difference between the energy savings achieved by CPP and CPP/RT participants. This suggests that savings are being driven by a combination of the price-effect (attempting to reduce risk by limiting consumption during periods more likely to observe a critical peak price) and the educational component provided by London Hydro.</w:t>
      </w:r>
    </w:p>
    <w:p w14:paraId="22A0889F" w14:textId="74A99FF6" w:rsidR="00462040" w:rsidRDefault="007B1D8D" w:rsidP="007B1D8D">
      <w:pPr>
        <w:pStyle w:val="ListParagraph"/>
        <w:numPr>
          <w:ilvl w:val="0"/>
          <w:numId w:val="26"/>
        </w:numPr>
      </w:pPr>
      <w:r w:rsidRPr="00045E94">
        <w:rPr>
          <w:b/>
        </w:rPr>
        <w:t>Energy savings appear to be driven by a variety of end-uses.</w:t>
      </w:r>
      <w:r>
        <w:t xml:space="preserve"> Based on the regression-estimated parameters, approximately a third (On-Peak) and 40% (Mid-Peak) of CPP participant savings are insensitive to temperature, with the balance of savings being temperature driven. This suggests that participants did not rely solely on reducing A/C use (typically the largest single discretionary load in a home) to achieve savings. For RT participants approximately 60% of savings appear to be temperature-insensitive.</w:t>
      </w:r>
    </w:p>
    <w:p w14:paraId="2FC10F45" w14:textId="37E21495" w:rsidR="00194F48" w:rsidRDefault="00194F48" w:rsidP="00194F48"/>
    <w:p w14:paraId="773C7603" w14:textId="09B08884" w:rsidR="00194F48" w:rsidRDefault="00194F48" w:rsidP="00194F48">
      <w:r>
        <w:t>This section of the impact chapter is divided into two sub-sections:</w:t>
      </w:r>
    </w:p>
    <w:p w14:paraId="7A801997" w14:textId="5E54E736" w:rsidR="00194F48" w:rsidRPr="00194F48" w:rsidRDefault="00194F48" w:rsidP="00194F48">
      <w:pPr>
        <w:pStyle w:val="ListParagraph"/>
        <w:numPr>
          <w:ilvl w:val="0"/>
          <w:numId w:val="26"/>
        </w:numPr>
        <w:rPr>
          <w:b/>
        </w:rPr>
      </w:pPr>
      <w:r w:rsidRPr="00194F48">
        <w:rPr>
          <w:b/>
        </w:rPr>
        <w:fldChar w:fldCharType="begin"/>
      </w:r>
      <w:r w:rsidRPr="00194F48">
        <w:rPr>
          <w:b/>
        </w:rPr>
        <w:instrText xml:space="preserve"> REF _Ref1462316 \h </w:instrText>
      </w:r>
      <w:r>
        <w:rPr>
          <w:b/>
        </w:rPr>
        <w:instrText xml:space="preserve"> \* MERGEFORMAT </w:instrText>
      </w:r>
      <w:r w:rsidRPr="00194F48">
        <w:rPr>
          <w:b/>
        </w:rPr>
      </w:r>
      <w:r w:rsidRPr="00194F48">
        <w:rPr>
          <w:b/>
        </w:rPr>
        <w:fldChar w:fldCharType="separate"/>
      </w:r>
      <w:r w:rsidR="00413291" w:rsidRPr="00413291">
        <w:rPr>
          <w:b/>
        </w:rPr>
        <w:t>CPP and CPP/RT Participants</w:t>
      </w:r>
      <w:r w:rsidRPr="00194F48">
        <w:rPr>
          <w:b/>
        </w:rPr>
        <w:fldChar w:fldCharType="end"/>
      </w:r>
      <w:r>
        <w:rPr>
          <w:b/>
        </w:rPr>
        <w:t xml:space="preserve">. </w:t>
      </w:r>
      <w:r>
        <w:t>This sub-section provides the estimated impacts of the CPP and CPP/RT treatment, and discusses the results.</w:t>
      </w:r>
    </w:p>
    <w:p w14:paraId="5471D4D1" w14:textId="1BAA1729" w:rsidR="00194F48" w:rsidRPr="00194F48" w:rsidRDefault="00194F48" w:rsidP="00194F48">
      <w:pPr>
        <w:pStyle w:val="ListParagraph"/>
        <w:numPr>
          <w:ilvl w:val="0"/>
          <w:numId w:val="26"/>
        </w:numPr>
        <w:rPr>
          <w:b/>
        </w:rPr>
      </w:pPr>
      <w:r w:rsidRPr="00194F48">
        <w:rPr>
          <w:b/>
        </w:rPr>
        <w:fldChar w:fldCharType="begin"/>
      </w:r>
      <w:r w:rsidRPr="00194F48">
        <w:rPr>
          <w:b/>
        </w:rPr>
        <w:instrText xml:space="preserve"> REF _Ref1462318 \h </w:instrText>
      </w:r>
      <w:r>
        <w:rPr>
          <w:b/>
        </w:rPr>
        <w:instrText xml:space="preserve"> \* MERGEFORMAT </w:instrText>
      </w:r>
      <w:r w:rsidRPr="00194F48">
        <w:rPr>
          <w:b/>
        </w:rPr>
      </w:r>
      <w:r w:rsidRPr="00194F48">
        <w:rPr>
          <w:b/>
        </w:rPr>
        <w:fldChar w:fldCharType="separate"/>
      </w:r>
      <w:r w:rsidR="00413291" w:rsidRPr="00413291">
        <w:rPr>
          <w:b/>
        </w:rPr>
        <w:t>RT-only Participants</w:t>
      </w:r>
      <w:r w:rsidRPr="00194F48">
        <w:rPr>
          <w:b/>
        </w:rPr>
        <w:fldChar w:fldCharType="end"/>
      </w:r>
      <w:r>
        <w:rPr>
          <w:b/>
        </w:rPr>
        <w:t>.</w:t>
      </w:r>
      <w:r w:rsidRPr="00194F48">
        <w:t xml:space="preserve"> </w:t>
      </w:r>
      <w:r>
        <w:t xml:space="preserve">This sub-section provides the estimated impacts of the RT-only </w:t>
      </w:r>
      <w:r w:rsidR="007B1D8D">
        <w:t>treatment and</w:t>
      </w:r>
      <w:r>
        <w:t xml:space="preserve"> discusses the results.</w:t>
      </w:r>
    </w:p>
    <w:p w14:paraId="35C06A40" w14:textId="2A9B588B" w:rsidR="00500D7A" w:rsidRDefault="00500D7A" w:rsidP="00500D7A">
      <w:pPr>
        <w:pStyle w:val="Heading3"/>
      </w:pPr>
      <w:bookmarkStart w:id="60" w:name="_Ref1462316"/>
      <w:bookmarkStart w:id="61" w:name="_Toc8393589"/>
      <w:r>
        <w:lastRenderedPageBreak/>
        <w:t>CPP and CPP/RT Participants</w:t>
      </w:r>
      <w:bookmarkEnd w:id="60"/>
      <w:bookmarkEnd w:id="61"/>
    </w:p>
    <w:p w14:paraId="24A09FE5" w14:textId="32F4C4E4" w:rsidR="00500D7A" w:rsidRDefault="002C663C" w:rsidP="00500D7A">
      <w:r>
        <w:t>This section will provide and discuss the estimated energy impacts for the CPP and CPP/RT groups. As noted above</w:t>
      </w:r>
      <w:r w:rsidR="00CA5588">
        <w:t>,</w:t>
      </w:r>
      <w:r>
        <w:t xml:space="preserve"> in both the section introduction and in Section </w:t>
      </w:r>
      <w:r>
        <w:fldChar w:fldCharType="begin"/>
      </w:r>
      <w:r>
        <w:instrText xml:space="preserve"> REF _Ref1129672 \w \h </w:instrText>
      </w:r>
      <w:r>
        <w:fldChar w:fldCharType="separate"/>
      </w:r>
      <w:r w:rsidR="00413291">
        <w:t>3.3</w:t>
      </w:r>
      <w:r>
        <w:fldChar w:fldCharType="end"/>
      </w:r>
      <w:r>
        <w:t>, initial exploratory regression estimation found that the incremental energy impact of the RT treatment for the participants exposed to the CPP treatment was not statistically significant. These interaction terms were then dropped from the model specification for the remainder of the analysis. For the remainder of this section, references to the “CPP group” or “CPP treatment” should be understood to encompass both the CPP and the CPP/RT participants.</w:t>
      </w:r>
    </w:p>
    <w:p w14:paraId="3ED9B9B2" w14:textId="66302CB7" w:rsidR="002C663C" w:rsidRDefault="002C663C" w:rsidP="00500D7A"/>
    <w:p w14:paraId="61304EE8" w14:textId="33AEF43E" w:rsidR="002C663C" w:rsidRDefault="002C663C" w:rsidP="00500D7A">
      <w:r>
        <w:t xml:space="preserve">Navigant estimated the energy impacts of the CPP group twice, both </w:t>
      </w:r>
      <w:r w:rsidR="00CA5588">
        <w:t xml:space="preserve">times </w:t>
      </w:r>
      <w:r>
        <w:t xml:space="preserve">with the same model specification, but with slightly different data sets. Navigant’s initial estimation included </w:t>
      </w:r>
      <w:r w:rsidR="001F1E8B" w:rsidRPr="00CA5588">
        <w:rPr>
          <w:i/>
        </w:rPr>
        <w:t>all</w:t>
      </w:r>
      <w:r w:rsidR="001F1E8B">
        <w:t xml:space="preserve"> summer days. Navigant then re-estimated the same model specification, dropping all CPP event days from the data set.</w:t>
      </w:r>
    </w:p>
    <w:p w14:paraId="52124B8F" w14:textId="1920FA2A" w:rsidR="001F1E8B" w:rsidRDefault="001F1E8B" w:rsidP="00500D7A"/>
    <w:p w14:paraId="2129CDD0" w14:textId="644297EB" w:rsidR="001F1E8B" w:rsidRDefault="001F1E8B" w:rsidP="00500D7A">
      <w:r>
        <w:t xml:space="preserve">Although both sets of results are presented below, the final results presented in this report (and in </w:t>
      </w:r>
      <w:r w:rsidR="00CA5588">
        <w:t xml:space="preserve">Appendix B, </w:t>
      </w:r>
      <w:r>
        <w:t xml:space="preserve">the accompanying output spreadsheet of program metrics for the OEB) are those estimated when CPP event days are </w:t>
      </w:r>
      <w:r>
        <w:rPr>
          <w:i/>
        </w:rPr>
        <w:t>excluded</w:t>
      </w:r>
      <w:r>
        <w:t xml:space="preserve"> from the data set.</w:t>
      </w:r>
    </w:p>
    <w:p w14:paraId="5CC46F60" w14:textId="45852212" w:rsidR="004843AB" w:rsidRDefault="004843AB" w:rsidP="00500D7A"/>
    <w:p w14:paraId="05F9FFE8" w14:textId="2987648D" w:rsidR="00CA5588" w:rsidRDefault="004843AB" w:rsidP="00500D7A">
      <w:r>
        <w:t xml:space="preserve">Average impacts in the summer of 2018 are presented in </w:t>
      </w:r>
      <w:r>
        <w:fldChar w:fldCharType="begin"/>
      </w:r>
      <w:r>
        <w:instrText xml:space="preserve"> REF _Ref1131608 \h </w:instrText>
      </w:r>
      <w:r>
        <w:fldChar w:fldCharType="separate"/>
      </w:r>
      <w:r w:rsidR="00413291">
        <w:t xml:space="preserve">Figure </w:t>
      </w:r>
      <w:r w:rsidR="00413291">
        <w:rPr>
          <w:noProof/>
        </w:rPr>
        <w:t>10</w:t>
      </w:r>
      <w:r>
        <w:fldChar w:fldCharType="end"/>
      </w:r>
      <w:r>
        <w:t>, below. This table shows the average daily reduction in consumption (kWh) in the given TOU period, the percentage reduction in the consumption of the given TOU period, and the relative precision of the estimated impact at the 90% confidence level.</w:t>
      </w:r>
      <w:r>
        <w:rPr>
          <w:rStyle w:val="FootnoteReference"/>
        </w:rPr>
        <w:footnoteReference w:id="22"/>
      </w:r>
      <w:r>
        <w:t xml:space="preserve"> </w:t>
      </w:r>
    </w:p>
    <w:p w14:paraId="0FDC1D1A" w14:textId="77777777" w:rsidR="00CA5588" w:rsidRDefault="00CA5588" w:rsidP="00500D7A"/>
    <w:p w14:paraId="1F78D66C" w14:textId="066EF12C" w:rsidR="004843AB" w:rsidRDefault="004843AB" w:rsidP="00500D7A">
      <w:r>
        <w:t>Positive values indicate a savings, and negative values indicate an increase in consumption. Statistically non-significant estimates are followed by “(N/S)”</w:t>
      </w:r>
      <w:r w:rsidR="00CA5588">
        <w:t>.</w:t>
      </w:r>
      <w:r>
        <w:t xml:space="preserve"> </w:t>
      </w:r>
      <w:r w:rsidR="00CA5588">
        <w:t>A</w:t>
      </w:r>
      <w:r>
        <w:t xml:space="preserve"> value is considered statistically not significantly different from zero</w:t>
      </w:r>
      <w:r>
        <w:rPr>
          <w:rStyle w:val="FootnoteReference"/>
        </w:rPr>
        <w:footnoteReference w:id="23"/>
      </w:r>
      <w:r>
        <w:t xml:space="preserve"> when the relative precision at the 90% confidence level exceeds 100%.</w:t>
      </w:r>
    </w:p>
    <w:p w14:paraId="1F241D61" w14:textId="4A28647B" w:rsidR="001F1E8B" w:rsidRDefault="001F1E8B" w:rsidP="00500D7A"/>
    <w:p w14:paraId="6027D769" w14:textId="6FECF5E7" w:rsidR="00516BF3" w:rsidRDefault="00516BF3" w:rsidP="00516BF3">
      <w:pPr>
        <w:pStyle w:val="Caption"/>
      </w:pPr>
      <w:bookmarkStart w:id="62" w:name="_Ref1131608"/>
      <w:bookmarkStart w:id="63" w:name="_Toc8393618"/>
      <w:r>
        <w:t xml:space="preserve">Figure </w:t>
      </w:r>
      <w:fldSimple w:instr=" SEQ Figure \* ARABIC ">
        <w:r w:rsidR="00413291">
          <w:rPr>
            <w:noProof/>
          </w:rPr>
          <w:t>10</w:t>
        </w:r>
      </w:fldSimple>
      <w:bookmarkEnd w:id="62"/>
      <w:r>
        <w:t xml:space="preserve">: </w:t>
      </w:r>
      <w:r w:rsidR="004843AB">
        <w:t>CPP Energy Impacts – Excludes CPP Event Days</w:t>
      </w:r>
      <w:bookmarkEnd w:id="63"/>
    </w:p>
    <w:tbl>
      <w:tblPr>
        <w:tblW w:w="8440" w:type="dxa"/>
        <w:jc w:val="center"/>
        <w:tblLook w:val="04A0" w:firstRow="1" w:lastRow="0" w:firstColumn="1" w:lastColumn="0" w:noHBand="0" w:noVBand="1"/>
      </w:tblPr>
      <w:tblGrid>
        <w:gridCol w:w="2065"/>
        <w:gridCol w:w="1785"/>
        <w:gridCol w:w="1905"/>
        <w:gridCol w:w="2685"/>
      </w:tblGrid>
      <w:tr w:rsidR="004843AB" w:rsidRPr="00516BF3" w14:paraId="5D30A0E4" w14:textId="77777777" w:rsidTr="004843AB">
        <w:trPr>
          <w:trHeight w:val="210"/>
          <w:jc w:val="center"/>
        </w:trPr>
        <w:tc>
          <w:tcPr>
            <w:tcW w:w="2065"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4C724AAF" w14:textId="77777777" w:rsidR="004843AB" w:rsidRPr="00516BF3" w:rsidRDefault="004843AB" w:rsidP="00516BF3">
            <w:pPr>
              <w:spacing w:line="240" w:lineRule="auto"/>
              <w:jc w:val="center"/>
              <w:rPr>
                <w:rFonts w:cs="Arial"/>
                <w:b/>
                <w:bCs/>
                <w:color w:val="FFFFFF"/>
                <w:sz w:val="16"/>
                <w:szCs w:val="16"/>
              </w:rPr>
            </w:pPr>
            <w:r w:rsidRPr="00516BF3">
              <w:rPr>
                <w:rFonts w:cs="Arial"/>
                <w:b/>
                <w:bCs/>
                <w:color w:val="FFFFFF"/>
                <w:sz w:val="16"/>
                <w:szCs w:val="16"/>
              </w:rPr>
              <w:t>TOU Period</w:t>
            </w:r>
          </w:p>
        </w:tc>
        <w:tc>
          <w:tcPr>
            <w:tcW w:w="3690" w:type="dxa"/>
            <w:gridSpan w:val="2"/>
            <w:tcBorders>
              <w:top w:val="single" w:sz="4" w:space="0" w:color="auto"/>
              <w:left w:val="single" w:sz="4" w:space="0" w:color="auto"/>
              <w:bottom w:val="nil"/>
              <w:right w:val="single" w:sz="4" w:space="0" w:color="000000"/>
            </w:tcBorders>
            <w:shd w:val="clear" w:color="000000" w:fill="555759"/>
            <w:noWrap/>
            <w:vAlign w:val="center"/>
            <w:hideMark/>
          </w:tcPr>
          <w:p w14:paraId="57A7E7DA" w14:textId="77777777" w:rsidR="004843AB" w:rsidRPr="00516BF3" w:rsidRDefault="004843AB" w:rsidP="00516BF3">
            <w:pPr>
              <w:spacing w:line="240" w:lineRule="auto"/>
              <w:jc w:val="center"/>
              <w:rPr>
                <w:rFonts w:cs="Arial"/>
                <w:b/>
                <w:bCs/>
                <w:color w:val="FFFFFF"/>
                <w:sz w:val="16"/>
                <w:szCs w:val="16"/>
              </w:rPr>
            </w:pPr>
            <w:r w:rsidRPr="00516BF3">
              <w:rPr>
                <w:rFonts w:cs="Arial"/>
                <w:b/>
                <w:bCs/>
                <w:color w:val="FFFFFF"/>
                <w:sz w:val="16"/>
                <w:szCs w:val="16"/>
              </w:rPr>
              <w:t>Daily Savings</w:t>
            </w:r>
          </w:p>
        </w:tc>
        <w:tc>
          <w:tcPr>
            <w:tcW w:w="2685" w:type="dxa"/>
            <w:vMerge w:val="restart"/>
            <w:tcBorders>
              <w:top w:val="single" w:sz="4" w:space="0" w:color="auto"/>
              <w:left w:val="nil"/>
              <w:right w:val="single" w:sz="4" w:space="0" w:color="auto"/>
            </w:tcBorders>
            <w:shd w:val="clear" w:color="000000" w:fill="555759"/>
            <w:vAlign w:val="center"/>
            <w:hideMark/>
          </w:tcPr>
          <w:p w14:paraId="5F766C96" w14:textId="77777777" w:rsidR="004843AB" w:rsidRPr="00516BF3" w:rsidRDefault="004843AB" w:rsidP="00516BF3">
            <w:pPr>
              <w:spacing w:line="240" w:lineRule="auto"/>
              <w:jc w:val="center"/>
              <w:rPr>
                <w:rFonts w:cs="Arial"/>
                <w:b/>
                <w:bCs/>
                <w:color w:val="FFFFFF"/>
                <w:sz w:val="16"/>
                <w:szCs w:val="16"/>
              </w:rPr>
            </w:pPr>
            <w:r w:rsidRPr="00516BF3">
              <w:rPr>
                <w:rFonts w:cs="Arial"/>
                <w:b/>
                <w:bCs/>
                <w:color w:val="FFFFFF"/>
                <w:sz w:val="16"/>
                <w:szCs w:val="16"/>
              </w:rPr>
              <w:t>Relative Precision +/-% (90% Confidence)</w:t>
            </w:r>
          </w:p>
        </w:tc>
      </w:tr>
      <w:tr w:rsidR="004843AB" w:rsidRPr="00516BF3" w14:paraId="7C5DC204" w14:textId="77777777" w:rsidTr="004843AB">
        <w:trPr>
          <w:trHeight w:val="380"/>
          <w:jc w:val="center"/>
        </w:trPr>
        <w:tc>
          <w:tcPr>
            <w:tcW w:w="2065" w:type="dxa"/>
            <w:vMerge/>
            <w:tcBorders>
              <w:top w:val="single" w:sz="4" w:space="0" w:color="auto"/>
              <w:left w:val="single" w:sz="4" w:space="0" w:color="auto"/>
              <w:bottom w:val="single" w:sz="4" w:space="0" w:color="000000"/>
              <w:right w:val="nil"/>
            </w:tcBorders>
            <w:vAlign w:val="center"/>
            <w:hideMark/>
          </w:tcPr>
          <w:p w14:paraId="2D9921F9" w14:textId="77777777" w:rsidR="004843AB" w:rsidRPr="00516BF3" w:rsidRDefault="004843AB" w:rsidP="00516BF3">
            <w:pPr>
              <w:spacing w:line="240" w:lineRule="auto"/>
              <w:rPr>
                <w:rFonts w:cs="Arial"/>
                <w:b/>
                <w:bCs/>
                <w:color w:val="FFFFFF"/>
                <w:sz w:val="16"/>
                <w:szCs w:val="16"/>
              </w:rPr>
            </w:pPr>
          </w:p>
        </w:tc>
        <w:tc>
          <w:tcPr>
            <w:tcW w:w="1785" w:type="dxa"/>
            <w:tcBorders>
              <w:top w:val="nil"/>
              <w:left w:val="single" w:sz="4" w:space="0" w:color="auto"/>
              <w:bottom w:val="single" w:sz="4" w:space="0" w:color="auto"/>
              <w:right w:val="nil"/>
            </w:tcBorders>
            <w:shd w:val="clear" w:color="000000" w:fill="555759"/>
            <w:noWrap/>
            <w:vAlign w:val="center"/>
            <w:hideMark/>
          </w:tcPr>
          <w:p w14:paraId="66B90A72" w14:textId="77777777" w:rsidR="004843AB" w:rsidRPr="00516BF3" w:rsidRDefault="004843AB" w:rsidP="00516BF3">
            <w:pPr>
              <w:spacing w:line="240" w:lineRule="auto"/>
              <w:jc w:val="center"/>
              <w:rPr>
                <w:rFonts w:cs="Arial"/>
                <w:b/>
                <w:bCs/>
                <w:color w:val="FFFFFF"/>
                <w:sz w:val="16"/>
                <w:szCs w:val="16"/>
              </w:rPr>
            </w:pPr>
            <w:r w:rsidRPr="00516BF3">
              <w:rPr>
                <w:rFonts w:cs="Arial"/>
                <w:b/>
                <w:bCs/>
                <w:color w:val="FFFFFF"/>
                <w:sz w:val="16"/>
                <w:szCs w:val="16"/>
              </w:rPr>
              <w:t>kWh</w:t>
            </w:r>
          </w:p>
        </w:tc>
        <w:tc>
          <w:tcPr>
            <w:tcW w:w="1905" w:type="dxa"/>
            <w:tcBorders>
              <w:top w:val="nil"/>
              <w:left w:val="nil"/>
              <w:bottom w:val="single" w:sz="4" w:space="0" w:color="auto"/>
              <w:right w:val="single" w:sz="4" w:space="0" w:color="auto"/>
            </w:tcBorders>
            <w:shd w:val="clear" w:color="000000" w:fill="555759"/>
            <w:noWrap/>
            <w:vAlign w:val="center"/>
            <w:hideMark/>
          </w:tcPr>
          <w:p w14:paraId="63D2B212" w14:textId="77777777" w:rsidR="004843AB" w:rsidRPr="00516BF3" w:rsidRDefault="004843AB" w:rsidP="00516BF3">
            <w:pPr>
              <w:spacing w:line="240" w:lineRule="auto"/>
              <w:jc w:val="center"/>
              <w:rPr>
                <w:rFonts w:cs="Arial"/>
                <w:b/>
                <w:bCs/>
                <w:color w:val="FFFFFF"/>
                <w:sz w:val="16"/>
                <w:szCs w:val="16"/>
              </w:rPr>
            </w:pPr>
            <w:r w:rsidRPr="00516BF3">
              <w:rPr>
                <w:rFonts w:cs="Arial"/>
                <w:b/>
                <w:bCs/>
                <w:color w:val="FFFFFF"/>
                <w:sz w:val="16"/>
                <w:szCs w:val="16"/>
              </w:rPr>
              <w:t>%</w:t>
            </w:r>
          </w:p>
        </w:tc>
        <w:tc>
          <w:tcPr>
            <w:tcW w:w="2685" w:type="dxa"/>
            <w:vMerge/>
            <w:tcBorders>
              <w:left w:val="nil"/>
              <w:bottom w:val="single" w:sz="4" w:space="0" w:color="000000"/>
              <w:right w:val="single" w:sz="4" w:space="0" w:color="auto"/>
            </w:tcBorders>
            <w:vAlign w:val="center"/>
            <w:hideMark/>
          </w:tcPr>
          <w:p w14:paraId="250643A4" w14:textId="77777777" w:rsidR="004843AB" w:rsidRPr="00516BF3" w:rsidRDefault="004843AB" w:rsidP="00516BF3">
            <w:pPr>
              <w:spacing w:line="240" w:lineRule="auto"/>
              <w:rPr>
                <w:rFonts w:cs="Arial"/>
                <w:b/>
                <w:bCs/>
                <w:color w:val="FFFFFF"/>
                <w:sz w:val="16"/>
                <w:szCs w:val="16"/>
              </w:rPr>
            </w:pPr>
          </w:p>
        </w:tc>
      </w:tr>
      <w:tr w:rsidR="00476F49" w:rsidRPr="00516BF3" w14:paraId="01F3A377" w14:textId="77777777" w:rsidTr="004843AB">
        <w:trPr>
          <w:trHeight w:val="200"/>
          <w:jc w:val="center"/>
        </w:trPr>
        <w:tc>
          <w:tcPr>
            <w:tcW w:w="2065" w:type="dxa"/>
            <w:tcBorders>
              <w:top w:val="nil"/>
              <w:left w:val="single" w:sz="4" w:space="0" w:color="auto"/>
              <w:bottom w:val="nil"/>
              <w:right w:val="single" w:sz="4" w:space="0" w:color="auto"/>
            </w:tcBorders>
            <w:shd w:val="clear" w:color="000000" w:fill="FFFFFF"/>
            <w:noWrap/>
            <w:vAlign w:val="bottom"/>
            <w:hideMark/>
          </w:tcPr>
          <w:p w14:paraId="33E912AF" w14:textId="77777777" w:rsidR="00476F49" w:rsidRPr="00516BF3" w:rsidRDefault="00476F49" w:rsidP="00476F49">
            <w:pPr>
              <w:spacing w:line="240" w:lineRule="auto"/>
              <w:rPr>
                <w:rFonts w:cs="Arial"/>
                <w:sz w:val="16"/>
                <w:szCs w:val="16"/>
              </w:rPr>
            </w:pPr>
            <w:r w:rsidRPr="00516BF3">
              <w:rPr>
                <w:rFonts w:cs="Arial"/>
                <w:sz w:val="16"/>
                <w:szCs w:val="16"/>
              </w:rPr>
              <w:t>On-Peak</w:t>
            </w:r>
          </w:p>
        </w:tc>
        <w:tc>
          <w:tcPr>
            <w:tcW w:w="1785" w:type="dxa"/>
            <w:tcBorders>
              <w:top w:val="nil"/>
              <w:left w:val="nil"/>
              <w:bottom w:val="nil"/>
              <w:right w:val="single" w:sz="4" w:space="0" w:color="auto"/>
            </w:tcBorders>
            <w:shd w:val="clear" w:color="000000" w:fill="FFFFFF"/>
            <w:noWrap/>
            <w:vAlign w:val="center"/>
            <w:hideMark/>
          </w:tcPr>
          <w:p w14:paraId="0F7E878A" w14:textId="2DB812D1" w:rsidR="00476F49" w:rsidRPr="00516BF3" w:rsidRDefault="00476F49" w:rsidP="00476F49">
            <w:pPr>
              <w:spacing w:line="240" w:lineRule="auto"/>
              <w:jc w:val="center"/>
              <w:rPr>
                <w:rFonts w:cs="Arial"/>
                <w:sz w:val="16"/>
                <w:szCs w:val="16"/>
              </w:rPr>
            </w:pPr>
            <w:r>
              <w:rPr>
                <w:rFonts w:cs="Arial"/>
                <w:sz w:val="16"/>
                <w:szCs w:val="16"/>
              </w:rPr>
              <w:t>0.30</w:t>
            </w:r>
          </w:p>
        </w:tc>
        <w:tc>
          <w:tcPr>
            <w:tcW w:w="1905" w:type="dxa"/>
            <w:tcBorders>
              <w:top w:val="nil"/>
              <w:left w:val="nil"/>
              <w:bottom w:val="nil"/>
              <w:right w:val="single" w:sz="4" w:space="0" w:color="auto"/>
            </w:tcBorders>
            <w:shd w:val="clear" w:color="000000" w:fill="FFFFFF"/>
            <w:noWrap/>
            <w:vAlign w:val="center"/>
            <w:hideMark/>
          </w:tcPr>
          <w:p w14:paraId="042262F2" w14:textId="41007688" w:rsidR="00476F49" w:rsidRPr="00516BF3" w:rsidRDefault="00476F49" w:rsidP="00476F49">
            <w:pPr>
              <w:spacing w:line="240" w:lineRule="auto"/>
              <w:jc w:val="center"/>
              <w:rPr>
                <w:rFonts w:cs="Arial"/>
                <w:sz w:val="16"/>
                <w:szCs w:val="16"/>
              </w:rPr>
            </w:pPr>
            <w:r>
              <w:rPr>
                <w:rFonts w:cs="Arial"/>
                <w:sz w:val="16"/>
                <w:szCs w:val="16"/>
              </w:rPr>
              <w:t>5.0%</w:t>
            </w:r>
          </w:p>
        </w:tc>
        <w:tc>
          <w:tcPr>
            <w:tcW w:w="2685" w:type="dxa"/>
            <w:tcBorders>
              <w:top w:val="nil"/>
              <w:left w:val="nil"/>
              <w:bottom w:val="nil"/>
              <w:right w:val="single" w:sz="4" w:space="0" w:color="auto"/>
            </w:tcBorders>
            <w:shd w:val="clear" w:color="000000" w:fill="FFFFFF"/>
            <w:noWrap/>
            <w:vAlign w:val="center"/>
            <w:hideMark/>
          </w:tcPr>
          <w:p w14:paraId="363A9F07" w14:textId="4E90A121" w:rsidR="00476F49" w:rsidRPr="00516BF3" w:rsidRDefault="00476F49" w:rsidP="00476F49">
            <w:pPr>
              <w:spacing w:line="240" w:lineRule="auto"/>
              <w:jc w:val="center"/>
              <w:rPr>
                <w:rFonts w:cs="Arial"/>
                <w:sz w:val="16"/>
                <w:szCs w:val="16"/>
              </w:rPr>
            </w:pPr>
            <w:r>
              <w:rPr>
                <w:rFonts w:cs="Arial"/>
                <w:sz w:val="16"/>
                <w:szCs w:val="16"/>
              </w:rPr>
              <w:t>58%</w:t>
            </w:r>
          </w:p>
        </w:tc>
      </w:tr>
      <w:tr w:rsidR="00476F49" w:rsidRPr="00516BF3" w14:paraId="74187D72" w14:textId="77777777" w:rsidTr="004843AB">
        <w:trPr>
          <w:trHeight w:val="200"/>
          <w:jc w:val="center"/>
        </w:trPr>
        <w:tc>
          <w:tcPr>
            <w:tcW w:w="2065" w:type="dxa"/>
            <w:tcBorders>
              <w:top w:val="nil"/>
              <w:left w:val="single" w:sz="4" w:space="0" w:color="auto"/>
              <w:bottom w:val="nil"/>
              <w:right w:val="single" w:sz="4" w:space="0" w:color="auto"/>
            </w:tcBorders>
            <w:shd w:val="clear" w:color="000000" w:fill="F2F2F2"/>
            <w:noWrap/>
            <w:vAlign w:val="bottom"/>
            <w:hideMark/>
          </w:tcPr>
          <w:p w14:paraId="7AD2D07D" w14:textId="77777777" w:rsidR="00476F49" w:rsidRPr="00516BF3" w:rsidRDefault="00476F49" w:rsidP="00476F49">
            <w:pPr>
              <w:spacing w:line="240" w:lineRule="auto"/>
              <w:rPr>
                <w:rFonts w:cs="Arial"/>
                <w:sz w:val="16"/>
                <w:szCs w:val="16"/>
              </w:rPr>
            </w:pPr>
            <w:r w:rsidRPr="00516BF3">
              <w:rPr>
                <w:rFonts w:cs="Arial"/>
                <w:sz w:val="16"/>
                <w:szCs w:val="16"/>
              </w:rPr>
              <w:t>Mid-Peak</w:t>
            </w:r>
          </w:p>
        </w:tc>
        <w:tc>
          <w:tcPr>
            <w:tcW w:w="1785" w:type="dxa"/>
            <w:tcBorders>
              <w:top w:val="nil"/>
              <w:left w:val="nil"/>
              <w:bottom w:val="nil"/>
              <w:right w:val="single" w:sz="4" w:space="0" w:color="auto"/>
            </w:tcBorders>
            <w:shd w:val="clear" w:color="000000" w:fill="F2F2F2"/>
            <w:noWrap/>
            <w:vAlign w:val="center"/>
            <w:hideMark/>
          </w:tcPr>
          <w:p w14:paraId="04953777" w14:textId="29D4C2D4" w:rsidR="00476F49" w:rsidRPr="00516BF3" w:rsidRDefault="00476F49" w:rsidP="00476F49">
            <w:pPr>
              <w:spacing w:line="240" w:lineRule="auto"/>
              <w:jc w:val="center"/>
              <w:rPr>
                <w:rFonts w:cs="Arial"/>
                <w:sz w:val="16"/>
                <w:szCs w:val="16"/>
              </w:rPr>
            </w:pPr>
            <w:r>
              <w:rPr>
                <w:rFonts w:cs="Arial"/>
                <w:sz w:val="16"/>
                <w:szCs w:val="16"/>
              </w:rPr>
              <w:t>0.17</w:t>
            </w:r>
          </w:p>
        </w:tc>
        <w:tc>
          <w:tcPr>
            <w:tcW w:w="1905" w:type="dxa"/>
            <w:tcBorders>
              <w:top w:val="nil"/>
              <w:left w:val="nil"/>
              <w:bottom w:val="nil"/>
              <w:right w:val="single" w:sz="4" w:space="0" w:color="auto"/>
            </w:tcBorders>
            <w:shd w:val="clear" w:color="000000" w:fill="F2F2F2"/>
            <w:noWrap/>
            <w:vAlign w:val="center"/>
            <w:hideMark/>
          </w:tcPr>
          <w:p w14:paraId="6B7D7192" w14:textId="3FD04141" w:rsidR="00476F49" w:rsidRPr="00516BF3" w:rsidRDefault="00476F49" w:rsidP="00476F49">
            <w:pPr>
              <w:spacing w:line="240" w:lineRule="auto"/>
              <w:jc w:val="center"/>
              <w:rPr>
                <w:rFonts w:cs="Arial"/>
                <w:sz w:val="16"/>
                <w:szCs w:val="16"/>
              </w:rPr>
            </w:pPr>
            <w:r>
              <w:rPr>
                <w:rFonts w:cs="Arial"/>
                <w:sz w:val="16"/>
                <w:szCs w:val="16"/>
              </w:rPr>
              <w:t>2.9%</w:t>
            </w:r>
          </w:p>
        </w:tc>
        <w:tc>
          <w:tcPr>
            <w:tcW w:w="2685" w:type="dxa"/>
            <w:tcBorders>
              <w:top w:val="nil"/>
              <w:left w:val="nil"/>
              <w:bottom w:val="nil"/>
              <w:right w:val="single" w:sz="4" w:space="0" w:color="auto"/>
            </w:tcBorders>
            <w:shd w:val="clear" w:color="000000" w:fill="F2F2F2"/>
            <w:noWrap/>
            <w:vAlign w:val="center"/>
            <w:hideMark/>
          </w:tcPr>
          <w:p w14:paraId="467AE7B9" w14:textId="23C4B444" w:rsidR="00476F49" w:rsidRPr="00516BF3" w:rsidRDefault="00476F49" w:rsidP="00476F49">
            <w:pPr>
              <w:spacing w:line="240" w:lineRule="auto"/>
              <w:jc w:val="center"/>
              <w:rPr>
                <w:rFonts w:cs="Arial"/>
                <w:sz w:val="16"/>
                <w:szCs w:val="16"/>
              </w:rPr>
            </w:pPr>
            <w:r>
              <w:rPr>
                <w:rFonts w:cs="Arial"/>
                <w:sz w:val="16"/>
                <w:szCs w:val="16"/>
              </w:rPr>
              <w:t>90%</w:t>
            </w:r>
          </w:p>
        </w:tc>
      </w:tr>
      <w:tr w:rsidR="00476F49" w:rsidRPr="00516BF3" w14:paraId="5027FF44" w14:textId="77777777" w:rsidTr="004843AB">
        <w:trPr>
          <w:trHeight w:val="200"/>
          <w:jc w:val="center"/>
        </w:trPr>
        <w:tc>
          <w:tcPr>
            <w:tcW w:w="2065" w:type="dxa"/>
            <w:tcBorders>
              <w:top w:val="nil"/>
              <w:left w:val="single" w:sz="4" w:space="0" w:color="auto"/>
              <w:bottom w:val="nil"/>
              <w:right w:val="single" w:sz="4" w:space="0" w:color="auto"/>
            </w:tcBorders>
            <w:shd w:val="clear" w:color="000000" w:fill="FFFFFF"/>
            <w:noWrap/>
            <w:vAlign w:val="bottom"/>
            <w:hideMark/>
          </w:tcPr>
          <w:p w14:paraId="6A916510" w14:textId="77777777" w:rsidR="00476F49" w:rsidRPr="00516BF3" w:rsidRDefault="00476F49" w:rsidP="00476F49">
            <w:pPr>
              <w:spacing w:line="240" w:lineRule="auto"/>
              <w:rPr>
                <w:rFonts w:cs="Arial"/>
                <w:sz w:val="16"/>
                <w:szCs w:val="16"/>
              </w:rPr>
            </w:pPr>
            <w:r w:rsidRPr="00516BF3">
              <w:rPr>
                <w:rFonts w:cs="Arial"/>
                <w:sz w:val="16"/>
                <w:szCs w:val="16"/>
              </w:rPr>
              <w:t>Off-Peak</w:t>
            </w:r>
          </w:p>
        </w:tc>
        <w:tc>
          <w:tcPr>
            <w:tcW w:w="1785" w:type="dxa"/>
            <w:tcBorders>
              <w:top w:val="nil"/>
              <w:left w:val="nil"/>
              <w:bottom w:val="nil"/>
              <w:right w:val="single" w:sz="4" w:space="0" w:color="auto"/>
            </w:tcBorders>
            <w:shd w:val="clear" w:color="000000" w:fill="FFFFFF"/>
            <w:noWrap/>
            <w:vAlign w:val="center"/>
            <w:hideMark/>
          </w:tcPr>
          <w:p w14:paraId="66DF1151" w14:textId="7623F541" w:rsidR="00476F49" w:rsidRPr="00516BF3" w:rsidRDefault="00476F49" w:rsidP="00476F49">
            <w:pPr>
              <w:spacing w:line="240" w:lineRule="auto"/>
              <w:jc w:val="center"/>
              <w:rPr>
                <w:rFonts w:cs="Arial"/>
                <w:sz w:val="16"/>
                <w:szCs w:val="16"/>
              </w:rPr>
            </w:pPr>
            <w:r>
              <w:rPr>
                <w:rFonts w:cs="Arial"/>
                <w:sz w:val="16"/>
                <w:szCs w:val="16"/>
              </w:rPr>
              <w:t>-0.22 (N/S)</w:t>
            </w:r>
          </w:p>
        </w:tc>
        <w:tc>
          <w:tcPr>
            <w:tcW w:w="1905" w:type="dxa"/>
            <w:tcBorders>
              <w:top w:val="nil"/>
              <w:left w:val="nil"/>
              <w:bottom w:val="nil"/>
              <w:right w:val="single" w:sz="4" w:space="0" w:color="auto"/>
            </w:tcBorders>
            <w:shd w:val="clear" w:color="000000" w:fill="FFFFFF"/>
            <w:noWrap/>
            <w:vAlign w:val="center"/>
            <w:hideMark/>
          </w:tcPr>
          <w:p w14:paraId="16A84FF5" w14:textId="6A9C350D" w:rsidR="00476F49" w:rsidRPr="00516BF3" w:rsidRDefault="00476F49" w:rsidP="00476F49">
            <w:pPr>
              <w:spacing w:line="240" w:lineRule="auto"/>
              <w:jc w:val="center"/>
              <w:rPr>
                <w:rFonts w:cs="Arial"/>
                <w:sz w:val="16"/>
                <w:szCs w:val="16"/>
              </w:rPr>
            </w:pPr>
            <w:r>
              <w:rPr>
                <w:rFonts w:cs="Arial"/>
                <w:sz w:val="16"/>
                <w:szCs w:val="16"/>
              </w:rPr>
              <w:t>-1.96% (N/S)</w:t>
            </w:r>
          </w:p>
        </w:tc>
        <w:tc>
          <w:tcPr>
            <w:tcW w:w="2685" w:type="dxa"/>
            <w:tcBorders>
              <w:top w:val="nil"/>
              <w:left w:val="nil"/>
              <w:bottom w:val="nil"/>
              <w:right w:val="single" w:sz="4" w:space="0" w:color="auto"/>
            </w:tcBorders>
            <w:shd w:val="clear" w:color="000000" w:fill="FFFFFF"/>
            <w:noWrap/>
            <w:vAlign w:val="center"/>
            <w:hideMark/>
          </w:tcPr>
          <w:p w14:paraId="52102353" w14:textId="382615BB" w:rsidR="00476F49" w:rsidRPr="00516BF3" w:rsidRDefault="00476F49" w:rsidP="00476F49">
            <w:pPr>
              <w:spacing w:line="240" w:lineRule="auto"/>
              <w:jc w:val="center"/>
              <w:rPr>
                <w:rFonts w:cs="Arial"/>
                <w:sz w:val="16"/>
                <w:szCs w:val="16"/>
              </w:rPr>
            </w:pPr>
            <w:r>
              <w:rPr>
                <w:rFonts w:cs="Arial"/>
                <w:sz w:val="16"/>
                <w:szCs w:val="16"/>
              </w:rPr>
              <w:t>-136%</w:t>
            </w:r>
          </w:p>
        </w:tc>
      </w:tr>
      <w:tr w:rsidR="00476F49" w:rsidRPr="00516BF3" w14:paraId="1C93654F" w14:textId="77777777" w:rsidTr="004843AB">
        <w:trPr>
          <w:trHeight w:val="200"/>
          <w:jc w:val="center"/>
        </w:trPr>
        <w:tc>
          <w:tcPr>
            <w:tcW w:w="2065" w:type="dxa"/>
            <w:tcBorders>
              <w:top w:val="nil"/>
              <w:left w:val="single" w:sz="4" w:space="0" w:color="auto"/>
              <w:bottom w:val="single" w:sz="4" w:space="0" w:color="auto"/>
              <w:right w:val="single" w:sz="4" w:space="0" w:color="auto"/>
            </w:tcBorders>
            <w:shd w:val="clear" w:color="000000" w:fill="F2F2F2"/>
            <w:noWrap/>
            <w:vAlign w:val="bottom"/>
            <w:hideMark/>
          </w:tcPr>
          <w:p w14:paraId="2978C4EC" w14:textId="77777777" w:rsidR="00476F49" w:rsidRPr="00516BF3" w:rsidRDefault="00476F49" w:rsidP="00476F49">
            <w:pPr>
              <w:spacing w:line="240" w:lineRule="auto"/>
              <w:rPr>
                <w:rFonts w:cs="Arial"/>
                <w:sz w:val="16"/>
                <w:szCs w:val="16"/>
              </w:rPr>
            </w:pPr>
            <w:r w:rsidRPr="00516BF3">
              <w:rPr>
                <w:rFonts w:cs="Arial"/>
                <w:sz w:val="16"/>
                <w:szCs w:val="16"/>
              </w:rPr>
              <w:t>Weekend Off-Peak</w:t>
            </w:r>
          </w:p>
        </w:tc>
        <w:tc>
          <w:tcPr>
            <w:tcW w:w="1785" w:type="dxa"/>
            <w:tcBorders>
              <w:top w:val="nil"/>
              <w:left w:val="nil"/>
              <w:bottom w:val="single" w:sz="4" w:space="0" w:color="auto"/>
              <w:right w:val="single" w:sz="4" w:space="0" w:color="auto"/>
            </w:tcBorders>
            <w:shd w:val="clear" w:color="000000" w:fill="F2F2F2"/>
            <w:noWrap/>
            <w:vAlign w:val="center"/>
            <w:hideMark/>
          </w:tcPr>
          <w:p w14:paraId="192756D2" w14:textId="66E9F018" w:rsidR="00476F49" w:rsidRPr="00516BF3" w:rsidRDefault="00476F49" w:rsidP="00476F49">
            <w:pPr>
              <w:spacing w:line="240" w:lineRule="auto"/>
              <w:jc w:val="center"/>
              <w:rPr>
                <w:rFonts w:cs="Arial"/>
                <w:sz w:val="16"/>
                <w:szCs w:val="16"/>
              </w:rPr>
            </w:pPr>
            <w:r>
              <w:rPr>
                <w:rFonts w:cs="Arial"/>
                <w:sz w:val="16"/>
                <w:szCs w:val="16"/>
              </w:rPr>
              <w:t>0.08 (N/S)</w:t>
            </w:r>
          </w:p>
        </w:tc>
        <w:tc>
          <w:tcPr>
            <w:tcW w:w="1905" w:type="dxa"/>
            <w:tcBorders>
              <w:top w:val="nil"/>
              <w:left w:val="nil"/>
              <w:bottom w:val="single" w:sz="4" w:space="0" w:color="auto"/>
              <w:right w:val="single" w:sz="4" w:space="0" w:color="auto"/>
            </w:tcBorders>
            <w:shd w:val="clear" w:color="000000" w:fill="F2F2F2"/>
            <w:noWrap/>
            <w:vAlign w:val="center"/>
            <w:hideMark/>
          </w:tcPr>
          <w:p w14:paraId="153A7BE6" w14:textId="76E7A278" w:rsidR="00476F49" w:rsidRPr="00516BF3" w:rsidRDefault="00476F49" w:rsidP="00476F49">
            <w:pPr>
              <w:spacing w:line="240" w:lineRule="auto"/>
              <w:jc w:val="center"/>
              <w:rPr>
                <w:rFonts w:cs="Arial"/>
                <w:sz w:val="16"/>
                <w:szCs w:val="16"/>
              </w:rPr>
            </w:pPr>
            <w:r>
              <w:rPr>
                <w:rFonts w:cs="Arial"/>
                <w:sz w:val="16"/>
                <w:szCs w:val="16"/>
              </w:rPr>
              <w:t>0.3% (N/S)</w:t>
            </w:r>
          </w:p>
        </w:tc>
        <w:tc>
          <w:tcPr>
            <w:tcW w:w="2685" w:type="dxa"/>
            <w:tcBorders>
              <w:top w:val="nil"/>
              <w:left w:val="nil"/>
              <w:bottom w:val="single" w:sz="4" w:space="0" w:color="auto"/>
              <w:right w:val="single" w:sz="4" w:space="0" w:color="auto"/>
            </w:tcBorders>
            <w:shd w:val="clear" w:color="000000" w:fill="F2F2F2"/>
            <w:noWrap/>
            <w:vAlign w:val="center"/>
            <w:hideMark/>
          </w:tcPr>
          <w:p w14:paraId="7FAFF693" w14:textId="49C534B0" w:rsidR="00476F49" w:rsidRPr="00516BF3" w:rsidRDefault="00476F49" w:rsidP="00476F49">
            <w:pPr>
              <w:spacing w:line="240" w:lineRule="auto"/>
              <w:jc w:val="center"/>
              <w:rPr>
                <w:rFonts w:cs="Arial"/>
                <w:sz w:val="16"/>
                <w:szCs w:val="16"/>
              </w:rPr>
            </w:pPr>
            <w:r>
              <w:rPr>
                <w:rFonts w:cs="Arial"/>
                <w:sz w:val="16"/>
                <w:szCs w:val="16"/>
              </w:rPr>
              <w:t>751%</w:t>
            </w:r>
          </w:p>
        </w:tc>
      </w:tr>
    </w:tbl>
    <w:p w14:paraId="0AA38C57" w14:textId="1F906616" w:rsidR="00FF5B0E" w:rsidRDefault="00FF5B0E" w:rsidP="00500D7A"/>
    <w:p w14:paraId="036AFEE7" w14:textId="56104101" w:rsidR="00227D8D" w:rsidRDefault="00227D8D" w:rsidP="00500D7A">
      <w:r>
        <w:t>Note that the savings values above are average daily consumption savings, by TOU period. This is equivalent to an average reduction in On-Peak demand of 0.0</w:t>
      </w:r>
      <w:r w:rsidR="00476F49">
        <w:t>49</w:t>
      </w:r>
      <w:r>
        <w:t xml:space="preserve"> kW and an average reduction in Mid-Peak demand of 0.029 kW.</w:t>
      </w:r>
    </w:p>
    <w:p w14:paraId="489AA405" w14:textId="5A5F9DD6" w:rsidR="00355DC7" w:rsidRDefault="00355DC7" w:rsidP="00500D7A"/>
    <w:p w14:paraId="2136F58F" w14:textId="0261900B" w:rsidR="00355DC7" w:rsidRDefault="00355DC7" w:rsidP="00500D7A">
      <w:r>
        <w:t>When the model was re-estimated using the system coincident peak demand data set (i.e., a daily frequency data set where the dependent variable is the total daily consumption between 1pm and 6pm on non-holiday weekdays in June, July, and August), Navigant estimated a statistically significant average reduction in energy consumption of 0.46 kWh, or approximately 6% of baseline consumption in that period. The average estimated demand impact in this period is 0.077 kW.</w:t>
      </w:r>
    </w:p>
    <w:p w14:paraId="1E7D214C" w14:textId="77777777" w:rsidR="00227D8D" w:rsidRDefault="00227D8D" w:rsidP="00500D7A"/>
    <w:p w14:paraId="01A911F8" w14:textId="64846DCE" w:rsidR="004843AB" w:rsidRDefault="004843AB" w:rsidP="00500D7A">
      <w:r>
        <w:fldChar w:fldCharType="begin"/>
      </w:r>
      <w:r>
        <w:instrText xml:space="preserve"> REF _Ref1131948 \h </w:instrText>
      </w:r>
      <w:r>
        <w:fldChar w:fldCharType="separate"/>
      </w:r>
      <w:r w:rsidR="00413291">
        <w:t xml:space="preserve">Figure </w:t>
      </w:r>
      <w:r w:rsidR="00413291">
        <w:rPr>
          <w:noProof/>
        </w:rPr>
        <w:t>11</w:t>
      </w:r>
      <w:r>
        <w:fldChar w:fldCharType="end"/>
      </w:r>
      <w:r>
        <w:t xml:space="preserve">, below, provides the estimated impacts when CPP event days are </w:t>
      </w:r>
      <w:r w:rsidRPr="00725175">
        <w:rPr>
          <w:i/>
        </w:rPr>
        <w:t>included</w:t>
      </w:r>
      <w:r>
        <w:t xml:space="preserve">. Note that the estimated impact in the On-Peak period barely changes, whereas the Mid-Peak impact doubles when CPP event days are included. This effect is </w:t>
      </w:r>
      <w:r w:rsidR="00725175">
        <w:t>because in the summer of 2018</w:t>
      </w:r>
      <w:r>
        <w:t xml:space="preserve"> CPP events all began at either 5pm or 6pm; no CPP events took place within the TOU On-Peak pe</w:t>
      </w:r>
      <w:r w:rsidR="00A816FA">
        <w:t>r</w:t>
      </w:r>
      <w:r>
        <w:t>iod.</w:t>
      </w:r>
    </w:p>
    <w:p w14:paraId="6B3B9D4C" w14:textId="77777777" w:rsidR="004843AB" w:rsidRDefault="004843AB" w:rsidP="00500D7A"/>
    <w:p w14:paraId="46309878" w14:textId="6D2AAE94" w:rsidR="004843AB" w:rsidRDefault="004843AB" w:rsidP="004843AB">
      <w:pPr>
        <w:pStyle w:val="Caption"/>
      </w:pPr>
      <w:bookmarkStart w:id="64" w:name="_Ref1131948"/>
      <w:bookmarkStart w:id="65" w:name="_Toc8393619"/>
      <w:r>
        <w:t xml:space="preserve">Figure </w:t>
      </w:r>
      <w:fldSimple w:instr=" SEQ Figure \* ARABIC ">
        <w:r w:rsidR="00413291">
          <w:rPr>
            <w:noProof/>
          </w:rPr>
          <w:t>11</w:t>
        </w:r>
      </w:fldSimple>
      <w:bookmarkEnd w:id="64"/>
      <w:r>
        <w:t>: CPP Energy Impacts: Includes CPP Event Days</w:t>
      </w:r>
      <w:bookmarkEnd w:id="65"/>
    </w:p>
    <w:tbl>
      <w:tblPr>
        <w:tblW w:w="8440" w:type="dxa"/>
        <w:jc w:val="center"/>
        <w:tblLook w:val="04A0" w:firstRow="1" w:lastRow="0" w:firstColumn="1" w:lastColumn="0" w:noHBand="0" w:noVBand="1"/>
      </w:tblPr>
      <w:tblGrid>
        <w:gridCol w:w="2065"/>
        <w:gridCol w:w="1785"/>
        <w:gridCol w:w="1905"/>
        <w:gridCol w:w="2685"/>
      </w:tblGrid>
      <w:tr w:rsidR="004843AB" w:rsidRPr="00516BF3" w14:paraId="1674FA2E" w14:textId="77777777" w:rsidTr="004843AB">
        <w:trPr>
          <w:trHeight w:val="210"/>
          <w:jc w:val="center"/>
        </w:trPr>
        <w:tc>
          <w:tcPr>
            <w:tcW w:w="2065"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5F9AE6BD" w14:textId="77777777" w:rsidR="004843AB" w:rsidRPr="00516BF3" w:rsidRDefault="004843AB" w:rsidP="00A816FA">
            <w:pPr>
              <w:keepNext/>
              <w:spacing w:line="240" w:lineRule="auto"/>
              <w:jc w:val="center"/>
              <w:rPr>
                <w:rFonts w:cs="Arial"/>
                <w:b/>
                <w:bCs/>
                <w:color w:val="FFFFFF"/>
                <w:sz w:val="16"/>
                <w:szCs w:val="16"/>
              </w:rPr>
            </w:pPr>
            <w:r w:rsidRPr="00516BF3">
              <w:rPr>
                <w:rFonts w:cs="Arial"/>
                <w:b/>
                <w:bCs/>
                <w:color w:val="FFFFFF"/>
                <w:sz w:val="16"/>
                <w:szCs w:val="16"/>
              </w:rPr>
              <w:t>TOU Period</w:t>
            </w:r>
          </w:p>
        </w:tc>
        <w:tc>
          <w:tcPr>
            <w:tcW w:w="3690" w:type="dxa"/>
            <w:gridSpan w:val="2"/>
            <w:tcBorders>
              <w:top w:val="single" w:sz="4" w:space="0" w:color="auto"/>
              <w:left w:val="single" w:sz="4" w:space="0" w:color="auto"/>
              <w:bottom w:val="nil"/>
              <w:right w:val="single" w:sz="4" w:space="0" w:color="000000"/>
            </w:tcBorders>
            <w:shd w:val="clear" w:color="000000" w:fill="555759"/>
            <w:noWrap/>
            <w:vAlign w:val="center"/>
            <w:hideMark/>
          </w:tcPr>
          <w:p w14:paraId="5492C4EA" w14:textId="77777777" w:rsidR="004843AB" w:rsidRPr="00516BF3" w:rsidRDefault="004843AB" w:rsidP="00A816FA">
            <w:pPr>
              <w:keepNext/>
              <w:spacing w:line="240" w:lineRule="auto"/>
              <w:jc w:val="center"/>
              <w:rPr>
                <w:rFonts w:cs="Arial"/>
                <w:b/>
                <w:bCs/>
                <w:color w:val="FFFFFF"/>
                <w:sz w:val="16"/>
                <w:szCs w:val="16"/>
              </w:rPr>
            </w:pPr>
            <w:r w:rsidRPr="00516BF3">
              <w:rPr>
                <w:rFonts w:cs="Arial"/>
                <w:b/>
                <w:bCs/>
                <w:color w:val="FFFFFF"/>
                <w:sz w:val="16"/>
                <w:szCs w:val="16"/>
              </w:rPr>
              <w:t>Daily Savings</w:t>
            </w:r>
          </w:p>
        </w:tc>
        <w:tc>
          <w:tcPr>
            <w:tcW w:w="2685" w:type="dxa"/>
            <w:vMerge w:val="restart"/>
            <w:tcBorders>
              <w:top w:val="single" w:sz="4" w:space="0" w:color="auto"/>
              <w:left w:val="nil"/>
              <w:right w:val="single" w:sz="4" w:space="0" w:color="auto"/>
            </w:tcBorders>
            <w:shd w:val="clear" w:color="000000" w:fill="555759"/>
            <w:vAlign w:val="center"/>
            <w:hideMark/>
          </w:tcPr>
          <w:p w14:paraId="1D992033" w14:textId="77777777" w:rsidR="004843AB" w:rsidRPr="00516BF3" w:rsidRDefault="004843AB" w:rsidP="00A816FA">
            <w:pPr>
              <w:keepNext/>
              <w:spacing w:line="240" w:lineRule="auto"/>
              <w:jc w:val="center"/>
              <w:rPr>
                <w:rFonts w:cs="Arial"/>
                <w:b/>
                <w:bCs/>
                <w:color w:val="FFFFFF"/>
                <w:sz w:val="16"/>
                <w:szCs w:val="16"/>
              </w:rPr>
            </w:pPr>
            <w:r w:rsidRPr="00516BF3">
              <w:rPr>
                <w:rFonts w:cs="Arial"/>
                <w:b/>
                <w:bCs/>
                <w:color w:val="FFFFFF"/>
                <w:sz w:val="16"/>
                <w:szCs w:val="16"/>
              </w:rPr>
              <w:t>Relative Precision +/-% (90% Confidence)</w:t>
            </w:r>
          </w:p>
        </w:tc>
      </w:tr>
      <w:tr w:rsidR="004843AB" w:rsidRPr="00516BF3" w14:paraId="1309DE38" w14:textId="77777777" w:rsidTr="004843AB">
        <w:trPr>
          <w:trHeight w:val="380"/>
          <w:jc w:val="center"/>
        </w:trPr>
        <w:tc>
          <w:tcPr>
            <w:tcW w:w="2065" w:type="dxa"/>
            <w:vMerge/>
            <w:tcBorders>
              <w:top w:val="single" w:sz="4" w:space="0" w:color="auto"/>
              <w:left w:val="single" w:sz="4" w:space="0" w:color="auto"/>
              <w:bottom w:val="single" w:sz="4" w:space="0" w:color="000000"/>
              <w:right w:val="nil"/>
            </w:tcBorders>
            <w:vAlign w:val="center"/>
            <w:hideMark/>
          </w:tcPr>
          <w:p w14:paraId="20AE6C49" w14:textId="77777777" w:rsidR="004843AB" w:rsidRPr="00516BF3" w:rsidRDefault="004843AB" w:rsidP="00A816FA">
            <w:pPr>
              <w:keepNext/>
              <w:spacing w:line="240" w:lineRule="auto"/>
              <w:rPr>
                <w:rFonts w:cs="Arial"/>
                <w:b/>
                <w:bCs/>
                <w:color w:val="FFFFFF"/>
                <w:sz w:val="16"/>
                <w:szCs w:val="16"/>
              </w:rPr>
            </w:pPr>
          </w:p>
        </w:tc>
        <w:tc>
          <w:tcPr>
            <w:tcW w:w="1785" w:type="dxa"/>
            <w:tcBorders>
              <w:top w:val="nil"/>
              <w:left w:val="single" w:sz="4" w:space="0" w:color="auto"/>
              <w:bottom w:val="single" w:sz="4" w:space="0" w:color="auto"/>
              <w:right w:val="nil"/>
            </w:tcBorders>
            <w:shd w:val="clear" w:color="000000" w:fill="555759"/>
            <w:noWrap/>
            <w:vAlign w:val="center"/>
            <w:hideMark/>
          </w:tcPr>
          <w:p w14:paraId="5E7D017D" w14:textId="77777777" w:rsidR="004843AB" w:rsidRPr="00516BF3" w:rsidRDefault="004843AB" w:rsidP="00A816FA">
            <w:pPr>
              <w:keepNext/>
              <w:spacing w:line="240" w:lineRule="auto"/>
              <w:jc w:val="center"/>
              <w:rPr>
                <w:rFonts w:cs="Arial"/>
                <w:b/>
                <w:bCs/>
                <w:color w:val="FFFFFF"/>
                <w:sz w:val="16"/>
                <w:szCs w:val="16"/>
              </w:rPr>
            </w:pPr>
            <w:r w:rsidRPr="00516BF3">
              <w:rPr>
                <w:rFonts w:cs="Arial"/>
                <w:b/>
                <w:bCs/>
                <w:color w:val="FFFFFF"/>
                <w:sz w:val="16"/>
                <w:szCs w:val="16"/>
              </w:rPr>
              <w:t>kWh</w:t>
            </w:r>
          </w:p>
        </w:tc>
        <w:tc>
          <w:tcPr>
            <w:tcW w:w="1905" w:type="dxa"/>
            <w:tcBorders>
              <w:top w:val="nil"/>
              <w:left w:val="nil"/>
              <w:bottom w:val="single" w:sz="4" w:space="0" w:color="auto"/>
              <w:right w:val="single" w:sz="4" w:space="0" w:color="auto"/>
            </w:tcBorders>
            <w:shd w:val="clear" w:color="000000" w:fill="555759"/>
            <w:noWrap/>
            <w:vAlign w:val="center"/>
            <w:hideMark/>
          </w:tcPr>
          <w:p w14:paraId="7CAEF17F" w14:textId="77777777" w:rsidR="004843AB" w:rsidRPr="00516BF3" w:rsidRDefault="004843AB" w:rsidP="00A816FA">
            <w:pPr>
              <w:keepNext/>
              <w:spacing w:line="240" w:lineRule="auto"/>
              <w:jc w:val="center"/>
              <w:rPr>
                <w:rFonts w:cs="Arial"/>
                <w:b/>
                <w:bCs/>
                <w:color w:val="FFFFFF"/>
                <w:sz w:val="16"/>
                <w:szCs w:val="16"/>
              </w:rPr>
            </w:pPr>
            <w:r w:rsidRPr="00516BF3">
              <w:rPr>
                <w:rFonts w:cs="Arial"/>
                <w:b/>
                <w:bCs/>
                <w:color w:val="FFFFFF"/>
                <w:sz w:val="16"/>
                <w:szCs w:val="16"/>
              </w:rPr>
              <w:t>%</w:t>
            </w:r>
          </w:p>
        </w:tc>
        <w:tc>
          <w:tcPr>
            <w:tcW w:w="2685" w:type="dxa"/>
            <w:vMerge/>
            <w:tcBorders>
              <w:left w:val="nil"/>
              <w:bottom w:val="single" w:sz="4" w:space="0" w:color="000000"/>
              <w:right w:val="single" w:sz="4" w:space="0" w:color="auto"/>
            </w:tcBorders>
            <w:vAlign w:val="center"/>
            <w:hideMark/>
          </w:tcPr>
          <w:p w14:paraId="5E739437" w14:textId="77777777" w:rsidR="004843AB" w:rsidRPr="00516BF3" w:rsidRDefault="004843AB" w:rsidP="00A816FA">
            <w:pPr>
              <w:keepNext/>
              <w:spacing w:line="240" w:lineRule="auto"/>
              <w:rPr>
                <w:rFonts w:cs="Arial"/>
                <w:b/>
                <w:bCs/>
                <w:color w:val="FFFFFF"/>
                <w:sz w:val="16"/>
                <w:szCs w:val="16"/>
              </w:rPr>
            </w:pPr>
          </w:p>
        </w:tc>
      </w:tr>
      <w:tr w:rsidR="00476F49" w:rsidRPr="00516BF3" w14:paraId="70B8552F" w14:textId="77777777" w:rsidTr="004843AB">
        <w:trPr>
          <w:trHeight w:val="200"/>
          <w:jc w:val="center"/>
        </w:trPr>
        <w:tc>
          <w:tcPr>
            <w:tcW w:w="2065" w:type="dxa"/>
            <w:tcBorders>
              <w:top w:val="nil"/>
              <w:left w:val="single" w:sz="4" w:space="0" w:color="auto"/>
              <w:bottom w:val="nil"/>
              <w:right w:val="single" w:sz="4" w:space="0" w:color="auto"/>
            </w:tcBorders>
            <w:shd w:val="clear" w:color="000000" w:fill="FFFFFF"/>
            <w:noWrap/>
            <w:vAlign w:val="bottom"/>
            <w:hideMark/>
          </w:tcPr>
          <w:p w14:paraId="7C9ED4D2" w14:textId="77777777" w:rsidR="00476F49" w:rsidRPr="00516BF3" w:rsidRDefault="00476F49" w:rsidP="00476F49">
            <w:pPr>
              <w:keepNext/>
              <w:spacing w:line="240" w:lineRule="auto"/>
              <w:rPr>
                <w:rFonts w:cs="Arial"/>
                <w:sz w:val="16"/>
                <w:szCs w:val="16"/>
              </w:rPr>
            </w:pPr>
            <w:r w:rsidRPr="00516BF3">
              <w:rPr>
                <w:rFonts w:cs="Arial"/>
                <w:sz w:val="16"/>
                <w:szCs w:val="16"/>
              </w:rPr>
              <w:t>On-Peak</w:t>
            </w:r>
          </w:p>
        </w:tc>
        <w:tc>
          <w:tcPr>
            <w:tcW w:w="1785" w:type="dxa"/>
            <w:tcBorders>
              <w:top w:val="nil"/>
              <w:left w:val="nil"/>
              <w:bottom w:val="nil"/>
              <w:right w:val="single" w:sz="4" w:space="0" w:color="auto"/>
            </w:tcBorders>
            <w:shd w:val="clear" w:color="000000" w:fill="FFFFFF"/>
            <w:noWrap/>
            <w:vAlign w:val="center"/>
          </w:tcPr>
          <w:p w14:paraId="74576B41" w14:textId="186CB875" w:rsidR="00476F49" w:rsidRPr="00516BF3" w:rsidRDefault="00476F49" w:rsidP="00476F49">
            <w:pPr>
              <w:keepNext/>
              <w:spacing w:line="240" w:lineRule="auto"/>
              <w:jc w:val="center"/>
              <w:rPr>
                <w:rFonts w:cs="Arial"/>
                <w:sz w:val="16"/>
                <w:szCs w:val="16"/>
              </w:rPr>
            </w:pPr>
            <w:r>
              <w:rPr>
                <w:rFonts w:cs="Arial"/>
                <w:sz w:val="16"/>
                <w:szCs w:val="16"/>
              </w:rPr>
              <w:t>0.33</w:t>
            </w:r>
          </w:p>
        </w:tc>
        <w:tc>
          <w:tcPr>
            <w:tcW w:w="1905" w:type="dxa"/>
            <w:tcBorders>
              <w:top w:val="nil"/>
              <w:left w:val="nil"/>
              <w:bottom w:val="nil"/>
              <w:right w:val="single" w:sz="4" w:space="0" w:color="auto"/>
            </w:tcBorders>
            <w:shd w:val="clear" w:color="000000" w:fill="FFFFFF"/>
            <w:noWrap/>
            <w:vAlign w:val="center"/>
          </w:tcPr>
          <w:p w14:paraId="58BA9D44" w14:textId="2EEFEA25" w:rsidR="00476F49" w:rsidRPr="00516BF3" w:rsidRDefault="00476F49" w:rsidP="00476F49">
            <w:pPr>
              <w:keepNext/>
              <w:spacing w:line="240" w:lineRule="auto"/>
              <w:jc w:val="center"/>
              <w:rPr>
                <w:rFonts w:cs="Arial"/>
                <w:sz w:val="16"/>
                <w:szCs w:val="16"/>
              </w:rPr>
            </w:pPr>
            <w:r>
              <w:rPr>
                <w:rFonts w:cs="Arial"/>
                <w:sz w:val="16"/>
                <w:szCs w:val="16"/>
              </w:rPr>
              <w:t>5.1%</w:t>
            </w:r>
          </w:p>
        </w:tc>
        <w:tc>
          <w:tcPr>
            <w:tcW w:w="2685" w:type="dxa"/>
            <w:tcBorders>
              <w:top w:val="nil"/>
              <w:left w:val="nil"/>
              <w:bottom w:val="nil"/>
              <w:right w:val="single" w:sz="4" w:space="0" w:color="auto"/>
            </w:tcBorders>
            <w:shd w:val="clear" w:color="000000" w:fill="FFFFFF"/>
            <w:noWrap/>
            <w:vAlign w:val="center"/>
          </w:tcPr>
          <w:p w14:paraId="0A300EE6" w14:textId="3A0D9C0A" w:rsidR="00476F49" w:rsidRPr="00516BF3" w:rsidRDefault="00476F49" w:rsidP="00476F49">
            <w:pPr>
              <w:keepNext/>
              <w:spacing w:line="240" w:lineRule="auto"/>
              <w:jc w:val="center"/>
              <w:rPr>
                <w:rFonts w:cs="Arial"/>
                <w:sz w:val="16"/>
                <w:szCs w:val="16"/>
              </w:rPr>
            </w:pPr>
            <w:r>
              <w:rPr>
                <w:rFonts w:cs="Arial"/>
                <w:sz w:val="16"/>
                <w:szCs w:val="16"/>
              </w:rPr>
              <w:t>55%</w:t>
            </w:r>
          </w:p>
        </w:tc>
      </w:tr>
      <w:tr w:rsidR="00476F49" w:rsidRPr="00516BF3" w14:paraId="59E86743" w14:textId="77777777" w:rsidTr="004843AB">
        <w:trPr>
          <w:trHeight w:val="200"/>
          <w:jc w:val="center"/>
        </w:trPr>
        <w:tc>
          <w:tcPr>
            <w:tcW w:w="2065" w:type="dxa"/>
            <w:tcBorders>
              <w:top w:val="nil"/>
              <w:left w:val="single" w:sz="4" w:space="0" w:color="auto"/>
              <w:bottom w:val="nil"/>
              <w:right w:val="single" w:sz="4" w:space="0" w:color="auto"/>
            </w:tcBorders>
            <w:shd w:val="clear" w:color="000000" w:fill="F2F2F2"/>
            <w:noWrap/>
            <w:vAlign w:val="bottom"/>
            <w:hideMark/>
          </w:tcPr>
          <w:p w14:paraId="6AA8DECA" w14:textId="77777777" w:rsidR="00476F49" w:rsidRPr="00516BF3" w:rsidRDefault="00476F49" w:rsidP="00476F49">
            <w:pPr>
              <w:keepNext/>
              <w:spacing w:line="240" w:lineRule="auto"/>
              <w:rPr>
                <w:rFonts w:cs="Arial"/>
                <w:sz w:val="16"/>
                <w:szCs w:val="16"/>
              </w:rPr>
            </w:pPr>
            <w:r w:rsidRPr="00516BF3">
              <w:rPr>
                <w:rFonts w:cs="Arial"/>
                <w:sz w:val="16"/>
                <w:szCs w:val="16"/>
              </w:rPr>
              <w:t>Mid-Peak</w:t>
            </w:r>
          </w:p>
        </w:tc>
        <w:tc>
          <w:tcPr>
            <w:tcW w:w="1785" w:type="dxa"/>
            <w:tcBorders>
              <w:top w:val="nil"/>
              <w:left w:val="nil"/>
              <w:bottom w:val="nil"/>
              <w:right w:val="single" w:sz="4" w:space="0" w:color="auto"/>
            </w:tcBorders>
            <w:shd w:val="clear" w:color="000000" w:fill="F2F2F2"/>
            <w:noWrap/>
            <w:vAlign w:val="center"/>
          </w:tcPr>
          <w:p w14:paraId="6B77C8D1" w14:textId="13221EC1" w:rsidR="00476F49" w:rsidRPr="00516BF3" w:rsidRDefault="00476F49" w:rsidP="00476F49">
            <w:pPr>
              <w:keepNext/>
              <w:spacing w:line="240" w:lineRule="auto"/>
              <w:jc w:val="center"/>
              <w:rPr>
                <w:rFonts w:cs="Arial"/>
                <w:sz w:val="16"/>
                <w:szCs w:val="16"/>
              </w:rPr>
            </w:pPr>
            <w:r>
              <w:rPr>
                <w:rFonts w:cs="Arial"/>
                <w:sz w:val="16"/>
                <w:szCs w:val="16"/>
              </w:rPr>
              <w:t>0.28</w:t>
            </w:r>
          </w:p>
        </w:tc>
        <w:tc>
          <w:tcPr>
            <w:tcW w:w="1905" w:type="dxa"/>
            <w:tcBorders>
              <w:top w:val="nil"/>
              <w:left w:val="nil"/>
              <w:bottom w:val="nil"/>
              <w:right w:val="single" w:sz="4" w:space="0" w:color="auto"/>
            </w:tcBorders>
            <w:shd w:val="clear" w:color="000000" w:fill="F2F2F2"/>
            <w:noWrap/>
            <w:vAlign w:val="center"/>
          </w:tcPr>
          <w:p w14:paraId="6D5FE72B" w14:textId="42BF9601" w:rsidR="00476F49" w:rsidRPr="00516BF3" w:rsidRDefault="00476F49" w:rsidP="00476F49">
            <w:pPr>
              <w:keepNext/>
              <w:spacing w:line="240" w:lineRule="auto"/>
              <w:jc w:val="center"/>
              <w:rPr>
                <w:rFonts w:cs="Arial"/>
                <w:sz w:val="16"/>
                <w:szCs w:val="16"/>
              </w:rPr>
            </w:pPr>
            <w:r>
              <w:rPr>
                <w:rFonts w:cs="Arial"/>
                <w:sz w:val="16"/>
                <w:szCs w:val="16"/>
              </w:rPr>
              <w:t>4.4%</w:t>
            </w:r>
          </w:p>
        </w:tc>
        <w:tc>
          <w:tcPr>
            <w:tcW w:w="2685" w:type="dxa"/>
            <w:tcBorders>
              <w:top w:val="nil"/>
              <w:left w:val="nil"/>
              <w:bottom w:val="nil"/>
              <w:right w:val="single" w:sz="4" w:space="0" w:color="auto"/>
            </w:tcBorders>
            <w:shd w:val="clear" w:color="000000" w:fill="F2F2F2"/>
            <w:noWrap/>
            <w:vAlign w:val="center"/>
          </w:tcPr>
          <w:p w14:paraId="13345688" w14:textId="21FB16ED" w:rsidR="00476F49" w:rsidRPr="00516BF3" w:rsidRDefault="00476F49" w:rsidP="00476F49">
            <w:pPr>
              <w:keepNext/>
              <w:spacing w:line="240" w:lineRule="auto"/>
              <w:jc w:val="center"/>
              <w:rPr>
                <w:rFonts w:cs="Arial"/>
                <w:sz w:val="16"/>
                <w:szCs w:val="16"/>
              </w:rPr>
            </w:pPr>
            <w:r>
              <w:rPr>
                <w:rFonts w:cs="Arial"/>
                <w:sz w:val="16"/>
                <w:szCs w:val="16"/>
              </w:rPr>
              <w:t>58%</w:t>
            </w:r>
          </w:p>
        </w:tc>
      </w:tr>
      <w:tr w:rsidR="00476F49" w:rsidRPr="00516BF3" w14:paraId="5A91BEC9" w14:textId="77777777" w:rsidTr="004843AB">
        <w:trPr>
          <w:trHeight w:val="200"/>
          <w:jc w:val="center"/>
        </w:trPr>
        <w:tc>
          <w:tcPr>
            <w:tcW w:w="2065" w:type="dxa"/>
            <w:tcBorders>
              <w:top w:val="nil"/>
              <w:left w:val="single" w:sz="4" w:space="0" w:color="auto"/>
              <w:bottom w:val="nil"/>
              <w:right w:val="single" w:sz="4" w:space="0" w:color="auto"/>
            </w:tcBorders>
            <w:shd w:val="clear" w:color="000000" w:fill="FFFFFF"/>
            <w:noWrap/>
            <w:vAlign w:val="bottom"/>
            <w:hideMark/>
          </w:tcPr>
          <w:p w14:paraId="43CE5699" w14:textId="77777777" w:rsidR="00476F49" w:rsidRPr="00516BF3" w:rsidRDefault="00476F49" w:rsidP="00476F49">
            <w:pPr>
              <w:keepNext/>
              <w:spacing w:line="240" w:lineRule="auto"/>
              <w:rPr>
                <w:rFonts w:cs="Arial"/>
                <w:sz w:val="16"/>
                <w:szCs w:val="16"/>
              </w:rPr>
            </w:pPr>
            <w:r w:rsidRPr="00516BF3">
              <w:rPr>
                <w:rFonts w:cs="Arial"/>
                <w:sz w:val="16"/>
                <w:szCs w:val="16"/>
              </w:rPr>
              <w:t>Off-Peak</w:t>
            </w:r>
          </w:p>
        </w:tc>
        <w:tc>
          <w:tcPr>
            <w:tcW w:w="1785" w:type="dxa"/>
            <w:tcBorders>
              <w:top w:val="nil"/>
              <w:left w:val="nil"/>
              <w:bottom w:val="nil"/>
              <w:right w:val="single" w:sz="4" w:space="0" w:color="auto"/>
            </w:tcBorders>
            <w:shd w:val="clear" w:color="000000" w:fill="FFFFFF"/>
            <w:noWrap/>
            <w:vAlign w:val="center"/>
          </w:tcPr>
          <w:p w14:paraId="5DDCFC94" w14:textId="1D0A84DE" w:rsidR="00476F49" w:rsidRPr="00516BF3" w:rsidRDefault="00476F49" w:rsidP="00476F49">
            <w:pPr>
              <w:keepNext/>
              <w:spacing w:line="240" w:lineRule="auto"/>
              <w:jc w:val="center"/>
              <w:rPr>
                <w:rFonts w:cs="Arial"/>
                <w:sz w:val="16"/>
                <w:szCs w:val="16"/>
              </w:rPr>
            </w:pPr>
            <w:r>
              <w:rPr>
                <w:rFonts w:cs="Arial"/>
                <w:sz w:val="16"/>
                <w:szCs w:val="16"/>
              </w:rPr>
              <w:t>-0.23 (N/S)</w:t>
            </w:r>
          </w:p>
        </w:tc>
        <w:tc>
          <w:tcPr>
            <w:tcW w:w="1905" w:type="dxa"/>
            <w:tcBorders>
              <w:top w:val="nil"/>
              <w:left w:val="nil"/>
              <w:bottom w:val="nil"/>
              <w:right w:val="single" w:sz="4" w:space="0" w:color="auto"/>
            </w:tcBorders>
            <w:shd w:val="clear" w:color="000000" w:fill="FFFFFF"/>
            <w:noWrap/>
            <w:vAlign w:val="center"/>
          </w:tcPr>
          <w:p w14:paraId="01D2A12C" w14:textId="5C6C80B9" w:rsidR="00476F49" w:rsidRPr="00516BF3" w:rsidRDefault="00476F49" w:rsidP="00476F49">
            <w:pPr>
              <w:keepNext/>
              <w:spacing w:line="240" w:lineRule="auto"/>
              <w:jc w:val="center"/>
              <w:rPr>
                <w:rFonts w:cs="Arial"/>
                <w:sz w:val="16"/>
                <w:szCs w:val="16"/>
              </w:rPr>
            </w:pPr>
            <w:r>
              <w:rPr>
                <w:rFonts w:cs="Arial"/>
                <w:sz w:val="16"/>
                <w:szCs w:val="16"/>
              </w:rPr>
              <w:t>-1.9% (N/S)</w:t>
            </w:r>
          </w:p>
        </w:tc>
        <w:tc>
          <w:tcPr>
            <w:tcW w:w="2685" w:type="dxa"/>
            <w:tcBorders>
              <w:top w:val="nil"/>
              <w:left w:val="nil"/>
              <w:bottom w:val="nil"/>
              <w:right w:val="single" w:sz="4" w:space="0" w:color="auto"/>
            </w:tcBorders>
            <w:shd w:val="clear" w:color="000000" w:fill="FFFFFF"/>
            <w:noWrap/>
            <w:vAlign w:val="center"/>
          </w:tcPr>
          <w:p w14:paraId="087DBB93" w14:textId="2DA15EC1" w:rsidR="00476F49" w:rsidRPr="00516BF3" w:rsidRDefault="00476F49" w:rsidP="00476F49">
            <w:pPr>
              <w:keepNext/>
              <w:spacing w:line="240" w:lineRule="auto"/>
              <w:jc w:val="center"/>
              <w:rPr>
                <w:rFonts w:cs="Arial"/>
                <w:sz w:val="16"/>
                <w:szCs w:val="16"/>
              </w:rPr>
            </w:pPr>
            <w:r>
              <w:rPr>
                <w:rFonts w:cs="Arial"/>
                <w:sz w:val="16"/>
                <w:szCs w:val="16"/>
              </w:rPr>
              <w:t>-136%</w:t>
            </w:r>
          </w:p>
        </w:tc>
      </w:tr>
      <w:tr w:rsidR="00476F49" w:rsidRPr="00516BF3" w14:paraId="4F29EE7C" w14:textId="77777777" w:rsidTr="004843AB">
        <w:trPr>
          <w:trHeight w:val="200"/>
          <w:jc w:val="center"/>
        </w:trPr>
        <w:tc>
          <w:tcPr>
            <w:tcW w:w="2065" w:type="dxa"/>
            <w:tcBorders>
              <w:top w:val="nil"/>
              <w:left w:val="single" w:sz="4" w:space="0" w:color="auto"/>
              <w:bottom w:val="single" w:sz="4" w:space="0" w:color="auto"/>
              <w:right w:val="single" w:sz="4" w:space="0" w:color="auto"/>
            </w:tcBorders>
            <w:shd w:val="clear" w:color="000000" w:fill="F2F2F2"/>
            <w:noWrap/>
            <w:vAlign w:val="bottom"/>
            <w:hideMark/>
          </w:tcPr>
          <w:p w14:paraId="24510153" w14:textId="77777777" w:rsidR="00476F49" w:rsidRPr="00516BF3" w:rsidRDefault="00476F49" w:rsidP="00476F49">
            <w:pPr>
              <w:keepNext/>
              <w:spacing w:line="240" w:lineRule="auto"/>
              <w:rPr>
                <w:rFonts w:cs="Arial"/>
                <w:sz w:val="16"/>
                <w:szCs w:val="16"/>
              </w:rPr>
            </w:pPr>
            <w:r w:rsidRPr="00516BF3">
              <w:rPr>
                <w:rFonts w:cs="Arial"/>
                <w:sz w:val="16"/>
                <w:szCs w:val="16"/>
              </w:rPr>
              <w:t>Weekend Off-Peak</w:t>
            </w:r>
          </w:p>
        </w:tc>
        <w:tc>
          <w:tcPr>
            <w:tcW w:w="1785" w:type="dxa"/>
            <w:tcBorders>
              <w:top w:val="nil"/>
              <w:left w:val="nil"/>
              <w:bottom w:val="single" w:sz="4" w:space="0" w:color="auto"/>
              <w:right w:val="single" w:sz="4" w:space="0" w:color="auto"/>
            </w:tcBorders>
            <w:shd w:val="clear" w:color="000000" w:fill="F2F2F2"/>
            <w:noWrap/>
            <w:vAlign w:val="center"/>
          </w:tcPr>
          <w:p w14:paraId="52AC8F50" w14:textId="400EB6DB" w:rsidR="00476F49" w:rsidRPr="00516BF3" w:rsidRDefault="00476F49" w:rsidP="00476F49">
            <w:pPr>
              <w:keepNext/>
              <w:spacing w:line="240" w:lineRule="auto"/>
              <w:jc w:val="center"/>
              <w:rPr>
                <w:rFonts w:cs="Arial"/>
                <w:sz w:val="16"/>
                <w:szCs w:val="16"/>
              </w:rPr>
            </w:pPr>
            <w:r>
              <w:rPr>
                <w:rFonts w:cs="Arial"/>
                <w:sz w:val="16"/>
                <w:szCs w:val="16"/>
              </w:rPr>
              <w:t>0.08 (N/S)</w:t>
            </w:r>
          </w:p>
        </w:tc>
        <w:tc>
          <w:tcPr>
            <w:tcW w:w="1905" w:type="dxa"/>
            <w:tcBorders>
              <w:top w:val="nil"/>
              <w:left w:val="nil"/>
              <w:bottom w:val="single" w:sz="4" w:space="0" w:color="auto"/>
              <w:right w:val="single" w:sz="4" w:space="0" w:color="auto"/>
            </w:tcBorders>
            <w:shd w:val="clear" w:color="000000" w:fill="F2F2F2"/>
            <w:noWrap/>
            <w:vAlign w:val="center"/>
          </w:tcPr>
          <w:p w14:paraId="4102D8D0" w14:textId="30E6C36C" w:rsidR="00476F49" w:rsidRPr="00516BF3" w:rsidRDefault="00476F49" w:rsidP="00476F49">
            <w:pPr>
              <w:keepNext/>
              <w:spacing w:line="240" w:lineRule="auto"/>
              <w:jc w:val="center"/>
              <w:rPr>
                <w:rFonts w:cs="Arial"/>
                <w:sz w:val="16"/>
                <w:szCs w:val="16"/>
              </w:rPr>
            </w:pPr>
            <w:r>
              <w:rPr>
                <w:rFonts w:cs="Arial"/>
                <w:sz w:val="16"/>
                <w:szCs w:val="16"/>
              </w:rPr>
              <w:t>0.3% (N/S)</w:t>
            </w:r>
          </w:p>
        </w:tc>
        <w:tc>
          <w:tcPr>
            <w:tcW w:w="2685" w:type="dxa"/>
            <w:tcBorders>
              <w:top w:val="nil"/>
              <w:left w:val="nil"/>
              <w:bottom w:val="single" w:sz="4" w:space="0" w:color="auto"/>
              <w:right w:val="single" w:sz="4" w:space="0" w:color="auto"/>
            </w:tcBorders>
            <w:shd w:val="clear" w:color="000000" w:fill="F2F2F2"/>
            <w:noWrap/>
            <w:vAlign w:val="center"/>
          </w:tcPr>
          <w:p w14:paraId="25447ADB" w14:textId="020162A2" w:rsidR="00476F49" w:rsidRPr="00516BF3" w:rsidRDefault="00476F49" w:rsidP="00476F49">
            <w:pPr>
              <w:keepNext/>
              <w:spacing w:line="240" w:lineRule="auto"/>
              <w:jc w:val="center"/>
              <w:rPr>
                <w:rFonts w:cs="Arial"/>
                <w:sz w:val="16"/>
                <w:szCs w:val="16"/>
              </w:rPr>
            </w:pPr>
            <w:r>
              <w:rPr>
                <w:rFonts w:cs="Arial"/>
                <w:sz w:val="16"/>
                <w:szCs w:val="16"/>
              </w:rPr>
              <w:t>751%</w:t>
            </w:r>
          </w:p>
        </w:tc>
      </w:tr>
    </w:tbl>
    <w:p w14:paraId="1026E585" w14:textId="1467F34C" w:rsidR="004843AB" w:rsidRDefault="004843AB" w:rsidP="00500D7A"/>
    <w:p w14:paraId="7457E57B" w14:textId="5DF1B127" w:rsidR="00227D8D" w:rsidRDefault="00227D8D" w:rsidP="00227D8D">
      <w:r>
        <w:t>The savings values above are average daily consumption savings, by TOU period. This is equivalent to an average reduction in On-Peak demand of 0.05</w:t>
      </w:r>
      <w:r w:rsidR="00476F49">
        <w:t>4</w:t>
      </w:r>
      <w:r>
        <w:t xml:space="preserve"> kW and an average reduction in Mid-Peak demand of 0.046 kW.</w:t>
      </w:r>
    </w:p>
    <w:p w14:paraId="40934AC4" w14:textId="77777777" w:rsidR="00227D8D" w:rsidRDefault="00227D8D" w:rsidP="00500D7A"/>
    <w:p w14:paraId="72ED72D6" w14:textId="149D7987" w:rsidR="004843AB" w:rsidRDefault="004843AB" w:rsidP="00500D7A">
      <w:r>
        <w:t xml:space="preserve">Estimated impacts in the On-Peak and Mid-Peak periods are </w:t>
      </w:r>
      <w:r w:rsidR="00725175">
        <w:t xml:space="preserve">clearly </w:t>
      </w:r>
      <w:r>
        <w:t xml:space="preserve">evident </w:t>
      </w:r>
      <w:r w:rsidR="00725175">
        <w:t>when comparing current and prior summer seasonal load profiles.</w:t>
      </w:r>
    </w:p>
    <w:p w14:paraId="3CF904E1" w14:textId="77777777" w:rsidR="00725175" w:rsidRDefault="00725175" w:rsidP="00500D7A"/>
    <w:p w14:paraId="15C8A1A0" w14:textId="7D7DF369" w:rsidR="00F43C3E" w:rsidRDefault="00E729D4" w:rsidP="00500D7A">
      <w:r>
        <w:t xml:space="preserve">Consider </w:t>
      </w:r>
      <w:r>
        <w:fldChar w:fldCharType="begin"/>
      </w:r>
      <w:r>
        <w:instrText xml:space="preserve"> REF _Ref1132207 \h </w:instrText>
      </w:r>
      <w:r>
        <w:fldChar w:fldCharType="separate"/>
      </w:r>
      <w:r w:rsidR="00413291">
        <w:t xml:space="preserve">Figure </w:t>
      </w:r>
      <w:r w:rsidR="00413291">
        <w:rPr>
          <w:noProof/>
        </w:rPr>
        <w:t>12</w:t>
      </w:r>
      <w:r>
        <w:fldChar w:fldCharType="end"/>
      </w:r>
      <w:r>
        <w:t xml:space="preserve">, below. This plot shows the average summer 2017 (one year prior to program implementation) load profile of non-holiday weekday consumption for: </w:t>
      </w:r>
    </w:p>
    <w:p w14:paraId="2B047071" w14:textId="77777777" w:rsidR="00F43C3E" w:rsidRDefault="00E729D4" w:rsidP="00F43C3E">
      <w:pPr>
        <w:pStyle w:val="ListParagraph"/>
        <w:numPr>
          <w:ilvl w:val="0"/>
          <w:numId w:val="33"/>
        </w:numPr>
      </w:pPr>
      <w:r>
        <w:t xml:space="preserve">CPP participants (blue line) and </w:t>
      </w:r>
    </w:p>
    <w:p w14:paraId="3687B933" w14:textId="53353F00" w:rsidR="00E729D4" w:rsidRDefault="00F43C3E" w:rsidP="00F43C3E">
      <w:pPr>
        <w:pStyle w:val="ListParagraph"/>
        <w:numPr>
          <w:ilvl w:val="0"/>
          <w:numId w:val="33"/>
        </w:numPr>
      </w:pPr>
      <w:r>
        <w:t xml:space="preserve">RCT </w:t>
      </w:r>
      <w:r w:rsidR="00E729D4">
        <w:t>control customers (red dotted line).</w:t>
      </w:r>
    </w:p>
    <w:p w14:paraId="03D799F0" w14:textId="77777777" w:rsidR="00E729D4" w:rsidRDefault="00E729D4" w:rsidP="00500D7A"/>
    <w:p w14:paraId="2F9C26F2" w14:textId="03FEAFEF" w:rsidR="00E729D4" w:rsidRDefault="00E729D4" w:rsidP="00500D7A">
      <w:r>
        <w:t>Note how close the two lines are throughout most of the day. Some separation exists in the evening, with CPP participants on average consuming slightly more electricity in the nighttime hours.</w:t>
      </w:r>
      <w:r w:rsidR="0005017F">
        <w:rPr>
          <w:rStyle w:val="FootnoteReference"/>
        </w:rPr>
        <w:footnoteReference w:id="24"/>
      </w:r>
      <w:r>
        <w:t xml:space="preserve"> </w:t>
      </w:r>
    </w:p>
    <w:p w14:paraId="1811613E" w14:textId="77777777" w:rsidR="00E729D4" w:rsidRDefault="00E729D4" w:rsidP="00500D7A"/>
    <w:p w14:paraId="4406B1DC" w14:textId="7C07D545" w:rsidR="004843AB" w:rsidRDefault="004843AB" w:rsidP="0005017F">
      <w:pPr>
        <w:pStyle w:val="Caption"/>
      </w:pPr>
      <w:bookmarkStart w:id="66" w:name="_Ref1132207"/>
      <w:bookmarkStart w:id="67" w:name="_Toc8393620"/>
      <w:r>
        <w:lastRenderedPageBreak/>
        <w:t xml:space="preserve">Figure </w:t>
      </w:r>
      <w:fldSimple w:instr=" SEQ Figure \* ARABIC ">
        <w:r w:rsidR="00413291">
          <w:rPr>
            <w:noProof/>
          </w:rPr>
          <w:t>12</w:t>
        </w:r>
      </w:fldSimple>
      <w:bookmarkEnd w:id="66"/>
      <w:r>
        <w:t xml:space="preserve">: CPP Participants – Summer </w:t>
      </w:r>
      <w:r w:rsidR="00E729D4">
        <w:t>2017 Weekday Load Profile</w:t>
      </w:r>
      <w:bookmarkEnd w:id="67"/>
    </w:p>
    <w:p w14:paraId="14F9850F" w14:textId="261D08A6" w:rsidR="004843AB" w:rsidRDefault="004843AB" w:rsidP="0005017F">
      <w:pPr>
        <w:jc w:val="center"/>
      </w:pPr>
      <w:r>
        <w:rPr>
          <w:noProof/>
        </w:rPr>
        <w:drawing>
          <wp:inline distT="0" distB="0" distL="0" distR="0" wp14:anchorId="0A865B84" wp14:editId="5F718F13">
            <wp:extent cx="5324475" cy="299085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stretch>
                      <a:fillRect/>
                    </a:stretch>
                  </pic:blipFill>
                  <pic:spPr>
                    <a:xfrm>
                      <a:off x="0" y="0"/>
                      <a:ext cx="5324475" cy="2990850"/>
                    </a:xfrm>
                    <a:prstGeom prst="rect">
                      <a:avLst/>
                    </a:prstGeom>
                  </pic:spPr>
                </pic:pic>
              </a:graphicData>
            </a:graphic>
          </wp:inline>
        </w:drawing>
      </w:r>
    </w:p>
    <w:p w14:paraId="42E183DF" w14:textId="40D13EA1" w:rsidR="00E729D4" w:rsidRDefault="00E729D4" w:rsidP="00500D7A"/>
    <w:p w14:paraId="365C7371" w14:textId="0E433490" w:rsidR="00E729D4" w:rsidRDefault="00E729D4" w:rsidP="00500D7A">
      <w:r>
        <w:t xml:space="preserve">Aside from the late evening hours, the two profiles are nearly identical. Now consider the same profiles one year farther back in time, in the summer of 2016. These are shown below in </w:t>
      </w:r>
      <w:r>
        <w:fldChar w:fldCharType="begin"/>
      </w:r>
      <w:r>
        <w:instrText xml:space="preserve"> REF _Ref1132458 \h </w:instrText>
      </w:r>
      <w:r>
        <w:fldChar w:fldCharType="separate"/>
      </w:r>
      <w:r w:rsidR="00413291">
        <w:t xml:space="preserve">Figure </w:t>
      </w:r>
      <w:r w:rsidR="00413291">
        <w:rPr>
          <w:noProof/>
        </w:rPr>
        <w:t>13</w:t>
      </w:r>
      <w:r>
        <w:fldChar w:fldCharType="end"/>
      </w:r>
      <w:r>
        <w:t>. Although there are now some small differences in the overnight and very early morning hours, the differences between the two profiles are consistent with those observed in the summer of 2018.</w:t>
      </w:r>
    </w:p>
    <w:p w14:paraId="5239F86C" w14:textId="1C03CF83" w:rsidR="00E729D4" w:rsidRDefault="00E729D4" w:rsidP="00500D7A"/>
    <w:p w14:paraId="544D67A1" w14:textId="2920A8F3" w:rsidR="00E729D4" w:rsidRDefault="00E729D4" w:rsidP="00E729D4">
      <w:pPr>
        <w:pStyle w:val="Caption"/>
      </w:pPr>
      <w:bookmarkStart w:id="68" w:name="_Ref1132458"/>
      <w:bookmarkStart w:id="69" w:name="_Toc8393621"/>
      <w:r>
        <w:t xml:space="preserve">Figure </w:t>
      </w:r>
      <w:fldSimple w:instr=" SEQ Figure \* ARABIC ">
        <w:r w:rsidR="00413291">
          <w:rPr>
            <w:noProof/>
          </w:rPr>
          <w:t>13</w:t>
        </w:r>
      </w:fldSimple>
      <w:bookmarkEnd w:id="68"/>
      <w:r>
        <w:t>: CPP Participants – Summer 2016 Weekday Load Profile</w:t>
      </w:r>
      <w:bookmarkEnd w:id="69"/>
    </w:p>
    <w:p w14:paraId="593C8BF6" w14:textId="4C3285FF" w:rsidR="00E729D4" w:rsidRDefault="00E729D4" w:rsidP="00E729D4">
      <w:pPr>
        <w:jc w:val="center"/>
      </w:pPr>
      <w:r>
        <w:rPr>
          <w:noProof/>
        </w:rPr>
        <w:drawing>
          <wp:inline distT="0" distB="0" distL="0" distR="0" wp14:anchorId="0F57C337" wp14:editId="34E8C28A">
            <wp:extent cx="5267325" cy="3028950"/>
            <wp:effectExtent l="0" t="0" r="9525" b="0"/>
            <wp:docPr id="7" name="Picture 7"/>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a:stretch>
                      <a:fillRect/>
                    </a:stretch>
                  </pic:blipFill>
                  <pic:spPr>
                    <a:xfrm>
                      <a:off x="0" y="0"/>
                      <a:ext cx="5267325" cy="3028950"/>
                    </a:xfrm>
                    <a:prstGeom prst="rect">
                      <a:avLst/>
                    </a:prstGeom>
                  </pic:spPr>
                </pic:pic>
              </a:graphicData>
            </a:graphic>
          </wp:inline>
        </w:drawing>
      </w:r>
    </w:p>
    <w:p w14:paraId="494B5CFB" w14:textId="17B496FE" w:rsidR="00E729D4" w:rsidRDefault="00E729D4" w:rsidP="00E729D4">
      <w:pPr>
        <w:jc w:val="center"/>
      </w:pPr>
    </w:p>
    <w:p w14:paraId="061148B9" w14:textId="46F296AC" w:rsidR="00E729D4" w:rsidRDefault="00E729D4" w:rsidP="00E729D4">
      <w:r>
        <w:lastRenderedPageBreak/>
        <w:t xml:space="preserve">Finally, consider the same two sets of load profiles from the summer of 2018, the program period. There is a distinct separation between the two profiles that begins close to the beginning of the morning Mid-Peak </w:t>
      </w:r>
      <w:r w:rsidR="0005017F">
        <w:t xml:space="preserve">period, </w:t>
      </w:r>
      <w:r>
        <w:t>extends consistently across the On-Peak period, and tails off at the end of the afternoon Mid-Peak period.</w:t>
      </w:r>
    </w:p>
    <w:p w14:paraId="29F788B6" w14:textId="2649BD1D" w:rsidR="00E729D4" w:rsidRDefault="00E729D4" w:rsidP="00E729D4"/>
    <w:p w14:paraId="2C191894" w14:textId="00DA6758" w:rsidR="00E729D4" w:rsidRDefault="00E729D4" w:rsidP="0005017F">
      <w:pPr>
        <w:pStyle w:val="Caption"/>
      </w:pPr>
      <w:bookmarkStart w:id="70" w:name="_Toc8393622"/>
      <w:r>
        <w:t xml:space="preserve">Figure </w:t>
      </w:r>
      <w:fldSimple w:instr=" SEQ Figure \* ARABIC ">
        <w:r w:rsidR="00413291">
          <w:rPr>
            <w:noProof/>
          </w:rPr>
          <w:t>14</w:t>
        </w:r>
      </w:fldSimple>
      <w:r>
        <w:t>: CPP Participants – Summer 2018 (Program Period) Weekday Load Profile</w:t>
      </w:r>
      <w:bookmarkEnd w:id="70"/>
    </w:p>
    <w:p w14:paraId="75E8BD8D" w14:textId="18AD5776" w:rsidR="00E729D4" w:rsidRDefault="00E729D4" w:rsidP="00E729D4">
      <w:pPr>
        <w:jc w:val="center"/>
      </w:pPr>
      <w:r>
        <w:rPr>
          <w:noProof/>
        </w:rPr>
        <w:drawing>
          <wp:inline distT="0" distB="0" distL="0" distR="0" wp14:anchorId="4588A131" wp14:editId="259CB8E8">
            <wp:extent cx="5267325" cy="291465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9"/>
                    <a:stretch>
                      <a:fillRect/>
                    </a:stretch>
                  </pic:blipFill>
                  <pic:spPr>
                    <a:xfrm>
                      <a:off x="0" y="0"/>
                      <a:ext cx="5267325" cy="2914650"/>
                    </a:xfrm>
                    <a:prstGeom prst="rect">
                      <a:avLst/>
                    </a:prstGeom>
                  </pic:spPr>
                </pic:pic>
              </a:graphicData>
            </a:graphic>
          </wp:inline>
        </w:drawing>
      </w:r>
    </w:p>
    <w:p w14:paraId="4D010AD4" w14:textId="5C5880AF" w:rsidR="00E729D4" w:rsidRDefault="00E729D4" w:rsidP="00E729D4">
      <w:pPr>
        <w:jc w:val="center"/>
      </w:pPr>
    </w:p>
    <w:p w14:paraId="4A4DAA44" w14:textId="5E867E60" w:rsidR="00E729D4" w:rsidRDefault="00E729D4" w:rsidP="00E729D4">
      <w:r>
        <w:t xml:space="preserve">Observing the patterns across three years of data it </w:t>
      </w:r>
      <w:r w:rsidR="00536E3F">
        <w:t>seems</w:t>
      </w:r>
      <w:r>
        <w:t xml:space="preserve"> clear that the change in consumption observed in the program period – a relatively consistent change across the hours of the day in which a CPP event is most likely – is motivated by the program treatment.</w:t>
      </w:r>
    </w:p>
    <w:p w14:paraId="6C445428" w14:textId="40646BE7" w:rsidR="00E729D4" w:rsidRDefault="00E729D4" w:rsidP="00E729D4"/>
    <w:p w14:paraId="678C5050" w14:textId="0AF73D09" w:rsidR="00E729D4" w:rsidRDefault="008526A9" w:rsidP="00E729D4">
      <w:r>
        <w:t xml:space="preserve">As indicated in Section </w:t>
      </w:r>
      <w:r>
        <w:fldChar w:fldCharType="begin"/>
      </w:r>
      <w:r>
        <w:instrText xml:space="preserve"> REF _Ref1129672 \w \h </w:instrText>
      </w:r>
      <w:r>
        <w:fldChar w:fldCharType="separate"/>
      </w:r>
      <w:r w:rsidR="00413291">
        <w:t>3.3</w:t>
      </w:r>
      <w:r>
        <w:fldChar w:fldCharType="end"/>
      </w:r>
      <w:r>
        <w:t xml:space="preserve">, Navigant estimated energy impacts as both a function of the </w:t>
      </w:r>
      <w:r w:rsidR="00821BEB">
        <w:t>program participation</w:t>
      </w:r>
      <w:r>
        <w:t xml:space="preserve"> and as a function of the interactive effect between program participation and the weather. That is, the regression-estimated parameter</w:t>
      </w:r>
      <w:r w:rsidR="00821BEB">
        <w:t>s</w:t>
      </w:r>
      <w:r>
        <w:t xml:space="preserve"> provide an estimate of </w:t>
      </w:r>
      <w:r w:rsidR="002225CD">
        <w:t>the average program impact on cooler days (when there are no cooling degree hours) as well as the incremental impact of each cooling degree hour observed in the given period.</w:t>
      </w:r>
    </w:p>
    <w:p w14:paraId="060E8DE0" w14:textId="260A4794" w:rsidR="002225CD" w:rsidRDefault="002225CD" w:rsidP="00E729D4"/>
    <w:p w14:paraId="1CBD9D7E" w14:textId="61527F33" w:rsidR="00821BEB" w:rsidRDefault="002225CD" w:rsidP="00E729D4">
      <w:r>
        <w:fldChar w:fldCharType="begin"/>
      </w:r>
      <w:r>
        <w:instrText xml:space="preserve"> REF _Ref1137351 \h </w:instrText>
      </w:r>
      <w:r>
        <w:fldChar w:fldCharType="separate"/>
      </w:r>
      <w:r w:rsidR="00413291">
        <w:t xml:space="preserve">Figure </w:t>
      </w:r>
      <w:r w:rsidR="00413291">
        <w:rPr>
          <w:noProof/>
        </w:rPr>
        <w:t>15</w:t>
      </w:r>
      <w:r>
        <w:fldChar w:fldCharType="end"/>
      </w:r>
      <w:r>
        <w:t>, below, provides the regression-estimated parameters when CPP event days are excluded from the analysis. This shows both</w:t>
      </w:r>
      <w:r w:rsidR="00821BEB">
        <w:t>:</w:t>
      </w:r>
    </w:p>
    <w:p w14:paraId="4B94CD09" w14:textId="71273C8F" w:rsidR="00821BEB" w:rsidRDefault="00821BEB" w:rsidP="00821BEB">
      <w:pPr>
        <w:pStyle w:val="ListParagraph"/>
        <w:numPr>
          <w:ilvl w:val="0"/>
          <w:numId w:val="33"/>
        </w:numPr>
      </w:pPr>
      <w:r>
        <w:t>T</w:t>
      </w:r>
      <w:r w:rsidR="002225CD">
        <w:t>he intercept parameters for On-Peak and Mid-Peak (i.e., estimated annual kWh impact when no cooling degree hours are observed in the period in question)</w:t>
      </w:r>
      <w:r>
        <w:t>,</w:t>
      </w:r>
      <w:r w:rsidR="002225CD">
        <w:t xml:space="preserve"> and</w:t>
      </w:r>
      <w:r>
        <w:t>;</w:t>
      </w:r>
      <w:r w:rsidR="002225CD">
        <w:t xml:space="preserve"> </w:t>
      </w:r>
    </w:p>
    <w:p w14:paraId="62F9A656" w14:textId="77777777" w:rsidR="00821BEB" w:rsidRDefault="00821BEB" w:rsidP="00821BEB">
      <w:pPr>
        <w:pStyle w:val="ListParagraph"/>
        <w:numPr>
          <w:ilvl w:val="0"/>
          <w:numId w:val="33"/>
        </w:numPr>
      </w:pPr>
      <w:r>
        <w:t xml:space="preserve">The </w:t>
      </w:r>
      <w:r w:rsidR="002225CD">
        <w:t>slope parameters (i.e., the incremental impact for each cooling degree hour observed in the given period).</w:t>
      </w:r>
    </w:p>
    <w:p w14:paraId="691EAFF1" w14:textId="77777777" w:rsidR="00821BEB" w:rsidRDefault="00821BEB" w:rsidP="00821BEB"/>
    <w:p w14:paraId="7368D2D4" w14:textId="46D80AAF" w:rsidR="002225CD" w:rsidRDefault="002225CD" w:rsidP="00821BEB">
      <w:r>
        <w:t>In this table, a negative value indicates a reduction in consumption (energy savings). The estimated impact is shown in the “Estimate” column. The p-value column provides an estimate of the uncertainty associated with parameter – a p-value of 0.1 or more indicates that the parameter is not statistically significantly different from 0 at the 10% level of confidence.</w:t>
      </w:r>
    </w:p>
    <w:p w14:paraId="2FD62D54" w14:textId="2AA97D1C" w:rsidR="002225CD" w:rsidRDefault="002225CD" w:rsidP="00E729D4"/>
    <w:p w14:paraId="789CB112" w14:textId="2ACCADAD" w:rsidR="002225CD" w:rsidRDefault="002225CD" w:rsidP="002225CD">
      <w:pPr>
        <w:pStyle w:val="Caption"/>
      </w:pPr>
      <w:bookmarkStart w:id="71" w:name="_Ref1137351"/>
      <w:bookmarkStart w:id="72" w:name="_Toc8393623"/>
      <w:r>
        <w:lastRenderedPageBreak/>
        <w:t xml:space="preserve">Figure </w:t>
      </w:r>
      <w:fldSimple w:instr=" SEQ Figure \* ARABIC ">
        <w:r w:rsidR="00413291">
          <w:rPr>
            <w:noProof/>
          </w:rPr>
          <w:t>15</w:t>
        </w:r>
      </w:fldSimple>
      <w:bookmarkEnd w:id="71"/>
      <w:r>
        <w:t>: CPP Energy Impact Parameters of Interest</w:t>
      </w:r>
      <w:bookmarkEnd w:id="72"/>
    </w:p>
    <w:tbl>
      <w:tblPr>
        <w:tblW w:w="5865" w:type="dxa"/>
        <w:jc w:val="center"/>
        <w:tblLook w:val="04A0" w:firstRow="1" w:lastRow="0" w:firstColumn="1" w:lastColumn="0" w:noHBand="0" w:noVBand="1"/>
      </w:tblPr>
      <w:tblGrid>
        <w:gridCol w:w="985"/>
        <w:gridCol w:w="1272"/>
        <w:gridCol w:w="1168"/>
        <w:gridCol w:w="1272"/>
        <w:gridCol w:w="1168"/>
      </w:tblGrid>
      <w:tr w:rsidR="002225CD" w:rsidRPr="002225CD" w14:paraId="6E1B76E6" w14:textId="77777777" w:rsidTr="002225CD">
        <w:trPr>
          <w:trHeight w:val="200"/>
          <w:jc w:val="center"/>
        </w:trPr>
        <w:tc>
          <w:tcPr>
            <w:tcW w:w="985" w:type="dxa"/>
            <w:tcBorders>
              <w:top w:val="single" w:sz="4" w:space="0" w:color="auto"/>
              <w:left w:val="single" w:sz="4" w:space="0" w:color="auto"/>
              <w:bottom w:val="nil"/>
              <w:right w:val="single" w:sz="4" w:space="0" w:color="auto"/>
            </w:tcBorders>
            <w:shd w:val="clear" w:color="000000" w:fill="555759"/>
            <w:noWrap/>
            <w:vAlign w:val="bottom"/>
            <w:hideMark/>
          </w:tcPr>
          <w:p w14:paraId="0B1D4E44" w14:textId="77777777" w:rsidR="002225CD" w:rsidRPr="002225CD" w:rsidRDefault="002225CD" w:rsidP="002225CD">
            <w:pPr>
              <w:spacing w:line="240" w:lineRule="auto"/>
              <w:rPr>
                <w:rFonts w:cs="Arial"/>
                <w:color w:val="FFFFFF"/>
                <w:sz w:val="16"/>
                <w:szCs w:val="16"/>
              </w:rPr>
            </w:pPr>
            <w:r w:rsidRPr="002225CD">
              <w:rPr>
                <w:rFonts w:cs="Arial"/>
                <w:color w:val="FFFFFF"/>
                <w:sz w:val="16"/>
                <w:szCs w:val="16"/>
              </w:rPr>
              <w:t> </w:t>
            </w:r>
          </w:p>
        </w:tc>
        <w:tc>
          <w:tcPr>
            <w:tcW w:w="2440" w:type="dxa"/>
            <w:gridSpan w:val="2"/>
            <w:tcBorders>
              <w:top w:val="single" w:sz="4" w:space="0" w:color="auto"/>
              <w:left w:val="nil"/>
              <w:bottom w:val="nil"/>
              <w:right w:val="single" w:sz="4" w:space="0" w:color="000000"/>
            </w:tcBorders>
            <w:shd w:val="clear" w:color="000000" w:fill="555759"/>
            <w:noWrap/>
            <w:vAlign w:val="center"/>
            <w:hideMark/>
          </w:tcPr>
          <w:p w14:paraId="7E504C28"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Intercept Dummy</w:t>
            </w:r>
          </w:p>
        </w:tc>
        <w:tc>
          <w:tcPr>
            <w:tcW w:w="2440" w:type="dxa"/>
            <w:gridSpan w:val="2"/>
            <w:tcBorders>
              <w:top w:val="single" w:sz="4" w:space="0" w:color="auto"/>
              <w:left w:val="nil"/>
              <w:bottom w:val="nil"/>
              <w:right w:val="single" w:sz="4" w:space="0" w:color="000000"/>
            </w:tcBorders>
            <w:shd w:val="clear" w:color="000000" w:fill="555759"/>
            <w:noWrap/>
            <w:vAlign w:val="center"/>
            <w:hideMark/>
          </w:tcPr>
          <w:p w14:paraId="6986A958"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Slope (Temperature) Dummy</w:t>
            </w:r>
          </w:p>
        </w:tc>
      </w:tr>
      <w:tr w:rsidR="002225CD" w:rsidRPr="002225CD" w14:paraId="3616C9E1" w14:textId="77777777" w:rsidTr="002225CD">
        <w:trPr>
          <w:trHeight w:val="200"/>
          <w:jc w:val="center"/>
        </w:trPr>
        <w:tc>
          <w:tcPr>
            <w:tcW w:w="985" w:type="dxa"/>
            <w:tcBorders>
              <w:top w:val="nil"/>
              <w:left w:val="single" w:sz="4" w:space="0" w:color="auto"/>
              <w:bottom w:val="single" w:sz="4" w:space="0" w:color="auto"/>
              <w:right w:val="single" w:sz="4" w:space="0" w:color="auto"/>
            </w:tcBorders>
            <w:shd w:val="clear" w:color="000000" w:fill="555759"/>
            <w:noWrap/>
            <w:vAlign w:val="bottom"/>
            <w:hideMark/>
          </w:tcPr>
          <w:p w14:paraId="2EAD3EE8" w14:textId="77777777" w:rsidR="002225CD" w:rsidRPr="002225CD" w:rsidRDefault="002225CD" w:rsidP="002225CD">
            <w:pPr>
              <w:spacing w:line="240" w:lineRule="auto"/>
              <w:rPr>
                <w:rFonts w:cs="Arial"/>
                <w:color w:val="FFFFFF"/>
                <w:sz w:val="16"/>
                <w:szCs w:val="16"/>
              </w:rPr>
            </w:pPr>
            <w:r w:rsidRPr="002225CD">
              <w:rPr>
                <w:rFonts w:cs="Arial"/>
                <w:color w:val="FFFFFF"/>
                <w:sz w:val="16"/>
                <w:szCs w:val="16"/>
              </w:rPr>
              <w:t> </w:t>
            </w:r>
          </w:p>
        </w:tc>
        <w:tc>
          <w:tcPr>
            <w:tcW w:w="1272" w:type="dxa"/>
            <w:tcBorders>
              <w:top w:val="nil"/>
              <w:left w:val="nil"/>
              <w:bottom w:val="single" w:sz="4" w:space="0" w:color="auto"/>
              <w:right w:val="nil"/>
            </w:tcBorders>
            <w:shd w:val="clear" w:color="000000" w:fill="555759"/>
            <w:noWrap/>
            <w:vAlign w:val="center"/>
            <w:hideMark/>
          </w:tcPr>
          <w:p w14:paraId="47530CBE"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Estimate</w:t>
            </w:r>
          </w:p>
        </w:tc>
        <w:tc>
          <w:tcPr>
            <w:tcW w:w="1168" w:type="dxa"/>
            <w:tcBorders>
              <w:top w:val="nil"/>
              <w:left w:val="nil"/>
              <w:bottom w:val="single" w:sz="4" w:space="0" w:color="auto"/>
              <w:right w:val="single" w:sz="4" w:space="0" w:color="auto"/>
            </w:tcBorders>
            <w:shd w:val="clear" w:color="000000" w:fill="555759"/>
            <w:noWrap/>
            <w:vAlign w:val="center"/>
            <w:hideMark/>
          </w:tcPr>
          <w:p w14:paraId="581CB348"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P-Value</w:t>
            </w:r>
          </w:p>
        </w:tc>
        <w:tc>
          <w:tcPr>
            <w:tcW w:w="1272" w:type="dxa"/>
            <w:tcBorders>
              <w:top w:val="nil"/>
              <w:left w:val="nil"/>
              <w:bottom w:val="single" w:sz="4" w:space="0" w:color="auto"/>
              <w:right w:val="nil"/>
            </w:tcBorders>
            <w:shd w:val="clear" w:color="000000" w:fill="555759"/>
            <w:noWrap/>
            <w:vAlign w:val="center"/>
            <w:hideMark/>
          </w:tcPr>
          <w:p w14:paraId="6016BE53"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Estimate</w:t>
            </w:r>
          </w:p>
        </w:tc>
        <w:tc>
          <w:tcPr>
            <w:tcW w:w="1168" w:type="dxa"/>
            <w:tcBorders>
              <w:top w:val="nil"/>
              <w:left w:val="nil"/>
              <w:bottom w:val="single" w:sz="4" w:space="0" w:color="auto"/>
              <w:right w:val="single" w:sz="4" w:space="0" w:color="auto"/>
            </w:tcBorders>
            <w:shd w:val="clear" w:color="000000" w:fill="555759"/>
            <w:noWrap/>
            <w:vAlign w:val="center"/>
            <w:hideMark/>
          </w:tcPr>
          <w:p w14:paraId="639068F1" w14:textId="77777777" w:rsidR="002225CD" w:rsidRPr="002225CD" w:rsidRDefault="002225CD" w:rsidP="002225CD">
            <w:pPr>
              <w:spacing w:line="240" w:lineRule="auto"/>
              <w:jc w:val="center"/>
              <w:rPr>
                <w:rFonts w:cs="Arial"/>
                <w:color w:val="FFFFFF"/>
                <w:sz w:val="16"/>
                <w:szCs w:val="16"/>
              </w:rPr>
            </w:pPr>
            <w:r w:rsidRPr="002225CD">
              <w:rPr>
                <w:rFonts w:cs="Arial"/>
                <w:color w:val="FFFFFF"/>
                <w:sz w:val="16"/>
                <w:szCs w:val="16"/>
              </w:rPr>
              <w:t>P-Value</w:t>
            </w:r>
          </w:p>
        </w:tc>
      </w:tr>
      <w:tr w:rsidR="00476F49" w:rsidRPr="002225CD" w14:paraId="5DDA0EA2" w14:textId="77777777" w:rsidTr="002225CD">
        <w:trPr>
          <w:trHeight w:val="200"/>
          <w:jc w:val="center"/>
        </w:trPr>
        <w:tc>
          <w:tcPr>
            <w:tcW w:w="985" w:type="dxa"/>
            <w:tcBorders>
              <w:top w:val="nil"/>
              <w:left w:val="single" w:sz="4" w:space="0" w:color="auto"/>
              <w:bottom w:val="nil"/>
              <w:right w:val="single" w:sz="4" w:space="0" w:color="auto"/>
            </w:tcBorders>
            <w:shd w:val="clear" w:color="000000" w:fill="FFFFFF"/>
            <w:noWrap/>
            <w:vAlign w:val="bottom"/>
            <w:hideMark/>
          </w:tcPr>
          <w:p w14:paraId="234B9EE5" w14:textId="77777777" w:rsidR="00476F49" w:rsidRPr="002225CD" w:rsidRDefault="00476F49" w:rsidP="00476F49">
            <w:pPr>
              <w:spacing w:line="240" w:lineRule="auto"/>
              <w:rPr>
                <w:rFonts w:cs="Arial"/>
                <w:sz w:val="16"/>
                <w:szCs w:val="16"/>
              </w:rPr>
            </w:pPr>
            <w:r w:rsidRPr="002225CD">
              <w:rPr>
                <w:rFonts w:cs="Arial"/>
                <w:sz w:val="16"/>
                <w:szCs w:val="16"/>
              </w:rPr>
              <w:t>On-Peak</w:t>
            </w:r>
          </w:p>
        </w:tc>
        <w:tc>
          <w:tcPr>
            <w:tcW w:w="1272" w:type="dxa"/>
            <w:tcBorders>
              <w:top w:val="nil"/>
              <w:left w:val="nil"/>
              <w:bottom w:val="nil"/>
              <w:right w:val="single" w:sz="4" w:space="0" w:color="auto"/>
            </w:tcBorders>
            <w:shd w:val="clear" w:color="000000" w:fill="FFFFFF"/>
            <w:noWrap/>
            <w:vAlign w:val="center"/>
            <w:hideMark/>
          </w:tcPr>
          <w:p w14:paraId="271B8F16" w14:textId="5F048EC1" w:rsidR="00476F49" w:rsidRPr="002225CD" w:rsidRDefault="00476F49" w:rsidP="00476F49">
            <w:pPr>
              <w:spacing w:line="240" w:lineRule="auto"/>
              <w:jc w:val="center"/>
              <w:rPr>
                <w:rFonts w:cs="Arial"/>
                <w:sz w:val="16"/>
                <w:szCs w:val="16"/>
              </w:rPr>
            </w:pPr>
            <w:r>
              <w:rPr>
                <w:rFonts w:cs="Arial"/>
                <w:sz w:val="16"/>
                <w:szCs w:val="16"/>
              </w:rPr>
              <w:t>-0.079</w:t>
            </w:r>
          </w:p>
        </w:tc>
        <w:tc>
          <w:tcPr>
            <w:tcW w:w="1168" w:type="dxa"/>
            <w:tcBorders>
              <w:top w:val="nil"/>
              <w:left w:val="nil"/>
              <w:bottom w:val="nil"/>
              <w:right w:val="single" w:sz="4" w:space="0" w:color="auto"/>
            </w:tcBorders>
            <w:shd w:val="clear" w:color="000000" w:fill="FFFFFF"/>
            <w:noWrap/>
            <w:vAlign w:val="center"/>
            <w:hideMark/>
          </w:tcPr>
          <w:p w14:paraId="674CF4F0" w14:textId="179ABF15" w:rsidR="00476F49" w:rsidRPr="002225CD" w:rsidRDefault="00476F49" w:rsidP="00476F49">
            <w:pPr>
              <w:spacing w:line="240" w:lineRule="auto"/>
              <w:jc w:val="center"/>
              <w:rPr>
                <w:rFonts w:cs="Arial"/>
                <w:sz w:val="16"/>
                <w:szCs w:val="16"/>
              </w:rPr>
            </w:pPr>
            <w:r>
              <w:rPr>
                <w:rFonts w:cs="Arial"/>
                <w:sz w:val="16"/>
                <w:szCs w:val="16"/>
              </w:rPr>
              <w:t>0.327</w:t>
            </w:r>
          </w:p>
        </w:tc>
        <w:tc>
          <w:tcPr>
            <w:tcW w:w="1272" w:type="dxa"/>
            <w:tcBorders>
              <w:top w:val="nil"/>
              <w:left w:val="nil"/>
              <w:bottom w:val="nil"/>
              <w:right w:val="single" w:sz="4" w:space="0" w:color="auto"/>
            </w:tcBorders>
            <w:shd w:val="clear" w:color="000000" w:fill="FFFFFF"/>
            <w:noWrap/>
            <w:vAlign w:val="center"/>
            <w:hideMark/>
          </w:tcPr>
          <w:p w14:paraId="0E5D9300" w14:textId="11A2D3F5" w:rsidR="00476F49" w:rsidRPr="002225CD" w:rsidRDefault="00476F49" w:rsidP="00476F49">
            <w:pPr>
              <w:spacing w:line="240" w:lineRule="auto"/>
              <w:jc w:val="center"/>
              <w:rPr>
                <w:rFonts w:cs="Arial"/>
                <w:sz w:val="16"/>
                <w:szCs w:val="16"/>
              </w:rPr>
            </w:pPr>
            <w:r>
              <w:rPr>
                <w:rFonts w:cs="Arial"/>
                <w:sz w:val="16"/>
                <w:szCs w:val="16"/>
              </w:rPr>
              <w:t>-0.008</w:t>
            </w:r>
          </w:p>
        </w:tc>
        <w:tc>
          <w:tcPr>
            <w:tcW w:w="1168" w:type="dxa"/>
            <w:tcBorders>
              <w:top w:val="nil"/>
              <w:left w:val="nil"/>
              <w:bottom w:val="nil"/>
              <w:right w:val="single" w:sz="4" w:space="0" w:color="auto"/>
            </w:tcBorders>
            <w:shd w:val="clear" w:color="000000" w:fill="FFFFFF"/>
            <w:noWrap/>
            <w:vAlign w:val="center"/>
            <w:hideMark/>
          </w:tcPr>
          <w:p w14:paraId="36DD2B7C" w14:textId="51641FB4" w:rsidR="00476F49" w:rsidRPr="002225CD" w:rsidRDefault="00476F49" w:rsidP="00476F49">
            <w:pPr>
              <w:spacing w:line="240" w:lineRule="auto"/>
              <w:jc w:val="center"/>
              <w:rPr>
                <w:rFonts w:cs="Arial"/>
                <w:sz w:val="16"/>
                <w:szCs w:val="16"/>
              </w:rPr>
            </w:pPr>
            <w:r>
              <w:rPr>
                <w:rFonts w:cs="Arial"/>
                <w:sz w:val="16"/>
                <w:szCs w:val="16"/>
              </w:rPr>
              <w:t>0.001</w:t>
            </w:r>
          </w:p>
        </w:tc>
      </w:tr>
      <w:tr w:rsidR="00476F49" w:rsidRPr="002225CD" w14:paraId="6B2554F5" w14:textId="77777777" w:rsidTr="002225CD">
        <w:trPr>
          <w:trHeight w:val="200"/>
          <w:jc w:val="center"/>
        </w:trPr>
        <w:tc>
          <w:tcPr>
            <w:tcW w:w="985" w:type="dxa"/>
            <w:tcBorders>
              <w:top w:val="nil"/>
              <w:left w:val="single" w:sz="4" w:space="0" w:color="auto"/>
              <w:bottom w:val="single" w:sz="4" w:space="0" w:color="auto"/>
              <w:right w:val="single" w:sz="4" w:space="0" w:color="auto"/>
            </w:tcBorders>
            <w:shd w:val="clear" w:color="000000" w:fill="FFFFFF"/>
            <w:noWrap/>
            <w:vAlign w:val="bottom"/>
            <w:hideMark/>
          </w:tcPr>
          <w:p w14:paraId="11704DD9" w14:textId="77777777" w:rsidR="00476F49" w:rsidRPr="002225CD" w:rsidRDefault="00476F49" w:rsidP="00476F49">
            <w:pPr>
              <w:spacing w:line="240" w:lineRule="auto"/>
              <w:rPr>
                <w:rFonts w:cs="Arial"/>
                <w:sz w:val="16"/>
                <w:szCs w:val="16"/>
              </w:rPr>
            </w:pPr>
            <w:r w:rsidRPr="002225CD">
              <w:rPr>
                <w:rFonts w:cs="Arial"/>
                <w:sz w:val="16"/>
                <w:szCs w:val="16"/>
              </w:rPr>
              <w:t>Mid-Peak</w:t>
            </w:r>
          </w:p>
        </w:tc>
        <w:tc>
          <w:tcPr>
            <w:tcW w:w="1272" w:type="dxa"/>
            <w:tcBorders>
              <w:top w:val="nil"/>
              <w:left w:val="nil"/>
              <w:bottom w:val="single" w:sz="4" w:space="0" w:color="auto"/>
              <w:right w:val="single" w:sz="4" w:space="0" w:color="auto"/>
            </w:tcBorders>
            <w:shd w:val="clear" w:color="000000" w:fill="FFFFFF"/>
            <w:noWrap/>
            <w:vAlign w:val="center"/>
            <w:hideMark/>
          </w:tcPr>
          <w:p w14:paraId="1C672E03" w14:textId="55C34294" w:rsidR="00476F49" w:rsidRPr="002225CD" w:rsidRDefault="00476F49" w:rsidP="00476F49">
            <w:pPr>
              <w:spacing w:line="240" w:lineRule="auto"/>
              <w:jc w:val="center"/>
              <w:rPr>
                <w:rFonts w:cs="Arial"/>
                <w:sz w:val="16"/>
                <w:szCs w:val="16"/>
              </w:rPr>
            </w:pPr>
            <w:r>
              <w:rPr>
                <w:rFonts w:cs="Arial"/>
                <w:sz w:val="16"/>
                <w:szCs w:val="16"/>
              </w:rPr>
              <w:t>-0.068</w:t>
            </w:r>
          </w:p>
        </w:tc>
        <w:tc>
          <w:tcPr>
            <w:tcW w:w="1168" w:type="dxa"/>
            <w:tcBorders>
              <w:top w:val="nil"/>
              <w:left w:val="nil"/>
              <w:bottom w:val="single" w:sz="4" w:space="0" w:color="auto"/>
              <w:right w:val="single" w:sz="4" w:space="0" w:color="auto"/>
            </w:tcBorders>
            <w:shd w:val="clear" w:color="000000" w:fill="FFFFFF"/>
            <w:noWrap/>
            <w:vAlign w:val="center"/>
            <w:hideMark/>
          </w:tcPr>
          <w:p w14:paraId="3D5CFB10" w14:textId="6740B9D9" w:rsidR="00476F49" w:rsidRPr="002225CD" w:rsidRDefault="00476F49" w:rsidP="00476F49">
            <w:pPr>
              <w:spacing w:line="240" w:lineRule="auto"/>
              <w:jc w:val="center"/>
              <w:rPr>
                <w:rFonts w:cs="Arial"/>
                <w:sz w:val="16"/>
                <w:szCs w:val="16"/>
              </w:rPr>
            </w:pPr>
            <w:r>
              <w:rPr>
                <w:rFonts w:cs="Arial"/>
                <w:sz w:val="16"/>
                <w:szCs w:val="16"/>
              </w:rPr>
              <w:t>0.399</w:t>
            </w:r>
          </w:p>
        </w:tc>
        <w:tc>
          <w:tcPr>
            <w:tcW w:w="1272" w:type="dxa"/>
            <w:tcBorders>
              <w:top w:val="nil"/>
              <w:left w:val="nil"/>
              <w:bottom w:val="single" w:sz="4" w:space="0" w:color="auto"/>
              <w:right w:val="single" w:sz="4" w:space="0" w:color="auto"/>
            </w:tcBorders>
            <w:shd w:val="clear" w:color="000000" w:fill="FFFFFF"/>
            <w:noWrap/>
            <w:vAlign w:val="center"/>
            <w:hideMark/>
          </w:tcPr>
          <w:p w14:paraId="331863B7" w14:textId="1A66035B" w:rsidR="00476F49" w:rsidRPr="002225CD" w:rsidRDefault="00476F49" w:rsidP="00476F49">
            <w:pPr>
              <w:spacing w:line="240" w:lineRule="auto"/>
              <w:jc w:val="center"/>
              <w:rPr>
                <w:rFonts w:cs="Arial"/>
                <w:sz w:val="16"/>
                <w:szCs w:val="16"/>
              </w:rPr>
            </w:pPr>
            <w:r>
              <w:rPr>
                <w:rFonts w:cs="Arial"/>
                <w:sz w:val="16"/>
                <w:szCs w:val="16"/>
              </w:rPr>
              <w:t>-0.007</w:t>
            </w:r>
          </w:p>
        </w:tc>
        <w:tc>
          <w:tcPr>
            <w:tcW w:w="1168" w:type="dxa"/>
            <w:tcBorders>
              <w:top w:val="nil"/>
              <w:left w:val="nil"/>
              <w:bottom w:val="single" w:sz="4" w:space="0" w:color="auto"/>
              <w:right w:val="single" w:sz="4" w:space="0" w:color="auto"/>
            </w:tcBorders>
            <w:shd w:val="clear" w:color="000000" w:fill="FFFFFF"/>
            <w:noWrap/>
            <w:vAlign w:val="center"/>
            <w:hideMark/>
          </w:tcPr>
          <w:p w14:paraId="49B62139" w14:textId="2327D98E" w:rsidR="00476F49" w:rsidRPr="002225CD" w:rsidRDefault="00476F49" w:rsidP="00476F49">
            <w:pPr>
              <w:spacing w:line="240" w:lineRule="auto"/>
              <w:jc w:val="center"/>
              <w:rPr>
                <w:rFonts w:cs="Arial"/>
                <w:sz w:val="16"/>
                <w:szCs w:val="16"/>
              </w:rPr>
            </w:pPr>
            <w:r>
              <w:rPr>
                <w:rFonts w:cs="Arial"/>
                <w:sz w:val="16"/>
                <w:szCs w:val="16"/>
              </w:rPr>
              <w:t>0.014</w:t>
            </w:r>
          </w:p>
        </w:tc>
      </w:tr>
    </w:tbl>
    <w:p w14:paraId="43316401" w14:textId="1DF86D2C" w:rsidR="002225CD" w:rsidRDefault="002225CD" w:rsidP="00E729D4"/>
    <w:p w14:paraId="5E80F3D2" w14:textId="0D3AAC7B" w:rsidR="002225CD" w:rsidRDefault="002225CD" w:rsidP="00E729D4">
      <w:r>
        <w:t xml:space="preserve">Note that although the intercept parameters for both TOU periods are not statistically significant, the combined effect </w:t>
      </w:r>
      <w:r w:rsidR="00476F49">
        <w:t xml:space="preserve">across intercept and slope parameters </w:t>
      </w:r>
      <w:r>
        <w:t xml:space="preserve">(as shown in </w:t>
      </w:r>
      <w:r>
        <w:fldChar w:fldCharType="begin"/>
      </w:r>
      <w:r>
        <w:instrText xml:space="preserve"> REF _Ref1131608 \h </w:instrText>
      </w:r>
      <w:r>
        <w:fldChar w:fldCharType="separate"/>
      </w:r>
      <w:r w:rsidR="00413291">
        <w:t xml:space="preserve">Figure </w:t>
      </w:r>
      <w:r w:rsidR="00413291">
        <w:rPr>
          <w:noProof/>
        </w:rPr>
        <w:t>10</w:t>
      </w:r>
      <w:r>
        <w:fldChar w:fldCharType="end"/>
      </w:r>
      <w:r>
        <w:t xml:space="preserve">, above) </w:t>
      </w:r>
      <w:r>
        <w:rPr>
          <w:i/>
        </w:rPr>
        <w:t>is</w:t>
      </w:r>
      <w:r>
        <w:t xml:space="preserve"> statistically significant. </w:t>
      </w:r>
      <w:r w:rsidR="00622C05">
        <w:t>Further, out</w:t>
      </w:r>
      <w:r w:rsidR="00821BEB">
        <w:t xml:space="preserve"> of</w:t>
      </w:r>
      <w:r w:rsidR="00622C05">
        <w:t xml:space="preserve"> the 127 non-holiday weekdays in the summer of 2018, </w:t>
      </w:r>
      <w:r w:rsidR="00FA44FF">
        <w:t xml:space="preserve">on </w:t>
      </w:r>
      <w:r w:rsidR="00622C05">
        <w:t xml:space="preserve">24 of these days (about 19%) </w:t>
      </w:r>
      <w:r w:rsidR="00FA44FF">
        <w:t xml:space="preserve">there were no cooling degree hours in the On-peak period, and on 29 of these days (23%) there were no cooling degree hours in the Mid-Peak period. </w:t>
      </w:r>
    </w:p>
    <w:p w14:paraId="2496B91B" w14:textId="60F27FC9" w:rsidR="00FA44FF" w:rsidRDefault="00FA44FF" w:rsidP="00E729D4"/>
    <w:p w14:paraId="4A279471" w14:textId="0B728B2B" w:rsidR="003C4758" w:rsidRDefault="00FA44FF" w:rsidP="00E729D4">
      <w:r>
        <w:t>This suggests that the estimated intercept parameter (-0.</w:t>
      </w:r>
      <w:r w:rsidR="00476F49">
        <w:t>079</w:t>
      </w:r>
      <w:r>
        <w:t xml:space="preserve"> for On-Peak, -0.0</w:t>
      </w:r>
      <w:r w:rsidR="00476F49">
        <w:t>68</w:t>
      </w:r>
      <w:r>
        <w:t xml:space="preserve"> for Mid-Peak) is truly a reflection of participant behaviour, rather than a spurious value as a result of collinearity amongst the independent variables.</w:t>
      </w:r>
      <w:r>
        <w:rPr>
          <w:rStyle w:val="FootnoteReference"/>
        </w:rPr>
        <w:footnoteReference w:id="25"/>
      </w:r>
      <w:r w:rsidR="00821BEB">
        <w:t xml:space="preserve"> That is, despite the p-value, it seems likely that some base level of conservation is achieved, irrespective of the weather.</w:t>
      </w:r>
    </w:p>
    <w:p w14:paraId="7434C678" w14:textId="77777777" w:rsidR="003C4758" w:rsidRDefault="003C4758" w:rsidP="00E729D4"/>
    <w:p w14:paraId="004204DA" w14:textId="02E3E920" w:rsidR="003C4758" w:rsidRDefault="003C4758" w:rsidP="00E729D4">
      <w:r>
        <w:t xml:space="preserve">This estimated effect is observable in the monthly load profiles. First, consider the average participant and RCT control loads in October of 2017 (prior to the program taking effect), as shown in </w:t>
      </w:r>
      <w:r>
        <w:fldChar w:fldCharType="begin"/>
      </w:r>
      <w:r>
        <w:instrText xml:space="preserve"> REF _Ref1451863 \h </w:instrText>
      </w:r>
      <w:r>
        <w:fldChar w:fldCharType="separate"/>
      </w:r>
      <w:r w:rsidR="00413291">
        <w:t xml:space="preserve">Figure </w:t>
      </w:r>
      <w:r w:rsidR="00413291">
        <w:rPr>
          <w:noProof/>
        </w:rPr>
        <w:t>18</w:t>
      </w:r>
      <w:r>
        <w:fldChar w:fldCharType="end"/>
      </w:r>
      <w:r>
        <w:t>.</w:t>
      </w:r>
    </w:p>
    <w:p w14:paraId="542317B1" w14:textId="4806BC98" w:rsidR="003C4758" w:rsidRDefault="003C4758" w:rsidP="00E729D4"/>
    <w:p w14:paraId="457AB86C" w14:textId="512789B6" w:rsidR="003C4758" w:rsidRDefault="003C4758" w:rsidP="003C4758">
      <w:pPr>
        <w:pStyle w:val="Caption"/>
      </w:pPr>
      <w:bookmarkStart w:id="73" w:name="_Toc8393624"/>
      <w:r>
        <w:t xml:space="preserve">Figure </w:t>
      </w:r>
      <w:fldSimple w:instr=" SEQ Figure \* ARABIC ">
        <w:r w:rsidR="00413291">
          <w:rPr>
            <w:noProof/>
          </w:rPr>
          <w:t>16</w:t>
        </w:r>
      </w:fldSimple>
      <w:r>
        <w:t>: CPP Participants – October 2017 Weekday Load Profile</w:t>
      </w:r>
      <w:bookmarkEnd w:id="73"/>
    </w:p>
    <w:p w14:paraId="457DFB12" w14:textId="3B3DA3A8" w:rsidR="003C4758" w:rsidRDefault="003C4758" w:rsidP="00E729D4">
      <w:r w:rsidRPr="003C4758">
        <w:rPr>
          <w:noProof/>
        </w:rPr>
        <w:drawing>
          <wp:inline distT="0" distB="0" distL="0" distR="0" wp14:anchorId="3E0FA98E" wp14:editId="4575CC0F">
            <wp:extent cx="5943600" cy="34785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478530"/>
                    </a:xfrm>
                    <a:prstGeom prst="rect">
                      <a:avLst/>
                    </a:prstGeom>
                  </pic:spPr>
                </pic:pic>
              </a:graphicData>
            </a:graphic>
          </wp:inline>
        </w:drawing>
      </w:r>
    </w:p>
    <w:p w14:paraId="59E658FF" w14:textId="18FD5F18" w:rsidR="00821BEB" w:rsidRDefault="003C4758" w:rsidP="00E729D4">
      <w:r>
        <w:lastRenderedPageBreak/>
        <w:t xml:space="preserve">Next compare these load profiles against those for October in the program period, as shown below in </w:t>
      </w:r>
      <w:r>
        <w:fldChar w:fldCharType="begin"/>
      </w:r>
      <w:r>
        <w:instrText xml:space="preserve"> REF _Ref1454623 \h </w:instrText>
      </w:r>
      <w:r>
        <w:fldChar w:fldCharType="separate"/>
      </w:r>
      <w:r w:rsidR="00413291">
        <w:t xml:space="preserve">Figure </w:t>
      </w:r>
      <w:r w:rsidR="00413291">
        <w:rPr>
          <w:noProof/>
        </w:rPr>
        <w:t>17</w:t>
      </w:r>
      <w:r>
        <w:fldChar w:fldCharType="end"/>
      </w:r>
      <w:r>
        <w:t xml:space="preserve">. A </w:t>
      </w:r>
      <w:r w:rsidR="00F74853">
        <w:t>slight, but clearly observable, drop in consumption in the mid-day period exists. October 2018 was relatively cool, with no cooling degree hours observed during 18 of the 22 On-Peak periods in that month.</w:t>
      </w:r>
    </w:p>
    <w:p w14:paraId="46BC285E" w14:textId="2B7C4817" w:rsidR="003C4758" w:rsidRDefault="00F74853" w:rsidP="00E729D4">
      <w:r>
        <w:t>All of this is highly suggestive of the fact that although a significant proportion of energy savings were derived from space-cooling adjustments, a non-trivial proportion of energy savings may have been derived from non-temperature sensitive loads.</w:t>
      </w:r>
    </w:p>
    <w:p w14:paraId="7996075A" w14:textId="7E199D0F" w:rsidR="003C4758" w:rsidRDefault="003C4758" w:rsidP="00E729D4"/>
    <w:p w14:paraId="2FA902B2" w14:textId="20D2C01D" w:rsidR="003C4758" w:rsidRDefault="003C4758" w:rsidP="00821BEB">
      <w:pPr>
        <w:pStyle w:val="Caption"/>
      </w:pPr>
      <w:bookmarkStart w:id="74" w:name="_Ref1454623"/>
      <w:bookmarkStart w:id="75" w:name="_Toc8393625"/>
      <w:r>
        <w:t xml:space="preserve">Figure </w:t>
      </w:r>
      <w:fldSimple w:instr=" SEQ Figure \* ARABIC ">
        <w:r w:rsidR="00413291">
          <w:rPr>
            <w:noProof/>
          </w:rPr>
          <w:t>17</w:t>
        </w:r>
      </w:fldSimple>
      <w:bookmarkEnd w:id="74"/>
      <w:r>
        <w:t>: CPP Participants – October 2017 Weekday Load Profile</w:t>
      </w:r>
      <w:bookmarkEnd w:id="75"/>
    </w:p>
    <w:p w14:paraId="37AB3F23" w14:textId="4F9F6F81" w:rsidR="003C4758" w:rsidRDefault="003C4758" w:rsidP="00821BEB">
      <w:pPr>
        <w:jc w:val="center"/>
      </w:pPr>
      <w:r w:rsidRPr="003C4758">
        <w:rPr>
          <w:noProof/>
        </w:rPr>
        <w:drawing>
          <wp:inline distT="0" distB="0" distL="0" distR="0" wp14:anchorId="2A2C08DB" wp14:editId="72B3E920">
            <wp:extent cx="5943600" cy="33204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20415"/>
                    </a:xfrm>
                    <a:prstGeom prst="rect">
                      <a:avLst/>
                    </a:prstGeom>
                  </pic:spPr>
                </pic:pic>
              </a:graphicData>
            </a:graphic>
          </wp:inline>
        </w:drawing>
      </w:r>
    </w:p>
    <w:p w14:paraId="32859A21" w14:textId="3084D15C" w:rsidR="00FF459D" w:rsidRDefault="00FF459D" w:rsidP="00E729D4"/>
    <w:p w14:paraId="39D6D427" w14:textId="4DC9CA57" w:rsidR="00814911" w:rsidRPr="0014062A" w:rsidRDefault="00814911" w:rsidP="00814911">
      <w:r>
        <w:t xml:space="preserve">Based on all the estimated model parameters, CPP participants’ consumption over the entire summer of 2018 decreased by a statistically non-significant </w:t>
      </w:r>
      <w:r w:rsidR="00476F49">
        <w:t>36</w:t>
      </w:r>
      <w:r>
        <w:t xml:space="preserve"> kWh, or about 0.</w:t>
      </w:r>
      <w:r w:rsidR="00476F49">
        <w:t>79</w:t>
      </w:r>
      <w:r>
        <w:t>%.</w:t>
      </w:r>
      <w:r>
        <w:rPr>
          <w:rStyle w:val="FootnoteReference"/>
        </w:rPr>
        <w:footnoteReference w:id="26"/>
      </w:r>
      <w:r>
        <w:t xml:space="preserve"> This result </w:t>
      </w:r>
      <w:r w:rsidR="00821BEB">
        <w:t xml:space="preserve">(the lack of statistical significance of the savings) </w:t>
      </w:r>
      <w:r>
        <w:t>is likely a result of noise in the non-On-Peak and non-Mid-Peak periods distorting the result. If only the On-Peak and Mid-Peak (both of which test as statistically significant) savings are considered, and consumption in all other periods</w:t>
      </w:r>
      <w:r w:rsidR="00821BEB">
        <w:t xml:space="preserve"> (where impacts were found to be non-significant)</w:t>
      </w:r>
      <w:r>
        <w:t xml:space="preserve"> is assumed to not have changed as a result of the program, then overall summer savings would be approximately </w:t>
      </w:r>
      <w:r w:rsidR="00476F49">
        <w:t>59</w:t>
      </w:r>
      <w:r>
        <w:t xml:space="preserve"> kWh, or about 1.</w:t>
      </w:r>
      <w:r w:rsidR="00476F49">
        <w:t>3</w:t>
      </w:r>
      <w:r>
        <w:t>%.</w:t>
      </w:r>
    </w:p>
    <w:p w14:paraId="101B3AEF" w14:textId="3A5E477F" w:rsidR="00500D7A" w:rsidRPr="00500D7A" w:rsidRDefault="00500D7A" w:rsidP="00500D7A">
      <w:pPr>
        <w:pStyle w:val="Heading3"/>
      </w:pPr>
      <w:bookmarkStart w:id="76" w:name="_Ref1462318"/>
      <w:bookmarkStart w:id="77" w:name="_Toc8393590"/>
      <w:r>
        <w:t>RT-only Participants</w:t>
      </w:r>
      <w:bookmarkEnd w:id="76"/>
      <w:bookmarkEnd w:id="77"/>
    </w:p>
    <w:p w14:paraId="0217C57A" w14:textId="77777777" w:rsidR="00821BEB" w:rsidRDefault="0031453C" w:rsidP="00500D7A">
      <w:r>
        <w:t>This section will provide and discuss the estimated energy impacts for the RT-only group.</w:t>
      </w:r>
    </w:p>
    <w:p w14:paraId="6D269970" w14:textId="77777777" w:rsidR="00821BEB" w:rsidRDefault="00821BEB" w:rsidP="00500D7A"/>
    <w:p w14:paraId="5592103C" w14:textId="5CDDB01A" w:rsidR="0031453C" w:rsidRDefault="0031453C" w:rsidP="00500D7A">
      <w:r>
        <w:lastRenderedPageBreak/>
        <w:t>None of the estimated parameters of interest</w:t>
      </w:r>
      <w:r w:rsidR="00821BEB">
        <w:t xml:space="preserve"> for this group</w:t>
      </w:r>
      <w:r>
        <w:t xml:space="preserve"> are statistically significant at the 90% level of confidence. A summary of average daily savings (negative values indicate increases in consumption) is provided in </w:t>
      </w:r>
      <w:r>
        <w:fldChar w:fldCharType="begin"/>
      </w:r>
      <w:r>
        <w:instrText xml:space="preserve"> REF _Ref1451863 \h </w:instrText>
      </w:r>
      <w:r>
        <w:fldChar w:fldCharType="separate"/>
      </w:r>
      <w:r w:rsidR="00413291">
        <w:t xml:space="preserve">Figure </w:t>
      </w:r>
      <w:r w:rsidR="00413291">
        <w:rPr>
          <w:noProof/>
        </w:rPr>
        <w:t>18</w:t>
      </w:r>
      <w:r>
        <w:fldChar w:fldCharType="end"/>
      </w:r>
      <w:r>
        <w:t>, below.</w:t>
      </w:r>
    </w:p>
    <w:p w14:paraId="7E54E902" w14:textId="77777777" w:rsidR="0031453C" w:rsidRDefault="0031453C" w:rsidP="00500D7A"/>
    <w:p w14:paraId="4356F491" w14:textId="1EE26626" w:rsidR="00500D7A" w:rsidRDefault="0031453C" w:rsidP="00500D7A">
      <w:r>
        <w:t xml:space="preserve">Normally, for an evaluation such as this, Navigant would interpret </w:t>
      </w:r>
      <w:r w:rsidR="00622C05">
        <w:t>the statistical non-significance of a parameter of interest (i.e., one designed to capture program savings) as indicating</w:t>
      </w:r>
      <w:r>
        <w:t xml:space="preserve"> that the program was delivering no savings. In this case, Navigant believes that evidence exists of savings being delivered</w:t>
      </w:r>
      <w:r w:rsidR="00821BEB">
        <w:t xml:space="preserve"> (despite the non-significance of the result)</w:t>
      </w:r>
      <w:r>
        <w:t>, albeit savings that are highly uncertain in value.</w:t>
      </w:r>
    </w:p>
    <w:p w14:paraId="05995DA5" w14:textId="4411ADB7" w:rsidR="0031453C" w:rsidRDefault="0031453C" w:rsidP="00500D7A"/>
    <w:p w14:paraId="470F2531" w14:textId="242ED8DB" w:rsidR="0031453C" w:rsidRDefault="0031453C" w:rsidP="0031453C">
      <w:pPr>
        <w:pStyle w:val="Caption"/>
      </w:pPr>
      <w:bookmarkStart w:id="78" w:name="_Ref1451863"/>
      <w:bookmarkStart w:id="79" w:name="_Toc8393626"/>
      <w:r>
        <w:t xml:space="preserve">Figure </w:t>
      </w:r>
      <w:fldSimple w:instr=" SEQ Figure \* ARABIC ">
        <w:r w:rsidR="00413291">
          <w:rPr>
            <w:noProof/>
          </w:rPr>
          <w:t>18</w:t>
        </w:r>
      </w:fldSimple>
      <w:bookmarkEnd w:id="78"/>
      <w:r>
        <w:t>: RT-Only Energy Impacts</w:t>
      </w:r>
      <w:r w:rsidR="00227D8D">
        <w:rPr>
          <w:rStyle w:val="FootnoteReference"/>
        </w:rPr>
        <w:footnoteReference w:id="27"/>
      </w:r>
      <w:bookmarkEnd w:id="79"/>
    </w:p>
    <w:tbl>
      <w:tblPr>
        <w:tblW w:w="7105" w:type="dxa"/>
        <w:jc w:val="center"/>
        <w:tblLook w:val="04A0" w:firstRow="1" w:lastRow="0" w:firstColumn="1" w:lastColumn="0" w:noHBand="0" w:noVBand="1"/>
      </w:tblPr>
      <w:tblGrid>
        <w:gridCol w:w="2245"/>
        <w:gridCol w:w="1324"/>
        <w:gridCol w:w="1556"/>
        <w:gridCol w:w="1980"/>
      </w:tblGrid>
      <w:tr w:rsidR="0031453C" w:rsidRPr="0031453C" w14:paraId="7C910484" w14:textId="77777777" w:rsidTr="0031453C">
        <w:trPr>
          <w:trHeight w:val="210"/>
          <w:jc w:val="center"/>
        </w:trPr>
        <w:tc>
          <w:tcPr>
            <w:tcW w:w="2245"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6815B790" w14:textId="77777777" w:rsidR="0031453C" w:rsidRPr="0031453C" w:rsidRDefault="0031453C" w:rsidP="0031453C">
            <w:pPr>
              <w:spacing w:line="240" w:lineRule="auto"/>
              <w:jc w:val="center"/>
              <w:rPr>
                <w:rFonts w:cs="Arial"/>
                <w:b/>
                <w:bCs/>
                <w:color w:val="FFFFFF"/>
                <w:sz w:val="16"/>
                <w:szCs w:val="16"/>
              </w:rPr>
            </w:pPr>
            <w:r w:rsidRPr="0031453C">
              <w:rPr>
                <w:rFonts w:cs="Arial"/>
                <w:b/>
                <w:bCs/>
                <w:color w:val="FFFFFF"/>
                <w:sz w:val="16"/>
                <w:szCs w:val="16"/>
              </w:rPr>
              <w:t>TOU Period</w:t>
            </w:r>
          </w:p>
        </w:tc>
        <w:tc>
          <w:tcPr>
            <w:tcW w:w="2880" w:type="dxa"/>
            <w:gridSpan w:val="2"/>
            <w:tcBorders>
              <w:top w:val="single" w:sz="4" w:space="0" w:color="auto"/>
              <w:left w:val="single" w:sz="4" w:space="0" w:color="auto"/>
              <w:bottom w:val="nil"/>
              <w:right w:val="single" w:sz="4" w:space="0" w:color="000000"/>
            </w:tcBorders>
            <w:shd w:val="clear" w:color="000000" w:fill="555759"/>
            <w:noWrap/>
            <w:vAlign w:val="center"/>
            <w:hideMark/>
          </w:tcPr>
          <w:p w14:paraId="242FFD02" w14:textId="77777777" w:rsidR="0031453C" w:rsidRPr="0031453C" w:rsidRDefault="0031453C" w:rsidP="0031453C">
            <w:pPr>
              <w:spacing w:line="240" w:lineRule="auto"/>
              <w:jc w:val="center"/>
              <w:rPr>
                <w:rFonts w:cs="Arial"/>
                <w:b/>
                <w:bCs/>
                <w:color w:val="FFFFFF"/>
                <w:sz w:val="16"/>
                <w:szCs w:val="16"/>
              </w:rPr>
            </w:pPr>
            <w:r w:rsidRPr="0031453C">
              <w:rPr>
                <w:rFonts w:cs="Arial"/>
                <w:b/>
                <w:bCs/>
                <w:color w:val="FFFFFF"/>
                <w:sz w:val="16"/>
                <w:szCs w:val="16"/>
              </w:rPr>
              <w:t>Daily Savings</w:t>
            </w:r>
          </w:p>
        </w:tc>
        <w:tc>
          <w:tcPr>
            <w:tcW w:w="198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600A0C91" w14:textId="77777777" w:rsidR="0031453C" w:rsidRPr="0031453C" w:rsidRDefault="0031453C" w:rsidP="0031453C">
            <w:pPr>
              <w:spacing w:line="240" w:lineRule="auto"/>
              <w:jc w:val="center"/>
              <w:rPr>
                <w:rFonts w:cs="Arial"/>
                <w:b/>
                <w:bCs/>
                <w:color w:val="FFFFFF"/>
                <w:sz w:val="16"/>
                <w:szCs w:val="16"/>
              </w:rPr>
            </w:pPr>
            <w:r w:rsidRPr="0031453C">
              <w:rPr>
                <w:rFonts w:cs="Arial"/>
                <w:b/>
                <w:bCs/>
                <w:color w:val="FFFFFF"/>
                <w:sz w:val="16"/>
                <w:szCs w:val="16"/>
              </w:rPr>
              <w:t>Relative Precision +/-% (90% Confidence)</w:t>
            </w:r>
          </w:p>
        </w:tc>
      </w:tr>
      <w:tr w:rsidR="0031453C" w:rsidRPr="0031453C" w14:paraId="23D7A76F" w14:textId="77777777" w:rsidTr="0031453C">
        <w:trPr>
          <w:trHeight w:val="380"/>
          <w:jc w:val="center"/>
        </w:trPr>
        <w:tc>
          <w:tcPr>
            <w:tcW w:w="2245" w:type="dxa"/>
            <w:vMerge/>
            <w:tcBorders>
              <w:top w:val="single" w:sz="4" w:space="0" w:color="auto"/>
              <w:left w:val="single" w:sz="4" w:space="0" w:color="auto"/>
              <w:bottom w:val="single" w:sz="4" w:space="0" w:color="000000"/>
              <w:right w:val="nil"/>
            </w:tcBorders>
            <w:vAlign w:val="center"/>
            <w:hideMark/>
          </w:tcPr>
          <w:p w14:paraId="62674718" w14:textId="77777777" w:rsidR="0031453C" w:rsidRPr="0031453C" w:rsidRDefault="0031453C" w:rsidP="0031453C">
            <w:pPr>
              <w:spacing w:line="240" w:lineRule="auto"/>
              <w:rPr>
                <w:rFonts w:cs="Arial"/>
                <w:b/>
                <w:bCs/>
                <w:color w:val="FFFFFF"/>
                <w:sz w:val="16"/>
                <w:szCs w:val="16"/>
              </w:rPr>
            </w:pPr>
          </w:p>
        </w:tc>
        <w:tc>
          <w:tcPr>
            <w:tcW w:w="1324" w:type="dxa"/>
            <w:tcBorders>
              <w:top w:val="nil"/>
              <w:left w:val="single" w:sz="4" w:space="0" w:color="auto"/>
              <w:bottom w:val="single" w:sz="4" w:space="0" w:color="auto"/>
              <w:right w:val="nil"/>
            </w:tcBorders>
            <w:shd w:val="clear" w:color="000000" w:fill="555759"/>
            <w:noWrap/>
            <w:vAlign w:val="center"/>
            <w:hideMark/>
          </w:tcPr>
          <w:p w14:paraId="2F1F4966" w14:textId="77777777" w:rsidR="0031453C" w:rsidRPr="0031453C" w:rsidRDefault="0031453C" w:rsidP="0031453C">
            <w:pPr>
              <w:spacing w:line="240" w:lineRule="auto"/>
              <w:jc w:val="center"/>
              <w:rPr>
                <w:rFonts w:cs="Arial"/>
                <w:b/>
                <w:bCs/>
                <w:color w:val="FFFFFF"/>
                <w:sz w:val="16"/>
                <w:szCs w:val="16"/>
              </w:rPr>
            </w:pPr>
            <w:r w:rsidRPr="0031453C">
              <w:rPr>
                <w:rFonts w:cs="Arial"/>
                <w:b/>
                <w:bCs/>
                <w:color w:val="FFFFFF"/>
                <w:sz w:val="16"/>
                <w:szCs w:val="16"/>
              </w:rPr>
              <w:t>kWh</w:t>
            </w:r>
          </w:p>
        </w:tc>
        <w:tc>
          <w:tcPr>
            <w:tcW w:w="1556" w:type="dxa"/>
            <w:tcBorders>
              <w:top w:val="nil"/>
              <w:left w:val="nil"/>
              <w:bottom w:val="single" w:sz="4" w:space="0" w:color="auto"/>
              <w:right w:val="single" w:sz="4" w:space="0" w:color="auto"/>
            </w:tcBorders>
            <w:shd w:val="clear" w:color="000000" w:fill="555759"/>
            <w:noWrap/>
            <w:vAlign w:val="center"/>
            <w:hideMark/>
          </w:tcPr>
          <w:p w14:paraId="5E4F9430" w14:textId="77777777" w:rsidR="0031453C" w:rsidRPr="0031453C" w:rsidRDefault="0031453C" w:rsidP="0031453C">
            <w:pPr>
              <w:spacing w:line="240" w:lineRule="auto"/>
              <w:jc w:val="center"/>
              <w:rPr>
                <w:rFonts w:cs="Arial"/>
                <w:b/>
                <w:bCs/>
                <w:color w:val="FFFFFF"/>
                <w:sz w:val="16"/>
                <w:szCs w:val="16"/>
              </w:rPr>
            </w:pPr>
            <w:r w:rsidRPr="0031453C">
              <w:rPr>
                <w:rFonts w:cs="Arial"/>
                <w:b/>
                <w:bCs/>
                <w:color w:val="FFFFFF"/>
                <w:sz w:val="16"/>
                <w:szCs w:val="16"/>
              </w:rPr>
              <w:t>%</w:t>
            </w:r>
          </w:p>
        </w:tc>
        <w:tc>
          <w:tcPr>
            <w:tcW w:w="1980" w:type="dxa"/>
            <w:vMerge/>
            <w:tcBorders>
              <w:top w:val="single" w:sz="4" w:space="0" w:color="auto"/>
              <w:left w:val="nil"/>
              <w:bottom w:val="single" w:sz="4" w:space="0" w:color="000000"/>
              <w:right w:val="single" w:sz="4" w:space="0" w:color="auto"/>
            </w:tcBorders>
            <w:vAlign w:val="center"/>
            <w:hideMark/>
          </w:tcPr>
          <w:p w14:paraId="2DF4CFE1" w14:textId="77777777" w:rsidR="0031453C" w:rsidRPr="0031453C" w:rsidRDefault="0031453C" w:rsidP="0031453C">
            <w:pPr>
              <w:spacing w:line="240" w:lineRule="auto"/>
              <w:rPr>
                <w:rFonts w:cs="Arial"/>
                <w:b/>
                <w:bCs/>
                <w:color w:val="FFFFFF"/>
                <w:sz w:val="16"/>
                <w:szCs w:val="16"/>
              </w:rPr>
            </w:pPr>
          </w:p>
        </w:tc>
      </w:tr>
      <w:tr w:rsidR="00C543ED" w:rsidRPr="0031453C" w14:paraId="2DADF76B" w14:textId="77777777" w:rsidTr="00413291">
        <w:trPr>
          <w:trHeight w:val="200"/>
          <w:jc w:val="center"/>
        </w:trPr>
        <w:tc>
          <w:tcPr>
            <w:tcW w:w="2245" w:type="dxa"/>
            <w:tcBorders>
              <w:top w:val="nil"/>
              <w:left w:val="single" w:sz="4" w:space="0" w:color="auto"/>
              <w:bottom w:val="nil"/>
              <w:right w:val="single" w:sz="4" w:space="0" w:color="auto"/>
            </w:tcBorders>
            <w:shd w:val="clear" w:color="000000" w:fill="FFFFFF"/>
            <w:noWrap/>
            <w:hideMark/>
          </w:tcPr>
          <w:p w14:paraId="233F05BF" w14:textId="1A9E1869" w:rsidR="00C543ED" w:rsidRPr="00FD6DC6" w:rsidRDefault="00C543ED" w:rsidP="00C543ED">
            <w:pPr>
              <w:spacing w:line="240" w:lineRule="auto"/>
              <w:rPr>
                <w:rFonts w:cs="Arial"/>
                <w:sz w:val="16"/>
                <w:szCs w:val="16"/>
              </w:rPr>
            </w:pPr>
            <w:r w:rsidRPr="00413291">
              <w:rPr>
                <w:sz w:val="16"/>
                <w:szCs w:val="16"/>
              </w:rPr>
              <w:t>On-Peak</w:t>
            </w:r>
          </w:p>
        </w:tc>
        <w:tc>
          <w:tcPr>
            <w:tcW w:w="1324" w:type="dxa"/>
            <w:tcBorders>
              <w:top w:val="nil"/>
              <w:left w:val="nil"/>
              <w:bottom w:val="nil"/>
              <w:right w:val="single" w:sz="4" w:space="0" w:color="auto"/>
            </w:tcBorders>
            <w:shd w:val="clear" w:color="000000" w:fill="FFFFFF"/>
            <w:noWrap/>
            <w:hideMark/>
          </w:tcPr>
          <w:p w14:paraId="43CC419C" w14:textId="3E1B3C27" w:rsidR="00C543ED" w:rsidRPr="00FD6DC6" w:rsidRDefault="00C543ED" w:rsidP="00C543ED">
            <w:pPr>
              <w:spacing w:line="240" w:lineRule="auto"/>
              <w:jc w:val="center"/>
              <w:rPr>
                <w:rFonts w:cs="Arial"/>
                <w:sz w:val="16"/>
                <w:szCs w:val="16"/>
              </w:rPr>
            </w:pPr>
            <w:r w:rsidRPr="00413291">
              <w:rPr>
                <w:sz w:val="16"/>
                <w:szCs w:val="16"/>
              </w:rPr>
              <w:t>0.16 (N/S)</w:t>
            </w:r>
          </w:p>
        </w:tc>
        <w:tc>
          <w:tcPr>
            <w:tcW w:w="1556" w:type="dxa"/>
            <w:tcBorders>
              <w:top w:val="nil"/>
              <w:left w:val="nil"/>
              <w:bottom w:val="nil"/>
              <w:right w:val="single" w:sz="4" w:space="0" w:color="auto"/>
            </w:tcBorders>
            <w:shd w:val="clear" w:color="000000" w:fill="FFFFFF"/>
            <w:noWrap/>
            <w:hideMark/>
          </w:tcPr>
          <w:p w14:paraId="0DFDD39E" w14:textId="35DF6D00" w:rsidR="00C543ED" w:rsidRPr="00FD6DC6" w:rsidRDefault="00C543ED" w:rsidP="00C543ED">
            <w:pPr>
              <w:spacing w:line="240" w:lineRule="auto"/>
              <w:jc w:val="center"/>
              <w:rPr>
                <w:rFonts w:cs="Arial"/>
                <w:sz w:val="16"/>
                <w:szCs w:val="16"/>
              </w:rPr>
            </w:pPr>
            <w:r w:rsidRPr="00413291">
              <w:rPr>
                <w:sz w:val="16"/>
                <w:szCs w:val="16"/>
              </w:rPr>
              <w:t>2.36% (N/S)</w:t>
            </w:r>
          </w:p>
        </w:tc>
        <w:tc>
          <w:tcPr>
            <w:tcW w:w="1980" w:type="dxa"/>
            <w:tcBorders>
              <w:top w:val="nil"/>
              <w:left w:val="nil"/>
              <w:bottom w:val="nil"/>
              <w:right w:val="single" w:sz="4" w:space="0" w:color="auto"/>
            </w:tcBorders>
            <w:shd w:val="clear" w:color="000000" w:fill="FFFFFF"/>
            <w:noWrap/>
            <w:vAlign w:val="center"/>
            <w:hideMark/>
          </w:tcPr>
          <w:p w14:paraId="5DAC14FC" w14:textId="77777777" w:rsidR="00C543ED" w:rsidRPr="0031453C" w:rsidRDefault="00C543ED" w:rsidP="00C543ED">
            <w:pPr>
              <w:spacing w:line="240" w:lineRule="auto"/>
              <w:jc w:val="center"/>
              <w:rPr>
                <w:rFonts w:cs="Arial"/>
                <w:sz w:val="16"/>
                <w:szCs w:val="16"/>
              </w:rPr>
            </w:pPr>
            <w:r w:rsidRPr="0031453C">
              <w:rPr>
                <w:rFonts w:cs="Arial"/>
                <w:sz w:val="16"/>
                <w:szCs w:val="16"/>
              </w:rPr>
              <w:t>101%</w:t>
            </w:r>
          </w:p>
        </w:tc>
      </w:tr>
      <w:tr w:rsidR="00C543ED" w:rsidRPr="0031453C" w14:paraId="52952826" w14:textId="77777777" w:rsidTr="00413291">
        <w:trPr>
          <w:trHeight w:val="200"/>
          <w:jc w:val="center"/>
        </w:trPr>
        <w:tc>
          <w:tcPr>
            <w:tcW w:w="2245" w:type="dxa"/>
            <w:tcBorders>
              <w:top w:val="nil"/>
              <w:left w:val="single" w:sz="4" w:space="0" w:color="auto"/>
              <w:bottom w:val="nil"/>
              <w:right w:val="single" w:sz="4" w:space="0" w:color="auto"/>
            </w:tcBorders>
            <w:shd w:val="clear" w:color="000000" w:fill="F2F2F2"/>
            <w:noWrap/>
            <w:hideMark/>
          </w:tcPr>
          <w:p w14:paraId="05F97E9E" w14:textId="576561C1" w:rsidR="00C543ED" w:rsidRPr="00FD6DC6" w:rsidRDefault="00C543ED" w:rsidP="00C543ED">
            <w:pPr>
              <w:spacing w:line="240" w:lineRule="auto"/>
              <w:rPr>
                <w:rFonts w:cs="Arial"/>
                <w:sz w:val="16"/>
                <w:szCs w:val="16"/>
              </w:rPr>
            </w:pPr>
            <w:r w:rsidRPr="00413291">
              <w:rPr>
                <w:sz w:val="16"/>
                <w:szCs w:val="16"/>
              </w:rPr>
              <w:t>Mid-Peak</w:t>
            </w:r>
          </w:p>
        </w:tc>
        <w:tc>
          <w:tcPr>
            <w:tcW w:w="1324" w:type="dxa"/>
            <w:tcBorders>
              <w:top w:val="nil"/>
              <w:left w:val="nil"/>
              <w:bottom w:val="nil"/>
              <w:right w:val="single" w:sz="4" w:space="0" w:color="auto"/>
            </w:tcBorders>
            <w:shd w:val="clear" w:color="000000" w:fill="F2F2F2"/>
            <w:noWrap/>
            <w:hideMark/>
          </w:tcPr>
          <w:p w14:paraId="4F7B3675" w14:textId="67641143" w:rsidR="00C543ED" w:rsidRPr="00FD6DC6" w:rsidRDefault="00C543ED" w:rsidP="00C543ED">
            <w:pPr>
              <w:spacing w:line="240" w:lineRule="auto"/>
              <w:jc w:val="center"/>
              <w:rPr>
                <w:rFonts w:cs="Arial"/>
                <w:sz w:val="16"/>
                <w:szCs w:val="16"/>
              </w:rPr>
            </w:pPr>
            <w:r w:rsidRPr="00413291">
              <w:rPr>
                <w:sz w:val="16"/>
                <w:szCs w:val="16"/>
              </w:rPr>
              <w:t>0.03 (N/S)</w:t>
            </w:r>
          </w:p>
        </w:tc>
        <w:tc>
          <w:tcPr>
            <w:tcW w:w="1556" w:type="dxa"/>
            <w:tcBorders>
              <w:top w:val="nil"/>
              <w:left w:val="nil"/>
              <w:bottom w:val="nil"/>
              <w:right w:val="single" w:sz="4" w:space="0" w:color="auto"/>
            </w:tcBorders>
            <w:shd w:val="clear" w:color="000000" w:fill="F2F2F2"/>
            <w:noWrap/>
            <w:hideMark/>
          </w:tcPr>
          <w:p w14:paraId="44E51626" w14:textId="04F7239D" w:rsidR="00C543ED" w:rsidRPr="00FD6DC6" w:rsidRDefault="00C543ED" w:rsidP="00C543ED">
            <w:pPr>
              <w:spacing w:line="240" w:lineRule="auto"/>
              <w:jc w:val="center"/>
              <w:rPr>
                <w:rFonts w:cs="Arial"/>
                <w:sz w:val="16"/>
                <w:szCs w:val="16"/>
              </w:rPr>
            </w:pPr>
            <w:r w:rsidRPr="00413291">
              <w:rPr>
                <w:sz w:val="16"/>
                <w:szCs w:val="16"/>
              </w:rPr>
              <w:t>0.42% (N/S)</w:t>
            </w:r>
          </w:p>
        </w:tc>
        <w:tc>
          <w:tcPr>
            <w:tcW w:w="1980" w:type="dxa"/>
            <w:tcBorders>
              <w:top w:val="nil"/>
              <w:left w:val="nil"/>
              <w:bottom w:val="nil"/>
              <w:right w:val="single" w:sz="4" w:space="0" w:color="auto"/>
            </w:tcBorders>
            <w:shd w:val="clear" w:color="000000" w:fill="F2F2F2"/>
            <w:noWrap/>
            <w:vAlign w:val="center"/>
            <w:hideMark/>
          </w:tcPr>
          <w:p w14:paraId="238F7C02" w14:textId="77777777" w:rsidR="00C543ED" w:rsidRPr="0031453C" w:rsidRDefault="00C543ED" w:rsidP="00C543ED">
            <w:pPr>
              <w:spacing w:line="240" w:lineRule="auto"/>
              <w:jc w:val="center"/>
              <w:rPr>
                <w:rFonts w:cs="Arial"/>
                <w:sz w:val="16"/>
                <w:szCs w:val="16"/>
              </w:rPr>
            </w:pPr>
            <w:r w:rsidRPr="0031453C">
              <w:rPr>
                <w:rFonts w:cs="Arial"/>
                <w:sz w:val="16"/>
                <w:szCs w:val="16"/>
              </w:rPr>
              <w:t>528%</w:t>
            </w:r>
          </w:p>
        </w:tc>
      </w:tr>
      <w:tr w:rsidR="00C543ED" w:rsidRPr="0031453C" w14:paraId="42A60440" w14:textId="77777777" w:rsidTr="00413291">
        <w:trPr>
          <w:trHeight w:val="200"/>
          <w:jc w:val="center"/>
        </w:trPr>
        <w:tc>
          <w:tcPr>
            <w:tcW w:w="2245" w:type="dxa"/>
            <w:tcBorders>
              <w:top w:val="nil"/>
              <w:left w:val="single" w:sz="4" w:space="0" w:color="auto"/>
              <w:bottom w:val="nil"/>
              <w:right w:val="single" w:sz="4" w:space="0" w:color="auto"/>
            </w:tcBorders>
            <w:shd w:val="clear" w:color="000000" w:fill="FFFFFF"/>
            <w:noWrap/>
            <w:hideMark/>
          </w:tcPr>
          <w:p w14:paraId="3F322853" w14:textId="181E0392" w:rsidR="00C543ED" w:rsidRPr="00FD6DC6" w:rsidRDefault="00C543ED" w:rsidP="00C543ED">
            <w:pPr>
              <w:spacing w:line="240" w:lineRule="auto"/>
              <w:rPr>
                <w:rFonts w:cs="Arial"/>
                <w:sz w:val="16"/>
                <w:szCs w:val="16"/>
              </w:rPr>
            </w:pPr>
            <w:r w:rsidRPr="00413291">
              <w:rPr>
                <w:sz w:val="16"/>
                <w:szCs w:val="16"/>
              </w:rPr>
              <w:t>Off-Peak</w:t>
            </w:r>
          </w:p>
        </w:tc>
        <w:tc>
          <w:tcPr>
            <w:tcW w:w="1324" w:type="dxa"/>
            <w:tcBorders>
              <w:top w:val="nil"/>
              <w:left w:val="nil"/>
              <w:bottom w:val="nil"/>
              <w:right w:val="single" w:sz="4" w:space="0" w:color="auto"/>
            </w:tcBorders>
            <w:shd w:val="clear" w:color="000000" w:fill="FFFFFF"/>
            <w:noWrap/>
            <w:hideMark/>
          </w:tcPr>
          <w:p w14:paraId="0241CEEC" w14:textId="527BC118" w:rsidR="00C543ED" w:rsidRPr="00FD6DC6" w:rsidRDefault="00C543ED" w:rsidP="00C543ED">
            <w:pPr>
              <w:spacing w:line="240" w:lineRule="auto"/>
              <w:jc w:val="center"/>
              <w:rPr>
                <w:rFonts w:cs="Arial"/>
                <w:sz w:val="16"/>
                <w:szCs w:val="16"/>
              </w:rPr>
            </w:pPr>
            <w:r w:rsidRPr="00413291">
              <w:rPr>
                <w:sz w:val="16"/>
                <w:szCs w:val="16"/>
              </w:rPr>
              <w:t>-0.2 (N/S)</w:t>
            </w:r>
          </w:p>
        </w:tc>
        <w:tc>
          <w:tcPr>
            <w:tcW w:w="1556" w:type="dxa"/>
            <w:tcBorders>
              <w:top w:val="nil"/>
              <w:left w:val="nil"/>
              <w:bottom w:val="nil"/>
              <w:right w:val="single" w:sz="4" w:space="0" w:color="auto"/>
            </w:tcBorders>
            <w:shd w:val="clear" w:color="000000" w:fill="FFFFFF"/>
            <w:noWrap/>
            <w:hideMark/>
          </w:tcPr>
          <w:p w14:paraId="31ABF440" w14:textId="70AB9360" w:rsidR="00C543ED" w:rsidRPr="00FD6DC6" w:rsidRDefault="00C543ED" w:rsidP="00C543ED">
            <w:pPr>
              <w:spacing w:line="240" w:lineRule="auto"/>
              <w:jc w:val="center"/>
              <w:rPr>
                <w:rFonts w:cs="Arial"/>
                <w:sz w:val="16"/>
                <w:szCs w:val="16"/>
              </w:rPr>
            </w:pPr>
            <w:r w:rsidRPr="00413291">
              <w:rPr>
                <w:sz w:val="16"/>
                <w:szCs w:val="16"/>
              </w:rPr>
              <w:t>-1.62% (N/S)</w:t>
            </w:r>
          </w:p>
        </w:tc>
        <w:tc>
          <w:tcPr>
            <w:tcW w:w="1980" w:type="dxa"/>
            <w:tcBorders>
              <w:top w:val="nil"/>
              <w:left w:val="nil"/>
              <w:bottom w:val="nil"/>
              <w:right w:val="single" w:sz="4" w:space="0" w:color="auto"/>
            </w:tcBorders>
            <w:shd w:val="clear" w:color="000000" w:fill="FFFFFF"/>
            <w:noWrap/>
            <w:vAlign w:val="center"/>
            <w:hideMark/>
          </w:tcPr>
          <w:p w14:paraId="2CC5FDCA" w14:textId="77777777" w:rsidR="00C543ED" w:rsidRPr="0031453C" w:rsidRDefault="00C543ED" w:rsidP="00C543ED">
            <w:pPr>
              <w:spacing w:line="240" w:lineRule="auto"/>
              <w:jc w:val="center"/>
              <w:rPr>
                <w:rFonts w:cs="Arial"/>
                <w:sz w:val="16"/>
                <w:szCs w:val="16"/>
              </w:rPr>
            </w:pPr>
            <w:r w:rsidRPr="0031453C">
              <w:rPr>
                <w:rFonts w:cs="Arial"/>
                <w:sz w:val="16"/>
                <w:szCs w:val="16"/>
              </w:rPr>
              <w:t>-135%</w:t>
            </w:r>
          </w:p>
        </w:tc>
      </w:tr>
      <w:tr w:rsidR="00C543ED" w:rsidRPr="0031453C" w14:paraId="11AD93BC" w14:textId="77777777" w:rsidTr="00413291">
        <w:trPr>
          <w:trHeight w:val="200"/>
          <w:jc w:val="center"/>
        </w:trPr>
        <w:tc>
          <w:tcPr>
            <w:tcW w:w="2245" w:type="dxa"/>
            <w:tcBorders>
              <w:top w:val="nil"/>
              <w:left w:val="single" w:sz="4" w:space="0" w:color="auto"/>
              <w:bottom w:val="single" w:sz="4" w:space="0" w:color="auto"/>
              <w:right w:val="single" w:sz="4" w:space="0" w:color="auto"/>
            </w:tcBorders>
            <w:shd w:val="clear" w:color="000000" w:fill="F2F2F2"/>
            <w:noWrap/>
            <w:hideMark/>
          </w:tcPr>
          <w:p w14:paraId="75FDEB3B" w14:textId="0141CC08" w:rsidR="00C543ED" w:rsidRPr="00FD6DC6" w:rsidRDefault="00C543ED" w:rsidP="00C543ED">
            <w:pPr>
              <w:spacing w:line="240" w:lineRule="auto"/>
              <w:rPr>
                <w:rFonts w:cs="Arial"/>
                <w:sz w:val="16"/>
                <w:szCs w:val="16"/>
              </w:rPr>
            </w:pPr>
            <w:r w:rsidRPr="00413291">
              <w:rPr>
                <w:sz w:val="16"/>
                <w:szCs w:val="16"/>
              </w:rPr>
              <w:t>Weekend Off-Peak</w:t>
            </w:r>
          </w:p>
        </w:tc>
        <w:tc>
          <w:tcPr>
            <w:tcW w:w="1324" w:type="dxa"/>
            <w:tcBorders>
              <w:top w:val="nil"/>
              <w:left w:val="nil"/>
              <w:bottom w:val="single" w:sz="4" w:space="0" w:color="auto"/>
              <w:right w:val="single" w:sz="4" w:space="0" w:color="auto"/>
            </w:tcBorders>
            <w:shd w:val="clear" w:color="000000" w:fill="F2F2F2"/>
            <w:noWrap/>
            <w:hideMark/>
          </w:tcPr>
          <w:p w14:paraId="29362A6D" w14:textId="543CEFA6" w:rsidR="00C543ED" w:rsidRPr="00FD6DC6" w:rsidRDefault="00C543ED" w:rsidP="00C543ED">
            <w:pPr>
              <w:spacing w:line="240" w:lineRule="auto"/>
              <w:jc w:val="center"/>
              <w:rPr>
                <w:rFonts w:cs="Arial"/>
                <w:sz w:val="16"/>
                <w:szCs w:val="16"/>
              </w:rPr>
            </w:pPr>
            <w:r w:rsidRPr="00413291">
              <w:rPr>
                <w:sz w:val="16"/>
                <w:szCs w:val="16"/>
              </w:rPr>
              <w:t>-0.15 (N/S)</w:t>
            </w:r>
          </w:p>
        </w:tc>
        <w:tc>
          <w:tcPr>
            <w:tcW w:w="1556" w:type="dxa"/>
            <w:tcBorders>
              <w:top w:val="nil"/>
              <w:left w:val="nil"/>
              <w:bottom w:val="single" w:sz="4" w:space="0" w:color="auto"/>
              <w:right w:val="single" w:sz="4" w:space="0" w:color="auto"/>
            </w:tcBorders>
            <w:shd w:val="clear" w:color="000000" w:fill="F2F2F2"/>
            <w:noWrap/>
            <w:hideMark/>
          </w:tcPr>
          <w:p w14:paraId="1E0651F8" w14:textId="40C29B9B" w:rsidR="00C543ED" w:rsidRPr="00FD6DC6" w:rsidRDefault="00C543ED" w:rsidP="00C543ED">
            <w:pPr>
              <w:spacing w:line="240" w:lineRule="auto"/>
              <w:jc w:val="center"/>
              <w:rPr>
                <w:rFonts w:cs="Arial"/>
                <w:sz w:val="16"/>
                <w:szCs w:val="16"/>
              </w:rPr>
            </w:pPr>
            <w:r w:rsidRPr="00413291">
              <w:rPr>
                <w:sz w:val="16"/>
                <w:szCs w:val="16"/>
              </w:rPr>
              <w:t>-0.53% (N/S)</w:t>
            </w:r>
          </w:p>
        </w:tc>
        <w:tc>
          <w:tcPr>
            <w:tcW w:w="1980" w:type="dxa"/>
            <w:tcBorders>
              <w:top w:val="nil"/>
              <w:left w:val="nil"/>
              <w:bottom w:val="single" w:sz="4" w:space="0" w:color="auto"/>
              <w:right w:val="single" w:sz="4" w:space="0" w:color="auto"/>
            </w:tcBorders>
            <w:shd w:val="clear" w:color="000000" w:fill="F2F2F2"/>
            <w:noWrap/>
            <w:vAlign w:val="center"/>
            <w:hideMark/>
          </w:tcPr>
          <w:p w14:paraId="73835DAC" w14:textId="77777777" w:rsidR="00C543ED" w:rsidRPr="0031453C" w:rsidRDefault="00C543ED" w:rsidP="00C543ED">
            <w:pPr>
              <w:spacing w:line="240" w:lineRule="auto"/>
              <w:jc w:val="center"/>
              <w:rPr>
                <w:rFonts w:cs="Arial"/>
                <w:sz w:val="16"/>
                <w:szCs w:val="16"/>
              </w:rPr>
            </w:pPr>
            <w:r w:rsidRPr="0031453C">
              <w:rPr>
                <w:rFonts w:cs="Arial"/>
                <w:sz w:val="16"/>
                <w:szCs w:val="16"/>
              </w:rPr>
              <w:t>-373%</w:t>
            </w:r>
          </w:p>
        </w:tc>
      </w:tr>
    </w:tbl>
    <w:p w14:paraId="2CE8FB46" w14:textId="1EE46B21" w:rsidR="003B5C24" w:rsidRDefault="003B5C24" w:rsidP="00500D7A"/>
    <w:p w14:paraId="40D66542" w14:textId="77777777" w:rsidR="00227D8D" w:rsidRDefault="00227D8D" w:rsidP="00500D7A"/>
    <w:p w14:paraId="75422370" w14:textId="0E60A6BB" w:rsidR="0031453C" w:rsidRDefault="00622C05" w:rsidP="00500D7A">
      <w:r>
        <w:t xml:space="preserve">First, consider the uncertainty associated with On-Peak period savings. Although the savings are not statistically significant at the 90% level (the relative precision is more than 100%), they are only </w:t>
      </w:r>
      <w:r>
        <w:rPr>
          <w:i/>
        </w:rPr>
        <w:t>just barely</w:t>
      </w:r>
      <w:r>
        <w:t xml:space="preserve"> non-significant. The relative precision is 101%, and the p-value associated with the daily On-Peak impact is 0.1046, indicating that although the estimate isn’t statistically significant at the 90% confidence level, it </w:t>
      </w:r>
      <w:r>
        <w:rPr>
          <w:i/>
        </w:rPr>
        <w:t>is</w:t>
      </w:r>
      <w:r>
        <w:t xml:space="preserve"> statistically significant at the 89.5% confidence level.</w:t>
      </w:r>
    </w:p>
    <w:p w14:paraId="64B7E7FB" w14:textId="488CCE21" w:rsidR="00622C05" w:rsidRDefault="00622C05" w:rsidP="00500D7A"/>
    <w:p w14:paraId="5CCC9AA2" w14:textId="5152E1F1" w:rsidR="00622C05" w:rsidRDefault="00622C05" w:rsidP="00500D7A">
      <w:r>
        <w:t>Second, when considering the seasonal non-holiday load profiles – as was done above for the CPP participants – a clear (but small) change in mid-day (On-Peak) consumption is clearly visible.</w:t>
      </w:r>
      <w:r w:rsidR="003B5C24">
        <w:t xml:space="preserve"> As above, begin by observing the seasonal non-holiday load profiles in the summer of 2017, as shown in </w:t>
      </w:r>
      <w:r w:rsidR="00FF459D">
        <w:fldChar w:fldCharType="begin"/>
      </w:r>
      <w:r w:rsidR="00FF459D">
        <w:instrText xml:space="preserve"> REF _Ref1455541 \h </w:instrText>
      </w:r>
      <w:r w:rsidR="00FF459D">
        <w:fldChar w:fldCharType="separate"/>
      </w:r>
      <w:r w:rsidR="00413291">
        <w:t xml:space="preserve">Figure </w:t>
      </w:r>
      <w:r w:rsidR="00413291">
        <w:rPr>
          <w:noProof/>
        </w:rPr>
        <w:t>19</w:t>
      </w:r>
      <w:r w:rsidR="00FF459D">
        <w:fldChar w:fldCharType="end"/>
      </w:r>
      <w:r w:rsidR="00FF459D">
        <w:t xml:space="preserve">. </w:t>
      </w:r>
    </w:p>
    <w:p w14:paraId="589045AD" w14:textId="575ECF70" w:rsidR="003B5C24" w:rsidRDefault="003B5C24" w:rsidP="00500D7A"/>
    <w:p w14:paraId="206BE0C9" w14:textId="6857ACDB" w:rsidR="003B5C24" w:rsidRDefault="003B5C24" w:rsidP="00821BEB">
      <w:pPr>
        <w:pStyle w:val="Caption"/>
      </w:pPr>
      <w:bookmarkStart w:id="80" w:name="_Ref1455541"/>
      <w:bookmarkStart w:id="81" w:name="_Toc8393627"/>
      <w:r>
        <w:lastRenderedPageBreak/>
        <w:t xml:space="preserve">Figure </w:t>
      </w:r>
      <w:fldSimple w:instr=" SEQ Figure \* ARABIC ">
        <w:r w:rsidR="00413291">
          <w:rPr>
            <w:noProof/>
          </w:rPr>
          <w:t>19</w:t>
        </w:r>
      </w:fldSimple>
      <w:bookmarkEnd w:id="80"/>
      <w:r>
        <w:t>: RT-Only Participants – Summer 2017 Weekday Load Profile</w:t>
      </w:r>
      <w:bookmarkEnd w:id="81"/>
    </w:p>
    <w:p w14:paraId="6B48E52F" w14:textId="6C735D0C" w:rsidR="003B5C24" w:rsidRDefault="003B5C24" w:rsidP="00500D7A">
      <w:r w:rsidRPr="003B5C24">
        <w:rPr>
          <w:noProof/>
        </w:rPr>
        <w:drawing>
          <wp:inline distT="0" distB="0" distL="0" distR="0" wp14:anchorId="6E7B0C9A" wp14:editId="24F936AB">
            <wp:extent cx="5943600" cy="34378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437890"/>
                    </a:xfrm>
                    <a:prstGeom prst="rect">
                      <a:avLst/>
                    </a:prstGeom>
                  </pic:spPr>
                </pic:pic>
              </a:graphicData>
            </a:graphic>
          </wp:inline>
        </w:drawing>
      </w:r>
    </w:p>
    <w:p w14:paraId="20C58408" w14:textId="0275D8F2" w:rsidR="00FF459D" w:rsidRDefault="00FF459D" w:rsidP="00500D7A">
      <w:r>
        <w:t xml:space="preserve">Next, observe the load profiles in the summer before that, summer 2016, as shown in </w:t>
      </w:r>
      <w:r>
        <w:fldChar w:fldCharType="begin"/>
      </w:r>
      <w:r>
        <w:instrText xml:space="preserve"> REF _Ref1455637 \h </w:instrText>
      </w:r>
      <w:r>
        <w:fldChar w:fldCharType="separate"/>
      </w:r>
      <w:r w:rsidR="00413291">
        <w:t xml:space="preserve">Figure </w:t>
      </w:r>
      <w:r w:rsidR="00413291">
        <w:rPr>
          <w:noProof/>
        </w:rPr>
        <w:t>20</w:t>
      </w:r>
      <w:r>
        <w:fldChar w:fldCharType="end"/>
      </w:r>
      <w:r>
        <w:t>. This shows essentially the same pattern – the control and participant profiles are very close during the mid-day period (from about 9am to 5pm) but deviate in the early and later evening. Recall that these consistent differences between the participants and controls are accounted for via the inclusion on the right-hand side of the regression equation of customer-specific pre-period consumption values.</w:t>
      </w:r>
    </w:p>
    <w:p w14:paraId="12A51465" w14:textId="77777777" w:rsidR="00821BEB" w:rsidRDefault="00821BEB" w:rsidP="00500D7A"/>
    <w:p w14:paraId="05764DDB" w14:textId="4CF5549B" w:rsidR="00FF459D" w:rsidRDefault="00FF459D" w:rsidP="00821BEB">
      <w:pPr>
        <w:pStyle w:val="Caption"/>
      </w:pPr>
      <w:bookmarkStart w:id="82" w:name="_Ref1455637"/>
      <w:bookmarkStart w:id="83" w:name="_Toc8393628"/>
      <w:r>
        <w:lastRenderedPageBreak/>
        <w:t xml:space="preserve">Figure </w:t>
      </w:r>
      <w:fldSimple w:instr=" SEQ Figure \* ARABIC ">
        <w:r w:rsidR="00413291">
          <w:rPr>
            <w:noProof/>
          </w:rPr>
          <w:t>20</w:t>
        </w:r>
      </w:fldSimple>
      <w:bookmarkEnd w:id="82"/>
      <w:r>
        <w:t>: RT-Only Participants – Summer 2016 Weekday Load Profile</w:t>
      </w:r>
      <w:bookmarkEnd w:id="83"/>
    </w:p>
    <w:p w14:paraId="2BF34825" w14:textId="1D60EEE4" w:rsidR="00FF459D" w:rsidRDefault="00FF459D" w:rsidP="00821BEB">
      <w:pPr>
        <w:jc w:val="center"/>
      </w:pPr>
      <w:r w:rsidRPr="00FF459D">
        <w:rPr>
          <w:noProof/>
        </w:rPr>
        <w:drawing>
          <wp:inline distT="0" distB="0" distL="0" distR="0" wp14:anchorId="38209184" wp14:editId="561246DB">
            <wp:extent cx="5943600" cy="34772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477260"/>
                    </a:xfrm>
                    <a:prstGeom prst="rect">
                      <a:avLst/>
                    </a:prstGeom>
                  </pic:spPr>
                </pic:pic>
              </a:graphicData>
            </a:graphic>
          </wp:inline>
        </w:drawing>
      </w:r>
    </w:p>
    <w:p w14:paraId="2AB961B8" w14:textId="7E247B4C" w:rsidR="00FF459D" w:rsidRDefault="00FF459D" w:rsidP="00500D7A"/>
    <w:p w14:paraId="589B1270" w14:textId="7C46A8D4" w:rsidR="00FF459D" w:rsidRDefault="00FF459D" w:rsidP="00500D7A">
      <w:r>
        <w:t xml:space="preserve">Finally, observe the two profiles in </w:t>
      </w:r>
      <w:r>
        <w:fldChar w:fldCharType="begin"/>
      </w:r>
      <w:r>
        <w:instrText xml:space="preserve"> REF _Ref1455847 \h </w:instrText>
      </w:r>
      <w:r>
        <w:fldChar w:fldCharType="separate"/>
      </w:r>
      <w:r w:rsidR="00413291">
        <w:t xml:space="preserve">Figure </w:t>
      </w:r>
      <w:r w:rsidR="00413291">
        <w:rPr>
          <w:noProof/>
        </w:rPr>
        <w:t>21</w:t>
      </w:r>
      <w:r>
        <w:fldChar w:fldCharType="end"/>
      </w:r>
      <w:r>
        <w:t xml:space="preserve">, the program period (summer of 2018). There is now a small, but distinct, separation between the control and participant profiles in the mid-day On-Peak period. It is this separation that the regression equation is capturing in the estimated impacts provided above. </w:t>
      </w:r>
    </w:p>
    <w:p w14:paraId="1C1A0B8A" w14:textId="366F727E" w:rsidR="00FF459D" w:rsidRDefault="00FF459D" w:rsidP="00821BEB">
      <w:pPr>
        <w:pStyle w:val="Caption"/>
      </w:pPr>
      <w:bookmarkStart w:id="84" w:name="_Ref1455847"/>
      <w:bookmarkStart w:id="85" w:name="_Toc8393629"/>
      <w:r>
        <w:lastRenderedPageBreak/>
        <w:t xml:space="preserve">Figure </w:t>
      </w:r>
      <w:fldSimple w:instr=" SEQ Figure \* ARABIC ">
        <w:r w:rsidR="00413291">
          <w:rPr>
            <w:noProof/>
          </w:rPr>
          <w:t>21</w:t>
        </w:r>
      </w:fldSimple>
      <w:bookmarkEnd w:id="84"/>
      <w:r>
        <w:t>: RT-Only Participants – Summer 2018 (Program Period) Weekday Load Profile</w:t>
      </w:r>
      <w:bookmarkEnd w:id="85"/>
    </w:p>
    <w:p w14:paraId="2521AFFD" w14:textId="1C679964" w:rsidR="00FF459D" w:rsidRDefault="00FF459D" w:rsidP="00821BEB">
      <w:pPr>
        <w:jc w:val="center"/>
      </w:pPr>
      <w:r w:rsidRPr="00FF459D">
        <w:rPr>
          <w:noProof/>
        </w:rPr>
        <w:drawing>
          <wp:inline distT="0" distB="0" distL="0" distR="0" wp14:anchorId="7F0E25FB" wp14:editId="17D61846">
            <wp:extent cx="5943600" cy="3352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352800"/>
                    </a:xfrm>
                    <a:prstGeom prst="rect">
                      <a:avLst/>
                    </a:prstGeom>
                  </pic:spPr>
                </pic:pic>
              </a:graphicData>
            </a:graphic>
          </wp:inline>
        </w:drawing>
      </w:r>
    </w:p>
    <w:p w14:paraId="4D743F8F" w14:textId="1DDA01F8" w:rsidR="00FF459D" w:rsidRDefault="00FF459D" w:rsidP="00500D7A"/>
    <w:p w14:paraId="4F8A55C5" w14:textId="27C358FD" w:rsidR="00FF459D" w:rsidRDefault="00FF459D" w:rsidP="00500D7A">
      <w:r>
        <w:t>Despite the statistical non-significance of the estimated On-Peak impact, the fact that the parameter is so close to being statistically significant, and the fact that the program effects are intuitive and observable in plots of participant and control hourly load profiles</w:t>
      </w:r>
      <w:r w:rsidR="003666BA">
        <w:t xml:space="preserve"> is sufficient for </w:t>
      </w:r>
      <w:r>
        <w:t>Navigant</w:t>
      </w:r>
      <w:r w:rsidR="003666BA">
        <w:t xml:space="preserve"> </w:t>
      </w:r>
      <w:r w:rsidR="00AC4E21">
        <w:t>to feel it is appropriate to report the estimated On-Peak impact shown above as the best available impact of the RT-only group</w:t>
      </w:r>
      <w:r>
        <w:t>.</w:t>
      </w:r>
    </w:p>
    <w:p w14:paraId="190DE40A" w14:textId="3FA66C63" w:rsidR="00AA6E02" w:rsidRDefault="00AA6E02" w:rsidP="00500D7A"/>
    <w:p w14:paraId="6E0ED88A" w14:textId="6AC7EABF" w:rsidR="003D36AB" w:rsidRDefault="00AA6E02" w:rsidP="00500D7A">
      <w:r>
        <w:fldChar w:fldCharType="begin"/>
      </w:r>
      <w:r>
        <w:instrText xml:space="preserve"> REF _Ref1456929 \h </w:instrText>
      </w:r>
      <w:r>
        <w:fldChar w:fldCharType="separate"/>
      </w:r>
      <w:r w:rsidR="00413291">
        <w:t xml:space="preserve">Figure </w:t>
      </w:r>
      <w:r w:rsidR="00413291">
        <w:rPr>
          <w:noProof/>
        </w:rPr>
        <w:t>22</w:t>
      </w:r>
      <w:r>
        <w:fldChar w:fldCharType="end"/>
      </w:r>
      <w:r>
        <w:t>, below, shows the estimated values for the key parameters of interest</w:t>
      </w:r>
      <w:r w:rsidR="003D36AB">
        <w:t xml:space="preserve"> for the RT-only group. As above, in </w:t>
      </w:r>
      <w:r w:rsidR="003D36AB">
        <w:fldChar w:fldCharType="begin"/>
      </w:r>
      <w:r w:rsidR="003D36AB">
        <w:instrText xml:space="preserve"> REF _Ref1137351 \h </w:instrText>
      </w:r>
      <w:r w:rsidR="003D36AB">
        <w:fldChar w:fldCharType="separate"/>
      </w:r>
      <w:r w:rsidR="00413291">
        <w:t xml:space="preserve">Figure </w:t>
      </w:r>
      <w:r w:rsidR="00413291">
        <w:rPr>
          <w:noProof/>
        </w:rPr>
        <w:t>15</w:t>
      </w:r>
      <w:r w:rsidR="003D36AB">
        <w:fldChar w:fldCharType="end"/>
      </w:r>
      <w:r w:rsidR="003D36AB">
        <w:t>, this table shows the estimated intercept parameter (estimated impact on days where no cooling degree hours are observed during the TOU period of interest) as well as the estimated slope parameter (the incremental impact for each additional cooling degree hour observed during the period of interest).</w:t>
      </w:r>
    </w:p>
    <w:p w14:paraId="4B1C4854" w14:textId="77777777" w:rsidR="003D36AB" w:rsidRDefault="003D36AB" w:rsidP="00500D7A"/>
    <w:p w14:paraId="6E98F58B" w14:textId="303A866F" w:rsidR="00AA6E02" w:rsidRDefault="003D36AB" w:rsidP="00500D7A">
      <w:r>
        <w:t xml:space="preserve">Contrasting these values and estimated uncertainties with those of the CPP group yields some interesting insights. Firstly, in </w:t>
      </w:r>
      <w:r>
        <w:fldChar w:fldCharType="begin"/>
      </w:r>
      <w:r>
        <w:instrText xml:space="preserve"> REF _Ref1137351 \h </w:instrText>
      </w:r>
      <w:r>
        <w:fldChar w:fldCharType="separate"/>
      </w:r>
      <w:r w:rsidR="00413291">
        <w:t xml:space="preserve">Figure </w:t>
      </w:r>
      <w:r w:rsidR="00413291">
        <w:rPr>
          <w:noProof/>
        </w:rPr>
        <w:t>15</w:t>
      </w:r>
      <w:r>
        <w:fldChar w:fldCharType="end"/>
      </w:r>
      <w:r>
        <w:t xml:space="preserve">, there was far less uncertainty associated with CPP participants’ temperature-sensitive energy impacts than there was associated with the non-temperature sensitive impacts. For RT participants, this is reversed: the “intercept” estimate is more certain (has a lower p-value than) the slope estimate. </w:t>
      </w:r>
    </w:p>
    <w:p w14:paraId="1F2F8C58" w14:textId="25821E11" w:rsidR="003D36AB" w:rsidRDefault="003D36AB" w:rsidP="00500D7A"/>
    <w:p w14:paraId="0BC84979" w14:textId="62189388" w:rsidR="003D36AB" w:rsidRDefault="003D36AB" w:rsidP="00500D7A">
      <w:r>
        <w:t>Likewise the magnitudes of the parameter yield some insight when compared across the two treatment groups: the intercept estimates for RT and CPP participants are nearly the same (0.1 for CPP, 0.09 for RT-only) whereas the CPP participants’ temperature sensitive is more than three times that of the RT-only participants (0.007 versus 0.002).</w:t>
      </w:r>
    </w:p>
    <w:p w14:paraId="7B38061A" w14:textId="4D99D6CA" w:rsidR="00AA6E02" w:rsidRDefault="00AA6E02" w:rsidP="00500D7A"/>
    <w:p w14:paraId="5BF8AFB0" w14:textId="45B89EAA" w:rsidR="00AA6E02" w:rsidRDefault="00AA6E02" w:rsidP="00AA6E02">
      <w:pPr>
        <w:pStyle w:val="Caption"/>
      </w:pPr>
      <w:bookmarkStart w:id="86" w:name="_Ref1456929"/>
      <w:bookmarkStart w:id="87" w:name="_Toc8393630"/>
      <w:r>
        <w:lastRenderedPageBreak/>
        <w:t xml:space="preserve">Figure </w:t>
      </w:r>
      <w:fldSimple w:instr=" SEQ Figure \* ARABIC ">
        <w:r w:rsidR="00413291">
          <w:rPr>
            <w:noProof/>
          </w:rPr>
          <w:t>22</w:t>
        </w:r>
      </w:fldSimple>
      <w:bookmarkEnd w:id="86"/>
      <w:r>
        <w:t>: RT-Only Energy Impact Parameters of Interest</w:t>
      </w:r>
      <w:bookmarkEnd w:id="87"/>
    </w:p>
    <w:tbl>
      <w:tblPr>
        <w:tblW w:w="6135" w:type="dxa"/>
        <w:jc w:val="center"/>
        <w:tblLook w:val="04A0" w:firstRow="1" w:lastRow="0" w:firstColumn="1" w:lastColumn="0" w:noHBand="0" w:noVBand="1"/>
      </w:tblPr>
      <w:tblGrid>
        <w:gridCol w:w="1255"/>
        <w:gridCol w:w="1272"/>
        <w:gridCol w:w="1168"/>
        <w:gridCol w:w="1272"/>
        <w:gridCol w:w="1168"/>
      </w:tblGrid>
      <w:tr w:rsidR="00AA6E02" w:rsidRPr="00AA6E02" w14:paraId="3CE55D2F" w14:textId="77777777" w:rsidTr="00AA6E02">
        <w:trPr>
          <w:trHeight w:val="200"/>
          <w:jc w:val="center"/>
        </w:trPr>
        <w:tc>
          <w:tcPr>
            <w:tcW w:w="1255" w:type="dxa"/>
            <w:tcBorders>
              <w:top w:val="single" w:sz="4" w:space="0" w:color="auto"/>
              <w:left w:val="single" w:sz="4" w:space="0" w:color="auto"/>
              <w:bottom w:val="nil"/>
              <w:right w:val="single" w:sz="4" w:space="0" w:color="auto"/>
            </w:tcBorders>
            <w:shd w:val="clear" w:color="000000" w:fill="555759"/>
            <w:noWrap/>
            <w:vAlign w:val="bottom"/>
            <w:hideMark/>
          </w:tcPr>
          <w:p w14:paraId="528F67D2" w14:textId="77777777" w:rsidR="00AA6E02" w:rsidRPr="00AA6E02" w:rsidRDefault="00AA6E02" w:rsidP="003D36AB">
            <w:pPr>
              <w:keepNext/>
              <w:spacing w:line="240" w:lineRule="auto"/>
              <w:rPr>
                <w:rFonts w:cs="Arial"/>
                <w:color w:val="FFFFFF"/>
                <w:sz w:val="16"/>
                <w:szCs w:val="16"/>
              </w:rPr>
            </w:pPr>
            <w:r w:rsidRPr="00AA6E02">
              <w:rPr>
                <w:rFonts w:cs="Arial"/>
                <w:color w:val="FFFFFF"/>
                <w:sz w:val="16"/>
                <w:szCs w:val="16"/>
              </w:rPr>
              <w:t> </w:t>
            </w:r>
          </w:p>
        </w:tc>
        <w:tc>
          <w:tcPr>
            <w:tcW w:w="2440" w:type="dxa"/>
            <w:gridSpan w:val="2"/>
            <w:tcBorders>
              <w:top w:val="single" w:sz="4" w:space="0" w:color="auto"/>
              <w:left w:val="nil"/>
              <w:bottom w:val="nil"/>
              <w:right w:val="single" w:sz="4" w:space="0" w:color="000000"/>
            </w:tcBorders>
            <w:shd w:val="clear" w:color="000000" w:fill="555759"/>
            <w:noWrap/>
            <w:vAlign w:val="center"/>
            <w:hideMark/>
          </w:tcPr>
          <w:p w14:paraId="628EB1E3"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Intercept Dummy</w:t>
            </w:r>
          </w:p>
        </w:tc>
        <w:tc>
          <w:tcPr>
            <w:tcW w:w="2440" w:type="dxa"/>
            <w:gridSpan w:val="2"/>
            <w:tcBorders>
              <w:top w:val="single" w:sz="4" w:space="0" w:color="auto"/>
              <w:left w:val="nil"/>
              <w:bottom w:val="nil"/>
              <w:right w:val="single" w:sz="4" w:space="0" w:color="000000"/>
            </w:tcBorders>
            <w:shd w:val="clear" w:color="000000" w:fill="555759"/>
            <w:noWrap/>
            <w:vAlign w:val="center"/>
            <w:hideMark/>
          </w:tcPr>
          <w:p w14:paraId="174B4010"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Slope (Temperature) Dummy</w:t>
            </w:r>
          </w:p>
        </w:tc>
      </w:tr>
      <w:tr w:rsidR="00AA6E02" w:rsidRPr="00AA6E02" w14:paraId="5270C860" w14:textId="77777777" w:rsidTr="00AA6E02">
        <w:trPr>
          <w:trHeight w:val="200"/>
          <w:jc w:val="center"/>
        </w:trPr>
        <w:tc>
          <w:tcPr>
            <w:tcW w:w="1255" w:type="dxa"/>
            <w:tcBorders>
              <w:top w:val="nil"/>
              <w:left w:val="single" w:sz="4" w:space="0" w:color="auto"/>
              <w:bottom w:val="single" w:sz="4" w:space="0" w:color="auto"/>
              <w:right w:val="single" w:sz="4" w:space="0" w:color="auto"/>
            </w:tcBorders>
            <w:shd w:val="clear" w:color="000000" w:fill="555759"/>
            <w:noWrap/>
            <w:vAlign w:val="bottom"/>
            <w:hideMark/>
          </w:tcPr>
          <w:p w14:paraId="4634B6D4" w14:textId="77777777" w:rsidR="00AA6E02" w:rsidRPr="00AA6E02" w:rsidRDefault="00AA6E02" w:rsidP="003D36AB">
            <w:pPr>
              <w:keepNext/>
              <w:spacing w:line="240" w:lineRule="auto"/>
              <w:rPr>
                <w:rFonts w:cs="Arial"/>
                <w:color w:val="FFFFFF"/>
                <w:sz w:val="16"/>
                <w:szCs w:val="16"/>
              </w:rPr>
            </w:pPr>
            <w:r w:rsidRPr="00AA6E02">
              <w:rPr>
                <w:rFonts w:cs="Arial"/>
                <w:color w:val="FFFFFF"/>
                <w:sz w:val="16"/>
                <w:szCs w:val="16"/>
              </w:rPr>
              <w:t> </w:t>
            </w:r>
          </w:p>
        </w:tc>
        <w:tc>
          <w:tcPr>
            <w:tcW w:w="1272" w:type="dxa"/>
            <w:tcBorders>
              <w:top w:val="nil"/>
              <w:left w:val="nil"/>
              <w:bottom w:val="single" w:sz="4" w:space="0" w:color="auto"/>
              <w:right w:val="nil"/>
            </w:tcBorders>
            <w:shd w:val="clear" w:color="000000" w:fill="555759"/>
            <w:noWrap/>
            <w:vAlign w:val="center"/>
            <w:hideMark/>
          </w:tcPr>
          <w:p w14:paraId="6F56CC4A"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Estimate</w:t>
            </w:r>
          </w:p>
        </w:tc>
        <w:tc>
          <w:tcPr>
            <w:tcW w:w="1168" w:type="dxa"/>
            <w:tcBorders>
              <w:top w:val="nil"/>
              <w:left w:val="nil"/>
              <w:bottom w:val="single" w:sz="4" w:space="0" w:color="auto"/>
              <w:right w:val="single" w:sz="4" w:space="0" w:color="auto"/>
            </w:tcBorders>
            <w:shd w:val="clear" w:color="000000" w:fill="555759"/>
            <w:noWrap/>
            <w:vAlign w:val="center"/>
            <w:hideMark/>
          </w:tcPr>
          <w:p w14:paraId="6FE81496"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P-Value</w:t>
            </w:r>
          </w:p>
        </w:tc>
        <w:tc>
          <w:tcPr>
            <w:tcW w:w="1272" w:type="dxa"/>
            <w:tcBorders>
              <w:top w:val="nil"/>
              <w:left w:val="nil"/>
              <w:bottom w:val="single" w:sz="4" w:space="0" w:color="auto"/>
              <w:right w:val="nil"/>
            </w:tcBorders>
            <w:shd w:val="clear" w:color="000000" w:fill="555759"/>
            <w:noWrap/>
            <w:vAlign w:val="center"/>
            <w:hideMark/>
          </w:tcPr>
          <w:p w14:paraId="356AB94D"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Estimate</w:t>
            </w:r>
          </w:p>
        </w:tc>
        <w:tc>
          <w:tcPr>
            <w:tcW w:w="1168" w:type="dxa"/>
            <w:tcBorders>
              <w:top w:val="nil"/>
              <w:left w:val="nil"/>
              <w:bottom w:val="single" w:sz="4" w:space="0" w:color="auto"/>
              <w:right w:val="single" w:sz="4" w:space="0" w:color="auto"/>
            </w:tcBorders>
            <w:shd w:val="clear" w:color="000000" w:fill="555759"/>
            <w:noWrap/>
            <w:vAlign w:val="center"/>
            <w:hideMark/>
          </w:tcPr>
          <w:p w14:paraId="5A538DB9" w14:textId="77777777" w:rsidR="00AA6E02" w:rsidRPr="00AA6E02" w:rsidRDefault="00AA6E02" w:rsidP="003D36AB">
            <w:pPr>
              <w:keepNext/>
              <w:spacing w:line="240" w:lineRule="auto"/>
              <w:jc w:val="center"/>
              <w:rPr>
                <w:rFonts w:cs="Arial"/>
                <w:color w:val="FFFFFF"/>
                <w:sz w:val="16"/>
                <w:szCs w:val="16"/>
              </w:rPr>
            </w:pPr>
            <w:r w:rsidRPr="00AA6E02">
              <w:rPr>
                <w:rFonts w:cs="Arial"/>
                <w:color w:val="FFFFFF"/>
                <w:sz w:val="16"/>
                <w:szCs w:val="16"/>
              </w:rPr>
              <w:t>P-Value</w:t>
            </w:r>
          </w:p>
        </w:tc>
      </w:tr>
      <w:tr w:rsidR="00AA6E02" w:rsidRPr="00AA6E02" w14:paraId="61E3EDD9" w14:textId="77777777" w:rsidTr="00AA6E02">
        <w:trPr>
          <w:trHeight w:val="200"/>
          <w:jc w:val="center"/>
        </w:trPr>
        <w:tc>
          <w:tcPr>
            <w:tcW w:w="1255" w:type="dxa"/>
            <w:tcBorders>
              <w:top w:val="nil"/>
              <w:left w:val="single" w:sz="4" w:space="0" w:color="auto"/>
              <w:bottom w:val="nil"/>
              <w:right w:val="single" w:sz="4" w:space="0" w:color="auto"/>
            </w:tcBorders>
            <w:shd w:val="clear" w:color="000000" w:fill="FFFFFF"/>
            <w:noWrap/>
            <w:vAlign w:val="bottom"/>
            <w:hideMark/>
          </w:tcPr>
          <w:p w14:paraId="4BC3E05E" w14:textId="77777777" w:rsidR="00AA6E02" w:rsidRPr="00AA6E02" w:rsidRDefault="00AA6E02" w:rsidP="003D36AB">
            <w:pPr>
              <w:keepNext/>
              <w:spacing w:line="240" w:lineRule="auto"/>
              <w:rPr>
                <w:rFonts w:cs="Arial"/>
                <w:sz w:val="16"/>
                <w:szCs w:val="16"/>
              </w:rPr>
            </w:pPr>
            <w:r w:rsidRPr="00AA6E02">
              <w:rPr>
                <w:rFonts w:cs="Arial"/>
                <w:sz w:val="16"/>
                <w:szCs w:val="16"/>
              </w:rPr>
              <w:t>On-Peak</w:t>
            </w:r>
          </w:p>
        </w:tc>
        <w:tc>
          <w:tcPr>
            <w:tcW w:w="1272" w:type="dxa"/>
            <w:tcBorders>
              <w:top w:val="nil"/>
              <w:left w:val="nil"/>
              <w:bottom w:val="nil"/>
              <w:right w:val="single" w:sz="4" w:space="0" w:color="auto"/>
            </w:tcBorders>
            <w:shd w:val="clear" w:color="000000" w:fill="FFFFFF"/>
            <w:noWrap/>
            <w:vAlign w:val="center"/>
            <w:hideMark/>
          </w:tcPr>
          <w:p w14:paraId="348359A7"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-0.091</w:t>
            </w:r>
          </w:p>
        </w:tc>
        <w:tc>
          <w:tcPr>
            <w:tcW w:w="1168" w:type="dxa"/>
            <w:tcBorders>
              <w:top w:val="nil"/>
              <w:left w:val="nil"/>
              <w:bottom w:val="nil"/>
              <w:right w:val="single" w:sz="4" w:space="0" w:color="auto"/>
            </w:tcBorders>
            <w:shd w:val="clear" w:color="000000" w:fill="FFFFFF"/>
            <w:noWrap/>
            <w:vAlign w:val="center"/>
            <w:hideMark/>
          </w:tcPr>
          <w:p w14:paraId="2E133DE6"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0.194</w:t>
            </w:r>
          </w:p>
        </w:tc>
        <w:tc>
          <w:tcPr>
            <w:tcW w:w="1272" w:type="dxa"/>
            <w:tcBorders>
              <w:top w:val="nil"/>
              <w:left w:val="nil"/>
              <w:bottom w:val="nil"/>
              <w:right w:val="single" w:sz="4" w:space="0" w:color="auto"/>
            </w:tcBorders>
            <w:shd w:val="clear" w:color="000000" w:fill="FFFFFF"/>
            <w:noWrap/>
            <w:vAlign w:val="center"/>
            <w:hideMark/>
          </w:tcPr>
          <w:p w14:paraId="333A7F6A"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-0.002</w:t>
            </w:r>
          </w:p>
        </w:tc>
        <w:tc>
          <w:tcPr>
            <w:tcW w:w="1168" w:type="dxa"/>
            <w:tcBorders>
              <w:top w:val="nil"/>
              <w:left w:val="nil"/>
              <w:bottom w:val="nil"/>
              <w:right w:val="single" w:sz="4" w:space="0" w:color="auto"/>
            </w:tcBorders>
            <w:shd w:val="clear" w:color="000000" w:fill="FFFFFF"/>
            <w:noWrap/>
            <w:vAlign w:val="center"/>
            <w:hideMark/>
          </w:tcPr>
          <w:p w14:paraId="6636DDB2"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0.313</w:t>
            </w:r>
          </w:p>
        </w:tc>
      </w:tr>
      <w:tr w:rsidR="00AA6E02" w:rsidRPr="00AA6E02" w14:paraId="5A53857B" w14:textId="77777777" w:rsidTr="00AA6E02">
        <w:trPr>
          <w:trHeight w:val="200"/>
          <w:jc w:val="center"/>
        </w:trPr>
        <w:tc>
          <w:tcPr>
            <w:tcW w:w="1255" w:type="dxa"/>
            <w:tcBorders>
              <w:top w:val="nil"/>
              <w:left w:val="single" w:sz="4" w:space="0" w:color="auto"/>
              <w:bottom w:val="single" w:sz="4" w:space="0" w:color="auto"/>
              <w:right w:val="single" w:sz="4" w:space="0" w:color="auto"/>
            </w:tcBorders>
            <w:shd w:val="clear" w:color="000000" w:fill="FFFFFF"/>
            <w:noWrap/>
            <w:vAlign w:val="bottom"/>
            <w:hideMark/>
          </w:tcPr>
          <w:p w14:paraId="0028852A" w14:textId="77777777" w:rsidR="00AA6E02" w:rsidRPr="00AA6E02" w:rsidRDefault="00AA6E02" w:rsidP="003D36AB">
            <w:pPr>
              <w:keepNext/>
              <w:spacing w:line="240" w:lineRule="auto"/>
              <w:rPr>
                <w:rFonts w:cs="Arial"/>
                <w:sz w:val="16"/>
                <w:szCs w:val="16"/>
              </w:rPr>
            </w:pPr>
            <w:r w:rsidRPr="00AA6E02">
              <w:rPr>
                <w:rFonts w:cs="Arial"/>
                <w:sz w:val="16"/>
                <w:szCs w:val="16"/>
              </w:rPr>
              <w:t>Mid-Peak</w:t>
            </w:r>
          </w:p>
        </w:tc>
        <w:tc>
          <w:tcPr>
            <w:tcW w:w="1272" w:type="dxa"/>
            <w:tcBorders>
              <w:top w:val="nil"/>
              <w:left w:val="nil"/>
              <w:bottom w:val="single" w:sz="4" w:space="0" w:color="auto"/>
              <w:right w:val="single" w:sz="4" w:space="0" w:color="auto"/>
            </w:tcBorders>
            <w:shd w:val="clear" w:color="000000" w:fill="FFFFFF"/>
            <w:noWrap/>
            <w:vAlign w:val="center"/>
            <w:hideMark/>
          </w:tcPr>
          <w:p w14:paraId="2D893BE1"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-0.001</w:t>
            </w:r>
          </w:p>
        </w:tc>
        <w:tc>
          <w:tcPr>
            <w:tcW w:w="1168" w:type="dxa"/>
            <w:tcBorders>
              <w:top w:val="nil"/>
              <w:left w:val="nil"/>
              <w:bottom w:val="single" w:sz="4" w:space="0" w:color="auto"/>
              <w:right w:val="single" w:sz="4" w:space="0" w:color="auto"/>
            </w:tcBorders>
            <w:shd w:val="clear" w:color="000000" w:fill="FFFFFF"/>
            <w:noWrap/>
            <w:vAlign w:val="center"/>
            <w:hideMark/>
          </w:tcPr>
          <w:p w14:paraId="04CAF33F"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0.991</w:t>
            </w:r>
          </w:p>
        </w:tc>
        <w:tc>
          <w:tcPr>
            <w:tcW w:w="1272" w:type="dxa"/>
            <w:tcBorders>
              <w:top w:val="nil"/>
              <w:left w:val="nil"/>
              <w:bottom w:val="single" w:sz="4" w:space="0" w:color="auto"/>
              <w:right w:val="single" w:sz="4" w:space="0" w:color="auto"/>
            </w:tcBorders>
            <w:shd w:val="clear" w:color="000000" w:fill="FFFFFF"/>
            <w:noWrap/>
            <w:vAlign w:val="center"/>
            <w:hideMark/>
          </w:tcPr>
          <w:p w14:paraId="78E264D7"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-0.001</w:t>
            </w:r>
          </w:p>
        </w:tc>
        <w:tc>
          <w:tcPr>
            <w:tcW w:w="1168" w:type="dxa"/>
            <w:tcBorders>
              <w:top w:val="nil"/>
              <w:left w:val="nil"/>
              <w:bottom w:val="single" w:sz="4" w:space="0" w:color="auto"/>
              <w:right w:val="single" w:sz="4" w:space="0" w:color="auto"/>
            </w:tcBorders>
            <w:shd w:val="clear" w:color="000000" w:fill="FFFFFF"/>
            <w:noWrap/>
            <w:vAlign w:val="center"/>
            <w:hideMark/>
          </w:tcPr>
          <w:p w14:paraId="20438BB6" w14:textId="77777777" w:rsidR="00AA6E02" w:rsidRPr="00AA6E02" w:rsidRDefault="00AA6E02" w:rsidP="003D36AB">
            <w:pPr>
              <w:keepNext/>
              <w:spacing w:line="240" w:lineRule="auto"/>
              <w:jc w:val="center"/>
              <w:rPr>
                <w:rFonts w:cs="Arial"/>
                <w:sz w:val="16"/>
                <w:szCs w:val="16"/>
              </w:rPr>
            </w:pPr>
            <w:r w:rsidRPr="00AA6E02">
              <w:rPr>
                <w:rFonts w:cs="Arial"/>
                <w:sz w:val="16"/>
                <w:szCs w:val="16"/>
              </w:rPr>
              <w:t>0.543</w:t>
            </w:r>
          </w:p>
        </w:tc>
      </w:tr>
    </w:tbl>
    <w:p w14:paraId="21D1D5E2" w14:textId="1C5A28D5" w:rsidR="00AA6E02" w:rsidRDefault="00AA6E02" w:rsidP="00500D7A"/>
    <w:p w14:paraId="49DD4101" w14:textId="47A17907" w:rsidR="003D36AB" w:rsidRDefault="003D36AB" w:rsidP="00500D7A">
      <w:r>
        <w:t>This contrast between the RT-only and CPP participants’ estimated impact parameters suggests that while the majority of CPP participants’ savings are driven by adjustments in space-cooling, the same is not the case for the RT-only participants. A potential driver of this difference</w:t>
      </w:r>
      <w:r w:rsidR="00617449">
        <w:t xml:space="preserve"> may be the combination of the price effect</w:t>
      </w:r>
      <w:r w:rsidR="00AC4E21">
        <w:t>s</w:t>
      </w:r>
      <w:r w:rsidR="00617449">
        <w:t xml:space="preserve"> faced by CPP participants, and their expectations regarding CPP event scheduling. The CPP participants know, from the program education provided to them by London Hydro, that CPP event scheduling is driven by system need, and that system needs tend to be greatest on very hot days.</w:t>
      </w:r>
    </w:p>
    <w:p w14:paraId="59CBC6F1" w14:textId="4F198BEE" w:rsidR="00617449" w:rsidRDefault="00617449" w:rsidP="00500D7A"/>
    <w:p w14:paraId="12CF73CE" w14:textId="77777777" w:rsidR="00617449" w:rsidRDefault="00617449" w:rsidP="00500D7A">
      <w:r>
        <w:t>The appropriate response then, for the CPP participants, is to focus changes in behaviour in reducing consumption in periods when temperature is highest. The simplest method of doing this is to reduce A/C consumption.</w:t>
      </w:r>
    </w:p>
    <w:p w14:paraId="2ED79516" w14:textId="77777777" w:rsidR="00617449" w:rsidRDefault="00617449" w:rsidP="00500D7A"/>
    <w:p w14:paraId="12443094" w14:textId="02582125" w:rsidR="00A94D01" w:rsidRDefault="00617449" w:rsidP="00500D7A">
      <w:r>
        <w:t xml:space="preserve">RT-only customers face a different set of incentives. Where CPP participants’ expected unit cost for electricity is correlated with temperature, RT-only participants’ expected unit cost is not. Regardless of the temperature, RT-only participants pay the same unit cost in the On-Peak period across the whole summer. </w:t>
      </w:r>
      <w:r w:rsidR="00A94D01">
        <w:t>T</w:t>
      </w:r>
      <w:r>
        <w:t>he benefit to an RT-only participant in reducing consumption during the On-Peak in October is the same as reducing consumption during the On-Peak of the hottest day of the summer</w:t>
      </w:r>
      <w:r w:rsidR="00A94D01">
        <w:t>. The “cost” (in terms of the personal discomfort of a house that’s too warm) is not</w:t>
      </w:r>
      <w:r w:rsidR="00FA3E84">
        <w:t xml:space="preserve"> the same, however. </w:t>
      </w:r>
    </w:p>
    <w:p w14:paraId="5570A547" w14:textId="77777777" w:rsidR="00A94D01" w:rsidRDefault="00A94D01" w:rsidP="00500D7A"/>
    <w:p w14:paraId="2219F9F0" w14:textId="213BFFDA" w:rsidR="00617449" w:rsidRDefault="00A94D01" w:rsidP="00500D7A">
      <w:r>
        <w:t>It is therefore intuitive that RT-only participants would focus more o</w:t>
      </w:r>
      <w:r w:rsidR="00FA3E84">
        <w:t>f their energy conservation efforts on end-uses that are not weather sensitive, as appears to be the case, based on the estimated parameter values.</w:t>
      </w:r>
    </w:p>
    <w:p w14:paraId="15D30306" w14:textId="3C58F812" w:rsidR="0018088E" w:rsidRDefault="0018088E" w:rsidP="00500D7A"/>
    <w:p w14:paraId="3C31AD25" w14:textId="1BFFE50E" w:rsidR="0018088E" w:rsidRDefault="0014062A" w:rsidP="00500D7A">
      <w:r>
        <w:t>Based on all the estimated model parameters, RT-only participants</w:t>
      </w:r>
      <w:r w:rsidR="00814911">
        <w:t>’</w:t>
      </w:r>
      <w:r>
        <w:t xml:space="preserve"> </w:t>
      </w:r>
      <w:r w:rsidR="00814911">
        <w:t xml:space="preserve">consumption over the entire summer of 2018 </w:t>
      </w:r>
      <w:r>
        <w:rPr>
          <w:i/>
        </w:rPr>
        <w:t>increased</w:t>
      </w:r>
      <w:r>
        <w:t xml:space="preserve"> by a statistically non-significant 10 kWh</w:t>
      </w:r>
      <w:r w:rsidR="00814911">
        <w:t>, or about 0.2%</w:t>
      </w:r>
      <w:r>
        <w:t>.</w:t>
      </w:r>
      <w:r>
        <w:rPr>
          <w:rStyle w:val="FootnoteReference"/>
        </w:rPr>
        <w:footnoteReference w:id="28"/>
      </w:r>
      <w:r>
        <w:t xml:space="preserve"> This result is likely a result of noise in the non-On-Peak periods distorting the result. If only the On-Peak savings are considered (and consumption in all other periods is assumed to not have changed</w:t>
      </w:r>
      <w:r w:rsidR="00814911">
        <w:t xml:space="preserve"> as a result of the program</w:t>
      </w:r>
      <w:r>
        <w:t>), then</w:t>
      </w:r>
      <w:r w:rsidR="00814911">
        <w:t xml:space="preserve"> overall summer savings would be approximately 20 kWh, or about 0.2%.</w:t>
      </w:r>
    </w:p>
    <w:p w14:paraId="43031C48" w14:textId="141F4670" w:rsidR="00355DC7" w:rsidRDefault="00355DC7" w:rsidP="00500D7A"/>
    <w:p w14:paraId="7D3263CA" w14:textId="06983213" w:rsidR="00355DC7" w:rsidRDefault="00355DC7" w:rsidP="00355DC7">
      <w:r>
        <w:t xml:space="preserve">When the model was re-estimated using the system coincident peak demand data set (i.e., a daily frequency data set where the dependent variable is the total daily consumption between 1pm and 6pm on non-holiday weekdays in June, July, and August), Navigant estimated a statistically non-significant average reduction in energy consumption of 0.21 kWh, or approximately 2.4% of baseline consumption in that period. The average estimated demand impact in this period is 0.036 kW. Although the estimated impact is statistically non-significant, the p-value of 0.1047 indicates that it is just </w:t>
      </w:r>
      <w:r w:rsidRPr="00413291">
        <w:rPr>
          <w:i/>
        </w:rPr>
        <w:t>barely</w:t>
      </w:r>
      <w:r>
        <w:t xml:space="preserve"> </w:t>
      </w:r>
      <w:r w:rsidR="00EC502E">
        <w:t>statistically insignificant, consistent with the findings reported above for the On-Peak period.</w:t>
      </w:r>
    </w:p>
    <w:p w14:paraId="5745DB03" w14:textId="4D7AB59F" w:rsidR="00500D7A" w:rsidRDefault="00500D7A" w:rsidP="00500D7A">
      <w:pPr>
        <w:pStyle w:val="Heading2"/>
      </w:pPr>
      <w:bookmarkStart w:id="88" w:name="_Ref1123750"/>
      <w:bookmarkStart w:id="89" w:name="_Toc8393591"/>
      <w:r>
        <w:t>Critical Peak Event Demand Impacts</w:t>
      </w:r>
      <w:bookmarkEnd w:id="88"/>
      <w:bookmarkEnd w:id="89"/>
    </w:p>
    <w:p w14:paraId="3C7E08B4" w14:textId="77777777" w:rsidR="00672649" w:rsidRDefault="00672649" w:rsidP="00500D7A">
      <w:r>
        <w:t>Navigant’s key findings include:</w:t>
      </w:r>
    </w:p>
    <w:p w14:paraId="0C9AA9CC" w14:textId="77777777" w:rsidR="0028325A" w:rsidRDefault="0028325A" w:rsidP="0028325A">
      <w:pPr>
        <w:pStyle w:val="ListParagraph"/>
        <w:numPr>
          <w:ilvl w:val="0"/>
          <w:numId w:val="29"/>
        </w:numPr>
      </w:pPr>
      <w:r>
        <w:rPr>
          <w:b/>
        </w:rPr>
        <w:lastRenderedPageBreak/>
        <w:t xml:space="preserve">CPP event demand reductions were substantial. </w:t>
      </w:r>
      <w:r>
        <w:t>On average, CPP participants delivered 0.67 kW of demand reductions (approximately a third of baseline demand) during CPP events and delivered 1 kW of reductions per participant during the hottest event, on July 4</w:t>
      </w:r>
      <w:r w:rsidRPr="00130CA6">
        <w:rPr>
          <w:vertAlign w:val="superscript"/>
        </w:rPr>
        <w:t>th</w:t>
      </w:r>
      <w:r>
        <w:t>.</w:t>
      </w:r>
    </w:p>
    <w:p w14:paraId="2470AC89" w14:textId="7ED1CDD4" w:rsidR="0028325A" w:rsidRDefault="0028325A" w:rsidP="0028325A">
      <w:pPr>
        <w:pStyle w:val="ListParagraph"/>
        <w:numPr>
          <w:ilvl w:val="0"/>
          <w:numId w:val="29"/>
        </w:numPr>
      </w:pPr>
      <w:r>
        <w:rPr>
          <w:b/>
        </w:rPr>
        <w:t xml:space="preserve">There is a behavioural element to CPP event impacts. </w:t>
      </w:r>
      <w:r>
        <w:t>CPP participants are equipped with enabling technologies (a switch at the panel, and one smart plug) that respond automatically to London Hydro’s price signal. Even though participants receive  15 minutes’ notification of an event, there are clear behavioural elements to their response over and above the automated response delivered by the switches and smart plu</w:t>
      </w:r>
      <w:r w:rsidR="00D7327F">
        <w:t>g</w:t>
      </w:r>
      <w:r>
        <w:t>s.</w:t>
      </w:r>
    </w:p>
    <w:p w14:paraId="1197CACE" w14:textId="77777777" w:rsidR="0028325A" w:rsidRDefault="0028325A" w:rsidP="0028325A">
      <w:pPr>
        <w:pStyle w:val="ListParagraph"/>
        <w:numPr>
          <w:ilvl w:val="1"/>
          <w:numId w:val="29"/>
        </w:numPr>
      </w:pPr>
      <w:r>
        <w:rPr>
          <w:i/>
        </w:rPr>
        <w:t xml:space="preserve">Participants reduced consumption during hours in which CPP events were likely to occur. </w:t>
      </w:r>
      <w:r>
        <w:t xml:space="preserve"> CPP participants reduce their exposure to the CPP rate by making changes to their consumption habits in anticipation of CPP events – substantial savings are achieved in hours of the CPP event day leading up to the CPP event, despite participants not having any knowledge of when the event will occur until 15 minutes before it does. </w:t>
      </w:r>
    </w:p>
    <w:p w14:paraId="65E11C1D" w14:textId="34FDFA2F" w:rsidR="00DB0B6F" w:rsidRDefault="00DB0B6F" w:rsidP="00DB0B6F">
      <w:pPr>
        <w:pStyle w:val="ListParagraph"/>
        <w:numPr>
          <w:ilvl w:val="1"/>
          <w:numId w:val="29"/>
        </w:numPr>
      </w:pPr>
      <w:r w:rsidRPr="00515B53">
        <w:rPr>
          <w:i/>
        </w:rPr>
        <w:t>Disconnected participants still delivered demand response.</w:t>
      </w:r>
      <w:r>
        <w:t xml:space="preserve"> For any given event, approximately 20% of participants’ devices could not receive, or respond to, London Hydro’s curtailment signal. These participants were still able to, on average</w:t>
      </w:r>
      <w:bookmarkStart w:id="90" w:name="_GoBack"/>
      <w:r>
        <w:t xml:space="preserve">, with only 15 minutes’ notice, to reduce </w:t>
      </w:r>
      <w:bookmarkEnd w:id="90"/>
      <w:r>
        <w:t>demand by 0.2 kW each without the program-deployed enabling technologies.</w:t>
      </w:r>
      <w:r w:rsidR="00012FBE">
        <w:rPr>
          <w:rStyle w:val="FootnoteReference"/>
        </w:rPr>
        <w:footnoteReference w:id="29"/>
      </w:r>
    </w:p>
    <w:p w14:paraId="074BFBCF" w14:textId="37BD4C32" w:rsidR="0028325A" w:rsidRDefault="00DB0B6F" w:rsidP="00DB0B6F">
      <w:pPr>
        <w:pStyle w:val="ListParagraph"/>
        <w:ind w:left="1440"/>
      </w:pPr>
      <w:r>
        <w:t>Some additional context may be helpful in understanding how remarkable this is: an evaluation of San Diego Gas and Electric’s voluntary CPP rate</w:t>
      </w:r>
      <w:r>
        <w:rPr>
          <w:rStyle w:val="FootnoteReference"/>
        </w:rPr>
        <w:footnoteReference w:id="30"/>
      </w:r>
      <w:r>
        <w:t xml:space="preserve"> (notification provided no later than 3pm on the day </w:t>
      </w:r>
      <w:r w:rsidRPr="000B085B">
        <w:rPr>
          <w:i/>
        </w:rPr>
        <w:t>prior</w:t>
      </w:r>
      <w:r>
        <w:t xml:space="preserve"> to the event) found the average response (at an average temperature of 99 degrees Fahrenheit, or approximately </w:t>
      </w:r>
      <w:r>
        <w:rPr>
          <w:i/>
        </w:rPr>
        <w:t>37</w:t>
      </w:r>
      <w:r>
        <w:t xml:space="preserve"> degrees Celsius) was only 0.14 kW.</w:t>
      </w:r>
    </w:p>
    <w:p w14:paraId="0907E5CE" w14:textId="77777777" w:rsidR="0028325A" w:rsidRDefault="0028325A" w:rsidP="0028325A">
      <w:pPr>
        <w:pStyle w:val="ListParagraph"/>
        <w:numPr>
          <w:ilvl w:val="0"/>
          <w:numId w:val="29"/>
        </w:numPr>
      </w:pPr>
      <w:r w:rsidRPr="00045E94">
        <w:rPr>
          <w:b/>
        </w:rPr>
        <w:t xml:space="preserve">Demand reductions appear to be largely, but not overwhelmingly, driven by changes in space-cooling. </w:t>
      </w:r>
      <w:r>
        <w:t>An examination of the estimated relationships between impacts and temperature is strongly suggestive of the fact that approximately a third of the average CPP event impact (approximately 0.2 to 0.3 kW) is driven by an end-use, or end-uses, other than space-cooling.</w:t>
      </w:r>
    </w:p>
    <w:p w14:paraId="0F07CCC2" w14:textId="77777777" w:rsidR="0028325A" w:rsidRDefault="0028325A" w:rsidP="0028325A">
      <w:pPr>
        <w:pStyle w:val="ListParagraph"/>
        <w:numPr>
          <w:ilvl w:val="0"/>
          <w:numId w:val="29"/>
        </w:numPr>
      </w:pPr>
      <w:r w:rsidRPr="0002697C">
        <w:rPr>
          <w:b/>
        </w:rPr>
        <w:t>Real-time information on consumption did not affect demand reductions.</w:t>
      </w:r>
      <w:r>
        <w:t xml:space="preserve"> The impacts of the CPP and CPP/RT group were not statistically significantly different from one another – the availability of the online portal and energy tracking app did not impact participants’ ability to deliver demand reductions</w:t>
      </w:r>
    </w:p>
    <w:p w14:paraId="743BCCF6" w14:textId="04E5A9D1" w:rsidR="00194F48" w:rsidRDefault="00194F48" w:rsidP="00500D7A"/>
    <w:p w14:paraId="79B05F4F" w14:textId="62F85495" w:rsidR="00194F48" w:rsidRDefault="00A816FA" w:rsidP="00500D7A">
      <w:r>
        <w:t xml:space="preserve">The remainder of this section of Chapter </w:t>
      </w:r>
      <w:r>
        <w:fldChar w:fldCharType="begin"/>
      </w:r>
      <w:r>
        <w:instrText xml:space="preserve"> REF _Ref965604 \w \h </w:instrText>
      </w:r>
      <w:r>
        <w:fldChar w:fldCharType="separate"/>
      </w:r>
      <w:r w:rsidR="00413291">
        <w:t>4</w:t>
      </w:r>
      <w:r>
        <w:fldChar w:fldCharType="end"/>
      </w:r>
      <w:r>
        <w:t xml:space="preserve"> is divided into three sub-sections:</w:t>
      </w:r>
    </w:p>
    <w:p w14:paraId="7A299A03" w14:textId="2DEEBE67" w:rsidR="00A816FA" w:rsidRPr="00A816FA" w:rsidRDefault="00A816FA" w:rsidP="00A816FA">
      <w:pPr>
        <w:pStyle w:val="ListParagraph"/>
        <w:numPr>
          <w:ilvl w:val="0"/>
          <w:numId w:val="26"/>
        </w:numPr>
        <w:rPr>
          <w:b/>
        </w:rPr>
      </w:pPr>
      <w:r w:rsidRPr="00A816FA">
        <w:rPr>
          <w:b/>
        </w:rPr>
        <w:fldChar w:fldCharType="begin"/>
      </w:r>
      <w:r w:rsidRPr="00A816FA">
        <w:rPr>
          <w:b/>
        </w:rPr>
        <w:instrText xml:space="preserve"> REF _Ref1462764 \h  \* MERGEFORMAT </w:instrText>
      </w:r>
      <w:r w:rsidRPr="00A816FA">
        <w:rPr>
          <w:b/>
        </w:rPr>
      </w:r>
      <w:r w:rsidRPr="00A816FA">
        <w:rPr>
          <w:b/>
        </w:rPr>
        <w:fldChar w:fldCharType="separate"/>
      </w:r>
      <w:r w:rsidR="00413291" w:rsidRPr="00413291">
        <w:rPr>
          <w:b/>
        </w:rPr>
        <w:t>Summer 2018 Average Impacts (Ex-Post)</w:t>
      </w:r>
      <w:r w:rsidRPr="00A816FA">
        <w:rPr>
          <w:b/>
        </w:rPr>
        <w:fldChar w:fldCharType="end"/>
      </w:r>
      <w:r w:rsidRPr="00A816FA">
        <w:rPr>
          <w:b/>
        </w:rPr>
        <w:t>.</w:t>
      </w:r>
      <w:r>
        <w:rPr>
          <w:b/>
        </w:rPr>
        <w:t xml:space="preserve"> </w:t>
      </w:r>
      <w:r>
        <w:t>This sub-section provides the estimated impacts by event for all participants</w:t>
      </w:r>
      <w:r w:rsidR="008F3579">
        <w:t>,</w:t>
      </w:r>
      <w:r>
        <w:t xml:space="preserve"> on average. This sub-section provides both the “total”</w:t>
      </w:r>
      <w:r w:rsidR="008F3579">
        <w:t xml:space="preserve"> program</w:t>
      </w:r>
      <w:r>
        <w:t xml:space="preserve"> impacts</w:t>
      </w:r>
      <w:r w:rsidR="008F3579">
        <w:t xml:space="preserve"> (the impact compared to if there had been no program at all)</w:t>
      </w:r>
      <w:r>
        <w:t>, and the “</w:t>
      </w:r>
      <w:r w:rsidR="004724A0">
        <w:t xml:space="preserve">DR </w:t>
      </w:r>
      <w:r>
        <w:t>only” impacts</w:t>
      </w:r>
      <w:r w:rsidR="008F3579">
        <w:t xml:space="preserve"> (the impact compared to if the program was in place but on the given day there had been no CPP event)</w:t>
      </w:r>
      <w:r>
        <w:t>.</w:t>
      </w:r>
      <w:r w:rsidRPr="00A816FA">
        <w:rPr>
          <w:b/>
        </w:rPr>
        <w:t xml:space="preserve"> </w:t>
      </w:r>
    </w:p>
    <w:p w14:paraId="05B5C4D6" w14:textId="5D06619F" w:rsidR="00A816FA" w:rsidRPr="00A816FA" w:rsidRDefault="00A816FA" w:rsidP="00A816FA">
      <w:pPr>
        <w:pStyle w:val="ListParagraph"/>
        <w:numPr>
          <w:ilvl w:val="0"/>
          <w:numId w:val="26"/>
        </w:numPr>
        <w:rPr>
          <w:b/>
        </w:rPr>
      </w:pPr>
      <w:r w:rsidRPr="00A816FA">
        <w:rPr>
          <w:b/>
        </w:rPr>
        <w:lastRenderedPageBreak/>
        <w:fldChar w:fldCharType="begin"/>
      </w:r>
      <w:r w:rsidRPr="00A816FA">
        <w:rPr>
          <w:b/>
        </w:rPr>
        <w:instrText xml:space="preserve"> REF _Ref1462770 \h  \* MERGEFORMAT </w:instrText>
      </w:r>
      <w:r w:rsidRPr="00A816FA">
        <w:rPr>
          <w:b/>
        </w:rPr>
      </w:r>
      <w:r w:rsidRPr="00A816FA">
        <w:rPr>
          <w:b/>
        </w:rPr>
        <w:fldChar w:fldCharType="separate"/>
      </w:r>
      <w:r w:rsidR="00413291" w:rsidRPr="00413291">
        <w:rPr>
          <w:b/>
        </w:rPr>
        <w:t>Summer 2018 Average Impacts (Ex-Post) by Connectivity Status</w:t>
      </w:r>
      <w:r w:rsidRPr="00A816FA">
        <w:rPr>
          <w:b/>
        </w:rPr>
        <w:fldChar w:fldCharType="end"/>
      </w:r>
      <w:r>
        <w:rPr>
          <w:b/>
        </w:rPr>
        <w:t xml:space="preserve">. </w:t>
      </w:r>
      <w:r>
        <w:t>This sub-section provides the estimated total impact of participants during CPP events, split by whether or not the participant was connected to London Hydro’s direct load control dispatch system at the time of the event.</w:t>
      </w:r>
    </w:p>
    <w:p w14:paraId="7A1C6BEB" w14:textId="75437820" w:rsidR="00A816FA" w:rsidRPr="00A816FA" w:rsidRDefault="00A816FA" w:rsidP="00A816FA">
      <w:pPr>
        <w:pStyle w:val="ListParagraph"/>
        <w:numPr>
          <w:ilvl w:val="0"/>
          <w:numId w:val="26"/>
        </w:numPr>
      </w:pPr>
      <w:r w:rsidRPr="00A816FA">
        <w:rPr>
          <w:b/>
        </w:rPr>
        <w:fldChar w:fldCharType="begin"/>
      </w:r>
      <w:r w:rsidRPr="00A816FA">
        <w:rPr>
          <w:b/>
        </w:rPr>
        <w:instrText xml:space="preserve"> REF _Ref1462771 \h  \* MERGEFORMAT </w:instrText>
      </w:r>
      <w:r w:rsidRPr="00A816FA">
        <w:rPr>
          <w:b/>
        </w:rPr>
      </w:r>
      <w:r w:rsidRPr="00A816FA">
        <w:rPr>
          <w:b/>
        </w:rPr>
        <w:fldChar w:fldCharType="separate"/>
      </w:r>
      <w:r w:rsidR="00413291" w:rsidRPr="00413291">
        <w:rPr>
          <w:b/>
        </w:rPr>
        <w:t>Summer Capability Estimates (Ex-Ante)</w:t>
      </w:r>
      <w:r w:rsidRPr="00A816FA">
        <w:rPr>
          <w:b/>
        </w:rPr>
        <w:fldChar w:fldCharType="end"/>
      </w:r>
      <w:r w:rsidRPr="00A816FA">
        <w:rPr>
          <w:b/>
        </w:rPr>
        <w:t>.</w:t>
      </w:r>
      <w:r w:rsidRPr="00A816FA">
        <w:t xml:space="preserve"> This sub-section</w:t>
      </w:r>
      <w:r>
        <w:t xml:space="preserve"> provides a graphic illustration of the ex-ante program impacts, by connectivity status, across a range of potential outdoor temperatures. Ex-ante impacts are Navigant’s estimate of the program’s capability for delivering demand response under a range of different temperature conditions.</w:t>
      </w:r>
    </w:p>
    <w:p w14:paraId="3811CED9" w14:textId="7634B301" w:rsidR="00500D7A" w:rsidRDefault="00500D7A" w:rsidP="00194F48">
      <w:pPr>
        <w:pStyle w:val="Heading3"/>
      </w:pPr>
      <w:bookmarkStart w:id="91" w:name="_Ref1462764"/>
      <w:bookmarkStart w:id="92" w:name="_Toc8393592"/>
      <w:r>
        <w:t xml:space="preserve">Summer 2018 </w:t>
      </w:r>
      <w:r w:rsidR="00194F48">
        <w:t xml:space="preserve">Average </w:t>
      </w:r>
      <w:r>
        <w:t>Impacts (Ex-Post)</w:t>
      </w:r>
      <w:bookmarkEnd w:id="91"/>
      <w:bookmarkEnd w:id="92"/>
    </w:p>
    <w:p w14:paraId="32FEF34A" w14:textId="240630EE" w:rsidR="00A816FA" w:rsidRDefault="00A816FA" w:rsidP="00A816FA">
      <w:r>
        <w:t>CPP event impacts are a combination of two distinct types of impact. There is an energy impact</w:t>
      </w:r>
      <w:r w:rsidR="001254CB">
        <w:t xml:space="preserve"> that is driven by participants anticipating the possibility of a CPP event</w:t>
      </w:r>
      <w:r>
        <w:t xml:space="preserve"> and </w:t>
      </w:r>
      <w:r w:rsidR="001254CB">
        <w:t xml:space="preserve">there is </w:t>
      </w:r>
      <w:r>
        <w:t>a demand response impact</w:t>
      </w:r>
      <w:r w:rsidR="001254CB">
        <w:t xml:space="preserve"> that is driven by the actual occurrence of a CPP event</w:t>
      </w:r>
      <w:r w:rsidRPr="00A816FA">
        <w:rPr>
          <w:b/>
        </w:rPr>
        <w:t>.</w:t>
      </w:r>
      <w:r>
        <w:t xml:space="preserve"> As noted above, CPP customers are achieving consumption (and thus demand) savings across the summer as a whole. This program effect (the energy impact) is one component of the estimated CPP event impact. There is also an incremental demand impact achieved specifically due to, on the given day, London Hydro dispatching a critical peak pricing event.</w:t>
      </w:r>
    </w:p>
    <w:p w14:paraId="20B44CEB" w14:textId="62CCABE7" w:rsidR="00A816FA" w:rsidRDefault="00A816FA" w:rsidP="00A816FA"/>
    <w:p w14:paraId="29CB4B79" w14:textId="77777777" w:rsidR="00A816FA" w:rsidRDefault="00A816FA" w:rsidP="00A816FA">
      <w:r>
        <w:t>Program impacts in this section are therefore presented in two ways:</w:t>
      </w:r>
    </w:p>
    <w:p w14:paraId="60EBA657" w14:textId="6988880A" w:rsidR="00A816FA" w:rsidRDefault="00A816FA" w:rsidP="00A816FA">
      <w:pPr>
        <w:pStyle w:val="ListParagraph"/>
        <w:numPr>
          <w:ilvl w:val="0"/>
          <w:numId w:val="26"/>
        </w:numPr>
      </w:pPr>
      <w:r w:rsidRPr="00A816FA">
        <w:rPr>
          <w:b/>
        </w:rPr>
        <w:t>Total Program Impact</w:t>
      </w:r>
      <w:r>
        <w:t xml:space="preserve"> is the estimated impact of the program as a whole</w:t>
      </w:r>
      <w:r w:rsidR="001254CB">
        <w:t xml:space="preserve"> at the time of the CPP event</w:t>
      </w:r>
      <w:r>
        <w:t>. This combines both energy and DR impacts, and provides the overall demand reduction achieved in the CPP period by the program. In this case the counterfactual (baseline) is participants’ consumption, had there been no program at all.</w:t>
      </w:r>
    </w:p>
    <w:p w14:paraId="56E6517D" w14:textId="13ADF84D" w:rsidR="00A816FA" w:rsidRDefault="00A816FA" w:rsidP="00A816FA">
      <w:pPr>
        <w:pStyle w:val="ListParagraph"/>
        <w:numPr>
          <w:ilvl w:val="0"/>
          <w:numId w:val="26"/>
        </w:numPr>
      </w:pPr>
      <w:r>
        <w:rPr>
          <w:b/>
        </w:rPr>
        <w:t xml:space="preserve">Demand Response Impact </w:t>
      </w:r>
      <w:r>
        <w:t>is the estimated incremental impact of just the DR component. In this case the counterfactual (baseline) is participants’ consumption, assuming the existence of the program, but no CPP event on the day in question.</w:t>
      </w:r>
    </w:p>
    <w:p w14:paraId="141B6C4E" w14:textId="04F71802" w:rsidR="00A816FA" w:rsidRDefault="00A816FA" w:rsidP="00A816FA"/>
    <w:p w14:paraId="1C390BC8" w14:textId="17475C34" w:rsidR="00A816FA" w:rsidRDefault="00A816FA" w:rsidP="00A816FA">
      <w:r>
        <w:t xml:space="preserve">Although the DR-only results are presented below, some caution should be used in interpreting these results. The variables used to estimate the two different types of program effects are, inevitably, quite correlated – there is no CPP event that is affected </w:t>
      </w:r>
      <w:r>
        <w:rPr>
          <w:i/>
        </w:rPr>
        <w:t>only</w:t>
      </w:r>
      <w:r>
        <w:t xml:space="preserve"> by the DR impact. This makes isolating this effect </w:t>
      </w:r>
      <w:r w:rsidR="00C54AEC">
        <w:t>challenging</w:t>
      </w:r>
      <w:r>
        <w:t>, and may mean some of the parameters associated with the DR only impact may be biased and inappropriate for out-of-sample projection.</w:t>
      </w:r>
      <w:r w:rsidR="00C54AEC">
        <w:rPr>
          <w:rStyle w:val="FootnoteReference"/>
        </w:rPr>
        <w:footnoteReference w:id="31"/>
      </w:r>
    </w:p>
    <w:p w14:paraId="20DA62A6" w14:textId="77777777" w:rsidR="00A816FA" w:rsidRDefault="00A816FA" w:rsidP="00A816FA"/>
    <w:p w14:paraId="1098AD80" w14:textId="77777777" w:rsidR="00A816FA" w:rsidRDefault="00A816FA" w:rsidP="00A816FA">
      <w:r>
        <w:t>For this reason, and due to the fact that they capture the entire program impact, the main results reported by Navigant in its outputs to the Ontario Energy Board, and in the summaries of results presented above are the total program results.</w:t>
      </w:r>
    </w:p>
    <w:p w14:paraId="41768572" w14:textId="77777777" w:rsidR="00A816FA" w:rsidRDefault="00A816FA" w:rsidP="00A816FA"/>
    <w:p w14:paraId="1660C205" w14:textId="1F2D0C7F" w:rsidR="00A816FA" w:rsidRDefault="00D54214" w:rsidP="00A816FA">
      <w:r>
        <w:t>Total ex-post average impacts ranged from 0.4 (+/- 0.07)</w:t>
      </w:r>
      <w:r w:rsidR="00A816FA">
        <w:t xml:space="preserve"> </w:t>
      </w:r>
      <w:r>
        <w:t>kW on September 6</w:t>
      </w:r>
      <w:r w:rsidRPr="00D54214">
        <w:rPr>
          <w:vertAlign w:val="superscript"/>
        </w:rPr>
        <w:t>th</w:t>
      </w:r>
      <w:r>
        <w:t xml:space="preserve">, to </w:t>
      </w:r>
      <w:r w:rsidR="00686935">
        <w:t>as much as 1 kW (+/- 0.09 kW) on July 4</w:t>
      </w:r>
      <w:r w:rsidR="00686935" w:rsidRPr="00686935">
        <w:rPr>
          <w:vertAlign w:val="superscript"/>
        </w:rPr>
        <w:t>th</w:t>
      </w:r>
      <w:r w:rsidR="00686935">
        <w:t xml:space="preserve">. Individual event estimates of the total program impact for each CPP event (and on average across events) are presented in </w:t>
      </w:r>
      <w:r w:rsidR="00686935">
        <w:fldChar w:fldCharType="begin"/>
      </w:r>
      <w:r w:rsidR="00686935">
        <w:instrText xml:space="preserve"> REF _Ref1466212 \h </w:instrText>
      </w:r>
      <w:r w:rsidR="00686935">
        <w:fldChar w:fldCharType="separate"/>
      </w:r>
      <w:r w:rsidR="00413291">
        <w:t xml:space="preserve">Figure </w:t>
      </w:r>
      <w:r w:rsidR="00413291">
        <w:rPr>
          <w:noProof/>
        </w:rPr>
        <w:t>23</w:t>
      </w:r>
      <w:r w:rsidR="00686935">
        <w:fldChar w:fldCharType="end"/>
      </w:r>
      <w:r w:rsidR="00686935">
        <w:t>, below. This table also provides the average event temperature.</w:t>
      </w:r>
    </w:p>
    <w:p w14:paraId="1A5FAA52" w14:textId="5ECA8A69" w:rsidR="00686935" w:rsidRDefault="00686935" w:rsidP="00A816FA"/>
    <w:p w14:paraId="35B53729" w14:textId="69C0B728" w:rsidR="00686935" w:rsidRDefault="00686935" w:rsidP="00686935">
      <w:pPr>
        <w:pStyle w:val="Caption"/>
      </w:pPr>
      <w:bookmarkStart w:id="93" w:name="_Ref1466212"/>
      <w:bookmarkStart w:id="94" w:name="_Toc8393631"/>
      <w:r>
        <w:lastRenderedPageBreak/>
        <w:t xml:space="preserve">Figure </w:t>
      </w:r>
      <w:fldSimple w:instr=" SEQ Figure \* ARABIC ">
        <w:r w:rsidR="00413291">
          <w:rPr>
            <w:noProof/>
          </w:rPr>
          <w:t>23</w:t>
        </w:r>
      </w:fldSimple>
      <w:bookmarkEnd w:id="93"/>
      <w:r>
        <w:t>: Total Program CPP Event Impacts, Average Connectivity</w:t>
      </w:r>
      <w:bookmarkEnd w:id="94"/>
    </w:p>
    <w:tbl>
      <w:tblPr>
        <w:tblW w:w="7520" w:type="dxa"/>
        <w:jc w:val="center"/>
        <w:tblLook w:val="04A0" w:firstRow="1" w:lastRow="0" w:firstColumn="1" w:lastColumn="0" w:noHBand="0" w:noVBand="1"/>
      </w:tblPr>
      <w:tblGrid>
        <w:gridCol w:w="1560"/>
        <w:gridCol w:w="1460"/>
        <w:gridCol w:w="1460"/>
        <w:gridCol w:w="1460"/>
        <w:gridCol w:w="1580"/>
      </w:tblGrid>
      <w:tr w:rsidR="00686935" w:rsidRPr="00686935" w14:paraId="6A7B19D6" w14:textId="77777777" w:rsidTr="00686935">
        <w:trPr>
          <w:trHeight w:val="200"/>
          <w:jc w:val="center"/>
        </w:trPr>
        <w:tc>
          <w:tcPr>
            <w:tcW w:w="15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1441930E" w14:textId="77777777"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Event Date</w:t>
            </w:r>
          </w:p>
        </w:tc>
        <w:tc>
          <w:tcPr>
            <w:tcW w:w="2920" w:type="dxa"/>
            <w:gridSpan w:val="2"/>
            <w:tcBorders>
              <w:top w:val="single" w:sz="4" w:space="0" w:color="auto"/>
              <w:left w:val="single" w:sz="4" w:space="0" w:color="auto"/>
              <w:bottom w:val="nil"/>
              <w:right w:val="nil"/>
            </w:tcBorders>
            <w:shd w:val="clear" w:color="000000" w:fill="555759"/>
            <w:noWrap/>
            <w:vAlign w:val="bottom"/>
            <w:hideMark/>
          </w:tcPr>
          <w:p w14:paraId="32B349E4" w14:textId="6C86133B"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Impact (kW)</w:t>
            </w:r>
          </w:p>
        </w:tc>
        <w:tc>
          <w:tcPr>
            <w:tcW w:w="14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23268673" w14:textId="77777777"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Relative Precision +/-% (90% Confidence)</w:t>
            </w:r>
          </w:p>
        </w:tc>
        <w:tc>
          <w:tcPr>
            <w:tcW w:w="158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18009C5B" w14:textId="080B73AE"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Temperature (</w:t>
            </w:r>
            <w:r w:rsidRPr="00686935">
              <w:rPr>
                <w:rFonts w:cs="Arial"/>
                <w:color w:val="FFFFFF"/>
                <w:sz w:val="16"/>
                <w:szCs w:val="16"/>
                <w:vertAlign w:val="superscript"/>
              </w:rPr>
              <w:t>o</w:t>
            </w:r>
            <w:r w:rsidRPr="00686935">
              <w:rPr>
                <w:rFonts w:cs="Arial"/>
                <w:color w:val="FFFFFF"/>
                <w:sz w:val="16"/>
                <w:szCs w:val="16"/>
              </w:rPr>
              <w:t>C)</w:t>
            </w:r>
          </w:p>
        </w:tc>
      </w:tr>
      <w:tr w:rsidR="00686935" w:rsidRPr="00686935" w14:paraId="074807AA" w14:textId="77777777" w:rsidTr="00686935">
        <w:trPr>
          <w:trHeight w:val="200"/>
          <w:jc w:val="center"/>
        </w:trPr>
        <w:tc>
          <w:tcPr>
            <w:tcW w:w="1560" w:type="dxa"/>
            <w:vMerge/>
            <w:tcBorders>
              <w:top w:val="single" w:sz="4" w:space="0" w:color="auto"/>
              <w:left w:val="single" w:sz="4" w:space="0" w:color="auto"/>
              <w:bottom w:val="single" w:sz="4" w:space="0" w:color="000000"/>
              <w:right w:val="nil"/>
            </w:tcBorders>
            <w:vAlign w:val="center"/>
            <w:hideMark/>
          </w:tcPr>
          <w:p w14:paraId="0F9B0B39" w14:textId="77777777" w:rsidR="00686935" w:rsidRPr="00686935" w:rsidRDefault="00686935" w:rsidP="00686935">
            <w:pPr>
              <w:keepNext/>
              <w:spacing w:line="240" w:lineRule="auto"/>
              <w:rPr>
                <w:rFonts w:cs="Arial"/>
                <w:color w:val="FFFFFF"/>
                <w:sz w:val="16"/>
                <w:szCs w:val="16"/>
              </w:rPr>
            </w:pPr>
          </w:p>
        </w:tc>
        <w:tc>
          <w:tcPr>
            <w:tcW w:w="1460" w:type="dxa"/>
            <w:tcBorders>
              <w:top w:val="nil"/>
              <w:left w:val="single" w:sz="4" w:space="0" w:color="auto"/>
              <w:bottom w:val="single" w:sz="4" w:space="0" w:color="auto"/>
              <w:right w:val="nil"/>
            </w:tcBorders>
            <w:shd w:val="clear" w:color="000000" w:fill="555759"/>
            <w:vAlign w:val="center"/>
            <w:hideMark/>
          </w:tcPr>
          <w:p w14:paraId="4A0A5370" w14:textId="77777777"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kW</w:t>
            </w:r>
          </w:p>
        </w:tc>
        <w:tc>
          <w:tcPr>
            <w:tcW w:w="1460" w:type="dxa"/>
            <w:tcBorders>
              <w:top w:val="nil"/>
              <w:left w:val="nil"/>
              <w:bottom w:val="single" w:sz="4" w:space="0" w:color="auto"/>
              <w:right w:val="nil"/>
            </w:tcBorders>
            <w:shd w:val="clear" w:color="000000" w:fill="555759"/>
            <w:vAlign w:val="center"/>
            <w:hideMark/>
          </w:tcPr>
          <w:p w14:paraId="092FBF57" w14:textId="77777777" w:rsidR="00686935" w:rsidRPr="00686935" w:rsidRDefault="00686935" w:rsidP="00686935">
            <w:pPr>
              <w:keepNext/>
              <w:spacing w:line="240" w:lineRule="auto"/>
              <w:jc w:val="center"/>
              <w:rPr>
                <w:rFonts w:cs="Arial"/>
                <w:color w:val="FFFFFF"/>
                <w:sz w:val="16"/>
                <w:szCs w:val="16"/>
              </w:rPr>
            </w:pPr>
            <w:r w:rsidRPr="00686935">
              <w:rPr>
                <w:rFonts w:cs="Arial"/>
                <w:color w:val="FFFFFF"/>
                <w:sz w:val="16"/>
                <w:szCs w:val="16"/>
              </w:rPr>
              <w:t>%</w:t>
            </w:r>
          </w:p>
        </w:tc>
        <w:tc>
          <w:tcPr>
            <w:tcW w:w="1460" w:type="dxa"/>
            <w:vMerge/>
            <w:tcBorders>
              <w:top w:val="single" w:sz="4" w:space="0" w:color="auto"/>
              <w:left w:val="single" w:sz="4" w:space="0" w:color="auto"/>
              <w:bottom w:val="single" w:sz="4" w:space="0" w:color="000000"/>
              <w:right w:val="nil"/>
            </w:tcBorders>
            <w:vAlign w:val="center"/>
            <w:hideMark/>
          </w:tcPr>
          <w:p w14:paraId="07CC234F" w14:textId="77777777" w:rsidR="00686935" w:rsidRPr="00686935" w:rsidRDefault="00686935" w:rsidP="00686935">
            <w:pPr>
              <w:keepNext/>
              <w:spacing w:line="240" w:lineRule="auto"/>
              <w:rPr>
                <w:rFonts w:cs="Arial"/>
                <w:color w:val="FFFFFF"/>
                <w:sz w:val="16"/>
                <w:szCs w:val="16"/>
              </w:rPr>
            </w:pPr>
          </w:p>
        </w:tc>
        <w:tc>
          <w:tcPr>
            <w:tcW w:w="1580" w:type="dxa"/>
            <w:vMerge/>
            <w:tcBorders>
              <w:top w:val="single" w:sz="4" w:space="0" w:color="auto"/>
              <w:left w:val="nil"/>
              <w:bottom w:val="single" w:sz="4" w:space="0" w:color="000000"/>
              <w:right w:val="single" w:sz="4" w:space="0" w:color="auto"/>
            </w:tcBorders>
            <w:vAlign w:val="center"/>
            <w:hideMark/>
          </w:tcPr>
          <w:p w14:paraId="3D7331BD" w14:textId="77777777" w:rsidR="00686935" w:rsidRPr="00686935" w:rsidRDefault="00686935" w:rsidP="00686935">
            <w:pPr>
              <w:keepNext/>
              <w:spacing w:line="240" w:lineRule="auto"/>
              <w:rPr>
                <w:rFonts w:cs="Arial"/>
                <w:color w:val="FFFFFF"/>
                <w:sz w:val="16"/>
                <w:szCs w:val="16"/>
              </w:rPr>
            </w:pPr>
          </w:p>
        </w:tc>
      </w:tr>
      <w:tr w:rsidR="00686935" w:rsidRPr="00686935" w14:paraId="60FCE358"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15ABCB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2018-06-01</w:t>
            </w:r>
          </w:p>
        </w:tc>
        <w:tc>
          <w:tcPr>
            <w:tcW w:w="1460" w:type="dxa"/>
            <w:tcBorders>
              <w:top w:val="nil"/>
              <w:left w:val="nil"/>
              <w:bottom w:val="nil"/>
              <w:right w:val="single" w:sz="4" w:space="0" w:color="auto"/>
            </w:tcBorders>
            <w:shd w:val="clear" w:color="000000" w:fill="FFFFFF"/>
            <w:noWrap/>
            <w:vAlign w:val="center"/>
            <w:hideMark/>
          </w:tcPr>
          <w:p w14:paraId="41071FB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0.60</w:t>
            </w:r>
          </w:p>
        </w:tc>
        <w:tc>
          <w:tcPr>
            <w:tcW w:w="1460" w:type="dxa"/>
            <w:tcBorders>
              <w:top w:val="nil"/>
              <w:left w:val="nil"/>
              <w:bottom w:val="nil"/>
              <w:right w:val="nil"/>
            </w:tcBorders>
            <w:shd w:val="clear" w:color="000000" w:fill="FFFFFF"/>
            <w:noWrap/>
            <w:vAlign w:val="center"/>
            <w:hideMark/>
          </w:tcPr>
          <w:p w14:paraId="4958519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31%</w:t>
            </w:r>
          </w:p>
        </w:tc>
        <w:tc>
          <w:tcPr>
            <w:tcW w:w="1460" w:type="dxa"/>
            <w:tcBorders>
              <w:top w:val="nil"/>
              <w:left w:val="single" w:sz="4" w:space="0" w:color="auto"/>
              <w:bottom w:val="nil"/>
              <w:right w:val="single" w:sz="4" w:space="0" w:color="auto"/>
            </w:tcBorders>
            <w:shd w:val="clear" w:color="000000" w:fill="FFFFFF"/>
            <w:noWrap/>
            <w:vAlign w:val="center"/>
            <w:hideMark/>
          </w:tcPr>
          <w:p w14:paraId="5C3E40A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11%</w:t>
            </w:r>
          </w:p>
        </w:tc>
        <w:tc>
          <w:tcPr>
            <w:tcW w:w="1580" w:type="dxa"/>
            <w:tcBorders>
              <w:top w:val="nil"/>
              <w:left w:val="nil"/>
              <w:bottom w:val="nil"/>
              <w:right w:val="single" w:sz="4" w:space="0" w:color="auto"/>
            </w:tcBorders>
            <w:shd w:val="clear" w:color="000000" w:fill="FFFFFF"/>
            <w:noWrap/>
            <w:vAlign w:val="center"/>
            <w:hideMark/>
          </w:tcPr>
          <w:p w14:paraId="5B44299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24</w:t>
            </w:r>
          </w:p>
        </w:tc>
      </w:tr>
      <w:tr w:rsidR="00686935" w:rsidRPr="00686935" w14:paraId="7F1DD002"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0AA7E1C"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2018-06-18</w:t>
            </w:r>
          </w:p>
        </w:tc>
        <w:tc>
          <w:tcPr>
            <w:tcW w:w="1460" w:type="dxa"/>
            <w:tcBorders>
              <w:top w:val="nil"/>
              <w:left w:val="nil"/>
              <w:bottom w:val="nil"/>
              <w:right w:val="single" w:sz="4" w:space="0" w:color="auto"/>
            </w:tcBorders>
            <w:shd w:val="clear" w:color="000000" w:fill="F2F2F2"/>
            <w:noWrap/>
            <w:vAlign w:val="center"/>
            <w:hideMark/>
          </w:tcPr>
          <w:p w14:paraId="07B4DB8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0.65</w:t>
            </w:r>
          </w:p>
        </w:tc>
        <w:tc>
          <w:tcPr>
            <w:tcW w:w="1460" w:type="dxa"/>
            <w:tcBorders>
              <w:top w:val="nil"/>
              <w:left w:val="nil"/>
              <w:bottom w:val="nil"/>
              <w:right w:val="nil"/>
            </w:tcBorders>
            <w:shd w:val="clear" w:color="000000" w:fill="F2F2F2"/>
            <w:noWrap/>
            <w:vAlign w:val="center"/>
            <w:hideMark/>
          </w:tcPr>
          <w:p w14:paraId="40569E5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33%</w:t>
            </w:r>
          </w:p>
        </w:tc>
        <w:tc>
          <w:tcPr>
            <w:tcW w:w="1460" w:type="dxa"/>
            <w:tcBorders>
              <w:top w:val="nil"/>
              <w:left w:val="single" w:sz="4" w:space="0" w:color="auto"/>
              <w:bottom w:val="nil"/>
              <w:right w:val="single" w:sz="4" w:space="0" w:color="auto"/>
            </w:tcBorders>
            <w:shd w:val="clear" w:color="000000" w:fill="F2F2F2"/>
            <w:noWrap/>
            <w:vAlign w:val="center"/>
            <w:hideMark/>
          </w:tcPr>
          <w:p w14:paraId="5605305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201C776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25</w:t>
            </w:r>
          </w:p>
        </w:tc>
      </w:tr>
      <w:tr w:rsidR="00686935" w:rsidRPr="00686935" w14:paraId="79085D37"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5C1C6E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2018-06-29</w:t>
            </w:r>
          </w:p>
        </w:tc>
        <w:tc>
          <w:tcPr>
            <w:tcW w:w="1460" w:type="dxa"/>
            <w:tcBorders>
              <w:top w:val="nil"/>
              <w:left w:val="nil"/>
              <w:bottom w:val="nil"/>
              <w:right w:val="single" w:sz="4" w:space="0" w:color="auto"/>
            </w:tcBorders>
            <w:shd w:val="clear" w:color="000000" w:fill="FFFFFF"/>
            <w:noWrap/>
            <w:vAlign w:val="center"/>
            <w:hideMark/>
          </w:tcPr>
          <w:p w14:paraId="65F84E3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0.83</w:t>
            </w:r>
          </w:p>
        </w:tc>
        <w:tc>
          <w:tcPr>
            <w:tcW w:w="1460" w:type="dxa"/>
            <w:tcBorders>
              <w:top w:val="nil"/>
              <w:left w:val="nil"/>
              <w:bottom w:val="nil"/>
              <w:right w:val="nil"/>
            </w:tcBorders>
            <w:shd w:val="clear" w:color="000000" w:fill="FFFFFF"/>
            <w:noWrap/>
            <w:vAlign w:val="center"/>
            <w:hideMark/>
          </w:tcPr>
          <w:p w14:paraId="01DDFDC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36%</w:t>
            </w:r>
          </w:p>
        </w:tc>
        <w:tc>
          <w:tcPr>
            <w:tcW w:w="1460" w:type="dxa"/>
            <w:tcBorders>
              <w:top w:val="nil"/>
              <w:left w:val="single" w:sz="4" w:space="0" w:color="auto"/>
              <w:bottom w:val="nil"/>
              <w:right w:val="single" w:sz="4" w:space="0" w:color="auto"/>
            </w:tcBorders>
            <w:shd w:val="clear" w:color="000000" w:fill="FFFFFF"/>
            <w:noWrap/>
            <w:vAlign w:val="center"/>
            <w:hideMark/>
          </w:tcPr>
          <w:p w14:paraId="3C5CCA8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4ED268B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28</w:t>
            </w:r>
          </w:p>
        </w:tc>
      </w:tr>
      <w:tr w:rsidR="00686935" w:rsidRPr="00686935" w14:paraId="1CD44845"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50ED094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2018-07-03</w:t>
            </w:r>
          </w:p>
        </w:tc>
        <w:tc>
          <w:tcPr>
            <w:tcW w:w="1460" w:type="dxa"/>
            <w:tcBorders>
              <w:top w:val="nil"/>
              <w:left w:val="nil"/>
              <w:bottom w:val="nil"/>
              <w:right w:val="single" w:sz="4" w:space="0" w:color="auto"/>
            </w:tcBorders>
            <w:shd w:val="clear" w:color="000000" w:fill="F2F2F2"/>
            <w:noWrap/>
            <w:vAlign w:val="center"/>
            <w:hideMark/>
          </w:tcPr>
          <w:p w14:paraId="3089E43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0.90</w:t>
            </w:r>
          </w:p>
        </w:tc>
        <w:tc>
          <w:tcPr>
            <w:tcW w:w="1460" w:type="dxa"/>
            <w:tcBorders>
              <w:top w:val="nil"/>
              <w:left w:val="nil"/>
              <w:bottom w:val="nil"/>
              <w:right w:val="nil"/>
            </w:tcBorders>
            <w:shd w:val="clear" w:color="000000" w:fill="F2F2F2"/>
            <w:noWrap/>
            <w:vAlign w:val="center"/>
            <w:hideMark/>
          </w:tcPr>
          <w:p w14:paraId="3504589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40%</w:t>
            </w:r>
          </w:p>
        </w:tc>
        <w:tc>
          <w:tcPr>
            <w:tcW w:w="1460" w:type="dxa"/>
            <w:tcBorders>
              <w:top w:val="nil"/>
              <w:left w:val="single" w:sz="4" w:space="0" w:color="auto"/>
              <w:bottom w:val="nil"/>
              <w:right w:val="single" w:sz="4" w:space="0" w:color="auto"/>
            </w:tcBorders>
            <w:shd w:val="clear" w:color="000000" w:fill="F2F2F2"/>
            <w:noWrap/>
            <w:vAlign w:val="center"/>
            <w:hideMark/>
          </w:tcPr>
          <w:p w14:paraId="02C7471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31FEF39B"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30</w:t>
            </w:r>
          </w:p>
        </w:tc>
      </w:tr>
      <w:tr w:rsidR="00686935" w:rsidRPr="00686935" w14:paraId="41D84E34"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16E54A1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2018-07-04</w:t>
            </w:r>
          </w:p>
        </w:tc>
        <w:tc>
          <w:tcPr>
            <w:tcW w:w="1460" w:type="dxa"/>
            <w:tcBorders>
              <w:top w:val="nil"/>
              <w:left w:val="nil"/>
              <w:bottom w:val="nil"/>
              <w:right w:val="single" w:sz="4" w:space="0" w:color="auto"/>
            </w:tcBorders>
            <w:shd w:val="clear" w:color="000000" w:fill="FFFFFF"/>
            <w:noWrap/>
            <w:vAlign w:val="center"/>
            <w:hideMark/>
          </w:tcPr>
          <w:p w14:paraId="7557678F"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1.00</w:t>
            </w:r>
          </w:p>
        </w:tc>
        <w:tc>
          <w:tcPr>
            <w:tcW w:w="1460" w:type="dxa"/>
            <w:tcBorders>
              <w:top w:val="nil"/>
              <w:left w:val="nil"/>
              <w:bottom w:val="nil"/>
              <w:right w:val="nil"/>
            </w:tcBorders>
            <w:shd w:val="clear" w:color="000000" w:fill="FFFFFF"/>
            <w:noWrap/>
            <w:vAlign w:val="center"/>
            <w:hideMark/>
          </w:tcPr>
          <w:p w14:paraId="352CBCA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41%</w:t>
            </w:r>
          </w:p>
        </w:tc>
        <w:tc>
          <w:tcPr>
            <w:tcW w:w="1460" w:type="dxa"/>
            <w:tcBorders>
              <w:top w:val="nil"/>
              <w:left w:val="single" w:sz="4" w:space="0" w:color="auto"/>
              <w:bottom w:val="nil"/>
              <w:right w:val="single" w:sz="4" w:space="0" w:color="auto"/>
            </w:tcBorders>
            <w:shd w:val="clear" w:color="000000" w:fill="FFFFFF"/>
            <w:noWrap/>
            <w:vAlign w:val="center"/>
            <w:hideMark/>
          </w:tcPr>
          <w:p w14:paraId="104F301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48F388E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31</w:t>
            </w:r>
          </w:p>
        </w:tc>
      </w:tr>
      <w:tr w:rsidR="00686935" w:rsidRPr="00686935" w14:paraId="04F9E5DD"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23CE88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2018-07-05</w:t>
            </w:r>
          </w:p>
        </w:tc>
        <w:tc>
          <w:tcPr>
            <w:tcW w:w="1460" w:type="dxa"/>
            <w:tcBorders>
              <w:top w:val="nil"/>
              <w:left w:val="nil"/>
              <w:bottom w:val="nil"/>
              <w:right w:val="single" w:sz="4" w:space="0" w:color="auto"/>
            </w:tcBorders>
            <w:shd w:val="clear" w:color="000000" w:fill="F2F2F2"/>
            <w:noWrap/>
            <w:vAlign w:val="center"/>
            <w:hideMark/>
          </w:tcPr>
          <w:p w14:paraId="15B1290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0.68</w:t>
            </w:r>
          </w:p>
        </w:tc>
        <w:tc>
          <w:tcPr>
            <w:tcW w:w="1460" w:type="dxa"/>
            <w:tcBorders>
              <w:top w:val="nil"/>
              <w:left w:val="nil"/>
              <w:bottom w:val="nil"/>
              <w:right w:val="nil"/>
            </w:tcBorders>
            <w:shd w:val="clear" w:color="000000" w:fill="F2F2F2"/>
            <w:noWrap/>
            <w:vAlign w:val="center"/>
            <w:hideMark/>
          </w:tcPr>
          <w:p w14:paraId="487FF544"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35%</w:t>
            </w:r>
          </w:p>
        </w:tc>
        <w:tc>
          <w:tcPr>
            <w:tcW w:w="1460" w:type="dxa"/>
            <w:tcBorders>
              <w:top w:val="nil"/>
              <w:left w:val="single" w:sz="4" w:space="0" w:color="auto"/>
              <w:bottom w:val="nil"/>
              <w:right w:val="single" w:sz="4" w:space="0" w:color="auto"/>
            </w:tcBorders>
            <w:shd w:val="clear" w:color="000000" w:fill="F2F2F2"/>
            <w:noWrap/>
            <w:vAlign w:val="center"/>
            <w:hideMark/>
          </w:tcPr>
          <w:p w14:paraId="6FF117F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10%</w:t>
            </w:r>
          </w:p>
        </w:tc>
        <w:tc>
          <w:tcPr>
            <w:tcW w:w="1580" w:type="dxa"/>
            <w:tcBorders>
              <w:top w:val="nil"/>
              <w:left w:val="nil"/>
              <w:bottom w:val="nil"/>
              <w:right w:val="single" w:sz="4" w:space="0" w:color="auto"/>
            </w:tcBorders>
            <w:shd w:val="clear" w:color="000000" w:fill="F2F2F2"/>
            <w:noWrap/>
            <w:vAlign w:val="center"/>
            <w:hideMark/>
          </w:tcPr>
          <w:p w14:paraId="0F31CFB4"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25</w:t>
            </w:r>
          </w:p>
        </w:tc>
      </w:tr>
      <w:tr w:rsidR="00686935" w:rsidRPr="00686935" w14:paraId="0B98DC77"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01F40EF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2018-07-16</w:t>
            </w:r>
          </w:p>
        </w:tc>
        <w:tc>
          <w:tcPr>
            <w:tcW w:w="1460" w:type="dxa"/>
            <w:tcBorders>
              <w:top w:val="nil"/>
              <w:left w:val="nil"/>
              <w:bottom w:val="nil"/>
              <w:right w:val="single" w:sz="4" w:space="0" w:color="auto"/>
            </w:tcBorders>
            <w:shd w:val="clear" w:color="000000" w:fill="FFFFFF"/>
            <w:noWrap/>
            <w:vAlign w:val="center"/>
            <w:hideMark/>
          </w:tcPr>
          <w:p w14:paraId="0AEF4F6F"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0.64</w:t>
            </w:r>
          </w:p>
        </w:tc>
        <w:tc>
          <w:tcPr>
            <w:tcW w:w="1460" w:type="dxa"/>
            <w:tcBorders>
              <w:top w:val="nil"/>
              <w:left w:val="nil"/>
              <w:bottom w:val="nil"/>
              <w:right w:val="nil"/>
            </w:tcBorders>
            <w:shd w:val="clear" w:color="000000" w:fill="FFFFFF"/>
            <w:noWrap/>
            <w:vAlign w:val="center"/>
            <w:hideMark/>
          </w:tcPr>
          <w:p w14:paraId="19C71B2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33%</w:t>
            </w:r>
          </w:p>
        </w:tc>
        <w:tc>
          <w:tcPr>
            <w:tcW w:w="1460" w:type="dxa"/>
            <w:tcBorders>
              <w:top w:val="nil"/>
              <w:left w:val="single" w:sz="4" w:space="0" w:color="auto"/>
              <w:bottom w:val="nil"/>
              <w:right w:val="single" w:sz="4" w:space="0" w:color="auto"/>
            </w:tcBorders>
            <w:shd w:val="clear" w:color="000000" w:fill="FFFFFF"/>
            <w:noWrap/>
            <w:vAlign w:val="center"/>
            <w:hideMark/>
          </w:tcPr>
          <w:p w14:paraId="0669C97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2362425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25</w:t>
            </w:r>
          </w:p>
        </w:tc>
      </w:tr>
      <w:tr w:rsidR="00686935" w:rsidRPr="00686935" w14:paraId="2E9FF28C"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24E87E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2018-07-17</w:t>
            </w:r>
          </w:p>
        </w:tc>
        <w:tc>
          <w:tcPr>
            <w:tcW w:w="1460" w:type="dxa"/>
            <w:tcBorders>
              <w:top w:val="nil"/>
              <w:left w:val="nil"/>
              <w:bottom w:val="nil"/>
              <w:right w:val="single" w:sz="4" w:space="0" w:color="auto"/>
            </w:tcBorders>
            <w:shd w:val="clear" w:color="000000" w:fill="F2F2F2"/>
            <w:noWrap/>
            <w:vAlign w:val="center"/>
            <w:hideMark/>
          </w:tcPr>
          <w:p w14:paraId="19C16442"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0.47</w:t>
            </w:r>
          </w:p>
        </w:tc>
        <w:tc>
          <w:tcPr>
            <w:tcW w:w="1460" w:type="dxa"/>
            <w:tcBorders>
              <w:top w:val="nil"/>
              <w:left w:val="nil"/>
              <w:bottom w:val="nil"/>
              <w:right w:val="nil"/>
            </w:tcBorders>
            <w:shd w:val="clear" w:color="000000" w:fill="F2F2F2"/>
            <w:noWrap/>
            <w:vAlign w:val="center"/>
            <w:hideMark/>
          </w:tcPr>
          <w:p w14:paraId="2B2FE8F2"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31%</w:t>
            </w:r>
          </w:p>
        </w:tc>
        <w:tc>
          <w:tcPr>
            <w:tcW w:w="1460" w:type="dxa"/>
            <w:tcBorders>
              <w:top w:val="nil"/>
              <w:left w:val="single" w:sz="4" w:space="0" w:color="auto"/>
              <w:bottom w:val="nil"/>
              <w:right w:val="single" w:sz="4" w:space="0" w:color="auto"/>
            </w:tcBorders>
            <w:shd w:val="clear" w:color="000000" w:fill="F2F2F2"/>
            <w:noWrap/>
            <w:vAlign w:val="center"/>
            <w:hideMark/>
          </w:tcPr>
          <w:p w14:paraId="68085E2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13%</w:t>
            </w:r>
          </w:p>
        </w:tc>
        <w:tc>
          <w:tcPr>
            <w:tcW w:w="1580" w:type="dxa"/>
            <w:tcBorders>
              <w:top w:val="nil"/>
              <w:left w:val="nil"/>
              <w:bottom w:val="nil"/>
              <w:right w:val="single" w:sz="4" w:space="0" w:color="auto"/>
            </w:tcBorders>
            <w:shd w:val="clear" w:color="000000" w:fill="F2F2F2"/>
            <w:noWrap/>
            <w:vAlign w:val="center"/>
            <w:hideMark/>
          </w:tcPr>
          <w:p w14:paraId="2410ABE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22</w:t>
            </w:r>
          </w:p>
        </w:tc>
      </w:tr>
      <w:tr w:rsidR="00686935" w:rsidRPr="00686935" w14:paraId="44FBDE67"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928A3B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2018-07-24</w:t>
            </w:r>
          </w:p>
        </w:tc>
        <w:tc>
          <w:tcPr>
            <w:tcW w:w="1460" w:type="dxa"/>
            <w:tcBorders>
              <w:top w:val="nil"/>
              <w:left w:val="nil"/>
              <w:bottom w:val="nil"/>
              <w:right w:val="single" w:sz="4" w:space="0" w:color="auto"/>
            </w:tcBorders>
            <w:shd w:val="clear" w:color="000000" w:fill="FFFFFF"/>
            <w:noWrap/>
            <w:vAlign w:val="center"/>
            <w:hideMark/>
          </w:tcPr>
          <w:p w14:paraId="371DD942"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0.63</w:t>
            </w:r>
          </w:p>
        </w:tc>
        <w:tc>
          <w:tcPr>
            <w:tcW w:w="1460" w:type="dxa"/>
            <w:tcBorders>
              <w:top w:val="nil"/>
              <w:left w:val="nil"/>
              <w:bottom w:val="nil"/>
              <w:right w:val="nil"/>
            </w:tcBorders>
            <w:shd w:val="clear" w:color="000000" w:fill="FFFFFF"/>
            <w:noWrap/>
            <w:vAlign w:val="center"/>
            <w:hideMark/>
          </w:tcPr>
          <w:p w14:paraId="0F2485C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35%</w:t>
            </w:r>
          </w:p>
        </w:tc>
        <w:tc>
          <w:tcPr>
            <w:tcW w:w="1460" w:type="dxa"/>
            <w:tcBorders>
              <w:top w:val="nil"/>
              <w:left w:val="single" w:sz="4" w:space="0" w:color="auto"/>
              <w:bottom w:val="nil"/>
              <w:right w:val="single" w:sz="4" w:space="0" w:color="auto"/>
            </w:tcBorders>
            <w:shd w:val="clear" w:color="000000" w:fill="FFFFFF"/>
            <w:noWrap/>
            <w:vAlign w:val="center"/>
            <w:hideMark/>
          </w:tcPr>
          <w:p w14:paraId="072D041B"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650326FF"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25</w:t>
            </w:r>
          </w:p>
        </w:tc>
      </w:tr>
      <w:tr w:rsidR="00686935" w:rsidRPr="00686935" w14:paraId="5F7C2201"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D8FE02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2018-08-07</w:t>
            </w:r>
          </w:p>
        </w:tc>
        <w:tc>
          <w:tcPr>
            <w:tcW w:w="1460" w:type="dxa"/>
            <w:tcBorders>
              <w:top w:val="nil"/>
              <w:left w:val="nil"/>
              <w:bottom w:val="nil"/>
              <w:right w:val="single" w:sz="4" w:space="0" w:color="auto"/>
            </w:tcBorders>
            <w:shd w:val="clear" w:color="000000" w:fill="F2F2F2"/>
            <w:noWrap/>
            <w:vAlign w:val="center"/>
            <w:hideMark/>
          </w:tcPr>
          <w:p w14:paraId="6395E2C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0.65</w:t>
            </w:r>
          </w:p>
        </w:tc>
        <w:tc>
          <w:tcPr>
            <w:tcW w:w="1460" w:type="dxa"/>
            <w:tcBorders>
              <w:top w:val="nil"/>
              <w:left w:val="nil"/>
              <w:bottom w:val="nil"/>
              <w:right w:val="nil"/>
            </w:tcBorders>
            <w:shd w:val="clear" w:color="000000" w:fill="F2F2F2"/>
            <w:noWrap/>
            <w:vAlign w:val="center"/>
            <w:hideMark/>
          </w:tcPr>
          <w:p w14:paraId="082993C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33%</w:t>
            </w:r>
          </w:p>
        </w:tc>
        <w:tc>
          <w:tcPr>
            <w:tcW w:w="1460" w:type="dxa"/>
            <w:tcBorders>
              <w:top w:val="nil"/>
              <w:left w:val="single" w:sz="4" w:space="0" w:color="auto"/>
              <w:bottom w:val="nil"/>
              <w:right w:val="single" w:sz="4" w:space="0" w:color="auto"/>
            </w:tcBorders>
            <w:shd w:val="clear" w:color="000000" w:fill="F2F2F2"/>
            <w:noWrap/>
            <w:vAlign w:val="center"/>
            <w:hideMark/>
          </w:tcPr>
          <w:p w14:paraId="3E172EE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1A70410C"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26</w:t>
            </w:r>
          </w:p>
        </w:tc>
      </w:tr>
      <w:tr w:rsidR="00686935" w:rsidRPr="00686935" w14:paraId="062583CE"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831667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2018-08-15</w:t>
            </w:r>
          </w:p>
        </w:tc>
        <w:tc>
          <w:tcPr>
            <w:tcW w:w="1460" w:type="dxa"/>
            <w:tcBorders>
              <w:top w:val="nil"/>
              <w:left w:val="nil"/>
              <w:bottom w:val="nil"/>
              <w:right w:val="single" w:sz="4" w:space="0" w:color="auto"/>
            </w:tcBorders>
            <w:shd w:val="clear" w:color="000000" w:fill="FFFFFF"/>
            <w:noWrap/>
            <w:vAlign w:val="center"/>
            <w:hideMark/>
          </w:tcPr>
          <w:p w14:paraId="5A35B95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0.76</w:t>
            </w:r>
          </w:p>
        </w:tc>
        <w:tc>
          <w:tcPr>
            <w:tcW w:w="1460" w:type="dxa"/>
            <w:tcBorders>
              <w:top w:val="nil"/>
              <w:left w:val="nil"/>
              <w:bottom w:val="nil"/>
              <w:right w:val="nil"/>
            </w:tcBorders>
            <w:shd w:val="clear" w:color="000000" w:fill="FFFFFF"/>
            <w:noWrap/>
            <w:vAlign w:val="center"/>
            <w:hideMark/>
          </w:tcPr>
          <w:p w14:paraId="5A1499C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37%</w:t>
            </w:r>
          </w:p>
        </w:tc>
        <w:tc>
          <w:tcPr>
            <w:tcW w:w="1460" w:type="dxa"/>
            <w:tcBorders>
              <w:top w:val="nil"/>
              <w:left w:val="single" w:sz="4" w:space="0" w:color="auto"/>
              <w:bottom w:val="nil"/>
              <w:right w:val="single" w:sz="4" w:space="0" w:color="auto"/>
            </w:tcBorders>
            <w:shd w:val="clear" w:color="000000" w:fill="FFFFFF"/>
            <w:noWrap/>
            <w:vAlign w:val="center"/>
            <w:hideMark/>
          </w:tcPr>
          <w:p w14:paraId="635BFFD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5B73D7A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27</w:t>
            </w:r>
          </w:p>
        </w:tc>
      </w:tr>
      <w:tr w:rsidR="00686935" w:rsidRPr="00686935" w14:paraId="20C490FA"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83E30A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2018-08-16</w:t>
            </w:r>
          </w:p>
        </w:tc>
        <w:tc>
          <w:tcPr>
            <w:tcW w:w="1460" w:type="dxa"/>
            <w:tcBorders>
              <w:top w:val="nil"/>
              <w:left w:val="nil"/>
              <w:bottom w:val="nil"/>
              <w:right w:val="single" w:sz="4" w:space="0" w:color="auto"/>
            </w:tcBorders>
            <w:shd w:val="clear" w:color="000000" w:fill="F2F2F2"/>
            <w:noWrap/>
            <w:vAlign w:val="center"/>
            <w:hideMark/>
          </w:tcPr>
          <w:p w14:paraId="34DD671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0.53</w:t>
            </w:r>
          </w:p>
        </w:tc>
        <w:tc>
          <w:tcPr>
            <w:tcW w:w="1460" w:type="dxa"/>
            <w:tcBorders>
              <w:top w:val="nil"/>
              <w:left w:val="nil"/>
              <w:bottom w:val="nil"/>
              <w:right w:val="nil"/>
            </w:tcBorders>
            <w:shd w:val="clear" w:color="000000" w:fill="F2F2F2"/>
            <w:noWrap/>
            <w:vAlign w:val="center"/>
            <w:hideMark/>
          </w:tcPr>
          <w:p w14:paraId="2CC795F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32%</w:t>
            </w:r>
          </w:p>
        </w:tc>
        <w:tc>
          <w:tcPr>
            <w:tcW w:w="1460" w:type="dxa"/>
            <w:tcBorders>
              <w:top w:val="nil"/>
              <w:left w:val="single" w:sz="4" w:space="0" w:color="auto"/>
              <w:bottom w:val="nil"/>
              <w:right w:val="single" w:sz="4" w:space="0" w:color="auto"/>
            </w:tcBorders>
            <w:shd w:val="clear" w:color="000000" w:fill="F2F2F2"/>
            <w:noWrap/>
            <w:vAlign w:val="center"/>
            <w:hideMark/>
          </w:tcPr>
          <w:p w14:paraId="7FD13E0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11%</w:t>
            </w:r>
          </w:p>
        </w:tc>
        <w:tc>
          <w:tcPr>
            <w:tcW w:w="1580" w:type="dxa"/>
            <w:tcBorders>
              <w:top w:val="nil"/>
              <w:left w:val="nil"/>
              <w:bottom w:val="nil"/>
              <w:right w:val="single" w:sz="4" w:space="0" w:color="auto"/>
            </w:tcBorders>
            <w:shd w:val="clear" w:color="000000" w:fill="F2F2F2"/>
            <w:noWrap/>
            <w:vAlign w:val="center"/>
            <w:hideMark/>
          </w:tcPr>
          <w:p w14:paraId="1945AB2D"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23</w:t>
            </w:r>
          </w:p>
        </w:tc>
      </w:tr>
      <w:tr w:rsidR="00686935" w:rsidRPr="00686935" w14:paraId="6C791D28"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2FFA8011"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2018-08-17</w:t>
            </w:r>
          </w:p>
        </w:tc>
        <w:tc>
          <w:tcPr>
            <w:tcW w:w="1460" w:type="dxa"/>
            <w:tcBorders>
              <w:top w:val="nil"/>
              <w:left w:val="nil"/>
              <w:bottom w:val="nil"/>
              <w:right w:val="single" w:sz="4" w:space="0" w:color="auto"/>
            </w:tcBorders>
            <w:shd w:val="clear" w:color="000000" w:fill="FFFFFF"/>
            <w:noWrap/>
            <w:vAlign w:val="center"/>
            <w:hideMark/>
          </w:tcPr>
          <w:p w14:paraId="380FDD5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0.56</w:t>
            </w:r>
          </w:p>
        </w:tc>
        <w:tc>
          <w:tcPr>
            <w:tcW w:w="1460" w:type="dxa"/>
            <w:tcBorders>
              <w:top w:val="nil"/>
              <w:left w:val="nil"/>
              <w:bottom w:val="nil"/>
              <w:right w:val="nil"/>
            </w:tcBorders>
            <w:shd w:val="clear" w:color="000000" w:fill="FFFFFF"/>
            <w:noWrap/>
            <w:vAlign w:val="center"/>
            <w:hideMark/>
          </w:tcPr>
          <w:p w14:paraId="53AA882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33%</w:t>
            </w:r>
          </w:p>
        </w:tc>
        <w:tc>
          <w:tcPr>
            <w:tcW w:w="1460" w:type="dxa"/>
            <w:tcBorders>
              <w:top w:val="nil"/>
              <w:left w:val="single" w:sz="4" w:space="0" w:color="auto"/>
              <w:bottom w:val="nil"/>
              <w:right w:val="single" w:sz="4" w:space="0" w:color="auto"/>
            </w:tcBorders>
            <w:shd w:val="clear" w:color="000000" w:fill="FFFFFF"/>
            <w:noWrap/>
            <w:vAlign w:val="center"/>
            <w:hideMark/>
          </w:tcPr>
          <w:p w14:paraId="50351EB2"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11%</w:t>
            </w:r>
          </w:p>
        </w:tc>
        <w:tc>
          <w:tcPr>
            <w:tcW w:w="1580" w:type="dxa"/>
            <w:tcBorders>
              <w:top w:val="nil"/>
              <w:left w:val="nil"/>
              <w:bottom w:val="nil"/>
              <w:right w:val="single" w:sz="4" w:space="0" w:color="auto"/>
            </w:tcBorders>
            <w:shd w:val="clear" w:color="000000" w:fill="FFFFFF"/>
            <w:noWrap/>
            <w:vAlign w:val="center"/>
            <w:hideMark/>
          </w:tcPr>
          <w:p w14:paraId="20E78229"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24</w:t>
            </w:r>
          </w:p>
        </w:tc>
      </w:tr>
      <w:tr w:rsidR="00686935" w:rsidRPr="00686935" w14:paraId="1C716278"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7D60858F"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2018-08-20</w:t>
            </w:r>
          </w:p>
        </w:tc>
        <w:tc>
          <w:tcPr>
            <w:tcW w:w="1460" w:type="dxa"/>
            <w:tcBorders>
              <w:top w:val="nil"/>
              <w:left w:val="nil"/>
              <w:bottom w:val="nil"/>
              <w:right w:val="single" w:sz="4" w:space="0" w:color="auto"/>
            </w:tcBorders>
            <w:shd w:val="clear" w:color="000000" w:fill="F2F2F2"/>
            <w:noWrap/>
            <w:vAlign w:val="center"/>
            <w:hideMark/>
          </w:tcPr>
          <w:p w14:paraId="7AF0ACD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0.61</w:t>
            </w:r>
          </w:p>
        </w:tc>
        <w:tc>
          <w:tcPr>
            <w:tcW w:w="1460" w:type="dxa"/>
            <w:tcBorders>
              <w:top w:val="nil"/>
              <w:left w:val="nil"/>
              <w:bottom w:val="nil"/>
              <w:right w:val="nil"/>
            </w:tcBorders>
            <w:shd w:val="clear" w:color="000000" w:fill="F2F2F2"/>
            <w:noWrap/>
            <w:vAlign w:val="center"/>
            <w:hideMark/>
          </w:tcPr>
          <w:p w14:paraId="7E24AC7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35%</w:t>
            </w:r>
          </w:p>
        </w:tc>
        <w:tc>
          <w:tcPr>
            <w:tcW w:w="1460" w:type="dxa"/>
            <w:tcBorders>
              <w:top w:val="nil"/>
              <w:left w:val="single" w:sz="4" w:space="0" w:color="auto"/>
              <w:bottom w:val="nil"/>
              <w:right w:val="single" w:sz="4" w:space="0" w:color="auto"/>
            </w:tcBorders>
            <w:shd w:val="clear" w:color="000000" w:fill="F2F2F2"/>
            <w:noWrap/>
            <w:vAlign w:val="center"/>
            <w:hideMark/>
          </w:tcPr>
          <w:p w14:paraId="5FF9601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10%</w:t>
            </w:r>
          </w:p>
        </w:tc>
        <w:tc>
          <w:tcPr>
            <w:tcW w:w="1580" w:type="dxa"/>
            <w:tcBorders>
              <w:top w:val="nil"/>
              <w:left w:val="nil"/>
              <w:bottom w:val="nil"/>
              <w:right w:val="single" w:sz="4" w:space="0" w:color="auto"/>
            </w:tcBorders>
            <w:shd w:val="clear" w:color="000000" w:fill="F2F2F2"/>
            <w:noWrap/>
            <w:vAlign w:val="center"/>
            <w:hideMark/>
          </w:tcPr>
          <w:p w14:paraId="7CE947B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25</w:t>
            </w:r>
          </w:p>
        </w:tc>
      </w:tr>
      <w:tr w:rsidR="00686935" w:rsidRPr="00686935" w14:paraId="6A1FC66A"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4DB5C8D"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2018-08-27</w:t>
            </w:r>
          </w:p>
        </w:tc>
        <w:tc>
          <w:tcPr>
            <w:tcW w:w="1460" w:type="dxa"/>
            <w:tcBorders>
              <w:top w:val="nil"/>
              <w:left w:val="nil"/>
              <w:bottom w:val="nil"/>
              <w:right w:val="single" w:sz="4" w:space="0" w:color="auto"/>
            </w:tcBorders>
            <w:shd w:val="clear" w:color="000000" w:fill="FFFFFF"/>
            <w:noWrap/>
            <w:vAlign w:val="center"/>
            <w:hideMark/>
          </w:tcPr>
          <w:p w14:paraId="2E7A679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0.81</w:t>
            </w:r>
          </w:p>
        </w:tc>
        <w:tc>
          <w:tcPr>
            <w:tcW w:w="1460" w:type="dxa"/>
            <w:tcBorders>
              <w:top w:val="nil"/>
              <w:left w:val="nil"/>
              <w:bottom w:val="nil"/>
              <w:right w:val="nil"/>
            </w:tcBorders>
            <w:shd w:val="clear" w:color="000000" w:fill="FFFFFF"/>
            <w:noWrap/>
            <w:vAlign w:val="center"/>
            <w:hideMark/>
          </w:tcPr>
          <w:p w14:paraId="28E4C19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38%</w:t>
            </w:r>
          </w:p>
        </w:tc>
        <w:tc>
          <w:tcPr>
            <w:tcW w:w="1460" w:type="dxa"/>
            <w:tcBorders>
              <w:top w:val="nil"/>
              <w:left w:val="single" w:sz="4" w:space="0" w:color="auto"/>
              <w:bottom w:val="nil"/>
              <w:right w:val="single" w:sz="4" w:space="0" w:color="auto"/>
            </w:tcBorders>
            <w:shd w:val="clear" w:color="000000" w:fill="FFFFFF"/>
            <w:noWrap/>
            <w:vAlign w:val="center"/>
            <w:hideMark/>
          </w:tcPr>
          <w:p w14:paraId="6AE32DAB"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285BF055"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29</w:t>
            </w:r>
          </w:p>
        </w:tc>
      </w:tr>
      <w:tr w:rsidR="00686935" w:rsidRPr="00686935" w14:paraId="4BA7EF99"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00BD30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2018-09-05</w:t>
            </w:r>
          </w:p>
        </w:tc>
        <w:tc>
          <w:tcPr>
            <w:tcW w:w="1460" w:type="dxa"/>
            <w:tcBorders>
              <w:top w:val="nil"/>
              <w:left w:val="nil"/>
              <w:bottom w:val="nil"/>
              <w:right w:val="single" w:sz="4" w:space="0" w:color="auto"/>
            </w:tcBorders>
            <w:shd w:val="clear" w:color="000000" w:fill="F2F2F2"/>
            <w:noWrap/>
            <w:vAlign w:val="center"/>
            <w:hideMark/>
          </w:tcPr>
          <w:p w14:paraId="40ABC3C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0.83</w:t>
            </w:r>
          </w:p>
        </w:tc>
        <w:tc>
          <w:tcPr>
            <w:tcW w:w="1460" w:type="dxa"/>
            <w:tcBorders>
              <w:top w:val="nil"/>
              <w:left w:val="nil"/>
              <w:bottom w:val="nil"/>
              <w:right w:val="nil"/>
            </w:tcBorders>
            <w:shd w:val="clear" w:color="000000" w:fill="F2F2F2"/>
            <w:noWrap/>
            <w:vAlign w:val="center"/>
            <w:hideMark/>
          </w:tcPr>
          <w:p w14:paraId="18829C6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35%</w:t>
            </w:r>
          </w:p>
        </w:tc>
        <w:tc>
          <w:tcPr>
            <w:tcW w:w="1460" w:type="dxa"/>
            <w:tcBorders>
              <w:top w:val="nil"/>
              <w:left w:val="single" w:sz="4" w:space="0" w:color="auto"/>
              <w:bottom w:val="nil"/>
              <w:right w:val="single" w:sz="4" w:space="0" w:color="auto"/>
            </w:tcBorders>
            <w:shd w:val="clear" w:color="000000" w:fill="F2F2F2"/>
            <w:noWrap/>
            <w:vAlign w:val="center"/>
            <w:hideMark/>
          </w:tcPr>
          <w:p w14:paraId="65B6357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1A2D01BA"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29</w:t>
            </w:r>
          </w:p>
        </w:tc>
      </w:tr>
      <w:tr w:rsidR="00686935" w:rsidRPr="00686935" w14:paraId="428F8C6C"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049F8ED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2018-09-06</w:t>
            </w:r>
          </w:p>
        </w:tc>
        <w:tc>
          <w:tcPr>
            <w:tcW w:w="1460" w:type="dxa"/>
            <w:tcBorders>
              <w:top w:val="nil"/>
              <w:left w:val="nil"/>
              <w:bottom w:val="nil"/>
              <w:right w:val="single" w:sz="4" w:space="0" w:color="auto"/>
            </w:tcBorders>
            <w:shd w:val="clear" w:color="000000" w:fill="FFFFFF"/>
            <w:noWrap/>
            <w:vAlign w:val="center"/>
            <w:hideMark/>
          </w:tcPr>
          <w:p w14:paraId="783666F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0.40</w:t>
            </w:r>
          </w:p>
        </w:tc>
        <w:tc>
          <w:tcPr>
            <w:tcW w:w="1460" w:type="dxa"/>
            <w:tcBorders>
              <w:top w:val="nil"/>
              <w:left w:val="nil"/>
              <w:bottom w:val="nil"/>
              <w:right w:val="nil"/>
            </w:tcBorders>
            <w:shd w:val="clear" w:color="000000" w:fill="FFFFFF"/>
            <w:noWrap/>
            <w:vAlign w:val="center"/>
            <w:hideMark/>
          </w:tcPr>
          <w:p w14:paraId="5A186A9E"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26%</w:t>
            </w:r>
          </w:p>
        </w:tc>
        <w:tc>
          <w:tcPr>
            <w:tcW w:w="1460" w:type="dxa"/>
            <w:tcBorders>
              <w:top w:val="nil"/>
              <w:left w:val="single" w:sz="4" w:space="0" w:color="auto"/>
              <w:bottom w:val="nil"/>
              <w:right w:val="single" w:sz="4" w:space="0" w:color="auto"/>
            </w:tcBorders>
            <w:shd w:val="clear" w:color="000000" w:fill="FFFFFF"/>
            <w:noWrap/>
            <w:vAlign w:val="center"/>
            <w:hideMark/>
          </w:tcPr>
          <w:p w14:paraId="75BF106D"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17%</w:t>
            </w:r>
          </w:p>
        </w:tc>
        <w:tc>
          <w:tcPr>
            <w:tcW w:w="1580" w:type="dxa"/>
            <w:tcBorders>
              <w:top w:val="nil"/>
              <w:left w:val="nil"/>
              <w:bottom w:val="nil"/>
              <w:right w:val="single" w:sz="4" w:space="0" w:color="auto"/>
            </w:tcBorders>
            <w:shd w:val="clear" w:color="000000" w:fill="FFFFFF"/>
            <w:noWrap/>
            <w:vAlign w:val="center"/>
            <w:hideMark/>
          </w:tcPr>
          <w:p w14:paraId="3DE62E6B"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21</w:t>
            </w:r>
          </w:p>
        </w:tc>
      </w:tr>
      <w:tr w:rsidR="00686935" w:rsidRPr="00686935" w14:paraId="5D2FB8B0"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180AE500"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2018-09-17</w:t>
            </w:r>
          </w:p>
        </w:tc>
        <w:tc>
          <w:tcPr>
            <w:tcW w:w="1460" w:type="dxa"/>
            <w:tcBorders>
              <w:top w:val="nil"/>
              <w:left w:val="nil"/>
              <w:bottom w:val="nil"/>
              <w:right w:val="single" w:sz="4" w:space="0" w:color="auto"/>
            </w:tcBorders>
            <w:shd w:val="clear" w:color="000000" w:fill="F2F2F2"/>
            <w:noWrap/>
            <w:vAlign w:val="center"/>
            <w:hideMark/>
          </w:tcPr>
          <w:p w14:paraId="74FFFBB3" w14:textId="77777777" w:rsidR="00686935" w:rsidRPr="00686935" w:rsidRDefault="00686935" w:rsidP="00686935">
            <w:pPr>
              <w:keepNext/>
              <w:spacing w:line="240" w:lineRule="auto"/>
              <w:jc w:val="center"/>
              <w:rPr>
                <w:rFonts w:cs="Arial"/>
                <w:sz w:val="16"/>
                <w:szCs w:val="16"/>
              </w:rPr>
            </w:pPr>
            <w:r w:rsidRPr="00686935">
              <w:rPr>
                <w:rFonts w:cs="Arial"/>
                <w:sz w:val="16"/>
                <w:szCs w:val="16"/>
              </w:rPr>
              <w:t>0.54</w:t>
            </w:r>
          </w:p>
        </w:tc>
        <w:tc>
          <w:tcPr>
            <w:tcW w:w="1460" w:type="dxa"/>
            <w:tcBorders>
              <w:top w:val="nil"/>
              <w:left w:val="nil"/>
              <w:bottom w:val="nil"/>
              <w:right w:val="nil"/>
            </w:tcBorders>
            <w:shd w:val="clear" w:color="000000" w:fill="F2F2F2"/>
            <w:noWrap/>
            <w:vAlign w:val="center"/>
            <w:hideMark/>
          </w:tcPr>
          <w:p w14:paraId="1B6805E7" w14:textId="77777777" w:rsidR="00686935" w:rsidRPr="00686935" w:rsidRDefault="00686935" w:rsidP="00686935">
            <w:pPr>
              <w:keepNext/>
              <w:spacing w:line="240" w:lineRule="auto"/>
              <w:jc w:val="center"/>
              <w:rPr>
                <w:rFonts w:cs="Arial"/>
                <w:sz w:val="16"/>
                <w:szCs w:val="16"/>
              </w:rPr>
            </w:pPr>
            <w:r w:rsidRPr="00686935">
              <w:rPr>
                <w:rFonts w:cs="Arial"/>
                <w:sz w:val="16"/>
                <w:szCs w:val="16"/>
              </w:rPr>
              <w:t>30%</w:t>
            </w:r>
          </w:p>
        </w:tc>
        <w:tc>
          <w:tcPr>
            <w:tcW w:w="1460" w:type="dxa"/>
            <w:tcBorders>
              <w:top w:val="nil"/>
              <w:left w:val="single" w:sz="4" w:space="0" w:color="auto"/>
              <w:bottom w:val="single" w:sz="4" w:space="0" w:color="auto"/>
              <w:right w:val="single" w:sz="4" w:space="0" w:color="auto"/>
            </w:tcBorders>
            <w:shd w:val="clear" w:color="000000" w:fill="F2F2F2"/>
            <w:noWrap/>
            <w:vAlign w:val="center"/>
            <w:hideMark/>
          </w:tcPr>
          <w:p w14:paraId="00B73CC6" w14:textId="77777777" w:rsidR="00686935" w:rsidRPr="00686935" w:rsidRDefault="00686935" w:rsidP="00686935">
            <w:pPr>
              <w:keepNext/>
              <w:spacing w:line="240" w:lineRule="auto"/>
              <w:jc w:val="center"/>
              <w:rPr>
                <w:rFonts w:cs="Arial"/>
                <w:sz w:val="16"/>
                <w:szCs w:val="16"/>
              </w:rPr>
            </w:pPr>
            <w:r w:rsidRPr="00686935">
              <w:rPr>
                <w:rFonts w:cs="Arial"/>
                <w:sz w:val="16"/>
                <w:szCs w:val="16"/>
              </w:rPr>
              <w:t>11%</w:t>
            </w:r>
          </w:p>
        </w:tc>
        <w:tc>
          <w:tcPr>
            <w:tcW w:w="1580" w:type="dxa"/>
            <w:tcBorders>
              <w:top w:val="nil"/>
              <w:left w:val="nil"/>
              <w:bottom w:val="single" w:sz="4" w:space="0" w:color="auto"/>
              <w:right w:val="single" w:sz="4" w:space="0" w:color="auto"/>
            </w:tcBorders>
            <w:shd w:val="clear" w:color="000000" w:fill="F2F2F2"/>
            <w:noWrap/>
            <w:vAlign w:val="center"/>
            <w:hideMark/>
          </w:tcPr>
          <w:p w14:paraId="10A320D8" w14:textId="77777777" w:rsidR="00686935" w:rsidRPr="00686935" w:rsidRDefault="00686935" w:rsidP="00686935">
            <w:pPr>
              <w:keepNext/>
              <w:spacing w:line="240" w:lineRule="auto"/>
              <w:jc w:val="center"/>
              <w:rPr>
                <w:rFonts w:cs="Arial"/>
                <w:sz w:val="16"/>
                <w:szCs w:val="16"/>
              </w:rPr>
            </w:pPr>
            <w:r w:rsidRPr="00686935">
              <w:rPr>
                <w:rFonts w:cs="Arial"/>
                <w:sz w:val="16"/>
                <w:szCs w:val="16"/>
              </w:rPr>
              <w:t>24</w:t>
            </w:r>
          </w:p>
        </w:tc>
      </w:tr>
      <w:tr w:rsidR="00686935" w:rsidRPr="00686935" w14:paraId="6A5CB31F" w14:textId="77777777" w:rsidTr="00686935">
        <w:trPr>
          <w:trHeight w:val="420"/>
          <w:jc w:val="center"/>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D2274" w14:textId="77777777" w:rsidR="00686935" w:rsidRPr="00686935" w:rsidRDefault="00686935" w:rsidP="00686935">
            <w:pPr>
              <w:keepNext/>
              <w:spacing w:line="240" w:lineRule="auto"/>
              <w:jc w:val="center"/>
              <w:rPr>
                <w:rFonts w:cs="Arial"/>
                <w:b/>
                <w:bCs/>
                <w:sz w:val="16"/>
                <w:szCs w:val="16"/>
              </w:rPr>
            </w:pPr>
            <w:r w:rsidRPr="00686935">
              <w:rPr>
                <w:rFonts w:cs="Arial"/>
                <w:b/>
                <w:bCs/>
                <w:sz w:val="16"/>
                <w:szCs w:val="16"/>
              </w:rPr>
              <w:t>Average Across Events</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14:paraId="7AAF6426" w14:textId="77777777" w:rsidR="00686935" w:rsidRPr="00686935" w:rsidRDefault="00686935" w:rsidP="00686935">
            <w:pPr>
              <w:keepNext/>
              <w:spacing w:line="240" w:lineRule="auto"/>
              <w:jc w:val="center"/>
              <w:rPr>
                <w:rFonts w:cs="Arial"/>
                <w:b/>
                <w:bCs/>
                <w:sz w:val="16"/>
                <w:szCs w:val="16"/>
              </w:rPr>
            </w:pPr>
            <w:r w:rsidRPr="00686935">
              <w:rPr>
                <w:rFonts w:cs="Arial"/>
                <w:b/>
                <w:bCs/>
                <w:sz w:val="16"/>
                <w:szCs w:val="16"/>
              </w:rPr>
              <w:t>0.67</w:t>
            </w:r>
          </w:p>
        </w:tc>
        <w:tc>
          <w:tcPr>
            <w:tcW w:w="1460" w:type="dxa"/>
            <w:tcBorders>
              <w:top w:val="single" w:sz="4" w:space="0" w:color="auto"/>
              <w:left w:val="nil"/>
              <w:bottom w:val="single" w:sz="4" w:space="0" w:color="auto"/>
              <w:right w:val="single" w:sz="4" w:space="0" w:color="auto"/>
            </w:tcBorders>
            <w:shd w:val="clear" w:color="000000" w:fill="FFFFFF"/>
            <w:noWrap/>
            <w:vAlign w:val="center"/>
            <w:hideMark/>
          </w:tcPr>
          <w:p w14:paraId="35A205DC" w14:textId="77777777" w:rsidR="00686935" w:rsidRPr="00686935" w:rsidRDefault="00686935" w:rsidP="00686935">
            <w:pPr>
              <w:keepNext/>
              <w:spacing w:line="240" w:lineRule="auto"/>
              <w:jc w:val="center"/>
              <w:rPr>
                <w:rFonts w:cs="Arial"/>
                <w:b/>
                <w:bCs/>
                <w:sz w:val="16"/>
                <w:szCs w:val="16"/>
              </w:rPr>
            </w:pPr>
            <w:r w:rsidRPr="00686935">
              <w:rPr>
                <w:rFonts w:cs="Arial"/>
                <w:b/>
                <w:bCs/>
                <w:sz w:val="16"/>
                <w:szCs w:val="16"/>
              </w:rPr>
              <w:t>34%</w:t>
            </w:r>
          </w:p>
        </w:tc>
        <w:tc>
          <w:tcPr>
            <w:tcW w:w="1460" w:type="dxa"/>
            <w:tcBorders>
              <w:top w:val="nil"/>
              <w:left w:val="nil"/>
              <w:bottom w:val="single" w:sz="4" w:space="0" w:color="auto"/>
              <w:right w:val="single" w:sz="4" w:space="0" w:color="auto"/>
            </w:tcBorders>
            <w:shd w:val="clear" w:color="000000" w:fill="FFFFFF"/>
            <w:noWrap/>
            <w:vAlign w:val="center"/>
            <w:hideMark/>
          </w:tcPr>
          <w:p w14:paraId="23C78CBC" w14:textId="77777777" w:rsidR="00686935" w:rsidRPr="00686935" w:rsidRDefault="00686935" w:rsidP="00686935">
            <w:pPr>
              <w:keepNext/>
              <w:spacing w:line="240" w:lineRule="auto"/>
              <w:jc w:val="center"/>
              <w:rPr>
                <w:rFonts w:cs="Arial"/>
                <w:b/>
                <w:bCs/>
                <w:sz w:val="16"/>
                <w:szCs w:val="16"/>
              </w:rPr>
            </w:pPr>
            <w:r w:rsidRPr="00686935">
              <w:rPr>
                <w:rFonts w:cs="Arial"/>
                <w:b/>
                <w:bCs/>
                <w:sz w:val="16"/>
                <w:szCs w:val="16"/>
              </w:rPr>
              <w:t>9%</w:t>
            </w:r>
          </w:p>
        </w:tc>
        <w:tc>
          <w:tcPr>
            <w:tcW w:w="1580" w:type="dxa"/>
            <w:tcBorders>
              <w:top w:val="nil"/>
              <w:left w:val="nil"/>
              <w:bottom w:val="single" w:sz="4" w:space="0" w:color="auto"/>
              <w:right w:val="single" w:sz="4" w:space="0" w:color="auto"/>
            </w:tcBorders>
            <w:shd w:val="clear" w:color="000000" w:fill="FFFFFF"/>
            <w:noWrap/>
            <w:vAlign w:val="center"/>
            <w:hideMark/>
          </w:tcPr>
          <w:p w14:paraId="396ECA89" w14:textId="77777777" w:rsidR="00686935" w:rsidRPr="00686935" w:rsidRDefault="00686935" w:rsidP="00686935">
            <w:pPr>
              <w:keepNext/>
              <w:spacing w:line="240" w:lineRule="auto"/>
              <w:jc w:val="center"/>
              <w:rPr>
                <w:rFonts w:cs="Arial"/>
                <w:b/>
                <w:bCs/>
                <w:sz w:val="16"/>
                <w:szCs w:val="16"/>
              </w:rPr>
            </w:pPr>
            <w:r w:rsidRPr="00686935">
              <w:rPr>
                <w:rFonts w:cs="Arial"/>
                <w:b/>
                <w:bCs/>
                <w:sz w:val="16"/>
                <w:szCs w:val="16"/>
              </w:rPr>
              <w:t>26</w:t>
            </w:r>
          </w:p>
        </w:tc>
      </w:tr>
    </w:tbl>
    <w:p w14:paraId="1B2CD4FC" w14:textId="77777777" w:rsidR="00686935" w:rsidRDefault="00686935" w:rsidP="00A816FA"/>
    <w:p w14:paraId="5D17BC9E" w14:textId="02DF83AF" w:rsidR="00686935" w:rsidRDefault="00686935" w:rsidP="00A816FA">
      <w:r>
        <w:fldChar w:fldCharType="begin"/>
      </w:r>
      <w:r>
        <w:instrText xml:space="preserve"> REF _Ref1466342 \h </w:instrText>
      </w:r>
      <w:r>
        <w:fldChar w:fldCharType="separate"/>
      </w:r>
      <w:r w:rsidR="00413291">
        <w:t xml:space="preserve">Figure </w:t>
      </w:r>
      <w:r w:rsidR="00413291">
        <w:rPr>
          <w:noProof/>
        </w:rPr>
        <w:t>24</w:t>
      </w:r>
      <w:r>
        <w:fldChar w:fldCharType="end"/>
      </w:r>
      <w:r>
        <w:t xml:space="preserve">, below, provides a summary of event </w:t>
      </w:r>
      <w:r w:rsidR="00C54AEC">
        <w:t>“</w:t>
      </w:r>
      <w:r>
        <w:t xml:space="preserve">DR </w:t>
      </w:r>
      <w:r w:rsidR="00C54AEC">
        <w:t xml:space="preserve">only” </w:t>
      </w:r>
      <w:r>
        <w:t xml:space="preserve">impacts. </w:t>
      </w:r>
      <w:r w:rsidR="008960AC">
        <w:t xml:space="preserve">These are the estimated impacts when the baseline </w:t>
      </w:r>
      <w:r w:rsidR="00C54AEC">
        <w:t>already accounts for a customer being enrolled in the program</w:t>
      </w:r>
      <w:r w:rsidR="006334F8">
        <w:t xml:space="preserve">. These demand reductions include only participant response to the notification of a CPP event, and not general daily participant response motivated by participants’ understanding that an event </w:t>
      </w:r>
      <w:r w:rsidR="006334F8">
        <w:rPr>
          <w:i/>
        </w:rPr>
        <w:t>could</w:t>
      </w:r>
      <w:r w:rsidR="006334F8">
        <w:t xml:space="preserve"> occur.</w:t>
      </w:r>
    </w:p>
    <w:p w14:paraId="3A65B351" w14:textId="77777777" w:rsidR="006334F8" w:rsidRPr="006334F8" w:rsidRDefault="006334F8" w:rsidP="00A816FA"/>
    <w:p w14:paraId="36F72C5C" w14:textId="6C628D9A" w:rsidR="00686935" w:rsidRDefault="00686935" w:rsidP="00686935">
      <w:pPr>
        <w:pStyle w:val="Caption"/>
      </w:pPr>
      <w:bookmarkStart w:id="95" w:name="_Ref1466342"/>
      <w:bookmarkStart w:id="96" w:name="_Toc8393632"/>
      <w:r>
        <w:t xml:space="preserve">Figure </w:t>
      </w:r>
      <w:fldSimple w:instr=" SEQ Figure \* ARABIC ">
        <w:r w:rsidR="00413291">
          <w:rPr>
            <w:noProof/>
          </w:rPr>
          <w:t>24</w:t>
        </w:r>
      </w:fldSimple>
      <w:bookmarkEnd w:id="95"/>
      <w:r>
        <w:t>: DR Component of CPP Event Impacts, Average Connectivity</w:t>
      </w:r>
      <w:bookmarkEnd w:id="96"/>
    </w:p>
    <w:tbl>
      <w:tblPr>
        <w:tblW w:w="7400" w:type="dxa"/>
        <w:jc w:val="center"/>
        <w:tblLook w:val="04A0" w:firstRow="1" w:lastRow="0" w:firstColumn="1" w:lastColumn="0" w:noHBand="0" w:noVBand="1"/>
      </w:tblPr>
      <w:tblGrid>
        <w:gridCol w:w="1560"/>
        <w:gridCol w:w="1460"/>
        <w:gridCol w:w="1460"/>
        <w:gridCol w:w="1460"/>
        <w:gridCol w:w="1460"/>
      </w:tblGrid>
      <w:tr w:rsidR="00686935" w:rsidRPr="00686935" w14:paraId="74E9D770" w14:textId="77777777" w:rsidTr="00686935">
        <w:trPr>
          <w:trHeight w:val="200"/>
          <w:jc w:val="center"/>
        </w:trPr>
        <w:tc>
          <w:tcPr>
            <w:tcW w:w="15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1655E083" w14:textId="77777777"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Event Date</w:t>
            </w:r>
          </w:p>
        </w:tc>
        <w:tc>
          <w:tcPr>
            <w:tcW w:w="2920" w:type="dxa"/>
            <w:gridSpan w:val="2"/>
            <w:tcBorders>
              <w:top w:val="single" w:sz="4" w:space="0" w:color="auto"/>
              <w:left w:val="single" w:sz="4" w:space="0" w:color="auto"/>
              <w:bottom w:val="nil"/>
              <w:right w:val="single" w:sz="4" w:space="0" w:color="000000"/>
            </w:tcBorders>
            <w:shd w:val="clear" w:color="000000" w:fill="555759"/>
            <w:noWrap/>
            <w:vAlign w:val="bottom"/>
            <w:hideMark/>
          </w:tcPr>
          <w:p w14:paraId="7792AD1F" w14:textId="30B6730C"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Impact (kW)</w:t>
            </w:r>
          </w:p>
        </w:tc>
        <w:tc>
          <w:tcPr>
            <w:tcW w:w="14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51086C8E" w14:textId="77777777"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Relative Precision +/-% (90% Confidence)</w:t>
            </w:r>
          </w:p>
        </w:tc>
        <w:tc>
          <w:tcPr>
            <w:tcW w:w="146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4B396BD0" w14:textId="38FB69BE"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Temperature (</w:t>
            </w:r>
            <w:r w:rsidRPr="00686935">
              <w:rPr>
                <w:rFonts w:cs="Arial"/>
                <w:color w:val="FFFFFF"/>
                <w:sz w:val="16"/>
                <w:szCs w:val="16"/>
                <w:vertAlign w:val="superscript"/>
              </w:rPr>
              <w:t>o</w:t>
            </w:r>
            <w:r w:rsidRPr="00686935">
              <w:rPr>
                <w:rFonts w:cs="Arial"/>
                <w:color w:val="FFFFFF"/>
                <w:sz w:val="16"/>
                <w:szCs w:val="16"/>
              </w:rPr>
              <w:t>C)</w:t>
            </w:r>
          </w:p>
        </w:tc>
      </w:tr>
      <w:tr w:rsidR="00686935" w:rsidRPr="00686935" w14:paraId="375C02F4" w14:textId="77777777" w:rsidTr="00686935">
        <w:trPr>
          <w:trHeight w:val="200"/>
          <w:jc w:val="center"/>
        </w:trPr>
        <w:tc>
          <w:tcPr>
            <w:tcW w:w="1560" w:type="dxa"/>
            <w:vMerge/>
            <w:tcBorders>
              <w:top w:val="single" w:sz="4" w:space="0" w:color="auto"/>
              <w:left w:val="single" w:sz="4" w:space="0" w:color="auto"/>
              <w:bottom w:val="single" w:sz="4" w:space="0" w:color="000000"/>
              <w:right w:val="nil"/>
            </w:tcBorders>
            <w:vAlign w:val="center"/>
            <w:hideMark/>
          </w:tcPr>
          <w:p w14:paraId="49FACB77" w14:textId="77777777" w:rsidR="00686935" w:rsidRPr="00686935" w:rsidRDefault="00686935" w:rsidP="00045E94">
            <w:pPr>
              <w:keepNext/>
              <w:spacing w:line="240" w:lineRule="auto"/>
              <w:rPr>
                <w:rFonts w:cs="Arial"/>
                <w:color w:val="FFFFFF"/>
                <w:sz w:val="16"/>
                <w:szCs w:val="16"/>
              </w:rPr>
            </w:pPr>
          </w:p>
        </w:tc>
        <w:tc>
          <w:tcPr>
            <w:tcW w:w="1460" w:type="dxa"/>
            <w:tcBorders>
              <w:top w:val="nil"/>
              <w:left w:val="single" w:sz="4" w:space="0" w:color="auto"/>
              <w:bottom w:val="single" w:sz="4" w:space="0" w:color="auto"/>
              <w:right w:val="nil"/>
            </w:tcBorders>
            <w:shd w:val="clear" w:color="000000" w:fill="555759"/>
            <w:vAlign w:val="center"/>
            <w:hideMark/>
          </w:tcPr>
          <w:p w14:paraId="355C5DBC" w14:textId="77777777"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kW</w:t>
            </w:r>
          </w:p>
        </w:tc>
        <w:tc>
          <w:tcPr>
            <w:tcW w:w="1460" w:type="dxa"/>
            <w:tcBorders>
              <w:top w:val="nil"/>
              <w:left w:val="nil"/>
              <w:bottom w:val="single" w:sz="4" w:space="0" w:color="auto"/>
              <w:right w:val="single" w:sz="4" w:space="0" w:color="auto"/>
            </w:tcBorders>
            <w:shd w:val="clear" w:color="000000" w:fill="555759"/>
            <w:vAlign w:val="center"/>
            <w:hideMark/>
          </w:tcPr>
          <w:p w14:paraId="3384D668" w14:textId="77777777" w:rsidR="00686935" w:rsidRPr="00686935" w:rsidRDefault="00686935" w:rsidP="00045E94">
            <w:pPr>
              <w:keepNext/>
              <w:spacing w:line="240" w:lineRule="auto"/>
              <w:jc w:val="center"/>
              <w:rPr>
                <w:rFonts w:cs="Arial"/>
                <w:color w:val="FFFFFF"/>
                <w:sz w:val="16"/>
                <w:szCs w:val="16"/>
              </w:rPr>
            </w:pPr>
            <w:r w:rsidRPr="00686935">
              <w:rPr>
                <w:rFonts w:cs="Arial"/>
                <w:color w:val="FFFFFF"/>
                <w:sz w:val="16"/>
                <w:szCs w:val="16"/>
              </w:rPr>
              <w:t>%</w:t>
            </w:r>
          </w:p>
        </w:tc>
        <w:tc>
          <w:tcPr>
            <w:tcW w:w="1460" w:type="dxa"/>
            <w:vMerge/>
            <w:tcBorders>
              <w:top w:val="single" w:sz="4" w:space="0" w:color="auto"/>
              <w:left w:val="single" w:sz="4" w:space="0" w:color="auto"/>
              <w:bottom w:val="single" w:sz="4" w:space="0" w:color="000000"/>
              <w:right w:val="nil"/>
            </w:tcBorders>
            <w:vAlign w:val="center"/>
            <w:hideMark/>
          </w:tcPr>
          <w:p w14:paraId="0A2216D8" w14:textId="77777777" w:rsidR="00686935" w:rsidRPr="00686935" w:rsidRDefault="00686935" w:rsidP="00045E94">
            <w:pPr>
              <w:keepNext/>
              <w:spacing w:line="240" w:lineRule="auto"/>
              <w:rPr>
                <w:rFonts w:cs="Arial"/>
                <w:color w:val="FFFFFF"/>
                <w:sz w:val="16"/>
                <w:szCs w:val="16"/>
              </w:rPr>
            </w:pPr>
          </w:p>
        </w:tc>
        <w:tc>
          <w:tcPr>
            <w:tcW w:w="1460" w:type="dxa"/>
            <w:vMerge/>
            <w:tcBorders>
              <w:top w:val="single" w:sz="4" w:space="0" w:color="auto"/>
              <w:left w:val="nil"/>
              <w:bottom w:val="single" w:sz="4" w:space="0" w:color="000000"/>
              <w:right w:val="single" w:sz="4" w:space="0" w:color="auto"/>
            </w:tcBorders>
            <w:vAlign w:val="center"/>
            <w:hideMark/>
          </w:tcPr>
          <w:p w14:paraId="58D325BF" w14:textId="77777777" w:rsidR="00686935" w:rsidRPr="00686935" w:rsidRDefault="00686935" w:rsidP="00045E94">
            <w:pPr>
              <w:keepNext/>
              <w:spacing w:line="240" w:lineRule="auto"/>
              <w:rPr>
                <w:rFonts w:cs="Arial"/>
                <w:color w:val="FFFFFF"/>
                <w:sz w:val="16"/>
                <w:szCs w:val="16"/>
              </w:rPr>
            </w:pPr>
          </w:p>
        </w:tc>
      </w:tr>
      <w:tr w:rsidR="00686935" w:rsidRPr="00686935" w14:paraId="52FDBAE1"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FEA1A1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2018-06-01</w:t>
            </w:r>
          </w:p>
        </w:tc>
        <w:tc>
          <w:tcPr>
            <w:tcW w:w="1460" w:type="dxa"/>
            <w:tcBorders>
              <w:top w:val="nil"/>
              <w:left w:val="nil"/>
              <w:bottom w:val="nil"/>
              <w:right w:val="single" w:sz="4" w:space="0" w:color="auto"/>
            </w:tcBorders>
            <w:shd w:val="clear" w:color="000000" w:fill="FFFFFF"/>
            <w:noWrap/>
            <w:vAlign w:val="center"/>
            <w:hideMark/>
          </w:tcPr>
          <w:p w14:paraId="32F6C65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0.53</w:t>
            </w:r>
          </w:p>
        </w:tc>
        <w:tc>
          <w:tcPr>
            <w:tcW w:w="1460" w:type="dxa"/>
            <w:tcBorders>
              <w:top w:val="nil"/>
              <w:left w:val="nil"/>
              <w:bottom w:val="nil"/>
              <w:right w:val="single" w:sz="4" w:space="0" w:color="auto"/>
            </w:tcBorders>
            <w:shd w:val="clear" w:color="000000" w:fill="FFFFFF"/>
            <w:noWrap/>
            <w:vAlign w:val="center"/>
            <w:hideMark/>
          </w:tcPr>
          <w:p w14:paraId="402381A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29%</w:t>
            </w:r>
          </w:p>
        </w:tc>
        <w:tc>
          <w:tcPr>
            <w:tcW w:w="1460" w:type="dxa"/>
            <w:tcBorders>
              <w:top w:val="nil"/>
              <w:left w:val="nil"/>
              <w:bottom w:val="nil"/>
              <w:right w:val="single" w:sz="4" w:space="0" w:color="auto"/>
            </w:tcBorders>
            <w:shd w:val="clear" w:color="000000" w:fill="FFFFFF"/>
            <w:noWrap/>
            <w:vAlign w:val="center"/>
            <w:hideMark/>
          </w:tcPr>
          <w:p w14:paraId="2D317DD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8%</w:t>
            </w:r>
          </w:p>
        </w:tc>
        <w:tc>
          <w:tcPr>
            <w:tcW w:w="1460" w:type="dxa"/>
            <w:tcBorders>
              <w:top w:val="nil"/>
              <w:left w:val="nil"/>
              <w:bottom w:val="nil"/>
              <w:right w:val="single" w:sz="4" w:space="0" w:color="auto"/>
            </w:tcBorders>
            <w:shd w:val="clear" w:color="000000" w:fill="FFFFFF"/>
            <w:noWrap/>
            <w:vAlign w:val="center"/>
            <w:hideMark/>
          </w:tcPr>
          <w:p w14:paraId="5EB4A3D3"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24</w:t>
            </w:r>
          </w:p>
        </w:tc>
      </w:tr>
      <w:tr w:rsidR="00686935" w:rsidRPr="00686935" w14:paraId="1143F33C"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AF732C9"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2018-06-18</w:t>
            </w:r>
          </w:p>
        </w:tc>
        <w:tc>
          <w:tcPr>
            <w:tcW w:w="1460" w:type="dxa"/>
            <w:tcBorders>
              <w:top w:val="nil"/>
              <w:left w:val="nil"/>
              <w:bottom w:val="nil"/>
              <w:right w:val="single" w:sz="4" w:space="0" w:color="auto"/>
            </w:tcBorders>
            <w:shd w:val="clear" w:color="000000" w:fill="F2F2F2"/>
            <w:noWrap/>
            <w:vAlign w:val="center"/>
            <w:hideMark/>
          </w:tcPr>
          <w:p w14:paraId="28643C3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0.58</w:t>
            </w:r>
          </w:p>
        </w:tc>
        <w:tc>
          <w:tcPr>
            <w:tcW w:w="1460" w:type="dxa"/>
            <w:tcBorders>
              <w:top w:val="nil"/>
              <w:left w:val="nil"/>
              <w:bottom w:val="nil"/>
              <w:right w:val="single" w:sz="4" w:space="0" w:color="auto"/>
            </w:tcBorders>
            <w:shd w:val="clear" w:color="000000" w:fill="F2F2F2"/>
            <w:noWrap/>
            <w:vAlign w:val="center"/>
            <w:hideMark/>
          </w:tcPr>
          <w:p w14:paraId="2865B7F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30%</w:t>
            </w:r>
          </w:p>
        </w:tc>
        <w:tc>
          <w:tcPr>
            <w:tcW w:w="1460" w:type="dxa"/>
            <w:tcBorders>
              <w:top w:val="nil"/>
              <w:left w:val="nil"/>
              <w:bottom w:val="nil"/>
              <w:right w:val="single" w:sz="4" w:space="0" w:color="auto"/>
            </w:tcBorders>
            <w:shd w:val="clear" w:color="000000" w:fill="F2F2F2"/>
            <w:noWrap/>
            <w:vAlign w:val="center"/>
            <w:hideMark/>
          </w:tcPr>
          <w:p w14:paraId="614F068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2F2F2"/>
            <w:noWrap/>
            <w:vAlign w:val="center"/>
            <w:hideMark/>
          </w:tcPr>
          <w:p w14:paraId="2FBA1853"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25</w:t>
            </w:r>
          </w:p>
        </w:tc>
      </w:tr>
      <w:tr w:rsidR="00686935" w:rsidRPr="00686935" w14:paraId="5713BB9F"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6D6F86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2018-06-29</w:t>
            </w:r>
          </w:p>
        </w:tc>
        <w:tc>
          <w:tcPr>
            <w:tcW w:w="1460" w:type="dxa"/>
            <w:tcBorders>
              <w:top w:val="nil"/>
              <w:left w:val="nil"/>
              <w:bottom w:val="nil"/>
              <w:right w:val="single" w:sz="4" w:space="0" w:color="auto"/>
            </w:tcBorders>
            <w:shd w:val="clear" w:color="000000" w:fill="FFFFFF"/>
            <w:noWrap/>
            <w:vAlign w:val="center"/>
            <w:hideMark/>
          </w:tcPr>
          <w:p w14:paraId="300526D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0.68</w:t>
            </w:r>
          </w:p>
        </w:tc>
        <w:tc>
          <w:tcPr>
            <w:tcW w:w="1460" w:type="dxa"/>
            <w:tcBorders>
              <w:top w:val="nil"/>
              <w:left w:val="nil"/>
              <w:bottom w:val="nil"/>
              <w:right w:val="single" w:sz="4" w:space="0" w:color="auto"/>
            </w:tcBorders>
            <w:shd w:val="clear" w:color="000000" w:fill="FFFFFF"/>
            <w:noWrap/>
            <w:vAlign w:val="center"/>
            <w:hideMark/>
          </w:tcPr>
          <w:p w14:paraId="50AFFD9E"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32%</w:t>
            </w:r>
          </w:p>
        </w:tc>
        <w:tc>
          <w:tcPr>
            <w:tcW w:w="1460" w:type="dxa"/>
            <w:tcBorders>
              <w:top w:val="nil"/>
              <w:left w:val="nil"/>
              <w:bottom w:val="nil"/>
              <w:right w:val="single" w:sz="4" w:space="0" w:color="auto"/>
            </w:tcBorders>
            <w:shd w:val="clear" w:color="000000" w:fill="FFFFFF"/>
            <w:noWrap/>
            <w:vAlign w:val="center"/>
            <w:hideMark/>
          </w:tcPr>
          <w:p w14:paraId="0AA1656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6CBAD89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28</w:t>
            </w:r>
          </w:p>
        </w:tc>
      </w:tr>
      <w:tr w:rsidR="00686935" w:rsidRPr="00686935" w14:paraId="6FDCAA1A"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B11A764"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2018-07-03</w:t>
            </w:r>
          </w:p>
        </w:tc>
        <w:tc>
          <w:tcPr>
            <w:tcW w:w="1460" w:type="dxa"/>
            <w:tcBorders>
              <w:top w:val="nil"/>
              <w:left w:val="nil"/>
              <w:bottom w:val="nil"/>
              <w:right w:val="single" w:sz="4" w:space="0" w:color="auto"/>
            </w:tcBorders>
            <w:shd w:val="clear" w:color="000000" w:fill="F2F2F2"/>
            <w:noWrap/>
            <w:vAlign w:val="center"/>
            <w:hideMark/>
          </w:tcPr>
          <w:p w14:paraId="5F4F7EFE"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0.77</w:t>
            </w:r>
          </w:p>
        </w:tc>
        <w:tc>
          <w:tcPr>
            <w:tcW w:w="1460" w:type="dxa"/>
            <w:tcBorders>
              <w:top w:val="nil"/>
              <w:left w:val="nil"/>
              <w:bottom w:val="nil"/>
              <w:right w:val="single" w:sz="4" w:space="0" w:color="auto"/>
            </w:tcBorders>
            <w:shd w:val="clear" w:color="000000" w:fill="F2F2F2"/>
            <w:noWrap/>
            <w:vAlign w:val="center"/>
            <w:hideMark/>
          </w:tcPr>
          <w:p w14:paraId="07C7C40C"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36%</w:t>
            </w:r>
          </w:p>
        </w:tc>
        <w:tc>
          <w:tcPr>
            <w:tcW w:w="1460" w:type="dxa"/>
            <w:tcBorders>
              <w:top w:val="nil"/>
              <w:left w:val="nil"/>
              <w:bottom w:val="nil"/>
              <w:right w:val="single" w:sz="4" w:space="0" w:color="auto"/>
            </w:tcBorders>
            <w:shd w:val="clear" w:color="000000" w:fill="F2F2F2"/>
            <w:noWrap/>
            <w:vAlign w:val="center"/>
            <w:hideMark/>
          </w:tcPr>
          <w:p w14:paraId="15B8B7C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2F2F2"/>
            <w:noWrap/>
            <w:vAlign w:val="center"/>
            <w:hideMark/>
          </w:tcPr>
          <w:p w14:paraId="6A70438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30</w:t>
            </w:r>
          </w:p>
        </w:tc>
      </w:tr>
      <w:tr w:rsidR="00686935" w:rsidRPr="00686935" w14:paraId="7538650D"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F768986"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2018-07-04</w:t>
            </w:r>
          </w:p>
        </w:tc>
        <w:tc>
          <w:tcPr>
            <w:tcW w:w="1460" w:type="dxa"/>
            <w:tcBorders>
              <w:top w:val="nil"/>
              <w:left w:val="nil"/>
              <w:bottom w:val="nil"/>
              <w:right w:val="single" w:sz="4" w:space="0" w:color="auto"/>
            </w:tcBorders>
            <w:shd w:val="clear" w:color="000000" w:fill="FFFFFF"/>
            <w:noWrap/>
            <w:vAlign w:val="center"/>
            <w:hideMark/>
          </w:tcPr>
          <w:p w14:paraId="0186D10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0.80</w:t>
            </w:r>
          </w:p>
        </w:tc>
        <w:tc>
          <w:tcPr>
            <w:tcW w:w="1460" w:type="dxa"/>
            <w:tcBorders>
              <w:top w:val="nil"/>
              <w:left w:val="nil"/>
              <w:bottom w:val="nil"/>
              <w:right w:val="single" w:sz="4" w:space="0" w:color="auto"/>
            </w:tcBorders>
            <w:shd w:val="clear" w:color="000000" w:fill="FFFFFF"/>
            <w:noWrap/>
            <w:vAlign w:val="center"/>
            <w:hideMark/>
          </w:tcPr>
          <w:p w14:paraId="2C0E541C"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36%</w:t>
            </w:r>
          </w:p>
        </w:tc>
        <w:tc>
          <w:tcPr>
            <w:tcW w:w="1460" w:type="dxa"/>
            <w:tcBorders>
              <w:top w:val="nil"/>
              <w:left w:val="nil"/>
              <w:bottom w:val="nil"/>
              <w:right w:val="single" w:sz="4" w:space="0" w:color="auto"/>
            </w:tcBorders>
            <w:shd w:val="clear" w:color="000000" w:fill="FFFFFF"/>
            <w:noWrap/>
            <w:vAlign w:val="center"/>
            <w:hideMark/>
          </w:tcPr>
          <w:p w14:paraId="3CBD8A1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8%</w:t>
            </w:r>
          </w:p>
        </w:tc>
        <w:tc>
          <w:tcPr>
            <w:tcW w:w="1460" w:type="dxa"/>
            <w:tcBorders>
              <w:top w:val="nil"/>
              <w:left w:val="nil"/>
              <w:bottom w:val="nil"/>
              <w:right w:val="single" w:sz="4" w:space="0" w:color="auto"/>
            </w:tcBorders>
            <w:shd w:val="clear" w:color="000000" w:fill="FFFFFF"/>
            <w:noWrap/>
            <w:vAlign w:val="center"/>
            <w:hideMark/>
          </w:tcPr>
          <w:p w14:paraId="4E678A7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31</w:t>
            </w:r>
          </w:p>
        </w:tc>
      </w:tr>
      <w:tr w:rsidR="00686935" w:rsidRPr="00686935" w14:paraId="02365B6E"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F8991CC"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2018-07-05</w:t>
            </w:r>
          </w:p>
        </w:tc>
        <w:tc>
          <w:tcPr>
            <w:tcW w:w="1460" w:type="dxa"/>
            <w:tcBorders>
              <w:top w:val="nil"/>
              <w:left w:val="nil"/>
              <w:bottom w:val="nil"/>
              <w:right w:val="single" w:sz="4" w:space="0" w:color="auto"/>
            </w:tcBorders>
            <w:shd w:val="clear" w:color="000000" w:fill="F2F2F2"/>
            <w:noWrap/>
            <w:vAlign w:val="center"/>
            <w:hideMark/>
          </w:tcPr>
          <w:p w14:paraId="2BAAEC2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0.58</w:t>
            </w:r>
          </w:p>
        </w:tc>
        <w:tc>
          <w:tcPr>
            <w:tcW w:w="1460" w:type="dxa"/>
            <w:tcBorders>
              <w:top w:val="nil"/>
              <w:left w:val="nil"/>
              <w:bottom w:val="nil"/>
              <w:right w:val="single" w:sz="4" w:space="0" w:color="auto"/>
            </w:tcBorders>
            <w:shd w:val="clear" w:color="000000" w:fill="F2F2F2"/>
            <w:noWrap/>
            <w:vAlign w:val="center"/>
            <w:hideMark/>
          </w:tcPr>
          <w:p w14:paraId="57320149"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31%</w:t>
            </w:r>
          </w:p>
        </w:tc>
        <w:tc>
          <w:tcPr>
            <w:tcW w:w="1460" w:type="dxa"/>
            <w:tcBorders>
              <w:top w:val="nil"/>
              <w:left w:val="nil"/>
              <w:bottom w:val="nil"/>
              <w:right w:val="single" w:sz="4" w:space="0" w:color="auto"/>
            </w:tcBorders>
            <w:shd w:val="clear" w:color="000000" w:fill="F2F2F2"/>
            <w:noWrap/>
            <w:vAlign w:val="center"/>
            <w:hideMark/>
          </w:tcPr>
          <w:p w14:paraId="3468300D"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2F2F2"/>
            <w:noWrap/>
            <w:vAlign w:val="center"/>
            <w:hideMark/>
          </w:tcPr>
          <w:p w14:paraId="1C08371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25</w:t>
            </w:r>
          </w:p>
        </w:tc>
      </w:tr>
      <w:tr w:rsidR="00686935" w:rsidRPr="00686935" w14:paraId="16597429"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A5E37E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2018-07-16</w:t>
            </w:r>
          </w:p>
        </w:tc>
        <w:tc>
          <w:tcPr>
            <w:tcW w:w="1460" w:type="dxa"/>
            <w:tcBorders>
              <w:top w:val="nil"/>
              <w:left w:val="nil"/>
              <w:bottom w:val="nil"/>
              <w:right w:val="single" w:sz="4" w:space="0" w:color="auto"/>
            </w:tcBorders>
            <w:shd w:val="clear" w:color="000000" w:fill="FFFFFF"/>
            <w:noWrap/>
            <w:vAlign w:val="center"/>
            <w:hideMark/>
          </w:tcPr>
          <w:p w14:paraId="0B940B9E"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0.58</w:t>
            </w:r>
          </w:p>
        </w:tc>
        <w:tc>
          <w:tcPr>
            <w:tcW w:w="1460" w:type="dxa"/>
            <w:tcBorders>
              <w:top w:val="nil"/>
              <w:left w:val="nil"/>
              <w:bottom w:val="nil"/>
              <w:right w:val="single" w:sz="4" w:space="0" w:color="auto"/>
            </w:tcBorders>
            <w:shd w:val="clear" w:color="000000" w:fill="FFFFFF"/>
            <w:noWrap/>
            <w:vAlign w:val="center"/>
            <w:hideMark/>
          </w:tcPr>
          <w:p w14:paraId="498E5D54"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30%</w:t>
            </w:r>
          </w:p>
        </w:tc>
        <w:tc>
          <w:tcPr>
            <w:tcW w:w="1460" w:type="dxa"/>
            <w:tcBorders>
              <w:top w:val="nil"/>
              <w:left w:val="nil"/>
              <w:bottom w:val="nil"/>
              <w:right w:val="single" w:sz="4" w:space="0" w:color="auto"/>
            </w:tcBorders>
            <w:shd w:val="clear" w:color="000000" w:fill="FFFFFF"/>
            <w:noWrap/>
            <w:vAlign w:val="center"/>
            <w:hideMark/>
          </w:tcPr>
          <w:p w14:paraId="759F2A71"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762C2377"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25</w:t>
            </w:r>
          </w:p>
        </w:tc>
      </w:tr>
      <w:tr w:rsidR="00686935" w:rsidRPr="00686935" w14:paraId="70922916"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0C9F9F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2018-07-17</w:t>
            </w:r>
          </w:p>
        </w:tc>
        <w:tc>
          <w:tcPr>
            <w:tcW w:w="1460" w:type="dxa"/>
            <w:tcBorders>
              <w:top w:val="nil"/>
              <w:left w:val="nil"/>
              <w:bottom w:val="nil"/>
              <w:right w:val="single" w:sz="4" w:space="0" w:color="auto"/>
            </w:tcBorders>
            <w:shd w:val="clear" w:color="000000" w:fill="F2F2F2"/>
            <w:noWrap/>
            <w:vAlign w:val="center"/>
            <w:hideMark/>
          </w:tcPr>
          <w:p w14:paraId="5F879E5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0.45</w:t>
            </w:r>
          </w:p>
        </w:tc>
        <w:tc>
          <w:tcPr>
            <w:tcW w:w="1460" w:type="dxa"/>
            <w:tcBorders>
              <w:top w:val="nil"/>
              <w:left w:val="nil"/>
              <w:bottom w:val="nil"/>
              <w:right w:val="single" w:sz="4" w:space="0" w:color="auto"/>
            </w:tcBorders>
            <w:shd w:val="clear" w:color="000000" w:fill="F2F2F2"/>
            <w:noWrap/>
            <w:vAlign w:val="center"/>
            <w:hideMark/>
          </w:tcPr>
          <w:p w14:paraId="70D199F6"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30%</w:t>
            </w:r>
          </w:p>
        </w:tc>
        <w:tc>
          <w:tcPr>
            <w:tcW w:w="1460" w:type="dxa"/>
            <w:tcBorders>
              <w:top w:val="nil"/>
              <w:left w:val="nil"/>
              <w:bottom w:val="nil"/>
              <w:right w:val="single" w:sz="4" w:space="0" w:color="auto"/>
            </w:tcBorders>
            <w:shd w:val="clear" w:color="000000" w:fill="F2F2F2"/>
            <w:noWrap/>
            <w:vAlign w:val="center"/>
            <w:hideMark/>
          </w:tcPr>
          <w:p w14:paraId="340C666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12%</w:t>
            </w:r>
          </w:p>
        </w:tc>
        <w:tc>
          <w:tcPr>
            <w:tcW w:w="1460" w:type="dxa"/>
            <w:tcBorders>
              <w:top w:val="nil"/>
              <w:left w:val="nil"/>
              <w:bottom w:val="nil"/>
              <w:right w:val="single" w:sz="4" w:space="0" w:color="auto"/>
            </w:tcBorders>
            <w:shd w:val="clear" w:color="000000" w:fill="F2F2F2"/>
            <w:noWrap/>
            <w:vAlign w:val="center"/>
            <w:hideMark/>
          </w:tcPr>
          <w:p w14:paraId="5AC271BC"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22</w:t>
            </w:r>
          </w:p>
        </w:tc>
      </w:tr>
      <w:tr w:rsidR="00686935" w:rsidRPr="00686935" w14:paraId="14331B4B"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23F317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2018-07-24</w:t>
            </w:r>
          </w:p>
        </w:tc>
        <w:tc>
          <w:tcPr>
            <w:tcW w:w="1460" w:type="dxa"/>
            <w:tcBorders>
              <w:top w:val="nil"/>
              <w:left w:val="nil"/>
              <w:bottom w:val="nil"/>
              <w:right w:val="single" w:sz="4" w:space="0" w:color="auto"/>
            </w:tcBorders>
            <w:shd w:val="clear" w:color="000000" w:fill="FFFFFF"/>
            <w:noWrap/>
            <w:vAlign w:val="center"/>
            <w:hideMark/>
          </w:tcPr>
          <w:p w14:paraId="3D5A9C6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0.57</w:t>
            </w:r>
          </w:p>
        </w:tc>
        <w:tc>
          <w:tcPr>
            <w:tcW w:w="1460" w:type="dxa"/>
            <w:tcBorders>
              <w:top w:val="nil"/>
              <w:left w:val="nil"/>
              <w:bottom w:val="nil"/>
              <w:right w:val="single" w:sz="4" w:space="0" w:color="auto"/>
            </w:tcBorders>
            <w:shd w:val="clear" w:color="000000" w:fill="FFFFFF"/>
            <w:noWrap/>
            <w:vAlign w:val="center"/>
            <w:hideMark/>
          </w:tcPr>
          <w:p w14:paraId="582E9E9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33%</w:t>
            </w:r>
          </w:p>
        </w:tc>
        <w:tc>
          <w:tcPr>
            <w:tcW w:w="1460" w:type="dxa"/>
            <w:tcBorders>
              <w:top w:val="nil"/>
              <w:left w:val="nil"/>
              <w:bottom w:val="nil"/>
              <w:right w:val="single" w:sz="4" w:space="0" w:color="auto"/>
            </w:tcBorders>
            <w:shd w:val="clear" w:color="000000" w:fill="FFFFFF"/>
            <w:noWrap/>
            <w:vAlign w:val="center"/>
            <w:hideMark/>
          </w:tcPr>
          <w:p w14:paraId="0F85EC4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1FC64433"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25</w:t>
            </w:r>
          </w:p>
        </w:tc>
      </w:tr>
      <w:tr w:rsidR="00686935" w:rsidRPr="00686935" w14:paraId="3B9E23DA"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7AAB9A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2018-08-07</w:t>
            </w:r>
          </w:p>
        </w:tc>
        <w:tc>
          <w:tcPr>
            <w:tcW w:w="1460" w:type="dxa"/>
            <w:tcBorders>
              <w:top w:val="nil"/>
              <w:left w:val="nil"/>
              <w:bottom w:val="nil"/>
              <w:right w:val="single" w:sz="4" w:space="0" w:color="auto"/>
            </w:tcBorders>
            <w:shd w:val="clear" w:color="000000" w:fill="F2F2F2"/>
            <w:noWrap/>
            <w:vAlign w:val="center"/>
            <w:hideMark/>
          </w:tcPr>
          <w:p w14:paraId="3BA1185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0.58</w:t>
            </w:r>
          </w:p>
        </w:tc>
        <w:tc>
          <w:tcPr>
            <w:tcW w:w="1460" w:type="dxa"/>
            <w:tcBorders>
              <w:top w:val="nil"/>
              <w:left w:val="nil"/>
              <w:bottom w:val="nil"/>
              <w:right w:val="single" w:sz="4" w:space="0" w:color="auto"/>
            </w:tcBorders>
            <w:shd w:val="clear" w:color="000000" w:fill="F2F2F2"/>
            <w:noWrap/>
            <w:vAlign w:val="center"/>
            <w:hideMark/>
          </w:tcPr>
          <w:p w14:paraId="2E3028FC"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31%</w:t>
            </w:r>
          </w:p>
        </w:tc>
        <w:tc>
          <w:tcPr>
            <w:tcW w:w="1460" w:type="dxa"/>
            <w:tcBorders>
              <w:top w:val="nil"/>
              <w:left w:val="nil"/>
              <w:bottom w:val="nil"/>
              <w:right w:val="single" w:sz="4" w:space="0" w:color="auto"/>
            </w:tcBorders>
            <w:shd w:val="clear" w:color="000000" w:fill="F2F2F2"/>
            <w:noWrap/>
            <w:vAlign w:val="center"/>
            <w:hideMark/>
          </w:tcPr>
          <w:p w14:paraId="08A121C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2F2F2"/>
            <w:noWrap/>
            <w:vAlign w:val="center"/>
            <w:hideMark/>
          </w:tcPr>
          <w:p w14:paraId="289A1ED9"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26</w:t>
            </w:r>
          </w:p>
        </w:tc>
      </w:tr>
      <w:tr w:rsidR="00686935" w:rsidRPr="00686935" w14:paraId="3DEEB964"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CD244CD"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2018-08-15</w:t>
            </w:r>
          </w:p>
        </w:tc>
        <w:tc>
          <w:tcPr>
            <w:tcW w:w="1460" w:type="dxa"/>
            <w:tcBorders>
              <w:top w:val="nil"/>
              <w:left w:val="nil"/>
              <w:bottom w:val="nil"/>
              <w:right w:val="single" w:sz="4" w:space="0" w:color="auto"/>
            </w:tcBorders>
            <w:shd w:val="clear" w:color="000000" w:fill="FFFFFF"/>
            <w:noWrap/>
            <w:vAlign w:val="center"/>
            <w:hideMark/>
          </w:tcPr>
          <w:p w14:paraId="69A647C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0.63</w:t>
            </w:r>
          </w:p>
        </w:tc>
        <w:tc>
          <w:tcPr>
            <w:tcW w:w="1460" w:type="dxa"/>
            <w:tcBorders>
              <w:top w:val="nil"/>
              <w:left w:val="nil"/>
              <w:bottom w:val="nil"/>
              <w:right w:val="single" w:sz="4" w:space="0" w:color="auto"/>
            </w:tcBorders>
            <w:shd w:val="clear" w:color="000000" w:fill="FFFFFF"/>
            <w:noWrap/>
            <w:vAlign w:val="center"/>
            <w:hideMark/>
          </w:tcPr>
          <w:p w14:paraId="2B1DBA26"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32%</w:t>
            </w:r>
          </w:p>
        </w:tc>
        <w:tc>
          <w:tcPr>
            <w:tcW w:w="1460" w:type="dxa"/>
            <w:tcBorders>
              <w:top w:val="nil"/>
              <w:left w:val="nil"/>
              <w:bottom w:val="nil"/>
              <w:right w:val="single" w:sz="4" w:space="0" w:color="auto"/>
            </w:tcBorders>
            <w:shd w:val="clear" w:color="000000" w:fill="FFFFFF"/>
            <w:noWrap/>
            <w:vAlign w:val="center"/>
            <w:hideMark/>
          </w:tcPr>
          <w:p w14:paraId="2E7B178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43415F3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27</w:t>
            </w:r>
          </w:p>
        </w:tc>
      </w:tr>
      <w:tr w:rsidR="00686935" w:rsidRPr="00686935" w14:paraId="061705C7"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A4B0733"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2018-08-16</w:t>
            </w:r>
          </w:p>
        </w:tc>
        <w:tc>
          <w:tcPr>
            <w:tcW w:w="1460" w:type="dxa"/>
            <w:tcBorders>
              <w:top w:val="nil"/>
              <w:left w:val="nil"/>
              <w:bottom w:val="nil"/>
              <w:right w:val="single" w:sz="4" w:space="0" w:color="auto"/>
            </w:tcBorders>
            <w:shd w:val="clear" w:color="000000" w:fill="F2F2F2"/>
            <w:noWrap/>
            <w:vAlign w:val="center"/>
            <w:hideMark/>
          </w:tcPr>
          <w:p w14:paraId="7B5FE92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0.49</w:t>
            </w:r>
          </w:p>
        </w:tc>
        <w:tc>
          <w:tcPr>
            <w:tcW w:w="1460" w:type="dxa"/>
            <w:tcBorders>
              <w:top w:val="nil"/>
              <w:left w:val="nil"/>
              <w:bottom w:val="nil"/>
              <w:right w:val="single" w:sz="4" w:space="0" w:color="auto"/>
            </w:tcBorders>
            <w:shd w:val="clear" w:color="000000" w:fill="F2F2F2"/>
            <w:noWrap/>
            <w:vAlign w:val="center"/>
            <w:hideMark/>
          </w:tcPr>
          <w:p w14:paraId="2980246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31%</w:t>
            </w:r>
          </w:p>
        </w:tc>
        <w:tc>
          <w:tcPr>
            <w:tcW w:w="1460" w:type="dxa"/>
            <w:tcBorders>
              <w:top w:val="nil"/>
              <w:left w:val="nil"/>
              <w:bottom w:val="nil"/>
              <w:right w:val="single" w:sz="4" w:space="0" w:color="auto"/>
            </w:tcBorders>
            <w:shd w:val="clear" w:color="000000" w:fill="F2F2F2"/>
            <w:noWrap/>
            <w:vAlign w:val="center"/>
            <w:hideMark/>
          </w:tcPr>
          <w:p w14:paraId="340270B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10%</w:t>
            </w:r>
          </w:p>
        </w:tc>
        <w:tc>
          <w:tcPr>
            <w:tcW w:w="1460" w:type="dxa"/>
            <w:tcBorders>
              <w:top w:val="nil"/>
              <w:left w:val="nil"/>
              <w:bottom w:val="nil"/>
              <w:right w:val="single" w:sz="4" w:space="0" w:color="auto"/>
            </w:tcBorders>
            <w:shd w:val="clear" w:color="000000" w:fill="F2F2F2"/>
            <w:noWrap/>
            <w:vAlign w:val="center"/>
            <w:hideMark/>
          </w:tcPr>
          <w:p w14:paraId="5CAA233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23</w:t>
            </w:r>
          </w:p>
        </w:tc>
      </w:tr>
      <w:tr w:rsidR="00686935" w:rsidRPr="00686935" w14:paraId="097BDBC1"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C45474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2018-08-17</w:t>
            </w:r>
          </w:p>
        </w:tc>
        <w:tc>
          <w:tcPr>
            <w:tcW w:w="1460" w:type="dxa"/>
            <w:tcBorders>
              <w:top w:val="nil"/>
              <w:left w:val="nil"/>
              <w:bottom w:val="nil"/>
              <w:right w:val="single" w:sz="4" w:space="0" w:color="auto"/>
            </w:tcBorders>
            <w:shd w:val="clear" w:color="000000" w:fill="FFFFFF"/>
            <w:noWrap/>
            <w:vAlign w:val="center"/>
            <w:hideMark/>
          </w:tcPr>
          <w:p w14:paraId="48CB900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0.51</w:t>
            </w:r>
          </w:p>
        </w:tc>
        <w:tc>
          <w:tcPr>
            <w:tcW w:w="1460" w:type="dxa"/>
            <w:tcBorders>
              <w:top w:val="nil"/>
              <w:left w:val="nil"/>
              <w:bottom w:val="nil"/>
              <w:right w:val="single" w:sz="4" w:space="0" w:color="auto"/>
            </w:tcBorders>
            <w:shd w:val="clear" w:color="000000" w:fill="FFFFFF"/>
            <w:noWrap/>
            <w:vAlign w:val="center"/>
            <w:hideMark/>
          </w:tcPr>
          <w:p w14:paraId="44607F2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31%</w:t>
            </w:r>
          </w:p>
        </w:tc>
        <w:tc>
          <w:tcPr>
            <w:tcW w:w="1460" w:type="dxa"/>
            <w:tcBorders>
              <w:top w:val="nil"/>
              <w:left w:val="nil"/>
              <w:bottom w:val="nil"/>
              <w:right w:val="single" w:sz="4" w:space="0" w:color="auto"/>
            </w:tcBorders>
            <w:shd w:val="clear" w:color="000000" w:fill="FFFFFF"/>
            <w:noWrap/>
            <w:vAlign w:val="center"/>
            <w:hideMark/>
          </w:tcPr>
          <w:p w14:paraId="44FBFB7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9%</w:t>
            </w:r>
          </w:p>
        </w:tc>
        <w:tc>
          <w:tcPr>
            <w:tcW w:w="1460" w:type="dxa"/>
            <w:tcBorders>
              <w:top w:val="nil"/>
              <w:left w:val="nil"/>
              <w:bottom w:val="nil"/>
              <w:right w:val="single" w:sz="4" w:space="0" w:color="auto"/>
            </w:tcBorders>
            <w:shd w:val="clear" w:color="000000" w:fill="FFFFFF"/>
            <w:noWrap/>
            <w:vAlign w:val="center"/>
            <w:hideMark/>
          </w:tcPr>
          <w:p w14:paraId="11EB4327"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24</w:t>
            </w:r>
          </w:p>
        </w:tc>
      </w:tr>
      <w:tr w:rsidR="00686935" w:rsidRPr="00686935" w14:paraId="32E8E63E"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FAA318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2018-08-20</w:t>
            </w:r>
          </w:p>
        </w:tc>
        <w:tc>
          <w:tcPr>
            <w:tcW w:w="1460" w:type="dxa"/>
            <w:tcBorders>
              <w:top w:val="nil"/>
              <w:left w:val="nil"/>
              <w:bottom w:val="nil"/>
              <w:right w:val="single" w:sz="4" w:space="0" w:color="auto"/>
            </w:tcBorders>
            <w:shd w:val="clear" w:color="000000" w:fill="F2F2F2"/>
            <w:noWrap/>
            <w:vAlign w:val="center"/>
            <w:hideMark/>
          </w:tcPr>
          <w:p w14:paraId="6F3A437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0.55</w:t>
            </w:r>
          </w:p>
        </w:tc>
        <w:tc>
          <w:tcPr>
            <w:tcW w:w="1460" w:type="dxa"/>
            <w:tcBorders>
              <w:top w:val="nil"/>
              <w:left w:val="nil"/>
              <w:bottom w:val="nil"/>
              <w:right w:val="single" w:sz="4" w:space="0" w:color="auto"/>
            </w:tcBorders>
            <w:shd w:val="clear" w:color="000000" w:fill="F2F2F2"/>
            <w:noWrap/>
            <w:vAlign w:val="center"/>
            <w:hideMark/>
          </w:tcPr>
          <w:p w14:paraId="293BBE3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33%</w:t>
            </w:r>
          </w:p>
        </w:tc>
        <w:tc>
          <w:tcPr>
            <w:tcW w:w="1460" w:type="dxa"/>
            <w:tcBorders>
              <w:top w:val="nil"/>
              <w:left w:val="nil"/>
              <w:bottom w:val="nil"/>
              <w:right w:val="single" w:sz="4" w:space="0" w:color="auto"/>
            </w:tcBorders>
            <w:shd w:val="clear" w:color="000000" w:fill="F2F2F2"/>
            <w:noWrap/>
            <w:vAlign w:val="center"/>
            <w:hideMark/>
          </w:tcPr>
          <w:p w14:paraId="73FE3466" w14:textId="77777777" w:rsidR="00686935" w:rsidRPr="00686935" w:rsidRDefault="00686935" w:rsidP="00045E94">
            <w:pPr>
              <w:keepNext/>
              <w:spacing w:line="240" w:lineRule="auto"/>
              <w:jc w:val="center"/>
              <w:rPr>
                <w:rFonts w:cs="Arial"/>
                <w:sz w:val="16"/>
                <w:szCs w:val="16"/>
              </w:rPr>
            </w:pPr>
            <w:r w:rsidRPr="00686935">
              <w:rPr>
                <w:rFonts w:cs="Arial"/>
                <w:sz w:val="16"/>
                <w:szCs w:val="16"/>
              </w:rPr>
              <w:t>8%</w:t>
            </w:r>
          </w:p>
        </w:tc>
        <w:tc>
          <w:tcPr>
            <w:tcW w:w="1460" w:type="dxa"/>
            <w:tcBorders>
              <w:top w:val="nil"/>
              <w:left w:val="nil"/>
              <w:bottom w:val="nil"/>
              <w:right w:val="single" w:sz="4" w:space="0" w:color="auto"/>
            </w:tcBorders>
            <w:shd w:val="clear" w:color="000000" w:fill="F2F2F2"/>
            <w:noWrap/>
            <w:vAlign w:val="center"/>
            <w:hideMark/>
          </w:tcPr>
          <w:p w14:paraId="7A2D3220"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25</w:t>
            </w:r>
          </w:p>
        </w:tc>
      </w:tr>
      <w:tr w:rsidR="00686935" w:rsidRPr="00686935" w14:paraId="5AFD6CBA"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2BD5B2A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2018-08-27</w:t>
            </w:r>
          </w:p>
        </w:tc>
        <w:tc>
          <w:tcPr>
            <w:tcW w:w="1460" w:type="dxa"/>
            <w:tcBorders>
              <w:top w:val="nil"/>
              <w:left w:val="nil"/>
              <w:bottom w:val="nil"/>
              <w:right w:val="single" w:sz="4" w:space="0" w:color="auto"/>
            </w:tcBorders>
            <w:shd w:val="clear" w:color="000000" w:fill="FFFFFF"/>
            <w:noWrap/>
            <w:vAlign w:val="center"/>
            <w:hideMark/>
          </w:tcPr>
          <w:p w14:paraId="4033EAF1"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0.70</w:t>
            </w:r>
          </w:p>
        </w:tc>
        <w:tc>
          <w:tcPr>
            <w:tcW w:w="1460" w:type="dxa"/>
            <w:tcBorders>
              <w:top w:val="nil"/>
              <w:left w:val="nil"/>
              <w:bottom w:val="nil"/>
              <w:right w:val="single" w:sz="4" w:space="0" w:color="auto"/>
            </w:tcBorders>
            <w:shd w:val="clear" w:color="000000" w:fill="FFFFFF"/>
            <w:noWrap/>
            <w:vAlign w:val="center"/>
            <w:hideMark/>
          </w:tcPr>
          <w:p w14:paraId="22C8E875"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34%</w:t>
            </w:r>
          </w:p>
        </w:tc>
        <w:tc>
          <w:tcPr>
            <w:tcW w:w="1460" w:type="dxa"/>
            <w:tcBorders>
              <w:top w:val="nil"/>
              <w:left w:val="nil"/>
              <w:bottom w:val="nil"/>
              <w:right w:val="single" w:sz="4" w:space="0" w:color="auto"/>
            </w:tcBorders>
            <w:shd w:val="clear" w:color="000000" w:fill="FFFFFF"/>
            <w:noWrap/>
            <w:vAlign w:val="center"/>
            <w:hideMark/>
          </w:tcPr>
          <w:p w14:paraId="108AA03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3131B51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29</w:t>
            </w:r>
          </w:p>
        </w:tc>
      </w:tr>
      <w:tr w:rsidR="00686935" w:rsidRPr="00686935" w14:paraId="5C9AB6CD" w14:textId="77777777" w:rsidTr="00686935">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474103F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2018-09-05</w:t>
            </w:r>
          </w:p>
        </w:tc>
        <w:tc>
          <w:tcPr>
            <w:tcW w:w="1460" w:type="dxa"/>
            <w:tcBorders>
              <w:top w:val="nil"/>
              <w:left w:val="nil"/>
              <w:bottom w:val="nil"/>
              <w:right w:val="single" w:sz="4" w:space="0" w:color="auto"/>
            </w:tcBorders>
            <w:shd w:val="clear" w:color="000000" w:fill="F2F2F2"/>
            <w:noWrap/>
            <w:vAlign w:val="center"/>
            <w:hideMark/>
          </w:tcPr>
          <w:p w14:paraId="244135B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0.71</w:t>
            </w:r>
          </w:p>
        </w:tc>
        <w:tc>
          <w:tcPr>
            <w:tcW w:w="1460" w:type="dxa"/>
            <w:tcBorders>
              <w:top w:val="nil"/>
              <w:left w:val="nil"/>
              <w:bottom w:val="nil"/>
              <w:right w:val="single" w:sz="4" w:space="0" w:color="auto"/>
            </w:tcBorders>
            <w:shd w:val="clear" w:color="000000" w:fill="F2F2F2"/>
            <w:noWrap/>
            <w:vAlign w:val="center"/>
            <w:hideMark/>
          </w:tcPr>
          <w:p w14:paraId="74B7001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32%</w:t>
            </w:r>
          </w:p>
        </w:tc>
        <w:tc>
          <w:tcPr>
            <w:tcW w:w="1460" w:type="dxa"/>
            <w:tcBorders>
              <w:top w:val="nil"/>
              <w:left w:val="nil"/>
              <w:bottom w:val="nil"/>
              <w:right w:val="single" w:sz="4" w:space="0" w:color="auto"/>
            </w:tcBorders>
            <w:shd w:val="clear" w:color="000000" w:fill="F2F2F2"/>
            <w:noWrap/>
            <w:vAlign w:val="center"/>
            <w:hideMark/>
          </w:tcPr>
          <w:p w14:paraId="2B8BD5FD" w14:textId="77777777" w:rsidR="00686935" w:rsidRPr="00686935" w:rsidRDefault="00686935" w:rsidP="00045E94">
            <w:pPr>
              <w:keepNext/>
              <w:spacing w:line="240" w:lineRule="auto"/>
              <w:jc w:val="center"/>
              <w:rPr>
                <w:rFonts w:cs="Arial"/>
                <w:sz w:val="16"/>
                <w:szCs w:val="16"/>
              </w:rPr>
            </w:pPr>
            <w:r w:rsidRPr="00686935">
              <w:rPr>
                <w:rFonts w:cs="Arial"/>
                <w:sz w:val="16"/>
                <w:szCs w:val="16"/>
              </w:rPr>
              <w:t>7%</w:t>
            </w:r>
          </w:p>
        </w:tc>
        <w:tc>
          <w:tcPr>
            <w:tcW w:w="1460" w:type="dxa"/>
            <w:tcBorders>
              <w:top w:val="nil"/>
              <w:left w:val="nil"/>
              <w:bottom w:val="nil"/>
              <w:right w:val="single" w:sz="4" w:space="0" w:color="auto"/>
            </w:tcBorders>
            <w:shd w:val="clear" w:color="000000" w:fill="F2F2F2"/>
            <w:noWrap/>
            <w:vAlign w:val="center"/>
            <w:hideMark/>
          </w:tcPr>
          <w:p w14:paraId="2E9D1E2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29</w:t>
            </w:r>
          </w:p>
        </w:tc>
      </w:tr>
      <w:tr w:rsidR="00686935" w:rsidRPr="00686935" w14:paraId="7DC7FFEB" w14:textId="77777777" w:rsidTr="00686935">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663C13F"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2018-09-06</w:t>
            </w:r>
          </w:p>
        </w:tc>
        <w:tc>
          <w:tcPr>
            <w:tcW w:w="1460" w:type="dxa"/>
            <w:tcBorders>
              <w:top w:val="nil"/>
              <w:left w:val="nil"/>
              <w:bottom w:val="nil"/>
              <w:right w:val="single" w:sz="4" w:space="0" w:color="auto"/>
            </w:tcBorders>
            <w:shd w:val="clear" w:color="000000" w:fill="FFFFFF"/>
            <w:noWrap/>
            <w:vAlign w:val="center"/>
            <w:hideMark/>
          </w:tcPr>
          <w:p w14:paraId="2BF9618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0.39</w:t>
            </w:r>
          </w:p>
        </w:tc>
        <w:tc>
          <w:tcPr>
            <w:tcW w:w="1460" w:type="dxa"/>
            <w:tcBorders>
              <w:top w:val="nil"/>
              <w:left w:val="nil"/>
              <w:bottom w:val="nil"/>
              <w:right w:val="single" w:sz="4" w:space="0" w:color="auto"/>
            </w:tcBorders>
            <w:shd w:val="clear" w:color="000000" w:fill="FFFFFF"/>
            <w:noWrap/>
            <w:vAlign w:val="center"/>
            <w:hideMark/>
          </w:tcPr>
          <w:p w14:paraId="191E86FB"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26%</w:t>
            </w:r>
          </w:p>
        </w:tc>
        <w:tc>
          <w:tcPr>
            <w:tcW w:w="1460" w:type="dxa"/>
            <w:tcBorders>
              <w:top w:val="nil"/>
              <w:left w:val="nil"/>
              <w:bottom w:val="nil"/>
              <w:right w:val="single" w:sz="4" w:space="0" w:color="auto"/>
            </w:tcBorders>
            <w:shd w:val="clear" w:color="000000" w:fill="FFFFFF"/>
            <w:noWrap/>
            <w:vAlign w:val="center"/>
            <w:hideMark/>
          </w:tcPr>
          <w:p w14:paraId="432CFAFD" w14:textId="77777777" w:rsidR="00686935" w:rsidRPr="00686935" w:rsidRDefault="00686935" w:rsidP="00045E94">
            <w:pPr>
              <w:keepNext/>
              <w:spacing w:line="240" w:lineRule="auto"/>
              <w:jc w:val="center"/>
              <w:rPr>
                <w:rFonts w:cs="Arial"/>
                <w:sz w:val="16"/>
                <w:szCs w:val="16"/>
              </w:rPr>
            </w:pPr>
            <w:r w:rsidRPr="00686935">
              <w:rPr>
                <w:rFonts w:cs="Arial"/>
                <w:sz w:val="16"/>
                <w:szCs w:val="16"/>
              </w:rPr>
              <w:t>16%</w:t>
            </w:r>
          </w:p>
        </w:tc>
        <w:tc>
          <w:tcPr>
            <w:tcW w:w="1460" w:type="dxa"/>
            <w:tcBorders>
              <w:top w:val="nil"/>
              <w:left w:val="nil"/>
              <w:bottom w:val="nil"/>
              <w:right w:val="single" w:sz="4" w:space="0" w:color="auto"/>
            </w:tcBorders>
            <w:shd w:val="clear" w:color="000000" w:fill="FFFFFF"/>
            <w:noWrap/>
            <w:vAlign w:val="center"/>
            <w:hideMark/>
          </w:tcPr>
          <w:p w14:paraId="2FA59168"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21</w:t>
            </w:r>
          </w:p>
        </w:tc>
      </w:tr>
      <w:tr w:rsidR="00686935" w:rsidRPr="00686935" w14:paraId="041BB031" w14:textId="77777777" w:rsidTr="00686935">
        <w:trPr>
          <w:trHeight w:val="200"/>
          <w:jc w:val="center"/>
        </w:trPr>
        <w:tc>
          <w:tcPr>
            <w:tcW w:w="1560" w:type="dxa"/>
            <w:tcBorders>
              <w:top w:val="nil"/>
              <w:left w:val="single" w:sz="4" w:space="0" w:color="auto"/>
              <w:bottom w:val="single" w:sz="4" w:space="0" w:color="auto"/>
              <w:right w:val="single" w:sz="4" w:space="0" w:color="auto"/>
            </w:tcBorders>
            <w:shd w:val="clear" w:color="000000" w:fill="F2F2F2"/>
            <w:noWrap/>
            <w:vAlign w:val="center"/>
            <w:hideMark/>
          </w:tcPr>
          <w:p w14:paraId="7CB1E2F6"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2018-09-17</w:t>
            </w:r>
          </w:p>
        </w:tc>
        <w:tc>
          <w:tcPr>
            <w:tcW w:w="1460" w:type="dxa"/>
            <w:tcBorders>
              <w:top w:val="nil"/>
              <w:left w:val="nil"/>
              <w:bottom w:val="single" w:sz="4" w:space="0" w:color="auto"/>
              <w:right w:val="single" w:sz="4" w:space="0" w:color="auto"/>
            </w:tcBorders>
            <w:shd w:val="clear" w:color="000000" w:fill="F2F2F2"/>
            <w:noWrap/>
            <w:vAlign w:val="center"/>
            <w:hideMark/>
          </w:tcPr>
          <w:p w14:paraId="4F5CFCAA" w14:textId="77777777" w:rsidR="00686935" w:rsidRPr="00686935" w:rsidRDefault="00686935" w:rsidP="00045E94">
            <w:pPr>
              <w:keepNext/>
              <w:spacing w:line="240" w:lineRule="auto"/>
              <w:jc w:val="center"/>
              <w:rPr>
                <w:rFonts w:cs="Arial"/>
                <w:sz w:val="16"/>
                <w:szCs w:val="16"/>
              </w:rPr>
            </w:pPr>
            <w:r w:rsidRPr="00686935">
              <w:rPr>
                <w:rFonts w:cs="Arial"/>
                <w:sz w:val="16"/>
                <w:szCs w:val="16"/>
              </w:rPr>
              <w:t>0.49</w:t>
            </w:r>
          </w:p>
        </w:tc>
        <w:tc>
          <w:tcPr>
            <w:tcW w:w="1460" w:type="dxa"/>
            <w:tcBorders>
              <w:top w:val="nil"/>
              <w:left w:val="nil"/>
              <w:bottom w:val="single" w:sz="4" w:space="0" w:color="auto"/>
              <w:right w:val="single" w:sz="4" w:space="0" w:color="auto"/>
            </w:tcBorders>
            <w:shd w:val="clear" w:color="000000" w:fill="F2F2F2"/>
            <w:noWrap/>
            <w:vAlign w:val="center"/>
            <w:hideMark/>
          </w:tcPr>
          <w:p w14:paraId="3D55E4FE"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28%</w:t>
            </w:r>
          </w:p>
        </w:tc>
        <w:tc>
          <w:tcPr>
            <w:tcW w:w="1460" w:type="dxa"/>
            <w:tcBorders>
              <w:top w:val="nil"/>
              <w:left w:val="nil"/>
              <w:bottom w:val="single" w:sz="4" w:space="0" w:color="auto"/>
              <w:right w:val="single" w:sz="4" w:space="0" w:color="auto"/>
            </w:tcBorders>
            <w:shd w:val="clear" w:color="000000" w:fill="F2F2F2"/>
            <w:noWrap/>
            <w:vAlign w:val="center"/>
            <w:hideMark/>
          </w:tcPr>
          <w:p w14:paraId="233EB8F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9%</w:t>
            </w:r>
          </w:p>
        </w:tc>
        <w:tc>
          <w:tcPr>
            <w:tcW w:w="1460" w:type="dxa"/>
            <w:tcBorders>
              <w:top w:val="nil"/>
              <w:left w:val="nil"/>
              <w:bottom w:val="single" w:sz="4" w:space="0" w:color="auto"/>
              <w:right w:val="single" w:sz="4" w:space="0" w:color="auto"/>
            </w:tcBorders>
            <w:shd w:val="clear" w:color="000000" w:fill="F2F2F2"/>
            <w:noWrap/>
            <w:vAlign w:val="center"/>
            <w:hideMark/>
          </w:tcPr>
          <w:p w14:paraId="3849D922" w14:textId="77777777" w:rsidR="00686935" w:rsidRPr="00686935" w:rsidRDefault="00686935" w:rsidP="00045E94">
            <w:pPr>
              <w:keepNext/>
              <w:spacing w:line="240" w:lineRule="auto"/>
              <w:jc w:val="center"/>
              <w:rPr>
                <w:rFonts w:cs="Arial"/>
                <w:sz w:val="16"/>
                <w:szCs w:val="16"/>
              </w:rPr>
            </w:pPr>
            <w:r w:rsidRPr="00686935">
              <w:rPr>
                <w:rFonts w:cs="Arial"/>
                <w:sz w:val="16"/>
                <w:szCs w:val="16"/>
              </w:rPr>
              <w:t>24</w:t>
            </w:r>
          </w:p>
        </w:tc>
      </w:tr>
      <w:tr w:rsidR="00686935" w:rsidRPr="00686935" w14:paraId="12F3DC9E" w14:textId="77777777" w:rsidTr="00686935">
        <w:trPr>
          <w:trHeight w:val="420"/>
          <w:jc w:val="center"/>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542FC2D" w14:textId="77777777" w:rsidR="00686935" w:rsidRPr="00686935" w:rsidRDefault="00686935" w:rsidP="00045E94">
            <w:pPr>
              <w:keepNext/>
              <w:spacing w:line="240" w:lineRule="auto"/>
              <w:jc w:val="center"/>
              <w:rPr>
                <w:rFonts w:cs="Arial"/>
                <w:b/>
                <w:bCs/>
                <w:sz w:val="16"/>
                <w:szCs w:val="16"/>
              </w:rPr>
            </w:pPr>
            <w:r w:rsidRPr="00686935">
              <w:rPr>
                <w:rFonts w:cs="Arial"/>
                <w:b/>
                <w:bCs/>
                <w:sz w:val="16"/>
                <w:szCs w:val="16"/>
              </w:rPr>
              <w:t>Average Across Events</w:t>
            </w:r>
          </w:p>
        </w:tc>
        <w:tc>
          <w:tcPr>
            <w:tcW w:w="1460" w:type="dxa"/>
            <w:tcBorders>
              <w:top w:val="nil"/>
              <w:left w:val="nil"/>
              <w:bottom w:val="single" w:sz="4" w:space="0" w:color="auto"/>
              <w:right w:val="single" w:sz="4" w:space="0" w:color="auto"/>
            </w:tcBorders>
            <w:shd w:val="clear" w:color="000000" w:fill="FFFFFF"/>
            <w:noWrap/>
            <w:vAlign w:val="center"/>
            <w:hideMark/>
          </w:tcPr>
          <w:p w14:paraId="65D122E9" w14:textId="77777777" w:rsidR="00686935" w:rsidRPr="00686935" w:rsidRDefault="00686935" w:rsidP="00045E94">
            <w:pPr>
              <w:keepNext/>
              <w:spacing w:line="240" w:lineRule="auto"/>
              <w:jc w:val="center"/>
              <w:rPr>
                <w:rFonts w:cs="Arial"/>
                <w:b/>
                <w:bCs/>
                <w:sz w:val="16"/>
                <w:szCs w:val="16"/>
              </w:rPr>
            </w:pPr>
            <w:r w:rsidRPr="00686935">
              <w:rPr>
                <w:rFonts w:cs="Arial"/>
                <w:b/>
                <w:bCs/>
                <w:sz w:val="16"/>
                <w:szCs w:val="16"/>
              </w:rPr>
              <w:t>0.59</w:t>
            </w:r>
          </w:p>
        </w:tc>
        <w:tc>
          <w:tcPr>
            <w:tcW w:w="1460" w:type="dxa"/>
            <w:tcBorders>
              <w:top w:val="nil"/>
              <w:left w:val="nil"/>
              <w:bottom w:val="single" w:sz="4" w:space="0" w:color="auto"/>
              <w:right w:val="single" w:sz="4" w:space="0" w:color="auto"/>
            </w:tcBorders>
            <w:shd w:val="clear" w:color="000000" w:fill="FFFFFF"/>
            <w:noWrap/>
            <w:vAlign w:val="center"/>
            <w:hideMark/>
          </w:tcPr>
          <w:p w14:paraId="2335394F" w14:textId="77777777" w:rsidR="00686935" w:rsidRPr="00686935" w:rsidRDefault="00686935" w:rsidP="00045E94">
            <w:pPr>
              <w:keepNext/>
              <w:spacing w:line="240" w:lineRule="auto"/>
              <w:jc w:val="center"/>
              <w:rPr>
                <w:rFonts w:cs="Arial"/>
                <w:b/>
                <w:bCs/>
                <w:sz w:val="16"/>
                <w:szCs w:val="16"/>
              </w:rPr>
            </w:pPr>
            <w:r w:rsidRPr="00686935">
              <w:rPr>
                <w:rFonts w:cs="Arial"/>
                <w:b/>
                <w:bCs/>
                <w:sz w:val="16"/>
                <w:szCs w:val="16"/>
              </w:rPr>
              <w:t>31%</w:t>
            </w:r>
          </w:p>
        </w:tc>
        <w:tc>
          <w:tcPr>
            <w:tcW w:w="1460" w:type="dxa"/>
            <w:tcBorders>
              <w:top w:val="nil"/>
              <w:left w:val="nil"/>
              <w:bottom w:val="single" w:sz="4" w:space="0" w:color="auto"/>
              <w:right w:val="single" w:sz="4" w:space="0" w:color="auto"/>
            </w:tcBorders>
            <w:shd w:val="clear" w:color="000000" w:fill="FFFFFF"/>
            <w:noWrap/>
            <w:vAlign w:val="center"/>
            <w:hideMark/>
          </w:tcPr>
          <w:p w14:paraId="4BE45E6B" w14:textId="77777777" w:rsidR="00686935" w:rsidRPr="00686935" w:rsidRDefault="00686935" w:rsidP="00045E94">
            <w:pPr>
              <w:keepNext/>
              <w:spacing w:line="240" w:lineRule="auto"/>
              <w:jc w:val="center"/>
              <w:rPr>
                <w:rFonts w:cs="Arial"/>
                <w:b/>
                <w:bCs/>
                <w:sz w:val="16"/>
                <w:szCs w:val="16"/>
              </w:rPr>
            </w:pPr>
            <w:r w:rsidRPr="00686935">
              <w:rPr>
                <w:rFonts w:cs="Arial"/>
                <w:b/>
                <w:bCs/>
                <w:sz w:val="16"/>
                <w:szCs w:val="16"/>
              </w:rPr>
              <w:t>7%</w:t>
            </w:r>
          </w:p>
        </w:tc>
        <w:tc>
          <w:tcPr>
            <w:tcW w:w="1460" w:type="dxa"/>
            <w:tcBorders>
              <w:top w:val="nil"/>
              <w:left w:val="nil"/>
              <w:bottom w:val="single" w:sz="4" w:space="0" w:color="auto"/>
              <w:right w:val="single" w:sz="4" w:space="0" w:color="auto"/>
            </w:tcBorders>
            <w:shd w:val="clear" w:color="000000" w:fill="FFFFFF"/>
            <w:noWrap/>
            <w:vAlign w:val="center"/>
            <w:hideMark/>
          </w:tcPr>
          <w:p w14:paraId="13071D18" w14:textId="77777777" w:rsidR="00686935" w:rsidRPr="00686935" w:rsidRDefault="00686935" w:rsidP="00045E94">
            <w:pPr>
              <w:keepNext/>
              <w:spacing w:line="240" w:lineRule="auto"/>
              <w:jc w:val="center"/>
              <w:rPr>
                <w:rFonts w:cs="Arial"/>
                <w:b/>
                <w:bCs/>
                <w:sz w:val="16"/>
                <w:szCs w:val="16"/>
              </w:rPr>
            </w:pPr>
            <w:r w:rsidRPr="00686935">
              <w:rPr>
                <w:rFonts w:cs="Arial"/>
                <w:b/>
                <w:bCs/>
                <w:sz w:val="16"/>
                <w:szCs w:val="16"/>
              </w:rPr>
              <w:t>26</w:t>
            </w:r>
          </w:p>
        </w:tc>
      </w:tr>
    </w:tbl>
    <w:p w14:paraId="4851F0F2" w14:textId="77777777" w:rsidR="00686935" w:rsidRDefault="00686935" w:rsidP="00A816FA"/>
    <w:p w14:paraId="4AC4DF1A" w14:textId="18215AE8" w:rsidR="0000450F" w:rsidRDefault="008674B9" w:rsidP="00A816FA">
      <w:r>
        <w:lastRenderedPageBreak/>
        <w:t xml:space="preserve">As can be seen, the average </w:t>
      </w:r>
      <w:r w:rsidR="00E70258">
        <w:t>difference between the total program impact and the DR-only impact is approximately 0.08 kW – this is the “energy impact” contribution to the total program impact. This is higher than the average summer-wide demand impact of the program in the Mid-Peak period shown above</w:t>
      </w:r>
      <w:r w:rsidR="0000450F">
        <w:t xml:space="preserve"> </w:t>
      </w:r>
      <w:r w:rsidR="00C54AEC">
        <w:t>(</w:t>
      </w:r>
      <w:r w:rsidR="0000450F">
        <w:t xml:space="preserve">just below </w:t>
      </w:r>
      <w:r w:rsidR="00E70258">
        <w:fldChar w:fldCharType="begin"/>
      </w:r>
      <w:r w:rsidR="00E70258">
        <w:instrText xml:space="preserve"> REF _Ref1131608 \h </w:instrText>
      </w:r>
      <w:r w:rsidR="00E70258">
        <w:fldChar w:fldCharType="separate"/>
      </w:r>
      <w:r w:rsidR="00413291">
        <w:t xml:space="preserve">Figure </w:t>
      </w:r>
      <w:r w:rsidR="00413291">
        <w:rPr>
          <w:noProof/>
        </w:rPr>
        <w:t>10</w:t>
      </w:r>
      <w:r w:rsidR="00E70258">
        <w:fldChar w:fldCharType="end"/>
      </w:r>
      <w:r w:rsidR="00C54AEC">
        <w:t>)</w:t>
      </w:r>
      <w:r w:rsidR="0000450F">
        <w:t xml:space="preserve"> of 0.029 kW (all CPP events occurred between 5pm and 6pm or between 6pm and 7pm – in the Mid-Peak period).</w:t>
      </w:r>
    </w:p>
    <w:p w14:paraId="38D440F6" w14:textId="77777777" w:rsidR="0000450F" w:rsidRDefault="0000450F" w:rsidP="00A816FA"/>
    <w:p w14:paraId="1147CD4F" w14:textId="2D08815E" w:rsidR="00686935" w:rsidRDefault="0000450F" w:rsidP="00A816FA">
      <w:r>
        <w:t>The CPP event day “energy impact” is higher than the summer average because event days are, on average, much warmer than typical summer days. For example, the average CPP event period temperature was 26 degrees Celsius. In contrast, the average temperature observed in all Mid-Peak periods across the summer was only 18.75 degrees Celsius.</w:t>
      </w:r>
    </w:p>
    <w:p w14:paraId="3A57C725" w14:textId="67FF4CC9" w:rsidR="0000450F" w:rsidRDefault="0000450F" w:rsidP="00A816FA"/>
    <w:p w14:paraId="29A88326" w14:textId="1696F238" w:rsidR="00B65435" w:rsidRDefault="0000450F" w:rsidP="00A816FA">
      <w:r>
        <w:t>The contrast between the two types of impacts can clearly be seen</w:t>
      </w:r>
      <w:r w:rsidR="00B65435">
        <w:t xml:space="preserve"> in </w:t>
      </w:r>
      <w:r w:rsidR="00B65435">
        <w:fldChar w:fldCharType="begin"/>
      </w:r>
      <w:r w:rsidR="00B65435">
        <w:instrText xml:space="preserve"> REF _Ref1475601 \h </w:instrText>
      </w:r>
      <w:r w:rsidR="00B65435">
        <w:fldChar w:fldCharType="separate"/>
      </w:r>
      <w:r w:rsidR="00413291">
        <w:t xml:space="preserve">Figure </w:t>
      </w:r>
      <w:r w:rsidR="00413291">
        <w:rPr>
          <w:noProof/>
        </w:rPr>
        <w:t>25</w:t>
      </w:r>
      <w:r w:rsidR="00B65435">
        <w:fldChar w:fldCharType="end"/>
      </w:r>
      <w:r w:rsidR="00B65435">
        <w:t>, below.</w:t>
      </w:r>
    </w:p>
    <w:p w14:paraId="2CE825B0" w14:textId="1CBF331A" w:rsidR="0000450F" w:rsidRDefault="00B65435" w:rsidP="00B65435">
      <w:pPr>
        <w:pStyle w:val="ListParagraph"/>
        <w:numPr>
          <w:ilvl w:val="0"/>
          <w:numId w:val="28"/>
        </w:numPr>
      </w:pPr>
      <w:r>
        <w:t xml:space="preserve">The </w:t>
      </w:r>
      <w:r w:rsidRPr="00B65435">
        <w:rPr>
          <w:b/>
        </w:rPr>
        <w:t>black solid line</w:t>
      </w:r>
      <w:r>
        <w:t xml:space="preserve"> is the actual average load of all participants during on the 13 CPP event days where events ran from 5pm to 6pm. </w:t>
      </w:r>
    </w:p>
    <w:p w14:paraId="6E182876" w14:textId="72938351" w:rsidR="00B65435" w:rsidRDefault="00B65435" w:rsidP="00B65435">
      <w:pPr>
        <w:pStyle w:val="ListParagraph"/>
        <w:numPr>
          <w:ilvl w:val="0"/>
          <w:numId w:val="28"/>
        </w:numPr>
      </w:pPr>
      <w:r>
        <w:t xml:space="preserve">The </w:t>
      </w:r>
      <w:r>
        <w:rPr>
          <w:b/>
        </w:rPr>
        <w:t>blue solid line</w:t>
      </w:r>
      <w:r>
        <w:t xml:space="preserve"> is the predicted average load of participants </w:t>
      </w:r>
      <w:r>
        <w:rPr>
          <w:i/>
        </w:rPr>
        <w:t>had there been no program at all</w:t>
      </w:r>
      <w:r>
        <w:t>. The difference between the blue and black solid lines is the “total program impact” reported above.</w:t>
      </w:r>
    </w:p>
    <w:p w14:paraId="2021AFC4" w14:textId="21317353" w:rsidR="00B65435" w:rsidRDefault="00B65435" w:rsidP="00B65435">
      <w:pPr>
        <w:pStyle w:val="ListParagraph"/>
        <w:numPr>
          <w:ilvl w:val="0"/>
          <w:numId w:val="28"/>
        </w:numPr>
      </w:pPr>
      <w:r>
        <w:t xml:space="preserve">The </w:t>
      </w:r>
      <w:r>
        <w:rPr>
          <w:b/>
        </w:rPr>
        <w:t>blue dashed line</w:t>
      </w:r>
      <w:r>
        <w:t xml:space="preserve"> is the predicted average load of participants, assuming the presence of a program, but assuming that </w:t>
      </w:r>
      <w:r>
        <w:rPr>
          <w:i/>
        </w:rPr>
        <w:t>no CPP event occurred on that day</w:t>
      </w:r>
      <w:r>
        <w:t>. The difference between the blue dashed and black solid lines is the DR</w:t>
      </w:r>
      <w:r w:rsidR="00223557">
        <w:t xml:space="preserve"> </w:t>
      </w:r>
      <w:r>
        <w:t>only impact reported above.</w:t>
      </w:r>
    </w:p>
    <w:p w14:paraId="483EC02D" w14:textId="40FFB65E" w:rsidR="00B65435" w:rsidRDefault="00B65435" w:rsidP="00B65435">
      <w:pPr>
        <w:pStyle w:val="ListParagraph"/>
        <w:numPr>
          <w:ilvl w:val="0"/>
          <w:numId w:val="28"/>
        </w:numPr>
      </w:pPr>
      <w:r>
        <w:t xml:space="preserve">The </w:t>
      </w:r>
      <w:r>
        <w:rPr>
          <w:b/>
        </w:rPr>
        <w:t>goldenrod dot-dashed line</w:t>
      </w:r>
      <w:r>
        <w:t xml:space="preserve"> is the average temperature observed in the given hour (read on the right axis).</w:t>
      </w:r>
    </w:p>
    <w:p w14:paraId="2D03FDE2" w14:textId="518B3214" w:rsidR="00B65435" w:rsidRDefault="00B65435" w:rsidP="00B65435"/>
    <w:p w14:paraId="640CFB76" w14:textId="60DDC522" w:rsidR="00B65435" w:rsidRDefault="00B65435" w:rsidP="00B65435">
      <w:r>
        <w:t xml:space="preserve">The red box highlights the hour in which the event occurs (from 5pm to </w:t>
      </w:r>
      <w:r w:rsidR="00223557">
        <w:t>6</w:t>
      </w:r>
      <w:r>
        <w:t>pm).</w:t>
      </w:r>
    </w:p>
    <w:p w14:paraId="7E6AA570" w14:textId="77777777" w:rsidR="0000450F" w:rsidRDefault="0000450F" w:rsidP="00A816FA"/>
    <w:p w14:paraId="73B4E6C6" w14:textId="3C0F364F" w:rsidR="0000450F" w:rsidRDefault="0000450F" w:rsidP="00B65435">
      <w:pPr>
        <w:pStyle w:val="Caption"/>
      </w:pPr>
      <w:bookmarkStart w:id="97" w:name="_Ref1475601"/>
      <w:bookmarkStart w:id="98" w:name="_Toc8393633"/>
      <w:r>
        <w:t xml:space="preserve">Figure </w:t>
      </w:r>
      <w:fldSimple w:instr=" SEQ Figure \* ARABIC ">
        <w:r w:rsidR="00413291">
          <w:rPr>
            <w:noProof/>
          </w:rPr>
          <w:t>25</w:t>
        </w:r>
      </w:fldSimple>
      <w:bookmarkEnd w:id="97"/>
      <w:r>
        <w:t xml:space="preserve">: Average CPP Event Day Load Profile </w:t>
      </w:r>
      <w:r w:rsidR="00B65435">
        <w:t>–</w:t>
      </w:r>
      <w:r>
        <w:t xml:space="preserve"> </w:t>
      </w:r>
      <w:r w:rsidR="00B65435">
        <w:t>Events Beginning at 5pm</w:t>
      </w:r>
      <w:bookmarkEnd w:id="98"/>
    </w:p>
    <w:p w14:paraId="4831A3C5" w14:textId="10D30E59" w:rsidR="0000450F" w:rsidRDefault="0000450F" w:rsidP="00940E28">
      <w:pPr>
        <w:jc w:val="center"/>
      </w:pPr>
      <w:r w:rsidRPr="0000450F">
        <w:rPr>
          <w:noProof/>
        </w:rPr>
        <w:drawing>
          <wp:inline distT="0" distB="0" distL="0" distR="0" wp14:anchorId="5947715F" wp14:editId="0A069D9E">
            <wp:extent cx="5943600" cy="326834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268345"/>
                    </a:xfrm>
                    <a:prstGeom prst="rect">
                      <a:avLst/>
                    </a:prstGeom>
                  </pic:spPr>
                </pic:pic>
              </a:graphicData>
            </a:graphic>
          </wp:inline>
        </w:drawing>
      </w:r>
    </w:p>
    <w:p w14:paraId="35485365" w14:textId="77777777" w:rsidR="001031CB" w:rsidRDefault="001031CB" w:rsidP="00A816FA"/>
    <w:p w14:paraId="489E7D6C" w14:textId="3399CC80" w:rsidR="00B65435" w:rsidRDefault="00B65435" w:rsidP="00A816FA">
      <w:r>
        <w:t xml:space="preserve">The average load profiles for the five events running from 6pm to 7pm show a similar pattern, as seen below in </w:t>
      </w:r>
      <w:r w:rsidR="00A859C1">
        <w:fldChar w:fldCharType="begin"/>
      </w:r>
      <w:r w:rsidR="00A859C1">
        <w:instrText xml:space="preserve"> REF _Ref1476011 \h </w:instrText>
      </w:r>
      <w:r w:rsidR="00A859C1">
        <w:fldChar w:fldCharType="separate"/>
      </w:r>
      <w:r w:rsidR="00413291">
        <w:t xml:space="preserve">Figure </w:t>
      </w:r>
      <w:r w:rsidR="00413291">
        <w:rPr>
          <w:noProof/>
        </w:rPr>
        <w:t>26</w:t>
      </w:r>
      <w:r w:rsidR="00A859C1">
        <w:fldChar w:fldCharType="end"/>
      </w:r>
      <w:r w:rsidR="00167289">
        <w:t xml:space="preserve">, below. </w:t>
      </w:r>
    </w:p>
    <w:p w14:paraId="31EE2286" w14:textId="77777777" w:rsidR="00A859C1" w:rsidRDefault="00A859C1" w:rsidP="00A816FA"/>
    <w:p w14:paraId="1CF849FC" w14:textId="76F3A825" w:rsidR="00A859C1" w:rsidRDefault="00A859C1" w:rsidP="00021CDF">
      <w:pPr>
        <w:pStyle w:val="Caption"/>
      </w:pPr>
      <w:bookmarkStart w:id="99" w:name="_Ref1476011"/>
      <w:bookmarkStart w:id="100" w:name="_Toc8393634"/>
      <w:r>
        <w:t xml:space="preserve">Figure </w:t>
      </w:r>
      <w:fldSimple w:instr=" SEQ Figure \* ARABIC ">
        <w:r w:rsidR="00413291">
          <w:rPr>
            <w:noProof/>
          </w:rPr>
          <w:t>26</w:t>
        </w:r>
      </w:fldSimple>
      <w:bookmarkEnd w:id="99"/>
      <w:r w:rsidR="001031CB">
        <w:t>: Average CPP Event Day Load Profile – Events Beginning at 6pm</w:t>
      </w:r>
      <w:bookmarkEnd w:id="100"/>
    </w:p>
    <w:p w14:paraId="39F44FF4" w14:textId="05DC0F91" w:rsidR="00B65435" w:rsidRDefault="00B65435" w:rsidP="00021CDF">
      <w:pPr>
        <w:jc w:val="center"/>
      </w:pPr>
      <w:r w:rsidRPr="00B65435">
        <w:rPr>
          <w:noProof/>
        </w:rPr>
        <w:drawing>
          <wp:inline distT="0" distB="0" distL="0" distR="0" wp14:anchorId="31401C44" wp14:editId="07434BFD">
            <wp:extent cx="5943600" cy="33407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340735"/>
                    </a:xfrm>
                    <a:prstGeom prst="rect">
                      <a:avLst/>
                    </a:prstGeom>
                  </pic:spPr>
                </pic:pic>
              </a:graphicData>
            </a:graphic>
          </wp:inline>
        </w:drawing>
      </w:r>
    </w:p>
    <w:p w14:paraId="664DE558" w14:textId="2046EE3E" w:rsidR="001031CB" w:rsidRDefault="001031CB" w:rsidP="00A816FA">
      <w:r>
        <w:t xml:space="preserve">The CPP event response is clearly evident in both these plots – the sharp decrease in </w:t>
      </w:r>
      <w:r w:rsidR="00E90155">
        <w:t>demand</w:t>
      </w:r>
      <w:r>
        <w:t xml:space="preserve"> </w:t>
      </w:r>
      <w:r w:rsidR="00E90155">
        <w:t xml:space="preserve">(black line) </w:t>
      </w:r>
      <w:r>
        <w:t>during the event hour is obvious, and characteristic of residential direct load control programs. One interesting feature of these plots is the apparent lack of any material snapback.</w:t>
      </w:r>
    </w:p>
    <w:p w14:paraId="66DD44E2" w14:textId="15D299CD" w:rsidR="001031CB" w:rsidRDefault="001031CB" w:rsidP="00A816FA"/>
    <w:p w14:paraId="4B631D32" w14:textId="6EB30923" w:rsidR="001031CB" w:rsidRDefault="001031CB" w:rsidP="00A816FA">
      <w:r>
        <w:t>“Snapback” is a characteristic phenomenon of A/C direct load control DR programs; in the hours immediately following an event, participant loads are typically higher than the baseline. During the event, A/C compressor runtime is restricted</w:t>
      </w:r>
      <w:r w:rsidR="00E90155">
        <w:t xml:space="preserve"> (for A/C cycling programs)</w:t>
      </w:r>
      <w:r>
        <w:t xml:space="preserve">, reducing demand. This leads to higher-than normal temperatures in the </w:t>
      </w:r>
      <w:r w:rsidR="00E90155">
        <w:t>building</w:t>
      </w:r>
      <w:r>
        <w:t xml:space="preserve">, which results in longer than normal compressor run-times in the period immediately following the event. </w:t>
      </w:r>
    </w:p>
    <w:p w14:paraId="1D89DC21" w14:textId="0696BA19" w:rsidR="001031CB" w:rsidRDefault="001031CB" w:rsidP="00A816FA"/>
    <w:p w14:paraId="5F6E0DD9" w14:textId="43471EE3" w:rsidR="001031CB" w:rsidRDefault="001031CB" w:rsidP="00A816FA">
      <w:r>
        <w:t>The lack of estimated snapback for this pilot is likely due to a combination of three factors:</w:t>
      </w:r>
    </w:p>
    <w:p w14:paraId="714325AB" w14:textId="710923E6" w:rsidR="00DC34FA" w:rsidRDefault="001031CB" w:rsidP="001031CB">
      <w:pPr>
        <w:pStyle w:val="ListParagraph"/>
        <w:numPr>
          <w:ilvl w:val="0"/>
          <w:numId w:val="28"/>
        </w:numPr>
      </w:pPr>
      <w:r>
        <w:rPr>
          <w:b/>
        </w:rPr>
        <w:t>Events are short.</w:t>
      </w:r>
      <w:r>
        <w:t xml:space="preserve"> Shorter events mean less time for a home with curtailed A/C to heat up. Provided the indoor temperature doesn’t</w:t>
      </w:r>
      <w:r w:rsidR="00DC34FA">
        <w:t xml:space="preserve"> increase very much beyond the set-point temperature, snapback should be minimal. Navigant has noted this behaviour in previous A/C direct load control </w:t>
      </w:r>
      <w:r w:rsidR="00E90155">
        <w:t>evaluations</w:t>
      </w:r>
      <w:r w:rsidR="00DC34FA">
        <w:t>.</w:t>
      </w:r>
      <w:r w:rsidR="00DC34FA">
        <w:rPr>
          <w:rStyle w:val="FootnoteReference"/>
        </w:rPr>
        <w:footnoteReference w:id="32"/>
      </w:r>
    </w:p>
    <w:p w14:paraId="22886B77" w14:textId="778B504D" w:rsidR="00EE7918" w:rsidRDefault="00DC34FA" w:rsidP="001031CB">
      <w:pPr>
        <w:pStyle w:val="ListParagraph"/>
        <w:numPr>
          <w:ilvl w:val="0"/>
          <w:numId w:val="28"/>
        </w:numPr>
      </w:pPr>
      <w:r>
        <w:rPr>
          <w:b/>
        </w:rPr>
        <w:lastRenderedPageBreak/>
        <w:t xml:space="preserve">Events are late. </w:t>
      </w:r>
      <w:r>
        <w:t xml:space="preserve">The snapback period is coincident with the beginning of the evening cooling period. As can be seen in </w:t>
      </w:r>
      <w:r>
        <w:fldChar w:fldCharType="begin"/>
      </w:r>
      <w:r>
        <w:instrText xml:space="preserve"> REF _Ref1475601 \h </w:instrText>
      </w:r>
      <w:r>
        <w:fldChar w:fldCharType="separate"/>
      </w:r>
      <w:r w:rsidR="00413291">
        <w:t xml:space="preserve">Figure </w:t>
      </w:r>
      <w:r w:rsidR="00413291">
        <w:rPr>
          <w:noProof/>
        </w:rPr>
        <w:t>25</w:t>
      </w:r>
      <w:r>
        <w:fldChar w:fldCharType="end"/>
      </w:r>
      <w:r>
        <w:t xml:space="preserve">, for example, the average outdoor temperature goes from approximately 25 degrees Celsius during the event, to just </w:t>
      </w:r>
      <w:r w:rsidR="00EE7918">
        <w:t>21 degrees three hours later. One reason there may not be much snapback is that participants</w:t>
      </w:r>
      <w:r w:rsidR="00782687">
        <w:t xml:space="preserve"> may</w:t>
      </w:r>
      <w:r w:rsidR="00EE7918">
        <w:t xml:space="preserve"> rely to some degree on letting in cooler outside air for evening space-cooling.</w:t>
      </w:r>
    </w:p>
    <w:p w14:paraId="03F86B2B" w14:textId="3D4D2C61" w:rsidR="00EE7918" w:rsidRDefault="00EE7918" w:rsidP="001031CB">
      <w:pPr>
        <w:pStyle w:val="ListParagraph"/>
        <w:numPr>
          <w:ilvl w:val="0"/>
          <w:numId w:val="28"/>
        </w:numPr>
      </w:pPr>
      <w:r>
        <w:rPr>
          <w:b/>
        </w:rPr>
        <w:t>Not all response is driven by space-cooling.</w:t>
      </w:r>
      <w:r>
        <w:t xml:space="preserve"> There is some evidence (see below) to suggest that demand response impacts are not driven wholly by space-cooling, but that participants are controlling other end-uses (whether manually, via the panel-located switch, or the smart plugs) to achieve bill savings. Snapback is characteristic only of controlled space-conditioning</w:t>
      </w:r>
      <w:r w:rsidR="00782687">
        <w:t xml:space="preserve"> and water-heating</w:t>
      </w:r>
      <w:r>
        <w:t xml:space="preserve"> end-uses. Lighting, pump, or motor curtailment will not typically result in any snapback.</w:t>
      </w:r>
    </w:p>
    <w:p w14:paraId="22C52E39" w14:textId="341EC650" w:rsidR="00194F48" w:rsidRDefault="00194F48" w:rsidP="00194F48">
      <w:pPr>
        <w:pStyle w:val="Heading3"/>
      </w:pPr>
      <w:bookmarkStart w:id="101" w:name="_Ref1462770"/>
      <w:bookmarkStart w:id="102" w:name="_Toc8393593"/>
      <w:r>
        <w:t>Summer 2018 Average Impacts (Ex-Post) by Connectivity Status</w:t>
      </w:r>
      <w:bookmarkEnd w:id="101"/>
      <w:bookmarkEnd w:id="102"/>
    </w:p>
    <w:p w14:paraId="74CD2D74" w14:textId="7BEEB90F" w:rsidR="00194F48" w:rsidRDefault="001D21DF" w:rsidP="00500D7A">
      <w:r>
        <w:t xml:space="preserve">As noted above, in Section </w:t>
      </w:r>
      <w:r>
        <w:fldChar w:fldCharType="begin"/>
      </w:r>
      <w:r>
        <w:instrText xml:space="preserve"> REF _Ref1488905 \w \h </w:instrText>
      </w:r>
      <w:r>
        <w:fldChar w:fldCharType="separate"/>
      </w:r>
      <w:r w:rsidR="00413291">
        <w:t>3.1.4</w:t>
      </w:r>
      <w:r>
        <w:fldChar w:fldCharType="end"/>
      </w:r>
      <w:r>
        <w:t>, a key asset for this evaluation was the availability of participant connectivity data. This data source, and the fact that approximately 20% of participants were not connected for any given event, allowed Navigant to – through the inclusion of an appropriate dummy variable in the regression – effectively isolate impacts driven by the enabling technologies, and impacts that are purely behavioural.</w:t>
      </w:r>
    </w:p>
    <w:p w14:paraId="1B501260" w14:textId="5B3BD397" w:rsidR="001D21DF" w:rsidRDefault="001D21DF" w:rsidP="00500D7A"/>
    <w:p w14:paraId="6FC9CE11" w14:textId="0FAEC99F" w:rsidR="001D21DF" w:rsidRDefault="001D21DF" w:rsidP="00500D7A">
      <w:r>
        <w:t xml:space="preserve">Navigant’s initial hypothesis was that, given the very short notification lead time provided to participants the “DR only” impact </w:t>
      </w:r>
      <w:r w:rsidR="00C81E33">
        <w:t xml:space="preserve">for disconnected participants </w:t>
      </w:r>
      <w:r>
        <w:t xml:space="preserve">would be very small, perhaps not even statistically significant. That is, Navigant anticipated that participants that were disconnected would respond only to the longer-term price signal – there could be a CPP event at any time – rather than the event-specific price signal. Based on Navigant’s analysis, </w:t>
      </w:r>
      <w:r w:rsidR="00573AFD">
        <w:t>however</w:t>
      </w:r>
      <w:r w:rsidR="00C81E33">
        <w:t>,</w:t>
      </w:r>
      <w:r>
        <w:t xml:space="preserve"> it appears as though at least some participants are able to respond to the CPP event notifications and undertake purely behavioural </w:t>
      </w:r>
      <w:r w:rsidR="00573AFD">
        <w:t xml:space="preserve">demand reductions in </w:t>
      </w:r>
      <w:r>
        <w:t xml:space="preserve">response to the CPP </w:t>
      </w:r>
      <w:r w:rsidR="00C81E33">
        <w:t>event notification</w:t>
      </w:r>
      <w:r>
        <w:t>.</w:t>
      </w:r>
    </w:p>
    <w:p w14:paraId="60EDDBD6" w14:textId="77777777" w:rsidR="001D21DF" w:rsidRDefault="001D21DF" w:rsidP="00500D7A"/>
    <w:p w14:paraId="36F80A13" w14:textId="65AD2D37" w:rsidR="001D21DF" w:rsidRDefault="001D21DF" w:rsidP="00500D7A">
      <w:r>
        <w:t xml:space="preserve">First, </w:t>
      </w:r>
      <w:r w:rsidR="00573AFD">
        <w:t xml:space="preserve">for context, </w:t>
      </w:r>
      <w:r>
        <w:t xml:space="preserve">consider the average impacts of participants that </w:t>
      </w:r>
      <w:r w:rsidRPr="00573AFD">
        <w:rPr>
          <w:i/>
        </w:rPr>
        <w:t>were</w:t>
      </w:r>
      <w:r>
        <w:t xml:space="preserve"> connected, as shown in</w:t>
      </w:r>
      <w:r w:rsidR="00573AFD">
        <w:t xml:space="preserve"> </w:t>
      </w:r>
      <w:r w:rsidR="00573AFD">
        <w:fldChar w:fldCharType="begin"/>
      </w:r>
      <w:r w:rsidR="00573AFD">
        <w:instrText xml:space="preserve"> REF _Ref1586768 \h </w:instrText>
      </w:r>
      <w:r w:rsidR="00573AFD">
        <w:fldChar w:fldCharType="separate"/>
      </w:r>
      <w:r w:rsidR="00413291">
        <w:t xml:space="preserve">Figure </w:t>
      </w:r>
      <w:r w:rsidR="00413291">
        <w:rPr>
          <w:noProof/>
        </w:rPr>
        <w:t>27</w:t>
      </w:r>
      <w:r w:rsidR="00573AFD">
        <w:fldChar w:fldCharType="end"/>
      </w:r>
      <w:r w:rsidR="00573AFD">
        <w:t xml:space="preserve">, </w:t>
      </w:r>
      <w:r>
        <w:t>below. Note of course</w:t>
      </w:r>
      <w:r w:rsidR="008062BD">
        <w:t xml:space="preserve"> that impacts are materially higher than those presented in </w:t>
      </w:r>
      <w:r w:rsidR="008062BD">
        <w:fldChar w:fldCharType="begin"/>
      </w:r>
      <w:r w:rsidR="008062BD">
        <w:instrText xml:space="preserve"> REF _Ref1466212 \h </w:instrText>
      </w:r>
      <w:r w:rsidR="008062BD">
        <w:fldChar w:fldCharType="separate"/>
      </w:r>
      <w:r w:rsidR="00413291">
        <w:t xml:space="preserve">Figure </w:t>
      </w:r>
      <w:r w:rsidR="00413291">
        <w:rPr>
          <w:noProof/>
        </w:rPr>
        <w:t>23</w:t>
      </w:r>
      <w:r w:rsidR="008062BD">
        <w:fldChar w:fldCharType="end"/>
      </w:r>
      <w:r w:rsidR="008062BD">
        <w:t xml:space="preserve">, which shows the total program impact under the </w:t>
      </w:r>
      <w:r w:rsidR="008062BD" w:rsidRPr="00573AFD">
        <w:rPr>
          <w:i/>
        </w:rPr>
        <w:t>average</w:t>
      </w:r>
      <w:r w:rsidR="008062BD">
        <w:t xml:space="preserve"> connectivity rate. Under the average connectivity rate, the average total program impact is 0.67 kW per participant. Assuming 100% connectivity, the average impact is 0.09 kW higher, at 0.76 kW.</w:t>
      </w:r>
    </w:p>
    <w:p w14:paraId="427EC7AD" w14:textId="77777777" w:rsidR="001D21DF" w:rsidRDefault="001D21DF" w:rsidP="00500D7A"/>
    <w:p w14:paraId="19F1BE05" w14:textId="18D7FCBF" w:rsidR="001D21DF" w:rsidRDefault="001D21DF" w:rsidP="001D21DF">
      <w:pPr>
        <w:pStyle w:val="Caption"/>
      </w:pPr>
      <w:bookmarkStart w:id="103" w:name="_Ref1586768"/>
      <w:bookmarkStart w:id="104" w:name="_Ref1586754"/>
      <w:bookmarkStart w:id="105" w:name="_Toc8393635"/>
      <w:r>
        <w:t xml:space="preserve">Figure </w:t>
      </w:r>
      <w:fldSimple w:instr=" SEQ Figure \* ARABIC ">
        <w:r w:rsidR="00413291">
          <w:rPr>
            <w:noProof/>
          </w:rPr>
          <w:t>27</w:t>
        </w:r>
      </w:fldSimple>
      <w:bookmarkEnd w:id="103"/>
      <w:r>
        <w:t>: Total Program CPP Event Impacts, 100% Connectivity</w:t>
      </w:r>
      <w:bookmarkEnd w:id="104"/>
      <w:bookmarkEnd w:id="105"/>
    </w:p>
    <w:tbl>
      <w:tblPr>
        <w:tblW w:w="7520" w:type="dxa"/>
        <w:jc w:val="center"/>
        <w:tblLook w:val="04A0" w:firstRow="1" w:lastRow="0" w:firstColumn="1" w:lastColumn="0" w:noHBand="0" w:noVBand="1"/>
      </w:tblPr>
      <w:tblGrid>
        <w:gridCol w:w="1560"/>
        <w:gridCol w:w="1460"/>
        <w:gridCol w:w="1460"/>
        <w:gridCol w:w="1460"/>
        <w:gridCol w:w="1580"/>
      </w:tblGrid>
      <w:tr w:rsidR="001D21DF" w:rsidRPr="001D21DF" w14:paraId="3BB0DBC4" w14:textId="77777777" w:rsidTr="001D21DF">
        <w:trPr>
          <w:trHeight w:val="200"/>
          <w:jc w:val="center"/>
        </w:trPr>
        <w:tc>
          <w:tcPr>
            <w:tcW w:w="15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22FACAD3" w14:textId="7777777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Event Date</w:t>
            </w:r>
          </w:p>
        </w:tc>
        <w:tc>
          <w:tcPr>
            <w:tcW w:w="2920" w:type="dxa"/>
            <w:gridSpan w:val="2"/>
            <w:tcBorders>
              <w:top w:val="single" w:sz="4" w:space="0" w:color="auto"/>
              <w:left w:val="single" w:sz="4" w:space="0" w:color="auto"/>
              <w:bottom w:val="nil"/>
              <w:right w:val="single" w:sz="4" w:space="0" w:color="000000"/>
            </w:tcBorders>
            <w:shd w:val="clear" w:color="000000" w:fill="555759"/>
            <w:noWrap/>
            <w:vAlign w:val="bottom"/>
            <w:hideMark/>
          </w:tcPr>
          <w:p w14:paraId="0A43CD15" w14:textId="7777777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DR Impact (kW)</w:t>
            </w:r>
          </w:p>
        </w:tc>
        <w:tc>
          <w:tcPr>
            <w:tcW w:w="14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661F5C98" w14:textId="7777777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Relative Precision +/-% (90% Confidence)</w:t>
            </w:r>
          </w:p>
        </w:tc>
        <w:tc>
          <w:tcPr>
            <w:tcW w:w="158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5C301560" w14:textId="05BEE9B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Temperature (</w:t>
            </w:r>
            <w:r w:rsidRPr="001D21DF">
              <w:rPr>
                <w:rFonts w:cs="Arial"/>
                <w:color w:val="FFFFFF"/>
                <w:sz w:val="16"/>
                <w:szCs w:val="16"/>
                <w:vertAlign w:val="superscript"/>
              </w:rPr>
              <w:t>o</w:t>
            </w:r>
            <w:r w:rsidRPr="001D21DF">
              <w:rPr>
                <w:rFonts w:cs="Arial"/>
                <w:color w:val="FFFFFF"/>
                <w:sz w:val="16"/>
                <w:szCs w:val="16"/>
              </w:rPr>
              <w:t>C)</w:t>
            </w:r>
          </w:p>
        </w:tc>
      </w:tr>
      <w:tr w:rsidR="001D21DF" w:rsidRPr="001D21DF" w14:paraId="3834DB1A" w14:textId="77777777" w:rsidTr="001D21DF">
        <w:trPr>
          <w:trHeight w:val="200"/>
          <w:jc w:val="center"/>
        </w:trPr>
        <w:tc>
          <w:tcPr>
            <w:tcW w:w="1560" w:type="dxa"/>
            <w:vMerge/>
            <w:tcBorders>
              <w:top w:val="single" w:sz="4" w:space="0" w:color="auto"/>
              <w:left w:val="single" w:sz="4" w:space="0" w:color="auto"/>
              <w:bottom w:val="single" w:sz="4" w:space="0" w:color="000000"/>
              <w:right w:val="nil"/>
            </w:tcBorders>
            <w:vAlign w:val="center"/>
            <w:hideMark/>
          </w:tcPr>
          <w:p w14:paraId="0AEBCA85" w14:textId="77777777" w:rsidR="001D21DF" w:rsidRPr="001D21DF" w:rsidRDefault="001D21DF" w:rsidP="001D21DF">
            <w:pPr>
              <w:spacing w:line="240" w:lineRule="auto"/>
              <w:rPr>
                <w:rFonts w:cs="Arial"/>
                <w:color w:val="FFFFFF"/>
                <w:sz w:val="16"/>
                <w:szCs w:val="16"/>
              </w:rPr>
            </w:pPr>
          </w:p>
        </w:tc>
        <w:tc>
          <w:tcPr>
            <w:tcW w:w="1460" w:type="dxa"/>
            <w:tcBorders>
              <w:top w:val="nil"/>
              <w:left w:val="single" w:sz="4" w:space="0" w:color="auto"/>
              <w:bottom w:val="single" w:sz="4" w:space="0" w:color="auto"/>
              <w:right w:val="nil"/>
            </w:tcBorders>
            <w:shd w:val="clear" w:color="000000" w:fill="555759"/>
            <w:vAlign w:val="center"/>
            <w:hideMark/>
          </w:tcPr>
          <w:p w14:paraId="12C4FB67" w14:textId="7777777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kW</w:t>
            </w:r>
          </w:p>
        </w:tc>
        <w:tc>
          <w:tcPr>
            <w:tcW w:w="1460" w:type="dxa"/>
            <w:tcBorders>
              <w:top w:val="nil"/>
              <w:left w:val="nil"/>
              <w:bottom w:val="single" w:sz="4" w:space="0" w:color="auto"/>
              <w:right w:val="single" w:sz="4" w:space="0" w:color="auto"/>
            </w:tcBorders>
            <w:shd w:val="clear" w:color="000000" w:fill="555759"/>
            <w:vAlign w:val="center"/>
            <w:hideMark/>
          </w:tcPr>
          <w:p w14:paraId="29ED62E7" w14:textId="77777777" w:rsidR="001D21DF" w:rsidRPr="001D21DF" w:rsidRDefault="001D21DF" w:rsidP="001D21DF">
            <w:pPr>
              <w:spacing w:line="240" w:lineRule="auto"/>
              <w:jc w:val="center"/>
              <w:rPr>
                <w:rFonts w:cs="Arial"/>
                <w:color w:val="FFFFFF"/>
                <w:sz w:val="16"/>
                <w:szCs w:val="16"/>
              </w:rPr>
            </w:pPr>
            <w:r w:rsidRPr="001D21DF">
              <w:rPr>
                <w:rFonts w:cs="Arial"/>
                <w:color w:val="FFFFFF"/>
                <w:sz w:val="16"/>
                <w:szCs w:val="16"/>
              </w:rPr>
              <w:t>%</w:t>
            </w:r>
          </w:p>
        </w:tc>
        <w:tc>
          <w:tcPr>
            <w:tcW w:w="1460" w:type="dxa"/>
            <w:vMerge/>
            <w:tcBorders>
              <w:top w:val="single" w:sz="4" w:space="0" w:color="auto"/>
              <w:left w:val="single" w:sz="4" w:space="0" w:color="auto"/>
              <w:bottom w:val="single" w:sz="4" w:space="0" w:color="000000"/>
              <w:right w:val="nil"/>
            </w:tcBorders>
            <w:vAlign w:val="center"/>
            <w:hideMark/>
          </w:tcPr>
          <w:p w14:paraId="12F81282" w14:textId="77777777" w:rsidR="001D21DF" w:rsidRPr="001D21DF" w:rsidRDefault="001D21DF" w:rsidP="001D21DF">
            <w:pPr>
              <w:spacing w:line="240" w:lineRule="auto"/>
              <w:rPr>
                <w:rFonts w:cs="Arial"/>
                <w:color w:val="FFFFFF"/>
                <w:sz w:val="16"/>
                <w:szCs w:val="16"/>
              </w:rPr>
            </w:pPr>
          </w:p>
        </w:tc>
        <w:tc>
          <w:tcPr>
            <w:tcW w:w="1580" w:type="dxa"/>
            <w:vMerge/>
            <w:tcBorders>
              <w:top w:val="single" w:sz="4" w:space="0" w:color="auto"/>
              <w:left w:val="nil"/>
              <w:bottom w:val="single" w:sz="4" w:space="0" w:color="000000"/>
              <w:right w:val="single" w:sz="4" w:space="0" w:color="auto"/>
            </w:tcBorders>
            <w:vAlign w:val="center"/>
            <w:hideMark/>
          </w:tcPr>
          <w:p w14:paraId="51EACFDB" w14:textId="77777777" w:rsidR="001D21DF" w:rsidRPr="001D21DF" w:rsidRDefault="001D21DF" w:rsidP="001D21DF">
            <w:pPr>
              <w:spacing w:line="240" w:lineRule="auto"/>
              <w:rPr>
                <w:rFonts w:cs="Arial"/>
                <w:color w:val="FFFFFF"/>
                <w:sz w:val="16"/>
                <w:szCs w:val="16"/>
              </w:rPr>
            </w:pPr>
          </w:p>
        </w:tc>
      </w:tr>
      <w:tr w:rsidR="001D21DF" w:rsidRPr="001D21DF" w14:paraId="491C9969"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EC6466A" w14:textId="77777777" w:rsidR="001D21DF" w:rsidRPr="001D21DF" w:rsidRDefault="001D21DF" w:rsidP="001D21DF">
            <w:pPr>
              <w:spacing w:line="240" w:lineRule="auto"/>
              <w:jc w:val="center"/>
              <w:rPr>
                <w:rFonts w:cs="Arial"/>
                <w:sz w:val="16"/>
                <w:szCs w:val="16"/>
              </w:rPr>
            </w:pPr>
            <w:r w:rsidRPr="001D21DF">
              <w:rPr>
                <w:rFonts w:cs="Arial"/>
                <w:sz w:val="16"/>
                <w:szCs w:val="16"/>
              </w:rPr>
              <w:t>2018-06-01</w:t>
            </w:r>
          </w:p>
        </w:tc>
        <w:tc>
          <w:tcPr>
            <w:tcW w:w="1460" w:type="dxa"/>
            <w:tcBorders>
              <w:top w:val="nil"/>
              <w:left w:val="nil"/>
              <w:bottom w:val="nil"/>
              <w:right w:val="single" w:sz="4" w:space="0" w:color="auto"/>
            </w:tcBorders>
            <w:shd w:val="clear" w:color="000000" w:fill="FFFFFF"/>
            <w:noWrap/>
            <w:vAlign w:val="center"/>
            <w:hideMark/>
          </w:tcPr>
          <w:p w14:paraId="778845C4" w14:textId="77777777" w:rsidR="001D21DF" w:rsidRPr="001D21DF" w:rsidRDefault="001D21DF" w:rsidP="001D21DF">
            <w:pPr>
              <w:spacing w:line="240" w:lineRule="auto"/>
              <w:jc w:val="center"/>
              <w:rPr>
                <w:rFonts w:cs="Arial"/>
                <w:sz w:val="16"/>
                <w:szCs w:val="16"/>
              </w:rPr>
            </w:pPr>
            <w:r w:rsidRPr="001D21DF">
              <w:rPr>
                <w:rFonts w:cs="Arial"/>
                <w:sz w:val="16"/>
                <w:szCs w:val="16"/>
              </w:rPr>
              <w:t>0.67</w:t>
            </w:r>
          </w:p>
        </w:tc>
        <w:tc>
          <w:tcPr>
            <w:tcW w:w="1460" w:type="dxa"/>
            <w:tcBorders>
              <w:top w:val="nil"/>
              <w:left w:val="nil"/>
              <w:bottom w:val="nil"/>
              <w:right w:val="single" w:sz="4" w:space="0" w:color="auto"/>
            </w:tcBorders>
            <w:shd w:val="clear" w:color="000000" w:fill="FFFFFF"/>
            <w:noWrap/>
            <w:vAlign w:val="center"/>
            <w:hideMark/>
          </w:tcPr>
          <w:p w14:paraId="41E97AAC" w14:textId="77777777" w:rsidR="001D21DF" w:rsidRPr="001D21DF" w:rsidRDefault="001D21DF" w:rsidP="001D21DF">
            <w:pPr>
              <w:spacing w:line="240" w:lineRule="auto"/>
              <w:jc w:val="center"/>
              <w:rPr>
                <w:rFonts w:cs="Arial"/>
                <w:sz w:val="16"/>
                <w:szCs w:val="16"/>
              </w:rPr>
            </w:pPr>
            <w:r w:rsidRPr="001D21DF">
              <w:rPr>
                <w:rFonts w:cs="Arial"/>
                <w:sz w:val="16"/>
                <w:szCs w:val="16"/>
              </w:rPr>
              <w:t>36%</w:t>
            </w:r>
          </w:p>
        </w:tc>
        <w:tc>
          <w:tcPr>
            <w:tcW w:w="1460" w:type="dxa"/>
            <w:tcBorders>
              <w:top w:val="nil"/>
              <w:left w:val="nil"/>
              <w:bottom w:val="nil"/>
              <w:right w:val="single" w:sz="4" w:space="0" w:color="auto"/>
            </w:tcBorders>
            <w:shd w:val="clear" w:color="000000" w:fill="FFFFFF"/>
            <w:noWrap/>
            <w:vAlign w:val="center"/>
            <w:hideMark/>
          </w:tcPr>
          <w:p w14:paraId="3513E5BD" w14:textId="77777777" w:rsidR="001D21DF" w:rsidRPr="001D21DF" w:rsidRDefault="001D21DF" w:rsidP="001D21DF">
            <w:pPr>
              <w:spacing w:line="240" w:lineRule="auto"/>
              <w:jc w:val="center"/>
              <w:rPr>
                <w:rFonts w:cs="Arial"/>
                <w:sz w:val="16"/>
                <w:szCs w:val="16"/>
              </w:rPr>
            </w:pPr>
            <w:r w:rsidRPr="001D21DF">
              <w:rPr>
                <w:rFonts w:cs="Arial"/>
                <w:sz w:val="16"/>
                <w:szCs w:val="16"/>
              </w:rPr>
              <w:t>10%</w:t>
            </w:r>
          </w:p>
        </w:tc>
        <w:tc>
          <w:tcPr>
            <w:tcW w:w="1580" w:type="dxa"/>
            <w:tcBorders>
              <w:top w:val="nil"/>
              <w:left w:val="nil"/>
              <w:bottom w:val="nil"/>
              <w:right w:val="single" w:sz="4" w:space="0" w:color="auto"/>
            </w:tcBorders>
            <w:shd w:val="clear" w:color="000000" w:fill="FFFFFF"/>
            <w:noWrap/>
            <w:vAlign w:val="center"/>
            <w:hideMark/>
          </w:tcPr>
          <w:p w14:paraId="5761418D" w14:textId="77777777" w:rsidR="001D21DF" w:rsidRPr="001D21DF" w:rsidRDefault="001D21DF" w:rsidP="001D21DF">
            <w:pPr>
              <w:spacing w:line="240" w:lineRule="auto"/>
              <w:jc w:val="center"/>
              <w:rPr>
                <w:rFonts w:cs="Arial"/>
                <w:sz w:val="16"/>
                <w:szCs w:val="16"/>
              </w:rPr>
            </w:pPr>
            <w:r w:rsidRPr="001D21DF">
              <w:rPr>
                <w:rFonts w:cs="Arial"/>
                <w:sz w:val="16"/>
                <w:szCs w:val="16"/>
              </w:rPr>
              <w:t>24</w:t>
            </w:r>
          </w:p>
        </w:tc>
      </w:tr>
      <w:tr w:rsidR="001D21DF" w:rsidRPr="001D21DF" w14:paraId="72F34475"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9362D27" w14:textId="77777777" w:rsidR="001D21DF" w:rsidRPr="001D21DF" w:rsidRDefault="001D21DF" w:rsidP="001D21DF">
            <w:pPr>
              <w:spacing w:line="240" w:lineRule="auto"/>
              <w:jc w:val="center"/>
              <w:rPr>
                <w:rFonts w:cs="Arial"/>
                <w:sz w:val="16"/>
                <w:szCs w:val="16"/>
              </w:rPr>
            </w:pPr>
            <w:r w:rsidRPr="001D21DF">
              <w:rPr>
                <w:rFonts w:cs="Arial"/>
                <w:sz w:val="16"/>
                <w:szCs w:val="16"/>
              </w:rPr>
              <w:t>2018-06-18</w:t>
            </w:r>
          </w:p>
        </w:tc>
        <w:tc>
          <w:tcPr>
            <w:tcW w:w="1460" w:type="dxa"/>
            <w:tcBorders>
              <w:top w:val="nil"/>
              <w:left w:val="nil"/>
              <w:bottom w:val="nil"/>
              <w:right w:val="single" w:sz="4" w:space="0" w:color="auto"/>
            </w:tcBorders>
            <w:shd w:val="clear" w:color="000000" w:fill="F2F2F2"/>
            <w:noWrap/>
            <w:vAlign w:val="center"/>
            <w:hideMark/>
          </w:tcPr>
          <w:p w14:paraId="5E6F3377" w14:textId="77777777" w:rsidR="001D21DF" w:rsidRPr="001D21DF" w:rsidRDefault="001D21DF" w:rsidP="001D21DF">
            <w:pPr>
              <w:spacing w:line="240" w:lineRule="auto"/>
              <w:jc w:val="center"/>
              <w:rPr>
                <w:rFonts w:cs="Arial"/>
                <w:sz w:val="16"/>
                <w:szCs w:val="16"/>
              </w:rPr>
            </w:pPr>
            <w:r w:rsidRPr="001D21DF">
              <w:rPr>
                <w:rFonts w:cs="Arial"/>
                <w:sz w:val="16"/>
                <w:szCs w:val="16"/>
              </w:rPr>
              <w:t>0.72</w:t>
            </w:r>
          </w:p>
        </w:tc>
        <w:tc>
          <w:tcPr>
            <w:tcW w:w="1460" w:type="dxa"/>
            <w:tcBorders>
              <w:top w:val="nil"/>
              <w:left w:val="nil"/>
              <w:bottom w:val="nil"/>
              <w:right w:val="single" w:sz="4" w:space="0" w:color="auto"/>
            </w:tcBorders>
            <w:shd w:val="clear" w:color="000000" w:fill="F2F2F2"/>
            <w:noWrap/>
            <w:vAlign w:val="center"/>
            <w:hideMark/>
          </w:tcPr>
          <w:p w14:paraId="6B16578F" w14:textId="77777777" w:rsidR="001D21DF" w:rsidRPr="001D21DF" w:rsidRDefault="001D21DF" w:rsidP="001D21DF">
            <w:pPr>
              <w:spacing w:line="240" w:lineRule="auto"/>
              <w:jc w:val="center"/>
              <w:rPr>
                <w:rFonts w:cs="Arial"/>
                <w:sz w:val="16"/>
                <w:szCs w:val="16"/>
              </w:rPr>
            </w:pPr>
            <w:r w:rsidRPr="001D21DF">
              <w:rPr>
                <w:rFonts w:cs="Arial"/>
                <w:sz w:val="16"/>
                <w:szCs w:val="16"/>
              </w:rPr>
              <w:t>37%</w:t>
            </w:r>
          </w:p>
        </w:tc>
        <w:tc>
          <w:tcPr>
            <w:tcW w:w="1460" w:type="dxa"/>
            <w:tcBorders>
              <w:top w:val="nil"/>
              <w:left w:val="nil"/>
              <w:bottom w:val="nil"/>
              <w:right w:val="single" w:sz="4" w:space="0" w:color="auto"/>
            </w:tcBorders>
            <w:shd w:val="clear" w:color="000000" w:fill="F2F2F2"/>
            <w:noWrap/>
            <w:vAlign w:val="center"/>
            <w:hideMark/>
          </w:tcPr>
          <w:p w14:paraId="532A0867"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0E913036" w14:textId="77777777" w:rsidR="001D21DF" w:rsidRPr="001D21DF" w:rsidRDefault="001D21DF" w:rsidP="001D21DF">
            <w:pPr>
              <w:spacing w:line="240" w:lineRule="auto"/>
              <w:jc w:val="center"/>
              <w:rPr>
                <w:rFonts w:cs="Arial"/>
                <w:sz w:val="16"/>
                <w:szCs w:val="16"/>
              </w:rPr>
            </w:pPr>
            <w:r w:rsidRPr="001D21DF">
              <w:rPr>
                <w:rFonts w:cs="Arial"/>
                <w:sz w:val="16"/>
                <w:szCs w:val="16"/>
              </w:rPr>
              <w:t>25</w:t>
            </w:r>
          </w:p>
        </w:tc>
      </w:tr>
      <w:tr w:rsidR="001D21DF" w:rsidRPr="001D21DF" w14:paraId="7C1E4877"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9962939" w14:textId="77777777" w:rsidR="001D21DF" w:rsidRPr="001D21DF" w:rsidRDefault="001D21DF" w:rsidP="001D21DF">
            <w:pPr>
              <w:spacing w:line="240" w:lineRule="auto"/>
              <w:jc w:val="center"/>
              <w:rPr>
                <w:rFonts w:cs="Arial"/>
                <w:sz w:val="16"/>
                <w:szCs w:val="16"/>
              </w:rPr>
            </w:pPr>
            <w:r w:rsidRPr="001D21DF">
              <w:rPr>
                <w:rFonts w:cs="Arial"/>
                <w:sz w:val="16"/>
                <w:szCs w:val="16"/>
              </w:rPr>
              <w:t>2018-06-29</w:t>
            </w:r>
          </w:p>
        </w:tc>
        <w:tc>
          <w:tcPr>
            <w:tcW w:w="1460" w:type="dxa"/>
            <w:tcBorders>
              <w:top w:val="nil"/>
              <w:left w:val="nil"/>
              <w:bottom w:val="nil"/>
              <w:right w:val="single" w:sz="4" w:space="0" w:color="auto"/>
            </w:tcBorders>
            <w:shd w:val="clear" w:color="000000" w:fill="FFFFFF"/>
            <w:noWrap/>
            <w:vAlign w:val="center"/>
            <w:hideMark/>
          </w:tcPr>
          <w:p w14:paraId="10B85F21" w14:textId="77777777" w:rsidR="001D21DF" w:rsidRPr="001D21DF" w:rsidRDefault="001D21DF" w:rsidP="001D21DF">
            <w:pPr>
              <w:spacing w:line="240" w:lineRule="auto"/>
              <w:jc w:val="center"/>
              <w:rPr>
                <w:rFonts w:cs="Arial"/>
                <w:sz w:val="16"/>
                <w:szCs w:val="16"/>
              </w:rPr>
            </w:pPr>
            <w:r w:rsidRPr="001D21DF">
              <w:rPr>
                <w:rFonts w:cs="Arial"/>
                <w:sz w:val="16"/>
                <w:szCs w:val="16"/>
              </w:rPr>
              <w:t>0.94</w:t>
            </w:r>
          </w:p>
        </w:tc>
        <w:tc>
          <w:tcPr>
            <w:tcW w:w="1460" w:type="dxa"/>
            <w:tcBorders>
              <w:top w:val="nil"/>
              <w:left w:val="nil"/>
              <w:bottom w:val="nil"/>
              <w:right w:val="single" w:sz="4" w:space="0" w:color="auto"/>
            </w:tcBorders>
            <w:shd w:val="clear" w:color="000000" w:fill="FFFFFF"/>
            <w:noWrap/>
            <w:vAlign w:val="center"/>
            <w:hideMark/>
          </w:tcPr>
          <w:p w14:paraId="0C262C5D" w14:textId="77777777" w:rsidR="001D21DF" w:rsidRPr="001D21DF" w:rsidRDefault="001D21DF" w:rsidP="001D21DF">
            <w:pPr>
              <w:spacing w:line="240" w:lineRule="auto"/>
              <w:jc w:val="center"/>
              <w:rPr>
                <w:rFonts w:cs="Arial"/>
                <w:sz w:val="16"/>
                <w:szCs w:val="16"/>
              </w:rPr>
            </w:pPr>
            <w:r w:rsidRPr="001D21DF">
              <w:rPr>
                <w:rFonts w:cs="Arial"/>
                <w:sz w:val="16"/>
                <w:szCs w:val="16"/>
              </w:rPr>
              <w:t>42%</w:t>
            </w:r>
          </w:p>
        </w:tc>
        <w:tc>
          <w:tcPr>
            <w:tcW w:w="1460" w:type="dxa"/>
            <w:tcBorders>
              <w:top w:val="nil"/>
              <w:left w:val="nil"/>
              <w:bottom w:val="nil"/>
              <w:right w:val="single" w:sz="4" w:space="0" w:color="auto"/>
            </w:tcBorders>
            <w:shd w:val="clear" w:color="000000" w:fill="FFFFFF"/>
            <w:noWrap/>
            <w:vAlign w:val="center"/>
            <w:hideMark/>
          </w:tcPr>
          <w:p w14:paraId="2F80A82E"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FFFFF"/>
            <w:noWrap/>
            <w:vAlign w:val="center"/>
            <w:hideMark/>
          </w:tcPr>
          <w:p w14:paraId="75C0AF9E" w14:textId="77777777" w:rsidR="001D21DF" w:rsidRPr="001D21DF" w:rsidRDefault="001D21DF" w:rsidP="001D21DF">
            <w:pPr>
              <w:spacing w:line="240" w:lineRule="auto"/>
              <w:jc w:val="center"/>
              <w:rPr>
                <w:rFonts w:cs="Arial"/>
                <w:sz w:val="16"/>
                <w:szCs w:val="16"/>
              </w:rPr>
            </w:pPr>
            <w:r w:rsidRPr="001D21DF">
              <w:rPr>
                <w:rFonts w:cs="Arial"/>
                <w:sz w:val="16"/>
                <w:szCs w:val="16"/>
              </w:rPr>
              <w:t>28</w:t>
            </w:r>
          </w:p>
        </w:tc>
      </w:tr>
      <w:tr w:rsidR="001D21DF" w:rsidRPr="001D21DF" w14:paraId="296A1EE0"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30CEF80A" w14:textId="77777777" w:rsidR="001D21DF" w:rsidRPr="001D21DF" w:rsidRDefault="001D21DF" w:rsidP="001D21DF">
            <w:pPr>
              <w:spacing w:line="240" w:lineRule="auto"/>
              <w:jc w:val="center"/>
              <w:rPr>
                <w:rFonts w:cs="Arial"/>
                <w:sz w:val="16"/>
                <w:szCs w:val="16"/>
              </w:rPr>
            </w:pPr>
            <w:r w:rsidRPr="001D21DF">
              <w:rPr>
                <w:rFonts w:cs="Arial"/>
                <w:sz w:val="16"/>
                <w:szCs w:val="16"/>
              </w:rPr>
              <w:t>2018-07-03</w:t>
            </w:r>
          </w:p>
        </w:tc>
        <w:tc>
          <w:tcPr>
            <w:tcW w:w="1460" w:type="dxa"/>
            <w:tcBorders>
              <w:top w:val="nil"/>
              <w:left w:val="nil"/>
              <w:bottom w:val="nil"/>
              <w:right w:val="single" w:sz="4" w:space="0" w:color="auto"/>
            </w:tcBorders>
            <w:shd w:val="clear" w:color="000000" w:fill="F2F2F2"/>
            <w:noWrap/>
            <w:vAlign w:val="center"/>
            <w:hideMark/>
          </w:tcPr>
          <w:p w14:paraId="0F0E6663" w14:textId="77777777" w:rsidR="001D21DF" w:rsidRPr="001D21DF" w:rsidRDefault="001D21DF" w:rsidP="001D21DF">
            <w:pPr>
              <w:spacing w:line="240" w:lineRule="auto"/>
              <w:jc w:val="center"/>
              <w:rPr>
                <w:rFonts w:cs="Arial"/>
                <w:sz w:val="16"/>
                <w:szCs w:val="16"/>
              </w:rPr>
            </w:pPr>
            <w:r w:rsidRPr="001D21DF">
              <w:rPr>
                <w:rFonts w:cs="Arial"/>
                <w:sz w:val="16"/>
                <w:szCs w:val="16"/>
              </w:rPr>
              <w:t>1.03</w:t>
            </w:r>
          </w:p>
        </w:tc>
        <w:tc>
          <w:tcPr>
            <w:tcW w:w="1460" w:type="dxa"/>
            <w:tcBorders>
              <w:top w:val="nil"/>
              <w:left w:val="nil"/>
              <w:bottom w:val="nil"/>
              <w:right w:val="single" w:sz="4" w:space="0" w:color="auto"/>
            </w:tcBorders>
            <w:shd w:val="clear" w:color="000000" w:fill="F2F2F2"/>
            <w:noWrap/>
            <w:vAlign w:val="center"/>
            <w:hideMark/>
          </w:tcPr>
          <w:p w14:paraId="367A93C5" w14:textId="77777777" w:rsidR="001D21DF" w:rsidRPr="001D21DF" w:rsidRDefault="001D21DF" w:rsidP="001D21DF">
            <w:pPr>
              <w:spacing w:line="240" w:lineRule="auto"/>
              <w:jc w:val="center"/>
              <w:rPr>
                <w:rFonts w:cs="Arial"/>
                <w:sz w:val="16"/>
                <w:szCs w:val="16"/>
              </w:rPr>
            </w:pPr>
            <w:r w:rsidRPr="001D21DF">
              <w:rPr>
                <w:rFonts w:cs="Arial"/>
                <w:sz w:val="16"/>
                <w:szCs w:val="16"/>
              </w:rPr>
              <w:t>45%</w:t>
            </w:r>
          </w:p>
        </w:tc>
        <w:tc>
          <w:tcPr>
            <w:tcW w:w="1460" w:type="dxa"/>
            <w:tcBorders>
              <w:top w:val="nil"/>
              <w:left w:val="nil"/>
              <w:bottom w:val="nil"/>
              <w:right w:val="single" w:sz="4" w:space="0" w:color="auto"/>
            </w:tcBorders>
            <w:shd w:val="clear" w:color="000000" w:fill="F2F2F2"/>
            <w:noWrap/>
            <w:vAlign w:val="center"/>
            <w:hideMark/>
          </w:tcPr>
          <w:p w14:paraId="1783C210"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2F2F2"/>
            <w:noWrap/>
            <w:vAlign w:val="center"/>
            <w:hideMark/>
          </w:tcPr>
          <w:p w14:paraId="34B89CF4" w14:textId="77777777" w:rsidR="001D21DF" w:rsidRPr="001D21DF" w:rsidRDefault="001D21DF" w:rsidP="001D21DF">
            <w:pPr>
              <w:spacing w:line="240" w:lineRule="auto"/>
              <w:jc w:val="center"/>
              <w:rPr>
                <w:rFonts w:cs="Arial"/>
                <w:sz w:val="16"/>
                <w:szCs w:val="16"/>
              </w:rPr>
            </w:pPr>
            <w:r w:rsidRPr="001D21DF">
              <w:rPr>
                <w:rFonts w:cs="Arial"/>
                <w:sz w:val="16"/>
                <w:szCs w:val="16"/>
              </w:rPr>
              <w:t>30</w:t>
            </w:r>
          </w:p>
        </w:tc>
      </w:tr>
      <w:tr w:rsidR="001D21DF" w:rsidRPr="001D21DF" w14:paraId="746E3B8E"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672F2FDE" w14:textId="77777777" w:rsidR="001D21DF" w:rsidRPr="001D21DF" w:rsidRDefault="001D21DF" w:rsidP="001D21DF">
            <w:pPr>
              <w:spacing w:line="240" w:lineRule="auto"/>
              <w:jc w:val="center"/>
              <w:rPr>
                <w:rFonts w:cs="Arial"/>
                <w:sz w:val="16"/>
                <w:szCs w:val="16"/>
              </w:rPr>
            </w:pPr>
            <w:r w:rsidRPr="001D21DF">
              <w:rPr>
                <w:rFonts w:cs="Arial"/>
                <w:sz w:val="16"/>
                <w:szCs w:val="16"/>
              </w:rPr>
              <w:t>2018-07-04</w:t>
            </w:r>
          </w:p>
        </w:tc>
        <w:tc>
          <w:tcPr>
            <w:tcW w:w="1460" w:type="dxa"/>
            <w:tcBorders>
              <w:top w:val="nil"/>
              <w:left w:val="nil"/>
              <w:bottom w:val="nil"/>
              <w:right w:val="single" w:sz="4" w:space="0" w:color="auto"/>
            </w:tcBorders>
            <w:shd w:val="clear" w:color="000000" w:fill="FFFFFF"/>
            <w:noWrap/>
            <w:vAlign w:val="center"/>
            <w:hideMark/>
          </w:tcPr>
          <w:p w14:paraId="184C5634" w14:textId="77777777" w:rsidR="001D21DF" w:rsidRPr="001D21DF" w:rsidRDefault="001D21DF" w:rsidP="001D21DF">
            <w:pPr>
              <w:spacing w:line="240" w:lineRule="auto"/>
              <w:jc w:val="center"/>
              <w:rPr>
                <w:rFonts w:cs="Arial"/>
                <w:sz w:val="16"/>
                <w:szCs w:val="16"/>
              </w:rPr>
            </w:pPr>
            <w:r w:rsidRPr="001D21DF">
              <w:rPr>
                <w:rFonts w:cs="Arial"/>
                <w:sz w:val="16"/>
                <w:szCs w:val="16"/>
              </w:rPr>
              <w:t>1.13</w:t>
            </w:r>
          </w:p>
        </w:tc>
        <w:tc>
          <w:tcPr>
            <w:tcW w:w="1460" w:type="dxa"/>
            <w:tcBorders>
              <w:top w:val="nil"/>
              <w:left w:val="nil"/>
              <w:bottom w:val="nil"/>
              <w:right w:val="single" w:sz="4" w:space="0" w:color="auto"/>
            </w:tcBorders>
            <w:shd w:val="clear" w:color="000000" w:fill="FFFFFF"/>
            <w:noWrap/>
            <w:vAlign w:val="center"/>
            <w:hideMark/>
          </w:tcPr>
          <w:p w14:paraId="4393DAB6" w14:textId="77777777" w:rsidR="001D21DF" w:rsidRPr="001D21DF" w:rsidRDefault="001D21DF" w:rsidP="001D21DF">
            <w:pPr>
              <w:spacing w:line="240" w:lineRule="auto"/>
              <w:jc w:val="center"/>
              <w:rPr>
                <w:rFonts w:cs="Arial"/>
                <w:sz w:val="16"/>
                <w:szCs w:val="16"/>
              </w:rPr>
            </w:pPr>
            <w:r w:rsidRPr="001D21DF">
              <w:rPr>
                <w:rFonts w:cs="Arial"/>
                <w:sz w:val="16"/>
                <w:szCs w:val="16"/>
              </w:rPr>
              <w:t>47%</w:t>
            </w:r>
          </w:p>
        </w:tc>
        <w:tc>
          <w:tcPr>
            <w:tcW w:w="1460" w:type="dxa"/>
            <w:tcBorders>
              <w:top w:val="nil"/>
              <w:left w:val="nil"/>
              <w:bottom w:val="nil"/>
              <w:right w:val="single" w:sz="4" w:space="0" w:color="auto"/>
            </w:tcBorders>
            <w:shd w:val="clear" w:color="000000" w:fill="FFFFFF"/>
            <w:noWrap/>
            <w:vAlign w:val="center"/>
            <w:hideMark/>
          </w:tcPr>
          <w:p w14:paraId="1A3A5F72"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4C6C5E66" w14:textId="77777777" w:rsidR="001D21DF" w:rsidRPr="001D21DF" w:rsidRDefault="001D21DF" w:rsidP="001D21DF">
            <w:pPr>
              <w:spacing w:line="240" w:lineRule="auto"/>
              <w:jc w:val="center"/>
              <w:rPr>
                <w:rFonts w:cs="Arial"/>
                <w:sz w:val="16"/>
                <w:szCs w:val="16"/>
              </w:rPr>
            </w:pPr>
            <w:r w:rsidRPr="001D21DF">
              <w:rPr>
                <w:rFonts w:cs="Arial"/>
                <w:sz w:val="16"/>
                <w:szCs w:val="16"/>
              </w:rPr>
              <w:t>31</w:t>
            </w:r>
          </w:p>
        </w:tc>
      </w:tr>
      <w:tr w:rsidR="001D21DF" w:rsidRPr="001D21DF" w14:paraId="6C5D9B1D"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43EFA1E2" w14:textId="77777777" w:rsidR="001D21DF" w:rsidRPr="001D21DF" w:rsidRDefault="001D21DF" w:rsidP="001D21DF">
            <w:pPr>
              <w:spacing w:line="240" w:lineRule="auto"/>
              <w:jc w:val="center"/>
              <w:rPr>
                <w:rFonts w:cs="Arial"/>
                <w:sz w:val="16"/>
                <w:szCs w:val="16"/>
              </w:rPr>
            </w:pPr>
            <w:r w:rsidRPr="001D21DF">
              <w:rPr>
                <w:rFonts w:cs="Arial"/>
                <w:sz w:val="16"/>
                <w:szCs w:val="16"/>
              </w:rPr>
              <w:t>2018-07-05</w:t>
            </w:r>
          </w:p>
        </w:tc>
        <w:tc>
          <w:tcPr>
            <w:tcW w:w="1460" w:type="dxa"/>
            <w:tcBorders>
              <w:top w:val="nil"/>
              <w:left w:val="nil"/>
              <w:bottom w:val="nil"/>
              <w:right w:val="single" w:sz="4" w:space="0" w:color="auto"/>
            </w:tcBorders>
            <w:shd w:val="clear" w:color="000000" w:fill="F2F2F2"/>
            <w:noWrap/>
            <w:vAlign w:val="center"/>
            <w:hideMark/>
          </w:tcPr>
          <w:p w14:paraId="5B223923" w14:textId="77777777" w:rsidR="001D21DF" w:rsidRPr="001D21DF" w:rsidRDefault="001D21DF" w:rsidP="001D21DF">
            <w:pPr>
              <w:spacing w:line="240" w:lineRule="auto"/>
              <w:jc w:val="center"/>
              <w:rPr>
                <w:rFonts w:cs="Arial"/>
                <w:sz w:val="16"/>
                <w:szCs w:val="16"/>
              </w:rPr>
            </w:pPr>
            <w:r w:rsidRPr="001D21DF">
              <w:rPr>
                <w:rFonts w:cs="Arial"/>
                <w:sz w:val="16"/>
                <w:szCs w:val="16"/>
              </w:rPr>
              <w:t>0.76</w:t>
            </w:r>
          </w:p>
        </w:tc>
        <w:tc>
          <w:tcPr>
            <w:tcW w:w="1460" w:type="dxa"/>
            <w:tcBorders>
              <w:top w:val="nil"/>
              <w:left w:val="nil"/>
              <w:bottom w:val="nil"/>
              <w:right w:val="single" w:sz="4" w:space="0" w:color="auto"/>
            </w:tcBorders>
            <w:shd w:val="clear" w:color="000000" w:fill="F2F2F2"/>
            <w:noWrap/>
            <w:vAlign w:val="center"/>
            <w:hideMark/>
          </w:tcPr>
          <w:p w14:paraId="4AF6CBFB" w14:textId="77777777" w:rsidR="001D21DF" w:rsidRPr="001D21DF" w:rsidRDefault="001D21DF" w:rsidP="001D21DF">
            <w:pPr>
              <w:spacing w:line="240" w:lineRule="auto"/>
              <w:jc w:val="center"/>
              <w:rPr>
                <w:rFonts w:cs="Arial"/>
                <w:sz w:val="16"/>
                <w:szCs w:val="16"/>
              </w:rPr>
            </w:pPr>
            <w:r w:rsidRPr="001D21DF">
              <w:rPr>
                <w:rFonts w:cs="Arial"/>
                <w:sz w:val="16"/>
                <w:szCs w:val="16"/>
              </w:rPr>
              <w:t>38%</w:t>
            </w:r>
          </w:p>
        </w:tc>
        <w:tc>
          <w:tcPr>
            <w:tcW w:w="1460" w:type="dxa"/>
            <w:tcBorders>
              <w:top w:val="nil"/>
              <w:left w:val="nil"/>
              <w:bottom w:val="nil"/>
              <w:right w:val="single" w:sz="4" w:space="0" w:color="auto"/>
            </w:tcBorders>
            <w:shd w:val="clear" w:color="000000" w:fill="F2F2F2"/>
            <w:noWrap/>
            <w:vAlign w:val="center"/>
            <w:hideMark/>
          </w:tcPr>
          <w:p w14:paraId="78FC34F8"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7E8917A9" w14:textId="77777777" w:rsidR="001D21DF" w:rsidRPr="001D21DF" w:rsidRDefault="001D21DF" w:rsidP="001D21DF">
            <w:pPr>
              <w:spacing w:line="240" w:lineRule="auto"/>
              <w:jc w:val="center"/>
              <w:rPr>
                <w:rFonts w:cs="Arial"/>
                <w:sz w:val="16"/>
                <w:szCs w:val="16"/>
              </w:rPr>
            </w:pPr>
            <w:r w:rsidRPr="001D21DF">
              <w:rPr>
                <w:rFonts w:cs="Arial"/>
                <w:sz w:val="16"/>
                <w:szCs w:val="16"/>
              </w:rPr>
              <w:t>25</w:t>
            </w:r>
          </w:p>
        </w:tc>
      </w:tr>
      <w:tr w:rsidR="001D21DF" w:rsidRPr="001D21DF" w14:paraId="4E46574E"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E1496F4" w14:textId="77777777" w:rsidR="001D21DF" w:rsidRPr="001D21DF" w:rsidRDefault="001D21DF" w:rsidP="001D21DF">
            <w:pPr>
              <w:spacing w:line="240" w:lineRule="auto"/>
              <w:jc w:val="center"/>
              <w:rPr>
                <w:rFonts w:cs="Arial"/>
                <w:sz w:val="16"/>
                <w:szCs w:val="16"/>
              </w:rPr>
            </w:pPr>
            <w:r w:rsidRPr="001D21DF">
              <w:rPr>
                <w:rFonts w:cs="Arial"/>
                <w:sz w:val="16"/>
                <w:szCs w:val="16"/>
              </w:rPr>
              <w:t>2018-07-16</w:t>
            </w:r>
          </w:p>
        </w:tc>
        <w:tc>
          <w:tcPr>
            <w:tcW w:w="1460" w:type="dxa"/>
            <w:tcBorders>
              <w:top w:val="nil"/>
              <w:left w:val="nil"/>
              <w:bottom w:val="nil"/>
              <w:right w:val="single" w:sz="4" w:space="0" w:color="auto"/>
            </w:tcBorders>
            <w:shd w:val="clear" w:color="000000" w:fill="FFFFFF"/>
            <w:noWrap/>
            <w:vAlign w:val="center"/>
            <w:hideMark/>
          </w:tcPr>
          <w:p w14:paraId="56EFEC60" w14:textId="77777777" w:rsidR="001D21DF" w:rsidRPr="001D21DF" w:rsidRDefault="001D21DF" w:rsidP="001D21DF">
            <w:pPr>
              <w:spacing w:line="240" w:lineRule="auto"/>
              <w:jc w:val="center"/>
              <w:rPr>
                <w:rFonts w:cs="Arial"/>
                <w:sz w:val="16"/>
                <w:szCs w:val="16"/>
              </w:rPr>
            </w:pPr>
            <w:r w:rsidRPr="001D21DF">
              <w:rPr>
                <w:rFonts w:cs="Arial"/>
                <w:sz w:val="16"/>
                <w:szCs w:val="16"/>
              </w:rPr>
              <w:t>0.71</w:t>
            </w:r>
          </w:p>
        </w:tc>
        <w:tc>
          <w:tcPr>
            <w:tcW w:w="1460" w:type="dxa"/>
            <w:tcBorders>
              <w:top w:val="nil"/>
              <w:left w:val="nil"/>
              <w:bottom w:val="nil"/>
              <w:right w:val="single" w:sz="4" w:space="0" w:color="auto"/>
            </w:tcBorders>
            <w:shd w:val="clear" w:color="000000" w:fill="FFFFFF"/>
            <w:noWrap/>
            <w:vAlign w:val="center"/>
            <w:hideMark/>
          </w:tcPr>
          <w:p w14:paraId="4D4C01A1" w14:textId="77777777" w:rsidR="001D21DF" w:rsidRPr="001D21DF" w:rsidRDefault="001D21DF" w:rsidP="001D21DF">
            <w:pPr>
              <w:spacing w:line="240" w:lineRule="auto"/>
              <w:jc w:val="center"/>
              <w:rPr>
                <w:rFonts w:cs="Arial"/>
                <w:sz w:val="16"/>
                <w:szCs w:val="16"/>
              </w:rPr>
            </w:pPr>
            <w:r w:rsidRPr="001D21DF">
              <w:rPr>
                <w:rFonts w:cs="Arial"/>
                <w:sz w:val="16"/>
                <w:szCs w:val="16"/>
              </w:rPr>
              <w:t>36%</w:t>
            </w:r>
          </w:p>
        </w:tc>
        <w:tc>
          <w:tcPr>
            <w:tcW w:w="1460" w:type="dxa"/>
            <w:tcBorders>
              <w:top w:val="nil"/>
              <w:left w:val="nil"/>
              <w:bottom w:val="nil"/>
              <w:right w:val="single" w:sz="4" w:space="0" w:color="auto"/>
            </w:tcBorders>
            <w:shd w:val="clear" w:color="000000" w:fill="FFFFFF"/>
            <w:noWrap/>
            <w:vAlign w:val="center"/>
            <w:hideMark/>
          </w:tcPr>
          <w:p w14:paraId="77E766C2"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035E288D" w14:textId="77777777" w:rsidR="001D21DF" w:rsidRPr="001D21DF" w:rsidRDefault="001D21DF" w:rsidP="001D21DF">
            <w:pPr>
              <w:spacing w:line="240" w:lineRule="auto"/>
              <w:jc w:val="center"/>
              <w:rPr>
                <w:rFonts w:cs="Arial"/>
                <w:sz w:val="16"/>
                <w:szCs w:val="16"/>
              </w:rPr>
            </w:pPr>
            <w:r w:rsidRPr="001D21DF">
              <w:rPr>
                <w:rFonts w:cs="Arial"/>
                <w:sz w:val="16"/>
                <w:szCs w:val="16"/>
              </w:rPr>
              <w:t>25</w:t>
            </w:r>
          </w:p>
        </w:tc>
      </w:tr>
      <w:tr w:rsidR="001D21DF" w:rsidRPr="001D21DF" w14:paraId="2E78CACF"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7B901A02" w14:textId="77777777" w:rsidR="001D21DF" w:rsidRPr="001D21DF" w:rsidRDefault="001D21DF" w:rsidP="001D21DF">
            <w:pPr>
              <w:spacing w:line="240" w:lineRule="auto"/>
              <w:jc w:val="center"/>
              <w:rPr>
                <w:rFonts w:cs="Arial"/>
                <w:sz w:val="16"/>
                <w:szCs w:val="16"/>
              </w:rPr>
            </w:pPr>
            <w:r w:rsidRPr="001D21DF">
              <w:rPr>
                <w:rFonts w:cs="Arial"/>
                <w:sz w:val="16"/>
                <w:szCs w:val="16"/>
              </w:rPr>
              <w:t>2018-07-17</w:t>
            </w:r>
          </w:p>
        </w:tc>
        <w:tc>
          <w:tcPr>
            <w:tcW w:w="1460" w:type="dxa"/>
            <w:tcBorders>
              <w:top w:val="nil"/>
              <w:left w:val="nil"/>
              <w:bottom w:val="nil"/>
              <w:right w:val="single" w:sz="4" w:space="0" w:color="auto"/>
            </w:tcBorders>
            <w:shd w:val="clear" w:color="000000" w:fill="F2F2F2"/>
            <w:noWrap/>
            <w:vAlign w:val="center"/>
            <w:hideMark/>
          </w:tcPr>
          <w:p w14:paraId="6242B44A" w14:textId="77777777" w:rsidR="001D21DF" w:rsidRPr="001D21DF" w:rsidRDefault="001D21DF" w:rsidP="001D21DF">
            <w:pPr>
              <w:spacing w:line="240" w:lineRule="auto"/>
              <w:jc w:val="center"/>
              <w:rPr>
                <w:rFonts w:cs="Arial"/>
                <w:sz w:val="16"/>
                <w:szCs w:val="16"/>
              </w:rPr>
            </w:pPr>
            <w:r w:rsidRPr="001D21DF">
              <w:rPr>
                <w:rFonts w:cs="Arial"/>
                <w:sz w:val="16"/>
                <w:szCs w:val="16"/>
              </w:rPr>
              <w:t>0.51</w:t>
            </w:r>
          </w:p>
        </w:tc>
        <w:tc>
          <w:tcPr>
            <w:tcW w:w="1460" w:type="dxa"/>
            <w:tcBorders>
              <w:top w:val="nil"/>
              <w:left w:val="nil"/>
              <w:bottom w:val="nil"/>
              <w:right w:val="single" w:sz="4" w:space="0" w:color="auto"/>
            </w:tcBorders>
            <w:shd w:val="clear" w:color="000000" w:fill="F2F2F2"/>
            <w:noWrap/>
            <w:vAlign w:val="center"/>
            <w:hideMark/>
          </w:tcPr>
          <w:p w14:paraId="340B5493" w14:textId="77777777" w:rsidR="001D21DF" w:rsidRPr="001D21DF" w:rsidRDefault="001D21DF" w:rsidP="001D21DF">
            <w:pPr>
              <w:spacing w:line="240" w:lineRule="auto"/>
              <w:jc w:val="center"/>
              <w:rPr>
                <w:rFonts w:cs="Arial"/>
                <w:sz w:val="16"/>
                <w:szCs w:val="16"/>
              </w:rPr>
            </w:pPr>
            <w:r w:rsidRPr="001D21DF">
              <w:rPr>
                <w:rFonts w:cs="Arial"/>
                <w:sz w:val="16"/>
                <w:szCs w:val="16"/>
              </w:rPr>
              <w:t>35%</w:t>
            </w:r>
          </w:p>
        </w:tc>
        <w:tc>
          <w:tcPr>
            <w:tcW w:w="1460" w:type="dxa"/>
            <w:tcBorders>
              <w:top w:val="nil"/>
              <w:left w:val="nil"/>
              <w:bottom w:val="nil"/>
              <w:right w:val="single" w:sz="4" w:space="0" w:color="auto"/>
            </w:tcBorders>
            <w:shd w:val="clear" w:color="000000" w:fill="F2F2F2"/>
            <w:noWrap/>
            <w:vAlign w:val="center"/>
            <w:hideMark/>
          </w:tcPr>
          <w:p w14:paraId="31B84F24" w14:textId="77777777" w:rsidR="001D21DF" w:rsidRPr="001D21DF" w:rsidRDefault="001D21DF" w:rsidP="001D21DF">
            <w:pPr>
              <w:spacing w:line="240" w:lineRule="auto"/>
              <w:jc w:val="center"/>
              <w:rPr>
                <w:rFonts w:cs="Arial"/>
                <w:sz w:val="16"/>
                <w:szCs w:val="16"/>
              </w:rPr>
            </w:pPr>
            <w:r w:rsidRPr="001D21DF">
              <w:rPr>
                <w:rFonts w:cs="Arial"/>
                <w:sz w:val="16"/>
                <w:szCs w:val="16"/>
              </w:rPr>
              <w:t>13%</w:t>
            </w:r>
          </w:p>
        </w:tc>
        <w:tc>
          <w:tcPr>
            <w:tcW w:w="1580" w:type="dxa"/>
            <w:tcBorders>
              <w:top w:val="nil"/>
              <w:left w:val="nil"/>
              <w:bottom w:val="nil"/>
              <w:right w:val="single" w:sz="4" w:space="0" w:color="auto"/>
            </w:tcBorders>
            <w:shd w:val="clear" w:color="000000" w:fill="F2F2F2"/>
            <w:noWrap/>
            <w:vAlign w:val="center"/>
            <w:hideMark/>
          </w:tcPr>
          <w:p w14:paraId="06C0D35A" w14:textId="77777777" w:rsidR="001D21DF" w:rsidRPr="001D21DF" w:rsidRDefault="001D21DF" w:rsidP="001D21DF">
            <w:pPr>
              <w:spacing w:line="240" w:lineRule="auto"/>
              <w:jc w:val="center"/>
              <w:rPr>
                <w:rFonts w:cs="Arial"/>
                <w:sz w:val="16"/>
                <w:szCs w:val="16"/>
              </w:rPr>
            </w:pPr>
            <w:r w:rsidRPr="001D21DF">
              <w:rPr>
                <w:rFonts w:cs="Arial"/>
                <w:sz w:val="16"/>
                <w:szCs w:val="16"/>
              </w:rPr>
              <w:t>22</w:t>
            </w:r>
          </w:p>
        </w:tc>
      </w:tr>
      <w:tr w:rsidR="001D21DF" w:rsidRPr="001D21DF" w14:paraId="69F5B1CC"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6B0939FE" w14:textId="77777777" w:rsidR="001D21DF" w:rsidRPr="001D21DF" w:rsidRDefault="001D21DF" w:rsidP="001D21DF">
            <w:pPr>
              <w:spacing w:line="240" w:lineRule="auto"/>
              <w:jc w:val="center"/>
              <w:rPr>
                <w:rFonts w:cs="Arial"/>
                <w:sz w:val="16"/>
                <w:szCs w:val="16"/>
              </w:rPr>
            </w:pPr>
            <w:r w:rsidRPr="001D21DF">
              <w:rPr>
                <w:rFonts w:cs="Arial"/>
                <w:sz w:val="16"/>
                <w:szCs w:val="16"/>
              </w:rPr>
              <w:t>2018-07-24</w:t>
            </w:r>
          </w:p>
        </w:tc>
        <w:tc>
          <w:tcPr>
            <w:tcW w:w="1460" w:type="dxa"/>
            <w:tcBorders>
              <w:top w:val="nil"/>
              <w:left w:val="nil"/>
              <w:bottom w:val="nil"/>
              <w:right w:val="single" w:sz="4" w:space="0" w:color="auto"/>
            </w:tcBorders>
            <w:shd w:val="clear" w:color="000000" w:fill="FFFFFF"/>
            <w:noWrap/>
            <w:vAlign w:val="center"/>
            <w:hideMark/>
          </w:tcPr>
          <w:p w14:paraId="5C02BA76" w14:textId="77777777" w:rsidR="001D21DF" w:rsidRPr="001D21DF" w:rsidRDefault="001D21DF" w:rsidP="001D21DF">
            <w:pPr>
              <w:spacing w:line="240" w:lineRule="auto"/>
              <w:jc w:val="center"/>
              <w:rPr>
                <w:rFonts w:cs="Arial"/>
                <w:sz w:val="16"/>
                <w:szCs w:val="16"/>
              </w:rPr>
            </w:pPr>
            <w:r w:rsidRPr="001D21DF">
              <w:rPr>
                <w:rFonts w:cs="Arial"/>
                <w:sz w:val="16"/>
                <w:szCs w:val="16"/>
              </w:rPr>
              <w:t>0.71</w:t>
            </w:r>
          </w:p>
        </w:tc>
        <w:tc>
          <w:tcPr>
            <w:tcW w:w="1460" w:type="dxa"/>
            <w:tcBorders>
              <w:top w:val="nil"/>
              <w:left w:val="nil"/>
              <w:bottom w:val="nil"/>
              <w:right w:val="single" w:sz="4" w:space="0" w:color="auto"/>
            </w:tcBorders>
            <w:shd w:val="clear" w:color="000000" w:fill="FFFFFF"/>
            <w:noWrap/>
            <w:vAlign w:val="center"/>
            <w:hideMark/>
          </w:tcPr>
          <w:p w14:paraId="6FB81E00" w14:textId="77777777" w:rsidR="001D21DF" w:rsidRPr="001D21DF" w:rsidRDefault="001D21DF" w:rsidP="001D21DF">
            <w:pPr>
              <w:spacing w:line="240" w:lineRule="auto"/>
              <w:jc w:val="center"/>
              <w:rPr>
                <w:rFonts w:cs="Arial"/>
                <w:sz w:val="16"/>
                <w:szCs w:val="16"/>
              </w:rPr>
            </w:pPr>
            <w:r w:rsidRPr="001D21DF">
              <w:rPr>
                <w:rFonts w:cs="Arial"/>
                <w:sz w:val="16"/>
                <w:szCs w:val="16"/>
              </w:rPr>
              <w:t>40%</w:t>
            </w:r>
          </w:p>
        </w:tc>
        <w:tc>
          <w:tcPr>
            <w:tcW w:w="1460" w:type="dxa"/>
            <w:tcBorders>
              <w:top w:val="nil"/>
              <w:left w:val="nil"/>
              <w:bottom w:val="nil"/>
              <w:right w:val="single" w:sz="4" w:space="0" w:color="auto"/>
            </w:tcBorders>
            <w:shd w:val="clear" w:color="000000" w:fill="FFFFFF"/>
            <w:noWrap/>
            <w:vAlign w:val="center"/>
            <w:hideMark/>
          </w:tcPr>
          <w:p w14:paraId="0563DDBD"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FFFFF"/>
            <w:noWrap/>
            <w:vAlign w:val="center"/>
            <w:hideMark/>
          </w:tcPr>
          <w:p w14:paraId="633E5953" w14:textId="77777777" w:rsidR="001D21DF" w:rsidRPr="001D21DF" w:rsidRDefault="001D21DF" w:rsidP="001D21DF">
            <w:pPr>
              <w:spacing w:line="240" w:lineRule="auto"/>
              <w:jc w:val="center"/>
              <w:rPr>
                <w:rFonts w:cs="Arial"/>
                <w:sz w:val="16"/>
                <w:szCs w:val="16"/>
              </w:rPr>
            </w:pPr>
            <w:r w:rsidRPr="001D21DF">
              <w:rPr>
                <w:rFonts w:cs="Arial"/>
                <w:sz w:val="16"/>
                <w:szCs w:val="16"/>
              </w:rPr>
              <w:t>25</w:t>
            </w:r>
          </w:p>
        </w:tc>
      </w:tr>
      <w:tr w:rsidR="001D21DF" w:rsidRPr="001D21DF" w14:paraId="4552158F"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11B2C77D" w14:textId="77777777" w:rsidR="001D21DF" w:rsidRPr="001D21DF" w:rsidRDefault="001D21DF" w:rsidP="001D21DF">
            <w:pPr>
              <w:spacing w:line="240" w:lineRule="auto"/>
              <w:jc w:val="center"/>
              <w:rPr>
                <w:rFonts w:cs="Arial"/>
                <w:sz w:val="16"/>
                <w:szCs w:val="16"/>
              </w:rPr>
            </w:pPr>
            <w:r w:rsidRPr="001D21DF">
              <w:rPr>
                <w:rFonts w:cs="Arial"/>
                <w:sz w:val="16"/>
                <w:szCs w:val="16"/>
              </w:rPr>
              <w:t>2018-08-07</w:t>
            </w:r>
          </w:p>
        </w:tc>
        <w:tc>
          <w:tcPr>
            <w:tcW w:w="1460" w:type="dxa"/>
            <w:tcBorders>
              <w:top w:val="nil"/>
              <w:left w:val="nil"/>
              <w:bottom w:val="nil"/>
              <w:right w:val="single" w:sz="4" w:space="0" w:color="auto"/>
            </w:tcBorders>
            <w:shd w:val="clear" w:color="000000" w:fill="F2F2F2"/>
            <w:noWrap/>
            <w:vAlign w:val="center"/>
            <w:hideMark/>
          </w:tcPr>
          <w:p w14:paraId="129BBADD" w14:textId="77777777" w:rsidR="001D21DF" w:rsidRPr="001D21DF" w:rsidRDefault="001D21DF" w:rsidP="001D21DF">
            <w:pPr>
              <w:spacing w:line="240" w:lineRule="auto"/>
              <w:jc w:val="center"/>
              <w:rPr>
                <w:rFonts w:cs="Arial"/>
                <w:sz w:val="16"/>
                <w:szCs w:val="16"/>
              </w:rPr>
            </w:pPr>
            <w:r w:rsidRPr="001D21DF">
              <w:rPr>
                <w:rFonts w:cs="Arial"/>
                <w:sz w:val="16"/>
                <w:szCs w:val="16"/>
              </w:rPr>
              <w:t>0.74</w:t>
            </w:r>
          </w:p>
        </w:tc>
        <w:tc>
          <w:tcPr>
            <w:tcW w:w="1460" w:type="dxa"/>
            <w:tcBorders>
              <w:top w:val="nil"/>
              <w:left w:val="nil"/>
              <w:bottom w:val="nil"/>
              <w:right w:val="single" w:sz="4" w:space="0" w:color="auto"/>
            </w:tcBorders>
            <w:shd w:val="clear" w:color="000000" w:fill="F2F2F2"/>
            <w:noWrap/>
            <w:vAlign w:val="center"/>
            <w:hideMark/>
          </w:tcPr>
          <w:p w14:paraId="7B5C6974" w14:textId="77777777" w:rsidR="001D21DF" w:rsidRPr="001D21DF" w:rsidRDefault="001D21DF" w:rsidP="001D21DF">
            <w:pPr>
              <w:spacing w:line="240" w:lineRule="auto"/>
              <w:jc w:val="center"/>
              <w:rPr>
                <w:rFonts w:cs="Arial"/>
                <w:sz w:val="16"/>
                <w:szCs w:val="16"/>
              </w:rPr>
            </w:pPr>
            <w:r w:rsidRPr="001D21DF">
              <w:rPr>
                <w:rFonts w:cs="Arial"/>
                <w:sz w:val="16"/>
                <w:szCs w:val="16"/>
              </w:rPr>
              <w:t>39%</w:t>
            </w:r>
          </w:p>
        </w:tc>
        <w:tc>
          <w:tcPr>
            <w:tcW w:w="1460" w:type="dxa"/>
            <w:tcBorders>
              <w:top w:val="nil"/>
              <w:left w:val="nil"/>
              <w:bottom w:val="nil"/>
              <w:right w:val="single" w:sz="4" w:space="0" w:color="auto"/>
            </w:tcBorders>
            <w:shd w:val="clear" w:color="000000" w:fill="F2F2F2"/>
            <w:noWrap/>
            <w:vAlign w:val="center"/>
            <w:hideMark/>
          </w:tcPr>
          <w:p w14:paraId="234677AF"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2F2F2"/>
            <w:noWrap/>
            <w:vAlign w:val="center"/>
            <w:hideMark/>
          </w:tcPr>
          <w:p w14:paraId="616A47D1" w14:textId="77777777" w:rsidR="001D21DF" w:rsidRPr="001D21DF" w:rsidRDefault="001D21DF" w:rsidP="001D21DF">
            <w:pPr>
              <w:spacing w:line="240" w:lineRule="auto"/>
              <w:jc w:val="center"/>
              <w:rPr>
                <w:rFonts w:cs="Arial"/>
                <w:sz w:val="16"/>
                <w:szCs w:val="16"/>
              </w:rPr>
            </w:pPr>
            <w:r w:rsidRPr="001D21DF">
              <w:rPr>
                <w:rFonts w:cs="Arial"/>
                <w:sz w:val="16"/>
                <w:szCs w:val="16"/>
              </w:rPr>
              <w:t>26</w:t>
            </w:r>
          </w:p>
        </w:tc>
      </w:tr>
      <w:tr w:rsidR="001D21DF" w:rsidRPr="001D21DF" w14:paraId="0777E0F2"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911F9B8" w14:textId="77777777" w:rsidR="001D21DF" w:rsidRPr="001D21DF" w:rsidRDefault="001D21DF" w:rsidP="001D21DF">
            <w:pPr>
              <w:spacing w:line="240" w:lineRule="auto"/>
              <w:jc w:val="center"/>
              <w:rPr>
                <w:rFonts w:cs="Arial"/>
                <w:sz w:val="16"/>
                <w:szCs w:val="16"/>
              </w:rPr>
            </w:pPr>
            <w:r w:rsidRPr="001D21DF">
              <w:rPr>
                <w:rFonts w:cs="Arial"/>
                <w:sz w:val="16"/>
                <w:szCs w:val="16"/>
              </w:rPr>
              <w:t>2018-08-15</w:t>
            </w:r>
          </w:p>
        </w:tc>
        <w:tc>
          <w:tcPr>
            <w:tcW w:w="1460" w:type="dxa"/>
            <w:tcBorders>
              <w:top w:val="nil"/>
              <w:left w:val="nil"/>
              <w:bottom w:val="nil"/>
              <w:right w:val="single" w:sz="4" w:space="0" w:color="auto"/>
            </w:tcBorders>
            <w:shd w:val="clear" w:color="000000" w:fill="FFFFFF"/>
            <w:noWrap/>
            <w:vAlign w:val="center"/>
            <w:hideMark/>
          </w:tcPr>
          <w:p w14:paraId="41A601D4" w14:textId="77777777" w:rsidR="001D21DF" w:rsidRPr="001D21DF" w:rsidRDefault="001D21DF" w:rsidP="001D21DF">
            <w:pPr>
              <w:spacing w:line="240" w:lineRule="auto"/>
              <w:jc w:val="center"/>
              <w:rPr>
                <w:rFonts w:cs="Arial"/>
                <w:sz w:val="16"/>
                <w:szCs w:val="16"/>
              </w:rPr>
            </w:pPr>
            <w:r w:rsidRPr="001D21DF">
              <w:rPr>
                <w:rFonts w:cs="Arial"/>
                <w:sz w:val="16"/>
                <w:szCs w:val="16"/>
              </w:rPr>
              <w:t>0.86</w:t>
            </w:r>
          </w:p>
        </w:tc>
        <w:tc>
          <w:tcPr>
            <w:tcW w:w="1460" w:type="dxa"/>
            <w:tcBorders>
              <w:top w:val="nil"/>
              <w:left w:val="nil"/>
              <w:bottom w:val="nil"/>
              <w:right w:val="single" w:sz="4" w:space="0" w:color="auto"/>
            </w:tcBorders>
            <w:shd w:val="clear" w:color="000000" w:fill="FFFFFF"/>
            <w:noWrap/>
            <w:vAlign w:val="center"/>
            <w:hideMark/>
          </w:tcPr>
          <w:p w14:paraId="18A0F0C5" w14:textId="77777777" w:rsidR="001D21DF" w:rsidRPr="001D21DF" w:rsidRDefault="001D21DF" w:rsidP="001D21DF">
            <w:pPr>
              <w:spacing w:line="240" w:lineRule="auto"/>
              <w:jc w:val="center"/>
              <w:rPr>
                <w:rFonts w:cs="Arial"/>
                <w:sz w:val="16"/>
                <w:szCs w:val="16"/>
              </w:rPr>
            </w:pPr>
            <w:r w:rsidRPr="001D21DF">
              <w:rPr>
                <w:rFonts w:cs="Arial"/>
                <w:sz w:val="16"/>
                <w:szCs w:val="16"/>
              </w:rPr>
              <w:t>41%</w:t>
            </w:r>
          </w:p>
        </w:tc>
        <w:tc>
          <w:tcPr>
            <w:tcW w:w="1460" w:type="dxa"/>
            <w:tcBorders>
              <w:top w:val="nil"/>
              <w:left w:val="nil"/>
              <w:bottom w:val="nil"/>
              <w:right w:val="single" w:sz="4" w:space="0" w:color="auto"/>
            </w:tcBorders>
            <w:shd w:val="clear" w:color="000000" w:fill="FFFFFF"/>
            <w:noWrap/>
            <w:vAlign w:val="center"/>
            <w:hideMark/>
          </w:tcPr>
          <w:p w14:paraId="7141655E"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FFFFF"/>
            <w:noWrap/>
            <w:vAlign w:val="center"/>
            <w:hideMark/>
          </w:tcPr>
          <w:p w14:paraId="74DAC301" w14:textId="77777777" w:rsidR="001D21DF" w:rsidRPr="001D21DF" w:rsidRDefault="001D21DF" w:rsidP="001D21DF">
            <w:pPr>
              <w:spacing w:line="240" w:lineRule="auto"/>
              <w:jc w:val="center"/>
              <w:rPr>
                <w:rFonts w:cs="Arial"/>
                <w:sz w:val="16"/>
                <w:szCs w:val="16"/>
              </w:rPr>
            </w:pPr>
            <w:r w:rsidRPr="001D21DF">
              <w:rPr>
                <w:rFonts w:cs="Arial"/>
                <w:sz w:val="16"/>
                <w:szCs w:val="16"/>
              </w:rPr>
              <w:t>27</w:t>
            </w:r>
          </w:p>
        </w:tc>
      </w:tr>
      <w:tr w:rsidR="001D21DF" w:rsidRPr="001D21DF" w14:paraId="4C55234F"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1CFD66D4" w14:textId="77777777" w:rsidR="001D21DF" w:rsidRPr="001D21DF" w:rsidRDefault="001D21DF" w:rsidP="001D21DF">
            <w:pPr>
              <w:spacing w:line="240" w:lineRule="auto"/>
              <w:jc w:val="center"/>
              <w:rPr>
                <w:rFonts w:cs="Arial"/>
                <w:sz w:val="16"/>
                <w:szCs w:val="16"/>
              </w:rPr>
            </w:pPr>
            <w:r w:rsidRPr="001D21DF">
              <w:rPr>
                <w:rFonts w:cs="Arial"/>
                <w:sz w:val="16"/>
                <w:szCs w:val="16"/>
              </w:rPr>
              <w:t>2018-08-16</w:t>
            </w:r>
          </w:p>
        </w:tc>
        <w:tc>
          <w:tcPr>
            <w:tcW w:w="1460" w:type="dxa"/>
            <w:tcBorders>
              <w:top w:val="nil"/>
              <w:left w:val="nil"/>
              <w:bottom w:val="nil"/>
              <w:right w:val="single" w:sz="4" w:space="0" w:color="auto"/>
            </w:tcBorders>
            <w:shd w:val="clear" w:color="000000" w:fill="F2F2F2"/>
            <w:noWrap/>
            <w:vAlign w:val="center"/>
            <w:hideMark/>
          </w:tcPr>
          <w:p w14:paraId="405E8E5C" w14:textId="77777777" w:rsidR="001D21DF" w:rsidRPr="001D21DF" w:rsidRDefault="001D21DF" w:rsidP="001D21DF">
            <w:pPr>
              <w:spacing w:line="240" w:lineRule="auto"/>
              <w:jc w:val="center"/>
              <w:rPr>
                <w:rFonts w:cs="Arial"/>
                <w:sz w:val="16"/>
                <w:szCs w:val="16"/>
              </w:rPr>
            </w:pPr>
            <w:r w:rsidRPr="001D21DF">
              <w:rPr>
                <w:rFonts w:cs="Arial"/>
                <w:sz w:val="16"/>
                <w:szCs w:val="16"/>
              </w:rPr>
              <w:t>0.59</w:t>
            </w:r>
          </w:p>
        </w:tc>
        <w:tc>
          <w:tcPr>
            <w:tcW w:w="1460" w:type="dxa"/>
            <w:tcBorders>
              <w:top w:val="nil"/>
              <w:left w:val="nil"/>
              <w:bottom w:val="nil"/>
              <w:right w:val="single" w:sz="4" w:space="0" w:color="auto"/>
            </w:tcBorders>
            <w:shd w:val="clear" w:color="000000" w:fill="F2F2F2"/>
            <w:noWrap/>
            <w:vAlign w:val="center"/>
            <w:hideMark/>
          </w:tcPr>
          <w:p w14:paraId="068833DF" w14:textId="77777777" w:rsidR="001D21DF" w:rsidRPr="001D21DF" w:rsidRDefault="001D21DF" w:rsidP="001D21DF">
            <w:pPr>
              <w:spacing w:line="240" w:lineRule="auto"/>
              <w:jc w:val="center"/>
              <w:rPr>
                <w:rFonts w:cs="Arial"/>
                <w:sz w:val="16"/>
                <w:szCs w:val="16"/>
              </w:rPr>
            </w:pPr>
            <w:r w:rsidRPr="001D21DF">
              <w:rPr>
                <w:rFonts w:cs="Arial"/>
                <w:sz w:val="16"/>
                <w:szCs w:val="16"/>
              </w:rPr>
              <w:t>35%</w:t>
            </w:r>
          </w:p>
        </w:tc>
        <w:tc>
          <w:tcPr>
            <w:tcW w:w="1460" w:type="dxa"/>
            <w:tcBorders>
              <w:top w:val="nil"/>
              <w:left w:val="nil"/>
              <w:bottom w:val="nil"/>
              <w:right w:val="single" w:sz="4" w:space="0" w:color="auto"/>
            </w:tcBorders>
            <w:shd w:val="clear" w:color="000000" w:fill="F2F2F2"/>
            <w:noWrap/>
            <w:vAlign w:val="center"/>
            <w:hideMark/>
          </w:tcPr>
          <w:p w14:paraId="323A9A53" w14:textId="77777777" w:rsidR="001D21DF" w:rsidRPr="001D21DF" w:rsidRDefault="001D21DF" w:rsidP="001D21DF">
            <w:pPr>
              <w:spacing w:line="240" w:lineRule="auto"/>
              <w:jc w:val="center"/>
              <w:rPr>
                <w:rFonts w:cs="Arial"/>
                <w:sz w:val="16"/>
                <w:szCs w:val="16"/>
              </w:rPr>
            </w:pPr>
            <w:r w:rsidRPr="001D21DF">
              <w:rPr>
                <w:rFonts w:cs="Arial"/>
                <w:sz w:val="16"/>
                <w:szCs w:val="16"/>
              </w:rPr>
              <w:t>10%</w:t>
            </w:r>
          </w:p>
        </w:tc>
        <w:tc>
          <w:tcPr>
            <w:tcW w:w="1580" w:type="dxa"/>
            <w:tcBorders>
              <w:top w:val="nil"/>
              <w:left w:val="nil"/>
              <w:bottom w:val="nil"/>
              <w:right w:val="single" w:sz="4" w:space="0" w:color="auto"/>
            </w:tcBorders>
            <w:shd w:val="clear" w:color="000000" w:fill="F2F2F2"/>
            <w:noWrap/>
            <w:vAlign w:val="center"/>
            <w:hideMark/>
          </w:tcPr>
          <w:p w14:paraId="0D3F315B" w14:textId="77777777" w:rsidR="001D21DF" w:rsidRPr="001D21DF" w:rsidRDefault="001D21DF" w:rsidP="001D21DF">
            <w:pPr>
              <w:spacing w:line="240" w:lineRule="auto"/>
              <w:jc w:val="center"/>
              <w:rPr>
                <w:rFonts w:cs="Arial"/>
                <w:sz w:val="16"/>
                <w:szCs w:val="16"/>
              </w:rPr>
            </w:pPr>
            <w:r w:rsidRPr="001D21DF">
              <w:rPr>
                <w:rFonts w:cs="Arial"/>
                <w:sz w:val="16"/>
                <w:szCs w:val="16"/>
              </w:rPr>
              <w:t>23</w:t>
            </w:r>
          </w:p>
        </w:tc>
      </w:tr>
      <w:tr w:rsidR="001D21DF" w:rsidRPr="001D21DF" w14:paraId="048A3092"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93870D4" w14:textId="77777777" w:rsidR="001D21DF" w:rsidRPr="001D21DF" w:rsidRDefault="001D21DF" w:rsidP="001D21DF">
            <w:pPr>
              <w:spacing w:line="240" w:lineRule="auto"/>
              <w:jc w:val="center"/>
              <w:rPr>
                <w:rFonts w:cs="Arial"/>
                <w:sz w:val="16"/>
                <w:szCs w:val="16"/>
              </w:rPr>
            </w:pPr>
            <w:r w:rsidRPr="001D21DF">
              <w:rPr>
                <w:rFonts w:cs="Arial"/>
                <w:sz w:val="16"/>
                <w:szCs w:val="16"/>
              </w:rPr>
              <w:t>2018-08-17</w:t>
            </w:r>
          </w:p>
        </w:tc>
        <w:tc>
          <w:tcPr>
            <w:tcW w:w="1460" w:type="dxa"/>
            <w:tcBorders>
              <w:top w:val="nil"/>
              <w:left w:val="nil"/>
              <w:bottom w:val="nil"/>
              <w:right w:val="single" w:sz="4" w:space="0" w:color="auto"/>
            </w:tcBorders>
            <w:shd w:val="clear" w:color="000000" w:fill="FFFFFF"/>
            <w:noWrap/>
            <w:vAlign w:val="center"/>
            <w:hideMark/>
          </w:tcPr>
          <w:p w14:paraId="054D5AC6" w14:textId="77777777" w:rsidR="001D21DF" w:rsidRPr="001D21DF" w:rsidRDefault="001D21DF" w:rsidP="001D21DF">
            <w:pPr>
              <w:spacing w:line="240" w:lineRule="auto"/>
              <w:jc w:val="center"/>
              <w:rPr>
                <w:rFonts w:cs="Arial"/>
                <w:sz w:val="16"/>
                <w:szCs w:val="16"/>
              </w:rPr>
            </w:pPr>
            <w:r w:rsidRPr="001D21DF">
              <w:rPr>
                <w:rFonts w:cs="Arial"/>
                <w:sz w:val="16"/>
                <w:szCs w:val="16"/>
              </w:rPr>
              <w:t>0.63</w:t>
            </w:r>
          </w:p>
        </w:tc>
        <w:tc>
          <w:tcPr>
            <w:tcW w:w="1460" w:type="dxa"/>
            <w:tcBorders>
              <w:top w:val="nil"/>
              <w:left w:val="nil"/>
              <w:bottom w:val="nil"/>
              <w:right w:val="single" w:sz="4" w:space="0" w:color="auto"/>
            </w:tcBorders>
            <w:shd w:val="clear" w:color="000000" w:fill="FFFFFF"/>
            <w:noWrap/>
            <w:vAlign w:val="center"/>
            <w:hideMark/>
          </w:tcPr>
          <w:p w14:paraId="03A004D2" w14:textId="77777777" w:rsidR="001D21DF" w:rsidRPr="001D21DF" w:rsidRDefault="001D21DF" w:rsidP="001D21DF">
            <w:pPr>
              <w:spacing w:line="240" w:lineRule="auto"/>
              <w:jc w:val="center"/>
              <w:rPr>
                <w:rFonts w:cs="Arial"/>
                <w:sz w:val="16"/>
                <w:szCs w:val="16"/>
              </w:rPr>
            </w:pPr>
            <w:r w:rsidRPr="001D21DF">
              <w:rPr>
                <w:rFonts w:cs="Arial"/>
                <w:sz w:val="16"/>
                <w:szCs w:val="16"/>
              </w:rPr>
              <w:t>36%</w:t>
            </w:r>
          </w:p>
        </w:tc>
        <w:tc>
          <w:tcPr>
            <w:tcW w:w="1460" w:type="dxa"/>
            <w:tcBorders>
              <w:top w:val="nil"/>
              <w:left w:val="nil"/>
              <w:bottom w:val="nil"/>
              <w:right w:val="single" w:sz="4" w:space="0" w:color="auto"/>
            </w:tcBorders>
            <w:shd w:val="clear" w:color="000000" w:fill="FFFFFF"/>
            <w:noWrap/>
            <w:vAlign w:val="center"/>
            <w:hideMark/>
          </w:tcPr>
          <w:p w14:paraId="2CE5AA2E" w14:textId="77777777" w:rsidR="001D21DF" w:rsidRPr="001D21DF" w:rsidRDefault="001D21DF" w:rsidP="001D21DF">
            <w:pPr>
              <w:spacing w:line="240" w:lineRule="auto"/>
              <w:jc w:val="center"/>
              <w:rPr>
                <w:rFonts w:cs="Arial"/>
                <w:sz w:val="16"/>
                <w:szCs w:val="16"/>
              </w:rPr>
            </w:pPr>
            <w:r w:rsidRPr="001D21DF">
              <w:rPr>
                <w:rFonts w:cs="Arial"/>
                <w:sz w:val="16"/>
                <w:szCs w:val="16"/>
              </w:rPr>
              <w:t>10%</w:t>
            </w:r>
          </w:p>
        </w:tc>
        <w:tc>
          <w:tcPr>
            <w:tcW w:w="1580" w:type="dxa"/>
            <w:tcBorders>
              <w:top w:val="nil"/>
              <w:left w:val="nil"/>
              <w:bottom w:val="nil"/>
              <w:right w:val="single" w:sz="4" w:space="0" w:color="auto"/>
            </w:tcBorders>
            <w:shd w:val="clear" w:color="000000" w:fill="FFFFFF"/>
            <w:noWrap/>
            <w:vAlign w:val="center"/>
            <w:hideMark/>
          </w:tcPr>
          <w:p w14:paraId="01BE81E7" w14:textId="77777777" w:rsidR="001D21DF" w:rsidRPr="001D21DF" w:rsidRDefault="001D21DF" w:rsidP="001D21DF">
            <w:pPr>
              <w:spacing w:line="240" w:lineRule="auto"/>
              <w:jc w:val="center"/>
              <w:rPr>
                <w:rFonts w:cs="Arial"/>
                <w:sz w:val="16"/>
                <w:szCs w:val="16"/>
              </w:rPr>
            </w:pPr>
            <w:r w:rsidRPr="001D21DF">
              <w:rPr>
                <w:rFonts w:cs="Arial"/>
                <w:sz w:val="16"/>
                <w:szCs w:val="16"/>
              </w:rPr>
              <w:t>24</w:t>
            </w:r>
          </w:p>
        </w:tc>
      </w:tr>
      <w:tr w:rsidR="001D21DF" w:rsidRPr="001D21DF" w14:paraId="0BA7F1E0"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4476069D" w14:textId="77777777" w:rsidR="001D21DF" w:rsidRPr="001D21DF" w:rsidRDefault="001D21DF" w:rsidP="001D21DF">
            <w:pPr>
              <w:spacing w:line="240" w:lineRule="auto"/>
              <w:jc w:val="center"/>
              <w:rPr>
                <w:rFonts w:cs="Arial"/>
                <w:sz w:val="16"/>
                <w:szCs w:val="16"/>
              </w:rPr>
            </w:pPr>
            <w:r w:rsidRPr="001D21DF">
              <w:rPr>
                <w:rFonts w:cs="Arial"/>
                <w:sz w:val="16"/>
                <w:szCs w:val="16"/>
              </w:rPr>
              <w:lastRenderedPageBreak/>
              <w:t>2018-08-20</w:t>
            </w:r>
          </w:p>
        </w:tc>
        <w:tc>
          <w:tcPr>
            <w:tcW w:w="1460" w:type="dxa"/>
            <w:tcBorders>
              <w:top w:val="nil"/>
              <w:left w:val="nil"/>
              <w:bottom w:val="nil"/>
              <w:right w:val="single" w:sz="4" w:space="0" w:color="auto"/>
            </w:tcBorders>
            <w:shd w:val="clear" w:color="000000" w:fill="F2F2F2"/>
            <w:noWrap/>
            <w:vAlign w:val="center"/>
            <w:hideMark/>
          </w:tcPr>
          <w:p w14:paraId="7EE8A0FE" w14:textId="77777777" w:rsidR="001D21DF" w:rsidRPr="001D21DF" w:rsidRDefault="001D21DF" w:rsidP="001D21DF">
            <w:pPr>
              <w:spacing w:line="240" w:lineRule="auto"/>
              <w:jc w:val="center"/>
              <w:rPr>
                <w:rFonts w:cs="Arial"/>
                <w:sz w:val="16"/>
                <w:szCs w:val="16"/>
              </w:rPr>
            </w:pPr>
            <w:r w:rsidRPr="001D21DF">
              <w:rPr>
                <w:rFonts w:cs="Arial"/>
                <w:sz w:val="16"/>
                <w:szCs w:val="16"/>
              </w:rPr>
              <w:t>0.69</w:t>
            </w:r>
          </w:p>
        </w:tc>
        <w:tc>
          <w:tcPr>
            <w:tcW w:w="1460" w:type="dxa"/>
            <w:tcBorders>
              <w:top w:val="nil"/>
              <w:left w:val="nil"/>
              <w:bottom w:val="nil"/>
              <w:right w:val="single" w:sz="4" w:space="0" w:color="auto"/>
            </w:tcBorders>
            <w:shd w:val="clear" w:color="000000" w:fill="F2F2F2"/>
            <w:noWrap/>
            <w:vAlign w:val="center"/>
            <w:hideMark/>
          </w:tcPr>
          <w:p w14:paraId="3D753DBD" w14:textId="77777777" w:rsidR="001D21DF" w:rsidRPr="001D21DF" w:rsidRDefault="001D21DF" w:rsidP="001D21DF">
            <w:pPr>
              <w:spacing w:line="240" w:lineRule="auto"/>
              <w:jc w:val="center"/>
              <w:rPr>
                <w:rFonts w:cs="Arial"/>
                <w:sz w:val="16"/>
                <w:szCs w:val="16"/>
              </w:rPr>
            </w:pPr>
            <w:r w:rsidRPr="001D21DF">
              <w:rPr>
                <w:rFonts w:cs="Arial"/>
                <w:sz w:val="16"/>
                <w:szCs w:val="16"/>
              </w:rPr>
              <w:t>39%</w:t>
            </w:r>
          </w:p>
        </w:tc>
        <w:tc>
          <w:tcPr>
            <w:tcW w:w="1460" w:type="dxa"/>
            <w:tcBorders>
              <w:top w:val="nil"/>
              <w:left w:val="nil"/>
              <w:bottom w:val="nil"/>
              <w:right w:val="single" w:sz="4" w:space="0" w:color="auto"/>
            </w:tcBorders>
            <w:shd w:val="clear" w:color="000000" w:fill="F2F2F2"/>
            <w:noWrap/>
            <w:vAlign w:val="center"/>
            <w:hideMark/>
          </w:tcPr>
          <w:p w14:paraId="55CE531A" w14:textId="77777777" w:rsidR="001D21DF" w:rsidRPr="001D21DF" w:rsidRDefault="001D21DF" w:rsidP="001D21DF">
            <w:pPr>
              <w:spacing w:line="240" w:lineRule="auto"/>
              <w:jc w:val="center"/>
              <w:rPr>
                <w:rFonts w:cs="Arial"/>
                <w:sz w:val="16"/>
                <w:szCs w:val="16"/>
              </w:rPr>
            </w:pPr>
            <w:r w:rsidRPr="001D21DF">
              <w:rPr>
                <w:rFonts w:cs="Arial"/>
                <w:sz w:val="16"/>
                <w:szCs w:val="16"/>
              </w:rPr>
              <w:t>9%</w:t>
            </w:r>
          </w:p>
        </w:tc>
        <w:tc>
          <w:tcPr>
            <w:tcW w:w="1580" w:type="dxa"/>
            <w:tcBorders>
              <w:top w:val="nil"/>
              <w:left w:val="nil"/>
              <w:bottom w:val="nil"/>
              <w:right w:val="single" w:sz="4" w:space="0" w:color="auto"/>
            </w:tcBorders>
            <w:shd w:val="clear" w:color="000000" w:fill="F2F2F2"/>
            <w:noWrap/>
            <w:vAlign w:val="center"/>
            <w:hideMark/>
          </w:tcPr>
          <w:p w14:paraId="6756E54F" w14:textId="77777777" w:rsidR="001D21DF" w:rsidRPr="001D21DF" w:rsidRDefault="001D21DF" w:rsidP="001D21DF">
            <w:pPr>
              <w:spacing w:line="240" w:lineRule="auto"/>
              <w:jc w:val="center"/>
              <w:rPr>
                <w:rFonts w:cs="Arial"/>
                <w:sz w:val="16"/>
                <w:szCs w:val="16"/>
              </w:rPr>
            </w:pPr>
            <w:r w:rsidRPr="001D21DF">
              <w:rPr>
                <w:rFonts w:cs="Arial"/>
                <w:sz w:val="16"/>
                <w:szCs w:val="16"/>
              </w:rPr>
              <w:t>25</w:t>
            </w:r>
          </w:p>
        </w:tc>
      </w:tr>
      <w:tr w:rsidR="001D21DF" w:rsidRPr="001D21DF" w14:paraId="2AD5D065"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4F6E09D" w14:textId="77777777" w:rsidR="001D21DF" w:rsidRPr="001D21DF" w:rsidRDefault="001D21DF" w:rsidP="001D21DF">
            <w:pPr>
              <w:spacing w:line="240" w:lineRule="auto"/>
              <w:jc w:val="center"/>
              <w:rPr>
                <w:rFonts w:cs="Arial"/>
                <w:sz w:val="16"/>
                <w:szCs w:val="16"/>
              </w:rPr>
            </w:pPr>
            <w:r w:rsidRPr="001D21DF">
              <w:rPr>
                <w:rFonts w:cs="Arial"/>
                <w:sz w:val="16"/>
                <w:szCs w:val="16"/>
              </w:rPr>
              <w:t>2018-08-27</w:t>
            </w:r>
          </w:p>
        </w:tc>
        <w:tc>
          <w:tcPr>
            <w:tcW w:w="1460" w:type="dxa"/>
            <w:tcBorders>
              <w:top w:val="nil"/>
              <w:left w:val="nil"/>
              <w:bottom w:val="nil"/>
              <w:right w:val="single" w:sz="4" w:space="0" w:color="auto"/>
            </w:tcBorders>
            <w:shd w:val="clear" w:color="000000" w:fill="FFFFFF"/>
            <w:noWrap/>
            <w:vAlign w:val="center"/>
            <w:hideMark/>
          </w:tcPr>
          <w:p w14:paraId="4E13B064" w14:textId="77777777" w:rsidR="001D21DF" w:rsidRPr="001D21DF" w:rsidRDefault="001D21DF" w:rsidP="001D21DF">
            <w:pPr>
              <w:spacing w:line="240" w:lineRule="auto"/>
              <w:jc w:val="center"/>
              <w:rPr>
                <w:rFonts w:cs="Arial"/>
                <w:sz w:val="16"/>
                <w:szCs w:val="16"/>
              </w:rPr>
            </w:pPr>
            <w:r w:rsidRPr="001D21DF">
              <w:rPr>
                <w:rFonts w:cs="Arial"/>
                <w:sz w:val="16"/>
                <w:szCs w:val="16"/>
              </w:rPr>
              <w:t>0.93</w:t>
            </w:r>
          </w:p>
        </w:tc>
        <w:tc>
          <w:tcPr>
            <w:tcW w:w="1460" w:type="dxa"/>
            <w:tcBorders>
              <w:top w:val="nil"/>
              <w:left w:val="nil"/>
              <w:bottom w:val="nil"/>
              <w:right w:val="single" w:sz="4" w:space="0" w:color="auto"/>
            </w:tcBorders>
            <w:shd w:val="clear" w:color="000000" w:fill="FFFFFF"/>
            <w:noWrap/>
            <w:vAlign w:val="center"/>
            <w:hideMark/>
          </w:tcPr>
          <w:p w14:paraId="6462BF7F" w14:textId="77777777" w:rsidR="001D21DF" w:rsidRPr="001D21DF" w:rsidRDefault="001D21DF" w:rsidP="001D21DF">
            <w:pPr>
              <w:spacing w:line="240" w:lineRule="auto"/>
              <w:jc w:val="center"/>
              <w:rPr>
                <w:rFonts w:cs="Arial"/>
                <w:sz w:val="16"/>
                <w:szCs w:val="16"/>
              </w:rPr>
            </w:pPr>
            <w:r w:rsidRPr="001D21DF">
              <w:rPr>
                <w:rFonts w:cs="Arial"/>
                <w:sz w:val="16"/>
                <w:szCs w:val="16"/>
              </w:rPr>
              <w:t>43%</w:t>
            </w:r>
          </w:p>
        </w:tc>
        <w:tc>
          <w:tcPr>
            <w:tcW w:w="1460" w:type="dxa"/>
            <w:tcBorders>
              <w:top w:val="nil"/>
              <w:left w:val="nil"/>
              <w:bottom w:val="nil"/>
              <w:right w:val="single" w:sz="4" w:space="0" w:color="auto"/>
            </w:tcBorders>
            <w:shd w:val="clear" w:color="000000" w:fill="FFFFFF"/>
            <w:noWrap/>
            <w:vAlign w:val="center"/>
            <w:hideMark/>
          </w:tcPr>
          <w:p w14:paraId="3B595CCE"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FFFFF"/>
            <w:noWrap/>
            <w:vAlign w:val="center"/>
            <w:hideMark/>
          </w:tcPr>
          <w:p w14:paraId="6E4A135D" w14:textId="77777777" w:rsidR="001D21DF" w:rsidRPr="001D21DF" w:rsidRDefault="001D21DF" w:rsidP="001D21DF">
            <w:pPr>
              <w:spacing w:line="240" w:lineRule="auto"/>
              <w:jc w:val="center"/>
              <w:rPr>
                <w:rFonts w:cs="Arial"/>
                <w:sz w:val="16"/>
                <w:szCs w:val="16"/>
              </w:rPr>
            </w:pPr>
            <w:r w:rsidRPr="001D21DF">
              <w:rPr>
                <w:rFonts w:cs="Arial"/>
                <w:sz w:val="16"/>
                <w:szCs w:val="16"/>
              </w:rPr>
              <w:t>29</w:t>
            </w:r>
          </w:p>
        </w:tc>
      </w:tr>
      <w:tr w:rsidR="001D21DF" w:rsidRPr="001D21DF" w14:paraId="6017CC57" w14:textId="77777777" w:rsidTr="001D21DF">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7A88509" w14:textId="77777777" w:rsidR="001D21DF" w:rsidRPr="001D21DF" w:rsidRDefault="001D21DF" w:rsidP="001D21DF">
            <w:pPr>
              <w:spacing w:line="240" w:lineRule="auto"/>
              <w:jc w:val="center"/>
              <w:rPr>
                <w:rFonts w:cs="Arial"/>
                <w:sz w:val="16"/>
                <w:szCs w:val="16"/>
              </w:rPr>
            </w:pPr>
            <w:r w:rsidRPr="001D21DF">
              <w:rPr>
                <w:rFonts w:cs="Arial"/>
                <w:sz w:val="16"/>
                <w:szCs w:val="16"/>
              </w:rPr>
              <w:t>2018-09-05</w:t>
            </w:r>
          </w:p>
        </w:tc>
        <w:tc>
          <w:tcPr>
            <w:tcW w:w="1460" w:type="dxa"/>
            <w:tcBorders>
              <w:top w:val="nil"/>
              <w:left w:val="nil"/>
              <w:bottom w:val="nil"/>
              <w:right w:val="single" w:sz="4" w:space="0" w:color="auto"/>
            </w:tcBorders>
            <w:shd w:val="clear" w:color="000000" w:fill="F2F2F2"/>
            <w:noWrap/>
            <w:vAlign w:val="center"/>
            <w:hideMark/>
          </w:tcPr>
          <w:p w14:paraId="47049C03" w14:textId="77777777" w:rsidR="001D21DF" w:rsidRPr="001D21DF" w:rsidRDefault="001D21DF" w:rsidP="001D21DF">
            <w:pPr>
              <w:spacing w:line="240" w:lineRule="auto"/>
              <w:jc w:val="center"/>
              <w:rPr>
                <w:rFonts w:cs="Arial"/>
                <w:sz w:val="16"/>
                <w:szCs w:val="16"/>
              </w:rPr>
            </w:pPr>
            <w:r w:rsidRPr="001D21DF">
              <w:rPr>
                <w:rFonts w:cs="Arial"/>
                <w:sz w:val="16"/>
                <w:szCs w:val="16"/>
              </w:rPr>
              <w:t>0.96</w:t>
            </w:r>
          </w:p>
        </w:tc>
        <w:tc>
          <w:tcPr>
            <w:tcW w:w="1460" w:type="dxa"/>
            <w:tcBorders>
              <w:top w:val="nil"/>
              <w:left w:val="nil"/>
              <w:bottom w:val="nil"/>
              <w:right w:val="single" w:sz="4" w:space="0" w:color="auto"/>
            </w:tcBorders>
            <w:shd w:val="clear" w:color="000000" w:fill="F2F2F2"/>
            <w:noWrap/>
            <w:vAlign w:val="center"/>
            <w:hideMark/>
          </w:tcPr>
          <w:p w14:paraId="16E1EE97" w14:textId="77777777" w:rsidR="001D21DF" w:rsidRPr="001D21DF" w:rsidRDefault="001D21DF" w:rsidP="001D21DF">
            <w:pPr>
              <w:spacing w:line="240" w:lineRule="auto"/>
              <w:jc w:val="center"/>
              <w:rPr>
                <w:rFonts w:cs="Arial"/>
                <w:sz w:val="16"/>
                <w:szCs w:val="16"/>
              </w:rPr>
            </w:pPr>
            <w:r w:rsidRPr="001D21DF">
              <w:rPr>
                <w:rFonts w:cs="Arial"/>
                <w:sz w:val="16"/>
                <w:szCs w:val="16"/>
              </w:rPr>
              <w:t>41%</w:t>
            </w:r>
          </w:p>
        </w:tc>
        <w:tc>
          <w:tcPr>
            <w:tcW w:w="1460" w:type="dxa"/>
            <w:tcBorders>
              <w:top w:val="nil"/>
              <w:left w:val="nil"/>
              <w:bottom w:val="nil"/>
              <w:right w:val="single" w:sz="4" w:space="0" w:color="auto"/>
            </w:tcBorders>
            <w:shd w:val="clear" w:color="000000" w:fill="F2F2F2"/>
            <w:noWrap/>
            <w:vAlign w:val="center"/>
            <w:hideMark/>
          </w:tcPr>
          <w:p w14:paraId="748AE5FA" w14:textId="77777777" w:rsidR="001D21DF" w:rsidRPr="001D21DF" w:rsidRDefault="001D21DF" w:rsidP="001D21DF">
            <w:pPr>
              <w:spacing w:line="240" w:lineRule="auto"/>
              <w:jc w:val="center"/>
              <w:rPr>
                <w:rFonts w:cs="Arial"/>
                <w:sz w:val="16"/>
                <w:szCs w:val="16"/>
              </w:rPr>
            </w:pPr>
            <w:r w:rsidRPr="001D21DF">
              <w:rPr>
                <w:rFonts w:cs="Arial"/>
                <w:sz w:val="16"/>
                <w:szCs w:val="16"/>
              </w:rPr>
              <w:t>8%</w:t>
            </w:r>
          </w:p>
        </w:tc>
        <w:tc>
          <w:tcPr>
            <w:tcW w:w="1580" w:type="dxa"/>
            <w:tcBorders>
              <w:top w:val="nil"/>
              <w:left w:val="nil"/>
              <w:bottom w:val="nil"/>
              <w:right w:val="single" w:sz="4" w:space="0" w:color="auto"/>
            </w:tcBorders>
            <w:shd w:val="clear" w:color="000000" w:fill="F2F2F2"/>
            <w:noWrap/>
            <w:vAlign w:val="center"/>
            <w:hideMark/>
          </w:tcPr>
          <w:p w14:paraId="0FA5A0D5" w14:textId="77777777" w:rsidR="001D21DF" w:rsidRPr="001D21DF" w:rsidRDefault="001D21DF" w:rsidP="001D21DF">
            <w:pPr>
              <w:spacing w:line="240" w:lineRule="auto"/>
              <w:jc w:val="center"/>
              <w:rPr>
                <w:rFonts w:cs="Arial"/>
                <w:sz w:val="16"/>
                <w:szCs w:val="16"/>
              </w:rPr>
            </w:pPr>
            <w:r w:rsidRPr="001D21DF">
              <w:rPr>
                <w:rFonts w:cs="Arial"/>
                <w:sz w:val="16"/>
                <w:szCs w:val="16"/>
              </w:rPr>
              <w:t>29</w:t>
            </w:r>
          </w:p>
        </w:tc>
      </w:tr>
      <w:tr w:rsidR="001D21DF" w:rsidRPr="001D21DF" w14:paraId="0F94B770" w14:textId="77777777" w:rsidTr="001D21DF">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0C0711F5" w14:textId="77777777" w:rsidR="001D21DF" w:rsidRPr="001D21DF" w:rsidRDefault="001D21DF" w:rsidP="001D21DF">
            <w:pPr>
              <w:spacing w:line="240" w:lineRule="auto"/>
              <w:jc w:val="center"/>
              <w:rPr>
                <w:rFonts w:cs="Arial"/>
                <w:sz w:val="16"/>
                <w:szCs w:val="16"/>
              </w:rPr>
            </w:pPr>
            <w:r w:rsidRPr="001D21DF">
              <w:rPr>
                <w:rFonts w:cs="Arial"/>
                <w:sz w:val="16"/>
                <w:szCs w:val="16"/>
              </w:rPr>
              <w:t>2018-09-06</w:t>
            </w:r>
          </w:p>
        </w:tc>
        <w:tc>
          <w:tcPr>
            <w:tcW w:w="1460" w:type="dxa"/>
            <w:tcBorders>
              <w:top w:val="nil"/>
              <w:left w:val="nil"/>
              <w:bottom w:val="nil"/>
              <w:right w:val="single" w:sz="4" w:space="0" w:color="auto"/>
            </w:tcBorders>
            <w:shd w:val="clear" w:color="000000" w:fill="FFFFFF"/>
            <w:noWrap/>
            <w:vAlign w:val="center"/>
            <w:hideMark/>
          </w:tcPr>
          <w:p w14:paraId="06488A25" w14:textId="77777777" w:rsidR="001D21DF" w:rsidRPr="001D21DF" w:rsidRDefault="001D21DF" w:rsidP="001D21DF">
            <w:pPr>
              <w:spacing w:line="240" w:lineRule="auto"/>
              <w:jc w:val="center"/>
              <w:rPr>
                <w:rFonts w:cs="Arial"/>
                <w:sz w:val="16"/>
                <w:szCs w:val="16"/>
              </w:rPr>
            </w:pPr>
            <w:r w:rsidRPr="001D21DF">
              <w:rPr>
                <w:rFonts w:cs="Arial"/>
                <w:sz w:val="16"/>
                <w:szCs w:val="16"/>
              </w:rPr>
              <w:t>0.43</w:t>
            </w:r>
          </w:p>
        </w:tc>
        <w:tc>
          <w:tcPr>
            <w:tcW w:w="1460" w:type="dxa"/>
            <w:tcBorders>
              <w:top w:val="nil"/>
              <w:left w:val="nil"/>
              <w:bottom w:val="nil"/>
              <w:right w:val="single" w:sz="4" w:space="0" w:color="auto"/>
            </w:tcBorders>
            <w:shd w:val="clear" w:color="000000" w:fill="FFFFFF"/>
            <w:noWrap/>
            <w:vAlign w:val="center"/>
            <w:hideMark/>
          </w:tcPr>
          <w:p w14:paraId="27E87261" w14:textId="77777777" w:rsidR="001D21DF" w:rsidRPr="001D21DF" w:rsidRDefault="001D21DF" w:rsidP="001D21DF">
            <w:pPr>
              <w:spacing w:line="240" w:lineRule="auto"/>
              <w:jc w:val="center"/>
              <w:rPr>
                <w:rFonts w:cs="Arial"/>
                <w:sz w:val="16"/>
                <w:szCs w:val="16"/>
              </w:rPr>
            </w:pPr>
            <w:r w:rsidRPr="001D21DF">
              <w:rPr>
                <w:rFonts w:cs="Arial"/>
                <w:sz w:val="16"/>
                <w:szCs w:val="16"/>
              </w:rPr>
              <w:t>29%</w:t>
            </w:r>
          </w:p>
        </w:tc>
        <w:tc>
          <w:tcPr>
            <w:tcW w:w="1460" w:type="dxa"/>
            <w:tcBorders>
              <w:top w:val="nil"/>
              <w:left w:val="nil"/>
              <w:bottom w:val="nil"/>
              <w:right w:val="single" w:sz="4" w:space="0" w:color="auto"/>
            </w:tcBorders>
            <w:shd w:val="clear" w:color="000000" w:fill="FFFFFF"/>
            <w:noWrap/>
            <w:vAlign w:val="center"/>
            <w:hideMark/>
          </w:tcPr>
          <w:p w14:paraId="1B78AAEA" w14:textId="77777777" w:rsidR="001D21DF" w:rsidRPr="001D21DF" w:rsidRDefault="001D21DF" w:rsidP="001D21DF">
            <w:pPr>
              <w:spacing w:line="240" w:lineRule="auto"/>
              <w:jc w:val="center"/>
              <w:rPr>
                <w:rFonts w:cs="Arial"/>
                <w:sz w:val="16"/>
                <w:szCs w:val="16"/>
              </w:rPr>
            </w:pPr>
            <w:r w:rsidRPr="001D21DF">
              <w:rPr>
                <w:rFonts w:cs="Arial"/>
                <w:sz w:val="16"/>
                <w:szCs w:val="16"/>
              </w:rPr>
              <w:t>16%</w:t>
            </w:r>
          </w:p>
        </w:tc>
        <w:tc>
          <w:tcPr>
            <w:tcW w:w="1580" w:type="dxa"/>
            <w:tcBorders>
              <w:top w:val="nil"/>
              <w:left w:val="nil"/>
              <w:bottom w:val="nil"/>
              <w:right w:val="single" w:sz="4" w:space="0" w:color="auto"/>
            </w:tcBorders>
            <w:shd w:val="clear" w:color="000000" w:fill="FFFFFF"/>
            <w:noWrap/>
            <w:vAlign w:val="center"/>
            <w:hideMark/>
          </w:tcPr>
          <w:p w14:paraId="7F4184E8" w14:textId="77777777" w:rsidR="001D21DF" w:rsidRPr="001D21DF" w:rsidRDefault="001D21DF" w:rsidP="001D21DF">
            <w:pPr>
              <w:spacing w:line="240" w:lineRule="auto"/>
              <w:jc w:val="center"/>
              <w:rPr>
                <w:rFonts w:cs="Arial"/>
                <w:sz w:val="16"/>
                <w:szCs w:val="16"/>
              </w:rPr>
            </w:pPr>
            <w:r w:rsidRPr="001D21DF">
              <w:rPr>
                <w:rFonts w:cs="Arial"/>
                <w:sz w:val="16"/>
                <w:szCs w:val="16"/>
              </w:rPr>
              <w:t>21</w:t>
            </w:r>
          </w:p>
        </w:tc>
      </w:tr>
      <w:tr w:rsidR="001D21DF" w:rsidRPr="001D21DF" w14:paraId="3CF34CD7" w14:textId="77777777" w:rsidTr="001D21DF">
        <w:trPr>
          <w:trHeight w:val="200"/>
          <w:jc w:val="center"/>
        </w:trPr>
        <w:tc>
          <w:tcPr>
            <w:tcW w:w="1560" w:type="dxa"/>
            <w:tcBorders>
              <w:top w:val="nil"/>
              <w:left w:val="single" w:sz="4" w:space="0" w:color="auto"/>
              <w:bottom w:val="single" w:sz="4" w:space="0" w:color="auto"/>
              <w:right w:val="single" w:sz="4" w:space="0" w:color="auto"/>
            </w:tcBorders>
            <w:shd w:val="clear" w:color="000000" w:fill="F2F2F2"/>
            <w:noWrap/>
            <w:vAlign w:val="center"/>
            <w:hideMark/>
          </w:tcPr>
          <w:p w14:paraId="574E009A" w14:textId="77777777" w:rsidR="001D21DF" w:rsidRPr="001D21DF" w:rsidRDefault="001D21DF" w:rsidP="001D21DF">
            <w:pPr>
              <w:spacing w:line="240" w:lineRule="auto"/>
              <w:jc w:val="center"/>
              <w:rPr>
                <w:rFonts w:cs="Arial"/>
                <w:sz w:val="16"/>
                <w:szCs w:val="16"/>
              </w:rPr>
            </w:pPr>
            <w:r w:rsidRPr="001D21DF">
              <w:rPr>
                <w:rFonts w:cs="Arial"/>
                <w:sz w:val="16"/>
                <w:szCs w:val="16"/>
              </w:rPr>
              <w:t>2018-09-17</w:t>
            </w:r>
          </w:p>
        </w:tc>
        <w:tc>
          <w:tcPr>
            <w:tcW w:w="1460" w:type="dxa"/>
            <w:tcBorders>
              <w:top w:val="nil"/>
              <w:left w:val="nil"/>
              <w:bottom w:val="single" w:sz="4" w:space="0" w:color="auto"/>
              <w:right w:val="single" w:sz="4" w:space="0" w:color="auto"/>
            </w:tcBorders>
            <w:shd w:val="clear" w:color="000000" w:fill="F2F2F2"/>
            <w:noWrap/>
            <w:vAlign w:val="center"/>
            <w:hideMark/>
          </w:tcPr>
          <w:p w14:paraId="667A07A2" w14:textId="77777777" w:rsidR="001D21DF" w:rsidRPr="001D21DF" w:rsidRDefault="001D21DF" w:rsidP="001D21DF">
            <w:pPr>
              <w:spacing w:line="240" w:lineRule="auto"/>
              <w:jc w:val="center"/>
              <w:rPr>
                <w:rFonts w:cs="Arial"/>
                <w:sz w:val="16"/>
                <w:szCs w:val="16"/>
              </w:rPr>
            </w:pPr>
            <w:r w:rsidRPr="001D21DF">
              <w:rPr>
                <w:rFonts w:cs="Arial"/>
                <w:sz w:val="16"/>
                <w:szCs w:val="16"/>
              </w:rPr>
              <w:t>0.61</w:t>
            </w:r>
          </w:p>
        </w:tc>
        <w:tc>
          <w:tcPr>
            <w:tcW w:w="1460" w:type="dxa"/>
            <w:tcBorders>
              <w:top w:val="nil"/>
              <w:left w:val="nil"/>
              <w:bottom w:val="single" w:sz="4" w:space="0" w:color="auto"/>
              <w:right w:val="single" w:sz="4" w:space="0" w:color="auto"/>
            </w:tcBorders>
            <w:shd w:val="clear" w:color="000000" w:fill="F2F2F2"/>
            <w:noWrap/>
            <w:vAlign w:val="center"/>
            <w:hideMark/>
          </w:tcPr>
          <w:p w14:paraId="7283BD12" w14:textId="77777777" w:rsidR="001D21DF" w:rsidRPr="001D21DF" w:rsidRDefault="001D21DF" w:rsidP="001D21DF">
            <w:pPr>
              <w:spacing w:line="240" w:lineRule="auto"/>
              <w:jc w:val="center"/>
              <w:rPr>
                <w:rFonts w:cs="Arial"/>
                <w:sz w:val="16"/>
                <w:szCs w:val="16"/>
              </w:rPr>
            </w:pPr>
            <w:r w:rsidRPr="001D21DF">
              <w:rPr>
                <w:rFonts w:cs="Arial"/>
                <w:sz w:val="16"/>
                <w:szCs w:val="16"/>
              </w:rPr>
              <w:t>34%</w:t>
            </w:r>
          </w:p>
        </w:tc>
        <w:tc>
          <w:tcPr>
            <w:tcW w:w="1460" w:type="dxa"/>
            <w:tcBorders>
              <w:top w:val="nil"/>
              <w:left w:val="nil"/>
              <w:bottom w:val="single" w:sz="4" w:space="0" w:color="auto"/>
              <w:right w:val="single" w:sz="4" w:space="0" w:color="auto"/>
            </w:tcBorders>
            <w:shd w:val="clear" w:color="000000" w:fill="F2F2F2"/>
            <w:noWrap/>
            <w:vAlign w:val="center"/>
            <w:hideMark/>
          </w:tcPr>
          <w:p w14:paraId="42F958F8" w14:textId="77777777" w:rsidR="001D21DF" w:rsidRPr="001D21DF" w:rsidRDefault="001D21DF" w:rsidP="001D21DF">
            <w:pPr>
              <w:spacing w:line="240" w:lineRule="auto"/>
              <w:jc w:val="center"/>
              <w:rPr>
                <w:rFonts w:cs="Arial"/>
                <w:sz w:val="16"/>
                <w:szCs w:val="16"/>
              </w:rPr>
            </w:pPr>
            <w:r w:rsidRPr="001D21DF">
              <w:rPr>
                <w:rFonts w:cs="Arial"/>
                <w:sz w:val="16"/>
                <w:szCs w:val="16"/>
              </w:rPr>
              <w:t>10%</w:t>
            </w:r>
          </w:p>
        </w:tc>
        <w:tc>
          <w:tcPr>
            <w:tcW w:w="1580" w:type="dxa"/>
            <w:tcBorders>
              <w:top w:val="nil"/>
              <w:left w:val="nil"/>
              <w:bottom w:val="single" w:sz="4" w:space="0" w:color="auto"/>
              <w:right w:val="single" w:sz="4" w:space="0" w:color="auto"/>
            </w:tcBorders>
            <w:shd w:val="clear" w:color="000000" w:fill="F2F2F2"/>
            <w:noWrap/>
            <w:vAlign w:val="center"/>
            <w:hideMark/>
          </w:tcPr>
          <w:p w14:paraId="72D6FEA1" w14:textId="77777777" w:rsidR="001D21DF" w:rsidRPr="001D21DF" w:rsidRDefault="001D21DF" w:rsidP="001D21DF">
            <w:pPr>
              <w:spacing w:line="240" w:lineRule="auto"/>
              <w:jc w:val="center"/>
              <w:rPr>
                <w:rFonts w:cs="Arial"/>
                <w:sz w:val="16"/>
                <w:szCs w:val="16"/>
              </w:rPr>
            </w:pPr>
            <w:r w:rsidRPr="001D21DF">
              <w:rPr>
                <w:rFonts w:cs="Arial"/>
                <w:sz w:val="16"/>
                <w:szCs w:val="16"/>
              </w:rPr>
              <w:t>24</w:t>
            </w:r>
          </w:p>
        </w:tc>
      </w:tr>
      <w:tr w:rsidR="001D21DF" w:rsidRPr="001D21DF" w14:paraId="7AD2700D" w14:textId="77777777" w:rsidTr="001D21DF">
        <w:trPr>
          <w:trHeight w:val="420"/>
          <w:jc w:val="center"/>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CD7B2BD" w14:textId="77777777" w:rsidR="001D21DF" w:rsidRPr="001D21DF" w:rsidRDefault="001D21DF" w:rsidP="001D21DF">
            <w:pPr>
              <w:spacing w:line="240" w:lineRule="auto"/>
              <w:jc w:val="center"/>
              <w:rPr>
                <w:rFonts w:cs="Arial"/>
                <w:b/>
                <w:bCs/>
                <w:sz w:val="16"/>
                <w:szCs w:val="16"/>
              </w:rPr>
            </w:pPr>
            <w:r w:rsidRPr="001D21DF">
              <w:rPr>
                <w:rFonts w:cs="Arial"/>
                <w:b/>
                <w:bCs/>
                <w:sz w:val="16"/>
                <w:szCs w:val="16"/>
              </w:rPr>
              <w:t>Average Across Events</w:t>
            </w:r>
          </w:p>
        </w:tc>
        <w:tc>
          <w:tcPr>
            <w:tcW w:w="1460" w:type="dxa"/>
            <w:tcBorders>
              <w:top w:val="nil"/>
              <w:left w:val="nil"/>
              <w:bottom w:val="single" w:sz="4" w:space="0" w:color="auto"/>
              <w:right w:val="single" w:sz="4" w:space="0" w:color="auto"/>
            </w:tcBorders>
            <w:shd w:val="clear" w:color="000000" w:fill="FFFFFF"/>
            <w:noWrap/>
            <w:vAlign w:val="center"/>
            <w:hideMark/>
          </w:tcPr>
          <w:p w14:paraId="59F0E64F" w14:textId="77777777" w:rsidR="001D21DF" w:rsidRPr="001D21DF" w:rsidRDefault="001D21DF" w:rsidP="001D21DF">
            <w:pPr>
              <w:spacing w:line="240" w:lineRule="auto"/>
              <w:jc w:val="center"/>
              <w:rPr>
                <w:rFonts w:cs="Arial"/>
                <w:b/>
                <w:bCs/>
                <w:sz w:val="16"/>
                <w:szCs w:val="16"/>
              </w:rPr>
            </w:pPr>
            <w:r w:rsidRPr="001D21DF">
              <w:rPr>
                <w:rFonts w:cs="Arial"/>
                <w:b/>
                <w:bCs/>
                <w:sz w:val="16"/>
                <w:szCs w:val="16"/>
              </w:rPr>
              <w:t>0.76</w:t>
            </w:r>
          </w:p>
        </w:tc>
        <w:tc>
          <w:tcPr>
            <w:tcW w:w="1460" w:type="dxa"/>
            <w:tcBorders>
              <w:top w:val="nil"/>
              <w:left w:val="nil"/>
              <w:bottom w:val="single" w:sz="4" w:space="0" w:color="auto"/>
              <w:right w:val="single" w:sz="4" w:space="0" w:color="auto"/>
            </w:tcBorders>
            <w:shd w:val="clear" w:color="000000" w:fill="FFFFFF"/>
            <w:noWrap/>
            <w:vAlign w:val="center"/>
            <w:hideMark/>
          </w:tcPr>
          <w:p w14:paraId="09C042E3" w14:textId="77777777" w:rsidR="001D21DF" w:rsidRPr="001D21DF" w:rsidRDefault="001D21DF" w:rsidP="001D21DF">
            <w:pPr>
              <w:spacing w:line="240" w:lineRule="auto"/>
              <w:jc w:val="center"/>
              <w:rPr>
                <w:rFonts w:cs="Arial"/>
                <w:b/>
                <w:bCs/>
                <w:sz w:val="16"/>
                <w:szCs w:val="16"/>
              </w:rPr>
            </w:pPr>
            <w:r w:rsidRPr="001D21DF">
              <w:rPr>
                <w:rFonts w:cs="Arial"/>
                <w:b/>
                <w:bCs/>
                <w:sz w:val="16"/>
                <w:szCs w:val="16"/>
              </w:rPr>
              <w:t>39%</w:t>
            </w:r>
          </w:p>
        </w:tc>
        <w:tc>
          <w:tcPr>
            <w:tcW w:w="1460" w:type="dxa"/>
            <w:tcBorders>
              <w:top w:val="nil"/>
              <w:left w:val="nil"/>
              <w:bottom w:val="single" w:sz="4" w:space="0" w:color="auto"/>
              <w:right w:val="single" w:sz="4" w:space="0" w:color="auto"/>
            </w:tcBorders>
            <w:shd w:val="clear" w:color="000000" w:fill="FFFFFF"/>
            <w:noWrap/>
            <w:vAlign w:val="center"/>
            <w:hideMark/>
          </w:tcPr>
          <w:p w14:paraId="2FD2BE4E" w14:textId="77777777" w:rsidR="001D21DF" w:rsidRPr="001D21DF" w:rsidRDefault="001D21DF" w:rsidP="001D21DF">
            <w:pPr>
              <w:spacing w:line="240" w:lineRule="auto"/>
              <w:jc w:val="center"/>
              <w:rPr>
                <w:rFonts w:cs="Arial"/>
                <w:b/>
                <w:bCs/>
                <w:sz w:val="16"/>
                <w:szCs w:val="16"/>
              </w:rPr>
            </w:pPr>
            <w:r w:rsidRPr="001D21DF">
              <w:rPr>
                <w:rFonts w:cs="Arial"/>
                <w:b/>
                <w:bCs/>
                <w:sz w:val="16"/>
                <w:szCs w:val="16"/>
              </w:rPr>
              <w:t>8%</w:t>
            </w:r>
          </w:p>
        </w:tc>
        <w:tc>
          <w:tcPr>
            <w:tcW w:w="1580" w:type="dxa"/>
            <w:tcBorders>
              <w:top w:val="nil"/>
              <w:left w:val="nil"/>
              <w:bottom w:val="single" w:sz="4" w:space="0" w:color="auto"/>
              <w:right w:val="single" w:sz="4" w:space="0" w:color="auto"/>
            </w:tcBorders>
            <w:shd w:val="clear" w:color="000000" w:fill="FFFFFF"/>
            <w:noWrap/>
            <w:vAlign w:val="center"/>
            <w:hideMark/>
          </w:tcPr>
          <w:p w14:paraId="42DB86E2" w14:textId="77777777" w:rsidR="001D21DF" w:rsidRPr="001D21DF" w:rsidRDefault="001D21DF" w:rsidP="001D21DF">
            <w:pPr>
              <w:spacing w:line="240" w:lineRule="auto"/>
              <w:jc w:val="center"/>
              <w:rPr>
                <w:rFonts w:cs="Arial"/>
                <w:b/>
                <w:bCs/>
                <w:sz w:val="16"/>
                <w:szCs w:val="16"/>
              </w:rPr>
            </w:pPr>
            <w:r w:rsidRPr="001D21DF">
              <w:rPr>
                <w:rFonts w:cs="Arial"/>
                <w:b/>
                <w:bCs/>
                <w:sz w:val="16"/>
                <w:szCs w:val="16"/>
              </w:rPr>
              <w:t>26</w:t>
            </w:r>
          </w:p>
        </w:tc>
      </w:tr>
    </w:tbl>
    <w:p w14:paraId="45D982A4" w14:textId="50B96B66" w:rsidR="00500D7A" w:rsidRDefault="001D21DF" w:rsidP="00500D7A">
      <w:r>
        <w:t xml:space="preserve"> </w:t>
      </w:r>
    </w:p>
    <w:p w14:paraId="745A0410" w14:textId="1DC2311E" w:rsidR="008062BD" w:rsidRDefault="008062BD" w:rsidP="00500D7A">
      <w:r>
        <w:t xml:space="preserve">Now, consider </w:t>
      </w:r>
      <w:r>
        <w:fldChar w:fldCharType="begin"/>
      </w:r>
      <w:r>
        <w:instrText xml:space="preserve"> REF _Ref1489911 \h </w:instrText>
      </w:r>
      <w:r>
        <w:fldChar w:fldCharType="separate"/>
      </w:r>
      <w:r w:rsidR="00413291">
        <w:t xml:space="preserve">Figure </w:t>
      </w:r>
      <w:r w:rsidR="00413291">
        <w:rPr>
          <w:noProof/>
        </w:rPr>
        <w:t>28</w:t>
      </w:r>
      <w:r>
        <w:fldChar w:fldCharType="end"/>
      </w:r>
      <w:r>
        <w:t xml:space="preserve">, below. This shows the average total program impact per participant, but only for those participants that </w:t>
      </w:r>
      <w:r w:rsidRPr="00573AFD">
        <w:rPr>
          <w:i/>
        </w:rPr>
        <w:t>weren’t</w:t>
      </w:r>
      <w:r>
        <w:t xml:space="preserve"> connected. Although the average impact is much lower than for the fully-connected participants it is still both material and statistically significant – on average 0.3 kW per customer. For context, this is the same estimated impact as delivered by peaksaverPLUS</w:t>
      </w:r>
      <w:r w:rsidR="009F02CE">
        <w:t>®</w:t>
      </w:r>
      <w:r>
        <w:t xml:space="preserve"> during the 29-degree test event that occurred on August 26, 2014.</w:t>
      </w:r>
      <w:r>
        <w:rPr>
          <w:rStyle w:val="FootnoteReference"/>
        </w:rPr>
        <w:footnoteReference w:id="33"/>
      </w:r>
      <w:r w:rsidR="009F02CE">
        <w:t xml:space="preserve"> </w:t>
      </w:r>
    </w:p>
    <w:p w14:paraId="19D7A717" w14:textId="5BC00378" w:rsidR="009F02CE" w:rsidRDefault="009F02CE" w:rsidP="00500D7A"/>
    <w:p w14:paraId="7051EB29" w14:textId="072ED8BB" w:rsidR="009F02CE" w:rsidRDefault="009F02CE" w:rsidP="00500D7A">
      <w:r>
        <w:t>Note however that estimated impacts</w:t>
      </w:r>
      <w:r w:rsidR="00573AFD">
        <w:t xml:space="preserve"> of disconnected participants</w:t>
      </w:r>
      <w:r>
        <w:t xml:space="preserve"> are not nearly as sensitive </w:t>
      </w:r>
      <w:r w:rsidR="00573AFD">
        <w:t xml:space="preserve">as those of connected participants </w:t>
      </w:r>
      <w:r>
        <w:t>to temperature. The average impact of the 100% connected group during the July 4 event (the hottest event day) was 1.13 kW, half again as much demand response as delivered on average across all events. In contrast, the impact of the disconnected participants on that same day was only 0.39 kW, only a 30% jump over the average across events</w:t>
      </w:r>
      <w:r w:rsidR="00573AFD">
        <w:t xml:space="preserve"> for that group of participants</w:t>
      </w:r>
      <w:r>
        <w:t>.</w:t>
      </w:r>
    </w:p>
    <w:p w14:paraId="4E5E0AE9" w14:textId="53B331FD" w:rsidR="008062BD" w:rsidRDefault="008062BD" w:rsidP="008062BD">
      <w:pPr>
        <w:pStyle w:val="Caption"/>
      </w:pPr>
      <w:bookmarkStart w:id="106" w:name="_Ref1489911"/>
      <w:bookmarkStart w:id="107" w:name="_Toc8393636"/>
      <w:r>
        <w:t xml:space="preserve">Figure </w:t>
      </w:r>
      <w:fldSimple w:instr=" SEQ Figure \* ARABIC ">
        <w:r w:rsidR="00413291">
          <w:rPr>
            <w:noProof/>
          </w:rPr>
          <w:t>28</w:t>
        </w:r>
      </w:fldSimple>
      <w:bookmarkEnd w:id="106"/>
      <w:r>
        <w:t>:Total Program CPP Event Impacts, 0% Connectivity</w:t>
      </w:r>
      <w:bookmarkEnd w:id="107"/>
    </w:p>
    <w:tbl>
      <w:tblPr>
        <w:tblW w:w="7520" w:type="dxa"/>
        <w:jc w:val="center"/>
        <w:tblLook w:val="04A0" w:firstRow="1" w:lastRow="0" w:firstColumn="1" w:lastColumn="0" w:noHBand="0" w:noVBand="1"/>
      </w:tblPr>
      <w:tblGrid>
        <w:gridCol w:w="1560"/>
        <w:gridCol w:w="1460"/>
        <w:gridCol w:w="1460"/>
        <w:gridCol w:w="1460"/>
        <w:gridCol w:w="1580"/>
      </w:tblGrid>
      <w:tr w:rsidR="008062BD" w:rsidRPr="008062BD" w14:paraId="217075D7" w14:textId="77777777" w:rsidTr="008062BD">
        <w:trPr>
          <w:trHeight w:val="200"/>
          <w:jc w:val="center"/>
        </w:trPr>
        <w:tc>
          <w:tcPr>
            <w:tcW w:w="15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0F617DCD" w14:textId="77777777"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Event Date</w:t>
            </w:r>
          </w:p>
        </w:tc>
        <w:tc>
          <w:tcPr>
            <w:tcW w:w="2920" w:type="dxa"/>
            <w:gridSpan w:val="2"/>
            <w:tcBorders>
              <w:top w:val="single" w:sz="4" w:space="0" w:color="auto"/>
              <w:left w:val="single" w:sz="4" w:space="0" w:color="auto"/>
              <w:bottom w:val="nil"/>
              <w:right w:val="single" w:sz="4" w:space="0" w:color="000000"/>
            </w:tcBorders>
            <w:shd w:val="clear" w:color="000000" w:fill="555759"/>
            <w:noWrap/>
            <w:vAlign w:val="bottom"/>
            <w:hideMark/>
          </w:tcPr>
          <w:p w14:paraId="2A23CCA2" w14:textId="77777777"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DR Impact (kW)</w:t>
            </w:r>
          </w:p>
        </w:tc>
        <w:tc>
          <w:tcPr>
            <w:tcW w:w="14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3A6E2E4E" w14:textId="77777777"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Relative Precision +/-% (90% Confidence)</w:t>
            </w:r>
          </w:p>
        </w:tc>
        <w:tc>
          <w:tcPr>
            <w:tcW w:w="158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2FF33CCE" w14:textId="08066A61"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Temperature (</w:t>
            </w:r>
            <w:r w:rsidRPr="008062BD">
              <w:rPr>
                <w:rFonts w:cs="Arial"/>
                <w:color w:val="FFFFFF"/>
                <w:sz w:val="16"/>
                <w:szCs w:val="16"/>
                <w:vertAlign w:val="superscript"/>
              </w:rPr>
              <w:t>o</w:t>
            </w:r>
            <w:r w:rsidRPr="008062BD">
              <w:rPr>
                <w:rFonts w:cs="Arial"/>
                <w:color w:val="FFFFFF"/>
                <w:sz w:val="16"/>
                <w:szCs w:val="16"/>
              </w:rPr>
              <w:t>C)</w:t>
            </w:r>
          </w:p>
        </w:tc>
      </w:tr>
      <w:tr w:rsidR="008062BD" w:rsidRPr="008062BD" w14:paraId="76BD3EC2" w14:textId="77777777" w:rsidTr="008062BD">
        <w:trPr>
          <w:trHeight w:val="200"/>
          <w:jc w:val="center"/>
        </w:trPr>
        <w:tc>
          <w:tcPr>
            <w:tcW w:w="1560" w:type="dxa"/>
            <w:vMerge/>
            <w:tcBorders>
              <w:top w:val="single" w:sz="4" w:space="0" w:color="auto"/>
              <w:left w:val="single" w:sz="4" w:space="0" w:color="auto"/>
              <w:bottom w:val="single" w:sz="4" w:space="0" w:color="000000"/>
              <w:right w:val="nil"/>
            </w:tcBorders>
            <w:vAlign w:val="center"/>
            <w:hideMark/>
          </w:tcPr>
          <w:p w14:paraId="72658C20" w14:textId="77777777" w:rsidR="008062BD" w:rsidRPr="008062BD" w:rsidRDefault="008062BD" w:rsidP="008062BD">
            <w:pPr>
              <w:keepNext/>
              <w:spacing w:line="240" w:lineRule="auto"/>
              <w:rPr>
                <w:rFonts w:cs="Arial"/>
                <w:color w:val="FFFFFF"/>
                <w:sz w:val="16"/>
                <w:szCs w:val="16"/>
              </w:rPr>
            </w:pPr>
          </w:p>
        </w:tc>
        <w:tc>
          <w:tcPr>
            <w:tcW w:w="1460" w:type="dxa"/>
            <w:tcBorders>
              <w:top w:val="nil"/>
              <w:left w:val="single" w:sz="4" w:space="0" w:color="auto"/>
              <w:bottom w:val="single" w:sz="4" w:space="0" w:color="auto"/>
              <w:right w:val="nil"/>
            </w:tcBorders>
            <w:shd w:val="clear" w:color="000000" w:fill="555759"/>
            <w:vAlign w:val="center"/>
            <w:hideMark/>
          </w:tcPr>
          <w:p w14:paraId="3CBD8B5B" w14:textId="77777777"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kW</w:t>
            </w:r>
          </w:p>
        </w:tc>
        <w:tc>
          <w:tcPr>
            <w:tcW w:w="1460" w:type="dxa"/>
            <w:tcBorders>
              <w:top w:val="nil"/>
              <w:left w:val="nil"/>
              <w:bottom w:val="single" w:sz="4" w:space="0" w:color="auto"/>
              <w:right w:val="single" w:sz="4" w:space="0" w:color="auto"/>
            </w:tcBorders>
            <w:shd w:val="clear" w:color="000000" w:fill="555759"/>
            <w:vAlign w:val="center"/>
            <w:hideMark/>
          </w:tcPr>
          <w:p w14:paraId="4E97F2E8" w14:textId="77777777" w:rsidR="008062BD" w:rsidRPr="008062BD" w:rsidRDefault="008062BD" w:rsidP="008062BD">
            <w:pPr>
              <w:keepNext/>
              <w:spacing w:line="240" w:lineRule="auto"/>
              <w:jc w:val="center"/>
              <w:rPr>
                <w:rFonts w:cs="Arial"/>
                <w:color w:val="FFFFFF"/>
                <w:sz w:val="16"/>
                <w:szCs w:val="16"/>
              </w:rPr>
            </w:pPr>
            <w:r w:rsidRPr="008062BD">
              <w:rPr>
                <w:rFonts w:cs="Arial"/>
                <w:color w:val="FFFFFF"/>
                <w:sz w:val="16"/>
                <w:szCs w:val="16"/>
              </w:rPr>
              <w:t>%</w:t>
            </w:r>
          </w:p>
        </w:tc>
        <w:tc>
          <w:tcPr>
            <w:tcW w:w="1460" w:type="dxa"/>
            <w:vMerge/>
            <w:tcBorders>
              <w:top w:val="single" w:sz="4" w:space="0" w:color="auto"/>
              <w:left w:val="single" w:sz="4" w:space="0" w:color="auto"/>
              <w:bottom w:val="single" w:sz="4" w:space="0" w:color="000000"/>
              <w:right w:val="nil"/>
            </w:tcBorders>
            <w:vAlign w:val="center"/>
            <w:hideMark/>
          </w:tcPr>
          <w:p w14:paraId="364E87BF" w14:textId="77777777" w:rsidR="008062BD" w:rsidRPr="008062BD" w:rsidRDefault="008062BD" w:rsidP="008062BD">
            <w:pPr>
              <w:keepNext/>
              <w:spacing w:line="240" w:lineRule="auto"/>
              <w:rPr>
                <w:rFonts w:cs="Arial"/>
                <w:color w:val="FFFFFF"/>
                <w:sz w:val="16"/>
                <w:szCs w:val="16"/>
              </w:rPr>
            </w:pPr>
          </w:p>
        </w:tc>
        <w:tc>
          <w:tcPr>
            <w:tcW w:w="1580" w:type="dxa"/>
            <w:vMerge/>
            <w:tcBorders>
              <w:top w:val="single" w:sz="4" w:space="0" w:color="auto"/>
              <w:left w:val="nil"/>
              <w:bottom w:val="single" w:sz="4" w:space="0" w:color="000000"/>
              <w:right w:val="single" w:sz="4" w:space="0" w:color="auto"/>
            </w:tcBorders>
            <w:vAlign w:val="center"/>
            <w:hideMark/>
          </w:tcPr>
          <w:p w14:paraId="7DBA7F94" w14:textId="77777777" w:rsidR="008062BD" w:rsidRPr="008062BD" w:rsidRDefault="008062BD" w:rsidP="008062BD">
            <w:pPr>
              <w:keepNext/>
              <w:spacing w:line="240" w:lineRule="auto"/>
              <w:rPr>
                <w:rFonts w:cs="Arial"/>
                <w:color w:val="FFFFFF"/>
                <w:sz w:val="16"/>
                <w:szCs w:val="16"/>
              </w:rPr>
            </w:pPr>
          </w:p>
        </w:tc>
      </w:tr>
      <w:tr w:rsidR="008062BD" w:rsidRPr="008062BD" w14:paraId="78DFE24C"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51D8B31"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2018-06-01</w:t>
            </w:r>
          </w:p>
        </w:tc>
        <w:tc>
          <w:tcPr>
            <w:tcW w:w="1460" w:type="dxa"/>
            <w:tcBorders>
              <w:top w:val="nil"/>
              <w:left w:val="nil"/>
              <w:bottom w:val="nil"/>
              <w:right w:val="single" w:sz="4" w:space="0" w:color="auto"/>
            </w:tcBorders>
            <w:shd w:val="clear" w:color="000000" w:fill="FFFFFF"/>
            <w:noWrap/>
            <w:vAlign w:val="center"/>
            <w:hideMark/>
          </w:tcPr>
          <w:p w14:paraId="6971B43C"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0.30</w:t>
            </w:r>
          </w:p>
        </w:tc>
        <w:tc>
          <w:tcPr>
            <w:tcW w:w="1460" w:type="dxa"/>
            <w:tcBorders>
              <w:top w:val="nil"/>
              <w:left w:val="nil"/>
              <w:bottom w:val="nil"/>
              <w:right w:val="single" w:sz="4" w:space="0" w:color="auto"/>
            </w:tcBorders>
            <w:shd w:val="clear" w:color="000000" w:fill="FFFFFF"/>
            <w:noWrap/>
            <w:vAlign w:val="center"/>
            <w:hideMark/>
          </w:tcPr>
          <w:p w14:paraId="4A1C4F0B"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FFFFF"/>
            <w:noWrap/>
            <w:vAlign w:val="center"/>
            <w:hideMark/>
          </w:tcPr>
          <w:p w14:paraId="3B112C6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32%</w:t>
            </w:r>
          </w:p>
        </w:tc>
        <w:tc>
          <w:tcPr>
            <w:tcW w:w="1580" w:type="dxa"/>
            <w:tcBorders>
              <w:top w:val="nil"/>
              <w:left w:val="nil"/>
              <w:bottom w:val="nil"/>
              <w:right w:val="single" w:sz="4" w:space="0" w:color="auto"/>
            </w:tcBorders>
            <w:shd w:val="clear" w:color="000000" w:fill="FFFFFF"/>
            <w:noWrap/>
            <w:vAlign w:val="center"/>
            <w:hideMark/>
          </w:tcPr>
          <w:p w14:paraId="1CE0D88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24</w:t>
            </w:r>
          </w:p>
        </w:tc>
      </w:tr>
      <w:tr w:rsidR="008062BD" w:rsidRPr="008062BD" w14:paraId="0B32C923"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3FF9785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2018-06-18</w:t>
            </w:r>
          </w:p>
        </w:tc>
        <w:tc>
          <w:tcPr>
            <w:tcW w:w="1460" w:type="dxa"/>
            <w:tcBorders>
              <w:top w:val="nil"/>
              <w:left w:val="nil"/>
              <w:bottom w:val="nil"/>
              <w:right w:val="single" w:sz="4" w:space="0" w:color="auto"/>
            </w:tcBorders>
            <w:shd w:val="clear" w:color="000000" w:fill="F2F2F2"/>
            <w:noWrap/>
            <w:vAlign w:val="center"/>
            <w:hideMark/>
          </w:tcPr>
          <w:p w14:paraId="608A8FD3"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0.28</w:t>
            </w:r>
          </w:p>
        </w:tc>
        <w:tc>
          <w:tcPr>
            <w:tcW w:w="1460" w:type="dxa"/>
            <w:tcBorders>
              <w:top w:val="nil"/>
              <w:left w:val="nil"/>
              <w:bottom w:val="nil"/>
              <w:right w:val="single" w:sz="4" w:space="0" w:color="auto"/>
            </w:tcBorders>
            <w:shd w:val="clear" w:color="000000" w:fill="F2F2F2"/>
            <w:noWrap/>
            <w:vAlign w:val="center"/>
            <w:hideMark/>
          </w:tcPr>
          <w:p w14:paraId="3EBC72E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14%</w:t>
            </w:r>
          </w:p>
        </w:tc>
        <w:tc>
          <w:tcPr>
            <w:tcW w:w="1460" w:type="dxa"/>
            <w:tcBorders>
              <w:top w:val="nil"/>
              <w:left w:val="nil"/>
              <w:bottom w:val="nil"/>
              <w:right w:val="single" w:sz="4" w:space="0" w:color="auto"/>
            </w:tcBorders>
            <w:shd w:val="clear" w:color="000000" w:fill="F2F2F2"/>
            <w:noWrap/>
            <w:vAlign w:val="center"/>
            <w:hideMark/>
          </w:tcPr>
          <w:p w14:paraId="5E9125A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2F2F2"/>
            <w:noWrap/>
            <w:vAlign w:val="center"/>
            <w:hideMark/>
          </w:tcPr>
          <w:p w14:paraId="015DEBFC"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25</w:t>
            </w:r>
          </w:p>
        </w:tc>
      </w:tr>
      <w:tr w:rsidR="008062BD" w:rsidRPr="008062BD" w14:paraId="13F2FF83"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65B0C1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2018-06-29</w:t>
            </w:r>
          </w:p>
        </w:tc>
        <w:tc>
          <w:tcPr>
            <w:tcW w:w="1460" w:type="dxa"/>
            <w:tcBorders>
              <w:top w:val="nil"/>
              <w:left w:val="nil"/>
              <w:bottom w:val="nil"/>
              <w:right w:val="single" w:sz="4" w:space="0" w:color="auto"/>
            </w:tcBorders>
            <w:shd w:val="clear" w:color="000000" w:fill="FFFFFF"/>
            <w:noWrap/>
            <w:vAlign w:val="center"/>
            <w:hideMark/>
          </w:tcPr>
          <w:p w14:paraId="5DEBEBE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0.35</w:t>
            </w:r>
          </w:p>
        </w:tc>
        <w:tc>
          <w:tcPr>
            <w:tcW w:w="1460" w:type="dxa"/>
            <w:tcBorders>
              <w:top w:val="nil"/>
              <w:left w:val="nil"/>
              <w:bottom w:val="nil"/>
              <w:right w:val="single" w:sz="4" w:space="0" w:color="auto"/>
            </w:tcBorders>
            <w:shd w:val="clear" w:color="000000" w:fill="FFFFFF"/>
            <w:noWrap/>
            <w:vAlign w:val="center"/>
            <w:hideMark/>
          </w:tcPr>
          <w:p w14:paraId="3EC57307"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FFFFF"/>
            <w:noWrap/>
            <w:vAlign w:val="center"/>
            <w:hideMark/>
          </w:tcPr>
          <w:p w14:paraId="37DAAE4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FFFFF"/>
            <w:noWrap/>
            <w:vAlign w:val="center"/>
            <w:hideMark/>
          </w:tcPr>
          <w:p w14:paraId="5B5CD8B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28</w:t>
            </w:r>
          </w:p>
        </w:tc>
      </w:tr>
      <w:tr w:rsidR="008062BD" w:rsidRPr="008062BD" w14:paraId="5D9594D5"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C40F0F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2018-07-03</w:t>
            </w:r>
          </w:p>
        </w:tc>
        <w:tc>
          <w:tcPr>
            <w:tcW w:w="1460" w:type="dxa"/>
            <w:tcBorders>
              <w:top w:val="nil"/>
              <w:left w:val="nil"/>
              <w:bottom w:val="nil"/>
              <w:right w:val="single" w:sz="4" w:space="0" w:color="auto"/>
            </w:tcBorders>
            <w:shd w:val="clear" w:color="000000" w:fill="F2F2F2"/>
            <w:noWrap/>
            <w:vAlign w:val="center"/>
            <w:hideMark/>
          </w:tcPr>
          <w:p w14:paraId="12686223"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0.33</w:t>
            </w:r>
          </w:p>
        </w:tc>
        <w:tc>
          <w:tcPr>
            <w:tcW w:w="1460" w:type="dxa"/>
            <w:tcBorders>
              <w:top w:val="nil"/>
              <w:left w:val="nil"/>
              <w:bottom w:val="nil"/>
              <w:right w:val="single" w:sz="4" w:space="0" w:color="auto"/>
            </w:tcBorders>
            <w:shd w:val="clear" w:color="000000" w:fill="F2F2F2"/>
            <w:noWrap/>
            <w:vAlign w:val="center"/>
            <w:hideMark/>
          </w:tcPr>
          <w:p w14:paraId="498993AF"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2F2F2"/>
            <w:noWrap/>
            <w:vAlign w:val="center"/>
            <w:hideMark/>
          </w:tcPr>
          <w:p w14:paraId="3DF3788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42%</w:t>
            </w:r>
          </w:p>
        </w:tc>
        <w:tc>
          <w:tcPr>
            <w:tcW w:w="1580" w:type="dxa"/>
            <w:tcBorders>
              <w:top w:val="nil"/>
              <w:left w:val="nil"/>
              <w:bottom w:val="nil"/>
              <w:right w:val="single" w:sz="4" w:space="0" w:color="auto"/>
            </w:tcBorders>
            <w:shd w:val="clear" w:color="000000" w:fill="F2F2F2"/>
            <w:noWrap/>
            <w:vAlign w:val="center"/>
            <w:hideMark/>
          </w:tcPr>
          <w:p w14:paraId="4064296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30</w:t>
            </w:r>
          </w:p>
        </w:tc>
      </w:tr>
      <w:tr w:rsidR="008062BD" w:rsidRPr="008062BD" w14:paraId="45822A09"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E7B9A9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2018-07-04</w:t>
            </w:r>
          </w:p>
        </w:tc>
        <w:tc>
          <w:tcPr>
            <w:tcW w:w="1460" w:type="dxa"/>
            <w:tcBorders>
              <w:top w:val="nil"/>
              <w:left w:val="nil"/>
              <w:bottom w:val="nil"/>
              <w:right w:val="single" w:sz="4" w:space="0" w:color="auto"/>
            </w:tcBorders>
            <w:shd w:val="clear" w:color="000000" w:fill="FFFFFF"/>
            <w:noWrap/>
            <w:vAlign w:val="center"/>
            <w:hideMark/>
          </w:tcPr>
          <w:p w14:paraId="76E6DD0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0.39</w:t>
            </w:r>
          </w:p>
        </w:tc>
        <w:tc>
          <w:tcPr>
            <w:tcW w:w="1460" w:type="dxa"/>
            <w:tcBorders>
              <w:top w:val="nil"/>
              <w:left w:val="nil"/>
              <w:bottom w:val="nil"/>
              <w:right w:val="single" w:sz="4" w:space="0" w:color="auto"/>
            </w:tcBorders>
            <w:shd w:val="clear" w:color="000000" w:fill="FFFFFF"/>
            <w:noWrap/>
            <w:vAlign w:val="center"/>
            <w:hideMark/>
          </w:tcPr>
          <w:p w14:paraId="11B9987B"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14%</w:t>
            </w:r>
          </w:p>
        </w:tc>
        <w:tc>
          <w:tcPr>
            <w:tcW w:w="1460" w:type="dxa"/>
            <w:tcBorders>
              <w:top w:val="nil"/>
              <w:left w:val="nil"/>
              <w:bottom w:val="nil"/>
              <w:right w:val="single" w:sz="4" w:space="0" w:color="auto"/>
            </w:tcBorders>
            <w:shd w:val="clear" w:color="000000" w:fill="FFFFFF"/>
            <w:noWrap/>
            <w:vAlign w:val="center"/>
            <w:hideMark/>
          </w:tcPr>
          <w:p w14:paraId="181B58D0" w14:textId="77777777" w:rsidR="008062BD" w:rsidRPr="008062BD" w:rsidRDefault="008062BD" w:rsidP="008062BD">
            <w:pPr>
              <w:keepNext/>
              <w:spacing w:line="240" w:lineRule="auto"/>
              <w:jc w:val="center"/>
              <w:rPr>
                <w:rFonts w:cs="Arial"/>
                <w:sz w:val="16"/>
                <w:szCs w:val="16"/>
              </w:rPr>
            </w:pPr>
            <w:r w:rsidRPr="008062BD">
              <w:rPr>
                <w:rFonts w:cs="Arial"/>
                <w:sz w:val="16"/>
                <w:szCs w:val="16"/>
              </w:rPr>
              <w:t>40%</w:t>
            </w:r>
          </w:p>
        </w:tc>
        <w:tc>
          <w:tcPr>
            <w:tcW w:w="1580" w:type="dxa"/>
            <w:tcBorders>
              <w:top w:val="nil"/>
              <w:left w:val="nil"/>
              <w:bottom w:val="nil"/>
              <w:right w:val="single" w:sz="4" w:space="0" w:color="auto"/>
            </w:tcBorders>
            <w:shd w:val="clear" w:color="000000" w:fill="FFFFFF"/>
            <w:noWrap/>
            <w:vAlign w:val="center"/>
            <w:hideMark/>
          </w:tcPr>
          <w:p w14:paraId="6C2AEAE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31</w:t>
            </w:r>
          </w:p>
        </w:tc>
      </w:tr>
      <w:tr w:rsidR="008062BD" w:rsidRPr="008062BD" w14:paraId="0C702AC2"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D9362D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2018-07-05</w:t>
            </w:r>
          </w:p>
        </w:tc>
        <w:tc>
          <w:tcPr>
            <w:tcW w:w="1460" w:type="dxa"/>
            <w:tcBorders>
              <w:top w:val="nil"/>
              <w:left w:val="nil"/>
              <w:bottom w:val="nil"/>
              <w:right w:val="single" w:sz="4" w:space="0" w:color="auto"/>
            </w:tcBorders>
            <w:shd w:val="clear" w:color="000000" w:fill="F2F2F2"/>
            <w:noWrap/>
            <w:vAlign w:val="center"/>
            <w:hideMark/>
          </w:tcPr>
          <w:p w14:paraId="0A432467"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0.31</w:t>
            </w:r>
          </w:p>
        </w:tc>
        <w:tc>
          <w:tcPr>
            <w:tcW w:w="1460" w:type="dxa"/>
            <w:tcBorders>
              <w:top w:val="nil"/>
              <w:left w:val="nil"/>
              <w:bottom w:val="nil"/>
              <w:right w:val="single" w:sz="4" w:space="0" w:color="auto"/>
            </w:tcBorders>
            <w:shd w:val="clear" w:color="000000" w:fill="F2F2F2"/>
            <w:noWrap/>
            <w:vAlign w:val="center"/>
            <w:hideMark/>
          </w:tcPr>
          <w:p w14:paraId="4CD83E8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16%</w:t>
            </w:r>
          </w:p>
        </w:tc>
        <w:tc>
          <w:tcPr>
            <w:tcW w:w="1460" w:type="dxa"/>
            <w:tcBorders>
              <w:top w:val="nil"/>
              <w:left w:val="nil"/>
              <w:bottom w:val="nil"/>
              <w:right w:val="single" w:sz="4" w:space="0" w:color="auto"/>
            </w:tcBorders>
            <w:shd w:val="clear" w:color="000000" w:fill="F2F2F2"/>
            <w:noWrap/>
            <w:vAlign w:val="center"/>
            <w:hideMark/>
          </w:tcPr>
          <w:p w14:paraId="1EE3F3A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31%</w:t>
            </w:r>
          </w:p>
        </w:tc>
        <w:tc>
          <w:tcPr>
            <w:tcW w:w="1580" w:type="dxa"/>
            <w:tcBorders>
              <w:top w:val="nil"/>
              <w:left w:val="nil"/>
              <w:bottom w:val="nil"/>
              <w:right w:val="single" w:sz="4" w:space="0" w:color="auto"/>
            </w:tcBorders>
            <w:shd w:val="clear" w:color="000000" w:fill="F2F2F2"/>
            <w:noWrap/>
            <w:vAlign w:val="center"/>
            <w:hideMark/>
          </w:tcPr>
          <w:p w14:paraId="2A07E88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25</w:t>
            </w:r>
          </w:p>
        </w:tc>
      </w:tr>
      <w:tr w:rsidR="008062BD" w:rsidRPr="008062BD" w14:paraId="627392FB"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625124B"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2018-07-16</w:t>
            </w:r>
          </w:p>
        </w:tc>
        <w:tc>
          <w:tcPr>
            <w:tcW w:w="1460" w:type="dxa"/>
            <w:tcBorders>
              <w:top w:val="nil"/>
              <w:left w:val="nil"/>
              <w:bottom w:val="nil"/>
              <w:right w:val="single" w:sz="4" w:space="0" w:color="auto"/>
            </w:tcBorders>
            <w:shd w:val="clear" w:color="000000" w:fill="FFFFFF"/>
            <w:noWrap/>
            <w:vAlign w:val="center"/>
            <w:hideMark/>
          </w:tcPr>
          <w:p w14:paraId="173B9B7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0.28</w:t>
            </w:r>
          </w:p>
        </w:tc>
        <w:tc>
          <w:tcPr>
            <w:tcW w:w="1460" w:type="dxa"/>
            <w:tcBorders>
              <w:top w:val="nil"/>
              <w:left w:val="nil"/>
              <w:bottom w:val="nil"/>
              <w:right w:val="single" w:sz="4" w:space="0" w:color="auto"/>
            </w:tcBorders>
            <w:shd w:val="clear" w:color="000000" w:fill="FFFFFF"/>
            <w:noWrap/>
            <w:vAlign w:val="center"/>
            <w:hideMark/>
          </w:tcPr>
          <w:p w14:paraId="64C8045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FFFFF"/>
            <w:noWrap/>
            <w:vAlign w:val="center"/>
            <w:hideMark/>
          </w:tcPr>
          <w:p w14:paraId="685C3F5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FFFFF"/>
            <w:noWrap/>
            <w:vAlign w:val="center"/>
            <w:hideMark/>
          </w:tcPr>
          <w:p w14:paraId="35F711D3"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25</w:t>
            </w:r>
          </w:p>
        </w:tc>
      </w:tr>
      <w:tr w:rsidR="008062BD" w:rsidRPr="008062BD" w14:paraId="61052B66"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6DAA465"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2018-07-17</w:t>
            </w:r>
          </w:p>
        </w:tc>
        <w:tc>
          <w:tcPr>
            <w:tcW w:w="1460" w:type="dxa"/>
            <w:tcBorders>
              <w:top w:val="nil"/>
              <w:left w:val="nil"/>
              <w:bottom w:val="nil"/>
              <w:right w:val="single" w:sz="4" w:space="0" w:color="auto"/>
            </w:tcBorders>
            <w:shd w:val="clear" w:color="000000" w:fill="F2F2F2"/>
            <w:noWrap/>
            <w:vAlign w:val="center"/>
            <w:hideMark/>
          </w:tcPr>
          <w:p w14:paraId="0CE157D0"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0.26</w:t>
            </w:r>
          </w:p>
        </w:tc>
        <w:tc>
          <w:tcPr>
            <w:tcW w:w="1460" w:type="dxa"/>
            <w:tcBorders>
              <w:top w:val="nil"/>
              <w:left w:val="nil"/>
              <w:bottom w:val="nil"/>
              <w:right w:val="single" w:sz="4" w:space="0" w:color="auto"/>
            </w:tcBorders>
            <w:shd w:val="clear" w:color="000000" w:fill="F2F2F2"/>
            <w:noWrap/>
            <w:vAlign w:val="center"/>
            <w:hideMark/>
          </w:tcPr>
          <w:p w14:paraId="3BF284F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14%</w:t>
            </w:r>
          </w:p>
        </w:tc>
        <w:tc>
          <w:tcPr>
            <w:tcW w:w="1460" w:type="dxa"/>
            <w:tcBorders>
              <w:top w:val="nil"/>
              <w:left w:val="nil"/>
              <w:bottom w:val="nil"/>
              <w:right w:val="single" w:sz="4" w:space="0" w:color="auto"/>
            </w:tcBorders>
            <w:shd w:val="clear" w:color="000000" w:fill="F2F2F2"/>
            <w:noWrap/>
            <w:vAlign w:val="center"/>
            <w:hideMark/>
          </w:tcPr>
          <w:p w14:paraId="61E4506C"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38%</w:t>
            </w:r>
          </w:p>
        </w:tc>
        <w:tc>
          <w:tcPr>
            <w:tcW w:w="1580" w:type="dxa"/>
            <w:tcBorders>
              <w:top w:val="nil"/>
              <w:left w:val="nil"/>
              <w:bottom w:val="nil"/>
              <w:right w:val="single" w:sz="4" w:space="0" w:color="auto"/>
            </w:tcBorders>
            <w:shd w:val="clear" w:color="000000" w:fill="F2F2F2"/>
            <w:noWrap/>
            <w:vAlign w:val="center"/>
            <w:hideMark/>
          </w:tcPr>
          <w:p w14:paraId="0EEE24C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22</w:t>
            </w:r>
          </w:p>
        </w:tc>
      </w:tr>
      <w:tr w:rsidR="008062BD" w:rsidRPr="008062BD" w14:paraId="5F4278F8"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1E5ECAB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2018-07-24</w:t>
            </w:r>
          </w:p>
        </w:tc>
        <w:tc>
          <w:tcPr>
            <w:tcW w:w="1460" w:type="dxa"/>
            <w:tcBorders>
              <w:top w:val="nil"/>
              <w:left w:val="nil"/>
              <w:bottom w:val="nil"/>
              <w:right w:val="single" w:sz="4" w:space="0" w:color="auto"/>
            </w:tcBorders>
            <w:shd w:val="clear" w:color="000000" w:fill="FFFFFF"/>
            <w:noWrap/>
            <w:vAlign w:val="center"/>
            <w:hideMark/>
          </w:tcPr>
          <w:p w14:paraId="3594709B"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0.28</w:t>
            </w:r>
          </w:p>
        </w:tc>
        <w:tc>
          <w:tcPr>
            <w:tcW w:w="1460" w:type="dxa"/>
            <w:tcBorders>
              <w:top w:val="nil"/>
              <w:left w:val="nil"/>
              <w:bottom w:val="nil"/>
              <w:right w:val="single" w:sz="4" w:space="0" w:color="auto"/>
            </w:tcBorders>
            <w:shd w:val="clear" w:color="000000" w:fill="FFFFFF"/>
            <w:noWrap/>
            <w:vAlign w:val="center"/>
            <w:hideMark/>
          </w:tcPr>
          <w:p w14:paraId="1AB0A9C7"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FFFFF"/>
            <w:noWrap/>
            <w:vAlign w:val="center"/>
            <w:hideMark/>
          </w:tcPr>
          <w:p w14:paraId="066DE501"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FFFFF"/>
            <w:noWrap/>
            <w:vAlign w:val="center"/>
            <w:hideMark/>
          </w:tcPr>
          <w:p w14:paraId="40F7033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25</w:t>
            </w:r>
          </w:p>
        </w:tc>
      </w:tr>
      <w:tr w:rsidR="008062BD" w:rsidRPr="008062BD" w14:paraId="5CCD83E2"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142799D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2018-08-07</w:t>
            </w:r>
          </w:p>
        </w:tc>
        <w:tc>
          <w:tcPr>
            <w:tcW w:w="1460" w:type="dxa"/>
            <w:tcBorders>
              <w:top w:val="nil"/>
              <w:left w:val="nil"/>
              <w:bottom w:val="nil"/>
              <w:right w:val="single" w:sz="4" w:space="0" w:color="auto"/>
            </w:tcBorders>
            <w:shd w:val="clear" w:color="000000" w:fill="F2F2F2"/>
            <w:noWrap/>
            <w:vAlign w:val="center"/>
            <w:hideMark/>
          </w:tcPr>
          <w:p w14:paraId="4E45751E"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0.29</w:t>
            </w:r>
          </w:p>
        </w:tc>
        <w:tc>
          <w:tcPr>
            <w:tcW w:w="1460" w:type="dxa"/>
            <w:tcBorders>
              <w:top w:val="nil"/>
              <w:left w:val="nil"/>
              <w:bottom w:val="nil"/>
              <w:right w:val="single" w:sz="4" w:space="0" w:color="auto"/>
            </w:tcBorders>
            <w:shd w:val="clear" w:color="000000" w:fill="F2F2F2"/>
            <w:noWrap/>
            <w:vAlign w:val="center"/>
            <w:hideMark/>
          </w:tcPr>
          <w:p w14:paraId="59AAD99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14%</w:t>
            </w:r>
          </w:p>
        </w:tc>
        <w:tc>
          <w:tcPr>
            <w:tcW w:w="1460" w:type="dxa"/>
            <w:tcBorders>
              <w:top w:val="nil"/>
              <w:left w:val="nil"/>
              <w:bottom w:val="nil"/>
              <w:right w:val="single" w:sz="4" w:space="0" w:color="auto"/>
            </w:tcBorders>
            <w:shd w:val="clear" w:color="000000" w:fill="F2F2F2"/>
            <w:noWrap/>
            <w:vAlign w:val="center"/>
            <w:hideMark/>
          </w:tcPr>
          <w:p w14:paraId="0A6A399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2F2F2"/>
            <w:noWrap/>
            <w:vAlign w:val="center"/>
            <w:hideMark/>
          </w:tcPr>
          <w:p w14:paraId="2830377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26</w:t>
            </w:r>
          </w:p>
        </w:tc>
      </w:tr>
      <w:tr w:rsidR="008062BD" w:rsidRPr="008062BD" w14:paraId="5DFA4515"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3496E4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2018-08-15</w:t>
            </w:r>
          </w:p>
        </w:tc>
        <w:tc>
          <w:tcPr>
            <w:tcW w:w="1460" w:type="dxa"/>
            <w:tcBorders>
              <w:top w:val="nil"/>
              <w:left w:val="nil"/>
              <w:bottom w:val="nil"/>
              <w:right w:val="single" w:sz="4" w:space="0" w:color="auto"/>
            </w:tcBorders>
            <w:shd w:val="clear" w:color="000000" w:fill="FFFFFF"/>
            <w:noWrap/>
            <w:vAlign w:val="center"/>
            <w:hideMark/>
          </w:tcPr>
          <w:p w14:paraId="4317CF2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0.33</w:t>
            </w:r>
          </w:p>
        </w:tc>
        <w:tc>
          <w:tcPr>
            <w:tcW w:w="1460" w:type="dxa"/>
            <w:tcBorders>
              <w:top w:val="nil"/>
              <w:left w:val="nil"/>
              <w:bottom w:val="nil"/>
              <w:right w:val="single" w:sz="4" w:space="0" w:color="auto"/>
            </w:tcBorders>
            <w:shd w:val="clear" w:color="000000" w:fill="FFFFFF"/>
            <w:noWrap/>
            <w:vAlign w:val="center"/>
            <w:hideMark/>
          </w:tcPr>
          <w:p w14:paraId="03735B6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16%</w:t>
            </w:r>
          </w:p>
        </w:tc>
        <w:tc>
          <w:tcPr>
            <w:tcW w:w="1460" w:type="dxa"/>
            <w:tcBorders>
              <w:top w:val="nil"/>
              <w:left w:val="nil"/>
              <w:bottom w:val="nil"/>
              <w:right w:val="single" w:sz="4" w:space="0" w:color="auto"/>
            </w:tcBorders>
            <w:shd w:val="clear" w:color="000000" w:fill="FFFFFF"/>
            <w:noWrap/>
            <w:vAlign w:val="center"/>
            <w:hideMark/>
          </w:tcPr>
          <w:p w14:paraId="7B86030F"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32%</w:t>
            </w:r>
          </w:p>
        </w:tc>
        <w:tc>
          <w:tcPr>
            <w:tcW w:w="1580" w:type="dxa"/>
            <w:tcBorders>
              <w:top w:val="nil"/>
              <w:left w:val="nil"/>
              <w:bottom w:val="nil"/>
              <w:right w:val="single" w:sz="4" w:space="0" w:color="auto"/>
            </w:tcBorders>
            <w:shd w:val="clear" w:color="000000" w:fill="FFFFFF"/>
            <w:noWrap/>
            <w:vAlign w:val="center"/>
            <w:hideMark/>
          </w:tcPr>
          <w:p w14:paraId="5F3060B1"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27</w:t>
            </w:r>
          </w:p>
        </w:tc>
      </w:tr>
      <w:tr w:rsidR="008062BD" w:rsidRPr="008062BD" w14:paraId="6B6E15F4"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5392E3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2018-08-16</w:t>
            </w:r>
          </w:p>
        </w:tc>
        <w:tc>
          <w:tcPr>
            <w:tcW w:w="1460" w:type="dxa"/>
            <w:tcBorders>
              <w:top w:val="nil"/>
              <w:left w:val="nil"/>
              <w:bottom w:val="nil"/>
              <w:right w:val="single" w:sz="4" w:space="0" w:color="auto"/>
            </w:tcBorders>
            <w:shd w:val="clear" w:color="000000" w:fill="F2F2F2"/>
            <w:noWrap/>
            <w:vAlign w:val="center"/>
            <w:hideMark/>
          </w:tcPr>
          <w:p w14:paraId="5DAEC9EC"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0.27</w:t>
            </w:r>
          </w:p>
        </w:tc>
        <w:tc>
          <w:tcPr>
            <w:tcW w:w="1460" w:type="dxa"/>
            <w:tcBorders>
              <w:top w:val="nil"/>
              <w:left w:val="nil"/>
              <w:bottom w:val="nil"/>
              <w:right w:val="single" w:sz="4" w:space="0" w:color="auto"/>
            </w:tcBorders>
            <w:shd w:val="clear" w:color="000000" w:fill="F2F2F2"/>
            <w:noWrap/>
            <w:vAlign w:val="center"/>
            <w:hideMark/>
          </w:tcPr>
          <w:p w14:paraId="158549B0"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17%</w:t>
            </w:r>
          </w:p>
        </w:tc>
        <w:tc>
          <w:tcPr>
            <w:tcW w:w="1460" w:type="dxa"/>
            <w:tcBorders>
              <w:top w:val="nil"/>
              <w:left w:val="nil"/>
              <w:bottom w:val="nil"/>
              <w:right w:val="single" w:sz="4" w:space="0" w:color="auto"/>
            </w:tcBorders>
            <w:shd w:val="clear" w:color="000000" w:fill="F2F2F2"/>
            <w:noWrap/>
            <w:vAlign w:val="center"/>
            <w:hideMark/>
          </w:tcPr>
          <w:p w14:paraId="3568AE71"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35%</w:t>
            </w:r>
          </w:p>
        </w:tc>
        <w:tc>
          <w:tcPr>
            <w:tcW w:w="1580" w:type="dxa"/>
            <w:tcBorders>
              <w:top w:val="nil"/>
              <w:left w:val="nil"/>
              <w:bottom w:val="nil"/>
              <w:right w:val="single" w:sz="4" w:space="0" w:color="auto"/>
            </w:tcBorders>
            <w:shd w:val="clear" w:color="000000" w:fill="F2F2F2"/>
            <w:noWrap/>
            <w:vAlign w:val="center"/>
            <w:hideMark/>
          </w:tcPr>
          <w:p w14:paraId="0BF9062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23</w:t>
            </w:r>
          </w:p>
        </w:tc>
      </w:tr>
      <w:tr w:rsidR="008062BD" w:rsidRPr="008062BD" w14:paraId="2383F698"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94D214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2018-08-17</w:t>
            </w:r>
          </w:p>
        </w:tc>
        <w:tc>
          <w:tcPr>
            <w:tcW w:w="1460" w:type="dxa"/>
            <w:tcBorders>
              <w:top w:val="nil"/>
              <w:left w:val="nil"/>
              <w:bottom w:val="nil"/>
              <w:right w:val="single" w:sz="4" w:space="0" w:color="auto"/>
            </w:tcBorders>
            <w:shd w:val="clear" w:color="000000" w:fill="FFFFFF"/>
            <w:noWrap/>
            <w:vAlign w:val="center"/>
            <w:hideMark/>
          </w:tcPr>
          <w:p w14:paraId="1F02B9E0"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0.27</w:t>
            </w:r>
          </w:p>
        </w:tc>
        <w:tc>
          <w:tcPr>
            <w:tcW w:w="1460" w:type="dxa"/>
            <w:tcBorders>
              <w:top w:val="nil"/>
              <w:left w:val="nil"/>
              <w:bottom w:val="nil"/>
              <w:right w:val="single" w:sz="4" w:space="0" w:color="auto"/>
            </w:tcBorders>
            <w:shd w:val="clear" w:color="000000" w:fill="FFFFFF"/>
            <w:noWrap/>
            <w:vAlign w:val="center"/>
            <w:hideMark/>
          </w:tcPr>
          <w:p w14:paraId="46A17D7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16%</w:t>
            </w:r>
          </w:p>
        </w:tc>
        <w:tc>
          <w:tcPr>
            <w:tcW w:w="1460" w:type="dxa"/>
            <w:tcBorders>
              <w:top w:val="nil"/>
              <w:left w:val="nil"/>
              <w:bottom w:val="nil"/>
              <w:right w:val="single" w:sz="4" w:space="0" w:color="auto"/>
            </w:tcBorders>
            <w:shd w:val="clear" w:color="000000" w:fill="FFFFFF"/>
            <w:noWrap/>
            <w:vAlign w:val="center"/>
            <w:hideMark/>
          </w:tcPr>
          <w:p w14:paraId="3C566BA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34%</w:t>
            </w:r>
          </w:p>
        </w:tc>
        <w:tc>
          <w:tcPr>
            <w:tcW w:w="1580" w:type="dxa"/>
            <w:tcBorders>
              <w:top w:val="nil"/>
              <w:left w:val="nil"/>
              <w:bottom w:val="nil"/>
              <w:right w:val="single" w:sz="4" w:space="0" w:color="auto"/>
            </w:tcBorders>
            <w:shd w:val="clear" w:color="000000" w:fill="FFFFFF"/>
            <w:noWrap/>
            <w:vAlign w:val="center"/>
            <w:hideMark/>
          </w:tcPr>
          <w:p w14:paraId="5A6D05C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24</w:t>
            </w:r>
          </w:p>
        </w:tc>
      </w:tr>
      <w:tr w:rsidR="008062BD" w:rsidRPr="008062BD" w14:paraId="6E649AF0"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1897E16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2018-08-20</w:t>
            </w:r>
          </w:p>
        </w:tc>
        <w:tc>
          <w:tcPr>
            <w:tcW w:w="1460" w:type="dxa"/>
            <w:tcBorders>
              <w:top w:val="nil"/>
              <w:left w:val="nil"/>
              <w:bottom w:val="nil"/>
              <w:right w:val="single" w:sz="4" w:space="0" w:color="auto"/>
            </w:tcBorders>
            <w:shd w:val="clear" w:color="000000" w:fill="F2F2F2"/>
            <w:noWrap/>
            <w:vAlign w:val="center"/>
            <w:hideMark/>
          </w:tcPr>
          <w:p w14:paraId="15AE675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0.28</w:t>
            </w:r>
          </w:p>
        </w:tc>
        <w:tc>
          <w:tcPr>
            <w:tcW w:w="1460" w:type="dxa"/>
            <w:tcBorders>
              <w:top w:val="nil"/>
              <w:left w:val="nil"/>
              <w:bottom w:val="nil"/>
              <w:right w:val="single" w:sz="4" w:space="0" w:color="auto"/>
            </w:tcBorders>
            <w:shd w:val="clear" w:color="000000" w:fill="F2F2F2"/>
            <w:noWrap/>
            <w:vAlign w:val="center"/>
            <w:hideMark/>
          </w:tcPr>
          <w:p w14:paraId="5EBF15F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18%</w:t>
            </w:r>
          </w:p>
        </w:tc>
        <w:tc>
          <w:tcPr>
            <w:tcW w:w="1460" w:type="dxa"/>
            <w:tcBorders>
              <w:top w:val="nil"/>
              <w:left w:val="nil"/>
              <w:bottom w:val="nil"/>
              <w:right w:val="single" w:sz="4" w:space="0" w:color="auto"/>
            </w:tcBorders>
            <w:shd w:val="clear" w:color="000000" w:fill="F2F2F2"/>
            <w:noWrap/>
            <w:vAlign w:val="center"/>
            <w:hideMark/>
          </w:tcPr>
          <w:p w14:paraId="63B9DE9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33%</w:t>
            </w:r>
          </w:p>
        </w:tc>
        <w:tc>
          <w:tcPr>
            <w:tcW w:w="1580" w:type="dxa"/>
            <w:tcBorders>
              <w:top w:val="nil"/>
              <w:left w:val="nil"/>
              <w:bottom w:val="nil"/>
              <w:right w:val="single" w:sz="4" w:space="0" w:color="auto"/>
            </w:tcBorders>
            <w:shd w:val="clear" w:color="000000" w:fill="F2F2F2"/>
            <w:noWrap/>
            <w:vAlign w:val="center"/>
            <w:hideMark/>
          </w:tcPr>
          <w:p w14:paraId="6C9D6CD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25</w:t>
            </w:r>
          </w:p>
        </w:tc>
      </w:tr>
      <w:tr w:rsidR="008062BD" w:rsidRPr="008062BD" w14:paraId="188E7111"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2498E3B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2018-08-27</w:t>
            </w:r>
          </w:p>
        </w:tc>
        <w:tc>
          <w:tcPr>
            <w:tcW w:w="1460" w:type="dxa"/>
            <w:tcBorders>
              <w:top w:val="nil"/>
              <w:left w:val="nil"/>
              <w:bottom w:val="nil"/>
              <w:right w:val="single" w:sz="4" w:space="0" w:color="auto"/>
            </w:tcBorders>
            <w:shd w:val="clear" w:color="000000" w:fill="FFFFFF"/>
            <w:noWrap/>
            <w:vAlign w:val="center"/>
            <w:hideMark/>
          </w:tcPr>
          <w:p w14:paraId="1863FCE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0.31</w:t>
            </w:r>
          </w:p>
        </w:tc>
        <w:tc>
          <w:tcPr>
            <w:tcW w:w="1460" w:type="dxa"/>
            <w:tcBorders>
              <w:top w:val="nil"/>
              <w:left w:val="nil"/>
              <w:bottom w:val="nil"/>
              <w:right w:val="single" w:sz="4" w:space="0" w:color="auto"/>
            </w:tcBorders>
            <w:shd w:val="clear" w:color="000000" w:fill="FFFFFF"/>
            <w:noWrap/>
            <w:vAlign w:val="center"/>
            <w:hideMark/>
          </w:tcPr>
          <w:p w14:paraId="4EEA1092"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nil"/>
              <w:right w:val="single" w:sz="4" w:space="0" w:color="auto"/>
            </w:tcBorders>
            <w:shd w:val="clear" w:color="000000" w:fill="FFFFFF"/>
            <w:noWrap/>
            <w:vAlign w:val="center"/>
            <w:hideMark/>
          </w:tcPr>
          <w:p w14:paraId="048A850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38%</w:t>
            </w:r>
          </w:p>
        </w:tc>
        <w:tc>
          <w:tcPr>
            <w:tcW w:w="1580" w:type="dxa"/>
            <w:tcBorders>
              <w:top w:val="nil"/>
              <w:left w:val="nil"/>
              <w:bottom w:val="nil"/>
              <w:right w:val="single" w:sz="4" w:space="0" w:color="auto"/>
            </w:tcBorders>
            <w:shd w:val="clear" w:color="000000" w:fill="FFFFFF"/>
            <w:noWrap/>
            <w:vAlign w:val="center"/>
            <w:hideMark/>
          </w:tcPr>
          <w:p w14:paraId="511E757F"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29</w:t>
            </w:r>
          </w:p>
        </w:tc>
      </w:tr>
      <w:tr w:rsidR="008062BD" w:rsidRPr="008062BD" w14:paraId="4944EFB3" w14:textId="77777777" w:rsidTr="008062BD">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B944A2E"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2018-09-05</w:t>
            </w:r>
          </w:p>
        </w:tc>
        <w:tc>
          <w:tcPr>
            <w:tcW w:w="1460" w:type="dxa"/>
            <w:tcBorders>
              <w:top w:val="nil"/>
              <w:left w:val="nil"/>
              <w:bottom w:val="nil"/>
              <w:right w:val="single" w:sz="4" w:space="0" w:color="auto"/>
            </w:tcBorders>
            <w:shd w:val="clear" w:color="000000" w:fill="F2F2F2"/>
            <w:noWrap/>
            <w:vAlign w:val="center"/>
            <w:hideMark/>
          </w:tcPr>
          <w:p w14:paraId="72EE989B"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0.32</w:t>
            </w:r>
          </w:p>
        </w:tc>
        <w:tc>
          <w:tcPr>
            <w:tcW w:w="1460" w:type="dxa"/>
            <w:tcBorders>
              <w:top w:val="nil"/>
              <w:left w:val="nil"/>
              <w:bottom w:val="nil"/>
              <w:right w:val="single" w:sz="4" w:space="0" w:color="auto"/>
            </w:tcBorders>
            <w:shd w:val="clear" w:color="000000" w:fill="F2F2F2"/>
            <w:noWrap/>
            <w:vAlign w:val="center"/>
            <w:hideMark/>
          </w:tcPr>
          <w:p w14:paraId="4661609A"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13%</w:t>
            </w:r>
          </w:p>
        </w:tc>
        <w:tc>
          <w:tcPr>
            <w:tcW w:w="1460" w:type="dxa"/>
            <w:tcBorders>
              <w:top w:val="nil"/>
              <w:left w:val="nil"/>
              <w:bottom w:val="nil"/>
              <w:right w:val="single" w:sz="4" w:space="0" w:color="auto"/>
            </w:tcBorders>
            <w:shd w:val="clear" w:color="000000" w:fill="F2F2F2"/>
            <w:noWrap/>
            <w:vAlign w:val="center"/>
            <w:hideMark/>
          </w:tcPr>
          <w:p w14:paraId="20C3DC2C" w14:textId="77777777" w:rsidR="008062BD" w:rsidRPr="008062BD" w:rsidRDefault="008062BD" w:rsidP="008062BD">
            <w:pPr>
              <w:keepNext/>
              <w:spacing w:line="240" w:lineRule="auto"/>
              <w:jc w:val="center"/>
              <w:rPr>
                <w:rFonts w:cs="Arial"/>
                <w:sz w:val="16"/>
                <w:szCs w:val="16"/>
              </w:rPr>
            </w:pPr>
            <w:r w:rsidRPr="008062BD">
              <w:rPr>
                <w:rFonts w:cs="Arial"/>
                <w:sz w:val="16"/>
                <w:szCs w:val="16"/>
              </w:rPr>
              <w:t>40%</w:t>
            </w:r>
          </w:p>
        </w:tc>
        <w:tc>
          <w:tcPr>
            <w:tcW w:w="1580" w:type="dxa"/>
            <w:tcBorders>
              <w:top w:val="nil"/>
              <w:left w:val="nil"/>
              <w:bottom w:val="nil"/>
              <w:right w:val="single" w:sz="4" w:space="0" w:color="auto"/>
            </w:tcBorders>
            <w:shd w:val="clear" w:color="000000" w:fill="F2F2F2"/>
            <w:noWrap/>
            <w:vAlign w:val="center"/>
            <w:hideMark/>
          </w:tcPr>
          <w:p w14:paraId="14E250D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29</w:t>
            </w:r>
          </w:p>
        </w:tc>
      </w:tr>
      <w:tr w:rsidR="008062BD" w:rsidRPr="008062BD" w14:paraId="69AA7138" w14:textId="77777777" w:rsidTr="008062BD">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4AC6F74"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2018-09-06</w:t>
            </w:r>
          </w:p>
        </w:tc>
        <w:tc>
          <w:tcPr>
            <w:tcW w:w="1460" w:type="dxa"/>
            <w:tcBorders>
              <w:top w:val="nil"/>
              <w:left w:val="nil"/>
              <w:bottom w:val="nil"/>
              <w:right w:val="single" w:sz="4" w:space="0" w:color="auto"/>
            </w:tcBorders>
            <w:shd w:val="clear" w:color="000000" w:fill="FFFFFF"/>
            <w:noWrap/>
            <w:vAlign w:val="center"/>
            <w:hideMark/>
          </w:tcPr>
          <w:p w14:paraId="163CB5A5"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0.25</w:t>
            </w:r>
          </w:p>
        </w:tc>
        <w:tc>
          <w:tcPr>
            <w:tcW w:w="1460" w:type="dxa"/>
            <w:tcBorders>
              <w:top w:val="nil"/>
              <w:left w:val="nil"/>
              <w:bottom w:val="nil"/>
              <w:right w:val="single" w:sz="4" w:space="0" w:color="auto"/>
            </w:tcBorders>
            <w:shd w:val="clear" w:color="000000" w:fill="FFFFFF"/>
            <w:noWrap/>
            <w:vAlign w:val="center"/>
            <w:hideMark/>
          </w:tcPr>
          <w:p w14:paraId="32114233"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16%</w:t>
            </w:r>
          </w:p>
        </w:tc>
        <w:tc>
          <w:tcPr>
            <w:tcW w:w="1460" w:type="dxa"/>
            <w:tcBorders>
              <w:top w:val="nil"/>
              <w:left w:val="nil"/>
              <w:bottom w:val="nil"/>
              <w:right w:val="single" w:sz="4" w:space="0" w:color="auto"/>
            </w:tcBorders>
            <w:shd w:val="clear" w:color="000000" w:fill="FFFFFF"/>
            <w:noWrap/>
            <w:vAlign w:val="center"/>
            <w:hideMark/>
          </w:tcPr>
          <w:p w14:paraId="5B256E66" w14:textId="77777777" w:rsidR="008062BD" w:rsidRPr="008062BD" w:rsidRDefault="008062BD" w:rsidP="008062BD">
            <w:pPr>
              <w:keepNext/>
              <w:spacing w:line="240" w:lineRule="auto"/>
              <w:jc w:val="center"/>
              <w:rPr>
                <w:rFonts w:cs="Arial"/>
                <w:sz w:val="16"/>
                <w:szCs w:val="16"/>
              </w:rPr>
            </w:pPr>
            <w:r w:rsidRPr="008062BD">
              <w:rPr>
                <w:rFonts w:cs="Arial"/>
                <w:sz w:val="16"/>
                <w:szCs w:val="16"/>
              </w:rPr>
              <w:t>44%</w:t>
            </w:r>
          </w:p>
        </w:tc>
        <w:tc>
          <w:tcPr>
            <w:tcW w:w="1580" w:type="dxa"/>
            <w:tcBorders>
              <w:top w:val="nil"/>
              <w:left w:val="nil"/>
              <w:bottom w:val="nil"/>
              <w:right w:val="single" w:sz="4" w:space="0" w:color="auto"/>
            </w:tcBorders>
            <w:shd w:val="clear" w:color="000000" w:fill="FFFFFF"/>
            <w:noWrap/>
            <w:vAlign w:val="center"/>
            <w:hideMark/>
          </w:tcPr>
          <w:p w14:paraId="46093105"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21</w:t>
            </w:r>
          </w:p>
        </w:tc>
      </w:tr>
      <w:tr w:rsidR="008062BD" w:rsidRPr="008062BD" w14:paraId="7095646D" w14:textId="77777777" w:rsidTr="008062BD">
        <w:trPr>
          <w:trHeight w:val="200"/>
          <w:jc w:val="center"/>
        </w:trPr>
        <w:tc>
          <w:tcPr>
            <w:tcW w:w="1560" w:type="dxa"/>
            <w:tcBorders>
              <w:top w:val="nil"/>
              <w:left w:val="single" w:sz="4" w:space="0" w:color="auto"/>
              <w:bottom w:val="single" w:sz="4" w:space="0" w:color="auto"/>
              <w:right w:val="single" w:sz="4" w:space="0" w:color="auto"/>
            </w:tcBorders>
            <w:shd w:val="clear" w:color="000000" w:fill="F2F2F2"/>
            <w:noWrap/>
            <w:vAlign w:val="center"/>
            <w:hideMark/>
          </w:tcPr>
          <w:p w14:paraId="4AC65A7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2018-09-17</w:t>
            </w:r>
          </w:p>
        </w:tc>
        <w:tc>
          <w:tcPr>
            <w:tcW w:w="1460" w:type="dxa"/>
            <w:tcBorders>
              <w:top w:val="nil"/>
              <w:left w:val="nil"/>
              <w:bottom w:val="single" w:sz="4" w:space="0" w:color="auto"/>
              <w:right w:val="single" w:sz="4" w:space="0" w:color="auto"/>
            </w:tcBorders>
            <w:shd w:val="clear" w:color="000000" w:fill="F2F2F2"/>
            <w:noWrap/>
            <w:vAlign w:val="center"/>
            <w:hideMark/>
          </w:tcPr>
          <w:p w14:paraId="3689815D" w14:textId="77777777" w:rsidR="008062BD" w:rsidRPr="008062BD" w:rsidRDefault="008062BD" w:rsidP="008062BD">
            <w:pPr>
              <w:keepNext/>
              <w:spacing w:line="240" w:lineRule="auto"/>
              <w:jc w:val="center"/>
              <w:rPr>
                <w:rFonts w:cs="Arial"/>
                <w:sz w:val="16"/>
                <w:szCs w:val="16"/>
              </w:rPr>
            </w:pPr>
            <w:r w:rsidRPr="008062BD">
              <w:rPr>
                <w:rFonts w:cs="Arial"/>
                <w:sz w:val="16"/>
                <w:szCs w:val="16"/>
              </w:rPr>
              <w:t>0.27</w:t>
            </w:r>
          </w:p>
        </w:tc>
        <w:tc>
          <w:tcPr>
            <w:tcW w:w="1460" w:type="dxa"/>
            <w:tcBorders>
              <w:top w:val="nil"/>
              <w:left w:val="nil"/>
              <w:bottom w:val="single" w:sz="4" w:space="0" w:color="auto"/>
              <w:right w:val="single" w:sz="4" w:space="0" w:color="auto"/>
            </w:tcBorders>
            <w:shd w:val="clear" w:color="000000" w:fill="F2F2F2"/>
            <w:noWrap/>
            <w:vAlign w:val="center"/>
            <w:hideMark/>
          </w:tcPr>
          <w:p w14:paraId="5434A978" w14:textId="77777777" w:rsidR="008062BD" w:rsidRPr="008062BD" w:rsidRDefault="008062BD" w:rsidP="008062BD">
            <w:pPr>
              <w:keepNext/>
              <w:spacing w:line="240" w:lineRule="auto"/>
              <w:jc w:val="center"/>
              <w:rPr>
                <w:rFonts w:cs="Arial"/>
                <w:sz w:val="16"/>
                <w:szCs w:val="16"/>
              </w:rPr>
            </w:pPr>
            <w:r w:rsidRPr="008062BD">
              <w:rPr>
                <w:rFonts w:cs="Arial"/>
                <w:sz w:val="16"/>
                <w:szCs w:val="16"/>
              </w:rPr>
              <w:t>15%</w:t>
            </w:r>
          </w:p>
        </w:tc>
        <w:tc>
          <w:tcPr>
            <w:tcW w:w="1460" w:type="dxa"/>
            <w:tcBorders>
              <w:top w:val="nil"/>
              <w:left w:val="nil"/>
              <w:bottom w:val="single" w:sz="4" w:space="0" w:color="auto"/>
              <w:right w:val="single" w:sz="4" w:space="0" w:color="auto"/>
            </w:tcBorders>
            <w:shd w:val="clear" w:color="000000" w:fill="F2F2F2"/>
            <w:noWrap/>
            <w:vAlign w:val="center"/>
            <w:hideMark/>
          </w:tcPr>
          <w:p w14:paraId="035654E3" w14:textId="77777777" w:rsidR="008062BD" w:rsidRPr="008062BD" w:rsidRDefault="008062BD" w:rsidP="008062BD">
            <w:pPr>
              <w:keepNext/>
              <w:spacing w:line="240" w:lineRule="auto"/>
              <w:jc w:val="center"/>
              <w:rPr>
                <w:rFonts w:cs="Arial"/>
                <w:sz w:val="16"/>
                <w:szCs w:val="16"/>
              </w:rPr>
            </w:pPr>
            <w:r w:rsidRPr="008062BD">
              <w:rPr>
                <w:rFonts w:cs="Arial"/>
                <w:sz w:val="16"/>
                <w:szCs w:val="16"/>
              </w:rPr>
              <w:t>34%</w:t>
            </w:r>
          </w:p>
        </w:tc>
        <w:tc>
          <w:tcPr>
            <w:tcW w:w="1580" w:type="dxa"/>
            <w:tcBorders>
              <w:top w:val="nil"/>
              <w:left w:val="nil"/>
              <w:bottom w:val="single" w:sz="4" w:space="0" w:color="auto"/>
              <w:right w:val="single" w:sz="4" w:space="0" w:color="auto"/>
            </w:tcBorders>
            <w:shd w:val="clear" w:color="000000" w:fill="F2F2F2"/>
            <w:noWrap/>
            <w:vAlign w:val="center"/>
            <w:hideMark/>
          </w:tcPr>
          <w:p w14:paraId="22033859" w14:textId="77777777" w:rsidR="008062BD" w:rsidRPr="008062BD" w:rsidRDefault="008062BD" w:rsidP="008062BD">
            <w:pPr>
              <w:keepNext/>
              <w:spacing w:line="240" w:lineRule="auto"/>
              <w:jc w:val="center"/>
              <w:rPr>
                <w:rFonts w:cs="Arial"/>
                <w:sz w:val="16"/>
                <w:szCs w:val="16"/>
              </w:rPr>
            </w:pPr>
            <w:r w:rsidRPr="008062BD">
              <w:rPr>
                <w:rFonts w:cs="Arial"/>
                <w:sz w:val="16"/>
                <w:szCs w:val="16"/>
              </w:rPr>
              <w:t>24</w:t>
            </w:r>
          </w:p>
        </w:tc>
      </w:tr>
      <w:tr w:rsidR="008062BD" w:rsidRPr="008062BD" w14:paraId="28E3F93B" w14:textId="77777777" w:rsidTr="008062BD">
        <w:trPr>
          <w:trHeight w:val="420"/>
          <w:jc w:val="center"/>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E3AAF59" w14:textId="77777777" w:rsidR="008062BD" w:rsidRPr="008062BD" w:rsidRDefault="008062BD" w:rsidP="008062BD">
            <w:pPr>
              <w:keepNext/>
              <w:spacing w:line="240" w:lineRule="auto"/>
              <w:jc w:val="center"/>
              <w:rPr>
                <w:rFonts w:cs="Arial"/>
                <w:b/>
                <w:bCs/>
                <w:sz w:val="16"/>
                <w:szCs w:val="16"/>
              </w:rPr>
            </w:pPr>
            <w:r w:rsidRPr="008062BD">
              <w:rPr>
                <w:rFonts w:cs="Arial"/>
                <w:b/>
                <w:bCs/>
                <w:sz w:val="16"/>
                <w:szCs w:val="16"/>
              </w:rPr>
              <w:t>Average Across Events</w:t>
            </w:r>
          </w:p>
        </w:tc>
        <w:tc>
          <w:tcPr>
            <w:tcW w:w="1460" w:type="dxa"/>
            <w:tcBorders>
              <w:top w:val="nil"/>
              <w:left w:val="nil"/>
              <w:bottom w:val="single" w:sz="4" w:space="0" w:color="auto"/>
              <w:right w:val="single" w:sz="4" w:space="0" w:color="auto"/>
            </w:tcBorders>
            <w:shd w:val="clear" w:color="000000" w:fill="FFFFFF"/>
            <w:noWrap/>
            <w:vAlign w:val="center"/>
            <w:hideMark/>
          </w:tcPr>
          <w:p w14:paraId="1C65A5A7" w14:textId="77777777" w:rsidR="008062BD" w:rsidRPr="008062BD" w:rsidRDefault="008062BD" w:rsidP="008062BD">
            <w:pPr>
              <w:keepNext/>
              <w:spacing w:line="240" w:lineRule="auto"/>
              <w:jc w:val="center"/>
              <w:rPr>
                <w:rFonts w:cs="Arial"/>
                <w:b/>
                <w:bCs/>
                <w:sz w:val="16"/>
                <w:szCs w:val="16"/>
              </w:rPr>
            </w:pPr>
            <w:r w:rsidRPr="008062BD">
              <w:rPr>
                <w:rFonts w:cs="Arial"/>
                <w:b/>
                <w:bCs/>
                <w:sz w:val="16"/>
                <w:szCs w:val="16"/>
              </w:rPr>
              <w:t>0.30</w:t>
            </w:r>
          </w:p>
        </w:tc>
        <w:tc>
          <w:tcPr>
            <w:tcW w:w="1460" w:type="dxa"/>
            <w:tcBorders>
              <w:top w:val="nil"/>
              <w:left w:val="nil"/>
              <w:bottom w:val="single" w:sz="4" w:space="0" w:color="auto"/>
              <w:right w:val="single" w:sz="4" w:space="0" w:color="auto"/>
            </w:tcBorders>
            <w:shd w:val="clear" w:color="000000" w:fill="FFFFFF"/>
            <w:noWrap/>
            <w:vAlign w:val="center"/>
            <w:hideMark/>
          </w:tcPr>
          <w:p w14:paraId="0290B39D" w14:textId="77777777" w:rsidR="008062BD" w:rsidRPr="008062BD" w:rsidRDefault="008062BD" w:rsidP="008062BD">
            <w:pPr>
              <w:keepNext/>
              <w:spacing w:line="240" w:lineRule="auto"/>
              <w:jc w:val="center"/>
              <w:rPr>
                <w:rFonts w:cs="Arial"/>
                <w:b/>
                <w:bCs/>
                <w:sz w:val="16"/>
                <w:szCs w:val="16"/>
              </w:rPr>
            </w:pPr>
            <w:r w:rsidRPr="008062BD">
              <w:rPr>
                <w:rFonts w:cs="Arial"/>
                <w:b/>
                <w:bCs/>
                <w:sz w:val="16"/>
                <w:szCs w:val="16"/>
              </w:rPr>
              <w:t>15%</w:t>
            </w:r>
          </w:p>
        </w:tc>
        <w:tc>
          <w:tcPr>
            <w:tcW w:w="1460" w:type="dxa"/>
            <w:tcBorders>
              <w:top w:val="nil"/>
              <w:left w:val="nil"/>
              <w:bottom w:val="single" w:sz="4" w:space="0" w:color="auto"/>
              <w:right w:val="single" w:sz="4" w:space="0" w:color="auto"/>
            </w:tcBorders>
            <w:shd w:val="clear" w:color="000000" w:fill="FFFFFF"/>
            <w:noWrap/>
            <w:vAlign w:val="center"/>
            <w:hideMark/>
          </w:tcPr>
          <w:p w14:paraId="04474D81" w14:textId="77777777" w:rsidR="008062BD" w:rsidRPr="008062BD" w:rsidRDefault="008062BD" w:rsidP="008062BD">
            <w:pPr>
              <w:keepNext/>
              <w:spacing w:line="240" w:lineRule="auto"/>
              <w:jc w:val="center"/>
              <w:rPr>
                <w:rFonts w:cs="Arial"/>
                <w:b/>
                <w:bCs/>
                <w:sz w:val="16"/>
                <w:szCs w:val="16"/>
              </w:rPr>
            </w:pPr>
            <w:r w:rsidRPr="008062BD">
              <w:rPr>
                <w:rFonts w:cs="Arial"/>
                <w:b/>
                <w:bCs/>
                <w:sz w:val="16"/>
                <w:szCs w:val="16"/>
              </w:rPr>
              <w:t>32%</w:t>
            </w:r>
          </w:p>
        </w:tc>
        <w:tc>
          <w:tcPr>
            <w:tcW w:w="1580" w:type="dxa"/>
            <w:tcBorders>
              <w:top w:val="nil"/>
              <w:left w:val="nil"/>
              <w:bottom w:val="single" w:sz="4" w:space="0" w:color="auto"/>
              <w:right w:val="single" w:sz="4" w:space="0" w:color="auto"/>
            </w:tcBorders>
            <w:shd w:val="clear" w:color="000000" w:fill="FFFFFF"/>
            <w:noWrap/>
            <w:vAlign w:val="center"/>
            <w:hideMark/>
          </w:tcPr>
          <w:p w14:paraId="3E74FB93" w14:textId="77777777" w:rsidR="008062BD" w:rsidRPr="008062BD" w:rsidRDefault="008062BD" w:rsidP="008062BD">
            <w:pPr>
              <w:keepNext/>
              <w:spacing w:line="240" w:lineRule="auto"/>
              <w:jc w:val="center"/>
              <w:rPr>
                <w:rFonts w:cs="Arial"/>
                <w:b/>
                <w:bCs/>
                <w:sz w:val="16"/>
                <w:szCs w:val="16"/>
              </w:rPr>
            </w:pPr>
            <w:r w:rsidRPr="008062BD">
              <w:rPr>
                <w:rFonts w:cs="Arial"/>
                <w:b/>
                <w:bCs/>
                <w:sz w:val="16"/>
                <w:szCs w:val="16"/>
              </w:rPr>
              <w:t>26</w:t>
            </w:r>
          </w:p>
        </w:tc>
      </w:tr>
    </w:tbl>
    <w:p w14:paraId="761B20AF" w14:textId="77777777" w:rsidR="008062BD" w:rsidRDefault="008062BD" w:rsidP="00500D7A"/>
    <w:p w14:paraId="6A286208" w14:textId="783510AE" w:rsidR="008062BD" w:rsidRDefault="009F02CE" w:rsidP="00500D7A">
      <w:r>
        <w:t xml:space="preserve">The results above are the total program impact. These include both the general reduction in energy consumption motivated by the participant’s understanding that he or she could – at a moment’s notice – become exposed to very high critical peak prices. As such, it is conceivable this element of response could be the entirety of demand response – i.e., that no incremental demand response is motivated when CPP event notification is received by the participant. Intriguingly, the model estimated parameters </w:t>
      </w:r>
      <w:r>
        <w:lastRenderedPageBreak/>
        <w:t xml:space="preserve">suggest that approximately two thirds of the total program effect for disconnected customers is the “DR only” effect, see </w:t>
      </w:r>
      <w:r>
        <w:fldChar w:fldCharType="begin"/>
      </w:r>
      <w:r>
        <w:instrText xml:space="preserve"> REF _Ref1490609 \h </w:instrText>
      </w:r>
      <w:r>
        <w:fldChar w:fldCharType="separate"/>
      </w:r>
      <w:r w:rsidR="00413291">
        <w:t xml:space="preserve">Figure </w:t>
      </w:r>
      <w:r w:rsidR="00413291">
        <w:rPr>
          <w:noProof/>
        </w:rPr>
        <w:t>29</w:t>
      </w:r>
      <w:r>
        <w:fldChar w:fldCharType="end"/>
      </w:r>
      <w:r>
        <w:t>, below.</w:t>
      </w:r>
    </w:p>
    <w:p w14:paraId="467736E7" w14:textId="7A6868B2" w:rsidR="009F02CE" w:rsidRDefault="009F02CE" w:rsidP="00500D7A"/>
    <w:p w14:paraId="51DD5690" w14:textId="1101B21A" w:rsidR="009F02CE" w:rsidRDefault="009F02CE" w:rsidP="009F02CE">
      <w:pPr>
        <w:pStyle w:val="Caption"/>
      </w:pPr>
      <w:bookmarkStart w:id="108" w:name="_Ref1490609"/>
      <w:bookmarkStart w:id="109" w:name="_Toc8393637"/>
      <w:r>
        <w:t xml:space="preserve">Figure </w:t>
      </w:r>
      <w:fldSimple w:instr=" SEQ Figure \* ARABIC ">
        <w:r w:rsidR="00413291">
          <w:rPr>
            <w:noProof/>
          </w:rPr>
          <w:t>29</w:t>
        </w:r>
      </w:fldSimple>
      <w:bookmarkEnd w:id="108"/>
      <w:r>
        <w:t>: DR Component of CPP Event Impacts, 0% Connectivity</w:t>
      </w:r>
      <w:bookmarkEnd w:id="109"/>
    </w:p>
    <w:tbl>
      <w:tblPr>
        <w:tblW w:w="7400" w:type="dxa"/>
        <w:jc w:val="center"/>
        <w:tblLook w:val="04A0" w:firstRow="1" w:lastRow="0" w:firstColumn="1" w:lastColumn="0" w:noHBand="0" w:noVBand="1"/>
      </w:tblPr>
      <w:tblGrid>
        <w:gridCol w:w="1560"/>
        <w:gridCol w:w="1460"/>
        <w:gridCol w:w="1460"/>
        <w:gridCol w:w="1460"/>
        <w:gridCol w:w="1460"/>
      </w:tblGrid>
      <w:tr w:rsidR="009F02CE" w:rsidRPr="009F02CE" w14:paraId="2A89F8ED" w14:textId="77777777" w:rsidTr="009F02CE">
        <w:trPr>
          <w:trHeight w:val="200"/>
          <w:jc w:val="center"/>
        </w:trPr>
        <w:tc>
          <w:tcPr>
            <w:tcW w:w="15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48D90CF4" w14:textId="77777777"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Event Date</w:t>
            </w:r>
          </w:p>
        </w:tc>
        <w:tc>
          <w:tcPr>
            <w:tcW w:w="2920" w:type="dxa"/>
            <w:gridSpan w:val="2"/>
            <w:tcBorders>
              <w:top w:val="single" w:sz="4" w:space="0" w:color="auto"/>
              <w:left w:val="single" w:sz="4" w:space="0" w:color="auto"/>
              <w:bottom w:val="nil"/>
              <w:right w:val="single" w:sz="4" w:space="0" w:color="000000"/>
            </w:tcBorders>
            <w:shd w:val="clear" w:color="000000" w:fill="555759"/>
            <w:noWrap/>
            <w:vAlign w:val="bottom"/>
            <w:hideMark/>
          </w:tcPr>
          <w:p w14:paraId="49D2DA09" w14:textId="77777777"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DR Impact (kW)</w:t>
            </w:r>
          </w:p>
        </w:tc>
        <w:tc>
          <w:tcPr>
            <w:tcW w:w="1460" w:type="dxa"/>
            <w:vMerge w:val="restart"/>
            <w:tcBorders>
              <w:top w:val="single" w:sz="4" w:space="0" w:color="auto"/>
              <w:left w:val="single" w:sz="4" w:space="0" w:color="auto"/>
              <w:bottom w:val="single" w:sz="4" w:space="0" w:color="000000"/>
              <w:right w:val="nil"/>
            </w:tcBorders>
            <w:shd w:val="clear" w:color="000000" w:fill="555759"/>
            <w:vAlign w:val="center"/>
            <w:hideMark/>
          </w:tcPr>
          <w:p w14:paraId="39036C9A" w14:textId="77777777"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Relative Precision +/-% (90% Confidence)</w:t>
            </w:r>
          </w:p>
        </w:tc>
        <w:tc>
          <w:tcPr>
            <w:tcW w:w="1460" w:type="dxa"/>
            <w:vMerge w:val="restart"/>
            <w:tcBorders>
              <w:top w:val="single" w:sz="4" w:space="0" w:color="auto"/>
              <w:left w:val="nil"/>
              <w:bottom w:val="single" w:sz="4" w:space="0" w:color="000000"/>
              <w:right w:val="single" w:sz="4" w:space="0" w:color="auto"/>
            </w:tcBorders>
            <w:shd w:val="clear" w:color="000000" w:fill="555759"/>
            <w:vAlign w:val="center"/>
            <w:hideMark/>
          </w:tcPr>
          <w:p w14:paraId="536A27E9" w14:textId="12AFB8FB"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Temperature (</w:t>
            </w:r>
            <w:r w:rsidRPr="009F02CE">
              <w:rPr>
                <w:rFonts w:cs="Arial"/>
                <w:color w:val="FFFFFF"/>
                <w:sz w:val="16"/>
                <w:szCs w:val="16"/>
                <w:vertAlign w:val="superscript"/>
              </w:rPr>
              <w:t>o</w:t>
            </w:r>
            <w:r w:rsidRPr="009F02CE">
              <w:rPr>
                <w:rFonts w:cs="Arial"/>
                <w:color w:val="FFFFFF"/>
                <w:sz w:val="16"/>
                <w:szCs w:val="16"/>
              </w:rPr>
              <w:t>C)</w:t>
            </w:r>
          </w:p>
        </w:tc>
      </w:tr>
      <w:tr w:rsidR="009F02CE" w:rsidRPr="009F02CE" w14:paraId="120F92C0" w14:textId="77777777" w:rsidTr="009F02CE">
        <w:trPr>
          <w:trHeight w:val="200"/>
          <w:jc w:val="center"/>
        </w:trPr>
        <w:tc>
          <w:tcPr>
            <w:tcW w:w="1560" w:type="dxa"/>
            <w:vMerge/>
            <w:tcBorders>
              <w:top w:val="single" w:sz="4" w:space="0" w:color="auto"/>
              <w:left w:val="single" w:sz="4" w:space="0" w:color="auto"/>
              <w:bottom w:val="single" w:sz="4" w:space="0" w:color="000000"/>
              <w:right w:val="nil"/>
            </w:tcBorders>
            <w:vAlign w:val="center"/>
            <w:hideMark/>
          </w:tcPr>
          <w:p w14:paraId="0A1F696D" w14:textId="77777777" w:rsidR="009F02CE" w:rsidRPr="009F02CE" w:rsidRDefault="009F02CE" w:rsidP="009F02CE">
            <w:pPr>
              <w:keepNext/>
              <w:spacing w:line="240" w:lineRule="auto"/>
              <w:rPr>
                <w:rFonts w:cs="Arial"/>
                <w:color w:val="FFFFFF"/>
                <w:sz w:val="16"/>
                <w:szCs w:val="16"/>
              </w:rPr>
            </w:pPr>
          </w:p>
        </w:tc>
        <w:tc>
          <w:tcPr>
            <w:tcW w:w="1460" w:type="dxa"/>
            <w:tcBorders>
              <w:top w:val="nil"/>
              <w:left w:val="single" w:sz="4" w:space="0" w:color="auto"/>
              <w:bottom w:val="single" w:sz="4" w:space="0" w:color="auto"/>
              <w:right w:val="nil"/>
            </w:tcBorders>
            <w:shd w:val="clear" w:color="000000" w:fill="555759"/>
            <w:vAlign w:val="center"/>
            <w:hideMark/>
          </w:tcPr>
          <w:p w14:paraId="721C3F74" w14:textId="77777777"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kW</w:t>
            </w:r>
          </w:p>
        </w:tc>
        <w:tc>
          <w:tcPr>
            <w:tcW w:w="1460" w:type="dxa"/>
            <w:tcBorders>
              <w:top w:val="nil"/>
              <w:left w:val="nil"/>
              <w:bottom w:val="single" w:sz="4" w:space="0" w:color="auto"/>
              <w:right w:val="single" w:sz="4" w:space="0" w:color="auto"/>
            </w:tcBorders>
            <w:shd w:val="clear" w:color="000000" w:fill="555759"/>
            <w:vAlign w:val="center"/>
            <w:hideMark/>
          </w:tcPr>
          <w:p w14:paraId="40BB4292" w14:textId="77777777" w:rsidR="009F02CE" w:rsidRPr="009F02CE" w:rsidRDefault="009F02CE" w:rsidP="009F02CE">
            <w:pPr>
              <w:keepNext/>
              <w:spacing w:line="240" w:lineRule="auto"/>
              <w:jc w:val="center"/>
              <w:rPr>
                <w:rFonts w:cs="Arial"/>
                <w:color w:val="FFFFFF"/>
                <w:sz w:val="16"/>
                <w:szCs w:val="16"/>
              </w:rPr>
            </w:pPr>
            <w:r w:rsidRPr="009F02CE">
              <w:rPr>
                <w:rFonts w:cs="Arial"/>
                <w:color w:val="FFFFFF"/>
                <w:sz w:val="16"/>
                <w:szCs w:val="16"/>
              </w:rPr>
              <w:t>%</w:t>
            </w:r>
          </w:p>
        </w:tc>
        <w:tc>
          <w:tcPr>
            <w:tcW w:w="1460" w:type="dxa"/>
            <w:vMerge/>
            <w:tcBorders>
              <w:top w:val="single" w:sz="4" w:space="0" w:color="auto"/>
              <w:left w:val="single" w:sz="4" w:space="0" w:color="auto"/>
              <w:bottom w:val="single" w:sz="4" w:space="0" w:color="000000"/>
              <w:right w:val="nil"/>
            </w:tcBorders>
            <w:vAlign w:val="center"/>
            <w:hideMark/>
          </w:tcPr>
          <w:p w14:paraId="6AF5B793" w14:textId="77777777" w:rsidR="009F02CE" w:rsidRPr="009F02CE" w:rsidRDefault="009F02CE" w:rsidP="009F02CE">
            <w:pPr>
              <w:keepNext/>
              <w:spacing w:line="240" w:lineRule="auto"/>
              <w:rPr>
                <w:rFonts w:cs="Arial"/>
                <w:color w:val="FFFFFF"/>
                <w:sz w:val="16"/>
                <w:szCs w:val="16"/>
              </w:rPr>
            </w:pPr>
          </w:p>
        </w:tc>
        <w:tc>
          <w:tcPr>
            <w:tcW w:w="1460" w:type="dxa"/>
            <w:vMerge/>
            <w:tcBorders>
              <w:top w:val="single" w:sz="4" w:space="0" w:color="auto"/>
              <w:left w:val="nil"/>
              <w:bottom w:val="single" w:sz="4" w:space="0" w:color="000000"/>
              <w:right w:val="single" w:sz="4" w:space="0" w:color="auto"/>
            </w:tcBorders>
            <w:vAlign w:val="center"/>
            <w:hideMark/>
          </w:tcPr>
          <w:p w14:paraId="6F9068C0" w14:textId="77777777" w:rsidR="009F02CE" w:rsidRPr="009F02CE" w:rsidRDefault="009F02CE" w:rsidP="009F02CE">
            <w:pPr>
              <w:keepNext/>
              <w:spacing w:line="240" w:lineRule="auto"/>
              <w:rPr>
                <w:rFonts w:cs="Arial"/>
                <w:color w:val="FFFFFF"/>
                <w:sz w:val="16"/>
                <w:szCs w:val="16"/>
              </w:rPr>
            </w:pPr>
          </w:p>
        </w:tc>
      </w:tr>
      <w:tr w:rsidR="009F02CE" w:rsidRPr="009F02CE" w14:paraId="56A11245"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A7D931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2018-06-01</w:t>
            </w:r>
          </w:p>
        </w:tc>
        <w:tc>
          <w:tcPr>
            <w:tcW w:w="1460" w:type="dxa"/>
            <w:tcBorders>
              <w:top w:val="nil"/>
              <w:left w:val="nil"/>
              <w:bottom w:val="nil"/>
              <w:right w:val="single" w:sz="4" w:space="0" w:color="auto"/>
            </w:tcBorders>
            <w:shd w:val="clear" w:color="000000" w:fill="FFFFFF"/>
            <w:noWrap/>
            <w:vAlign w:val="center"/>
            <w:hideMark/>
          </w:tcPr>
          <w:p w14:paraId="3E817E5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nil"/>
              <w:right w:val="single" w:sz="4" w:space="0" w:color="auto"/>
            </w:tcBorders>
            <w:shd w:val="clear" w:color="000000" w:fill="FFFFFF"/>
            <w:noWrap/>
            <w:vAlign w:val="center"/>
            <w:hideMark/>
          </w:tcPr>
          <w:p w14:paraId="08D8186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11%</w:t>
            </w:r>
          </w:p>
        </w:tc>
        <w:tc>
          <w:tcPr>
            <w:tcW w:w="1460" w:type="dxa"/>
            <w:tcBorders>
              <w:top w:val="nil"/>
              <w:left w:val="nil"/>
              <w:bottom w:val="nil"/>
              <w:right w:val="single" w:sz="4" w:space="0" w:color="auto"/>
            </w:tcBorders>
            <w:shd w:val="clear" w:color="000000" w:fill="FFFFFF"/>
            <w:noWrap/>
            <w:vAlign w:val="center"/>
            <w:hideMark/>
          </w:tcPr>
          <w:p w14:paraId="652C4675"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37%</w:t>
            </w:r>
          </w:p>
        </w:tc>
        <w:tc>
          <w:tcPr>
            <w:tcW w:w="1460" w:type="dxa"/>
            <w:tcBorders>
              <w:top w:val="nil"/>
              <w:left w:val="nil"/>
              <w:bottom w:val="nil"/>
              <w:right w:val="single" w:sz="4" w:space="0" w:color="auto"/>
            </w:tcBorders>
            <w:shd w:val="clear" w:color="000000" w:fill="FFFFFF"/>
            <w:noWrap/>
            <w:vAlign w:val="center"/>
            <w:hideMark/>
          </w:tcPr>
          <w:p w14:paraId="6E97F50E"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24</w:t>
            </w:r>
          </w:p>
        </w:tc>
      </w:tr>
      <w:tr w:rsidR="009F02CE" w:rsidRPr="009F02CE" w14:paraId="3C49095A"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7C46C864"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2018-06-18</w:t>
            </w:r>
          </w:p>
        </w:tc>
        <w:tc>
          <w:tcPr>
            <w:tcW w:w="1460" w:type="dxa"/>
            <w:tcBorders>
              <w:top w:val="nil"/>
              <w:left w:val="nil"/>
              <w:bottom w:val="nil"/>
              <w:right w:val="single" w:sz="4" w:space="0" w:color="auto"/>
            </w:tcBorders>
            <w:shd w:val="clear" w:color="000000" w:fill="F2F2F2"/>
            <w:noWrap/>
            <w:vAlign w:val="center"/>
            <w:hideMark/>
          </w:tcPr>
          <w:p w14:paraId="428290AD"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0.21</w:t>
            </w:r>
          </w:p>
        </w:tc>
        <w:tc>
          <w:tcPr>
            <w:tcW w:w="1460" w:type="dxa"/>
            <w:tcBorders>
              <w:top w:val="nil"/>
              <w:left w:val="nil"/>
              <w:bottom w:val="nil"/>
              <w:right w:val="single" w:sz="4" w:space="0" w:color="auto"/>
            </w:tcBorders>
            <w:shd w:val="clear" w:color="000000" w:fill="F2F2F2"/>
            <w:noWrap/>
            <w:vAlign w:val="center"/>
            <w:hideMark/>
          </w:tcPr>
          <w:p w14:paraId="25F5098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11%</w:t>
            </w:r>
          </w:p>
        </w:tc>
        <w:tc>
          <w:tcPr>
            <w:tcW w:w="1460" w:type="dxa"/>
            <w:tcBorders>
              <w:top w:val="nil"/>
              <w:left w:val="nil"/>
              <w:bottom w:val="nil"/>
              <w:right w:val="single" w:sz="4" w:space="0" w:color="auto"/>
            </w:tcBorders>
            <w:shd w:val="clear" w:color="000000" w:fill="F2F2F2"/>
            <w:noWrap/>
            <w:vAlign w:val="center"/>
            <w:hideMark/>
          </w:tcPr>
          <w:p w14:paraId="447A465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38%</w:t>
            </w:r>
          </w:p>
        </w:tc>
        <w:tc>
          <w:tcPr>
            <w:tcW w:w="1460" w:type="dxa"/>
            <w:tcBorders>
              <w:top w:val="nil"/>
              <w:left w:val="nil"/>
              <w:bottom w:val="nil"/>
              <w:right w:val="single" w:sz="4" w:space="0" w:color="auto"/>
            </w:tcBorders>
            <w:shd w:val="clear" w:color="000000" w:fill="F2F2F2"/>
            <w:noWrap/>
            <w:vAlign w:val="center"/>
            <w:hideMark/>
          </w:tcPr>
          <w:p w14:paraId="21EA804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25</w:t>
            </w:r>
          </w:p>
        </w:tc>
      </w:tr>
      <w:tr w:rsidR="009F02CE" w:rsidRPr="009F02CE" w14:paraId="42B654F1"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58F8937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2018-06-29</w:t>
            </w:r>
          </w:p>
        </w:tc>
        <w:tc>
          <w:tcPr>
            <w:tcW w:w="1460" w:type="dxa"/>
            <w:tcBorders>
              <w:top w:val="nil"/>
              <w:left w:val="nil"/>
              <w:bottom w:val="nil"/>
              <w:right w:val="single" w:sz="4" w:space="0" w:color="auto"/>
            </w:tcBorders>
            <w:shd w:val="clear" w:color="000000" w:fill="FFFFFF"/>
            <w:noWrap/>
            <w:vAlign w:val="center"/>
            <w:hideMark/>
          </w:tcPr>
          <w:p w14:paraId="533D366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0.20</w:t>
            </w:r>
          </w:p>
        </w:tc>
        <w:tc>
          <w:tcPr>
            <w:tcW w:w="1460" w:type="dxa"/>
            <w:tcBorders>
              <w:top w:val="nil"/>
              <w:left w:val="nil"/>
              <w:bottom w:val="nil"/>
              <w:right w:val="single" w:sz="4" w:space="0" w:color="auto"/>
            </w:tcBorders>
            <w:shd w:val="clear" w:color="000000" w:fill="FFFFFF"/>
            <w:noWrap/>
            <w:vAlign w:val="center"/>
            <w:hideMark/>
          </w:tcPr>
          <w:p w14:paraId="6E5D243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9%</w:t>
            </w:r>
          </w:p>
        </w:tc>
        <w:tc>
          <w:tcPr>
            <w:tcW w:w="1460" w:type="dxa"/>
            <w:tcBorders>
              <w:top w:val="nil"/>
              <w:left w:val="nil"/>
              <w:bottom w:val="nil"/>
              <w:right w:val="single" w:sz="4" w:space="0" w:color="auto"/>
            </w:tcBorders>
            <w:shd w:val="clear" w:color="000000" w:fill="FFFFFF"/>
            <w:noWrap/>
            <w:vAlign w:val="center"/>
            <w:hideMark/>
          </w:tcPr>
          <w:p w14:paraId="06447762" w14:textId="77777777" w:rsidR="009F02CE" w:rsidRPr="009F02CE" w:rsidRDefault="009F02CE" w:rsidP="009F02CE">
            <w:pPr>
              <w:keepNext/>
              <w:spacing w:line="240" w:lineRule="auto"/>
              <w:jc w:val="center"/>
              <w:rPr>
                <w:rFonts w:cs="Arial"/>
                <w:sz w:val="16"/>
                <w:szCs w:val="16"/>
              </w:rPr>
            </w:pPr>
            <w:r w:rsidRPr="009F02CE">
              <w:rPr>
                <w:rFonts w:cs="Arial"/>
                <w:sz w:val="16"/>
                <w:szCs w:val="16"/>
              </w:rPr>
              <w:t>49%</w:t>
            </w:r>
          </w:p>
        </w:tc>
        <w:tc>
          <w:tcPr>
            <w:tcW w:w="1460" w:type="dxa"/>
            <w:tcBorders>
              <w:top w:val="nil"/>
              <w:left w:val="nil"/>
              <w:bottom w:val="nil"/>
              <w:right w:val="single" w:sz="4" w:space="0" w:color="auto"/>
            </w:tcBorders>
            <w:shd w:val="clear" w:color="000000" w:fill="FFFFFF"/>
            <w:noWrap/>
            <w:vAlign w:val="center"/>
            <w:hideMark/>
          </w:tcPr>
          <w:p w14:paraId="0BA48CB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28</w:t>
            </w:r>
          </w:p>
        </w:tc>
      </w:tr>
      <w:tr w:rsidR="009F02CE" w:rsidRPr="009F02CE" w14:paraId="53049AF6"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67E577F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2018-07-03</w:t>
            </w:r>
          </w:p>
        </w:tc>
        <w:tc>
          <w:tcPr>
            <w:tcW w:w="1460" w:type="dxa"/>
            <w:tcBorders>
              <w:top w:val="nil"/>
              <w:left w:val="nil"/>
              <w:bottom w:val="nil"/>
              <w:right w:val="single" w:sz="4" w:space="0" w:color="auto"/>
            </w:tcBorders>
            <w:shd w:val="clear" w:color="000000" w:fill="F2F2F2"/>
            <w:noWrap/>
            <w:vAlign w:val="center"/>
            <w:hideMark/>
          </w:tcPr>
          <w:p w14:paraId="693742F2"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0.19</w:t>
            </w:r>
          </w:p>
        </w:tc>
        <w:tc>
          <w:tcPr>
            <w:tcW w:w="1460" w:type="dxa"/>
            <w:tcBorders>
              <w:top w:val="nil"/>
              <w:left w:val="nil"/>
              <w:bottom w:val="nil"/>
              <w:right w:val="single" w:sz="4" w:space="0" w:color="auto"/>
            </w:tcBorders>
            <w:shd w:val="clear" w:color="000000" w:fill="F2F2F2"/>
            <w:noWrap/>
            <w:vAlign w:val="center"/>
            <w:hideMark/>
          </w:tcPr>
          <w:p w14:paraId="08103B6C" w14:textId="77777777" w:rsidR="009F02CE" w:rsidRPr="009F02CE" w:rsidRDefault="009F02CE" w:rsidP="009F02CE">
            <w:pPr>
              <w:keepNext/>
              <w:spacing w:line="240" w:lineRule="auto"/>
              <w:jc w:val="center"/>
              <w:rPr>
                <w:rFonts w:cs="Arial"/>
                <w:sz w:val="16"/>
                <w:szCs w:val="16"/>
              </w:rPr>
            </w:pPr>
            <w:r w:rsidRPr="009F02CE">
              <w:rPr>
                <w:rFonts w:cs="Arial"/>
                <w:sz w:val="16"/>
                <w:szCs w:val="16"/>
              </w:rPr>
              <w:t>9%</w:t>
            </w:r>
          </w:p>
        </w:tc>
        <w:tc>
          <w:tcPr>
            <w:tcW w:w="1460" w:type="dxa"/>
            <w:tcBorders>
              <w:top w:val="nil"/>
              <w:left w:val="nil"/>
              <w:bottom w:val="nil"/>
              <w:right w:val="single" w:sz="4" w:space="0" w:color="auto"/>
            </w:tcBorders>
            <w:shd w:val="clear" w:color="000000" w:fill="F2F2F2"/>
            <w:noWrap/>
            <w:vAlign w:val="center"/>
            <w:hideMark/>
          </w:tcPr>
          <w:p w14:paraId="71C45B39" w14:textId="77777777" w:rsidR="009F02CE" w:rsidRPr="009F02CE" w:rsidRDefault="009F02CE" w:rsidP="009F02CE">
            <w:pPr>
              <w:keepNext/>
              <w:spacing w:line="240" w:lineRule="auto"/>
              <w:jc w:val="center"/>
              <w:rPr>
                <w:rFonts w:cs="Arial"/>
                <w:sz w:val="16"/>
                <w:szCs w:val="16"/>
              </w:rPr>
            </w:pPr>
            <w:r w:rsidRPr="009F02CE">
              <w:rPr>
                <w:rFonts w:cs="Arial"/>
                <w:sz w:val="16"/>
                <w:szCs w:val="16"/>
              </w:rPr>
              <w:t>63%</w:t>
            </w:r>
          </w:p>
        </w:tc>
        <w:tc>
          <w:tcPr>
            <w:tcW w:w="1460" w:type="dxa"/>
            <w:tcBorders>
              <w:top w:val="nil"/>
              <w:left w:val="nil"/>
              <w:bottom w:val="nil"/>
              <w:right w:val="single" w:sz="4" w:space="0" w:color="auto"/>
            </w:tcBorders>
            <w:shd w:val="clear" w:color="000000" w:fill="F2F2F2"/>
            <w:noWrap/>
            <w:vAlign w:val="center"/>
            <w:hideMark/>
          </w:tcPr>
          <w:p w14:paraId="14EC945E"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30</w:t>
            </w:r>
          </w:p>
        </w:tc>
      </w:tr>
      <w:tr w:rsidR="009F02CE" w:rsidRPr="009F02CE" w14:paraId="2630C892"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2B9ADC6"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2018-07-04</w:t>
            </w:r>
          </w:p>
        </w:tc>
        <w:tc>
          <w:tcPr>
            <w:tcW w:w="1460" w:type="dxa"/>
            <w:tcBorders>
              <w:top w:val="nil"/>
              <w:left w:val="nil"/>
              <w:bottom w:val="nil"/>
              <w:right w:val="single" w:sz="4" w:space="0" w:color="auto"/>
            </w:tcBorders>
            <w:shd w:val="clear" w:color="000000" w:fill="FFFFFF"/>
            <w:noWrap/>
            <w:vAlign w:val="center"/>
            <w:hideMark/>
          </w:tcPr>
          <w:p w14:paraId="584C8009"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0.19</w:t>
            </w:r>
          </w:p>
        </w:tc>
        <w:tc>
          <w:tcPr>
            <w:tcW w:w="1460" w:type="dxa"/>
            <w:tcBorders>
              <w:top w:val="nil"/>
              <w:left w:val="nil"/>
              <w:bottom w:val="nil"/>
              <w:right w:val="single" w:sz="4" w:space="0" w:color="auto"/>
            </w:tcBorders>
            <w:shd w:val="clear" w:color="000000" w:fill="FFFFFF"/>
            <w:noWrap/>
            <w:vAlign w:val="center"/>
            <w:hideMark/>
          </w:tcPr>
          <w:p w14:paraId="09D8C3E5" w14:textId="77777777" w:rsidR="009F02CE" w:rsidRPr="009F02CE" w:rsidRDefault="009F02CE" w:rsidP="009F02CE">
            <w:pPr>
              <w:keepNext/>
              <w:spacing w:line="240" w:lineRule="auto"/>
              <w:jc w:val="center"/>
              <w:rPr>
                <w:rFonts w:cs="Arial"/>
                <w:sz w:val="16"/>
                <w:szCs w:val="16"/>
              </w:rPr>
            </w:pPr>
            <w:r w:rsidRPr="009F02CE">
              <w:rPr>
                <w:rFonts w:cs="Arial"/>
                <w:sz w:val="16"/>
                <w:szCs w:val="16"/>
              </w:rPr>
              <w:t>7%</w:t>
            </w:r>
          </w:p>
        </w:tc>
        <w:tc>
          <w:tcPr>
            <w:tcW w:w="1460" w:type="dxa"/>
            <w:tcBorders>
              <w:top w:val="nil"/>
              <w:left w:val="nil"/>
              <w:bottom w:val="nil"/>
              <w:right w:val="single" w:sz="4" w:space="0" w:color="auto"/>
            </w:tcBorders>
            <w:shd w:val="clear" w:color="000000" w:fill="FFFFFF"/>
            <w:noWrap/>
            <w:vAlign w:val="center"/>
            <w:hideMark/>
          </w:tcPr>
          <w:p w14:paraId="5BDFEDE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70%</w:t>
            </w:r>
          </w:p>
        </w:tc>
        <w:tc>
          <w:tcPr>
            <w:tcW w:w="1460" w:type="dxa"/>
            <w:tcBorders>
              <w:top w:val="nil"/>
              <w:left w:val="nil"/>
              <w:bottom w:val="nil"/>
              <w:right w:val="single" w:sz="4" w:space="0" w:color="auto"/>
            </w:tcBorders>
            <w:shd w:val="clear" w:color="000000" w:fill="FFFFFF"/>
            <w:noWrap/>
            <w:vAlign w:val="center"/>
            <w:hideMark/>
          </w:tcPr>
          <w:p w14:paraId="38B5815E"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31</w:t>
            </w:r>
          </w:p>
        </w:tc>
      </w:tr>
      <w:tr w:rsidR="009F02CE" w:rsidRPr="009F02CE" w14:paraId="4ACD53D7"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388B3F3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2018-07-05</w:t>
            </w:r>
          </w:p>
        </w:tc>
        <w:tc>
          <w:tcPr>
            <w:tcW w:w="1460" w:type="dxa"/>
            <w:tcBorders>
              <w:top w:val="nil"/>
              <w:left w:val="nil"/>
              <w:bottom w:val="nil"/>
              <w:right w:val="single" w:sz="4" w:space="0" w:color="auto"/>
            </w:tcBorders>
            <w:shd w:val="clear" w:color="000000" w:fill="F2F2F2"/>
            <w:noWrap/>
            <w:vAlign w:val="center"/>
            <w:hideMark/>
          </w:tcPr>
          <w:p w14:paraId="5104E0F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0.21</w:t>
            </w:r>
          </w:p>
        </w:tc>
        <w:tc>
          <w:tcPr>
            <w:tcW w:w="1460" w:type="dxa"/>
            <w:tcBorders>
              <w:top w:val="nil"/>
              <w:left w:val="nil"/>
              <w:bottom w:val="nil"/>
              <w:right w:val="single" w:sz="4" w:space="0" w:color="auto"/>
            </w:tcBorders>
            <w:shd w:val="clear" w:color="000000" w:fill="F2F2F2"/>
            <w:noWrap/>
            <w:vAlign w:val="center"/>
            <w:hideMark/>
          </w:tcPr>
          <w:p w14:paraId="43376894"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12%</w:t>
            </w:r>
          </w:p>
        </w:tc>
        <w:tc>
          <w:tcPr>
            <w:tcW w:w="1460" w:type="dxa"/>
            <w:tcBorders>
              <w:top w:val="nil"/>
              <w:left w:val="nil"/>
              <w:bottom w:val="nil"/>
              <w:right w:val="single" w:sz="4" w:space="0" w:color="auto"/>
            </w:tcBorders>
            <w:shd w:val="clear" w:color="000000" w:fill="F2F2F2"/>
            <w:noWrap/>
            <w:vAlign w:val="center"/>
            <w:hideMark/>
          </w:tcPr>
          <w:p w14:paraId="3FB3D17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38%</w:t>
            </w:r>
          </w:p>
        </w:tc>
        <w:tc>
          <w:tcPr>
            <w:tcW w:w="1460" w:type="dxa"/>
            <w:tcBorders>
              <w:top w:val="nil"/>
              <w:left w:val="nil"/>
              <w:bottom w:val="nil"/>
              <w:right w:val="single" w:sz="4" w:space="0" w:color="auto"/>
            </w:tcBorders>
            <w:shd w:val="clear" w:color="000000" w:fill="F2F2F2"/>
            <w:noWrap/>
            <w:vAlign w:val="center"/>
            <w:hideMark/>
          </w:tcPr>
          <w:p w14:paraId="70781BB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25</w:t>
            </w:r>
          </w:p>
        </w:tc>
      </w:tr>
      <w:tr w:rsidR="009F02CE" w:rsidRPr="009F02CE" w14:paraId="190D13AB"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21636D9"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2018-07-16</w:t>
            </w:r>
          </w:p>
        </w:tc>
        <w:tc>
          <w:tcPr>
            <w:tcW w:w="1460" w:type="dxa"/>
            <w:tcBorders>
              <w:top w:val="nil"/>
              <w:left w:val="nil"/>
              <w:bottom w:val="nil"/>
              <w:right w:val="single" w:sz="4" w:space="0" w:color="auto"/>
            </w:tcBorders>
            <w:shd w:val="clear" w:color="000000" w:fill="FFFFFF"/>
            <w:noWrap/>
            <w:vAlign w:val="center"/>
            <w:hideMark/>
          </w:tcPr>
          <w:p w14:paraId="6942F134"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nil"/>
              <w:right w:val="single" w:sz="4" w:space="0" w:color="auto"/>
            </w:tcBorders>
            <w:shd w:val="clear" w:color="000000" w:fill="FFFFFF"/>
            <w:noWrap/>
            <w:vAlign w:val="center"/>
            <w:hideMark/>
          </w:tcPr>
          <w:p w14:paraId="482C57F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12%</w:t>
            </w:r>
          </w:p>
        </w:tc>
        <w:tc>
          <w:tcPr>
            <w:tcW w:w="1460" w:type="dxa"/>
            <w:tcBorders>
              <w:top w:val="nil"/>
              <w:left w:val="nil"/>
              <w:bottom w:val="nil"/>
              <w:right w:val="single" w:sz="4" w:space="0" w:color="auto"/>
            </w:tcBorders>
            <w:shd w:val="clear" w:color="000000" w:fill="FFFFFF"/>
            <w:noWrap/>
            <w:vAlign w:val="center"/>
            <w:hideMark/>
          </w:tcPr>
          <w:p w14:paraId="6836A2A6"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38%</w:t>
            </w:r>
          </w:p>
        </w:tc>
        <w:tc>
          <w:tcPr>
            <w:tcW w:w="1460" w:type="dxa"/>
            <w:tcBorders>
              <w:top w:val="nil"/>
              <w:left w:val="nil"/>
              <w:bottom w:val="nil"/>
              <w:right w:val="single" w:sz="4" w:space="0" w:color="auto"/>
            </w:tcBorders>
            <w:shd w:val="clear" w:color="000000" w:fill="FFFFFF"/>
            <w:noWrap/>
            <w:vAlign w:val="center"/>
            <w:hideMark/>
          </w:tcPr>
          <w:p w14:paraId="130A9BF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25</w:t>
            </w:r>
          </w:p>
        </w:tc>
      </w:tr>
      <w:tr w:rsidR="009F02CE" w:rsidRPr="009F02CE" w14:paraId="2B63FF72"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5B8338E"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2018-07-17</w:t>
            </w:r>
          </w:p>
        </w:tc>
        <w:tc>
          <w:tcPr>
            <w:tcW w:w="1460" w:type="dxa"/>
            <w:tcBorders>
              <w:top w:val="nil"/>
              <w:left w:val="nil"/>
              <w:bottom w:val="nil"/>
              <w:right w:val="single" w:sz="4" w:space="0" w:color="auto"/>
            </w:tcBorders>
            <w:shd w:val="clear" w:color="000000" w:fill="F2F2F2"/>
            <w:noWrap/>
            <w:vAlign w:val="center"/>
            <w:hideMark/>
          </w:tcPr>
          <w:p w14:paraId="269E9D6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0.23</w:t>
            </w:r>
          </w:p>
        </w:tc>
        <w:tc>
          <w:tcPr>
            <w:tcW w:w="1460" w:type="dxa"/>
            <w:tcBorders>
              <w:top w:val="nil"/>
              <w:left w:val="nil"/>
              <w:bottom w:val="nil"/>
              <w:right w:val="single" w:sz="4" w:space="0" w:color="auto"/>
            </w:tcBorders>
            <w:shd w:val="clear" w:color="000000" w:fill="F2F2F2"/>
            <w:noWrap/>
            <w:vAlign w:val="center"/>
            <w:hideMark/>
          </w:tcPr>
          <w:p w14:paraId="2E09A24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13%</w:t>
            </w:r>
          </w:p>
        </w:tc>
        <w:tc>
          <w:tcPr>
            <w:tcW w:w="1460" w:type="dxa"/>
            <w:tcBorders>
              <w:top w:val="nil"/>
              <w:left w:val="nil"/>
              <w:bottom w:val="nil"/>
              <w:right w:val="single" w:sz="4" w:space="0" w:color="auto"/>
            </w:tcBorders>
            <w:shd w:val="clear" w:color="000000" w:fill="F2F2F2"/>
            <w:noWrap/>
            <w:vAlign w:val="center"/>
            <w:hideMark/>
          </w:tcPr>
          <w:p w14:paraId="42A3758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40%</w:t>
            </w:r>
          </w:p>
        </w:tc>
        <w:tc>
          <w:tcPr>
            <w:tcW w:w="1460" w:type="dxa"/>
            <w:tcBorders>
              <w:top w:val="nil"/>
              <w:left w:val="nil"/>
              <w:bottom w:val="nil"/>
              <w:right w:val="single" w:sz="4" w:space="0" w:color="auto"/>
            </w:tcBorders>
            <w:shd w:val="clear" w:color="000000" w:fill="F2F2F2"/>
            <w:noWrap/>
            <w:vAlign w:val="center"/>
            <w:hideMark/>
          </w:tcPr>
          <w:p w14:paraId="13E09FED"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22</w:t>
            </w:r>
          </w:p>
        </w:tc>
      </w:tr>
      <w:tr w:rsidR="009F02CE" w:rsidRPr="009F02CE" w14:paraId="36D1BAA4"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364B82A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2018-07-24</w:t>
            </w:r>
          </w:p>
        </w:tc>
        <w:tc>
          <w:tcPr>
            <w:tcW w:w="1460" w:type="dxa"/>
            <w:tcBorders>
              <w:top w:val="nil"/>
              <w:left w:val="nil"/>
              <w:bottom w:val="nil"/>
              <w:right w:val="single" w:sz="4" w:space="0" w:color="auto"/>
            </w:tcBorders>
            <w:shd w:val="clear" w:color="000000" w:fill="FFFFFF"/>
            <w:noWrap/>
            <w:vAlign w:val="center"/>
            <w:hideMark/>
          </w:tcPr>
          <w:p w14:paraId="09E0B43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nil"/>
              <w:right w:val="single" w:sz="4" w:space="0" w:color="auto"/>
            </w:tcBorders>
            <w:shd w:val="clear" w:color="000000" w:fill="FFFFFF"/>
            <w:noWrap/>
            <w:vAlign w:val="center"/>
            <w:hideMark/>
          </w:tcPr>
          <w:p w14:paraId="0C6D55A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12%</w:t>
            </w:r>
          </w:p>
        </w:tc>
        <w:tc>
          <w:tcPr>
            <w:tcW w:w="1460" w:type="dxa"/>
            <w:tcBorders>
              <w:top w:val="nil"/>
              <w:left w:val="nil"/>
              <w:bottom w:val="nil"/>
              <w:right w:val="single" w:sz="4" w:space="0" w:color="auto"/>
            </w:tcBorders>
            <w:shd w:val="clear" w:color="000000" w:fill="FFFFFF"/>
            <w:noWrap/>
            <w:vAlign w:val="center"/>
            <w:hideMark/>
          </w:tcPr>
          <w:p w14:paraId="597BB4B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38%</w:t>
            </w:r>
          </w:p>
        </w:tc>
        <w:tc>
          <w:tcPr>
            <w:tcW w:w="1460" w:type="dxa"/>
            <w:tcBorders>
              <w:top w:val="nil"/>
              <w:left w:val="nil"/>
              <w:bottom w:val="nil"/>
              <w:right w:val="single" w:sz="4" w:space="0" w:color="auto"/>
            </w:tcBorders>
            <w:shd w:val="clear" w:color="000000" w:fill="FFFFFF"/>
            <w:noWrap/>
            <w:vAlign w:val="center"/>
            <w:hideMark/>
          </w:tcPr>
          <w:p w14:paraId="79CFE00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25</w:t>
            </w:r>
          </w:p>
        </w:tc>
      </w:tr>
      <w:tr w:rsidR="009F02CE" w:rsidRPr="009F02CE" w14:paraId="6F162D90"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26F2009E"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2018-08-07</w:t>
            </w:r>
          </w:p>
        </w:tc>
        <w:tc>
          <w:tcPr>
            <w:tcW w:w="1460" w:type="dxa"/>
            <w:tcBorders>
              <w:top w:val="nil"/>
              <w:left w:val="nil"/>
              <w:bottom w:val="nil"/>
              <w:right w:val="single" w:sz="4" w:space="0" w:color="auto"/>
            </w:tcBorders>
            <w:shd w:val="clear" w:color="000000" w:fill="F2F2F2"/>
            <w:noWrap/>
            <w:vAlign w:val="center"/>
            <w:hideMark/>
          </w:tcPr>
          <w:p w14:paraId="2D0E7B7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0.21</w:t>
            </w:r>
          </w:p>
        </w:tc>
        <w:tc>
          <w:tcPr>
            <w:tcW w:w="1460" w:type="dxa"/>
            <w:tcBorders>
              <w:top w:val="nil"/>
              <w:left w:val="nil"/>
              <w:bottom w:val="nil"/>
              <w:right w:val="single" w:sz="4" w:space="0" w:color="auto"/>
            </w:tcBorders>
            <w:shd w:val="clear" w:color="000000" w:fill="F2F2F2"/>
            <w:noWrap/>
            <w:vAlign w:val="center"/>
            <w:hideMark/>
          </w:tcPr>
          <w:p w14:paraId="1FA3B52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11%</w:t>
            </w:r>
          </w:p>
        </w:tc>
        <w:tc>
          <w:tcPr>
            <w:tcW w:w="1460" w:type="dxa"/>
            <w:tcBorders>
              <w:top w:val="nil"/>
              <w:left w:val="nil"/>
              <w:bottom w:val="nil"/>
              <w:right w:val="single" w:sz="4" w:space="0" w:color="auto"/>
            </w:tcBorders>
            <w:shd w:val="clear" w:color="000000" w:fill="F2F2F2"/>
            <w:noWrap/>
            <w:vAlign w:val="center"/>
            <w:hideMark/>
          </w:tcPr>
          <w:p w14:paraId="6668D3E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39%</w:t>
            </w:r>
          </w:p>
        </w:tc>
        <w:tc>
          <w:tcPr>
            <w:tcW w:w="1460" w:type="dxa"/>
            <w:tcBorders>
              <w:top w:val="nil"/>
              <w:left w:val="nil"/>
              <w:bottom w:val="nil"/>
              <w:right w:val="single" w:sz="4" w:space="0" w:color="auto"/>
            </w:tcBorders>
            <w:shd w:val="clear" w:color="000000" w:fill="F2F2F2"/>
            <w:noWrap/>
            <w:vAlign w:val="center"/>
            <w:hideMark/>
          </w:tcPr>
          <w:p w14:paraId="5E9757F5"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26</w:t>
            </w:r>
          </w:p>
        </w:tc>
      </w:tr>
      <w:tr w:rsidR="009F02CE" w:rsidRPr="009F02CE" w14:paraId="0552EB6A"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40DEEC2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2018-08-15</w:t>
            </w:r>
          </w:p>
        </w:tc>
        <w:tc>
          <w:tcPr>
            <w:tcW w:w="1460" w:type="dxa"/>
            <w:tcBorders>
              <w:top w:val="nil"/>
              <w:left w:val="nil"/>
              <w:bottom w:val="nil"/>
              <w:right w:val="single" w:sz="4" w:space="0" w:color="auto"/>
            </w:tcBorders>
            <w:shd w:val="clear" w:color="000000" w:fill="FFFFFF"/>
            <w:noWrap/>
            <w:vAlign w:val="center"/>
            <w:hideMark/>
          </w:tcPr>
          <w:p w14:paraId="4316F50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0.21</w:t>
            </w:r>
          </w:p>
        </w:tc>
        <w:tc>
          <w:tcPr>
            <w:tcW w:w="1460" w:type="dxa"/>
            <w:tcBorders>
              <w:top w:val="nil"/>
              <w:left w:val="nil"/>
              <w:bottom w:val="nil"/>
              <w:right w:val="single" w:sz="4" w:space="0" w:color="auto"/>
            </w:tcBorders>
            <w:shd w:val="clear" w:color="000000" w:fill="FFFFFF"/>
            <w:noWrap/>
            <w:vAlign w:val="center"/>
            <w:hideMark/>
          </w:tcPr>
          <w:p w14:paraId="62C2EB5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11%</w:t>
            </w:r>
          </w:p>
        </w:tc>
        <w:tc>
          <w:tcPr>
            <w:tcW w:w="1460" w:type="dxa"/>
            <w:tcBorders>
              <w:top w:val="nil"/>
              <w:left w:val="nil"/>
              <w:bottom w:val="nil"/>
              <w:right w:val="single" w:sz="4" w:space="0" w:color="auto"/>
            </w:tcBorders>
            <w:shd w:val="clear" w:color="000000" w:fill="FFFFFF"/>
            <w:noWrap/>
            <w:vAlign w:val="center"/>
            <w:hideMark/>
          </w:tcPr>
          <w:p w14:paraId="6ACBC56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42%</w:t>
            </w:r>
          </w:p>
        </w:tc>
        <w:tc>
          <w:tcPr>
            <w:tcW w:w="1460" w:type="dxa"/>
            <w:tcBorders>
              <w:top w:val="nil"/>
              <w:left w:val="nil"/>
              <w:bottom w:val="nil"/>
              <w:right w:val="single" w:sz="4" w:space="0" w:color="auto"/>
            </w:tcBorders>
            <w:shd w:val="clear" w:color="000000" w:fill="FFFFFF"/>
            <w:noWrap/>
            <w:vAlign w:val="center"/>
            <w:hideMark/>
          </w:tcPr>
          <w:p w14:paraId="26617F0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27</w:t>
            </w:r>
          </w:p>
        </w:tc>
      </w:tr>
      <w:tr w:rsidR="009F02CE" w:rsidRPr="009F02CE" w14:paraId="500F34E7"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591DFA0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2018-08-16</w:t>
            </w:r>
          </w:p>
        </w:tc>
        <w:tc>
          <w:tcPr>
            <w:tcW w:w="1460" w:type="dxa"/>
            <w:tcBorders>
              <w:top w:val="nil"/>
              <w:left w:val="nil"/>
              <w:bottom w:val="nil"/>
              <w:right w:val="single" w:sz="4" w:space="0" w:color="auto"/>
            </w:tcBorders>
            <w:shd w:val="clear" w:color="000000" w:fill="F2F2F2"/>
            <w:noWrap/>
            <w:vAlign w:val="center"/>
            <w:hideMark/>
          </w:tcPr>
          <w:p w14:paraId="6E0CD08D"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0.23</w:t>
            </w:r>
          </w:p>
        </w:tc>
        <w:tc>
          <w:tcPr>
            <w:tcW w:w="1460" w:type="dxa"/>
            <w:tcBorders>
              <w:top w:val="nil"/>
              <w:left w:val="nil"/>
              <w:bottom w:val="nil"/>
              <w:right w:val="single" w:sz="4" w:space="0" w:color="auto"/>
            </w:tcBorders>
            <w:shd w:val="clear" w:color="000000" w:fill="F2F2F2"/>
            <w:noWrap/>
            <w:vAlign w:val="center"/>
            <w:hideMark/>
          </w:tcPr>
          <w:p w14:paraId="7CA9A96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15%</w:t>
            </w:r>
          </w:p>
        </w:tc>
        <w:tc>
          <w:tcPr>
            <w:tcW w:w="1460" w:type="dxa"/>
            <w:tcBorders>
              <w:top w:val="nil"/>
              <w:left w:val="nil"/>
              <w:bottom w:val="nil"/>
              <w:right w:val="single" w:sz="4" w:space="0" w:color="auto"/>
            </w:tcBorders>
            <w:shd w:val="clear" w:color="000000" w:fill="F2F2F2"/>
            <w:noWrap/>
            <w:vAlign w:val="center"/>
            <w:hideMark/>
          </w:tcPr>
          <w:p w14:paraId="13D4E21C"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38%</w:t>
            </w:r>
          </w:p>
        </w:tc>
        <w:tc>
          <w:tcPr>
            <w:tcW w:w="1460" w:type="dxa"/>
            <w:tcBorders>
              <w:top w:val="nil"/>
              <w:left w:val="nil"/>
              <w:bottom w:val="nil"/>
              <w:right w:val="single" w:sz="4" w:space="0" w:color="auto"/>
            </w:tcBorders>
            <w:shd w:val="clear" w:color="000000" w:fill="F2F2F2"/>
            <w:noWrap/>
            <w:vAlign w:val="center"/>
            <w:hideMark/>
          </w:tcPr>
          <w:p w14:paraId="68F3123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23</w:t>
            </w:r>
          </w:p>
        </w:tc>
      </w:tr>
      <w:tr w:rsidR="009F02CE" w:rsidRPr="009F02CE" w14:paraId="12F2E4F5"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726D691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2018-08-17</w:t>
            </w:r>
          </w:p>
        </w:tc>
        <w:tc>
          <w:tcPr>
            <w:tcW w:w="1460" w:type="dxa"/>
            <w:tcBorders>
              <w:top w:val="nil"/>
              <w:left w:val="nil"/>
              <w:bottom w:val="nil"/>
              <w:right w:val="single" w:sz="4" w:space="0" w:color="auto"/>
            </w:tcBorders>
            <w:shd w:val="clear" w:color="000000" w:fill="FFFFFF"/>
            <w:noWrap/>
            <w:vAlign w:val="center"/>
            <w:hideMark/>
          </w:tcPr>
          <w:p w14:paraId="6A659C2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nil"/>
              <w:right w:val="single" w:sz="4" w:space="0" w:color="auto"/>
            </w:tcBorders>
            <w:shd w:val="clear" w:color="000000" w:fill="FFFFFF"/>
            <w:noWrap/>
            <w:vAlign w:val="center"/>
            <w:hideMark/>
          </w:tcPr>
          <w:p w14:paraId="572372B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14%</w:t>
            </w:r>
          </w:p>
        </w:tc>
        <w:tc>
          <w:tcPr>
            <w:tcW w:w="1460" w:type="dxa"/>
            <w:tcBorders>
              <w:top w:val="nil"/>
              <w:left w:val="nil"/>
              <w:bottom w:val="nil"/>
              <w:right w:val="single" w:sz="4" w:space="0" w:color="auto"/>
            </w:tcBorders>
            <w:shd w:val="clear" w:color="000000" w:fill="FFFFFF"/>
            <w:noWrap/>
            <w:vAlign w:val="center"/>
            <w:hideMark/>
          </w:tcPr>
          <w:p w14:paraId="05F55A7C"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37%</w:t>
            </w:r>
          </w:p>
        </w:tc>
        <w:tc>
          <w:tcPr>
            <w:tcW w:w="1460" w:type="dxa"/>
            <w:tcBorders>
              <w:top w:val="nil"/>
              <w:left w:val="nil"/>
              <w:bottom w:val="nil"/>
              <w:right w:val="single" w:sz="4" w:space="0" w:color="auto"/>
            </w:tcBorders>
            <w:shd w:val="clear" w:color="000000" w:fill="FFFFFF"/>
            <w:noWrap/>
            <w:vAlign w:val="center"/>
            <w:hideMark/>
          </w:tcPr>
          <w:p w14:paraId="309D05C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24</w:t>
            </w:r>
          </w:p>
        </w:tc>
      </w:tr>
      <w:tr w:rsidR="009F02CE" w:rsidRPr="009F02CE" w14:paraId="7C4F66DC"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0B4639B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2018-08-20</w:t>
            </w:r>
          </w:p>
        </w:tc>
        <w:tc>
          <w:tcPr>
            <w:tcW w:w="1460" w:type="dxa"/>
            <w:tcBorders>
              <w:top w:val="nil"/>
              <w:left w:val="nil"/>
              <w:bottom w:val="nil"/>
              <w:right w:val="single" w:sz="4" w:space="0" w:color="auto"/>
            </w:tcBorders>
            <w:shd w:val="clear" w:color="000000" w:fill="F2F2F2"/>
            <w:noWrap/>
            <w:vAlign w:val="center"/>
            <w:hideMark/>
          </w:tcPr>
          <w:p w14:paraId="201FCEA2"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nil"/>
              <w:right w:val="single" w:sz="4" w:space="0" w:color="auto"/>
            </w:tcBorders>
            <w:shd w:val="clear" w:color="000000" w:fill="F2F2F2"/>
            <w:noWrap/>
            <w:vAlign w:val="center"/>
            <w:hideMark/>
          </w:tcPr>
          <w:p w14:paraId="7F46F17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14%</w:t>
            </w:r>
          </w:p>
        </w:tc>
        <w:tc>
          <w:tcPr>
            <w:tcW w:w="1460" w:type="dxa"/>
            <w:tcBorders>
              <w:top w:val="nil"/>
              <w:left w:val="nil"/>
              <w:bottom w:val="nil"/>
              <w:right w:val="single" w:sz="4" w:space="0" w:color="auto"/>
            </w:tcBorders>
            <w:shd w:val="clear" w:color="000000" w:fill="F2F2F2"/>
            <w:noWrap/>
            <w:vAlign w:val="center"/>
            <w:hideMark/>
          </w:tcPr>
          <w:p w14:paraId="5FA97F06"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37%</w:t>
            </w:r>
          </w:p>
        </w:tc>
        <w:tc>
          <w:tcPr>
            <w:tcW w:w="1460" w:type="dxa"/>
            <w:tcBorders>
              <w:top w:val="nil"/>
              <w:left w:val="nil"/>
              <w:bottom w:val="nil"/>
              <w:right w:val="single" w:sz="4" w:space="0" w:color="auto"/>
            </w:tcBorders>
            <w:shd w:val="clear" w:color="000000" w:fill="F2F2F2"/>
            <w:noWrap/>
            <w:vAlign w:val="center"/>
            <w:hideMark/>
          </w:tcPr>
          <w:p w14:paraId="047AF681"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25</w:t>
            </w:r>
          </w:p>
        </w:tc>
      </w:tr>
      <w:tr w:rsidR="009F02CE" w:rsidRPr="009F02CE" w14:paraId="361FCF31"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0D2A086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2018-08-27</w:t>
            </w:r>
          </w:p>
        </w:tc>
        <w:tc>
          <w:tcPr>
            <w:tcW w:w="1460" w:type="dxa"/>
            <w:tcBorders>
              <w:top w:val="nil"/>
              <w:left w:val="nil"/>
              <w:bottom w:val="nil"/>
              <w:right w:val="single" w:sz="4" w:space="0" w:color="auto"/>
            </w:tcBorders>
            <w:shd w:val="clear" w:color="000000" w:fill="FFFFFF"/>
            <w:noWrap/>
            <w:vAlign w:val="center"/>
            <w:hideMark/>
          </w:tcPr>
          <w:p w14:paraId="2090077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0.20</w:t>
            </w:r>
          </w:p>
        </w:tc>
        <w:tc>
          <w:tcPr>
            <w:tcW w:w="1460" w:type="dxa"/>
            <w:tcBorders>
              <w:top w:val="nil"/>
              <w:left w:val="nil"/>
              <w:bottom w:val="nil"/>
              <w:right w:val="single" w:sz="4" w:space="0" w:color="auto"/>
            </w:tcBorders>
            <w:shd w:val="clear" w:color="000000" w:fill="FFFFFF"/>
            <w:noWrap/>
            <w:vAlign w:val="center"/>
            <w:hideMark/>
          </w:tcPr>
          <w:p w14:paraId="507C449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10%</w:t>
            </w:r>
          </w:p>
        </w:tc>
        <w:tc>
          <w:tcPr>
            <w:tcW w:w="1460" w:type="dxa"/>
            <w:tcBorders>
              <w:top w:val="nil"/>
              <w:left w:val="nil"/>
              <w:bottom w:val="nil"/>
              <w:right w:val="single" w:sz="4" w:space="0" w:color="auto"/>
            </w:tcBorders>
            <w:shd w:val="clear" w:color="000000" w:fill="FFFFFF"/>
            <w:noWrap/>
            <w:vAlign w:val="center"/>
            <w:hideMark/>
          </w:tcPr>
          <w:p w14:paraId="4A602A3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52%</w:t>
            </w:r>
          </w:p>
        </w:tc>
        <w:tc>
          <w:tcPr>
            <w:tcW w:w="1460" w:type="dxa"/>
            <w:tcBorders>
              <w:top w:val="nil"/>
              <w:left w:val="nil"/>
              <w:bottom w:val="nil"/>
              <w:right w:val="single" w:sz="4" w:space="0" w:color="auto"/>
            </w:tcBorders>
            <w:shd w:val="clear" w:color="000000" w:fill="FFFFFF"/>
            <w:noWrap/>
            <w:vAlign w:val="center"/>
            <w:hideMark/>
          </w:tcPr>
          <w:p w14:paraId="663FBC1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29</w:t>
            </w:r>
          </w:p>
        </w:tc>
      </w:tr>
      <w:tr w:rsidR="009F02CE" w:rsidRPr="009F02CE" w14:paraId="7356C6B3" w14:textId="77777777" w:rsidTr="009F02CE">
        <w:trPr>
          <w:trHeight w:val="200"/>
          <w:jc w:val="center"/>
        </w:trPr>
        <w:tc>
          <w:tcPr>
            <w:tcW w:w="1560" w:type="dxa"/>
            <w:tcBorders>
              <w:top w:val="nil"/>
              <w:left w:val="single" w:sz="4" w:space="0" w:color="auto"/>
              <w:bottom w:val="nil"/>
              <w:right w:val="single" w:sz="4" w:space="0" w:color="auto"/>
            </w:tcBorders>
            <w:shd w:val="clear" w:color="000000" w:fill="F2F2F2"/>
            <w:noWrap/>
            <w:vAlign w:val="center"/>
            <w:hideMark/>
          </w:tcPr>
          <w:p w14:paraId="7D5C68E8"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2018-09-05</w:t>
            </w:r>
          </w:p>
        </w:tc>
        <w:tc>
          <w:tcPr>
            <w:tcW w:w="1460" w:type="dxa"/>
            <w:tcBorders>
              <w:top w:val="nil"/>
              <w:left w:val="nil"/>
              <w:bottom w:val="nil"/>
              <w:right w:val="single" w:sz="4" w:space="0" w:color="auto"/>
            </w:tcBorders>
            <w:shd w:val="clear" w:color="000000" w:fill="F2F2F2"/>
            <w:noWrap/>
            <w:vAlign w:val="center"/>
            <w:hideMark/>
          </w:tcPr>
          <w:p w14:paraId="5D3191E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0.19</w:t>
            </w:r>
          </w:p>
        </w:tc>
        <w:tc>
          <w:tcPr>
            <w:tcW w:w="1460" w:type="dxa"/>
            <w:tcBorders>
              <w:top w:val="nil"/>
              <w:left w:val="nil"/>
              <w:bottom w:val="nil"/>
              <w:right w:val="single" w:sz="4" w:space="0" w:color="auto"/>
            </w:tcBorders>
            <w:shd w:val="clear" w:color="000000" w:fill="F2F2F2"/>
            <w:noWrap/>
            <w:vAlign w:val="center"/>
            <w:hideMark/>
          </w:tcPr>
          <w:p w14:paraId="51B6397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8%</w:t>
            </w:r>
          </w:p>
        </w:tc>
        <w:tc>
          <w:tcPr>
            <w:tcW w:w="1460" w:type="dxa"/>
            <w:tcBorders>
              <w:top w:val="nil"/>
              <w:left w:val="nil"/>
              <w:bottom w:val="nil"/>
              <w:right w:val="single" w:sz="4" w:space="0" w:color="auto"/>
            </w:tcBorders>
            <w:shd w:val="clear" w:color="000000" w:fill="F2F2F2"/>
            <w:noWrap/>
            <w:vAlign w:val="center"/>
            <w:hideMark/>
          </w:tcPr>
          <w:p w14:paraId="56C80E3B" w14:textId="77777777" w:rsidR="009F02CE" w:rsidRPr="009F02CE" w:rsidRDefault="009F02CE" w:rsidP="009F02CE">
            <w:pPr>
              <w:keepNext/>
              <w:spacing w:line="240" w:lineRule="auto"/>
              <w:jc w:val="center"/>
              <w:rPr>
                <w:rFonts w:cs="Arial"/>
                <w:sz w:val="16"/>
                <w:szCs w:val="16"/>
              </w:rPr>
            </w:pPr>
            <w:r w:rsidRPr="009F02CE">
              <w:rPr>
                <w:rFonts w:cs="Arial"/>
                <w:sz w:val="16"/>
                <w:szCs w:val="16"/>
              </w:rPr>
              <w:t>55%</w:t>
            </w:r>
          </w:p>
        </w:tc>
        <w:tc>
          <w:tcPr>
            <w:tcW w:w="1460" w:type="dxa"/>
            <w:tcBorders>
              <w:top w:val="nil"/>
              <w:left w:val="nil"/>
              <w:bottom w:val="nil"/>
              <w:right w:val="single" w:sz="4" w:space="0" w:color="auto"/>
            </w:tcBorders>
            <w:shd w:val="clear" w:color="000000" w:fill="F2F2F2"/>
            <w:noWrap/>
            <w:vAlign w:val="center"/>
            <w:hideMark/>
          </w:tcPr>
          <w:p w14:paraId="53D6D28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29</w:t>
            </w:r>
          </w:p>
        </w:tc>
      </w:tr>
      <w:tr w:rsidR="009F02CE" w:rsidRPr="009F02CE" w14:paraId="5CE029DA" w14:textId="77777777" w:rsidTr="009F02CE">
        <w:trPr>
          <w:trHeight w:val="200"/>
          <w:jc w:val="center"/>
        </w:trPr>
        <w:tc>
          <w:tcPr>
            <w:tcW w:w="1560" w:type="dxa"/>
            <w:tcBorders>
              <w:top w:val="nil"/>
              <w:left w:val="single" w:sz="4" w:space="0" w:color="auto"/>
              <w:bottom w:val="nil"/>
              <w:right w:val="single" w:sz="4" w:space="0" w:color="auto"/>
            </w:tcBorders>
            <w:shd w:val="clear" w:color="000000" w:fill="FFFFFF"/>
            <w:noWrap/>
            <w:vAlign w:val="center"/>
            <w:hideMark/>
          </w:tcPr>
          <w:p w14:paraId="6311BC6F"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2018-09-06</w:t>
            </w:r>
          </w:p>
        </w:tc>
        <w:tc>
          <w:tcPr>
            <w:tcW w:w="1460" w:type="dxa"/>
            <w:tcBorders>
              <w:top w:val="nil"/>
              <w:left w:val="nil"/>
              <w:bottom w:val="nil"/>
              <w:right w:val="single" w:sz="4" w:space="0" w:color="auto"/>
            </w:tcBorders>
            <w:shd w:val="clear" w:color="000000" w:fill="FFFFFF"/>
            <w:noWrap/>
            <w:vAlign w:val="center"/>
            <w:hideMark/>
          </w:tcPr>
          <w:p w14:paraId="3A76CE75"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0.24</w:t>
            </w:r>
          </w:p>
        </w:tc>
        <w:tc>
          <w:tcPr>
            <w:tcW w:w="1460" w:type="dxa"/>
            <w:tcBorders>
              <w:top w:val="nil"/>
              <w:left w:val="nil"/>
              <w:bottom w:val="nil"/>
              <w:right w:val="single" w:sz="4" w:space="0" w:color="auto"/>
            </w:tcBorders>
            <w:shd w:val="clear" w:color="000000" w:fill="FFFFFF"/>
            <w:noWrap/>
            <w:vAlign w:val="center"/>
            <w:hideMark/>
          </w:tcPr>
          <w:p w14:paraId="7ADB3A10"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16%</w:t>
            </w:r>
          </w:p>
        </w:tc>
        <w:tc>
          <w:tcPr>
            <w:tcW w:w="1460" w:type="dxa"/>
            <w:tcBorders>
              <w:top w:val="nil"/>
              <w:left w:val="nil"/>
              <w:bottom w:val="nil"/>
              <w:right w:val="single" w:sz="4" w:space="0" w:color="auto"/>
            </w:tcBorders>
            <w:shd w:val="clear" w:color="000000" w:fill="FFFFFF"/>
            <w:noWrap/>
            <w:vAlign w:val="center"/>
            <w:hideMark/>
          </w:tcPr>
          <w:p w14:paraId="474F76AA" w14:textId="77777777" w:rsidR="009F02CE" w:rsidRPr="009F02CE" w:rsidRDefault="009F02CE" w:rsidP="009F02CE">
            <w:pPr>
              <w:keepNext/>
              <w:spacing w:line="240" w:lineRule="auto"/>
              <w:jc w:val="center"/>
              <w:rPr>
                <w:rFonts w:cs="Arial"/>
                <w:sz w:val="16"/>
                <w:szCs w:val="16"/>
              </w:rPr>
            </w:pPr>
            <w:r w:rsidRPr="009F02CE">
              <w:rPr>
                <w:rFonts w:cs="Arial"/>
                <w:sz w:val="16"/>
                <w:szCs w:val="16"/>
              </w:rPr>
              <w:t>44%</w:t>
            </w:r>
          </w:p>
        </w:tc>
        <w:tc>
          <w:tcPr>
            <w:tcW w:w="1460" w:type="dxa"/>
            <w:tcBorders>
              <w:top w:val="nil"/>
              <w:left w:val="nil"/>
              <w:bottom w:val="nil"/>
              <w:right w:val="single" w:sz="4" w:space="0" w:color="auto"/>
            </w:tcBorders>
            <w:shd w:val="clear" w:color="000000" w:fill="FFFFFF"/>
            <w:noWrap/>
            <w:vAlign w:val="center"/>
            <w:hideMark/>
          </w:tcPr>
          <w:p w14:paraId="4E88458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21</w:t>
            </w:r>
          </w:p>
        </w:tc>
      </w:tr>
      <w:tr w:rsidR="009F02CE" w:rsidRPr="009F02CE" w14:paraId="1E342381" w14:textId="77777777" w:rsidTr="009F02CE">
        <w:trPr>
          <w:trHeight w:val="200"/>
          <w:jc w:val="center"/>
        </w:trPr>
        <w:tc>
          <w:tcPr>
            <w:tcW w:w="1560" w:type="dxa"/>
            <w:tcBorders>
              <w:top w:val="nil"/>
              <w:left w:val="single" w:sz="4" w:space="0" w:color="auto"/>
              <w:bottom w:val="single" w:sz="4" w:space="0" w:color="auto"/>
              <w:right w:val="single" w:sz="4" w:space="0" w:color="auto"/>
            </w:tcBorders>
            <w:shd w:val="clear" w:color="000000" w:fill="F2F2F2"/>
            <w:noWrap/>
            <w:vAlign w:val="center"/>
            <w:hideMark/>
          </w:tcPr>
          <w:p w14:paraId="1EB279EC"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2018-09-17</w:t>
            </w:r>
          </w:p>
        </w:tc>
        <w:tc>
          <w:tcPr>
            <w:tcW w:w="1460" w:type="dxa"/>
            <w:tcBorders>
              <w:top w:val="nil"/>
              <w:left w:val="nil"/>
              <w:bottom w:val="single" w:sz="4" w:space="0" w:color="auto"/>
              <w:right w:val="single" w:sz="4" w:space="0" w:color="auto"/>
            </w:tcBorders>
            <w:shd w:val="clear" w:color="000000" w:fill="F2F2F2"/>
            <w:noWrap/>
            <w:vAlign w:val="center"/>
            <w:hideMark/>
          </w:tcPr>
          <w:p w14:paraId="3FFC1186" w14:textId="77777777" w:rsidR="009F02CE" w:rsidRPr="009F02CE" w:rsidRDefault="009F02CE" w:rsidP="009F02CE">
            <w:pPr>
              <w:keepNext/>
              <w:spacing w:line="240" w:lineRule="auto"/>
              <w:jc w:val="center"/>
              <w:rPr>
                <w:rFonts w:cs="Arial"/>
                <w:sz w:val="16"/>
                <w:szCs w:val="16"/>
              </w:rPr>
            </w:pPr>
            <w:r w:rsidRPr="009F02CE">
              <w:rPr>
                <w:rFonts w:cs="Arial"/>
                <w:sz w:val="16"/>
                <w:szCs w:val="16"/>
              </w:rPr>
              <w:t>0.22</w:t>
            </w:r>
          </w:p>
        </w:tc>
        <w:tc>
          <w:tcPr>
            <w:tcW w:w="1460" w:type="dxa"/>
            <w:tcBorders>
              <w:top w:val="nil"/>
              <w:left w:val="nil"/>
              <w:bottom w:val="single" w:sz="4" w:space="0" w:color="auto"/>
              <w:right w:val="single" w:sz="4" w:space="0" w:color="auto"/>
            </w:tcBorders>
            <w:shd w:val="clear" w:color="000000" w:fill="F2F2F2"/>
            <w:noWrap/>
            <w:vAlign w:val="center"/>
            <w:hideMark/>
          </w:tcPr>
          <w:p w14:paraId="443923C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13%</w:t>
            </w:r>
          </w:p>
        </w:tc>
        <w:tc>
          <w:tcPr>
            <w:tcW w:w="1460" w:type="dxa"/>
            <w:tcBorders>
              <w:top w:val="nil"/>
              <w:left w:val="nil"/>
              <w:bottom w:val="single" w:sz="4" w:space="0" w:color="auto"/>
              <w:right w:val="single" w:sz="4" w:space="0" w:color="auto"/>
            </w:tcBorders>
            <w:shd w:val="clear" w:color="000000" w:fill="F2F2F2"/>
            <w:noWrap/>
            <w:vAlign w:val="center"/>
            <w:hideMark/>
          </w:tcPr>
          <w:p w14:paraId="5F1DC0C3" w14:textId="77777777" w:rsidR="009F02CE" w:rsidRPr="009F02CE" w:rsidRDefault="009F02CE" w:rsidP="009F02CE">
            <w:pPr>
              <w:keepNext/>
              <w:spacing w:line="240" w:lineRule="auto"/>
              <w:jc w:val="center"/>
              <w:rPr>
                <w:rFonts w:cs="Arial"/>
                <w:sz w:val="16"/>
                <w:szCs w:val="16"/>
              </w:rPr>
            </w:pPr>
            <w:r w:rsidRPr="009F02CE">
              <w:rPr>
                <w:rFonts w:cs="Arial"/>
                <w:sz w:val="16"/>
                <w:szCs w:val="16"/>
              </w:rPr>
              <w:t>37%</w:t>
            </w:r>
          </w:p>
        </w:tc>
        <w:tc>
          <w:tcPr>
            <w:tcW w:w="1460" w:type="dxa"/>
            <w:tcBorders>
              <w:top w:val="nil"/>
              <w:left w:val="nil"/>
              <w:bottom w:val="single" w:sz="4" w:space="0" w:color="auto"/>
              <w:right w:val="single" w:sz="4" w:space="0" w:color="auto"/>
            </w:tcBorders>
            <w:shd w:val="clear" w:color="000000" w:fill="F2F2F2"/>
            <w:noWrap/>
            <w:vAlign w:val="center"/>
            <w:hideMark/>
          </w:tcPr>
          <w:p w14:paraId="1378D947" w14:textId="77777777" w:rsidR="009F02CE" w:rsidRPr="009F02CE" w:rsidRDefault="009F02CE" w:rsidP="009F02CE">
            <w:pPr>
              <w:keepNext/>
              <w:spacing w:line="240" w:lineRule="auto"/>
              <w:jc w:val="center"/>
              <w:rPr>
                <w:rFonts w:cs="Arial"/>
                <w:sz w:val="16"/>
                <w:szCs w:val="16"/>
              </w:rPr>
            </w:pPr>
            <w:r w:rsidRPr="009F02CE">
              <w:rPr>
                <w:rFonts w:cs="Arial"/>
                <w:sz w:val="16"/>
                <w:szCs w:val="16"/>
              </w:rPr>
              <w:t>24</w:t>
            </w:r>
          </w:p>
        </w:tc>
      </w:tr>
      <w:tr w:rsidR="009F02CE" w:rsidRPr="009F02CE" w14:paraId="3E4098EA" w14:textId="77777777" w:rsidTr="009F02CE">
        <w:trPr>
          <w:trHeight w:val="420"/>
          <w:jc w:val="center"/>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142D3DE" w14:textId="77777777" w:rsidR="009F02CE" w:rsidRPr="009F02CE" w:rsidRDefault="009F02CE" w:rsidP="009F02CE">
            <w:pPr>
              <w:keepNext/>
              <w:spacing w:line="240" w:lineRule="auto"/>
              <w:jc w:val="center"/>
              <w:rPr>
                <w:rFonts w:cs="Arial"/>
                <w:b/>
                <w:bCs/>
                <w:sz w:val="16"/>
                <w:szCs w:val="16"/>
              </w:rPr>
            </w:pPr>
            <w:r w:rsidRPr="009F02CE">
              <w:rPr>
                <w:rFonts w:cs="Arial"/>
                <w:b/>
                <w:bCs/>
                <w:sz w:val="16"/>
                <w:szCs w:val="16"/>
              </w:rPr>
              <w:t>Average Across Events</w:t>
            </w:r>
          </w:p>
        </w:tc>
        <w:tc>
          <w:tcPr>
            <w:tcW w:w="1460" w:type="dxa"/>
            <w:tcBorders>
              <w:top w:val="nil"/>
              <w:left w:val="nil"/>
              <w:bottom w:val="single" w:sz="4" w:space="0" w:color="auto"/>
              <w:right w:val="single" w:sz="4" w:space="0" w:color="auto"/>
            </w:tcBorders>
            <w:shd w:val="clear" w:color="000000" w:fill="FFFFFF"/>
            <w:noWrap/>
            <w:vAlign w:val="center"/>
            <w:hideMark/>
          </w:tcPr>
          <w:p w14:paraId="0BC6DAD8" w14:textId="77777777" w:rsidR="009F02CE" w:rsidRPr="009F02CE" w:rsidRDefault="009F02CE" w:rsidP="009F02CE">
            <w:pPr>
              <w:keepNext/>
              <w:spacing w:line="240" w:lineRule="auto"/>
              <w:jc w:val="center"/>
              <w:rPr>
                <w:rFonts w:cs="Arial"/>
                <w:b/>
                <w:bCs/>
                <w:sz w:val="16"/>
                <w:szCs w:val="16"/>
              </w:rPr>
            </w:pPr>
            <w:r w:rsidRPr="009F02CE">
              <w:rPr>
                <w:rFonts w:cs="Arial"/>
                <w:b/>
                <w:bCs/>
                <w:sz w:val="16"/>
                <w:szCs w:val="16"/>
              </w:rPr>
              <w:t>0.21</w:t>
            </w:r>
          </w:p>
        </w:tc>
        <w:tc>
          <w:tcPr>
            <w:tcW w:w="1460" w:type="dxa"/>
            <w:tcBorders>
              <w:top w:val="nil"/>
              <w:left w:val="nil"/>
              <w:bottom w:val="single" w:sz="4" w:space="0" w:color="auto"/>
              <w:right w:val="single" w:sz="4" w:space="0" w:color="auto"/>
            </w:tcBorders>
            <w:shd w:val="clear" w:color="000000" w:fill="FFFFFF"/>
            <w:noWrap/>
            <w:vAlign w:val="center"/>
            <w:hideMark/>
          </w:tcPr>
          <w:p w14:paraId="66C65939" w14:textId="77777777" w:rsidR="009F02CE" w:rsidRPr="009F02CE" w:rsidRDefault="009F02CE" w:rsidP="009F02CE">
            <w:pPr>
              <w:keepNext/>
              <w:spacing w:line="240" w:lineRule="auto"/>
              <w:jc w:val="center"/>
              <w:rPr>
                <w:rFonts w:cs="Arial"/>
                <w:b/>
                <w:bCs/>
                <w:sz w:val="16"/>
                <w:szCs w:val="16"/>
              </w:rPr>
            </w:pPr>
            <w:r w:rsidRPr="009F02CE">
              <w:rPr>
                <w:rFonts w:cs="Arial"/>
                <w:b/>
                <w:bCs/>
                <w:sz w:val="16"/>
                <w:szCs w:val="16"/>
              </w:rPr>
              <w:t>11%</w:t>
            </w:r>
          </w:p>
        </w:tc>
        <w:tc>
          <w:tcPr>
            <w:tcW w:w="1460" w:type="dxa"/>
            <w:tcBorders>
              <w:top w:val="nil"/>
              <w:left w:val="nil"/>
              <w:bottom w:val="single" w:sz="4" w:space="0" w:color="auto"/>
              <w:right w:val="single" w:sz="4" w:space="0" w:color="auto"/>
            </w:tcBorders>
            <w:shd w:val="clear" w:color="000000" w:fill="FFFFFF"/>
            <w:noWrap/>
            <w:vAlign w:val="center"/>
            <w:hideMark/>
          </w:tcPr>
          <w:p w14:paraId="6259C7DB" w14:textId="77777777" w:rsidR="009F02CE" w:rsidRPr="009F02CE" w:rsidRDefault="009F02CE" w:rsidP="009F02CE">
            <w:pPr>
              <w:keepNext/>
              <w:spacing w:line="240" w:lineRule="auto"/>
              <w:jc w:val="center"/>
              <w:rPr>
                <w:rFonts w:cs="Arial"/>
                <w:b/>
                <w:bCs/>
                <w:sz w:val="16"/>
                <w:szCs w:val="16"/>
              </w:rPr>
            </w:pPr>
            <w:r w:rsidRPr="009F02CE">
              <w:rPr>
                <w:rFonts w:cs="Arial"/>
                <w:b/>
                <w:bCs/>
                <w:sz w:val="16"/>
                <w:szCs w:val="16"/>
              </w:rPr>
              <w:t>39%</w:t>
            </w:r>
          </w:p>
        </w:tc>
        <w:tc>
          <w:tcPr>
            <w:tcW w:w="1460" w:type="dxa"/>
            <w:tcBorders>
              <w:top w:val="nil"/>
              <w:left w:val="nil"/>
              <w:bottom w:val="single" w:sz="4" w:space="0" w:color="auto"/>
              <w:right w:val="single" w:sz="4" w:space="0" w:color="auto"/>
            </w:tcBorders>
            <w:shd w:val="clear" w:color="000000" w:fill="FFFFFF"/>
            <w:noWrap/>
            <w:vAlign w:val="center"/>
            <w:hideMark/>
          </w:tcPr>
          <w:p w14:paraId="295508D5" w14:textId="77777777" w:rsidR="009F02CE" w:rsidRPr="009F02CE" w:rsidRDefault="009F02CE" w:rsidP="009F02CE">
            <w:pPr>
              <w:keepNext/>
              <w:spacing w:line="240" w:lineRule="auto"/>
              <w:jc w:val="center"/>
              <w:rPr>
                <w:rFonts w:cs="Arial"/>
                <w:b/>
                <w:bCs/>
                <w:sz w:val="16"/>
                <w:szCs w:val="16"/>
              </w:rPr>
            </w:pPr>
            <w:r w:rsidRPr="009F02CE">
              <w:rPr>
                <w:rFonts w:cs="Arial"/>
                <w:b/>
                <w:bCs/>
                <w:sz w:val="16"/>
                <w:szCs w:val="16"/>
              </w:rPr>
              <w:t>26</w:t>
            </w:r>
          </w:p>
        </w:tc>
      </w:tr>
    </w:tbl>
    <w:p w14:paraId="128574CB" w14:textId="48779126" w:rsidR="009F02CE" w:rsidRDefault="009F02CE" w:rsidP="00500D7A"/>
    <w:p w14:paraId="2E083978" w14:textId="2A0F8D4F" w:rsidR="005D405F" w:rsidRPr="00021CDF" w:rsidRDefault="00021CDF" w:rsidP="00500D7A">
      <w:r>
        <w:t xml:space="preserve">These results are also reflected in the plotted actuals and baselines for the group of participants not connected, see for example </w:t>
      </w:r>
      <w:r>
        <w:fldChar w:fldCharType="begin"/>
      </w:r>
      <w:r>
        <w:instrText xml:space="preserve"> REF _Ref1491382 \h </w:instrText>
      </w:r>
      <w:r>
        <w:fldChar w:fldCharType="separate"/>
      </w:r>
      <w:r w:rsidR="00413291">
        <w:t xml:space="preserve">Figure </w:t>
      </w:r>
      <w:r w:rsidR="00413291">
        <w:rPr>
          <w:noProof/>
        </w:rPr>
        <w:t>30</w:t>
      </w:r>
      <w:r>
        <w:fldChar w:fldCharType="end"/>
      </w:r>
      <w:r>
        <w:t xml:space="preserve">, below. Although there is a significant impact across the On-Peak and Mid-Peak hours (in anticipation that an event </w:t>
      </w:r>
      <w:r>
        <w:rPr>
          <w:i/>
        </w:rPr>
        <w:t>might</w:t>
      </w:r>
      <w:r>
        <w:t xml:space="preserve"> be called), there is clearly some kind of CPP-event specific response, distinguished by the characteristic sharp drop in demand during the event.</w:t>
      </w:r>
    </w:p>
    <w:p w14:paraId="34DFFEB6" w14:textId="42287CCD" w:rsidR="00021CDF" w:rsidRDefault="00021CDF" w:rsidP="00500D7A"/>
    <w:p w14:paraId="36B64C37" w14:textId="76D9820F" w:rsidR="00021CDF" w:rsidRDefault="00021CDF" w:rsidP="00021CDF">
      <w:pPr>
        <w:pStyle w:val="Caption"/>
      </w:pPr>
      <w:bookmarkStart w:id="110" w:name="_Ref1491382"/>
      <w:bookmarkStart w:id="111" w:name="_Toc8393638"/>
      <w:r>
        <w:lastRenderedPageBreak/>
        <w:t xml:space="preserve">Figure </w:t>
      </w:r>
      <w:fldSimple w:instr=" SEQ Figure \* ARABIC ">
        <w:r w:rsidR="00413291">
          <w:rPr>
            <w:noProof/>
          </w:rPr>
          <w:t>30</w:t>
        </w:r>
      </w:fldSimple>
      <w:bookmarkEnd w:id="110"/>
      <w:r>
        <w:t>: Average CPP Event Day Load Profile – Events Beginning at 5pm, Disconnected Participants</w:t>
      </w:r>
      <w:bookmarkEnd w:id="111"/>
    </w:p>
    <w:p w14:paraId="26488BA8" w14:textId="78C1FF38" w:rsidR="00021CDF" w:rsidRDefault="00021CDF" w:rsidP="00021CDF">
      <w:pPr>
        <w:jc w:val="center"/>
      </w:pPr>
      <w:r w:rsidRPr="00021CDF">
        <w:rPr>
          <w:noProof/>
        </w:rPr>
        <w:drawing>
          <wp:inline distT="0" distB="0" distL="0" distR="0" wp14:anchorId="5C80888E" wp14:editId="6D8849E1">
            <wp:extent cx="5943600" cy="33089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308985"/>
                    </a:xfrm>
                    <a:prstGeom prst="rect">
                      <a:avLst/>
                    </a:prstGeom>
                  </pic:spPr>
                </pic:pic>
              </a:graphicData>
            </a:graphic>
          </wp:inline>
        </w:drawing>
      </w:r>
    </w:p>
    <w:p w14:paraId="4568FF27" w14:textId="2B2C1C87" w:rsidR="00021CDF" w:rsidRDefault="00021CDF" w:rsidP="00021CDF">
      <w:r>
        <w:t>Although an unexpected result, Navigant is confident in the robustness of the finding: there is some group of participants that is, without the benefit of the enabling technology, receiving the event notification, and, within fifteen minutes</w:t>
      </w:r>
      <w:r w:rsidR="00AC79BB">
        <w:t>,</w:t>
      </w:r>
      <w:r>
        <w:t xml:space="preserve"> sufficiently reducing demand to deliver the distinctive DR-shaped load profile. Gaining a better understanding of how these impacts are distributed across participants (many participants with small impacts, or a few with very large ones?) as well as what strategies are being used to deliver the demand response could be a valuable goal of further research into this group</w:t>
      </w:r>
      <w:r w:rsidR="00836726">
        <w:t>. S</w:t>
      </w:r>
      <w:r>
        <w:t>ome intuition regarding the latter question may be assessed by examining the estimated regression parameters that deliver the impacts.</w:t>
      </w:r>
    </w:p>
    <w:p w14:paraId="2C7DBF68" w14:textId="5FBB020B" w:rsidR="00021CDF" w:rsidRDefault="00021CDF" w:rsidP="00021CDF"/>
    <w:p w14:paraId="244A47EC" w14:textId="279229C4" w:rsidR="00021CDF" w:rsidRDefault="00E30708" w:rsidP="00021CDF">
      <w:r>
        <w:t xml:space="preserve">The estimated parameters associated with the DR only impacts are presented in </w:t>
      </w:r>
      <w:r w:rsidR="006B7285">
        <w:fldChar w:fldCharType="begin"/>
      </w:r>
      <w:r w:rsidR="006B7285">
        <w:instrText xml:space="preserve"> REF _Ref1492941 \h </w:instrText>
      </w:r>
      <w:r w:rsidR="006B7285">
        <w:fldChar w:fldCharType="separate"/>
      </w:r>
      <w:r w:rsidR="00413291">
        <w:t xml:space="preserve">Figure </w:t>
      </w:r>
      <w:r w:rsidR="00413291">
        <w:rPr>
          <w:noProof/>
        </w:rPr>
        <w:t>31</w:t>
      </w:r>
      <w:r w:rsidR="006B7285">
        <w:fldChar w:fldCharType="end"/>
      </w:r>
      <w:r w:rsidR="006B7285">
        <w:t xml:space="preserve">, </w:t>
      </w:r>
      <w:r>
        <w:t>below</w:t>
      </w:r>
      <w:r w:rsidR="006B7285">
        <w:t xml:space="preserve">. The first row presents the parameters that deliver the estimated impacts achieved by all participants, with or without a connection. The second row presents the parameters that deliver the incremental estimated impact due to that participant being connected. </w:t>
      </w:r>
    </w:p>
    <w:p w14:paraId="24EC3D72" w14:textId="34A12A63" w:rsidR="006B7285" w:rsidRDefault="006B7285" w:rsidP="00021CDF"/>
    <w:p w14:paraId="108A1E08" w14:textId="6EAE23F8" w:rsidR="006B7285" w:rsidRPr="006B7285" w:rsidRDefault="006B7285" w:rsidP="00021CDF">
      <w:r>
        <w:t>Two types</w:t>
      </w:r>
      <w:r w:rsidR="00836726">
        <w:t xml:space="preserve"> (columns)</w:t>
      </w:r>
      <w:r>
        <w:t xml:space="preserve"> of parameter are estimated for each effect type</w:t>
      </w:r>
      <w:r w:rsidR="00836726">
        <w:t xml:space="preserve"> (connected versus disconnected) </w:t>
      </w:r>
      <w:r>
        <w:t xml:space="preserve">: an intercept parameter (which captures the impact when no cooling degree hours are observed during the event period), and a slope parameter (which captures the estimated incremental effect of each additional cooling degree hour observed on impacts). The table presents both parameter estimates (where a negative value denotes a demand </w:t>
      </w:r>
      <w:r>
        <w:rPr>
          <w:i/>
        </w:rPr>
        <w:t>reduction</w:t>
      </w:r>
      <w:r>
        <w:t>) and p-values. Recall that the p-values are a measure of uncertainty. An estimate with a p-value of more than 0.1 is not statistically significant at the 90% level of confidence.</w:t>
      </w:r>
    </w:p>
    <w:p w14:paraId="478E99C8" w14:textId="4C5999CF" w:rsidR="00E30708" w:rsidRDefault="00E30708" w:rsidP="00021CDF"/>
    <w:p w14:paraId="41C76909" w14:textId="3824415C" w:rsidR="006B7285" w:rsidRDefault="006B7285" w:rsidP="006B7285">
      <w:pPr>
        <w:pStyle w:val="Caption"/>
      </w:pPr>
      <w:bookmarkStart w:id="112" w:name="_Ref1492941"/>
      <w:bookmarkStart w:id="113" w:name="_Toc8393639"/>
      <w:r>
        <w:lastRenderedPageBreak/>
        <w:t xml:space="preserve">Figure </w:t>
      </w:r>
      <w:fldSimple w:instr=" SEQ Figure \* ARABIC ">
        <w:r w:rsidR="00413291">
          <w:rPr>
            <w:noProof/>
          </w:rPr>
          <w:t>31</w:t>
        </w:r>
      </w:fldSimple>
      <w:bookmarkEnd w:id="112"/>
      <w:r>
        <w:t>: DR Impact Parameters and P-Values</w:t>
      </w:r>
      <w:bookmarkEnd w:id="113"/>
    </w:p>
    <w:tbl>
      <w:tblPr>
        <w:tblW w:w="7569" w:type="dxa"/>
        <w:jc w:val="center"/>
        <w:tblLayout w:type="fixed"/>
        <w:tblLook w:val="04A0" w:firstRow="1" w:lastRow="0" w:firstColumn="1" w:lastColumn="0" w:noHBand="0" w:noVBand="1"/>
      </w:tblPr>
      <w:tblGrid>
        <w:gridCol w:w="2900"/>
        <w:gridCol w:w="1164"/>
        <w:gridCol w:w="1164"/>
        <w:gridCol w:w="6"/>
        <w:gridCol w:w="1158"/>
        <w:gridCol w:w="1164"/>
        <w:gridCol w:w="13"/>
      </w:tblGrid>
      <w:tr w:rsidR="00E30708" w:rsidRPr="00E30708" w14:paraId="4007F608" w14:textId="77777777" w:rsidTr="006B7285">
        <w:trPr>
          <w:trHeight w:val="200"/>
          <w:jc w:val="center"/>
        </w:trPr>
        <w:tc>
          <w:tcPr>
            <w:tcW w:w="2900" w:type="dxa"/>
            <w:vMerge w:val="restart"/>
            <w:tcBorders>
              <w:top w:val="single" w:sz="4" w:space="0" w:color="auto"/>
              <w:left w:val="single" w:sz="4" w:space="0" w:color="auto"/>
              <w:bottom w:val="nil"/>
              <w:right w:val="single" w:sz="4" w:space="0" w:color="auto"/>
            </w:tcBorders>
            <w:shd w:val="clear" w:color="000000" w:fill="555759"/>
            <w:noWrap/>
            <w:vAlign w:val="center"/>
            <w:hideMark/>
          </w:tcPr>
          <w:p w14:paraId="64169CB0"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Type of Impact</w:t>
            </w:r>
          </w:p>
        </w:tc>
        <w:tc>
          <w:tcPr>
            <w:tcW w:w="2334" w:type="dxa"/>
            <w:gridSpan w:val="3"/>
            <w:tcBorders>
              <w:top w:val="single" w:sz="4" w:space="0" w:color="auto"/>
              <w:left w:val="nil"/>
              <w:bottom w:val="nil"/>
              <w:right w:val="single" w:sz="4" w:space="0" w:color="000000"/>
            </w:tcBorders>
            <w:shd w:val="clear" w:color="000000" w:fill="555759"/>
            <w:noWrap/>
            <w:vAlign w:val="center"/>
            <w:hideMark/>
          </w:tcPr>
          <w:p w14:paraId="5285F01E"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Intercept Dummy</w:t>
            </w:r>
          </w:p>
        </w:tc>
        <w:tc>
          <w:tcPr>
            <w:tcW w:w="2335" w:type="dxa"/>
            <w:gridSpan w:val="3"/>
            <w:tcBorders>
              <w:top w:val="single" w:sz="4" w:space="0" w:color="auto"/>
              <w:left w:val="nil"/>
              <w:bottom w:val="nil"/>
              <w:right w:val="single" w:sz="4" w:space="0" w:color="000000"/>
            </w:tcBorders>
            <w:shd w:val="clear" w:color="000000" w:fill="555759"/>
            <w:noWrap/>
            <w:vAlign w:val="center"/>
            <w:hideMark/>
          </w:tcPr>
          <w:p w14:paraId="7759831D"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Slope (Temperature) Dummy</w:t>
            </w:r>
          </w:p>
        </w:tc>
      </w:tr>
      <w:tr w:rsidR="00E30708" w:rsidRPr="00E30708" w14:paraId="33C95196" w14:textId="77777777" w:rsidTr="006B7285">
        <w:trPr>
          <w:gridAfter w:val="1"/>
          <w:wAfter w:w="13" w:type="dxa"/>
          <w:trHeight w:val="200"/>
          <w:jc w:val="center"/>
        </w:trPr>
        <w:tc>
          <w:tcPr>
            <w:tcW w:w="2900" w:type="dxa"/>
            <w:vMerge/>
            <w:tcBorders>
              <w:top w:val="single" w:sz="4" w:space="0" w:color="auto"/>
              <w:left w:val="single" w:sz="4" w:space="0" w:color="auto"/>
              <w:bottom w:val="nil"/>
              <w:right w:val="single" w:sz="4" w:space="0" w:color="auto"/>
            </w:tcBorders>
            <w:vAlign w:val="center"/>
            <w:hideMark/>
          </w:tcPr>
          <w:p w14:paraId="0C766C8C" w14:textId="77777777" w:rsidR="00E30708" w:rsidRPr="00E30708" w:rsidRDefault="00E30708" w:rsidP="00B04677">
            <w:pPr>
              <w:keepNext/>
              <w:spacing w:line="240" w:lineRule="auto"/>
              <w:rPr>
                <w:rFonts w:cs="Arial"/>
                <w:color w:val="FFFFFF"/>
                <w:sz w:val="16"/>
                <w:szCs w:val="16"/>
              </w:rPr>
            </w:pPr>
          </w:p>
        </w:tc>
        <w:tc>
          <w:tcPr>
            <w:tcW w:w="1164" w:type="dxa"/>
            <w:tcBorders>
              <w:top w:val="nil"/>
              <w:left w:val="nil"/>
              <w:bottom w:val="single" w:sz="4" w:space="0" w:color="auto"/>
              <w:right w:val="nil"/>
            </w:tcBorders>
            <w:shd w:val="clear" w:color="000000" w:fill="555759"/>
            <w:noWrap/>
            <w:vAlign w:val="center"/>
            <w:hideMark/>
          </w:tcPr>
          <w:p w14:paraId="362EEFF5"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Estimate</w:t>
            </w:r>
          </w:p>
        </w:tc>
        <w:tc>
          <w:tcPr>
            <w:tcW w:w="1164" w:type="dxa"/>
            <w:tcBorders>
              <w:top w:val="nil"/>
              <w:left w:val="nil"/>
              <w:bottom w:val="single" w:sz="4" w:space="0" w:color="auto"/>
              <w:right w:val="single" w:sz="4" w:space="0" w:color="auto"/>
            </w:tcBorders>
            <w:shd w:val="clear" w:color="000000" w:fill="555759"/>
            <w:noWrap/>
            <w:vAlign w:val="center"/>
            <w:hideMark/>
          </w:tcPr>
          <w:p w14:paraId="41B84D37"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P-Value</w:t>
            </w:r>
          </w:p>
        </w:tc>
        <w:tc>
          <w:tcPr>
            <w:tcW w:w="1164" w:type="dxa"/>
            <w:gridSpan w:val="2"/>
            <w:tcBorders>
              <w:top w:val="nil"/>
              <w:left w:val="nil"/>
              <w:bottom w:val="single" w:sz="4" w:space="0" w:color="auto"/>
              <w:right w:val="nil"/>
            </w:tcBorders>
            <w:shd w:val="clear" w:color="000000" w:fill="555759"/>
            <w:noWrap/>
            <w:vAlign w:val="center"/>
            <w:hideMark/>
          </w:tcPr>
          <w:p w14:paraId="56770E32"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Estimate</w:t>
            </w:r>
          </w:p>
        </w:tc>
        <w:tc>
          <w:tcPr>
            <w:tcW w:w="1164" w:type="dxa"/>
            <w:tcBorders>
              <w:top w:val="nil"/>
              <w:left w:val="nil"/>
              <w:bottom w:val="single" w:sz="4" w:space="0" w:color="auto"/>
              <w:right w:val="single" w:sz="4" w:space="0" w:color="auto"/>
            </w:tcBorders>
            <w:shd w:val="clear" w:color="000000" w:fill="555759"/>
            <w:noWrap/>
            <w:vAlign w:val="center"/>
            <w:hideMark/>
          </w:tcPr>
          <w:p w14:paraId="30687E7D" w14:textId="77777777" w:rsidR="00E30708" w:rsidRPr="00E30708" w:rsidRDefault="00E30708" w:rsidP="00B04677">
            <w:pPr>
              <w:keepNext/>
              <w:spacing w:line="240" w:lineRule="auto"/>
              <w:jc w:val="center"/>
              <w:rPr>
                <w:rFonts w:cs="Arial"/>
                <w:color w:val="FFFFFF"/>
                <w:sz w:val="16"/>
                <w:szCs w:val="16"/>
              </w:rPr>
            </w:pPr>
            <w:r w:rsidRPr="00E30708">
              <w:rPr>
                <w:rFonts w:cs="Arial"/>
                <w:color w:val="FFFFFF"/>
                <w:sz w:val="16"/>
                <w:szCs w:val="16"/>
              </w:rPr>
              <w:t>P-Value</w:t>
            </w:r>
          </w:p>
        </w:tc>
      </w:tr>
      <w:tr w:rsidR="00E30708" w:rsidRPr="00E30708" w14:paraId="376C1D92" w14:textId="77777777" w:rsidTr="006B7285">
        <w:trPr>
          <w:gridAfter w:val="1"/>
          <w:wAfter w:w="13" w:type="dxa"/>
          <w:trHeight w:val="200"/>
          <w:jc w:val="center"/>
        </w:trPr>
        <w:tc>
          <w:tcPr>
            <w:tcW w:w="2900" w:type="dxa"/>
            <w:tcBorders>
              <w:top w:val="nil"/>
              <w:left w:val="single" w:sz="4" w:space="0" w:color="auto"/>
              <w:bottom w:val="nil"/>
              <w:right w:val="single" w:sz="4" w:space="0" w:color="auto"/>
            </w:tcBorders>
            <w:shd w:val="clear" w:color="000000" w:fill="FFFFFF"/>
            <w:noWrap/>
            <w:vAlign w:val="center"/>
            <w:hideMark/>
          </w:tcPr>
          <w:p w14:paraId="4D4BA89B" w14:textId="77777777" w:rsidR="00E30708" w:rsidRPr="00E30708" w:rsidRDefault="00E30708" w:rsidP="00B04677">
            <w:pPr>
              <w:keepNext/>
              <w:spacing w:line="240" w:lineRule="auto"/>
              <w:rPr>
                <w:rFonts w:cs="Arial"/>
                <w:sz w:val="16"/>
                <w:szCs w:val="16"/>
              </w:rPr>
            </w:pPr>
            <w:r w:rsidRPr="00E30708">
              <w:rPr>
                <w:rFonts w:cs="Arial"/>
                <w:sz w:val="16"/>
                <w:szCs w:val="16"/>
              </w:rPr>
              <w:t>Without Connection</w:t>
            </w:r>
          </w:p>
        </w:tc>
        <w:tc>
          <w:tcPr>
            <w:tcW w:w="1164" w:type="dxa"/>
            <w:tcBorders>
              <w:top w:val="nil"/>
              <w:left w:val="nil"/>
              <w:bottom w:val="nil"/>
              <w:right w:val="single" w:sz="4" w:space="0" w:color="auto"/>
            </w:tcBorders>
            <w:shd w:val="clear" w:color="000000" w:fill="FFFFFF"/>
            <w:noWrap/>
            <w:vAlign w:val="center"/>
            <w:hideMark/>
          </w:tcPr>
          <w:p w14:paraId="6A90163A"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-0.25</w:t>
            </w:r>
          </w:p>
        </w:tc>
        <w:tc>
          <w:tcPr>
            <w:tcW w:w="1164" w:type="dxa"/>
            <w:tcBorders>
              <w:top w:val="nil"/>
              <w:left w:val="nil"/>
              <w:bottom w:val="nil"/>
              <w:right w:val="single" w:sz="4" w:space="0" w:color="auto"/>
            </w:tcBorders>
            <w:shd w:val="clear" w:color="000000" w:fill="FFFFFF"/>
            <w:noWrap/>
            <w:vAlign w:val="center"/>
            <w:hideMark/>
          </w:tcPr>
          <w:p w14:paraId="34B199B2"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0.00</w:t>
            </w:r>
          </w:p>
        </w:tc>
        <w:tc>
          <w:tcPr>
            <w:tcW w:w="1164" w:type="dxa"/>
            <w:gridSpan w:val="2"/>
            <w:tcBorders>
              <w:top w:val="nil"/>
              <w:left w:val="nil"/>
              <w:bottom w:val="nil"/>
              <w:right w:val="single" w:sz="4" w:space="0" w:color="auto"/>
            </w:tcBorders>
            <w:shd w:val="clear" w:color="000000" w:fill="FFFFFF"/>
            <w:noWrap/>
            <w:vAlign w:val="center"/>
            <w:hideMark/>
          </w:tcPr>
          <w:p w14:paraId="1C62075A"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0.01</w:t>
            </w:r>
          </w:p>
        </w:tc>
        <w:tc>
          <w:tcPr>
            <w:tcW w:w="1164" w:type="dxa"/>
            <w:tcBorders>
              <w:top w:val="nil"/>
              <w:left w:val="nil"/>
              <w:bottom w:val="nil"/>
              <w:right w:val="single" w:sz="4" w:space="0" w:color="auto"/>
            </w:tcBorders>
            <w:shd w:val="clear" w:color="000000" w:fill="FFFFFF"/>
            <w:noWrap/>
            <w:vAlign w:val="center"/>
            <w:hideMark/>
          </w:tcPr>
          <w:p w14:paraId="77C0B852"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0.60</w:t>
            </w:r>
          </w:p>
        </w:tc>
      </w:tr>
      <w:tr w:rsidR="00E30708" w:rsidRPr="00E30708" w14:paraId="242E70F0" w14:textId="77777777" w:rsidTr="006B7285">
        <w:trPr>
          <w:gridAfter w:val="1"/>
          <w:wAfter w:w="13" w:type="dxa"/>
          <w:trHeight w:val="200"/>
          <w:jc w:val="center"/>
        </w:trPr>
        <w:tc>
          <w:tcPr>
            <w:tcW w:w="2900" w:type="dxa"/>
            <w:tcBorders>
              <w:top w:val="nil"/>
              <w:left w:val="single" w:sz="4" w:space="0" w:color="auto"/>
              <w:bottom w:val="single" w:sz="4" w:space="0" w:color="auto"/>
              <w:right w:val="single" w:sz="4" w:space="0" w:color="auto"/>
            </w:tcBorders>
            <w:shd w:val="clear" w:color="000000" w:fill="FFFFFF"/>
            <w:noWrap/>
            <w:vAlign w:val="center"/>
            <w:hideMark/>
          </w:tcPr>
          <w:p w14:paraId="49B74693" w14:textId="77777777" w:rsidR="00E30708" w:rsidRPr="00E30708" w:rsidRDefault="00E30708" w:rsidP="00B04677">
            <w:pPr>
              <w:keepNext/>
              <w:spacing w:line="240" w:lineRule="auto"/>
              <w:rPr>
                <w:rFonts w:cs="Arial"/>
                <w:sz w:val="16"/>
                <w:szCs w:val="16"/>
              </w:rPr>
            </w:pPr>
            <w:r w:rsidRPr="00E30708">
              <w:rPr>
                <w:rFonts w:cs="Arial"/>
                <w:sz w:val="16"/>
                <w:szCs w:val="16"/>
              </w:rPr>
              <w:t>Incremental Impact when Connected</w:t>
            </w:r>
          </w:p>
        </w:tc>
        <w:tc>
          <w:tcPr>
            <w:tcW w:w="1164" w:type="dxa"/>
            <w:tcBorders>
              <w:top w:val="nil"/>
              <w:left w:val="nil"/>
              <w:bottom w:val="single" w:sz="4" w:space="0" w:color="auto"/>
              <w:right w:val="single" w:sz="4" w:space="0" w:color="auto"/>
            </w:tcBorders>
            <w:shd w:val="clear" w:color="000000" w:fill="FFFFFF"/>
            <w:noWrap/>
            <w:vAlign w:val="center"/>
            <w:hideMark/>
          </w:tcPr>
          <w:p w14:paraId="171B5BC2"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-0.03</w:t>
            </w:r>
          </w:p>
        </w:tc>
        <w:tc>
          <w:tcPr>
            <w:tcW w:w="1164" w:type="dxa"/>
            <w:tcBorders>
              <w:top w:val="nil"/>
              <w:left w:val="nil"/>
              <w:bottom w:val="single" w:sz="4" w:space="0" w:color="auto"/>
              <w:right w:val="single" w:sz="4" w:space="0" w:color="auto"/>
            </w:tcBorders>
            <w:shd w:val="clear" w:color="000000" w:fill="FFFFFF"/>
            <w:noWrap/>
            <w:vAlign w:val="center"/>
            <w:hideMark/>
          </w:tcPr>
          <w:p w14:paraId="0F9BD99A"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0.73</w:t>
            </w:r>
          </w:p>
        </w:tc>
        <w:tc>
          <w:tcPr>
            <w:tcW w:w="1164" w:type="dxa"/>
            <w:gridSpan w:val="2"/>
            <w:tcBorders>
              <w:top w:val="nil"/>
              <w:left w:val="nil"/>
              <w:bottom w:val="single" w:sz="4" w:space="0" w:color="auto"/>
              <w:right w:val="single" w:sz="4" w:space="0" w:color="auto"/>
            </w:tcBorders>
            <w:shd w:val="clear" w:color="000000" w:fill="FFFFFF"/>
            <w:noWrap/>
            <w:vAlign w:val="center"/>
            <w:hideMark/>
          </w:tcPr>
          <w:p w14:paraId="68F79E4B"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-0.06</w:t>
            </w:r>
          </w:p>
        </w:tc>
        <w:tc>
          <w:tcPr>
            <w:tcW w:w="1164" w:type="dxa"/>
            <w:tcBorders>
              <w:top w:val="nil"/>
              <w:left w:val="nil"/>
              <w:bottom w:val="single" w:sz="4" w:space="0" w:color="auto"/>
              <w:right w:val="single" w:sz="4" w:space="0" w:color="auto"/>
            </w:tcBorders>
            <w:shd w:val="clear" w:color="000000" w:fill="FFFFFF"/>
            <w:noWrap/>
            <w:vAlign w:val="center"/>
            <w:hideMark/>
          </w:tcPr>
          <w:p w14:paraId="7E8089AB" w14:textId="77777777" w:rsidR="00E30708" w:rsidRPr="00E30708" w:rsidRDefault="00E30708" w:rsidP="00B04677">
            <w:pPr>
              <w:keepNext/>
              <w:spacing w:line="240" w:lineRule="auto"/>
              <w:jc w:val="center"/>
              <w:rPr>
                <w:rFonts w:cs="Arial"/>
                <w:sz w:val="16"/>
                <w:szCs w:val="16"/>
              </w:rPr>
            </w:pPr>
            <w:r w:rsidRPr="00E30708">
              <w:rPr>
                <w:rFonts w:cs="Arial"/>
                <w:sz w:val="16"/>
                <w:szCs w:val="16"/>
              </w:rPr>
              <w:t>0.00</w:t>
            </w:r>
          </w:p>
        </w:tc>
      </w:tr>
    </w:tbl>
    <w:p w14:paraId="246E6F3F" w14:textId="51225E93" w:rsidR="00E30708" w:rsidRDefault="00E30708" w:rsidP="00021CDF"/>
    <w:p w14:paraId="78C001B6" w14:textId="61C1CF1D" w:rsidR="00D07E9E" w:rsidRDefault="00D07E9E" w:rsidP="00D07E9E">
      <w:r>
        <w:t xml:space="preserve">These values seem to suggest that the “base impact” delivered by a participant, before considering the incremental effects of the enabling technology that depends on a connection is not only not very weather sensitive (the effect has a p-value of 0.6, making it statistically non-significant), but what temperature sensitivity there is moves in the opposite from expected direction – that is, as temperatures increase, the base “DR only” impacts fall. </w:t>
      </w:r>
    </w:p>
    <w:p w14:paraId="63337316" w14:textId="2FC1A1F2" w:rsidR="00D07E9E" w:rsidRDefault="00D07E9E" w:rsidP="00D07E9E"/>
    <w:p w14:paraId="326E8BC5" w14:textId="1E6FA72F" w:rsidR="00D07E9E" w:rsidRDefault="00836726" w:rsidP="00D07E9E">
      <w:r>
        <w:t>T</w:t>
      </w:r>
      <w:r w:rsidR="00D07E9E">
        <w:t>he opposite appears to be the case for the incremental impacts delivered when a participant is connected. In that case, nearly the entirety of the incremental effect is a function of the weather.</w:t>
      </w:r>
    </w:p>
    <w:p w14:paraId="651F6F56" w14:textId="72C45DC5" w:rsidR="00D07E9E" w:rsidRDefault="00D07E9E" w:rsidP="00D07E9E"/>
    <w:p w14:paraId="724E36F0" w14:textId="3C4DD424" w:rsidR="00D07E9E" w:rsidRDefault="00D07E9E" w:rsidP="00D07E9E">
      <w:r>
        <w:t>These results suggest two things:</w:t>
      </w:r>
    </w:p>
    <w:p w14:paraId="10D046AB" w14:textId="094BF57E" w:rsidR="00D07E9E" w:rsidRDefault="00D07E9E" w:rsidP="00D07E9E">
      <w:pPr>
        <w:pStyle w:val="ListParagraph"/>
        <w:numPr>
          <w:ilvl w:val="0"/>
          <w:numId w:val="28"/>
        </w:numPr>
      </w:pPr>
      <w:r>
        <w:t>Most automated, DR only response is achieved via A/C curtailment of some kind.</w:t>
      </w:r>
    </w:p>
    <w:p w14:paraId="421588FD" w14:textId="12A3B866" w:rsidR="00D07E9E" w:rsidRDefault="00D07E9E" w:rsidP="00D07E9E">
      <w:pPr>
        <w:pStyle w:val="ListParagraph"/>
        <w:numPr>
          <w:ilvl w:val="0"/>
          <w:numId w:val="28"/>
        </w:numPr>
      </w:pPr>
      <w:r>
        <w:t>Purely behavioural DR only response may driven primarily by non-A/C end-uses.</w:t>
      </w:r>
    </w:p>
    <w:p w14:paraId="2DE5E10B" w14:textId="776B52DD" w:rsidR="00D07E9E" w:rsidRDefault="00D07E9E" w:rsidP="00D07E9E"/>
    <w:p w14:paraId="6B56E364" w14:textId="66570A6B" w:rsidR="00D07E9E" w:rsidRDefault="00D07E9E" w:rsidP="00D07E9E">
      <w:r>
        <w:t>Note that some caution should be used in interpreting these values. Although these capture the DR only effects of the program, the other variables included to capture the longer-term effects (hourly dummies interacted with a treatment/participant dummy, and the same variable interacted with cooling degree hours) are likely to be correlated with the DR only parameters. Projecting impacts out of sample should be done cautiously, given the possibility that some estimated parameters may be spurious as a result of multi-collinearity.</w:t>
      </w:r>
      <w:r w:rsidR="00836726">
        <w:rPr>
          <w:rStyle w:val="FootnoteReference"/>
        </w:rPr>
        <w:footnoteReference w:id="34"/>
      </w:r>
    </w:p>
    <w:p w14:paraId="43562DB1" w14:textId="503C20B2" w:rsidR="00500D7A" w:rsidRPr="00500D7A" w:rsidRDefault="00500D7A" w:rsidP="00194F48">
      <w:pPr>
        <w:pStyle w:val="Heading3"/>
      </w:pPr>
      <w:bookmarkStart w:id="114" w:name="_Ref1462771"/>
      <w:bookmarkStart w:id="115" w:name="_Toc8393594"/>
      <w:r>
        <w:t>Summer Capability Estimates (Ex-Ante)</w:t>
      </w:r>
      <w:bookmarkEnd w:id="114"/>
      <w:bookmarkEnd w:id="115"/>
    </w:p>
    <w:p w14:paraId="01AFC65F" w14:textId="6DA5AF68" w:rsidR="00500D7A" w:rsidRDefault="00D07E9E" w:rsidP="00500D7A">
      <w:r>
        <w:t xml:space="preserve">A standard output </w:t>
      </w:r>
      <w:r w:rsidR="008949A9">
        <w:t xml:space="preserve">for most evaluations of programs with a DR component </w:t>
      </w:r>
      <w:r w:rsidR="00836726">
        <w:t>is a set of</w:t>
      </w:r>
      <w:r w:rsidR="008949A9">
        <w:t xml:space="preserve"> “ex-ante” estimates.</w:t>
      </w:r>
      <w:r w:rsidR="003505C2">
        <w:t xml:space="preserve"> An ex-ante impact estimate is the estimated impact of a program under certain pre-specified conditions. Typically</w:t>
      </w:r>
      <w:r w:rsidR="00836726">
        <w:t>,</w:t>
      </w:r>
      <w:r w:rsidR="003505C2">
        <w:t xml:space="preserve"> these are weather-related – for example presenting a program’s estimated DR capability under a utility’s 1-in-2, 1-in-10</w:t>
      </w:r>
      <w:r w:rsidR="00836726">
        <w:t xml:space="preserve"> (as in California)</w:t>
      </w:r>
      <w:r w:rsidR="003505C2">
        <w:t xml:space="preserve">, or “design </w:t>
      </w:r>
      <w:r w:rsidR="00836726">
        <w:t xml:space="preserve">criterion” (as in Florida) </w:t>
      </w:r>
      <w:r w:rsidR="003505C2">
        <w:t>weather. Also common – when no design criterion weather values have been established</w:t>
      </w:r>
      <w:r w:rsidR="00836726">
        <w:t xml:space="preserve"> – </w:t>
      </w:r>
      <w:r w:rsidR="003505C2">
        <w:t xml:space="preserve"> is to present ex-ante impacts across a range of different temperatures.</w:t>
      </w:r>
      <w:r w:rsidR="00983DA3">
        <w:t xml:space="preserve"> </w:t>
      </w:r>
      <w:r w:rsidR="00983DA3">
        <w:fldChar w:fldCharType="begin"/>
      </w:r>
      <w:r w:rsidR="00983DA3">
        <w:instrText xml:space="preserve"> REF _Ref1495115 \h </w:instrText>
      </w:r>
      <w:r w:rsidR="00983DA3">
        <w:fldChar w:fldCharType="separate"/>
      </w:r>
      <w:r w:rsidR="00413291">
        <w:t xml:space="preserve">Figure </w:t>
      </w:r>
      <w:r w:rsidR="00413291">
        <w:rPr>
          <w:noProof/>
        </w:rPr>
        <w:t>32</w:t>
      </w:r>
      <w:r w:rsidR="00983DA3">
        <w:fldChar w:fldCharType="end"/>
      </w:r>
      <w:r w:rsidR="00983DA3">
        <w:t xml:space="preserve"> illustrates the estimated relationship between the average demand response capability of the program under a range of outdoor temperatures: the ex-ante DR impacts of the pilot – a key output of this study.</w:t>
      </w:r>
    </w:p>
    <w:p w14:paraId="6A6D234A" w14:textId="39E4B51B" w:rsidR="003505C2" w:rsidRDefault="003505C2" w:rsidP="00500D7A"/>
    <w:p w14:paraId="1604B0FE" w14:textId="74124030" w:rsidR="003505C2" w:rsidRDefault="003505C2" w:rsidP="00500D7A">
      <w:r>
        <w:t xml:space="preserve">Navigant has estimated the total program impact of a CPP event at a range of temperatures from 20 degrees to 32 degrees Celsius. Three sets of ex-ante impacts have been produced: one set assuming all participants are connected, one set assuming the average connectivity rate observed in the summer of 2018, and a third set, assuming all participants are disconnected. These ex-ante values are </w:t>
      </w:r>
      <w:r w:rsidR="00836726">
        <w:t>represented</w:t>
      </w:r>
      <w:r>
        <w:t xml:space="preserve"> in </w:t>
      </w:r>
      <w:r>
        <w:fldChar w:fldCharType="begin"/>
      </w:r>
      <w:r>
        <w:instrText xml:space="preserve"> REF _Ref1495115 \h </w:instrText>
      </w:r>
      <w:r>
        <w:fldChar w:fldCharType="separate"/>
      </w:r>
      <w:r w:rsidR="00413291">
        <w:t xml:space="preserve">Figure </w:t>
      </w:r>
      <w:r w:rsidR="00413291">
        <w:rPr>
          <w:noProof/>
        </w:rPr>
        <w:t>32</w:t>
      </w:r>
      <w:r>
        <w:fldChar w:fldCharType="end"/>
      </w:r>
      <w:r>
        <w:t xml:space="preserve"> below</w:t>
      </w:r>
      <w:r w:rsidR="00836726">
        <w:t xml:space="preserve"> as a set of solid lines</w:t>
      </w:r>
      <w:r>
        <w:t>.</w:t>
      </w:r>
    </w:p>
    <w:p w14:paraId="76CA6ACF" w14:textId="6E8F3B55" w:rsidR="003505C2" w:rsidRDefault="003505C2" w:rsidP="00500D7A"/>
    <w:p w14:paraId="07E42EEF" w14:textId="658333EC" w:rsidR="003505C2" w:rsidRDefault="00836726" w:rsidP="00500D7A">
      <w:r>
        <w:lastRenderedPageBreak/>
        <w:t xml:space="preserve">The ex-ante impacts are presented alongside the individual event ex-post impacts, which are represented by the markers in </w:t>
      </w:r>
      <w:r>
        <w:fldChar w:fldCharType="begin"/>
      </w:r>
      <w:r>
        <w:instrText xml:space="preserve"> REF _Ref1495115 \h </w:instrText>
      </w:r>
      <w:r>
        <w:fldChar w:fldCharType="separate"/>
      </w:r>
      <w:r w:rsidR="00413291">
        <w:t xml:space="preserve">Figure </w:t>
      </w:r>
      <w:r w:rsidR="00413291">
        <w:rPr>
          <w:noProof/>
        </w:rPr>
        <w:t>32</w:t>
      </w:r>
      <w:r>
        <w:fldChar w:fldCharType="end"/>
      </w:r>
      <w:r>
        <w:t xml:space="preserve">. </w:t>
      </w:r>
      <w:r w:rsidR="003505C2">
        <w:t xml:space="preserve">The whiskers around each marker represent the 90% confidence interval associated with that estimated impact. The solid lines represent the series of </w:t>
      </w:r>
      <w:r w:rsidR="005E260C">
        <w:t xml:space="preserve">estimated ex-ante impacts, or program capability under a range of different temperatures. Note that the impacts presented here are the total program impacts, not the DR-only impacts. </w:t>
      </w:r>
    </w:p>
    <w:p w14:paraId="6567E746" w14:textId="782F1188" w:rsidR="003505C2" w:rsidRDefault="003505C2" w:rsidP="00500D7A"/>
    <w:p w14:paraId="4C428847" w14:textId="0749013F" w:rsidR="003505C2" w:rsidRDefault="003505C2" w:rsidP="003505C2">
      <w:pPr>
        <w:pStyle w:val="Caption"/>
      </w:pPr>
      <w:bookmarkStart w:id="116" w:name="_Ref1495115"/>
      <w:bookmarkStart w:id="117" w:name="_Toc8393640"/>
      <w:r>
        <w:t xml:space="preserve">Figure </w:t>
      </w:r>
      <w:fldSimple w:instr=" SEQ Figure \* ARABIC ">
        <w:r w:rsidR="00413291">
          <w:rPr>
            <w:noProof/>
          </w:rPr>
          <w:t>32</w:t>
        </w:r>
      </w:fldSimple>
      <w:bookmarkEnd w:id="116"/>
      <w:r>
        <w:t>: Ex-Ante and Ex-Post Impact Scatter Plot</w:t>
      </w:r>
      <w:bookmarkEnd w:id="117"/>
    </w:p>
    <w:p w14:paraId="40C074D5" w14:textId="7EEF3B81" w:rsidR="003505C2" w:rsidRDefault="005E7BD5" w:rsidP="00500D7A">
      <w:r>
        <w:rPr>
          <w:noProof/>
        </w:rPr>
        <w:drawing>
          <wp:inline distT="0" distB="0" distL="0" distR="0" wp14:anchorId="0651F9A5" wp14:editId="60CAEC6A">
            <wp:extent cx="5943600" cy="4161155"/>
            <wp:effectExtent l="0" t="0" r="0" b="0"/>
            <wp:docPr id="19" name="Chart 19">
              <a:extLst xmlns:a="http://schemas.openxmlformats.org/drawingml/2006/main">
                <a:ext uri="{FF2B5EF4-FFF2-40B4-BE49-F238E27FC236}">
                  <a16:creationId xmlns:a16="http://schemas.microsoft.com/office/drawing/2014/main" id="{B4064D13-C0EA-4B63-8145-10A61CCA7F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ACAC364" w14:textId="6D2EBEB8" w:rsidR="00130CA6" w:rsidRDefault="00EC502E" w:rsidP="00EC502E">
      <w:pPr>
        <w:pStyle w:val="Heading2"/>
      </w:pPr>
      <w:bookmarkStart w:id="118" w:name="_Toc8393595"/>
      <w:r>
        <w:t>Elasticity Findings</w:t>
      </w:r>
      <w:bookmarkEnd w:id="118"/>
    </w:p>
    <w:p w14:paraId="35578A36" w14:textId="091821FA" w:rsidR="00EC502E" w:rsidRDefault="0013361D" w:rsidP="00EC502E">
      <w:r>
        <w:t>Based on the results above, Navigant estimated both an own-price elasticit</w:t>
      </w:r>
      <w:r w:rsidR="00B009FF">
        <w:t>y of daily electricity consumption and an inter-period elasticity of substitution between the Mid-Peak period and the Off-Peak Period.</w:t>
      </w:r>
    </w:p>
    <w:p w14:paraId="7DDC196E" w14:textId="77777777" w:rsidR="003B4802" w:rsidRDefault="003B4802" w:rsidP="00EC502E"/>
    <w:p w14:paraId="3ED0D663" w14:textId="0A6503F1" w:rsidR="00B009FF" w:rsidRDefault="00B009FF" w:rsidP="00B009FF">
      <w:r>
        <w:t>The point estimate of the own-price elasticity of demand, derived from the parameters estimated as part of the regression described above is -3.97. This is an unusually large value. Demand for electricity is typically regarded as quite inelastic in the short-run, whereas the estimated value suggests that it is in fact highly elastic.</w:t>
      </w:r>
    </w:p>
    <w:p w14:paraId="6054E2C8" w14:textId="5C581FF5" w:rsidR="00B009FF" w:rsidRDefault="00B009FF" w:rsidP="00B009FF"/>
    <w:p w14:paraId="3BCED651" w14:textId="224D2B82" w:rsidR="00B009FF" w:rsidRDefault="00B009FF" w:rsidP="00B009FF">
      <w:r>
        <w:t xml:space="preserve">This result is driven by the fact that the average daily cost of electricity for CPP and CPP/RT participants increased by 0.3%, and average daily consumption fell by 1.2%. </w:t>
      </w:r>
    </w:p>
    <w:p w14:paraId="058ACE4E" w14:textId="54BCEA33" w:rsidR="00B009FF" w:rsidRDefault="00B009FF" w:rsidP="00B009FF"/>
    <w:p w14:paraId="2F856E00" w14:textId="6A67505A" w:rsidR="00D44DBC" w:rsidRDefault="00B009FF" w:rsidP="00B009FF">
      <w:r>
        <w:t>Navigant would recommend that this estimated value be used only very cautiousl</w:t>
      </w:r>
      <w:r w:rsidR="00D44DBC">
        <w:t>y, for a number of reasons</w:t>
      </w:r>
      <w:r w:rsidR="00013F91">
        <w:t>.</w:t>
      </w:r>
      <w:r w:rsidR="00D44DBC">
        <w:t xml:space="preserve"> </w:t>
      </w:r>
      <w:r w:rsidR="00013F91">
        <w:t>F</w:t>
      </w:r>
      <w:r w:rsidR="00D44DBC">
        <w:t xml:space="preserve">irstly, the average change in price is </w:t>
      </w:r>
      <w:r w:rsidR="00D44DBC" w:rsidRPr="00413291">
        <w:rPr>
          <w:i/>
        </w:rPr>
        <w:t>very</w:t>
      </w:r>
      <w:r w:rsidR="00D44DBC">
        <w:t xml:space="preserve"> small, as is the average change in consumption. It should be remembered that rates were set to be revenue neutral under the assumption of no behaviour change, so any average change in daily electricity costs</w:t>
      </w:r>
      <w:r w:rsidR="00013F91">
        <w:t xml:space="preserve"> (as calculated for this evaluation)</w:t>
      </w:r>
      <w:r w:rsidR="00D44DBC">
        <w:t xml:space="preserve"> is reflective principally of structural differences between this sample and that used to set the prices.</w:t>
      </w:r>
    </w:p>
    <w:p w14:paraId="65639DDD" w14:textId="77777777" w:rsidR="00D44DBC" w:rsidRDefault="00D44DBC" w:rsidP="00B009FF"/>
    <w:p w14:paraId="28A8FC7A" w14:textId="285881FD" w:rsidR="00D44DBC" w:rsidRDefault="00D44DBC" w:rsidP="00B009FF">
      <w:r>
        <w:t xml:space="preserve">Secondly, this value may well capture a major disconnect between </w:t>
      </w:r>
      <w:r>
        <w:rPr>
          <w:i/>
        </w:rPr>
        <w:t>perceived</w:t>
      </w:r>
      <w:r>
        <w:t xml:space="preserve"> electricity costs, and actual costs. </w:t>
      </w:r>
      <w:r w:rsidR="00013F91">
        <w:t>Even though</w:t>
      </w:r>
      <w:r>
        <w:t xml:space="preserve"> the rate is intended to be revenue neutral when participants make no changes to behaviour, the relatively large value of the CPP price, the sudden nature of events (with only 15 minutes’ warning), </w:t>
      </w:r>
      <w:r w:rsidR="00013F91">
        <w:t>may have led participants to perceive not responding to the rate to be much more costly than actual non-response would have been.</w:t>
      </w:r>
    </w:p>
    <w:p w14:paraId="667F9A4E" w14:textId="3E3B6396" w:rsidR="00013F91" w:rsidRDefault="00013F91" w:rsidP="00B009FF"/>
    <w:p w14:paraId="07683408" w14:textId="135ABFAC" w:rsidR="00013F91" w:rsidRDefault="0060749E">
      <w:r>
        <w:t xml:space="preserve">The estimated inter-period elasticity of substitution is -0.26. </w:t>
      </w:r>
      <w:r w:rsidR="00FC014D">
        <w:t>The negative sign indicates that the two “goods” – Mid-Peak and Off-Peak consumption – are gross substitutes. The complete calculation of this value may be found in Appendix B.</w:t>
      </w:r>
    </w:p>
    <w:p w14:paraId="1B77D71E" w14:textId="18038837" w:rsidR="00DE7520" w:rsidRDefault="00DE7520"/>
    <w:p w14:paraId="5A8D61D9" w14:textId="5614609E" w:rsidR="00DE7520" w:rsidRDefault="00DE7520" w:rsidP="00DE7520">
      <w:pPr>
        <w:pStyle w:val="Heading2"/>
      </w:pPr>
      <w:bookmarkStart w:id="119" w:name="_Toc8393596"/>
      <w:r>
        <w:t>Revenue Adequacy</w:t>
      </w:r>
      <w:bookmarkEnd w:id="119"/>
    </w:p>
    <w:p w14:paraId="66CB6B6E" w14:textId="23F46CDF" w:rsidR="00DE7520" w:rsidRDefault="00DE7520" w:rsidP="00DE7520">
      <w:r>
        <w:t xml:space="preserve">An evaluation requirement of the OEB for the evaluation of this pilot is the publication of a table indicating the revenue adequacy of this program. This table, </w:t>
      </w:r>
      <w:r>
        <w:fldChar w:fldCharType="begin"/>
      </w:r>
      <w:r>
        <w:instrText xml:space="preserve"> REF _Ref5736832 \h </w:instrText>
      </w:r>
      <w:r>
        <w:fldChar w:fldCharType="separate"/>
      </w:r>
      <w:r w:rsidR="00413291">
        <w:t xml:space="preserve">Figure </w:t>
      </w:r>
      <w:r w:rsidR="00413291">
        <w:rPr>
          <w:noProof/>
        </w:rPr>
        <w:t>33</w:t>
      </w:r>
      <w:r>
        <w:fldChar w:fldCharType="end"/>
      </w:r>
      <w:r>
        <w:t>, provides a comparison of aggregate consumption volumes and revenues associated with the participants included in the energy analysis.</w:t>
      </w:r>
      <w:r w:rsidR="004C1051">
        <w:t xml:space="preserve"> All revenues shown below include only the commodity cost (i.e., the TOU rate) and do not reflect delivery charges, taxes, etc.</w:t>
      </w:r>
    </w:p>
    <w:p w14:paraId="4BCF57C6" w14:textId="3E8CC78B" w:rsidR="00DE7520" w:rsidRDefault="00DE7520" w:rsidP="00DE7520"/>
    <w:p w14:paraId="460D4CF8" w14:textId="03AA2EDF" w:rsidR="00DE7520" w:rsidRDefault="00DE7520" w:rsidP="00413291">
      <w:pPr>
        <w:pStyle w:val="Caption"/>
      </w:pPr>
      <w:bookmarkStart w:id="120" w:name="_Ref5736832"/>
      <w:bookmarkStart w:id="121" w:name="_Toc8393641"/>
      <w:r>
        <w:t xml:space="preserve">Figure </w:t>
      </w:r>
      <w:fldSimple w:instr=" SEQ Figure \* ARABIC ">
        <w:r w:rsidR="00413291">
          <w:rPr>
            <w:noProof/>
          </w:rPr>
          <w:t>33</w:t>
        </w:r>
      </w:fldSimple>
      <w:bookmarkEnd w:id="120"/>
      <w:r>
        <w:t>: Revenue Adequacy</w:t>
      </w:r>
      <w:bookmarkEnd w:id="121"/>
    </w:p>
    <w:tbl>
      <w:tblPr>
        <w:tblW w:w="9760" w:type="dxa"/>
        <w:tblLook w:val="04A0" w:firstRow="1" w:lastRow="0" w:firstColumn="1" w:lastColumn="0" w:noHBand="0" w:noVBand="1"/>
      </w:tblPr>
      <w:tblGrid>
        <w:gridCol w:w="1460"/>
        <w:gridCol w:w="1660"/>
        <w:gridCol w:w="1660"/>
        <w:gridCol w:w="1660"/>
        <w:gridCol w:w="1660"/>
        <w:gridCol w:w="1660"/>
      </w:tblGrid>
      <w:tr w:rsidR="00DE7520" w:rsidRPr="00DE7520" w14:paraId="6251FE02" w14:textId="77777777" w:rsidTr="00DE7520">
        <w:trPr>
          <w:trHeight w:val="870"/>
        </w:trPr>
        <w:tc>
          <w:tcPr>
            <w:tcW w:w="1460" w:type="dxa"/>
            <w:tcBorders>
              <w:top w:val="nil"/>
              <w:left w:val="nil"/>
              <w:bottom w:val="nil"/>
              <w:right w:val="nil"/>
            </w:tcBorders>
            <w:shd w:val="clear" w:color="000000" w:fill="00467F"/>
            <w:vAlign w:val="center"/>
            <w:hideMark/>
          </w:tcPr>
          <w:p w14:paraId="450E2911"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Participant Group</w:t>
            </w:r>
          </w:p>
        </w:tc>
        <w:tc>
          <w:tcPr>
            <w:tcW w:w="1660" w:type="dxa"/>
            <w:tcBorders>
              <w:top w:val="nil"/>
              <w:left w:val="nil"/>
              <w:bottom w:val="nil"/>
              <w:right w:val="nil"/>
            </w:tcBorders>
            <w:shd w:val="clear" w:color="000000" w:fill="00467F"/>
            <w:vAlign w:val="center"/>
            <w:hideMark/>
          </w:tcPr>
          <w:p w14:paraId="4B4A5A99"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Consumption Volumes in kWh</w:t>
            </w:r>
          </w:p>
        </w:tc>
        <w:tc>
          <w:tcPr>
            <w:tcW w:w="1660" w:type="dxa"/>
            <w:tcBorders>
              <w:top w:val="nil"/>
              <w:left w:val="nil"/>
              <w:bottom w:val="nil"/>
              <w:right w:val="nil"/>
            </w:tcBorders>
            <w:shd w:val="clear" w:color="000000" w:fill="00467F"/>
            <w:vAlign w:val="center"/>
            <w:hideMark/>
          </w:tcPr>
          <w:p w14:paraId="7E828F39"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Revenues (Pilot Price Plan)</w:t>
            </w:r>
          </w:p>
        </w:tc>
        <w:tc>
          <w:tcPr>
            <w:tcW w:w="1660" w:type="dxa"/>
            <w:tcBorders>
              <w:top w:val="nil"/>
              <w:left w:val="nil"/>
              <w:bottom w:val="nil"/>
              <w:right w:val="nil"/>
            </w:tcBorders>
            <w:shd w:val="clear" w:color="000000" w:fill="00467F"/>
            <w:vAlign w:val="center"/>
            <w:hideMark/>
          </w:tcPr>
          <w:p w14:paraId="71BD7045"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Revenues (Status-Quo TOU)</w:t>
            </w:r>
          </w:p>
        </w:tc>
        <w:tc>
          <w:tcPr>
            <w:tcW w:w="1660" w:type="dxa"/>
            <w:tcBorders>
              <w:top w:val="nil"/>
              <w:left w:val="nil"/>
              <w:bottom w:val="nil"/>
              <w:right w:val="nil"/>
            </w:tcBorders>
            <w:shd w:val="clear" w:color="000000" w:fill="00467F"/>
            <w:vAlign w:val="center"/>
            <w:hideMark/>
          </w:tcPr>
          <w:p w14:paraId="0B88FCEF"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Average Revenue (Pilot Price Plan)</w:t>
            </w:r>
          </w:p>
        </w:tc>
        <w:tc>
          <w:tcPr>
            <w:tcW w:w="1660" w:type="dxa"/>
            <w:tcBorders>
              <w:top w:val="nil"/>
              <w:left w:val="nil"/>
              <w:bottom w:val="nil"/>
              <w:right w:val="nil"/>
            </w:tcBorders>
            <w:shd w:val="clear" w:color="000000" w:fill="00467F"/>
            <w:vAlign w:val="center"/>
            <w:hideMark/>
          </w:tcPr>
          <w:p w14:paraId="215C05AA" w14:textId="77777777" w:rsidR="00DE7520" w:rsidRPr="00DE7520" w:rsidRDefault="00DE7520" w:rsidP="00DE7520">
            <w:pPr>
              <w:spacing w:line="240" w:lineRule="auto"/>
              <w:jc w:val="center"/>
              <w:rPr>
                <w:rFonts w:ascii="Calibri" w:hAnsi="Calibri" w:cs="Calibri"/>
                <w:color w:val="FFFFFF"/>
                <w:sz w:val="22"/>
                <w:szCs w:val="22"/>
              </w:rPr>
            </w:pPr>
            <w:r w:rsidRPr="00DE7520">
              <w:rPr>
                <w:rFonts w:ascii="Calibri" w:hAnsi="Calibri" w:cs="Calibri"/>
                <w:color w:val="FFFFFF"/>
                <w:sz w:val="22"/>
                <w:szCs w:val="22"/>
              </w:rPr>
              <w:t>Average Revenue (Status-Quo TOU)</w:t>
            </w:r>
          </w:p>
        </w:tc>
      </w:tr>
      <w:tr w:rsidR="004C1051" w:rsidRPr="00DE7520" w14:paraId="1E31344C" w14:textId="77777777" w:rsidTr="00413291">
        <w:trPr>
          <w:trHeight w:val="290"/>
        </w:trPr>
        <w:tc>
          <w:tcPr>
            <w:tcW w:w="14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8A75DA" w14:textId="77777777" w:rsidR="004C1051" w:rsidRPr="00DE7520" w:rsidRDefault="004C1051" w:rsidP="004C1051">
            <w:pPr>
              <w:spacing w:line="240" w:lineRule="auto"/>
              <w:rPr>
                <w:rFonts w:ascii="Calibri" w:hAnsi="Calibri" w:cs="Calibri"/>
                <w:color w:val="000000"/>
                <w:sz w:val="22"/>
                <w:szCs w:val="22"/>
              </w:rPr>
            </w:pPr>
            <w:r w:rsidRPr="00DE7520">
              <w:rPr>
                <w:rFonts w:ascii="Calibri" w:hAnsi="Calibri" w:cs="Calibri"/>
                <w:color w:val="000000"/>
                <w:sz w:val="22"/>
                <w:szCs w:val="22"/>
              </w:rPr>
              <w:t>CPP</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0D83850" w14:textId="6187CF5A" w:rsidR="004C1051" w:rsidRPr="00DE7520" w:rsidRDefault="004C1051" w:rsidP="004C1051">
            <w:pPr>
              <w:spacing w:line="240" w:lineRule="auto"/>
              <w:jc w:val="center"/>
              <w:rPr>
                <w:rFonts w:ascii="Calibri" w:hAnsi="Calibri" w:cs="Calibri"/>
                <w:color w:val="000000"/>
                <w:sz w:val="22"/>
                <w:szCs w:val="22"/>
              </w:rPr>
            </w:pPr>
            <w:r w:rsidRPr="00A160D2">
              <w:t>1,296,978</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1F52251" w14:textId="260A9183" w:rsidR="004C1051" w:rsidRPr="00DE7520" w:rsidRDefault="004C1051" w:rsidP="004C1051">
            <w:pPr>
              <w:spacing w:line="240" w:lineRule="auto"/>
              <w:jc w:val="center"/>
              <w:rPr>
                <w:rFonts w:ascii="Calibri" w:hAnsi="Calibri" w:cs="Calibri"/>
                <w:color w:val="000000"/>
                <w:sz w:val="22"/>
                <w:szCs w:val="22"/>
              </w:rPr>
            </w:pPr>
            <w:r w:rsidRPr="00A160D2">
              <w:t>$103,830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4323B51" w14:textId="1E2F478E" w:rsidR="004C1051" w:rsidRPr="00DE7520" w:rsidRDefault="004C1051" w:rsidP="004C1051">
            <w:pPr>
              <w:spacing w:line="240" w:lineRule="auto"/>
              <w:jc w:val="center"/>
              <w:rPr>
                <w:rFonts w:ascii="Calibri" w:hAnsi="Calibri" w:cs="Calibri"/>
                <w:color w:val="000000"/>
                <w:sz w:val="22"/>
                <w:szCs w:val="22"/>
              </w:rPr>
            </w:pPr>
            <w:r w:rsidRPr="00A160D2">
              <w:t>$104,729</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261A6D9E" w14:textId="17CE077C" w:rsidR="004C1051" w:rsidRPr="00DE7520" w:rsidRDefault="004C1051" w:rsidP="004C1051">
            <w:pPr>
              <w:spacing w:line="240" w:lineRule="auto"/>
              <w:jc w:val="center"/>
              <w:rPr>
                <w:rFonts w:ascii="Calibri" w:hAnsi="Calibri" w:cs="Calibri"/>
                <w:color w:val="000000"/>
                <w:sz w:val="22"/>
                <w:szCs w:val="22"/>
              </w:rPr>
            </w:pPr>
            <w:r w:rsidRPr="00A160D2">
              <w:t>$0.08</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14:paraId="5EEBFC0C" w14:textId="1F7E48F5" w:rsidR="004C1051" w:rsidRPr="00DE7520" w:rsidRDefault="004C1051" w:rsidP="004C1051">
            <w:pPr>
              <w:spacing w:line="240" w:lineRule="auto"/>
              <w:jc w:val="center"/>
              <w:rPr>
                <w:rFonts w:ascii="Calibri" w:hAnsi="Calibri" w:cs="Calibri"/>
                <w:color w:val="000000"/>
                <w:sz w:val="22"/>
                <w:szCs w:val="22"/>
              </w:rPr>
            </w:pPr>
            <w:r w:rsidRPr="00A160D2">
              <w:t>$0.08</w:t>
            </w:r>
          </w:p>
        </w:tc>
      </w:tr>
      <w:tr w:rsidR="004C1051" w:rsidRPr="00DE7520" w14:paraId="6AF73C45" w14:textId="77777777" w:rsidTr="00413291">
        <w:trPr>
          <w:trHeight w:val="290"/>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60B01C94" w14:textId="77777777" w:rsidR="004C1051" w:rsidRPr="00DE7520" w:rsidRDefault="004C1051" w:rsidP="004C1051">
            <w:pPr>
              <w:spacing w:line="240" w:lineRule="auto"/>
              <w:rPr>
                <w:rFonts w:ascii="Calibri" w:hAnsi="Calibri" w:cs="Calibri"/>
                <w:color w:val="000000"/>
                <w:sz w:val="22"/>
                <w:szCs w:val="22"/>
              </w:rPr>
            </w:pPr>
            <w:r w:rsidRPr="00DE7520">
              <w:rPr>
                <w:rFonts w:ascii="Calibri" w:hAnsi="Calibri" w:cs="Calibri"/>
                <w:color w:val="000000"/>
                <w:sz w:val="22"/>
                <w:szCs w:val="22"/>
              </w:rPr>
              <w:t>CPP/RT</w:t>
            </w:r>
          </w:p>
        </w:tc>
        <w:tc>
          <w:tcPr>
            <w:tcW w:w="1660" w:type="dxa"/>
            <w:tcBorders>
              <w:top w:val="nil"/>
              <w:left w:val="nil"/>
              <w:bottom w:val="single" w:sz="4" w:space="0" w:color="auto"/>
              <w:right w:val="single" w:sz="4" w:space="0" w:color="auto"/>
            </w:tcBorders>
            <w:shd w:val="clear" w:color="000000" w:fill="FFFFFF"/>
            <w:noWrap/>
            <w:vAlign w:val="center"/>
            <w:hideMark/>
          </w:tcPr>
          <w:p w14:paraId="5F4532DB" w14:textId="010BB41E" w:rsidR="004C1051" w:rsidRPr="00DE7520" w:rsidRDefault="004C1051" w:rsidP="004C1051">
            <w:pPr>
              <w:spacing w:line="240" w:lineRule="auto"/>
              <w:jc w:val="center"/>
              <w:rPr>
                <w:rFonts w:ascii="Calibri" w:hAnsi="Calibri" w:cs="Calibri"/>
                <w:color w:val="000000"/>
                <w:sz w:val="22"/>
                <w:szCs w:val="22"/>
              </w:rPr>
            </w:pPr>
            <w:r w:rsidRPr="00A160D2">
              <w:t>1,384,227</w:t>
            </w:r>
          </w:p>
        </w:tc>
        <w:tc>
          <w:tcPr>
            <w:tcW w:w="1660" w:type="dxa"/>
            <w:tcBorders>
              <w:top w:val="nil"/>
              <w:left w:val="nil"/>
              <w:bottom w:val="single" w:sz="4" w:space="0" w:color="auto"/>
              <w:right w:val="single" w:sz="4" w:space="0" w:color="auto"/>
            </w:tcBorders>
            <w:shd w:val="clear" w:color="000000" w:fill="FFFFFF"/>
            <w:noWrap/>
            <w:vAlign w:val="center"/>
            <w:hideMark/>
          </w:tcPr>
          <w:p w14:paraId="7CBCD445" w14:textId="3D0C12E1" w:rsidR="004C1051" w:rsidRPr="00DE7520" w:rsidRDefault="004C1051" w:rsidP="004C1051">
            <w:pPr>
              <w:spacing w:line="240" w:lineRule="auto"/>
              <w:jc w:val="center"/>
              <w:rPr>
                <w:rFonts w:ascii="Calibri" w:hAnsi="Calibri" w:cs="Calibri"/>
                <w:color w:val="000000"/>
                <w:sz w:val="22"/>
                <w:szCs w:val="22"/>
              </w:rPr>
            </w:pPr>
            <w:r w:rsidRPr="00A160D2">
              <w:t>$110,515</w:t>
            </w:r>
          </w:p>
        </w:tc>
        <w:tc>
          <w:tcPr>
            <w:tcW w:w="1660" w:type="dxa"/>
            <w:tcBorders>
              <w:top w:val="nil"/>
              <w:left w:val="nil"/>
              <w:bottom w:val="single" w:sz="4" w:space="0" w:color="auto"/>
              <w:right w:val="single" w:sz="4" w:space="0" w:color="auto"/>
            </w:tcBorders>
            <w:shd w:val="clear" w:color="000000" w:fill="FFFFFF"/>
            <w:noWrap/>
            <w:vAlign w:val="center"/>
            <w:hideMark/>
          </w:tcPr>
          <w:p w14:paraId="73285DAA" w14:textId="2B29A500" w:rsidR="004C1051" w:rsidRPr="00DE7520" w:rsidRDefault="004C1051" w:rsidP="004C1051">
            <w:pPr>
              <w:spacing w:line="240" w:lineRule="auto"/>
              <w:jc w:val="center"/>
              <w:rPr>
                <w:rFonts w:ascii="Calibri" w:hAnsi="Calibri" w:cs="Calibri"/>
                <w:color w:val="000000"/>
                <w:sz w:val="22"/>
                <w:szCs w:val="22"/>
              </w:rPr>
            </w:pPr>
            <w:r w:rsidRPr="00A160D2">
              <w:t>$111,653</w:t>
            </w:r>
          </w:p>
        </w:tc>
        <w:tc>
          <w:tcPr>
            <w:tcW w:w="1660" w:type="dxa"/>
            <w:tcBorders>
              <w:top w:val="nil"/>
              <w:left w:val="nil"/>
              <w:bottom w:val="single" w:sz="4" w:space="0" w:color="auto"/>
              <w:right w:val="single" w:sz="4" w:space="0" w:color="auto"/>
            </w:tcBorders>
            <w:shd w:val="clear" w:color="000000" w:fill="FFFFFF"/>
            <w:noWrap/>
            <w:vAlign w:val="center"/>
            <w:hideMark/>
          </w:tcPr>
          <w:p w14:paraId="6E9E33AC" w14:textId="0FA9444C" w:rsidR="004C1051" w:rsidRPr="00DE7520" w:rsidRDefault="004C1051" w:rsidP="004C1051">
            <w:pPr>
              <w:spacing w:line="240" w:lineRule="auto"/>
              <w:jc w:val="center"/>
              <w:rPr>
                <w:rFonts w:ascii="Calibri" w:hAnsi="Calibri" w:cs="Calibri"/>
                <w:color w:val="000000"/>
                <w:sz w:val="22"/>
                <w:szCs w:val="22"/>
              </w:rPr>
            </w:pPr>
            <w:r w:rsidRPr="00A160D2">
              <w:t>$0.08</w:t>
            </w:r>
          </w:p>
        </w:tc>
        <w:tc>
          <w:tcPr>
            <w:tcW w:w="1660" w:type="dxa"/>
            <w:tcBorders>
              <w:top w:val="nil"/>
              <w:left w:val="nil"/>
              <w:bottom w:val="single" w:sz="4" w:space="0" w:color="auto"/>
              <w:right w:val="single" w:sz="4" w:space="0" w:color="auto"/>
            </w:tcBorders>
            <w:shd w:val="clear" w:color="000000" w:fill="FFFFFF"/>
            <w:noWrap/>
            <w:vAlign w:val="center"/>
            <w:hideMark/>
          </w:tcPr>
          <w:p w14:paraId="4631437F" w14:textId="04F32111" w:rsidR="004C1051" w:rsidRPr="00DE7520" w:rsidRDefault="004C1051" w:rsidP="004C1051">
            <w:pPr>
              <w:spacing w:line="240" w:lineRule="auto"/>
              <w:jc w:val="center"/>
              <w:rPr>
                <w:rFonts w:ascii="Calibri" w:hAnsi="Calibri" w:cs="Calibri"/>
                <w:color w:val="000000"/>
                <w:sz w:val="22"/>
                <w:szCs w:val="22"/>
              </w:rPr>
            </w:pPr>
            <w:r w:rsidRPr="00A160D2">
              <w:t>$0.08</w:t>
            </w:r>
          </w:p>
        </w:tc>
      </w:tr>
      <w:tr w:rsidR="004C1051" w:rsidRPr="00DE7520" w14:paraId="694B3E57" w14:textId="77777777" w:rsidTr="00413291">
        <w:trPr>
          <w:trHeight w:val="290"/>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29D01ACE" w14:textId="77777777" w:rsidR="004C1051" w:rsidRPr="00DE7520" w:rsidRDefault="004C1051" w:rsidP="004C1051">
            <w:pPr>
              <w:spacing w:line="240" w:lineRule="auto"/>
              <w:rPr>
                <w:rFonts w:ascii="Calibri" w:hAnsi="Calibri" w:cs="Calibri"/>
                <w:color w:val="000000"/>
                <w:sz w:val="22"/>
                <w:szCs w:val="22"/>
              </w:rPr>
            </w:pPr>
            <w:r w:rsidRPr="00DE7520">
              <w:rPr>
                <w:rFonts w:ascii="Calibri" w:hAnsi="Calibri" w:cs="Calibri"/>
                <w:color w:val="000000"/>
                <w:sz w:val="22"/>
                <w:szCs w:val="22"/>
              </w:rPr>
              <w:t>RT</w:t>
            </w:r>
          </w:p>
        </w:tc>
        <w:tc>
          <w:tcPr>
            <w:tcW w:w="1660" w:type="dxa"/>
            <w:tcBorders>
              <w:top w:val="nil"/>
              <w:left w:val="nil"/>
              <w:bottom w:val="single" w:sz="4" w:space="0" w:color="auto"/>
              <w:right w:val="single" w:sz="4" w:space="0" w:color="auto"/>
            </w:tcBorders>
            <w:shd w:val="clear" w:color="000000" w:fill="FFFFFF"/>
            <w:noWrap/>
            <w:vAlign w:val="center"/>
            <w:hideMark/>
          </w:tcPr>
          <w:p w14:paraId="2FA10E81" w14:textId="323ABC23" w:rsidR="004C1051" w:rsidRPr="00DE7520" w:rsidRDefault="004C1051" w:rsidP="004C1051">
            <w:pPr>
              <w:spacing w:line="240" w:lineRule="auto"/>
              <w:jc w:val="center"/>
              <w:rPr>
                <w:rFonts w:ascii="Calibri" w:hAnsi="Calibri" w:cs="Calibri"/>
                <w:color w:val="000000"/>
                <w:sz w:val="22"/>
                <w:szCs w:val="22"/>
              </w:rPr>
            </w:pPr>
            <w:r w:rsidRPr="00A160D2">
              <w:t>5,326,843</w:t>
            </w:r>
          </w:p>
        </w:tc>
        <w:tc>
          <w:tcPr>
            <w:tcW w:w="1660" w:type="dxa"/>
            <w:tcBorders>
              <w:top w:val="nil"/>
              <w:left w:val="nil"/>
              <w:bottom w:val="single" w:sz="4" w:space="0" w:color="auto"/>
              <w:right w:val="single" w:sz="4" w:space="0" w:color="auto"/>
            </w:tcBorders>
            <w:shd w:val="clear" w:color="000000" w:fill="FFFFFF"/>
            <w:noWrap/>
            <w:vAlign w:val="center"/>
            <w:hideMark/>
          </w:tcPr>
          <w:p w14:paraId="50B63125" w14:textId="2FC9FD4C" w:rsidR="004C1051" w:rsidRPr="00DE7520" w:rsidRDefault="004C1051" w:rsidP="004C1051">
            <w:pPr>
              <w:spacing w:line="240" w:lineRule="auto"/>
              <w:jc w:val="center"/>
              <w:rPr>
                <w:rFonts w:ascii="Calibri" w:hAnsi="Calibri" w:cs="Calibri"/>
                <w:color w:val="000000"/>
                <w:sz w:val="22"/>
                <w:szCs w:val="22"/>
              </w:rPr>
            </w:pPr>
            <w:r w:rsidRPr="00A160D2">
              <w:t>N/A</w:t>
            </w:r>
          </w:p>
        </w:tc>
        <w:tc>
          <w:tcPr>
            <w:tcW w:w="1660" w:type="dxa"/>
            <w:tcBorders>
              <w:top w:val="nil"/>
              <w:left w:val="nil"/>
              <w:bottom w:val="single" w:sz="4" w:space="0" w:color="auto"/>
              <w:right w:val="single" w:sz="4" w:space="0" w:color="auto"/>
            </w:tcBorders>
            <w:shd w:val="clear" w:color="000000" w:fill="FFFFFF"/>
            <w:noWrap/>
            <w:vAlign w:val="center"/>
            <w:hideMark/>
          </w:tcPr>
          <w:p w14:paraId="788840D0" w14:textId="7061493A" w:rsidR="004C1051" w:rsidRPr="00DE7520" w:rsidRDefault="004C1051" w:rsidP="004C1051">
            <w:pPr>
              <w:spacing w:line="240" w:lineRule="auto"/>
              <w:jc w:val="center"/>
              <w:rPr>
                <w:rFonts w:ascii="Calibri" w:hAnsi="Calibri" w:cs="Calibri"/>
                <w:color w:val="000000"/>
                <w:sz w:val="22"/>
                <w:szCs w:val="22"/>
              </w:rPr>
            </w:pPr>
            <w:r w:rsidRPr="00A160D2">
              <w:t>$432,959</w:t>
            </w:r>
          </w:p>
        </w:tc>
        <w:tc>
          <w:tcPr>
            <w:tcW w:w="1660" w:type="dxa"/>
            <w:tcBorders>
              <w:top w:val="nil"/>
              <w:left w:val="nil"/>
              <w:bottom w:val="single" w:sz="4" w:space="0" w:color="auto"/>
              <w:right w:val="single" w:sz="4" w:space="0" w:color="auto"/>
            </w:tcBorders>
            <w:shd w:val="clear" w:color="000000" w:fill="FFFFFF"/>
            <w:noWrap/>
            <w:vAlign w:val="center"/>
            <w:hideMark/>
          </w:tcPr>
          <w:p w14:paraId="1E2B6CBE" w14:textId="309CEC25" w:rsidR="004C1051" w:rsidRPr="00DE7520" w:rsidRDefault="004C1051" w:rsidP="004C1051">
            <w:pPr>
              <w:spacing w:line="240" w:lineRule="auto"/>
              <w:jc w:val="center"/>
              <w:rPr>
                <w:rFonts w:ascii="Calibri" w:hAnsi="Calibri" w:cs="Calibri"/>
                <w:color w:val="000000"/>
                <w:sz w:val="22"/>
                <w:szCs w:val="22"/>
              </w:rPr>
            </w:pPr>
            <w:r w:rsidRPr="00A160D2">
              <w:t>N/A</w:t>
            </w:r>
          </w:p>
        </w:tc>
        <w:tc>
          <w:tcPr>
            <w:tcW w:w="1660" w:type="dxa"/>
            <w:tcBorders>
              <w:top w:val="nil"/>
              <w:left w:val="nil"/>
              <w:bottom w:val="single" w:sz="4" w:space="0" w:color="auto"/>
              <w:right w:val="single" w:sz="4" w:space="0" w:color="auto"/>
            </w:tcBorders>
            <w:shd w:val="clear" w:color="000000" w:fill="FFFFFF"/>
            <w:noWrap/>
            <w:vAlign w:val="center"/>
            <w:hideMark/>
          </w:tcPr>
          <w:p w14:paraId="02F76E33" w14:textId="413EE67B" w:rsidR="004C1051" w:rsidRPr="00DE7520" w:rsidRDefault="004C1051" w:rsidP="004C1051">
            <w:pPr>
              <w:spacing w:line="240" w:lineRule="auto"/>
              <w:jc w:val="center"/>
              <w:rPr>
                <w:rFonts w:ascii="Calibri" w:hAnsi="Calibri" w:cs="Calibri"/>
                <w:color w:val="000000"/>
                <w:sz w:val="22"/>
                <w:szCs w:val="22"/>
              </w:rPr>
            </w:pPr>
            <w:r w:rsidRPr="00A160D2">
              <w:t>$0.08</w:t>
            </w:r>
          </w:p>
        </w:tc>
      </w:tr>
      <w:tr w:rsidR="004C1051" w:rsidRPr="00DE7520" w14:paraId="6E85F1D6" w14:textId="77777777" w:rsidTr="00413291">
        <w:trPr>
          <w:trHeight w:val="290"/>
        </w:trPr>
        <w:tc>
          <w:tcPr>
            <w:tcW w:w="1460" w:type="dxa"/>
            <w:tcBorders>
              <w:top w:val="nil"/>
              <w:left w:val="single" w:sz="4" w:space="0" w:color="auto"/>
              <w:bottom w:val="single" w:sz="4" w:space="0" w:color="auto"/>
              <w:right w:val="single" w:sz="4" w:space="0" w:color="auto"/>
            </w:tcBorders>
            <w:shd w:val="clear" w:color="000000" w:fill="FFFFFF"/>
            <w:noWrap/>
            <w:vAlign w:val="bottom"/>
            <w:hideMark/>
          </w:tcPr>
          <w:p w14:paraId="06A38912" w14:textId="77777777" w:rsidR="004C1051" w:rsidRPr="00DE7520" w:rsidRDefault="004C1051" w:rsidP="004C1051">
            <w:pPr>
              <w:spacing w:line="240" w:lineRule="auto"/>
              <w:rPr>
                <w:rFonts w:ascii="Calibri" w:hAnsi="Calibri" w:cs="Calibri"/>
                <w:color w:val="000000"/>
                <w:sz w:val="22"/>
                <w:szCs w:val="22"/>
              </w:rPr>
            </w:pPr>
            <w:r w:rsidRPr="00DE7520">
              <w:rPr>
                <w:rFonts w:ascii="Calibri" w:hAnsi="Calibri" w:cs="Calibri"/>
                <w:color w:val="000000"/>
                <w:sz w:val="22"/>
                <w:szCs w:val="22"/>
              </w:rPr>
              <w:t>Control</w:t>
            </w:r>
          </w:p>
        </w:tc>
        <w:tc>
          <w:tcPr>
            <w:tcW w:w="1660" w:type="dxa"/>
            <w:tcBorders>
              <w:top w:val="nil"/>
              <w:left w:val="nil"/>
              <w:bottom w:val="single" w:sz="4" w:space="0" w:color="auto"/>
              <w:right w:val="single" w:sz="4" w:space="0" w:color="auto"/>
            </w:tcBorders>
            <w:shd w:val="clear" w:color="000000" w:fill="FFFFFF"/>
            <w:noWrap/>
            <w:vAlign w:val="center"/>
            <w:hideMark/>
          </w:tcPr>
          <w:p w14:paraId="4ACE2C83" w14:textId="5DD78A6E" w:rsidR="004C1051" w:rsidRPr="00DE7520" w:rsidRDefault="004C1051" w:rsidP="004C1051">
            <w:pPr>
              <w:spacing w:line="240" w:lineRule="auto"/>
              <w:jc w:val="center"/>
              <w:rPr>
                <w:rFonts w:ascii="Calibri" w:hAnsi="Calibri" w:cs="Calibri"/>
                <w:color w:val="000000"/>
                <w:sz w:val="22"/>
                <w:szCs w:val="22"/>
              </w:rPr>
            </w:pPr>
            <w:r w:rsidRPr="00A160D2">
              <w:t>2,148,459</w:t>
            </w:r>
          </w:p>
        </w:tc>
        <w:tc>
          <w:tcPr>
            <w:tcW w:w="1660" w:type="dxa"/>
            <w:tcBorders>
              <w:top w:val="nil"/>
              <w:left w:val="nil"/>
              <w:bottom w:val="single" w:sz="4" w:space="0" w:color="auto"/>
              <w:right w:val="single" w:sz="4" w:space="0" w:color="auto"/>
            </w:tcBorders>
            <w:shd w:val="clear" w:color="000000" w:fill="FFFFFF"/>
            <w:noWrap/>
            <w:vAlign w:val="center"/>
            <w:hideMark/>
          </w:tcPr>
          <w:p w14:paraId="628E8789" w14:textId="14C562B1" w:rsidR="004C1051" w:rsidRPr="00DE7520" w:rsidRDefault="004C1051" w:rsidP="004C1051">
            <w:pPr>
              <w:spacing w:line="240" w:lineRule="auto"/>
              <w:jc w:val="center"/>
              <w:rPr>
                <w:rFonts w:ascii="Calibri" w:hAnsi="Calibri" w:cs="Calibri"/>
                <w:color w:val="000000"/>
                <w:sz w:val="22"/>
                <w:szCs w:val="22"/>
              </w:rPr>
            </w:pPr>
            <w:r w:rsidRPr="00A160D2">
              <w:t>N/A</w:t>
            </w:r>
          </w:p>
        </w:tc>
        <w:tc>
          <w:tcPr>
            <w:tcW w:w="1660" w:type="dxa"/>
            <w:tcBorders>
              <w:top w:val="nil"/>
              <w:left w:val="nil"/>
              <w:bottom w:val="single" w:sz="4" w:space="0" w:color="auto"/>
              <w:right w:val="single" w:sz="4" w:space="0" w:color="auto"/>
            </w:tcBorders>
            <w:shd w:val="clear" w:color="000000" w:fill="FFFFFF"/>
            <w:noWrap/>
            <w:vAlign w:val="center"/>
            <w:hideMark/>
          </w:tcPr>
          <w:p w14:paraId="10F28CD5" w14:textId="70E6AE74" w:rsidR="004C1051" w:rsidRPr="00DE7520" w:rsidRDefault="004C1051" w:rsidP="004C1051">
            <w:pPr>
              <w:spacing w:line="240" w:lineRule="auto"/>
              <w:jc w:val="center"/>
              <w:rPr>
                <w:rFonts w:ascii="Calibri" w:hAnsi="Calibri" w:cs="Calibri"/>
                <w:color w:val="000000"/>
                <w:sz w:val="22"/>
                <w:szCs w:val="22"/>
              </w:rPr>
            </w:pPr>
            <w:r w:rsidRPr="00A160D2">
              <w:t>$175,666</w:t>
            </w:r>
          </w:p>
        </w:tc>
        <w:tc>
          <w:tcPr>
            <w:tcW w:w="1660" w:type="dxa"/>
            <w:tcBorders>
              <w:top w:val="nil"/>
              <w:left w:val="nil"/>
              <w:bottom w:val="single" w:sz="4" w:space="0" w:color="auto"/>
              <w:right w:val="single" w:sz="4" w:space="0" w:color="auto"/>
            </w:tcBorders>
            <w:shd w:val="clear" w:color="000000" w:fill="FFFFFF"/>
            <w:noWrap/>
            <w:vAlign w:val="center"/>
            <w:hideMark/>
          </w:tcPr>
          <w:p w14:paraId="441176BC" w14:textId="3CA340F5" w:rsidR="004C1051" w:rsidRPr="00DE7520" w:rsidRDefault="004C1051" w:rsidP="004C1051">
            <w:pPr>
              <w:spacing w:line="240" w:lineRule="auto"/>
              <w:jc w:val="center"/>
              <w:rPr>
                <w:rFonts w:ascii="Calibri" w:hAnsi="Calibri" w:cs="Calibri"/>
                <w:color w:val="000000"/>
                <w:sz w:val="22"/>
                <w:szCs w:val="22"/>
              </w:rPr>
            </w:pPr>
            <w:r w:rsidRPr="00A160D2">
              <w:t>N/A</w:t>
            </w:r>
          </w:p>
        </w:tc>
        <w:tc>
          <w:tcPr>
            <w:tcW w:w="1660" w:type="dxa"/>
            <w:tcBorders>
              <w:top w:val="nil"/>
              <w:left w:val="nil"/>
              <w:bottom w:val="single" w:sz="4" w:space="0" w:color="auto"/>
              <w:right w:val="single" w:sz="4" w:space="0" w:color="auto"/>
            </w:tcBorders>
            <w:shd w:val="clear" w:color="000000" w:fill="FFFFFF"/>
            <w:noWrap/>
            <w:vAlign w:val="center"/>
            <w:hideMark/>
          </w:tcPr>
          <w:p w14:paraId="6D04DC57" w14:textId="3B0CD3DB" w:rsidR="004C1051" w:rsidRPr="00DE7520" w:rsidRDefault="004C1051" w:rsidP="004C1051">
            <w:pPr>
              <w:spacing w:line="240" w:lineRule="auto"/>
              <w:jc w:val="center"/>
              <w:rPr>
                <w:rFonts w:ascii="Calibri" w:hAnsi="Calibri" w:cs="Calibri"/>
                <w:color w:val="000000"/>
                <w:sz w:val="22"/>
                <w:szCs w:val="22"/>
              </w:rPr>
            </w:pPr>
            <w:r w:rsidRPr="00A160D2">
              <w:t>$0.08</w:t>
            </w:r>
          </w:p>
        </w:tc>
      </w:tr>
    </w:tbl>
    <w:p w14:paraId="39CFF8BD" w14:textId="18650BC6" w:rsidR="00DE7520" w:rsidRDefault="00DE7520" w:rsidP="00DE7520"/>
    <w:p w14:paraId="77817C14" w14:textId="51DE289D" w:rsidR="004C1051" w:rsidRDefault="004C1051" w:rsidP="00DE7520">
      <w:r>
        <w:t>These values are drawn from London Hydro’s billing system. These values were calculated using participant and control customer bills with a billing cycle start date no earlier than 2018-04-15, and a billing cycle end date no later than 2018-11-15.</w:t>
      </w:r>
      <w:r>
        <w:rPr>
          <w:rStyle w:val="FootnoteReference"/>
        </w:rPr>
        <w:footnoteReference w:id="35"/>
      </w:r>
      <w:r>
        <w:t xml:space="preserve"> This includes only those participants included in the analysis (i.e., participants that exited the program prior to completion have been excluded).</w:t>
      </w:r>
    </w:p>
    <w:p w14:paraId="52C8F3F6" w14:textId="1B3AA927" w:rsidR="0034348C" w:rsidRDefault="0034348C" w:rsidP="00DE7520"/>
    <w:p w14:paraId="34780600" w14:textId="73BDD55C" w:rsidR="0034348C" w:rsidRPr="0034348C" w:rsidRDefault="0034348C" w:rsidP="00DE7520">
      <w:r>
        <w:t xml:space="preserve">What </w:t>
      </w:r>
      <w:r>
        <w:fldChar w:fldCharType="begin"/>
      </w:r>
      <w:r>
        <w:instrText xml:space="preserve"> REF _Ref5736832 \h </w:instrText>
      </w:r>
      <w:r>
        <w:fldChar w:fldCharType="separate"/>
      </w:r>
      <w:r w:rsidR="00413291">
        <w:t xml:space="preserve">Figure </w:t>
      </w:r>
      <w:r w:rsidR="00413291">
        <w:rPr>
          <w:noProof/>
        </w:rPr>
        <w:t>33</w:t>
      </w:r>
      <w:r>
        <w:fldChar w:fldCharType="end"/>
      </w:r>
      <w:r>
        <w:t xml:space="preserve"> shows is that the difference between actual commodity revenues collected by London Hydro and the revenue that would have been collected under standard TOU </w:t>
      </w:r>
      <w:r w:rsidRPr="0034348C">
        <w:t>rates</w:t>
      </w:r>
      <w:r>
        <w:t xml:space="preserve"> - </w:t>
      </w:r>
      <w:r w:rsidRPr="0034348C">
        <w:t xml:space="preserve">had the same </w:t>
      </w:r>
      <w:r w:rsidRPr="0034348C">
        <w:lastRenderedPageBreak/>
        <w:t>program effects been observed under those rates</w:t>
      </w:r>
      <w:r>
        <w:t xml:space="preserve"> - is very small on a relative basis. The average difference between the two sets of revenue is less than 1% in absolute value.</w:t>
      </w:r>
    </w:p>
    <w:p w14:paraId="172012B2" w14:textId="2A32BE4E" w:rsidR="004C1051" w:rsidRDefault="004C1051" w:rsidP="00DE7520"/>
    <w:p w14:paraId="77BB8994" w14:textId="01AFA938" w:rsidR="004C1051" w:rsidRDefault="00297B8A" w:rsidP="00DE7520">
      <w:r>
        <w:t>Navigant has calculated the</w:t>
      </w:r>
      <w:r w:rsidR="004C1051">
        <w:t xml:space="preserve"> differential between CPP and CPP/RT customers’ </w:t>
      </w:r>
      <w:r w:rsidR="00841556">
        <w:t>commodity costs</w:t>
      </w:r>
      <w:r w:rsidR="004C1051">
        <w:t xml:space="preserve">, and what they would have paid had these bills been calculated using </w:t>
      </w:r>
      <w:r w:rsidR="00841556">
        <w:t xml:space="preserve">standard TOU commodity rates. The frequency distribution of these differences is shown in </w:t>
      </w:r>
      <w:r w:rsidR="00841556">
        <w:fldChar w:fldCharType="begin"/>
      </w:r>
      <w:r w:rsidR="00841556">
        <w:instrText xml:space="preserve"> REF _Ref8390807 \h </w:instrText>
      </w:r>
      <w:r w:rsidR="00841556">
        <w:fldChar w:fldCharType="separate"/>
      </w:r>
      <w:r w:rsidR="00413291">
        <w:t xml:space="preserve">Figure </w:t>
      </w:r>
      <w:r w:rsidR="00413291">
        <w:rPr>
          <w:noProof/>
        </w:rPr>
        <w:t>34</w:t>
      </w:r>
      <w:r w:rsidR="00841556">
        <w:fldChar w:fldCharType="end"/>
      </w:r>
      <w:r w:rsidR="00841556">
        <w:t xml:space="preserve"> (CPP-only) and </w:t>
      </w:r>
      <w:r w:rsidR="00841556">
        <w:fldChar w:fldCharType="begin"/>
      </w:r>
      <w:r w:rsidR="00841556">
        <w:instrText xml:space="preserve"> REF _Ref8390823 \h </w:instrText>
      </w:r>
      <w:r w:rsidR="00841556">
        <w:fldChar w:fldCharType="separate"/>
      </w:r>
      <w:r w:rsidR="00413291">
        <w:t xml:space="preserve">Figure </w:t>
      </w:r>
      <w:r w:rsidR="00413291">
        <w:rPr>
          <w:noProof/>
        </w:rPr>
        <w:t>35</w:t>
      </w:r>
      <w:r w:rsidR="00841556">
        <w:fldChar w:fldCharType="end"/>
      </w:r>
      <w:r w:rsidR="00841556">
        <w:t xml:space="preserve"> (CPP/RT) below.</w:t>
      </w:r>
    </w:p>
    <w:p w14:paraId="674A3A6F" w14:textId="40C3A61E" w:rsidR="00841556" w:rsidRDefault="00841556" w:rsidP="00DE7520"/>
    <w:p w14:paraId="2CC8967B" w14:textId="1D1A68B1" w:rsidR="00841556" w:rsidRPr="00841556" w:rsidRDefault="00841556" w:rsidP="00DE7520">
      <w:r>
        <w:t xml:space="preserve">Note that these are </w:t>
      </w:r>
      <w:r>
        <w:rPr>
          <w:i/>
        </w:rPr>
        <w:t>not</w:t>
      </w:r>
      <w:r>
        <w:t xml:space="preserve"> bill impacts. A participant’s bill impact is the difference between what the participant actually paid, and what that participant would have paid under standard TOU rates </w:t>
      </w:r>
      <w:r>
        <w:rPr>
          <w:i/>
        </w:rPr>
        <w:t>had their consumption not changed in response to the program.</w:t>
      </w:r>
      <w:r>
        <w:t xml:space="preserve"> </w:t>
      </w:r>
    </w:p>
    <w:p w14:paraId="4AFF9E52" w14:textId="4864EB9C" w:rsidR="00841556" w:rsidRDefault="00841556" w:rsidP="00DE7520"/>
    <w:p w14:paraId="05009F72" w14:textId="1173234A" w:rsidR="00841556" w:rsidRDefault="00841556" w:rsidP="00841556">
      <w:pPr>
        <w:pStyle w:val="Caption"/>
      </w:pPr>
      <w:bookmarkStart w:id="122" w:name="_Ref8390807"/>
      <w:bookmarkStart w:id="123" w:name="_Toc8393642"/>
      <w:r>
        <w:t xml:space="preserve">Figure </w:t>
      </w:r>
      <w:fldSimple w:instr=" SEQ Figure \* ARABIC ">
        <w:r w:rsidR="00413291">
          <w:rPr>
            <w:noProof/>
          </w:rPr>
          <w:t>34</w:t>
        </w:r>
      </w:fldSimple>
      <w:bookmarkEnd w:id="122"/>
      <w:r>
        <w:t xml:space="preserve">: </w:t>
      </w:r>
      <w:r w:rsidRPr="005F3BB6">
        <w:t>Distribution of CPP-Only Participant Cost Differentials</w:t>
      </w:r>
      <w:bookmarkEnd w:id="123"/>
    </w:p>
    <w:p w14:paraId="12768603" w14:textId="77777777" w:rsidR="00841556" w:rsidRDefault="00841556" w:rsidP="00413291">
      <w:pPr>
        <w:keepNext/>
        <w:jc w:val="center"/>
      </w:pPr>
      <w:r>
        <w:rPr>
          <w:noProof/>
        </w:rPr>
        <w:drawing>
          <wp:inline distT="0" distB="0" distL="0" distR="0" wp14:anchorId="4D1EB4FF" wp14:editId="0B6025B3">
            <wp:extent cx="4572000" cy="2736850"/>
            <wp:effectExtent l="0" t="0" r="0" b="6350"/>
            <wp:docPr id="21" name="Chart 21">
              <a:extLst xmlns:a="http://schemas.openxmlformats.org/drawingml/2006/main">
                <a:ext uri="{FF2B5EF4-FFF2-40B4-BE49-F238E27FC236}">
                  <a16:creationId xmlns:a16="http://schemas.microsoft.com/office/drawing/2014/main" id="{0424A23B-1CAF-4C40-A789-C01B27F6BD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35A166D" w14:textId="696FE34C" w:rsidR="00841556" w:rsidRDefault="00841556" w:rsidP="00DE7520"/>
    <w:p w14:paraId="747C7C90" w14:textId="49E70777" w:rsidR="00841556" w:rsidRDefault="00841556" w:rsidP="00841556">
      <w:pPr>
        <w:pStyle w:val="Caption"/>
      </w:pPr>
      <w:bookmarkStart w:id="124" w:name="_Ref8390823"/>
      <w:bookmarkStart w:id="125" w:name="_Toc8393643"/>
      <w:r>
        <w:lastRenderedPageBreak/>
        <w:t xml:space="preserve">Figure </w:t>
      </w:r>
      <w:fldSimple w:instr=" SEQ Figure \* ARABIC ">
        <w:r w:rsidR="00413291">
          <w:rPr>
            <w:noProof/>
          </w:rPr>
          <w:t>35</w:t>
        </w:r>
      </w:fldSimple>
      <w:bookmarkEnd w:id="124"/>
      <w:r>
        <w:t xml:space="preserve">: </w:t>
      </w:r>
      <w:r w:rsidRPr="00E322E2">
        <w:t>Distribution of CPP</w:t>
      </w:r>
      <w:r>
        <w:t>/RT</w:t>
      </w:r>
      <w:r w:rsidRPr="00E322E2">
        <w:t xml:space="preserve"> Participant Cost Differentials</w:t>
      </w:r>
      <w:bookmarkEnd w:id="125"/>
    </w:p>
    <w:p w14:paraId="046FBC18" w14:textId="50EDE1DF" w:rsidR="00841556" w:rsidRPr="00DE7520" w:rsidRDefault="00841556" w:rsidP="00413291">
      <w:pPr>
        <w:jc w:val="center"/>
      </w:pPr>
      <w:r>
        <w:rPr>
          <w:noProof/>
        </w:rPr>
        <w:drawing>
          <wp:inline distT="0" distB="0" distL="0" distR="0" wp14:anchorId="50FF06F2" wp14:editId="5B3F20C2">
            <wp:extent cx="4572000" cy="2740025"/>
            <wp:effectExtent l="0" t="0" r="0" b="3175"/>
            <wp:docPr id="22" name="Chart 22">
              <a:extLst xmlns:a="http://schemas.openxmlformats.org/drawingml/2006/main">
                <a:ext uri="{FF2B5EF4-FFF2-40B4-BE49-F238E27FC236}">
                  <a16:creationId xmlns:a16="http://schemas.microsoft.com/office/drawing/2014/main" id="{28063E86-26AB-4361-9D5A-9D6A4A5F4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E249856" w14:textId="16594B7B" w:rsidR="00BF1A21" w:rsidRDefault="00045E94" w:rsidP="00BF1A21">
      <w:pPr>
        <w:pStyle w:val="Heading1"/>
      </w:pPr>
      <w:bookmarkStart w:id="126" w:name="_Ref965637"/>
      <w:bookmarkStart w:id="127" w:name="_Toc8393597"/>
      <w:r>
        <w:lastRenderedPageBreak/>
        <w:t xml:space="preserve">Key Findings, </w:t>
      </w:r>
      <w:r w:rsidR="00BF1A21">
        <w:t>Conclusions</w:t>
      </w:r>
      <w:bookmarkEnd w:id="126"/>
      <w:r>
        <w:t>, and Recommendations</w:t>
      </w:r>
      <w:bookmarkEnd w:id="127"/>
    </w:p>
    <w:p w14:paraId="7AB16D12" w14:textId="3C24759F" w:rsidR="00045E94" w:rsidRDefault="00045E94" w:rsidP="00045E94">
      <w:r>
        <w:t>This final chapter of the report is divided into three sections.</w:t>
      </w:r>
    </w:p>
    <w:p w14:paraId="673390B0" w14:textId="5E3B89DC" w:rsidR="00836726" w:rsidRDefault="00836726" w:rsidP="00045E94">
      <w:pPr>
        <w:pStyle w:val="ListParagraph"/>
        <w:numPr>
          <w:ilvl w:val="0"/>
          <w:numId w:val="30"/>
        </w:numPr>
      </w:pPr>
      <w:r w:rsidRPr="00964F42">
        <w:rPr>
          <w:b/>
        </w:rPr>
        <w:fldChar w:fldCharType="begin"/>
      </w:r>
      <w:r w:rsidRPr="00964F42">
        <w:rPr>
          <w:b/>
        </w:rPr>
        <w:instrText xml:space="preserve"> REF _Ref1587717 \h </w:instrText>
      </w:r>
      <w:r w:rsidR="00964F42">
        <w:rPr>
          <w:b/>
        </w:rPr>
        <w:instrText xml:space="preserve"> \* MERGEFORMAT </w:instrText>
      </w:r>
      <w:r w:rsidRPr="00964F42">
        <w:rPr>
          <w:b/>
        </w:rPr>
      </w:r>
      <w:r w:rsidRPr="00964F42">
        <w:rPr>
          <w:b/>
        </w:rPr>
        <w:fldChar w:fldCharType="separate"/>
      </w:r>
      <w:r w:rsidR="00413291" w:rsidRPr="00413291">
        <w:rPr>
          <w:b/>
        </w:rPr>
        <w:t>Key Findings</w:t>
      </w:r>
      <w:r w:rsidRPr="00964F42">
        <w:rPr>
          <w:b/>
        </w:rPr>
        <w:fldChar w:fldCharType="end"/>
      </w:r>
      <w:r w:rsidRPr="00964F42">
        <w:rPr>
          <w:b/>
        </w:rPr>
        <w:t>.</w:t>
      </w:r>
      <w:r>
        <w:t xml:space="preserve"> This section provides some of the most important quantitative outputs of the two main analyses undertaken.</w:t>
      </w:r>
    </w:p>
    <w:p w14:paraId="1FE1ADB0" w14:textId="50A8AEE7" w:rsidR="00836726" w:rsidRDefault="00836726" w:rsidP="00045E94">
      <w:pPr>
        <w:pStyle w:val="ListParagraph"/>
        <w:numPr>
          <w:ilvl w:val="0"/>
          <w:numId w:val="30"/>
        </w:numPr>
      </w:pPr>
      <w:r w:rsidRPr="00964F42">
        <w:rPr>
          <w:b/>
        </w:rPr>
        <w:fldChar w:fldCharType="begin"/>
      </w:r>
      <w:r w:rsidRPr="00964F42">
        <w:rPr>
          <w:b/>
        </w:rPr>
        <w:instrText xml:space="preserve"> REF _Ref1587720 \h </w:instrText>
      </w:r>
      <w:r w:rsidR="00964F42">
        <w:rPr>
          <w:b/>
        </w:rPr>
        <w:instrText xml:space="preserve"> \* MERGEFORMAT </w:instrText>
      </w:r>
      <w:r w:rsidRPr="00964F42">
        <w:rPr>
          <w:b/>
        </w:rPr>
      </w:r>
      <w:r w:rsidRPr="00964F42">
        <w:rPr>
          <w:b/>
        </w:rPr>
        <w:fldChar w:fldCharType="separate"/>
      </w:r>
      <w:r w:rsidR="00413291" w:rsidRPr="00413291">
        <w:rPr>
          <w:b/>
        </w:rPr>
        <w:t>Conclusions</w:t>
      </w:r>
      <w:r w:rsidRPr="00964F42">
        <w:rPr>
          <w:b/>
        </w:rPr>
        <w:fldChar w:fldCharType="end"/>
      </w:r>
      <w:r w:rsidRPr="00964F42">
        <w:rPr>
          <w:b/>
        </w:rPr>
        <w:t>.</w:t>
      </w:r>
      <w:r>
        <w:t xml:space="preserve"> This section contextualizes the quantitative findings and interprets the implications of those findings.</w:t>
      </w:r>
    </w:p>
    <w:p w14:paraId="08750047" w14:textId="2C31E679" w:rsidR="00045E94" w:rsidRDefault="00836726" w:rsidP="00045E94">
      <w:pPr>
        <w:pStyle w:val="ListParagraph"/>
        <w:numPr>
          <w:ilvl w:val="0"/>
          <w:numId w:val="30"/>
        </w:numPr>
      </w:pPr>
      <w:r w:rsidRPr="00964F42">
        <w:rPr>
          <w:b/>
        </w:rPr>
        <w:fldChar w:fldCharType="begin"/>
      </w:r>
      <w:r w:rsidRPr="00964F42">
        <w:rPr>
          <w:b/>
        </w:rPr>
        <w:instrText xml:space="preserve"> REF _Ref1550337 \h </w:instrText>
      </w:r>
      <w:r w:rsidR="00964F42">
        <w:rPr>
          <w:b/>
        </w:rPr>
        <w:instrText xml:space="preserve"> \* MERGEFORMAT </w:instrText>
      </w:r>
      <w:r w:rsidRPr="00964F42">
        <w:rPr>
          <w:b/>
        </w:rPr>
      </w:r>
      <w:r w:rsidRPr="00964F42">
        <w:rPr>
          <w:b/>
        </w:rPr>
        <w:fldChar w:fldCharType="separate"/>
      </w:r>
      <w:r w:rsidR="00413291" w:rsidRPr="00413291">
        <w:rPr>
          <w:b/>
        </w:rPr>
        <w:t>Recommendations</w:t>
      </w:r>
      <w:r w:rsidRPr="00964F42">
        <w:rPr>
          <w:b/>
        </w:rPr>
        <w:fldChar w:fldCharType="end"/>
      </w:r>
      <w:r>
        <w:t xml:space="preserve">. This section provides a set of concrete recommendations for next steps, as the OEB </w:t>
      </w:r>
      <w:r w:rsidR="00964F42">
        <w:t>continues to deploy its RPP Roadmap.</w:t>
      </w:r>
    </w:p>
    <w:p w14:paraId="64FE5FA5" w14:textId="372B226B" w:rsidR="00045E94" w:rsidRDefault="00045E94" w:rsidP="00045E94">
      <w:pPr>
        <w:pStyle w:val="Heading2"/>
      </w:pPr>
      <w:bookmarkStart w:id="128" w:name="_Ref1587717"/>
      <w:bookmarkStart w:id="129" w:name="_Toc8393598"/>
      <w:r>
        <w:t>Key Findings</w:t>
      </w:r>
      <w:bookmarkEnd w:id="128"/>
      <w:bookmarkEnd w:id="129"/>
    </w:p>
    <w:p w14:paraId="0CD43DEA" w14:textId="558E965B" w:rsidR="00045E94" w:rsidRDefault="00045E94" w:rsidP="00045E94">
      <w:r>
        <w:t>There are two sets of key findings for this interim report: those associated with the energy savings impact analysis, and those associated with the CPP event demand reduction analysis.</w:t>
      </w:r>
    </w:p>
    <w:p w14:paraId="51BD61D6" w14:textId="7EF4BF6B" w:rsidR="00045E94" w:rsidRDefault="00045E94" w:rsidP="00045E94">
      <w:pPr>
        <w:pStyle w:val="Heading3"/>
      </w:pPr>
      <w:bookmarkStart w:id="130" w:name="_Toc8393599"/>
      <w:r>
        <w:t>Energy Impact Key Findings</w:t>
      </w:r>
      <w:bookmarkEnd w:id="130"/>
    </w:p>
    <w:p w14:paraId="7E3F5A7B" w14:textId="77777777" w:rsidR="00964F42" w:rsidRDefault="00964F42" w:rsidP="00964F42">
      <w:r>
        <w:t>Navigant’s key findings from the energy impact analysis include:</w:t>
      </w:r>
    </w:p>
    <w:p w14:paraId="5F7F242E" w14:textId="215CEBBE" w:rsidR="00964F42" w:rsidRDefault="00964F42" w:rsidP="00964F42">
      <w:pPr>
        <w:pStyle w:val="ListParagraph"/>
        <w:numPr>
          <w:ilvl w:val="0"/>
          <w:numId w:val="26"/>
        </w:numPr>
      </w:pPr>
      <w:r>
        <w:rPr>
          <w:b/>
        </w:rPr>
        <w:t xml:space="preserve">CPP participants delivered On-Peak and Mid-Peak energy savings with a reasonably high degree of certainty. </w:t>
      </w:r>
      <w:r>
        <w:t>CPP and CPP/RT participants reduced their daily:</w:t>
      </w:r>
    </w:p>
    <w:p w14:paraId="2B9BF086" w14:textId="77777777" w:rsidR="00964F42" w:rsidRDefault="00964F42" w:rsidP="00964F42">
      <w:pPr>
        <w:pStyle w:val="ListParagraph"/>
        <w:numPr>
          <w:ilvl w:val="1"/>
          <w:numId w:val="26"/>
        </w:numPr>
      </w:pPr>
      <w:r>
        <w:t>On-Peak consumption by approximately 5% on average</w:t>
      </w:r>
    </w:p>
    <w:p w14:paraId="1867092B" w14:textId="77777777" w:rsidR="00964F42" w:rsidRDefault="00964F42" w:rsidP="00964F42">
      <w:pPr>
        <w:pStyle w:val="ListParagraph"/>
        <w:numPr>
          <w:ilvl w:val="1"/>
          <w:numId w:val="26"/>
        </w:numPr>
      </w:pPr>
      <w:r>
        <w:t>Mid-Peak consumption by approximately 3% on average</w:t>
      </w:r>
    </w:p>
    <w:p w14:paraId="43D76AD9" w14:textId="04CC8A4E" w:rsidR="00964F42" w:rsidRDefault="001A54F6" w:rsidP="00964F42">
      <w:pPr>
        <w:pStyle w:val="ListParagraph"/>
        <w:numPr>
          <w:ilvl w:val="0"/>
          <w:numId w:val="26"/>
        </w:numPr>
      </w:pPr>
      <w:r>
        <w:rPr>
          <w:b/>
        </w:rPr>
        <w:t>RT-Only participants delivered modest On-Peak energy savings, although these results are less certain.</w:t>
      </w:r>
      <w:r w:rsidR="00964F42">
        <w:rPr>
          <w:b/>
        </w:rPr>
        <w:t xml:space="preserve">. </w:t>
      </w:r>
      <w:r w:rsidR="00964F42">
        <w:t>RT participants reduced their On-Peak consumption by just over 2%, although these results are less certain than those of the CPP group.</w:t>
      </w:r>
    </w:p>
    <w:p w14:paraId="3A2AD176" w14:textId="77777777" w:rsidR="00964F42" w:rsidRDefault="00964F42" w:rsidP="00964F42">
      <w:pPr>
        <w:pStyle w:val="ListParagraph"/>
        <w:numPr>
          <w:ilvl w:val="0"/>
          <w:numId w:val="26"/>
        </w:numPr>
      </w:pPr>
      <w:r>
        <w:rPr>
          <w:b/>
        </w:rPr>
        <w:t>CPP partici</w:t>
      </w:r>
      <w:r w:rsidRPr="00462040">
        <w:rPr>
          <w:b/>
        </w:rPr>
        <w:t>pants also equipped with the RT technology are saving the same as CPP-only participants.</w:t>
      </w:r>
      <w:r>
        <w:rPr>
          <w:b/>
        </w:rPr>
        <w:t xml:space="preserve"> </w:t>
      </w:r>
      <w:r>
        <w:t>Navigant found no statistically significant difference between the energy savings achieved by CPP and CPP/RT participants. This suggests that savings are being driven by a combination of the price-effect (attempting to reduce risk by limiting consumption during periods more likely to observe a critical peak price) and the educational component provided by London Hydro.</w:t>
      </w:r>
    </w:p>
    <w:p w14:paraId="0E606748" w14:textId="17B2726A" w:rsidR="00045E94" w:rsidRPr="00045E94" w:rsidRDefault="00964F42" w:rsidP="00964F42">
      <w:pPr>
        <w:pStyle w:val="ListParagraph"/>
        <w:numPr>
          <w:ilvl w:val="0"/>
          <w:numId w:val="26"/>
        </w:numPr>
      </w:pPr>
      <w:r w:rsidRPr="00045E94">
        <w:rPr>
          <w:b/>
        </w:rPr>
        <w:t>Energy savings appear to be driven by a variety of end-uses.</w:t>
      </w:r>
      <w:r>
        <w:t xml:space="preserve"> Based on the regression-estimated parameters, approximately a third (On-Peak) and 40% (Mid-Peak) of CPP participant savings are insensitive to temperature, with the balance of savings being temperature driven. This suggests that participants did not rely solely on reducing A/C use (typically the largest single discretionary load in a home) to achieve savings. For RT participants approximately 60% of savings appear to be temperature-insensitive.</w:t>
      </w:r>
    </w:p>
    <w:p w14:paraId="18D5B7BC" w14:textId="363CEEEA" w:rsidR="002A7ABE" w:rsidRDefault="00045E94" w:rsidP="00045E94">
      <w:pPr>
        <w:pStyle w:val="Heading3"/>
      </w:pPr>
      <w:bookmarkStart w:id="131" w:name="_Toc8393600"/>
      <w:r>
        <w:t>CPP Event Demand Impact Key Findings</w:t>
      </w:r>
      <w:bookmarkEnd w:id="131"/>
    </w:p>
    <w:p w14:paraId="5AA64845" w14:textId="7493023F" w:rsidR="00045E94" w:rsidRDefault="00836C9A" w:rsidP="00045E94">
      <w:r>
        <w:t>Navigant’s key findings from the demand impact analysis include:</w:t>
      </w:r>
    </w:p>
    <w:p w14:paraId="111B57F0" w14:textId="77777777" w:rsidR="00964F42" w:rsidRDefault="00964F42" w:rsidP="00964F42">
      <w:pPr>
        <w:pStyle w:val="ListParagraph"/>
        <w:numPr>
          <w:ilvl w:val="0"/>
          <w:numId w:val="29"/>
        </w:numPr>
      </w:pPr>
      <w:r>
        <w:rPr>
          <w:b/>
        </w:rPr>
        <w:lastRenderedPageBreak/>
        <w:t xml:space="preserve">CPP event demand reductions were substantial. </w:t>
      </w:r>
      <w:r>
        <w:t>On average, CPP participants delivered 0.67 kW of demand reductions (approximately a third of baseline demand) during CPP events and delivered 1 kW of reductions per participant during the hottest event, on July 4</w:t>
      </w:r>
      <w:r w:rsidRPr="00130CA6">
        <w:rPr>
          <w:vertAlign w:val="superscript"/>
        </w:rPr>
        <w:t>th</w:t>
      </w:r>
      <w:r>
        <w:t>.</w:t>
      </w:r>
    </w:p>
    <w:p w14:paraId="61093C85" w14:textId="35E2813E" w:rsidR="00964F42" w:rsidRDefault="00964F42" w:rsidP="00964F42">
      <w:pPr>
        <w:pStyle w:val="ListParagraph"/>
        <w:numPr>
          <w:ilvl w:val="0"/>
          <w:numId w:val="29"/>
        </w:numPr>
      </w:pPr>
      <w:r>
        <w:rPr>
          <w:b/>
        </w:rPr>
        <w:t xml:space="preserve">There is a behavioural element to CPP event impacts. </w:t>
      </w:r>
      <w:r>
        <w:t xml:space="preserve">CPP participants are equipped with enabling technologies (a switch at the panel, and </w:t>
      </w:r>
      <w:r w:rsidR="00BD581F">
        <w:t>a</w:t>
      </w:r>
      <w:r>
        <w:t xml:space="preserve"> smart plug) that respond automatically to London Hydro’s price signal. Even though participants receive </w:t>
      </w:r>
      <w:r w:rsidR="00BD581F">
        <w:t>only</w:t>
      </w:r>
      <w:r>
        <w:t xml:space="preserve"> 15 minutes’ notification of an event, there are clear behavioural elements to their response over and above the automated response delivered by the switches and smart plu</w:t>
      </w:r>
      <w:r w:rsidR="00BD581F">
        <w:t>g</w:t>
      </w:r>
      <w:r>
        <w:t>s.</w:t>
      </w:r>
    </w:p>
    <w:p w14:paraId="3A63AC35" w14:textId="77777777" w:rsidR="00964F42" w:rsidRDefault="00964F42" w:rsidP="00964F42">
      <w:pPr>
        <w:pStyle w:val="ListParagraph"/>
        <w:numPr>
          <w:ilvl w:val="1"/>
          <w:numId w:val="29"/>
        </w:numPr>
      </w:pPr>
      <w:r>
        <w:rPr>
          <w:i/>
        </w:rPr>
        <w:t xml:space="preserve">Participants reduced consumption during hours in which CPP events were likely to occur. </w:t>
      </w:r>
      <w:r>
        <w:t xml:space="preserve"> CPP participants reduce their exposure to the CPP rate by making changes to their consumption habits in anticipation of CPP events – substantial savings are achieved in hours of the CPP event day leading up to the CPP event, despite participants not having any knowledge of when the event will occur until 15 minutes before it does. </w:t>
      </w:r>
    </w:p>
    <w:p w14:paraId="2DAA1660" w14:textId="21B77A00" w:rsidR="00DB0B6F" w:rsidRDefault="00DB0B6F" w:rsidP="00DB0B6F">
      <w:pPr>
        <w:pStyle w:val="ListParagraph"/>
        <w:numPr>
          <w:ilvl w:val="1"/>
          <w:numId w:val="29"/>
        </w:numPr>
      </w:pPr>
      <w:r w:rsidRPr="00515B53">
        <w:rPr>
          <w:i/>
        </w:rPr>
        <w:t>Disconnected participants still delivered demand response.</w:t>
      </w:r>
      <w:r>
        <w:t xml:space="preserve"> For any given event, approximately 20% of participants’ devices could not receive, or respond to, London Hydro’s curtailment signal. These participants were still able to, on average, with only 15 minutes’ notice, to reduce demand by 0.2 kW each without the program-deployed enabling technologies.</w:t>
      </w:r>
      <w:r w:rsidR="00012FBE">
        <w:rPr>
          <w:rStyle w:val="FootnoteReference"/>
        </w:rPr>
        <w:footnoteReference w:id="36"/>
      </w:r>
    </w:p>
    <w:p w14:paraId="1CD24AB1" w14:textId="720C7E7D" w:rsidR="00964F42" w:rsidRDefault="00DB0B6F" w:rsidP="00DB0B6F">
      <w:pPr>
        <w:pStyle w:val="ListParagraph"/>
        <w:ind w:left="1440"/>
      </w:pPr>
      <w:r>
        <w:t>Some additional context may be helpful in understanding how remarkable this is: an evaluation of San Diego Gas and Electric’s voluntary CPP rate</w:t>
      </w:r>
      <w:r>
        <w:rPr>
          <w:rStyle w:val="FootnoteReference"/>
        </w:rPr>
        <w:footnoteReference w:id="37"/>
      </w:r>
      <w:r>
        <w:t xml:space="preserve"> (notification provided no later than 3pm on the day </w:t>
      </w:r>
      <w:r w:rsidRPr="000B085B">
        <w:rPr>
          <w:i/>
        </w:rPr>
        <w:t>prior</w:t>
      </w:r>
      <w:r>
        <w:t xml:space="preserve"> to the event) found the average response (at an average temperature of 99 degrees Fahrenheit, or approximately </w:t>
      </w:r>
      <w:r>
        <w:rPr>
          <w:i/>
        </w:rPr>
        <w:t>37</w:t>
      </w:r>
      <w:r>
        <w:t xml:space="preserve"> degrees Celsius) was only 0.14 kW.</w:t>
      </w:r>
    </w:p>
    <w:p w14:paraId="4A882F2F" w14:textId="77777777" w:rsidR="00964F42" w:rsidRDefault="00964F42" w:rsidP="00964F42">
      <w:pPr>
        <w:pStyle w:val="ListParagraph"/>
        <w:numPr>
          <w:ilvl w:val="0"/>
          <w:numId w:val="29"/>
        </w:numPr>
      </w:pPr>
      <w:r w:rsidRPr="00045E94">
        <w:rPr>
          <w:b/>
        </w:rPr>
        <w:t xml:space="preserve">Demand reductions appear to be largely, but not overwhelmingly, driven by changes in space-cooling. </w:t>
      </w:r>
      <w:r>
        <w:t>An examination of the estimated relationships between impacts and temperature is strongly suggestive of the fact that approximately a third of the average CPP event impact (approximately 0.2 to 0.3 kW) is driven by an end-use, or end-uses, other than space-cooling.</w:t>
      </w:r>
    </w:p>
    <w:p w14:paraId="08D6592B" w14:textId="6586F178" w:rsidR="00E75C78" w:rsidRDefault="00964F42" w:rsidP="00964F42">
      <w:pPr>
        <w:pStyle w:val="ListParagraph"/>
        <w:numPr>
          <w:ilvl w:val="0"/>
          <w:numId w:val="29"/>
        </w:numPr>
      </w:pPr>
      <w:r w:rsidRPr="0002697C">
        <w:rPr>
          <w:b/>
        </w:rPr>
        <w:t>Real-time information on consumption did not affect demand reductions.</w:t>
      </w:r>
      <w:r>
        <w:t xml:space="preserve"> The impacts of the CPP and CPP/RT group were not statistically significantly different from one another – the availability of the online portal and energy tracking app did not impact participants’ ability to deliver demand reductions</w:t>
      </w:r>
    </w:p>
    <w:p w14:paraId="1F946635" w14:textId="367F3DB8" w:rsidR="00836C9A" w:rsidRDefault="00836C9A" w:rsidP="00836C9A">
      <w:pPr>
        <w:pStyle w:val="Heading2"/>
      </w:pPr>
      <w:bookmarkStart w:id="132" w:name="_Ref1587720"/>
      <w:bookmarkStart w:id="133" w:name="_Toc8393601"/>
      <w:r>
        <w:t>Conclusions</w:t>
      </w:r>
      <w:bookmarkEnd w:id="132"/>
      <w:bookmarkEnd w:id="133"/>
    </w:p>
    <w:p w14:paraId="071DB3F2" w14:textId="77777777" w:rsidR="00964F42" w:rsidRDefault="00964F42" w:rsidP="00964F42">
      <w:r>
        <w:t>Navigant has drawn three main conclusions from this interim evaluation of the London Hydro RPP Pilot:</w:t>
      </w:r>
    </w:p>
    <w:p w14:paraId="31116C26" w14:textId="38419C20" w:rsidR="00557F06" w:rsidRDefault="00AF56AF" w:rsidP="00557F06">
      <w:pPr>
        <w:pStyle w:val="ListParagraph"/>
        <w:numPr>
          <w:ilvl w:val="0"/>
          <w:numId w:val="31"/>
        </w:numPr>
      </w:pPr>
      <w:r>
        <w:rPr>
          <w:b/>
        </w:rPr>
        <w:t>The available evidence suggests that e</w:t>
      </w:r>
      <w:r w:rsidR="00557F06">
        <w:rPr>
          <w:b/>
        </w:rPr>
        <w:t>ducation and customer engagement are</w:t>
      </w:r>
      <w:r>
        <w:rPr>
          <w:b/>
        </w:rPr>
        <w:t xml:space="preserve"> </w:t>
      </w:r>
      <w:r w:rsidR="00557F06">
        <w:rPr>
          <w:b/>
        </w:rPr>
        <w:t xml:space="preserve">key factors in enabling participant response. </w:t>
      </w:r>
      <w:r w:rsidR="00557F06">
        <w:t xml:space="preserve">Education and engagement are key elements of </w:t>
      </w:r>
      <w:r w:rsidR="00557F06" w:rsidRPr="00413291">
        <w:rPr>
          <w:i/>
        </w:rPr>
        <w:t>all</w:t>
      </w:r>
      <w:r w:rsidR="00557F06">
        <w:t xml:space="preserve"> programs and pilots that seek to motivate a behavioural response from participants. The question may be </w:t>
      </w:r>
      <w:r w:rsidR="00557F06">
        <w:lastRenderedPageBreak/>
        <w:t xml:space="preserve">asked, why does Navigant single this as a key factor rather than attributing impacts </w:t>
      </w:r>
      <w:r w:rsidR="00557F06" w:rsidRPr="00413291">
        <w:rPr>
          <w:i/>
        </w:rPr>
        <w:t>only</w:t>
      </w:r>
      <w:r w:rsidR="00557F06">
        <w:t xml:space="preserve"> to the pricing and informational/technological treatment? This </w:t>
      </w:r>
      <w:r w:rsidR="006F0504">
        <w:t>hypothesis</w:t>
      </w:r>
      <w:r w:rsidR="00557F06">
        <w:t xml:space="preserve"> is </w:t>
      </w:r>
      <w:r w:rsidR="006F0504">
        <w:t>driven by</w:t>
      </w:r>
      <w:r w:rsidR="00557F06">
        <w:t xml:space="preserve"> two findings:</w:t>
      </w:r>
    </w:p>
    <w:p w14:paraId="046ECD1E" w14:textId="77777777" w:rsidR="00557F06" w:rsidRDefault="00557F06" w:rsidP="00557F06">
      <w:pPr>
        <w:pStyle w:val="ListParagraph"/>
        <w:numPr>
          <w:ilvl w:val="1"/>
          <w:numId w:val="31"/>
        </w:numPr>
      </w:pPr>
      <w:r w:rsidRPr="004F6356">
        <w:rPr>
          <w:i/>
        </w:rPr>
        <w:t>The RT tr</w:t>
      </w:r>
      <w:r w:rsidRPr="00600063">
        <w:rPr>
          <w:i/>
        </w:rPr>
        <w:t>eatment motivates no incremental energy or demand impact from CPP/RT participants</w:t>
      </w:r>
      <w:r>
        <w:rPr>
          <w:i/>
        </w:rPr>
        <w:t>, but delivers energy savings for RT-only participants</w:t>
      </w:r>
      <w:r w:rsidRPr="00600063">
        <w:rPr>
          <w:i/>
        </w:rPr>
        <w:t xml:space="preserve">. </w:t>
      </w:r>
      <w:r>
        <w:t>For both energy impacts and CPP event demand impacts, Navigant found that the combined CPP/RT treatment did not deliver any incremental statistically significant impacts, indicating that the RT treatment provided no additional benefit to participants already subject to CPP.</w:t>
      </w:r>
    </w:p>
    <w:p w14:paraId="29BFAD2D" w14:textId="77777777" w:rsidR="00557F06" w:rsidRDefault="00557F06" w:rsidP="00557F06">
      <w:pPr>
        <w:pStyle w:val="ListParagraph"/>
        <w:ind w:left="1440"/>
      </w:pPr>
      <w:r>
        <w:t xml:space="preserve">Yet, the RT-only treatment </w:t>
      </w:r>
      <w:r w:rsidRPr="004F6356">
        <w:rPr>
          <w:i/>
        </w:rPr>
        <w:t>did</w:t>
      </w:r>
      <w:r>
        <w:t xml:space="preserve"> deliver material energy savings. These two findings seem at odds – if the RT treatment on its own delivers savings, and the CPP treatment on its own delivers savings, why would the two treatments combined not deliver more savings than one of the treatments alone?</w:t>
      </w:r>
    </w:p>
    <w:p w14:paraId="39635072" w14:textId="716D7860" w:rsidR="00557F06" w:rsidRDefault="00557F06" w:rsidP="00557F06">
      <w:pPr>
        <w:pStyle w:val="ListParagraph"/>
        <w:ind w:left="1440"/>
      </w:pPr>
      <w:r>
        <w:t>Navigant believes that the most likely explanation is that in fact the RT technology –the app – isn’t what’s responsible for the energy savings.</w:t>
      </w:r>
      <w:r>
        <w:rPr>
          <w:rStyle w:val="FootnoteReference"/>
        </w:rPr>
        <w:footnoteReference w:id="38"/>
      </w:r>
      <w:r>
        <w:t xml:space="preserve"> Rather, these offerings are the shiny object that entices customers to participate in the program, and savings are delivered through the concerted effort of the utility to educate participants in effective, practical strategies that deliver modest</w:t>
      </w:r>
      <w:r w:rsidR="001A54F6">
        <w:t xml:space="preserve"> </w:t>
      </w:r>
      <w:r>
        <w:t>energy savings.</w:t>
      </w:r>
    </w:p>
    <w:p w14:paraId="3211E8A0" w14:textId="77777777" w:rsidR="00557F06" w:rsidRDefault="00557F06" w:rsidP="00557F06">
      <w:pPr>
        <w:pStyle w:val="ListParagraph"/>
        <w:numPr>
          <w:ilvl w:val="1"/>
          <w:numId w:val="31"/>
        </w:numPr>
      </w:pPr>
      <w:r>
        <w:rPr>
          <w:i/>
        </w:rPr>
        <w:t xml:space="preserve">The price-only treatment (CPP) motivates a change in behaviour </w:t>
      </w:r>
      <w:r w:rsidRPr="00600063">
        <w:rPr>
          <w:i/>
          <w:u w:val="single"/>
        </w:rPr>
        <w:t>even when there is no direct price signal to do so</w:t>
      </w:r>
      <w:r>
        <w:rPr>
          <w:i/>
        </w:rPr>
        <w:t xml:space="preserve">. </w:t>
      </w:r>
      <w:r>
        <w:t xml:space="preserve">The majority of the </w:t>
      </w:r>
      <w:r w:rsidRPr="00600063">
        <w:t>energy</w:t>
      </w:r>
      <w:r>
        <w:t xml:space="preserve"> savings achieved by the CPP-only group were achieved in non-event periods.</w:t>
      </w:r>
      <w:r>
        <w:rPr>
          <w:rStyle w:val="FootnoteReference"/>
        </w:rPr>
        <w:footnoteReference w:id="39"/>
      </w:r>
      <w:r>
        <w:t xml:space="preserve"> </w:t>
      </w:r>
    </w:p>
    <w:p w14:paraId="74161957" w14:textId="77777777" w:rsidR="00557F06" w:rsidRDefault="00557F06" w:rsidP="00557F06">
      <w:pPr>
        <w:pStyle w:val="ListParagraph"/>
        <w:ind w:left="1440"/>
      </w:pPr>
      <w:r>
        <w:t xml:space="preserve">Certainly, this behaviour may be explained through the lens of expected value – participants assessing when peak prices will occur and making behavioural adjustments on this basis. The problem with this hypothesis is that is that it cannot explain why impacts were greatest in the On-Peak period, and yet, </w:t>
      </w:r>
      <w:r>
        <w:rPr>
          <w:i/>
        </w:rPr>
        <w:t>by design</w:t>
      </w:r>
      <w:r>
        <w:t>, the CPP price can only occur in the final hour of that period (from 4pm to 5pm).</w:t>
      </w:r>
    </w:p>
    <w:p w14:paraId="0ED708EF" w14:textId="77777777" w:rsidR="00557F06" w:rsidRDefault="00557F06" w:rsidP="00557F06">
      <w:pPr>
        <w:pStyle w:val="ListParagraph"/>
        <w:ind w:left="1440"/>
      </w:pPr>
      <w:r>
        <w:t xml:space="preserve">A rational economic actor responding purely to price might adjust their behaviour in the window from 4pm to 5pm, but otherwise has no motivation to adjust their behaviour in the On-Peak period. </w:t>
      </w:r>
    </w:p>
    <w:p w14:paraId="2F9C6D48" w14:textId="6E40FE9E" w:rsidR="00964F42" w:rsidRDefault="00557F06" w:rsidP="00413291">
      <w:pPr>
        <w:pStyle w:val="ListParagraph"/>
      </w:pPr>
      <w:r>
        <w:t>It is on the basis of these two observations regarding the estimated impacts that Navigant infers that the customer engagement strategy used by London Hydro to support the deployment of the pilot design was a critical factor in empowering customer decision-making, and ultimately delivering the final reported results</w:t>
      </w:r>
      <w:r w:rsidR="00964F42">
        <w:t>.</w:t>
      </w:r>
    </w:p>
    <w:p w14:paraId="1F192399" w14:textId="6B215E8C" w:rsidR="00964F42" w:rsidRDefault="00964F42" w:rsidP="00964F42">
      <w:pPr>
        <w:pStyle w:val="ListParagraph"/>
        <w:numPr>
          <w:ilvl w:val="0"/>
          <w:numId w:val="31"/>
        </w:numPr>
      </w:pPr>
      <w:r>
        <w:rPr>
          <w:b/>
        </w:rPr>
        <w:t xml:space="preserve">Critical peak pricing can be a tool for energy conservation as well as demand reduction. </w:t>
      </w:r>
      <w:r>
        <w:t>CPP participants are provided with 15 minutes</w:t>
      </w:r>
      <w:r w:rsidR="008B2D3C">
        <w:t>’</w:t>
      </w:r>
      <w:r>
        <w:t xml:space="preserve"> notice when a CPP event occurs. This limits the scope of what actions participants can take in the short term when they receive event notification. </w:t>
      </w:r>
      <w:r>
        <w:lastRenderedPageBreak/>
        <w:t>In response to this challenge, it appears that participants have worked to limit their exposure to the critical peak rate by reducing consumption in hours in which events are likely to occur.</w:t>
      </w:r>
    </w:p>
    <w:p w14:paraId="22776027" w14:textId="77777777" w:rsidR="00964F42" w:rsidRDefault="00964F42" w:rsidP="00964F42">
      <w:pPr>
        <w:pStyle w:val="ListParagraph"/>
      </w:pPr>
      <w:r>
        <w:t>Participants have been educated to understand that CPP events are driven by system needs, and that system needs are driven (in the summer) by weather. And so, daily energy impacts (even when no event takes place) are correlated with temperature. Participants undertake actions that reduce their risk exposure even as the risk of a CPP event climbs (i.e., temperature increases). Put another way, participants are provided with a qualitative understanding of the factors that drive the prices they will face and develop rules of thumb for responding to those prices.</w:t>
      </w:r>
      <w:r>
        <w:rPr>
          <w:rStyle w:val="FootnoteReference"/>
        </w:rPr>
        <w:footnoteReference w:id="40"/>
      </w:r>
      <w:r>
        <w:t xml:space="preserve"> </w:t>
      </w:r>
    </w:p>
    <w:p w14:paraId="58B07B27" w14:textId="77777777" w:rsidR="00964F42" w:rsidRDefault="00964F42" w:rsidP="00964F42">
      <w:pPr>
        <w:pStyle w:val="ListParagraph"/>
        <w:numPr>
          <w:ilvl w:val="0"/>
          <w:numId w:val="31"/>
        </w:numPr>
      </w:pPr>
      <w:r>
        <w:rPr>
          <w:b/>
        </w:rPr>
        <w:t xml:space="preserve">Participants can be remarkably nimble in responding to very short-term changes in price.  </w:t>
      </w:r>
      <w:r>
        <w:t xml:space="preserve">Navigant did not expect to find that disconnected participants delivered </w:t>
      </w:r>
      <w:r w:rsidRPr="00AE5DC1">
        <w:rPr>
          <w:i/>
        </w:rPr>
        <w:t>any</w:t>
      </w:r>
      <w:r>
        <w:t xml:space="preserve"> demand response. It was Navigant’s hypothesis that the very short notification period would mean that “DR only” response (as opposed to the more general response in anticipation of a potential event) would be limited to those participants whose enabling technologies were connected to London Hydro’s systems and able to respond automatically to London Hydro’s curtailment signal.</w:t>
      </w:r>
    </w:p>
    <w:p w14:paraId="05716FD9" w14:textId="77777777" w:rsidR="00964F42" w:rsidRDefault="00964F42" w:rsidP="00964F42">
      <w:pPr>
        <w:pStyle w:val="ListParagraph"/>
      </w:pPr>
      <w:r>
        <w:t>The findings of this analysis require a rejection of this initial hypothesis. On average, it appears that disconnected participants were able to contribute approximately 0.2 kW of “pure” demand response during the CPP events. That is, on average, participants were able, with 15 minutes or less notice, to reduce demand on average by 0.2 kW without the program-deployed enabling technologies.</w:t>
      </w:r>
    </w:p>
    <w:p w14:paraId="0027EB3C" w14:textId="65A53234" w:rsidR="00E75C78" w:rsidRDefault="00E21D11" w:rsidP="00E75C78">
      <w:pPr>
        <w:pStyle w:val="Heading2"/>
      </w:pPr>
      <w:bookmarkStart w:id="134" w:name="_Ref1550337"/>
      <w:bookmarkStart w:id="135" w:name="_Toc8393602"/>
      <w:r>
        <w:t>R</w:t>
      </w:r>
      <w:r w:rsidR="00E75C78">
        <w:t>ecommendations</w:t>
      </w:r>
      <w:bookmarkEnd w:id="134"/>
      <w:bookmarkEnd w:id="135"/>
    </w:p>
    <w:p w14:paraId="4A966224" w14:textId="192A590C" w:rsidR="00E21D11" w:rsidRDefault="00E21D11" w:rsidP="00E75C78">
      <w:r>
        <w:t>Navigant has three key recommendations for the Ontario Energy Board’s ongoing development of the RPP Roadmap</w:t>
      </w:r>
      <w:r w:rsidR="009B1289">
        <w:t>:</w:t>
      </w:r>
    </w:p>
    <w:p w14:paraId="08A6DF07" w14:textId="77777777" w:rsidR="009B1289" w:rsidRDefault="009B1289" w:rsidP="00E75C78"/>
    <w:p w14:paraId="128626FF" w14:textId="40AAA104" w:rsidR="009B1289" w:rsidRDefault="009B1289" w:rsidP="009B1289">
      <w:pPr>
        <w:tabs>
          <w:tab w:val="left" w:pos="2520"/>
        </w:tabs>
        <w:ind w:left="2520" w:hanging="2520"/>
      </w:pPr>
      <w:r>
        <w:rPr>
          <w:b/>
        </w:rPr>
        <w:t xml:space="preserve">Recommendation </w:t>
      </w:r>
      <w:r w:rsidR="006F0504">
        <w:rPr>
          <w:b/>
        </w:rPr>
        <w:t>1</w:t>
      </w:r>
      <w:r>
        <w:rPr>
          <w:b/>
        </w:rPr>
        <w:t xml:space="preserve">: </w:t>
      </w:r>
      <w:r>
        <w:rPr>
          <w:b/>
        </w:rPr>
        <w:tab/>
      </w:r>
      <w:r>
        <w:rPr>
          <w:i/>
        </w:rPr>
        <w:t xml:space="preserve">Undertake a secondary impact analysis, tying participant engagement data back to consumption data. </w:t>
      </w:r>
      <w:r>
        <w:t xml:space="preserve">Navigant has concluded that customer education and engagement were key elements to the impacts estimated. </w:t>
      </w:r>
      <w:r w:rsidR="00FC54B2">
        <w:t xml:space="preserve">Aspects of this </w:t>
      </w:r>
      <w:r w:rsidR="006F0504">
        <w:t xml:space="preserve">hypothesis </w:t>
      </w:r>
      <w:r>
        <w:t>can be tested, and refined, through the inclusion in the regression equation of additional data</w:t>
      </w:r>
      <w:r w:rsidR="005821DF">
        <w:t>. For example: using attendance records from London Hydro hosted informational breakfasts, the effect of attending those sessions on impacts could be tested.</w:t>
      </w:r>
      <w:r w:rsidR="006F0504">
        <w:t xml:space="preserve"> Such additional testing may reveal, depending on what data are available, what components of London Hydro’s customer engagement strategy were most effective in motivating the estimated energy impacts.</w:t>
      </w:r>
      <w:r w:rsidR="005821DF">
        <w:t xml:space="preserve"> </w:t>
      </w:r>
    </w:p>
    <w:p w14:paraId="6264731A" w14:textId="6CEFE74C" w:rsidR="005821DF" w:rsidRPr="005821DF" w:rsidRDefault="005821DF" w:rsidP="009B1289">
      <w:pPr>
        <w:tabs>
          <w:tab w:val="left" w:pos="2520"/>
        </w:tabs>
        <w:ind w:left="2520" w:hanging="2520"/>
      </w:pPr>
      <w:r>
        <w:rPr>
          <w:b/>
        </w:rPr>
        <w:t xml:space="preserve">Recommendation </w:t>
      </w:r>
      <w:r w:rsidR="006F0504">
        <w:rPr>
          <w:b/>
        </w:rPr>
        <w:t>2</w:t>
      </w:r>
      <w:r>
        <w:rPr>
          <w:b/>
        </w:rPr>
        <w:t>:</w:t>
      </w:r>
      <w:r>
        <w:tab/>
      </w:r>
      <w:r>
        <w:rPr>
          <w:i/>
        </w:rPr>
        <w:t>Better understand the behavioural demand response strategies undertaken by participants.</w:t>
      </w:r>
      <w:r>
        <w:t xml:space="preserve"> One of the most surprising findings of this evaluation was the magnitude of</w:t>
      </w:r>
      <w:r w:rsidR="00964F42">
        <w:t xml:space="preserve"> “DR only” </w:t>
      </w:r>
      <w:r>
        <w:t xml:space="preserve">CPP event demand response that appears to be behavioural. Navigant would recommend that additional analysis be undertaken to a) better understand which individuals were contributing (i.e., </w:t>
      </w:r>
      <w:r>
        <w:lastRenderedPageBreak/>
        <w:t>was it small impacts from many participants, or large impacts from a few), b) understand what strategies those participants deployed to achieve what they did, and c) try to quantify the degree to which those behaviours could be motivated in the wider Ontario population of potential CPP rate participants.</w:t>
      </w:r>
    </w:p>
    <w:p w14:paraId="1571F677" w14:textId="79FF1402" w:rsidR="00E21D11" w:rsidRDefault="00E21D11" w:rsidP="00E75C78"/>
    <w:p w14:paraId="49AF853D" w14:textId="00075DF9" w:rsidR="00F8785F" w:rsidRDefault="00F8785F" w:rsidP="00F8785F">
      <w:pPr>
        <w:pStyle w:val="Heading5"/>
      </w:pPr>
      <w:bookmarkStart w:id="136" w:name="_Ref1560369"/>
      <w:bookmarkStart w:id="137" w:name="_Ref1560373"/>
      <w:bookmarkStart w:id="138" w:name="_Toc8393603"/>
      <w:r>
        <w:lastRenderedPageBreak/>
        <w:t>Approach – Additional Detail</w:t>
      </w:r>
      <w:bookmarkEnd w:id="136"/>
      <w:bookmarkEnd w:id="137"/>
      <w:bookmarkEnd w:id="138"/>
    </w:p>
    <w:p w14:paraId="2482E620" w14:textId="77777777" w:rsidR="00BA3780" w:rsidRDefault="00BA3780" w:rsidP="00BA3780">
      <w:r>
        <w:t>This appendix provides additional technical details regarding Navigant’s approach to estimating the impacts reported in this analysis.</w:t>
      </w:r>
    </w:p>
    <w:p w14:paraId="4CC3121F" w14:textId="77777777" w:rsidR="00BA3780" w:rsidRDefault="00BA3780" w:rsidP="00BA3780"/>
    <w:p w14:paraId="729B0773" w14:textId="77777777" w:rsidR="00BA3780" w:rsidRDefault="00BA3780" w:rsidP="00BA3780">
      <w:r>
        <w:t>This Appendix is divided into four sections:</w:t>
      </w:r>
    </w:p>
    <w:p w14:paraId="4079BEF6" w14:textId="5DE4D986" w:rsidR="00BA3780" w:rsidRDefault="00BA3780" w:rsidP="00BA3780">
      <w:pPr>
        <w:pStyle w:val="ListParagraph"/>
        <w:numPr>
          <w:ilvl w:val="0"/>
          <w:numId w:val="31"/>
        </w:numPr>
      </w:pPr>
      <w:r w:rsidRPr="00014788">
        <w:rPr>
          <w:b/>
        </w:rPr>
        <w:fldChar w:fldCharType="begin"/>
      </w:r>
      <w:r w:rsidRPr="00014788">
        <w:rPr>
          <w:b/>
        </w:rPr>
        <w:instrText xml:space="preserve"> REF _Ref1973937 \h </w:instrText>
      </w:r>
      <w:r>
        <w:rPr>
          <w:b/>
        </w:rPr>
        <w:instrText xml:space="preserve"> \* MERGEFORMAT </w:instrText>
      </w:r>
      <w:r w:rsidRPr="00014788">
        <w:rPr>
          <w:b/>
        </w:rPr>
      </w:r>
      <w:r w:rsidRPr="00014788">
        <w:rPr>
          <w:b/>
        </w:rPr>
        <w:fldChar w:fldCharType="separate"/>
      </w:r>
      <w:r w:rsidR="00413291" w:rsidRPr="00413291">
        <w:rPr>
          <w:b/>
        </w:rPr>
        <w:t>Data</w:t>
      </w:r>
      <w:r w:rsidRPr="00014788">
        <w:rPr>
          <w:b/>
        </w:rPr>
        <w:fldChar w:fldCharType="end"/>
      </w:r>
      <w:r w:rsidRPr="00014788">
        <w:rPr>
          <w:b/>
        </w:rPr>
        <w:t>.</w:t>
      </w:r>
      <w:r>
        <w:t xml:space="preserve"> This section provides some additional detail regarding participant data included in the analysis.</w:t>
      </w:r>
    </w:p>
    <w:p w14:paraId="199FCAB2" w14:textId="00DEF073" w:rsidR="00BA3780" w:rsidRDefault="00BA3780" w:rsidP="00BA3780">
      <w:pPr>
        <w:pStyle w:val="ListParagraph"/>
        <w:numPr>
          <w:ilvl w:val="0"/>
          <w:numId w:val="31"/>
        </w:numPr>
      </w:pPr>
      <w:r w:rsidRPr="00014788">
        <w:rPr>
          <w:b/>
        </w:rPr>
        <w:fldChar w:fldCharType="begin"/>
      </w:r>
      <w:r w:rsidRPr="00014788">
        <w:rPr>
          <w:b/>
        </w:rPr>
        <w:instrText xml:space="preserve"> REF _Ref1973939 \h </w:instrText>
      </w:r>
      <w:r>
        <w:rPr>
          <w:b/>
        </w:rPr>
        <w:instrText xml:space="preserve"> \* MERGEFORMAT </w:instrText>
      </w:r>
      <w:r w:rsidRPr="00014788">
        <w:rPr>
          <w:b/>
        </w:rPr>
      </w:r>
      <w:r w:rsidRPr="00014788">
        <w:rPr>
          <w:b/>
        </w:rPr>
        <w:fldChar w:fldCharType="separate"/>
      </w:r>
      <w:r w:rsidR="00413291" w:rsidRPr="00413291">
        <w:rPr>
          <w:b/>
        </w:rPr>
        <w:t>Energy Analysis Model Specification</w:t>
      </w:r>
      <w:r w:rsidRPr="00014788">
        <w:rPr>
          <w:b/>
        </w:rPr>
        <w:fldChar w:fldCharType="end"/>
      </w:r>
      <w:r w:rsidRPr="00014788">
        <w:rPr>
          <w:b/>
        </w:rPr>
        <w:t>.</w:t>
      </w:r>
      <w:r>
        <w:t xml:space="preserve"> This section provides the model specification and variable definitions for the regression model used to estimate average energy impacts.</w:t>
      </w:r>
    </w:p>
    <w:p w14:paraId="222FD4A6" w14:textId="3451AB90" w:rsidR="00BA3780" w:rsidRDefault="00BA3780" w:rsidP="00BA3780">
      <w:pPr>
        <w:pStyle w:val="ListParagraph"/>
        <w:numPr>
          <w:ilvl w:val="0"/>
          <w:numId w:val="31"/>
        </w:numPr>
      </w:pPr>
      <w:r w:rsidRPr="00014788">
        <w:rPr>
          <w:b/>
        </w:rPr>
        <w:fldChar w:fldCharType="begin"/>
      </w:r>
      <w:r w:rsidRPr="00014788">
        <w:rPr>
          <w:b/>
        </w:rPr>
        <w:instrText xml:space="preserve"> REF _Ref1973940 \h </w:instrText>
      </w:r>
      <w:r>
        <w:rPr>
          <w:b/>
        </w:rPr>
        <w:instrText xml:space="preserve"> \* MERGEFORMAT </w:instrText>
      </w:r>
      <w:r w:rsidRPr="00014788">
        <w:rPr>
          <w:b/>
        </w:rPr>
      </w:r>
      <w:r w:rsidRPr="00014788">
        <w:rPr>
          <w:b/>
        </w:rPr>
        <w:fldChar w:fldCharType="separate"/>
      </w:r>
      <w:r w:rsidR="00413291" w:rsidRPr="00413291">
        <w:rPr>
          <w:b/>
        </w:rPr>
        <w:t>CPP Event Day Demand Model Specification</w:t>
      </w:r>
      <w:r w:rsidRPr="00014788">
        <w:rPr>
          <w:b/>
        </w:rPr>
        <w:fldChar w:fldCharType="end"/>
      </w:r>
      <w:r w:rsidRPr="00014788">
        <w:rPr>
          <w:b/>
        </w:rPr>
        <w:t>.</w:t>
      </w:r>
      <w:r>
        <w:t xml:space="preserve"> This section provides the model specification and variable definitions for the regression model used to estimate average energy impacts.</w:t>
      </w:r>
    </w:p>
    <w:p w14:paraId="1FFDB0CF" w14:textId="750C9824" w:rsidR="00BA3780" w:rsidRDefault="00BA3780" w:rsidP="00BA3780">
      <w:pPr>
        <w:pStyle w:val="ListParagraph"/>
        <w:numPr>
          <w:ilvl w:val="0"/>
          <w:numId w:val="31"/>
        </w:numPr>
      </w:pPr>
      <w:r w:rsidRPr="00014788">
        <w:rPr>
          <w:b/>
        </w:rPr>
        <w:fldChar w:fldCharType="begin"/>
      </w:r>
      <w:r w:rsidRPr="00014788">
        <w:rPr>
          <w:b/>
        </w:rPr>
        <w:instrText xml:space="preserve"> REF _Ref1973941 \h </w:instrText>
      </w:r>
      <w:r>
        <w:rPr>
          <w:b/>
        </w:rPr>
        <w:instrText xml:space="preserve"> \* MERGEFORMAT </w:instrText>
      </w:r>
      <w:r w:rsidRPr="00014788">
        <w:rPr>
          <w:b/>
        </w:rPr>
      </w:r>
      <w:r w:rsidRPr="00014788">
        <w:rPr>
          <w:b/>
        </w:rPr>
        <w:fldChar w:fldCharType="separate"/>
      </w:r>
      <w:r w:rsidR="00413291" w:rsidRPr="00413291">
        <w:rPr>
          <w:b/>
        </w:rPr>
        <w:t>Pre-Period Consumption Variable Creation</w:t>
      </w:r>
      <w:r w:rsidRPr="00014788">
        <w:rPr>
          <w:b/>
        </w:rPr>
        <w:fldChar w:fldCharType="end"/>
      </w:r>
      <w:r w:rsidRPr="00014788">
        <w:rPr>
          <w:b/>
        </w:rPr>
        <w:t>.</w:t>
      </w:r>
      <w:r>
        <w:t xml:space="preserve"> This section provides additional detail regarding how the pre-period consumption variable was developed.</w:t>
      </w:r>
    </w:p>
    <w:p w14:paraId="6274BA22" w14:textId="77777777" w:rsidR="00BA3780" w:rsidRDefault="00BA3780" w:rsidP="00BA3780">
      <w:pPr>
        <w:pStyle w:val="Heading6"/>
      </w:pPr>
      <w:bookmarkStart w:id="139" w:name="_Ref1973937"/>
      <w:bookmarkStart w:id="140" w:name="_Toc8393604"/>
      <w:r>
        <w:t>Data</w:t>
      </w:r>
      <w:bookmarkEnd w:id="139"/>
      <w:bookmarkEnd w:id="140"/>
      <w:r>
        <w:t xml:space="preserve"> </w:t>
      </w:r>
    </w:p>
    <w:p w14:paraId="33158863" w14:textId="4777FDF9" w:rsidR="00BA3780" w:rsidRDefault="00BA3780" w:rsidP="00BA3780">
      <w:r>
        <w:t xml:space="preserve">Section </w:t>
      </w:r>
      <w:r>
        <w:fldChar w:fldCharType="begin"/>
      </w:r>
      <w:r>
        <w:instrText xml:space="preserve"> REF _Ref2944038 \w \h </w:instrText>
      </w:r>
      <w:r>
        <w:fldChar w:fldCharType="separate"/>
      </w:r>
      <w:r w:rsidR="00413291">
        <w:t>3.1.1</w:t>
      </w:r>
      <w:r>
        <w:fldChar w:fldCharType="end"/>
      </w:r>
      <w:r>
        <w:t xml:space="preserve"> in the main body of the report provides an overview of the number of individual participants (and RCT controls) for whom London Hydro was able to provide hourly consumption data. This section of this appendix specifies the starting sample size, the final sample size used for estimation, and the number of sample participants dropped between those two sets.</w:t>
      </w:r>
    </w:p>
    <w:p w14:paraId="5C1E163B" w14:textId="77777777" w:rsidR="00BA3780" w:rsidRDefault="00BA3780" w:rsidP="00BA3780"/>
    <w:p w14:paraId="0947AE3A" w14:textId="77777777" w:rsidR="00BA3780" w:rsidRDefault="00BA3780" w:rsidP="00BA3780">
      <w:bookmarkStart w:id="141" w:name="_Hlk4685414"/>
      <w:r>
        <w:rPr>
          <w:b/>
        </w:rPr>
        <w:t>Energy Analysis</w:t>
      </w:r>
    </w:p>
    <w:p w14:paraId="1DF3A3EA" w14:textId="77777777" w:rsidR="00BA3780" w:rsidRDefault="00BA3780" w:rsidP="00BA3780"/>
    <w:p w14:paraId="26E40E5E" w14:textId="6CDD490C" w:rsidR="00BA3780" w:rsidRDefault="00BA3780" w:rsidP="00BA3780">
      <w:r>
        <w:fldChar w:fldCharType="begin"/>
      </w:r>
      <w:r>
        <w:instrText xml:space="preserve"> REF _Ref1975128 \h </w:instrText>
      </w:r>
      <w:r>
        <w:fldChar w:fldCharType="separate"/>
      </w:r>
      <w:r w:rsidR="00413291">
        <w:t xml:space="preserve">Figure </w:t>
      </w:r>
      <w:r w:rsidR="00413291">
        <w:rPr>
          <w:noProof/>
        </w:rPr>
        <w:t>36</w:t>
      </w:r>
      <w:r>
        <w:fldChar w:fldCharType="end"/>
      </w:r>
      <w:r>
        <w:t xml:space="preserve">, below shows the count of individuals included in the analysis. The first numeric column provides the count of individuals included in both the interval data (hourly consumption) and the cross-sectional data (e.g., enrollment and installation date, etc.), and the right-most column provides the count of individuals included in the data set from which the regression specification was estimated. </w:t>
      </w:r>
    </w:p>
    <w:p w14:paraId="1607F522" w14:textId="77777777" w:rsidR="00BA3780" w:rsidRDefault="00BA3780" w:rsidP="00BA3780"/>
    <w:p w14:paraId="4A53C9AE" w14:textId="77777777" w:rsidR="00BA3780" w:rsidRDefault="00BA3780" w:rsidP="00BA3780">
      <w:r>
        <w:t>The middle numeric column provides a count of the number of individuals shed from the sample due to their having no pre-period summer interval data.</w:t>
      </w:r>
    </w:p>
    <w:p w14:paraId="0B6CF81F" w14:textId="77777777" w:rsidR="00BA3780" w:rsidRDefault="00BA3780" w:rsidP="00BA3780"/>
    <w:p w14:paraId="6E7783EB" w14:textId="30E79AE8" w:rsidR="00BA3780" w:rsidRDefault="00BA3780" w:rsidP="00BA3780">
      <w:pPr>
        <w:pStyle w:val="Caption"/>
      </w:pPr>
      <w:bookmarkStart w:id="142" w:name="_Ref1975128"/>
      <w:bookmarkStart w:id="143" w:name="_Toc8393644"/>
      <w:r>
        <w:t xml:space="preserve">Figure </w:t>
      </w:r>
      <w:fldSimple w:instr=" SEQ Figure \* ARABIC ">
        <w:r w:rsidR="00413291">
          <w:rPr>
            <w:noProof/>
          </w:rPr>
          <w:t>36</w:t>
        </w:r>
      </w:fldSimple>
      <w:bookmarkEnd w:id="142"/>
      <w:r>
        <w:t>: Energy Analysis Sample</w:t>
      </w:r>
      <w:bookmarkEnd w:id="143"/>
    </w:p>
    <w:tbl>
      <w:tblPr>
        <w:tblW w:w="6140" w:type="dxa"/>
        <w:jc w:val="center"/>
        <w:tblLook w:val="04A0" w:firstRow="1" w:lastRow="0" w:firstColumn="1" w:lastColumn="0" w:noHBand="0" w:noVBand="1"/>
      </w:tblPr>
      <w:tblGrid>
        <w:gridCol w:w="1300"/>
        <w:gridCol w:w="1680"/>
        <w:gridCol w:w="1860"/>
        <w:gridCol w:w="1300"/>
      </w:tblGrid>
      <w:tr w:rsidR="00BA3780" w:rsidRPr="00C80C49" w14:paraId="51521252" w14:textId="77777777" w:rsidTr="0060225F">
        <w:trPr>
          <w:trHeight w:val="600"/>
          <w:jc w:val="center"/>
        </w:trPr>
        <w:tc>
          <w:tcPr>
            <w:tcW w:w="1300" w:type="dxa"/>
            <w:tcBorders>
              <w:top w:val="single" w:sz="4" w:space="0" w:color="auto"/>
              <w:left w:val="single" w:sz="4" w:space="0" w:color="auto"/>
              <w:bottom w:val="single" w:sz="4" w:space="0" w:color="auto"/>
              <w:right w:val="nil"/>
            </w:tcBorders>
            <w:shd w:val="clear" w:color="000000" w:fill="555759"/>
            <w:vAlign w:val="center"/>
            <w:hideMark/>
          </w:tcPr>
          <w:p w14:paraId="7A0CB339" w14:textId="77777777" w:rsidR="00BA3780" w:rsidRPr="00C80C49" w:rsidRDefault="00BA3780" w:rsidP="0060225F">
            <w:pPr>
              <w:spacing w:line="240" w:lineRule="auto"/>
              <w:jc w:val="center"/>
              <w:rPr>
                <w:rFonts w:cs="Arial"/>
                <w:color w:val="FFFFFF"/>
                <w:sz w:val="16"/>
                <w:szCs w:val="16"/>
              </w:rPr>
            </w:pPr>
            <w:r w:rsidRPr="00C80C49">
              <w:rPr>
                <w:rFonts w:cs="Arial"/>
                <w:color w:val="FFFFFF"/>
                <w:sz w:val="16"/>
                <w:szCs w:val="16"/>
              </w:rPr>
              <w:t>Group</w:t>
            </w:r>
          </w:p>
        </w:tc>
        <w:tc>
          <w:tcPr>
            <w:tcW w:w="1680" w:type="dxa"/>
            <w:tcBorders>
              <w:top w:val="single" w:sz="4" w:space="0" w:color="auto"/>
              <w:left w:val="nil"/>
              <w:bottom w:val="single" w:sz="4" w:space="0" w:color="auto"/>
              <w:right w:val="nil"/>
            </w:tcBorders>
            <w:shd w:val="clear" w:color="000000" w:fill="555759"/>
            <w:vAlign w:val="center"/>
            <w:hideMark/>
          </w:tcPr>
          <w:p w14:paraId="54447E6D" w14:textId="77777777" w:rsidR="00BA3780" w:rsidRPr="00C80C49" w:rsidRDefault="00BA3780" w:rsidP="0060225F">
            <w:pPr>
              <w:spacing w:line="240" w:lineRule="auto"/>
              <w:jc w:val="center"/>
              <w:rPr>
                <w:rFonts w:cs="Arial"/>
                <w:color w:val="FFFFFF"/>
                <w:sz w:val="16"/>
                <w:szCs w:val="16"/>
              </w:rPr>
            </w:pPr>
            <w:r w:rsidRPr="00C80C49">
              <w:rPr>
                <w:rFonts w:cs="Arial"/>
                <w:color w:val="FFFFFF"/>
                <w:sz w:val="16"/>
                <w:szCs w:val="16"/>
              </w:rPr>
              <w:t>In Cross-Sectional and Interval Data</w:t>
            </w:r>
          </w:p>
        </w:tc>
        <w:tc>
          <w:tcPr>
            <w:tcW w:w="1860" w:type="dxa"/>
            <w:tcBorders>
              <w:top w:val="single" w:sz="4" w:space="0" w:color="auto"/>
              <w:left w:val="nil"/>
              <w:bottom w:val="single" w:sz="4" w:space="0" w:color="auto"/>
              <w:right w:val="nil"/>
            </w:tcBorders>
            <w:shd w:val="clear" w:color="000000" w:fill="555759"/>
            <w:vAlign w:val="center"/>
            <w:hideMark/>
          </w:tcPr>
          <w:p w14:paraId="62B30B04" w14:textId="77777777" w:rsidR="00BA3780" w:rsidRPr="00C80C49" w:rsidRDefault="00BA3780" w:rsidP="0060225F">
            <w:pPr>
              <w:spacing w:line="240" w:lineRule="auto"/>
              <w:jc w:val="center"/>
              <w:rPr>
                <w:rFonts w:cs="Arial"/>
                <w:color w:val="FFFFFF"/>
                <w:sz w:val="16"/>
                <w:szCs w:val="16"/>
              </w:rPr>
            </w:pPr>
            <w:r w:rsidRPr="00C80C49">
              <w:rPr>
                <w:rFonts w:cs="Arial"/>
                <w:color w:val="FFFFFF"/>
                <w:sz w:val="16"/>
                <w:szCs w:val="16"/>
              </w:rPr>
              <w:t>Dropped Due to Lack of Pre-Period kWh</w:t>
            </w:r>
          </w:p>
        </w:tc>
        <w:tc>
          <w:tcPr>
            <w:tcW w:w="1300" w:type="dxa"/>
            <w:tcBorders>
              <w:top w:val="single" w:sz="4" w:space="0" w:color="auto"/>
              <w:left w:val="nil"/>
              <w:bottom w:val="single" w:sz="4" w:space="0" w:color="auto"/>
              <w:right w:val="single" w:sz="4" w:space="0" w:color="auto"/>
            </w:tcBorders>
            <w:shd w:val="clear" w:color="000000" w:fill="555759"/>
            <w:vAlign w:val="center"/>
            <w:hideMark/>
          </w:tcPr>
          <w:p w14:paraId="09BA761E" w14:textId="77777777" w:rsidR="00BA3780" w:rsidRPr="00C80C49" w:rsidRDefault="00BA3780" w:rsidP="0060225F">
            <w:pPr>
              <w:spacing w:line="240" w:lineRule="auto"/>
              <w:jc w:val="center"/>
              <w:rPr>
                <w:rFonts w:cs="Arial"/>
                <w:color w:val="FFFFFF"/>
                <w:sz w:val="16"/>
                <w:szCs w:val="16"/>
              </w:rPr>
            </w:pPr>
            <w:r w:rsidRPr="00C80C49">
              <w:rPr>
                <w:rFonts w:cs="Arial"/>
                <w:color w:val="FFFFFF"/>
                <w:sz w:val="16"/>
                <w:szCs w:val="16"/>
              </w:rPr>
              <w:t>Used In Analysis</w:t>
            </w:r>
          </w:p>
        </w:tc>
      </w:tr>
      <w:tr w:rsidR="00BA3780" w:rsidRPr="00C80C49" w14:paraId="45FE6972" w14:textId="77777777" w:rsidTr="0060225F">
        <w:trPr>
          <w:trHeight w:val="210"/>
          <w:jc w:val="center"/>
        </w:trPr>
        <w:tc>
          <w:tcPr>
            <w:tcW w:w="1300" w:type="dxa"/>
            <w:tcBorders>
              <w:top w:val="nil"/>
              <w:left w:val="single" w:sz="4" w:space="0" w:color="auto"/>
              <w:bottom w:val="nil"/>
              <w:right w:val="single" w:sz="4" w:space="0" w:color="auto"/>
            </w:tcBorders>
            <w:shd w:val="clear" w:color="000000" w:fill="FFFFFF"/>
            <w:noWrap/>
            <w:vAlign w:val="bottom"/>
            <w:hideMark/>
          </w:tcPr>
          <w:p w14:paraId="5495C12F" w14:textId="77777777" w:rsidR="00BA3780" w:rsidRPr="00C80C49" w:rsidRDefault="00BA3780" w:rsidP="0060225F">
            <w:pPr>
              <w:spacing w:line="240" w:lineRule="auto"/>
              <w:rPr>
                <w:rFonts w:cs="Arial"/>
                <w:sz w:val="16"/>
                <w:szCs w:val="16"/>
              </w:rPr>
            </w:pPr>
            <w:r w:rsidRPr="00C80C49">
              <w:rPr>
                <w:rFonts w:cs="Arial"/>
                <w:sz w:val="16"/>
                <w:szCs w:val="16"/>
              </w:rPr>
              <w:t>CPP</w:t>
            </w:r>
          </w:p>
        </w:tc>
        <w:tc>
          <w:tcPr>
            <w:tcW w:w="1680" w:type="dxa"/>
            <w:tcBorders>
              <w:top w:val="nil"/>
              <w:left w:val="nil"/>
              <w:bottom w:val="nil"/>
              <w:right w:val="single" w:sz="4" w:space="0" w:color="auto"/>
            </w:tcBorders>
            <w:shd w:val="clear" w:color="000000" w:fill="FFFFFF"/>
            <w:noWrap/>
            <w:vAlign w:val="bottom"/>
            <w:hideMark/>
          </w:tcPr>
          <w:p w14:paraId="10210969" w14:textId="77777777" w:rsidR="00BA3780" w:rsidRPr="00C80C49" w:rsidRDefault="00BA3780" w:rsidP="0060225F">
            <w:pPr>
              <w:spacing w:line="240" w:lineRule="auto"/>
              <w:jc w:val="center"/>
              <w:rPr>
                <w:rFonts w:cs="Arial"/>
                <w:sz w:val="16"/>
                <w:szCs w:val="16"/>
              </w:rPr>
            </w:pPr>
            <w:r w:rsidRPr="00C80C49">
              <w:rPr>
                <w:rFonts w:cs="Arial"/>
                <w:sz w:val="16"/>
                <w:szCs w:val="16"/>
              </w:rPr>
              <w:t>318</w:t>
            </w:r>
          </w:p>
        </w:tc>
        <w:tc>
          <w:tcPr>
            <w:tcW w:w="1860" w:type="dxa"/>
            <w:tcBorders>
              <w:top w:val="nil"/>
              <w:left w:val="nil"/>
              <w:bottom w:val="nil"/>
              <w:right w:val="single" w:sz="4" w:space="0" w:color="auto"/>
            </w:tcBorders>
            <w:shd w:val="clear" w:color="000000" w:fill="FFFFFF"/>
            <w:noWrap/>
            <w:vAlign w:val="bottom"/>
            <w:hideMark/>
          </w:tcPr>
          <w:p w14:paraId="5E72B2BF" w14:textId="77777777" w:rsidR="00BA3780" w:rsidRPr="00C80C49" w:rsidRDefault="00BA3780" w:rsidP="0060225F">
            <w:pPr>
              <w:spacing w:line="240" w:lineRule="auto"/>
              <w:jc w:val="center"/>
              <w:rPr>
                <w:rFonts w:cs="Arial"/>
                <w:sz w:val="16"/>
                <w:szCs w:val="16"/>
              </w:rPr>
            </w:pPr>
            <w:r w:rsidRPr="00C80C49">
              <w:rPr>
                <w:rFonts w:cs="Arial"/>
                <w:sz w:val="16"/>
                <w:szCs w:val="16"/>
              </w:rPr>
              <w:t>10</w:t>
            </w:r>
          </w:p>
        </w:tc>
        <w:tc>
          <w:tcPr>
            <w:tcW w:w="1300" w:type="dxa"/>
            <w:tcBorders>
              <w:top w:val="nil"/>
              <w:left w:val="nil"/>
              <w:bottom w:val="nil"/>
              <w:right w:val="single" w:sz="4" w:space="0" w:color="auto"/>
            </w:tcBorders>
            <w:shd w:val="clear" w:color="000000" w:fill="FFFFFF"/>
            <w:noWrap/>
            <w:vAlign w:val="bottom"/>
            <w:hideMark/>
          </w:tcPr>
          <w:p w14:paraId="71402CAA" w14:textId="77777777" w:rsidR="00BA3780" w:rsidRPr="00C80C49" w:rsidRDefault="00BA3780" w:rsidP="0060225F">
            <w:pPr>
              <w:spacing w:line="240" w:lineRule="auto"/>
              <w:jc w:val="center"/>
              <w:rPr>
                <w:rFonts w:cs="Arial"/>
                <w:b/>
                <w:bCs/>
                <w:sz w:val="16"/>
                <w:szCs w:val="16"/>
              </w:rPr>
            </w:pPr>
            <w:r w:rsidRPr="00C80C49">
              <w:rPr>
                <w:rFonts w:cs="Arial"/>
                <w:b/>
                <w:bCs/>
                <w:sz w:val="16"/>
                <w:szCs w:val="16"/>
              </w:rPr>
              <w:t>308</w:t>
            </w:r>
          </w:p>
        </w:tc>
      </w:tr>
      <w:tr w:rsidR="00BA3780" w:rsidRPr="00C80C49" w14:paraId="710E2C5E" w14:textId="77777777" w:rsidTr="0060225F">
        <w:trPr>
          <w:trHeight w:val="210"/>
          <w:jc w:val="center"/>
        </w:trPr>
        <w:tc>
          <w:tcPr>
            <w:tcW w:w="1300" w:type="dxa"/>
            <w:tcBorders>
              <w:top w:val="nil"/>
              <w:left w:val="single" w:sz="4" w:space="0" w:color="auto"/>
              <w:bottom w:val="nil"/>
              <w:right w:val="single" w:sz="4" w:space="0" w:color="auto"/>
            </w:tcBorders>
            <w:shd w:val="clear" w:color="000000" w:fill="F2F2F2"/>
            <w:noWrap/>
            <w:vAlign w:val="bottom"/>
            <w:hideMark/>
          </w:tcPr>
          <w:p w14:paraId="4C2025A3" w14:textId="77777777" w:rsidR="00BA3780" w:rsidRPr="00C80C49" w:rsidRDefault="00BA3780" w:rsidP="0060225F">
            <w:pPr>
              <w:spacing w:line="240" w:lineRule="auto"/>
              <w:rPr>
                <w:rFonts w:cs="Arial"/>
                <w:sz w:val="16"/>
                <w:szCs w:val="16"/>
              </w:rPr>
            </w:pPr>
            <w:r w:rsidRPr="00C80C49">
              <w:rPr>
                <w:rFonts w:cs="Arial"/>
                <w:sz w:val="16"/>
                <w:szCs w:val="16"/>
              </w:rPr>
              <w:t>CPP/RT</w:t>
            </w:r>
          </w:p>
        </w:tc>
        <w:tc>
          <w:tcPr>
            <w:tcW w:w="1680" w:type="dxa"/>
            <w:tcBorders>
              <w:top w:val="nil"/>
              <w:left w:val="nil"/>
              <w:bottom w:val="nil"/>
              <w:right w:val="single" w:sz="4" w:space="0" w:color="auto"/>
            </w:tcBorders>
            <w:shd w:val="clear" w:color="000000" w:fill="F2F2F2"/>
            <w:noWrap/>
            <w:vAlign w:val="bottom"/>
            <w:hideMark/>
          </w:tcPr>
          <w:p w14:paraId="0850B549" w14:textId="77777777" w:rsidR="00BA3780" w:rsidRPr="00C80C49" w:rsidRDefault="00BA3780" w:rsidP="0060225F">
            <w:pPr>
              <w:spacing w:line="240" w:lineRule="auto"/>
              <w:jc w:val="center"/>
              <w:rPr>
                <w:rFonts w:cs="Arial"/>
                <w:sz w:val="16"/>
                <w:szCs w:val="16"/>
              </w:rPr>
            </w:pPr>
            <w:r w:rsidRPr="00C80C49">
              <w:rPr>
                <w:rFonts w:cs="Arial"/>
                <w:sz w:val="16"/>
                <w:szCs w:val="16"/>
              </w:rPr>
              <w:t>339</w:t>
            </w:r>
          </w:p>
        </w:tc>
        <w:tc>
          <w:tcPr>
            <w:tcW w:w="1860" w:type="dxa"/>
            <w:tcBorders>
              <w:top w:val="nil"/>
              <w:left w:val="nil"/>
              <w:bottom w:val="nil"/>
              <w:right w:val="single" w:sz="4" w:space="0" w:color="auto"/>
            </w:tcBorders>
            <w:shd w:val="clear" w:color="000000" w:fill="F2F2F2"/>
            <w:noWrap/>
            <w:vAlign w:val="bottom"/>
            <w:hideMark/>
          </w:tcPr>
          <w:p w14:paraId="1B47678C" w14:textId="77777777" w:rsidR="00BA3780" w:rsidRPr="00C80C49" w:rsidRDefault="00BA3780" w:rsidP="0060225F">
            <w:pPr>
              <w:spacing w:line="240" w:lineRule="auto"/>
              <w:jc w:val="center"/>
              <w:rPr>
                <w:rFonts w:cs="Arial"/>
                <w:sz w:val="16"/>
                <w:szCs w:val="16"/>
              </w:rPr>
            </w:pPr>
            <w:r w:rsidRPr="00C80C49">
              <w:rPr>
                <w:rFonts w:cs="Arial"/>
                <w:sz w:val="16"/>
                <w:szCs w:val="16"/>
              </w:rPr>
              <w:t>5</w:t>
            </w:r>
          </w:p>
        </w:tc>
        <w:tc>
          <w:tcPr>
            <w:tcW w:w="1300" w:type="dxa"/>
            <w:tcBorders>
              <w:top w:val="nil"/>
              <w:left w:val="nil"/>
              <w:bottom w:val="nil"/>
              <w:right w:val="single" w:sz="4" w:space="0" w:color="auto"/>
            </w:tcBorders>
            <w:shd w:val="clear" w:color="000000" w:fill="F2F2F2"/>
            <w:noWrap/>
            <w:vAlign w:val="bottom"/>
            <w:hideMark/>
          </w:tcPr>
          <w:p w14:paraId="1D5C17EA" w14:textId="77777777" w:rsidR="00BA3780" w:rsidRPr="00C80C49" w:rsidRDefault="00BA3780" w:rsidP="0060225F">
            <w:pPr>
              <w:spacing w:line="240" w:lineRule="auto"/>
              <w:jc w:val="center"/>
              <w:rPr>
                <w:rFonts w:cs="Arial"/>
                <w:b/>
                <w:bCs/>
                <w:sz w:val="16"/>
                <w:szCs w:val="16"/>
              </w:rPr>
            </w:pPr>
            <w:r w:rsidRPr="00C80C49">
              <w:rPr>
                <w:rFonts w:cs="Arial"/>
                <w:b/>
                <w:bCs/>
                <w:sz w:val="16"/>
                <w:szCs w:val="16"/>
              </w:rPr>
              <w:t>334</w:t>
            </w:r>
          </w:p>
        </w:tc>
      </w:tr>
      <w:tr w:rsidR="00BA3780" w:rsidRPr="00C80C49" w14:paraId="7423BF1D" w14:textId="77777777" w:rsidTr="0060225F">
        <w:trPr>
          <w:trHeight w:val="210"/>
          <w:jc w:val="center"/>
        </w:trPr>
        <w:tc>
          <w:tcPr>
            <w:tcW w:w="1300" w:type="dxa"/>
            <w:tcBorders>
              <w:top w:val="nil"/>
              <w:left w:val="single" w:sz="4" w:space="0" w:color="auto"/>
              <w:bottom w:val="nil"/>
              <w:right w:val="single" w:sz="4" w:space="0" w:color="auto"/>
            </w:tcBorders>
            <w:shd w:val="clear" w:color="000000" w:fill="FFFFFF"/>
            <w:noWrap/>
            <w:vAlign w:val="bottom"/>
            <w:hideMark/>
          </w:tcPr>
          <w:p w14:paraId="47C91379" w14:textId="77777777" w:rsidR="00BA3780" w:rsidRPr="00C80C49" w:rsidRDefault="00BA3780" w:rsidP="0060225F">
            <w:pPr>
              <w:spacing w:line="240" w:lineRule="auto"/>
              <w:rPr>
                <w:rFonts w:cs="Arial"/>
                <w:sz w:val="16"/>
                <w:szCs w:val="16"/>
              </w:rPr>
            </w:pPr>
            <w:r w:rsidRPr="00C80C49">
              <w:rPr>
                <w:rFonts w:cs="Arial"/>
                <w:sz w:val="16"/>
                <w:szCs w:val="16"/>
              </w:rPr>
              <w:t xml:space="preserve">RT </w:t>
            </w:r>
          </w:p>
        </w:tc>
        <w:tc>
          <w:tcPr>
            <w:tcW w:w="1680" w:type="dxa"/>
            <w:tcBorders>
              <w:top w:val="nil"/>
              <w:left w:val="nil"/>
              <w:bottom w:val="nil"/>
              <w:right w:val="single" w:sz="4" w:space="0" w:color="auto"/>
            </w:tcBorders>
            <w:shd w:val="clear" w:color="000000" w:fill="FFFFFF"/>
            <w:noWrap/>
            <w:vAlign w:val="bottom"/>
            <w:hideMark/>
          </w:tcPr>
          <w:p w14:paraId="07FCF695" w14:textId="77777777" w:rsidR="00BA3780" w:rsidRPr="00C80C49" w:rsidRDefault="00BA3780" w:rsidP="0060225F">
            <w:pPr>
              <w:spacing w:line="240" w:lineRule="auto"/>
              <w:jc w:val="center"/>
              <w:rPr>
                <w:rFonts w:cs="Arial"/>
                <w:sz w:val="16"/>
                <w:szCs w:val="16"/>
              </w:rPr>
            </w:pPr>
            <w:r w:rsidRPr="00C80C49">
              <w:rPr>
                <w:rFonts w:cs="Arial"/>
                <w:sz w:val="16"/>
                <w:szCs w:val="16"/>
              </w:rPr>
              <w:t>1,133</w:t>
            </w:r>
          </w:p>
        </w:tc>
        <w:tc>
          <w:tcPr>
            <w:tcW w:w="1860" w:type="dxa"/>
            <w:tcBorders>
              <w:top w:val="nil"/>
              <w:left w:val="nil"/>
              <w:bottom w:val="nil"/>
              <w:right w:val="single" w:sz="4" w:space="0" w:color="auto"/>
            </w:tcBorders>
            <w:shd w:val="clear" w:color="000000" w:fill="FFFFFF"/>
            <w:noWrap/>
            <w:vAlign w:val="bottom"/>
            <w:hideMark/>
          </w:tcPr>
          <w:p w14:paraId="0E8C5BA4" w14:textId="77777777" w:rsidR="00BA3780" w:rsidRPr="00C80C49" w:rsidRDefault="00BA3780" w:rsidP="0060225F">
            <w:pPr>
              <w:spacing w:line="240" w:lineRule="auto"/>
              <w:jc w:val="center"/>
              <w:rPr>
                <w:rFonts w:cs="Arial"/>
                <w:sz w:val="16"/>
                <w:szCs w:val="16"/>
              </w:rPr>
            </w:pPr>
            <w:r w:rsidRPr="00C80C49">
              <w:rPr>
                <w:rFonts w:cs="Arial"/>
                <w:sz w:val="16"/>
                <w:szCs w:val="16"/>
              </w:rPr>
              <w:t>4</w:t>
            </w:r>
          </w:p>
        </w:tc>
        <w:tc>
          <w:tcPr>
            <w:tcW w:w="1300" w:type="dxa"/>
            <w:tcBorders>
              <w:top w:val="nil"/>
              <w:left w:val="nil"/>
              <w:bottom w:val="nil"/>
              <w:right w:val="single" w:sz="4" w:space="0" w:color="auto"/>
            </w:tcBorders>
            <w:shd w:val="clear" w:color="000000" w:fill="FFFFFF"/>
            <w:noWrap/>
            <w:vAlign w:val="bottom"/>
            <w:hideMark/>
          </w:tcPr>
          <w:p w14:paraId="39A46E2E" w14:textId="77777777" w:rsidR="00BA3780" w:rsidRPr="00C80C49" w:rsidRDefault="00BA3780" w:rsidP="0060225F">
            <w:pPr>
              <w:spacing w:line="240" w:lineRule="auto"/>
              <w:jc w:val="center"/>
              <w:rPr>
                <w:rFonts w:cs="Arial"/>
                <w:b/>
                <w:bCs/>
                <w:sz w:val="16"/>
                <w:szCs w:val="16"/>
              </w:rPr>
            </w:pPr>
            <w:r w:rsidRPr="00C80C49">
              <w:rPr>
                <w:rFonts w:cs="Arial"/>
                <w:b/>
                <w:bCs/>
                <w:sz w:val="16"/>
                <w:szCs w:val="16"/>
              </w:rPr>
              <w:t>1,129</w:t>
            </w:r>
          </w:p>
        </w:tc>
      </w:tr>
      <w:tr w:rsidR="00BA3780" w:rsidRPr="00C80C49" w14:paraId="0376D18E" w14:textId="77777777" w:rsidTr="0060225F">
        <w:trPr>
          <w:trHeight w:val="210"/>
          <w:jc w:val="center"/>
        </w:trPr>
        <w:tc>
          <w:tcPr>
            <w:tcW w:w="1300" w:type="dxa"/>
            <w:tcBorders>
              <w:top w:val="nil"/>
              <w:left w:val="single" w:sz="4" w:space="0" w:color="auto"/>
              <w:bottom w:val="single" w:sz="4" w:space="0" w:color="auto"/>
              <w:right w:val="single" w:sz="4" w:space="0" w:color="auto"/>
            </w:tcBorders>
            <w:shd w:val="clear" w:color="000000" w:fill="F2F2F2"/>
            <w:noWrap/>
            <w:vAlign w:val="bottom"/>
            <w:hideMark/>
          </w:tcPr>
          <w:p w14:paraId="1A67A4AA" w14:textId="77777777" w:rsidR="00BA3780" w:rsidRPr="00C80C49" w:rsidRDefault="00BA3780" w:rsidP="0060225F">
            <w:pPr>
              <w:spacing w:line="240" w:lineRule="auto"/>
              <w:rPr>
                <w:rFonts w:cs="Arial"/>
                <w:sz w:val="16"/>
                <w:szCs w:val="16"/>
              </w:rPr>
            </w:pPr>
            <w:r w:rsidRPr="00C80C49">
              <w:rPr>
                <w:rFonts w:cs="Arial"/>
                <w:sz w:val="16"/>
                <w:szCs w:val="16"/>
              </w:rPr>
              <w:t>RCT Control</w:t>
            </w:r>
          </w:p>
        </w:tc>
        <w:tc>
          <w:tcPr>
            <w:tcW w:w="1680" w:type="dxa"/>
            <w:tcBorders>
              <w:top w:val="nil"/>
              <w:left w:val="nil"/>
              <w:bottom w:val="single" w:sz="4" w:space="0" w:color="auto"/>
              <w:right w:val="single" w:sz="4" w:space="0" w:color="auto"/>
            </w:tcBorders>
            <w:shd w:val="clear" w:color="000000" w:fill="F2F2F2"/>
            <w:noWrap/>
            <w:vAlign w:val="bottom"/>
            <w:hideMark/>
          </w:tcPr>
          <w:p w14:paraId="1524BB3E" w14:textId="77777777" w:rsidR="00BA3780" w:rsidRPr="00C80C49" w:rsidRDefault="00BA3780" w:rsidP="0060225F">
            <w:pPr>
              <w:spacing w:line="240" w:lineRule="auto"/>
              <w:jc w:val="center"/>
              <w:rPr>
                <w:rFonts w:cs="Arial"/>
                <w:sz w:val="16"/>
                <w:szCs w:val="16"/>
              </w:rPr>
            </w:pPr>
            <w:r w:rsidRPr="00C80C49">
              <w:rPr>
                <w:rFonts w:cs="Arial"/>
                <w:sz w:val="16"/>
                <w:szCs w:val="16"/>
              </w:rPr>
              <w:t>469</w:t>
            </w:r>
          </w:p>
        </w:tc>
        <w:tc>
          <w:tcPr>
            <w:tcW w:w="1860" w:type="dxa"/>
            <w:tcBorders>
              <w:top w:val="nil"/>
              <w:left w:val="nil"/>
              <w:bottom w:val="single" w:sz="4" w:space="0" w:color="auto"/>
              <w:right w:val="single" w:sz="4" w:space="0" w:color="auto"/>
            </w:tcBorders>
            <w:shd w:val="clear" w:color="000000" w:fill="F2F2F2"/>
            <w:noWrap/>
            <w:vAlign w:val="bottom"/>
            <w:hideMark/>
          </w:tcPr>
          <w:p w14:paraId="3D2FF6D1" w14:textId="77777777" w:rsidR="00BA3780" w:rsidRPr="00C80C49" w:rsidRDefault="00BA3780" w:rsidP="0060225F">
            <w:pPr>
              <w:spacing w:line="240" w:lineRule="auto"/>
              <w:jc w:val="center"/>
              <w:rPr>
                <w:rFonts w:cs="Arial"/>
                <w:sz w:val="16"/>
                <w:szCs w:val="16"/>
              </w:rPr>
            </w:pPr>
            <w:r w:rsidRPr="00C80C49">
              <w:rPr>
                <w:rFonts w:cs="Arial"/>
                <w:sz w:val="16"/>
                <w:szCs w:val="16"/>
              </w:rPr>
              <w:t>15</w:t>
            </w:r>
          </w:p>
        </w:tc>
        <w:tc>
          <w:tcPr>
            <w:tcW w:w="1300" w:type="dxa"/>
            <w:tcBorders>
              <w:top w:val="nil"/>
              <w:left w:val="nil"/>
              <w:bottom w:val="single" w:sz="4" w:space="0" w:color="auto"/>
              <w:right w:val="single" w:sz="4" w:space="0" w:color="auto"/>
            </w:tcBorders>
            <w:shd w:val="clear" w:color="000000" w:fill="F2F2F2"/>
            <w:noWrap/>
            <w:vAlign w:val="bottom"/>
            <w:hideMark/>
          </w:tcPr>
          <w:p w14:paraId="741C79BA" w14:textId="77777777" w:rsidR="00BA3780" w:rsidRPr="00C80C49" w:rsidRDefault="00BA3780" w:rsidP="0060225F">
            <w:pPr>
              <w:spacing w:line="240" w:lineRule="auto"/>
              <w:jc w:val="center"/>
              <w:rPr>
                <w:rFonts w:cs="Arial"/>
                <w:b/>
                <w:bCs/>
                <w:sz w:val="16"/>
                <w:szCs w:val="16"/>
              </w:rPr>
            </w:pPr>
            <w:r w:rsidRPr="00C80C49">
              <w:rPr>
                <w:rFonts w:cs="Arial"/>
                <w:b/>
                <w:bCs/>
                <w:sz w:val="16"/>
                <w:szCs w:val="16"/>
              </w:rPr>
              <w:t>454</w:t>
            </w:r>
          </w:p>
        </w:tc>
      </w:tr>
    </w:tbl>
    <w:p w14:paraId="0051E72B" w14:textId="77777777" w:rsidR="00BA3780" w:rsidRDefault="00BA3780" w:rsidP="00BA3780">
      <w:r>
        <w:t xml:space="preserve"> </w:t>
      </w:r>
    </w:p>
    <w:p w14:paraId="611E0109" w14:textId="125D33C6" w:rsidR="00BA3780" w:rsidRDefault="00BA3780" w:rsidP="00BA3780">
      <w:r>
        <w:fldChar w:fldCharType="begin"/>
      </w:r>
      <w:r>
        <w:instrText xml:space="preserve"> REF _Ref1984048 \h </w:instrText>
      </w:r>
      <w:r>
        <w:fldChar w:fldCharType="separate"/>
      </w:r>
      <w:r w:rsidR="00413291">
        <w:t xml:space="preserve">Figure </w:t>
      </w:r>
      <w:r w:rsidR="00413291">
        <w:rPr>
          <w:noProof/>
        </w:rPr>
        <w:t>37</w:t>
      </w:r>
      <w:r>
        <w:fldChar w:fldCharType="end"/>
      </w:r>
      <w:r>
        <w:t>, below, below shows the count of individuals included in the analysis. The first numeric column provides the count of individuals included in both the interval data (hourly consumption) and the cross-sectional data, and the right-most column provides the count of individuals included in the data set from which the regression specification was estimated.</w:t>
      </w:r>
    </w:p>
    <w:p w14:paraId="571A9AC0" w14:textId="77777777" w:rsidR="00BA3780" w:rsidRDefault="00BA3780" w:rsidP="00BA3780"/>
    <w:p w14:paraId="32AF8FDE" w14:textId="7731CB52" w:rsidR="00BA3780" w:rsidRDefault="00BA3780" w:rsidP="00BA3780">
      <w:r>
        <w:lastRenderedPageBreak/>
        <w:t>The third column from the left flags the number of individuals that were dropped from the sample because no connectivity data were available for these individuals.</w:t>
      </w:r>
      <w:r>
        <w:rPr>
          <w:rStyle w:val="FootnoteReference"/>
        </w:rPr>
        <w:footnoteReference w:id="41"/>
      </w:r>
      <w:r>
        <w:t xml:space="preserve">  </w:t>
      </w:r>
      <w:r w:rsidR="00B772CD">
        <w:t xml:space="preserve">No customers were dropped from the data set due to disconnections, but only </w:t>
      </w:r>
      <w:r w:rsidR="001345CB">
        <w:t xml:space="preserve">where data were not available (i.e., when it was impossible for Navigant to determine whether they were connected or not for a given event). </w:t>
      </w:r>
      <w:r>
        <w:t xml:space="preserve">The second column from the right provides a count of the number of individuals shed from the sample due to their having no pre-period summer interval data. Note that this number is larger than the number of individuals shed from the energy analysis in </w:t>
      </w:r>
      <w:r>
        <w:fldChar w:fldCharType="begin"/>
      </w:r>
      <w:r>
        <w:instrText xml:space="preserve"> REF _Ref1975128 \h </w:instrText>
      </w:r>
      <w:r>
        <w:fldChar w:fldCharType="separate"/>
      </w:r>
      <w:r w:rsidR="00413291">
        <w:t xml:space="preserve">Figure </w:t>
      </w:r>
      <w:r w:rsidR="00413291">
        <w:rPr>
          <w:noProof/>
        </w:rPr>
        <w:t>36</w:t>
      </w:r>
      <w:r>
        <w:fldChar w:fldCharType="end"/>
      </w:r>
      <w:r>
        <w:t xml:space="preserve">, above. This is because the CPP analysis was limited to days with the day-type “F_1”, “F_2”, “F_3”, “E_1”, “E_2”, and “E_3” (for definitions of these day-types please see section </w:t>
      </w:r>
      <w:r>
        <w:fldChar w:fldCharType="begin"/>
      </w:r>
      <w:r>
        <w:instrText xml:space="preserve"> REF _Ref1973941 \n \h </w:instrText>
      </w:r>
      <w:r>
        <w:fldChar w:fldCharType="separate"/>
      </w:r>
      <w:r w:rsidR="00413291">
        <w:t>A.4</w:t>
      </w:r>
      <w:r>
        <w:fldChar w:fldCharType="end"/>
      </w:r>
      <w:r>
        <w:t xml:space="preserve">, below), whereas the energy analysis includes all day-types.  </w:t>
      </w:r>
    </w:p>
    <w:p w14:paraId="142F0281" w14:textId="77777777" w:rsidR="00BA3780" w:rsidRDefault="00BA3780" w:rsidP="00BA3780"/>
    <w:p w14:paraId="6A7FD3F2" w14:textId="56123687" w:rsidR="00BA3780" w:rsidRDefault="00BA3780" w:rsidP="00BA3780">
      <w:pPr>
        <w:pStyle w:val="Caption"/>
      </w:pPr>
      <w:bookmarkStart w:id="144" w:name="_Ref1984048"/>
      <w:bookmarkStart w:id="145" w:name="_Toc8393645"/>
      <w:r>
        <w:t xml:space="preserve">Figure </w:t>
      </w:r>
      <w:fldSimple w:instr=" SEQ Figure \* ARABIC ">
        <w:r w:rsidR="00413291">
          <w:rPr>
            <w:noProof/>
          </w:rPr>
          <w:t>37</w:t>
        </w:r>
      </w:fldSimple>
      <w:bookmarkEnd w:id="144"/>
      <w:r>
        <w:t>: CPP Event Demand Sample</w:t>
      </w:r>
      <w:bookmarkEnd w:id="145"/>
    </w:p>
    <w:tbl>
      <w:tblPr>
        <w:tblW w:w="8120" w:type="dxa"/>
        <w:jc w:val="center"/>
        <w:tblLook w:val="04A0" w:firstRow="1" w:lastRow="0" w:firstColumn="1" w:lastColumn="0" w:noHBand="0" w:noVBand="1"/>
      </w:tblPr>
      <w:tblGrid>
        <w:gridCol w:w="1300"/>
        <w:gridCol w:w="1680"/>
        <w:gridCol w:w="1860"/>
        <w:gridCol w:w="1980"/>
        <w:gridCol w:w="1300"/>
      </w:tblGrid>
      <w:tr w:rsidR="00BA3780" w:rsidRPr="00FD015F" w14:paraId="27732E0B" w14:textId="77777777" w:rsidTr="0060225F">
        <w:trPr>
          <w:trHeight w:val="600"/>
          <w:jc w:val="center"/>
        </w:trPr>
        <w:tc>
          <w:tcPr>
            <w:tcW w:w="1300" w:type="dxa"/>
            <w:tcBorders>
              <w:top w:val="single" w:sz="4" w:space="0" w:color="auto"/>
              <w:left w:val="single" w:sz="4" w:space="0" w:color="auto"/>
              <w:bottom w:val="single" w:sz="4" w:space="0" w:color="auto"/>
              <w:right w:val="nil"/>
            </w:tcBorders>
            <w:shd w:val="clear" w:color="000000" w:fill="555759"/>
            <w:vAlign w:val="center"/>
            <w:hideMark/>
          </w:tcPr>
          <w:p w14:paraId="44F2D6E3" w14:textId="77777777" w:rsidR="00BA3780" w:rsidRPr="00FD015F" w:rsidRDefault="00BA3780" w:rsidP="0060225F">
            <w:pPr>
              <w:keepNext/>
              <w:spacing w:line="240" w:lineRule="auto"/>
              <w:jc w:val="center"/>
              <w:rPr>
                <w:rFonts w:cs="Arial"/>
                <w:color w:val="FFFFFF"/>
                <w:sz w:val="16"/>
                <w:szCs w:val="16"/>
              </w:rPr>
            </w:pPr>
            <w:r w:rsidRPr="00FD015F">
              <w:rPr>
                <w:rFonts w:cs="Arial"/>
                <w:color w:val="FFFFFF"/>
                <w:sz w:val="16"/>
                <w:szCs w:val="16"/>
              </w:rPr>
              <w:t>Group</w:t>
            </w:r>
          </w:p>
        </w:tc>
        <w:tc>
          <w:tcPr>
            <w:tcW w:w="1680" w:type="dxa"/>
            <w:tcBorders>
              <w:top w:val="single" w:sz="4" w:space="0" w:color="auto"/>
              <w:left w:val="nil"/>
              <w:bottom w:val="single" w:sz="4" w:space="0" w:color="auto"/>
              <w:right w:val="nil"/>
            </w:tcBorders>
            <w:shd w:val="clear" w:color="000000" w:fill="555759"/>
            <w:vAlign w:val="center"/>
            <w:hideMark/>
          </w:tcPr>
          <w:p w14:paraId="332A927D" w14:textId="77777777" w:rsidR="00BA3780" w:rsidRPr="00FD015F" w:rsidRDefault="00BA3780" w:rsidP="0060225F">
            <w:pPr>
              <w:keepNext/>
              <w:spacing w:line="240" w:lineRule="auto"/>
              <w:jc w:val="center"/>
              <w:rPr>
                <w:rFonts w:cs="Arial"/>
                <w:color w:val="FFFFFF"/>
                <w:sz w:val="16"/>
                <w:szCs w:val="16"/>
              </w:rPr>
            </w:pPr>
            <w:r w:rsidRPr="00FD015F">
              <w:rPr>
                <w:rFonts w:cs="Arial"/>
                <w:color w:val="FFFFFF"/>
                <w:sz w:val="16"/>
                <w:szCs w:val="16"/>
              </w:rPr>
              <w:t>In Cross-Sectional and Interval Data</w:t>
            </w:r>
          </w:p>
        </w:tc>
        <w:tc>
          <w:tcPr>
            <w:tcW w:w="1860" w:type="dxa"/>
            <w:tcBorders>
              <w:top w:val="single" w:sz="4" w:space="0" w:color="auto"/>
              <w:left w:val="nil"/>
              <w:bottom w:val="single" w:sz="4" w:space="0" w:color="auto"/>
              <w:right w:val="nil"/>
            </w:tcBorders>
            <w:shd w:val="clear" w:color="000000" w:fill="555759"/>
            <w:vAlign w:val="center"/>
            <w:hideMark/>
          </w:tcPr>
          <w:p w14:paraId="03429EF4" w14:textId="77777777" w:rsidR="00BA3780" w:rsidRPr="00FD015F" w:rsidRDefault="00BA3780" w:rsidP="0060225F">
            <w:pPr>
              <w:keepNext/>
              <w:spacing w:line="240" w:lineRule="auto"/>
              <w:jc w:val="center"/>
              <w:rPr>
                <w:rFonts w:cs="Arial"/>
                <w:color w:val="FFFFFF"/>
                <w:sz w:val="16"/>
                <w:szCs w:val="16"/>
              </w:rPr>
            </w:pPr>
            <w:r w:rsidRPr="00FD015F">
              <w:rPr>
                <w:rFonts w:cs="Arial"/>
                <w:color w:val="FFFFFF"/>
                <w:sz w:val="16"/>
                <w:szCs w:val="16"/>
              </w:rPr>
              <w:t>Dropped Due to Lack of Connectivity Data</w:t>
            </w:r>
          </w:p>
        </w:tc>
        <w:tc>
          <w:tcPr>
            <w:tcW w:w="1980" w:type="dxa"/>
            <w:tcBorders>
              <w:top w:val="single" w:sz="4" w:space="0" w:color="auto"/>
              <w:left w:val="nil"/>
              <w:bottom w:val="single" w:sz="4" w:space="0" w:color="auto"/>
              <w:right w:val="nil"/>
            </w:tcBorders>
            <w:shd w:val="clear" w:color="000000" w:fill="555759"/>
            <w:vAlign w:val="center"/>
            <w:hideMark/>
          </w:tcPr>
          <w:p w14:paraId="2DD8AC71" w14:textId="77777777" w:rsidR="00BA3780" w:rsidRPr="00FD015F" w:rsidRDefault="00BA3780" w:rsidP="0060225F">
            <w:pPr>
              <w:keepNext/>
              <w:spacing w:line="240" w:lineRule="auto"/>
              <w:jc w:val="center"/>
              <w:rPr>
                <w:rFonts w:cs="Arial"/>
                <w:color w:val="FFFFFF"/>
                <w:sz w:val="16"/>
                <w:szCs w:val="16"/>
              </w:rPr>
            </w:pPr>
            <w:r w:rsidRPr="00FD015F">
              <w:rPr>
                <w:rFonts w:cs="Arial"/>
                <w:color w:val="FFFFFF"/>
                <w:sz w:val="16"/>
                <w:szCs w:val="16"/>
              </w:rPr>
              <w:t>Dropped Due to Lack of Pre-Period kWh</w:t>
            </w:r>
          </w:p>
        </w:tc>
        <w:tc>
          <w:tcPr>
            <w:tcW w:w="1300" w:type="dxa"/>
            <w:tcBorders>
              <w:top w:val="single" w:sz="4" w:space="0" w:color="auto"/>
              <w:left w:val="nil"/>
              <w:bottom w:val="single" w:sz="4" w:space="0" w:color="auto"/>
              <w:right w:val="single" w:sz="4" w:space="0" w:color="auto"/>
            </w:tcBorders>
            <w:shd w:val="clear" w:color="000000" w:fill="555759"/>
            <w:vAlign w:val="center"/>
            <w:hideMark/>
          </w:tcPr>
          <w:p w14:paraId="6C5C2E90" w14:textId="77777777" w:rsidR="00BA3780" w:rsidRPr="00FD015F" w:rsidRDefault="00BA3780" w:rsidP="0060225F">
            <w:pPr>
              <w:keepNext/>
              <w:spacing w:line="240" w:lineRule="auto"/>
              <w:jc w:val="center"/>
              <w:rPr>
                <w:rFonts w:cs="Arial"/>
                <w:color w:val="FFFFFF"/>
                <w:sz w:val="16"/>
                <w:szCs w:val="16"/>
              </w:rPr>
            </w:pPr>
            <w:r w:rsidRPr="00FD015F">
              <w:rPr>
                <w:rFonts w:cs="Arial"/>
                <w:color w:val="FFFFFF"/>
                <w:sz w:val="16"/>
                <w:szCs w:val="16"/>
              </w:rPr>
              <w:t>Used In Analysis</w:t>
            </w:r>
          </w:p>
        </w:tc>
      </w:tr>
      <w:tr w:rsidR="00BA3780" w:rsidRPr="00FD015F" w14:paraId="2ECD975A" w14:textId="77777777" w:rsidTr="0060225F">
        <w:trPr>
          <w:trHeight w:val="210"/>
          <w:jc w:val="center"/>
        </w:trPr>
        <w:tc>
          <w:tcPr>
            <w:tcW w:w="1300" w:type="dxa"/>
            <w:tcBorders>
              <w:top w:val="nil"/>
              <w:left w:val="single" w:sz="4" w:space="0" w:color="auto"/>
              <w:bottom w:val="nil"/>
              <w:right w:val="single" w:sz="4" w:space="0" w:color="auto"/>
            </w:tcBorders>
            <w:shd w:val="clear" w:color="000000" w:fill="FFFFFF"/>
            <w:noWrap/>
            <w:vAlign w:val="bottom"/>
            <w:hideMark/>
          </w:tcPr>
          <w:p w14:paraId="08BA2CD9" w14:textId="77777777" w:rsidR="00BA3780" w:rsidRPr="00FD015F" w:rsidRDefault="00BA3780" w:rsidP="0060225F">
            <w:pPr>
              <w:keepNext/>
              <w:spacing w:line="240" w:lineRule="auto"/>
              <w:rPr>
                <w:rFonts w:cs="Arial"/>
                <w:sz w:val="16"/>
                <w:szCs w:val="16"/>
              </w:rPr>
            </w:pPr>
            <w:r w:rsidRPr="00FD015F">
              <w:rPr>
                <w:rFonts w:cs="Arial"/>
                <w:sz w:val="16"/>
                <w:szCs w:val="16"/>
              </w:rPr>
              <w:t>CPP</w:t>
            </w:r>
          </w:p>
        </w:tc>
        <w:tc>
          <w:tcPr>
            <w:tcW w:w="1680" w:type="dxa"/>
            <w:tcBorders>
              <w:top w:val="nil"/>
              <w:left w:val="nil"/>
              <w:bottom w:val="nil"/>
              <w:right w:val="single" w:sz="4" w:space="0" w:color="auto"/>
            </w:tcBorders>
            <w:shd w:val="clear" w:color="000000" w:fill="FFFFFF"/>
            <w:noWrap/>
            <w:vAlign w:val="bottom"/>
            <w:hideMark/>
          </w:tcPr>
          <w:p w14:paraId="695733EE" w14:textId="77777777" w:rsidR="00BA3780" w:rsidRPr="00FD015F" w:rsidRDefault="00BA3780" w:rsidP="0060225F">
            <w:pPr>
              <w:keepNext/>
              <w:spacing w:line="240" w:lineRule="auto"/>
              <w:jc w:val="center"/>
              <w:rPr>
                <w:rFonts w:cs="Arial"/>
                <w:sz w:val="16"/>
                <w:szCs w:val="16"/>
              </w:rPr>
            </w:pPr>
            <w:r w:rsidRPr="00FD015F">
              <w:rPr>
                <w:rFonts w:cs="Arial"/>
                <w:sz w:val="16"/>
                <w:szCs w:val="16"/>
              </w:rPr>
              <w:t>318</w:t>
            </w:r>
          </w:p>
        </w:tc>
        <w:tc>
          <w:tcPr>
            <w:tcW w:w="1860" w:type="dxa"/>
            <w:tcBorders>
              <w:top w:val="nil"/>
              <w:left w:val="nil"/>
              <w:bottom w:val="nil"/>
              <w:right w:val="single" w:sz="4" w:space="0" w:color="auto"/>
            </w:tcBorders>
            <w:shd w:val="clear" w:color="000000" w:fill="FFFFFF"/>
            <w:noWrap/>
            <w:vAlign w:val="bottom"/>
            <w:hideMark/>
          </w:tcPr>
          <w:p w14:paraId="51702D04" w14:textId="77777777" w:rsidR="00BA3780" w:rsidRPr="00FD015F" w:rsidRDefault="00BA3780" w:rsidP="0060225F">
            <w:pPr>
              <w:keepNext/>
              <w:spacing w:line="240" w:lineRule="auto"/>
              <w:jc w:val="center"/>
              <w:rPr>
                <w:rFonts w:cs="Arial"/>
                <w:sz w:val="16"/>
                <w:szCs w:val="16"/>
              </w:rPr>
            </w:pPr>
            <w:r w:rsidRPr="00FD015F">
              <w:rPr>
                <w:rFonts w:cs="Arial"/>
                <w:sz w:val="16"/>
                <w:szCs w:val="16"/>
              </w:rPr>
              <w:t>18</w:t>
            </w:r>
          </w:p>
        </w:tc>
        <w:tc>
          <w:tcPr>
            <w:tcW w:w="1980" w:type="dxa"/>
            <w:tcBorders>
              <w:top w:val="nil"/>
              <w:left w:val="nil"/>
              <w:bottom w:val="nil"/>
              <w:right w:val="single" w:sz="4" w:space="0" w:color="auto"/>
            </w:tcBorders>
            <w:shd w:val="clear" w:color="000000" w:fill="FFFFFF"/>
            <w:noWrap/>
            <w:vAlign w:val="bottom"/>
            <w:hideMark/>
          </w:tcPr>
          <w:p w14:paraId="577BE072" w14:textId="77777777" w:rsidR="00BA3780" w:rsidRPr="00FD015F" w:rsidRDefault="00BA3780" w:rsidP="0060225F">
            <w:pPr>
              <w:keepNext/>
              <w:spacing w:line="240" w:lineRule="auto"/>
              <w:jc w:val="center"/>
              <w:rPr>
                <w:rFonts w:cs="Arial"/>
                <w:sz w:val="16"/>
                <w:szCs w:val="16"/>
              </w:rPr>
            </w:pPr>
            <w:r w:rsidRPr="00FD015F">
              <w:rPr>
                <w:rFonts w:cs="Arial"/>
                <w:sz w:val="16"/>
                <w:szCs w:val="16"/>
              </w:rPr>
              <w:t>18</w:t>
            </w:r>
          </w:p>
        </w:tc>
        <w:tc>
          <w:tcPr>
            <w:tcW w:w="1300" w:type="dxa"/>
            <w:tcBorders>
              <w:top w:val="nil"/>
              <w:left w:val="nil"/>
              <w:bottom w:val="nil"/>
              <w:right w:val="single" w:sz="4" w:space="0" w:color="auto"/>
            </w:tcBorders>
            <w:shd w:val="clear" w:color="000000" w:fill="FFFFFF"/>
            <w:noWrap/>
            <w:vAlign w:val="bottom"/>
            <w:hideMark/>
          </w:tcPr>
          <w:p w14:paraId="465E6821" w14:textId="77777777" w:rsidR="00BA3780" w:rsidRPr="00FD015F" w:rsidRDefault="00BA3780" w:rsidP="0060225F">
            <w:pPr>
              <w:keepNext/>
              <w:spacing w:line="240" w:lineRule="auto"/>
              <w:jc w:val="center"/>
              <w:rPr>
                <w:rFonts w:cs="Arial"/>
                <w:b/>
                <w:bCs/>
                <w:sz w:val="16"/>
                <w:szCs w:val="16"/>
              </w:rPr>
            </w:pPr>
            <w:r w:rsidRPr="00FD015F">
              <w:rPr>
                <w:rFonts w:cs="Arial"/>
                <w:b/>
                <w:bCs/>
                <w:sz w:val="16"/>
                <w:szCs w:val="16"/>
              </w:rPr>
              <w:t>282</w:t>
            </w:r>
          </w:p>
        </w:tc>
      </w:tr>
      <w:tr w:rsidR="00BA3780" w:rsidRPr="00FD015F" w14:paraId="1BF5FF36" w14:textId="77777777" w:rsidTr="0060225F">
        <w:trPr>
          <w:trHeight w:val="210"/>
          <w:jc w:val="center"/>
        </w:trPr>
        <w:tc>
          <w:tcPr>
            <w:tcW w:w="1300" w:type="dxa"/>
            <w:tcBorders>
              <w:top w:val="nil"/>
              <w:left w:val="single" w:sz="4" w:space="0" w:color="auto"/>
              <w:bottom w:val="nil"/>
              <w:right w:val="single" w:sz="4" w:space="0" w:color="auto"/>
            </w:tcBorders>
            <w:shd w:val="clear" w:color="000000" w:fill="F2F2F2"/>
            <w:noWrap/>
            <w:vAlign w:val="bottom"/>
            <w:hideMark/>
          </w:tcPr>
          <w:p w14:paraId="2034179D" w14:textId="77777777" w:rsidR="00BA3780" w:rsidRPr="00FD015F" w:rsidRDefault="00BA3780" w:rsidP="0060225F">
            <w:pPr>
              <w:keepNext/>
              <w:spacing w:line="240" w:lineRule="auto"/>
              <w:rPr>
                <w:rFonts w:cs="Arial"/>
                <w:sz w:val="16"/>
                <w:szCs w:val="16"/>
              </w:rPr>
            </w:pPr>
            <w:r w:rsidRPr="00FD015F">
              <w:rPr>
                <w:rFonts w:cs="Arial"/>
                <w:sz w:val="16"/>
                <w:szCs w:val="16"/>
              </w:rPr>
              <w:t>CPP/RT</w:t>
            </w:r>
          </w:p>
        </w:tc>
        <w:tc>
          <w:tcPr>
            <w:tcW w:w="1680" w:type="dxa"/>
            <w:tcBorders>
              <w:top w:val="nil"/>
              <w:left w:val="nil"/>
              <w:bottom w:val="nil"/>
              <w:right w:val="single" w:sz="4" w:space="0" w:color="auto"/>
            </w:tcBorders>
            <w:shd w:val="clear" w:color="000000" w:fill="F2F2F2"/>
            <w:noWrap/>
            <w:vAlign w:val="bottom"/>
            <w:hideMark/>
          </w:tcPr>
          <w:p w14:paraId="097A9331" w14:textId="77777777" w:rsidR="00BA3780" w:rsidRPr="00FD015F" w:rsidRDefault="00BA3780" w:rsidP="0060225F">
            <w:pPr>
              <w:keepNext/>
              <w:spacing w:line="240" w:lineRule="auto"/>
              <w:jc w:val="center"/>
              <w:rPr>
                <w:rFonts w:cs="Arial"/>
                <w:sz w:val="16"/>
                <w:szCs w:val="16"/>
              </w:rPr>
            </w:pPr>
            <w:r w:rsidRPr="00FD015F">
              <w:rPr>
                <w:rFonts w:cs="Arial"/>
                <w:sz w:val="16"/>
                <w:szCs w:val="16"/>
              </w:rPr>
              <w:t>339</w:t>
            </w:r>
          </w:p>
        </w:tc>
        <w:tc>
          <w:tcPr>
            <w:tcW w:w="1860" w:type="dxa"/>
            <w:tcBorders>
              <w:top w:val="nil"/>
              <w:left w:val="nil"/>
              <w:bottom w:val="nil"/>
              <w:right w:val="single" w:sz="4" w:space="0" w:color="auto"/>
            </w:tcBorders>
            <w:shd w:val="clear" w:color="000000" w:fill="F2F2F2"/>
            <w:noWrap/>
            <w:vAlign w:val="bottom"/>
            <w:hideMark/>
          </w:tcPr>
          <w:p w14:paraId="3E6D7845" w14:textId="77777777" w:rsidR="00BA3780" w:rsidRPr="00FD015F" w:rsidRDefault="00BA3780" w:rsidP="0060225F">
            <w:pPr>
              <w:keepNext/>
              <w:spacing w:line="240" w:lineRule="auto"/>
              <w:jc w:val="center"/>
              <w:rPr>
                <w:rFonts w:cs="Arial"/>
                <w:sz w:val="16"/>
                <w:szCs w:val="16"/>
              </w:rPr>
            </w:pPr>
            <w:r w:rsidRPr="00FD015F">
              <w:rPr>
                <w:rFonts w:cs="Arial"/>
                <w:sz w:val="16"/>
                <w:szCs w:val="16"/>
              </w:rPr>
              <w:t>21</w:t>
            </w:r>
          </w:p>
        </w:tc>
        <w:tc>
          <w:tcPr>
            <w:tcW w:w="1980" w:type="dxa"/>
            <w:tcBorders>
              <w:top w:val="nil"/>
              <w:left w:val="nil"/>
              <w:bottom w:val="nil"/>
              <w:right w:val="single" w:sz="4" w:space="0" w:color="auto"/>
            </w:tcBorders>
            <w:shd w:val="clear" w:color="000000" w:fill="F2F2F2"/>
            <w:noWrap/>
            <w:vAlign w:val="bottom"/>
            <w:hideMark/>
          </w:tcPr>
          <w:p w14:paraId="08ABD51F" w14:textId="77777777" w:rsidR="00BA3780" w:rsidRPr="00FD015F" w:rsidRDefault="00BA3780" w:rsidP="0060225F">
            <w:pPr>
              <w:keepNext/>
              <w:spacing w:line="240" w:lineRule="auto"/>
              <w:jc w:val="center"/>
              <w:rPr>
                <w:rFonts w:cs="Arial"/>
                <w:sz w:val="16"/>
                <w:szCs w:val="16"/>
              </w:rPr>
            </w:pPr>
            <w:r w:rsidRPr="00FD015F">
              <w:rPr>
                <w:rFonts w:cs="Arial"/>
                <w:sz w:val="16"/>
                <w:szCs w:val="16"/>
              </w:rPr>
              <w:t>10</w:t>
            </w:r>
          </w:p>
        </w:tc>
        <w:tc>
          <w:tcPr>
            <w:tcW w:w="1300" w:type="dxa"/>
            <w:tcBorders>
              <w:top w:val="nil"/>
              <w:left w:val="nil"/>
              <w:bottom w:val="nil"/>
              <w:right w:val="single" w:sz="4" w:space="0" w:color="auto"/>
            </w:tcBorders>
            <w:shd w:val="clear" w:color="000000" w:fill="F2F2F2"/>
            <w:noWrap/>
            <w:vAlign w:val="bottom"/>
            <w:hideMark/>
          </w:tcPr>
          <w:p w14:paraId="431BC8E0" w14:textId="77777777" w:rsidR="00BA3780" w:rsidRPr="00FD015F" w:rsidRDefault="00BA3780" w:rsidP="0060225F">
            <w:pPr>
              <w:keepNext/>
              <w:spacing w:line="240" w:lineRule="auto"/>
              <w:jc w:val="center"/>
              <w:rPr>
                <w:rFonts w:cs="Arial"/>
                <w:b/>
                <w:bCs/>
                <w:sz w:val="16"/>
                <w:szCs w:val="16"/>
              </w:rPr>
            </w:pPr>
            <w:r w:rsidRPr="00FD015F">
              <w:rPr>
                <w:rFonts w:cs="Arial"/>
                <w:b/>
                <w:bCs/>
                <w:sz w:val="16"/>
                <w:szCs w:val="16"/>
              </w:rPr>
              <w:t>308</w:t>
            </w:r>
          </w:p>
        </w:tc>
      </w:tr>
      <w:tr w:rsidR="00BA3780" w:rsidRPr="00FD015F" w14:paraId="47662F60" w14:textId="77777777" w:rsidTr="0060225F">
        <w:trPr>
          <w:trHeight w:val="210"/>
          <w:jc w:val="center"/>
        </w:trPr>
        <w:tc>
          <w:tcPr>
            <w:tcW w:w="1300" w:type="dxa"/>
            <w:tcBorders>
              <w:top w:val="nil"/>
              <w:left w:val="single" w:sz="4" w:space="0" w:color="auto"/>
              <w:bottom w:val="single" w:sz="4" w:space="0" w:color="auto"/>
              <w:right w:val="single" w:sz="4" w:space="0" w:color="auto"/>
            </w:tcBorders>
            <w:shd w:val="clear" w:color="000000" w:fill="FFFFFF"/>
            <w:noWrap/>
            <w:vAlign w:val="bottom"/>
            <w:hideMark/>
          </w:tcPr>
          <w:p w14:paraId="474C792F" w14:textId="77777777" w:rsidR="00BA3780" w:rsidRPr="00FD015F" w:rsidRDefault="00BA3780" w:rsidP="0060225F">
            <w:pPr>
              <w:keepNext/>
              <w:spacing w:line="240" w:lineRule="auto"/>
              <w:rPr>
                <w:rFonts w:cs="Arial"/>
                <w:sz w:val="16"/>
                <w:szCs w:val="16"/>
              </w:rPr>
            </w:pPr>
            <w:r w:rsidRPr="00FD015F">
              <w:rPr>
                <w:rFonts w:cs="Arial"/>
                <w:sz w:val="16"/>
                <w:szCs w:val="16"/>
              </w:rPr>
              <w:t>RCT Control</w:t>
            </w:r>
          </w:p>
        </w:tc>
        <w:tc>
          <w:tcPr>
            <w:tcW w:w="1680" w:type="dxa"/>
            <w:tcBorders>
              <w:top w:val="nil"/>
              <w:left w:val="nil"/>
              <w:bottom w:val="single" w:sz="4" w:space="0" w:color="auto"/>
              <w:right w:val="single" w:sz="4" w:space="0" w:color="auto"/>
            </w:tcBorders>
            <w:shd w:val="clear" w:color="000000" w:fill="FFFFFF"/>
            <w:noWrap/>
            <w:vAlign w:val="bottom"/>
            <w:hideMark/>
          </w:tcPr>
          <w:p w14:paraId="5BD1CD40" w14:textId="77777777" w:rsidR="00BA3780" w:rsidRPr="00FD015F" w:rsidRDefault="00BA3780" w:rsidP="0060225F">
            <w:pPr>
              <w:keepNext/>
              <w:spacing w:line="240" w:lineRule="auto"/>
              <w:jc w:val="center"/>
              <w:rPr>
                <w:rFonts w:cs="Arial"/>
                <w:sz w:val="16"/>
                <w:szCs w:val="16"/>
              </w:rPr>
            </w:pPr>
            <w:r w:rsidRPr="00FD015F">
              <w:rPr>
                <w:rFonts w:cs="Arial"/>
                <w:sz w:val="16"/>
                <w:szCs w:val="16"/>
              </w:rPr>
              <w:t>469</w:t>
            </w:r>
          </w:p>
        </w:tc>
        <w:tc>
          <w:tcPr>
            <w:tcW w:w="1860" w:type="dxa"/>
            <w:tcBorders>
              <w:top w:val="nil"/>
              <w:left w:val="nil"/>
              <w:bottom w:val="single" w:sz="4" w:space="0" w:color="auto"/>
              <w:right w:val="single" w:sz="4" w:space="0" w:color="auto"/>
            </w:tcBorders>
            <w:shd w:val="clear" w:color="000000" w:fill="FFFFFF"/>
            <w:noWrap/>
            <w:vAlign w:val="bottom"/>
            <w:hideMark/>
          </w:tcPr>
          <w:p w14:paraId="1ABBED8A" w14:textId="77777777" w:rsidR="00BA3780" w:rsidRPr="00FD015F" w:rsidRDefault="00BA3780" w:rsidP="0060225F">
            <w:pPr>
              <w:keepNext/>
              <w:spacing w:line="240" w:lineRule="auto"/>
              <w:jc w:val="center"/>
              <w:rPr>
                <w:rFonts w:cs="Arial"/>
                <w:sz w:val="16"/>
                <w:szCs w:val="16"/>
              </w:rPr>
            </w:pPr>
            <w:r w:rsidRPr="00FD015F">
              <w:rPr>
                <w:rFonts w:cs="Arial"/>
                <w:sz w:val="16"/>
                <w:szCs w:val="16"/>
              </w:rPr>
              <w:t>0</w:t>
            </w:r>
          </w:p>
        </w:tc>
        <w:tc>
          <w:tcPr>
            <w:tcW w:w="1980" w:type="dxa"/>
            <w:tcBorders>
              <w:top w:val="nil"/>
              <w:left w:val="nil"/>
              <w:bottom w:val="single" w:sz="4" w:space="0" w:color="auto"/>
              <w:right w:val="single" w:sz="4" w:space="0" w:color="auto"/>
            </w:tcBorders>
            <w:shd w:val="clear" w:color="000000" w:fill="FFFFFF"/>
            <w:noWrap/>
            <w:vAlign w:val="bottom"/>
            <w:hideMark/>
          </w:tcPr>
          <w:p w14:paraId="36948014" w14:textId="77777777" w:rsidR="00BA3780" w:rsidRPr="00FD015F" w:rsidRDefault="00BA3780" w:rsidP="0060225F">
            <w:pPr>
              <w:keepNext/>
              <w:spacing w:line="240" w:lineRule="auto"/>
              <w:jc w:val="center"/>
              <w:rPr>
                <w:rFonts w:cs="Arial"/>
                <w:sz w:val="16"/>
                <w:szCs w:val="16"/>
              </w:rPr>
            </w:pPr>
            <w:r w:rsidRPr="00FD015F">
              <w:rPr>
                <w:rFonts w:cs="Arial"/>
                <w:sz w:val="16"/>
                <w:szCs w:val="16"/>
              </w:rPr>
              <w:t>23</w:t>
            </w:r>
          </w:p>
        </w:tc>
        <w:tc>
          <w:tcPr>
            <w:tcW w:w="1300" w:type="dxa"/>
            <w:tcBorders>
              <w:top w:val="nil"/>
              <w:left w:val="nil"/>
              <w:bottom w:val="single" w:sz="4" w:space="0" w:color="auto"/>
              <w:right w:val="single" w:sz="4" w:space="0" w:color="auto"/>
            </w:tcBorders>
            <w:shd w:val="clear" w:color="000000" w:fill="FFFFFF"/>
            <w:noWrap/>
            <w:vAlign w:val="bottom"/>
            <w:hideMark/>
          </w:tcPr>
          <w:p w14:paraId="7A025AE6" w14:textId="77777777" w:rsidR="00BA3780" w:rsidRPr="00FD015F" w:rsidRDefault="00BA3780" w:rsidP="0060225F">
            <w:pPr>
              <w:keepNext/>
              <w:spacing w:line="240" w:lineRule="auto"/>
              <w:jc w:val="center"/>
              <w:rPr>
                <w:rFonts w:cs="Arial"/>
                <w:b/>
                <w:bCs/>
                <w:sz w:val="16"/>
                <w:szCs w:val="16"/>
              </w:rPr>
            </w:pPr>
            <w:r w:rsidRPr="00FD015F">
              <w:rPr>
                <w:rFonts w:cs="Arial"/>
                <w:b/>
                <w:bCs/>
                <w:sz w:val="16"/>
                <w:szCs w:val="16"/>
              </w:rPr>
              <w:t>446</w:t>
            </w:r>
          </w:p>
        </w:tc>
      </w:tr>
      <w:bookmarkEnd w:id="141"/>
    </w:tbl>
    <w:p w14:paraId="36345F9A" w14:textId="77777777" w:rsidR="00BA3780" w:rsidRDefault="00BA3780" w:rsidP="00BA3780"/>
    <w:p w14:paraId="124455BD" w14:textId="77777777" w:rsidR="00BA3780" w:rsidRDefault="00BA3780" w:rsidP="00BA3780">
      <w:pPr>
        <w:pStyle w:val="Heading6"/>
      </w:pPr>
      <w:bookmarkStart w:id="146" w:name="_Ref1973939"/>
      <w:bookmarkStart w:id="147" w:name="_Toc8393605"/>
      <w:r>
        <w:t>Energy Analysis Model Specification</w:t>
      </w:r>
      <w:bookmarkEnd w:id="146"/>
      <w:bookmarkEnd w:id="147"/>
    </w:p>
    <w:p w14:paraId="6299EF60" w14:textId="1B2B12B0" w:rsidR="00BA3780" w:rsidRDefault="00BA3780" w:rsidP="00BA3780">
      <w:r>
        <w:fldChar w:fldCharType="begin"/>
      </w:r>
      <w:r>
        <w:instrText xml:space="preserve"> REF _Ref1996861 \h </w:instrText>
      </w:r>
      <w:r>
        <w:fldChar w:fldCharType="separate"/>
      </w:r>
      <w:r w:rsidR="00413291">
        <w:t xml:space="preserve">Equation </w:t>
      </w:r>
      <w:r w:rsidR="00413291">
        <w:rPr>
          <w:noProof/>
        </w:rPr>
        <w:t>1</w:t>
      </w:r>
      <w:r>
        <w:fldChar w:fldCharType="end"/>
      </w:r>
      <w:r>
        <w:t>, below, presents the model specification used to estimate the participant energy impacts presented above, in the body of this report.</w:t>
      </w:r>
    </w:p>
    <w:p w14:paraId="46812D29" w14:textId="77777777" w:rsidR="00BA3780" w:rsidRDefault="00BA3780" w:rsidP="00BA3780">
      <w:pPr>
        <w:pStyle w:val="MTDisplayEquation"/>
      </w:pPr>
      <w:r>
        <w:tab/>
      </w:r>
    </w:p>
    <w:p w14:paraId="64AE5E53" w14:textId="19AB55BB" w:rsidR="00BA3780" w:rsidRDefault="00BA3780" w:rsidP="00BA3780">
      <w:pPr>
        <w:pStyle w:val="Caption"/>
        <w:jc w:val="left"/>
      </w:pPr>
      <w:bookmarkStart w:id="148" w:name="_Ref1996861"/>
      <w:r>
        <w:t xml:space="preserve">Equation </w:t>
      </w:r>
      <w:r>
        <w:rPr>
          <w:noProof/>
        </w:rPr>
        <w:fldChar w:fldCharType="begin"/>
      </w:r>
      <w:r>
        <w:rPr>
          <w:noProof/>
        </w:rPr>
        <w:instrText xml:space="preserve"> SEQ Equation \* ARABIC </w:instrText>
      </w:r>
      <w:r>
        <w:rPr>
          <w:noProof/>
        </w:rPr>
        <w:fldChar w:fldCharType="separate"/>
      </w:r>
      <w:r w:rsidR="00413291">
        <w:rPr>
          <w:noProof/>
        </w:rPr>
        <w:t>1</w:t>
      </w:r>
      <w:r>
        <w:rPr>
          <w:noProof/>
        </w:rPr>
        <w:fldChar w:fldCharType="end"/>
      </w:r>
      <w:bookmarkEnd w:id="148"/>
      <w:r>
        <w:t>: Energy Analysis Model Specification</w:t>
      </w:r>
    </w:p>
    <w:p w14:paraId="10658D97" w14:textId="77777777" w:rsidR="00BA3780" w:rsidRDefault="00BA3780" w:rsidP="00BA3780">
      <w:pPr>
        <w:pStyle w:val="MTDisplayEquation"/>
      </w:pPr>
      <w:r w:rsidRPr="003C3048">
        <w:rPr>
          <w:position w:val="-104"/>
        </w:rPr>
        <w:object w:dxaOrig="7260" w:dyaOrig="2160" w14:anchorId="12B7C7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08pt" o:ole="">
            <v:imagedata r:id="rId31" o:title=""/>
          </v:shape>
          <o:OLEObject Type="Embed" ProgID="Equation.DSMT4" ShapeID="_x0000_i1025" DrawAspect="Content" ObjectID="_1620194338" r:id="rId32"/>
        </w:object>
      </w:r>
      <w:r>
        <w:t xml:space="preserve"> </w:t>
      </w:r>
    </w:p>
    <w:p w14:paraId="22F5A1DD" w14:textId="77777777" w:rsidR="00BA3780" w:rsidRDefault="00BA3780" w:rsidP="00BA3780"/>
    <w:p w14:paraId="444F641E" w14:textId="77777777" w:rsidR="00BA3780" w:rsidRDefault="00BA3780" w:rsidP="00BA3780">
      <w:r>
        <w:t>Where:</w:t>
      </w:r>
    </w:p>
    <w:p w14:paraId="34C09BA8" w14:textId="77777777" w:rsidR="00BA3780" w:rsidRDefault="00BA3780" w:rsidP="00BA3780"/>
    <w:bookmarkStart w:id="149" w:name="MTBlankEqn"/>
    <w:p w14:paraId="5C203DD1" w14:textId="77777777" w:rsidR="00BA3780" w:rsidRDefault="00BA3780" w:rsidP="00BA3780">
      <w:pPr>
        <w:tabs>
          <w:tab w:val="left" w:pos="2160"/>
          <w:tab w:val="left" w:pos="2880"/>
        </w:tabs>
        <w:ind w:left="2880" w:hanging="2880"/>
      </w:pPr>
      <w:r w:rsidRPr="003C3048">
        <w:rPr>
          <w:position w:val="-14"/>
        </w:rPr>
        <w:object w:dxaOrig="480" w:dyaOrig="380" w14:anchorId="2F5B2180">
          <v:shape id="_x0000_i1026" type="#_x0000_t75" style="width:21.75pt;height:21.75pt" o:ole="">
            <v:imagedata r:id="rId33" o:title=""/>
          </v:shape>
          <o:OLEObject Type="Embed" ProgID="Equation.DSMT4" ShapeID="_x0000_i1026" DrawAspect="Content" ObjectID="_1620194339" r:id="rId34"/>
        </w:object>
      </w:r>
      <w:bookmarkEnd w:id="149"/>
      <w:r>
        <w:tab/>
        <w:t>=</w:t>
      </w:r>
      <w:r>
        <w:tab/>
        <w:t xml:space="preserve">Customer </w:t>
      </w:r>
      <w:r w:rsidRPr="003C3048">
        <w:rPr>
          <w:i/>
        </w:rPr>
        <w:t>i</w:t>
      </w:r>
      <w:r>
        <w:t xml:space="preserve">’s energy consumption (kWh) in TOU period </w:t>
      </w:r>
      <w:r w:rsidRPr="003C3048">
        <w:rPr>
          <w:i/>
        </w:rPr>
        <w:t>p</w:t>
      </w:r>
      <w:r>
        <w:t xml:space="preserve"> (On-Peak, Mid-Peak, Off-Peak Weekdays, Off-Peak Weekends/Holidays) of day of sample </w:t>
      </w:r>
      <w:r>
        <w:rPr>
          <w:i/>
        </w:rPr>
        <w:t>t</w:t>
      </w:r>
      <w:r>
        <w:t xml:space="preserve">. </w:t>
      </w:r>
    </w:p>
    <w:p w14:paraId="5BF06732" w14:textId="77777777" w:rsidR="00BA3780" w:rsidRDefault="00BA3780" w:rsidP="00BA3780">
      <w:pPr>
        <w:tabs>
          <w:tab w:val="left" w:pos="2160"/>
          <w:tab w:val="left" w:pos="2880"/>
        </w:tabs>
        <w:ind w:left="2880" w:hanging="2880"/>
      </w:pPr>
    </w:p>
    <w:p w14:paraId="30B3D510" w14:textId="77777777" w:rsidR="00BA3780" w:rsidRDefault="00BA3780" w:rsidP="00BA3780">
      <w:pPr>
        <w:tabs>
          <w:tab w:val="left" w:pos="2160"/>
          <w:tab w:val="left" w:pos="2880"/>
        </w:tabs>
        <w:ind w:left="2880" w:hanging="2880"/>
      </w:pPr>
      <w:r w:rsidRPr="003C3048">
        <w:rPr>
          <w:position w:val="-14"/>
        </w:rPr>
        <w:object w:dxaOrig="560" w:dyaOrig="380" w14:anchorId="5620E9B1">
          <v:shape id="_x0000_i1027" type="#_x0000_t75" style="width:28.5pt;height:21.75pt" o:ole="">
            <v:imagedata r:id="rId35" o:title=""/>
          </v:shape>
          <o:OLEObject Type="Embed" ProgID="Equation.DSMT4" ShapeID="_x0000_i1027" DrawAspect="Content" ObjectID="_1620194340" r:id="rId36"/>
        </w:object>
      </w:r>
      <w:r>
        <w:tab/>
        <w:t>=</w:t>
      </w:r>
      <w:r>
        <w:tab/>
        <w:t xml:space="preserve">A set of four dummy variables. Each one is equal to one when the consumption value on the LHS of the equation is in the same TOU </w:t>
      </w:r>
      <w:r>
        <w:lastRenderedPageBreak/>
        <w:t xml:space="preserve">period as that flagged by the dummy. For example: when  </w:t>
      </w:r>
      <w:r w:rsidRPr="00B5596A">
        <w:rPr>
          <w:position w:val="-14"/>
        </w:rPr>
        <w:object w:dxaOrig="620" w:dyaOrig="380" w14:anchorId="47B1FC00">
          <v:shape id="_x0000_i1028" type="#_x0000_t75" style="width:28.5pt;height:21.75pt" o:ole="">
            <v:imagedata r:id="rId37" o:title=""/>
          </v:shape>
          <o:OLEObject Type="Embed" ProgID="Equation.DSMT4" ShapeID="_x0000_i1028" DrawAspect="Content" ObjectID="_1620194341" r:id="rId38"/>
        </w:object>
      </w:r>
      <w:r>
        <w:t xml:space="preserve"> then, </w:t>
      </w:r>
      <w:r w:rsidRPr="00B5596A">
        <w:rPr>
          <w:position w:val="-14"/>
        </w:rPr>
        <w:object w:dxaOrig="859" w:dyaOrig="380" w14:anchorId="121D5788">
          <v:shape id="_x0000_i1029" type="#_x0000_t75" style="width:43.5pt;height:21.75pt" o:ole="">
            <v:imagedata r:id="rId39" o:title=""/>
          </v:shape>
          <o:OLEObject Type="Embed" ProgID="Equation.DSMT4" ShapeID="_x0000_i1029" DrawAspect="Content" ObjectID="_1620194342" r:id="rId40"/>
        </w:object>
      </w:r>
      <w:r>
        <w:t xml:space="preserve"> , </w:t>
      </w:r>
      <w:r w:rsidRPr="00B5596A">
        <w:rPr>
          <w:position w:val="-14"/>
        </w:rPr>
        <w:object w:dxaOrig="920" w:dyaOrig="380" w14:anchorId="0AB3B37B">
          <v:shape id="_x0000_i1030" type="#_x0000_t75" style="width:43.5pt;height:21.75pt" o:ole="">
            <v:imagedata r:id="rId41" o:title=""/>
          </v:shape>
          <o:OLEObject Type="Embed" ProgID="Equation.DSMT4" ShapeID="_x0000_i1030" DrawAspect="Content" ObjectID="_1620194343" r:id="rId42"/>
        </w:object>
      </w:r>
      <w:r>
        <w:t xml:space="preserve">, </w:t>
      </w:r>
      <w:r w:rsidRPr="00B5596A">
        <w:rPr>
          <w:position w:val="-14"/>
        </w:rPr>
        <w:object w:dxaOrig="920" w:dyaOrig="380" w14:anchorId="2AF93C91">
          <v:shape id="_x0000_i1031" type="#_x0000_t75" style="width:43.5pt;height:21.75pt" o:ole="">
            <v:imagedata r:id="rId43" o:title=""/>
          </v:shape>
          <o:OLEObject Type="Embed" ProgID="Equation.DSMT4" ShapeID="_x0000_i1031" DrawAspect="Content" ObjectID="_1620194344" r:id="rId44"/>
        </w:object>
      </w:r>
      <w:r>
        <w:t xml:space="preserve">, and </w:t>
      </w:r>
      <w:r w:rsidRPr="00B5596A">
        <w:rPr>
          <w:position w:val="-14"/>
        </w:rPr>
        <w:object w:dxaOrig="920" w:dyaOrig="380" w14:anchorId="36955A12">
          <v:shape id="_x0000_i1032" type="#_x0000_t75" style="width:43.5pt;height:21.75pt" o:ole="">
            <v:imagedata r:id="rId45" o:title=""/>
          </v:shape>
          <o:OLEObject Type="Embed" ProgID="Equation.DSMT4" ShapeID="_x0000_i1032" DrawAspect="Content" ObjectID="_1620194345" r:id="rId46"/>
        </w:object>
      </w:r>
      <w:r>
        <w:t>.</w:t>
      </w:r>
    </w:p>
    <w:p w14:paraId="7E018FDD" w14:textId="57215BD0" w:rsidR="00BA3780" w:rsidRDefault="00BA3780" w:rsidP="00BA3780">
      <w:pPr>
        <w:tabs>
          <w:tab w:val="left" w:pos="2160"/>
          <w:tab w:val="left" w:pos="2880"/>
        </w:tabs>
        <w:ind w:left="2880" w:hanging="2880"/>
      </w:pPr>
      <w:r w:rsidRPr="00B5596A">
        <w:rPr>
          <w:position w:val="-14"/>
        </w:rPr>
        <w:object w:dxaOrig="999" w:dyaOrig="380" w14:anchorId="1AAD44C0">
          <v:shape id="_x0000_i1033" type="#_x0000_t75" style="width:50.25pt;height:21.75pt" o:ole="">
            <v:imagedata r:id="rId47" o:title=""/>
          </v:shape>
          <o:OLEObject Type="Embed" ProgID="Equation.DSMT4" ShapeID="_x0000_i1033" DrawAspect="Content" ObjectID="_1620194346" r:id="rId48"/>
        </w:object>
      </w:r>
      <w:r>
        <w:tab/>
        <w:t>=</w:t>
      </w:r>
      <w:r>
        <w:tab/>
        <w:t xml:space="preserve">A set of 15 dummy variables. Each is equal to one when the day of sample </w:t>
      </w:r>
      <w:r>
        <w:rPr>
          <w:i/>
        </w:rPr>
        <w:t>t</w:t>
      </w:r>
      <w:r>
        <w:t xml:space="preserve"> is day-type </w:t>
      </w:r>
      <w:r>
        <w:rPr>
          <w:i/>
        </w:rPr>
        <w:t>d</w:t>
      </w:r>
      <w:r>
        <w:t xml:space="preserve">. See section </w:t>
      </w:r>
      <w:r>
        <w:fldChar w:fldCharType="begin"/>
      </w:r>
      <w:r>
        <w:instrText xml:space="preserve"> REF _Ref1973941 \n \h </w:instrText>
      </w:r>
      <w:r>
        <w:fldChar w:fldCharType="separate"/>
      </w:r>
      <w:r w:rsidR="00413291">
        <w:t>A.4</w:t>
      </w:r>
      <w:r>
        <w:fldChar w:fldCharType="end"/>
      </w:r>
      <w:r>
        <w:t>, below for more details regarding day-types.</w:t>
      </w:r>
    </w:p>
    <w:p w14:paraId="1CF91550" w14:textId="77777777" w:rsidR="00BA3780" w:rsidRDefault="00BA3780" w:rsidP="00BA3780">
      <w:pPr>
        <w:tabs>
          <w:tab w:val="left" w:pos="2160"/>
          <w:tab w:val="left" w:pos="2880"/>
        </w:tabs>
        <w:ind w:left="2880" w:hanging="2880"/>
      </w:pPr>
      <w:r w:rsidRPr="00B5596A">
        <w:rPr>
          <w:position w:val="-14"/>
        </w:rPr>
        <w:object w:dxaOrig="1140" w:dyaOrig="380" w14:anchorId="043335EC">
          <v:shape id="_x0000_i1034" type="#_x0000_t75" style="width:57.75pt;height:21.75pt" o:ole="">
            <v:imagedata r:id="rId49" o:title=""/>
          </v:shape>
          <o:OLEObject Type="Embed" ProgID="Equation.DSMT4" ShapeID="_x0000_i1034" DrawAspect="Content" ObjectID="_1620194347" r:id="rId50"/>
        </w:object>
      </w:r>
      <w:r>
        <w:tab/>
        <w:t>=</w:t>
      </w:r>
      <w:r>
        <w:tab/>
        <w:t xml:space="preserve">The sum of pre-period consumption in TOU period </w:t>
      </w:r>
      <w:r>
        <w:rPr>
          <w:i/>
        </w:rPr>
        <w:t>p</w:t>
      </w:r>
      <w:r>
        <w:t xml:space="preserve">, of day-type </w:t>
      </w:r>
      <w:r>
        <w:rPr>
          <w:i/>
        </w:rPr>
        <w:t>d</w:t>
      </w:r>
      <w:r>
        <w:t xml:space="preserve"> for customer </w:t>
      </w:r>
      <w:r>
        <w:rPr>
          <w:i/>
        </w:rPr>
        <w:t>i</w:t>
      </w:r>
      <w:r>
        <w:t>. This is the given customer’s average TOU period consumption for the given day-type in the pre-program period (summer of 2017).</w:t>
      </w:r>
    </w:p>
    <w:p w14:paraId="1AB353A4" w14:textId="77777777" w:rsidR="00BA3780" w:rsidRDefault="00BA3780" w:rsidP="00BA3780">
      <w:pPr>
        <w:tabs>
          <w:tab w:val="left" w:pos="2160"/>
          <w:tab w:val="left" w:pos="2880"/>
        </w:tabs>
        <w:ind w:left="2880" w:hanging="2880"/>
      </w:pPr>
      <w:r>
        <w:t xml:space="preserve"> </w:t>
      </w:r>
      <w:r w:rsidRPr="00B5596A">
        <w:rPr>
          <w:position w:val="-14"/>
        </w:rPr>
        <w:object w:dxaOrig="580" w:dyaOrig="380" w14:anchorId="3BA84CBE">
          <v:shape id="_x0000_i1035" type="#_x0000_t75" style="width:28.5pt;height:21.75pt" o:ole="">
            <v:imagedata r:id="rId51" o:title=""/>
          </v:shape>
          <o:OLEObject Type="Embed" ProgID="Equation.DSMT4" ShapeID="_x0000_i1035" DrawAspect="Content" ObjectID="_1620194348" r:id="rId52"/>
        </w:object>
      </w:r>
      <w:r>
        <w:tab/>
        <w:t>=</w:t>
      </w:r>
      <w:r>
        <w:tab/>
        <w:t xml:space="preserve">The sum of the cooling degree hours (base of 18 degrees Celsius) observed in TOU period </w:t>
      </w:r>
      <w:r>
        <w:rPr>
          <w:i/>
        </w:rPr>
        <w:t>p</w:t>
      </w:r>
      <w:r>
        <w:t xml:space="preserve"> of day of sample </w:t>
      </w:r>
      <w:r>
        <w:rPr>
          <w:i/>
        </w:rPr>
        <w:t>t</w:t>
      </w:r>
      <w:r>
        <w:t>.</w:t>
      </w:r>
    </w:p>
    <w:p w14:paraId="6C9C692E" w14:textId="77777777" w:rsidR="00BA3780" w:rsidRDefault="00BA3780" w:rsidP="00BA3780">
      <w:pPr>
        <w:tabs>
          <w:tab w:val="left" w:pos="2160"/>
          <w:tab w:val="left" w:pos="2880"/>
        </w:tabs>
        <w:ind w:left="2880" w:hanging="2880"/>
      </w:pPr>
      <w:r w:rsidRPr="00B5596A">
        <w:rPr>
          <w:position w:val="-14"/>
        </w:rPr>
        <w:object w:dxaOrig="600" w:dyaOrig="380" w14:anchorId="4294DCBB">
          <v:shape id="_x0000_i1036" type="#_x0000_t75" style="width:28.5pt;height:21.75pt" o:ole="">
            <v:imagedata r:id="rId53" o:title=""/>
          </v:shape>
          <o:OLEObject Type="Embed" ProgID="Equation.DSMT4" ShapeID="_x0000_i1036" DrawAspect="Content" ObjectID="_1620194349" r:id="rId54"/>
        </w:object>
      </w:r>
      <w:r>
        <w:tab/>
        <w:t>=</w:t>
      </w:r>
      <w:r>
        <w:tab/>
        <w:t xml:space="preserve">The sum of the heating degree hours (base of 18 degrees Celsius) observed in TOU period </w:t>
      </w:r>
      <w:r>
        <w:rPr>
          <w:i/>
        </w:rPr>
        <w:t>p</w:t>
      </w:r>
      <w:r>
        <w:t xml:space="preserve"> of day of sample </w:t>
      </w:r>
      <w:r>
        <w:rPr>
          <w:i/>
        </w:rPr>
        <w:t>t</w:t>
      </w:r>
      <w:r>
        <w:t>.</w:t>
      </w:r>
    </w:p>
    <w:p w14:paraId="477C092A" w14:textId="77777777" w:rsidR="00BA3780" w:rsidRDefault="00BA3780" w:rsidP="00BA3780">
      <w:pPr>
        <w:keepNext/>
        <w:tabs>
          <w:tab w:val="left" w:pos="2070"/>
          <w:tab w:val="left" w:pos="2880"/>
        </w:tabs>
        <w:ind w:left="2880" w:hanging="2880"/>
      </w:pPr>
      <w:r w:rsidRPr="00677687">
        <w:rPr>
          <w:position w:val="-14"/>
        </w:rPr>
        <w:object w:dxaOrig="620" w:dyaOrig="380" w14:anchorId="63E4C541">
          <v:shape id="_x0000_i1037" type="#_x0000_t75" style="width:28.5pt;height:21.75pt" o:ole="">
            <v:imagedata r:id="rId55" o:title=""/>
          </v:shape>
          <o:OLEObject Type="Embed" ProgID="Equation.DSMT4" ShapeID="_x0000_i1037" DrawAspect="Content" ObjectID="_1620194350" r:id="rId56"/>
        </w:object>
      </w:r>
      <w:r>
        <w:tab/>
        <w:t>=</w:t>
      </w:r>
      <w:r>
        <w:tab/>
        <w:t xml:space="preserve">The average heat build-up observed in the hours that fall within TOU period </w:t>
      </w:r>
      <w:r>
        <w:rPr>
          <w:i/>
        </w:rPr>
        <w:t>p</w:t>
      </w:r>
      <w:r>
        <w:t xml:space="preserve">, on day of sample </w:t>
      </w:r>
      <w:r>
        <w:rPr>
          <w:i/>
        </w:rPr>
        <w:t>t</w:t>
      </w:r>
      <w:r>
        <w:t xml:space="preserve">. This is a 72-hour geometrically decaying average of cooling degree hours, as observed in hour of sample </w:t>
      </w:r>
      <w:r>
        <w:rPr>
          <w:i/>
        </w:rPr>
        <w:t>s</w:t>
      </w:r>
      <w:r>
        <w:t>.  It is calculated in the following manner:</w:t>
      </w:r>
      <w:r>
        <w:tab/>
      </w:r>
      <w:r>
        <w:tab/>
      </w:r>
      <w:r w:rsidRPr="0044131E">
        <w:rPr>
          <w:position w:val="-22"/>
        </w:rPr>
        <w:object w:dxaOrig="2780" w:dyaOrig="900" w14:anchorId="5A7027DA">
          <v:shape id="_x0000_i1038" type="#_x0000_t75" style="width:2in;height:43.5pt" o:ole="">
            <v:imagedata r:id="rId57" o:title=""/>
          </v:shape>
          <o:OLEObject Type="Embed" ProgID="Equation.DSMT4" ShapeID="_x0000_i1038" DrawAspect="Content" ObjectID="_1620194351" r:id="rId58"/>
        </w:object>
      </w:r>
      <w:r>
        <w:t xml:space="preserve"> . </w:t>
      </w:r>
    </w:p>
    <w:p w14:paraId="7C78690B" w14:textId="77777777" w:rsidR="00BA3780" w:rsidRDefault="00BA3780" w:rsidP="00BA3780">
      <w:pPr>
        <w:keepNext/>
        <w:tabs>
          <w:tab w:val="left" w:pos="2070"/>
          <w:tab w:val="left" w:pos="2880"/>
        </w:tabs>
        <w:ind w:left="2880" w:hanging="2880"/>
      </w:pPr>
      <w:r w:rsidRPr="004E49AE">
        <w:rPr>
          <w:position w:val="-14"/>
        </w:rPr>
        <w:object w:dxaOrig="600" w:dyaOrig="380" w14:anchorId="1BB5BCDA">
          <v:shape id="_x0000_i1039" type="#_x0000_t75" style="width:28.5pt;height:21.75pt" o:ole="">
            <v:imagedata r:id="rId59" o:title=""/>
          </v:shape>
          <o:OLEObject Type="Embed" ProgID="Equation.DSMT4" ShapeID="_x0000_i1039" DrawAspect="Content" ObjectID="_1620194352" r:id="rId60"/>
        </w:object>
      </w:r>
      <w:r>
        <w:tab/>
        <w:t>=</w:t>
      </w:r>
      <w:r>
        <w:tab/>
        <w:t xml:space="preserve">The average cold build-up observed in the hours that fall within TOU period </w:t>
      </w:r>
      <w:r>
        <w:rPr>
          <w:i/>
        </w:rPr>
        <w:t>p</w:t>
      </w:r>
      <w:r>
        <w:t xml:space="preserve">, on day of sample </w:t>
      </w:r>
      <w:r>
        <w:rPr>
          <w:i/>
        </w:rPr>
        <w:t>t</w:t>
      </w:r>
      <w:r>
        <w:t xml:space="preserve">. This is calculated in the same way as , </w:t>
      </w:r>
      <w:r w:rsidRPr="00677687">
        <w:rPr>
          <w:position w:val="-14"/>
        </w:rPr>
        <w:object w:dxaOrig="620" w:dyaOrig="380" w14:anchorId="261AA4D4">
          <v:shape id="_x0000_i1040" type="#_x0000_t75" style="width:28.5pt;height:21.75pt" o:ole="">
            <v:imagedata r:id="rId55" o:title=""/>
          </v:shape>
          <o:OLEObject Type="Embed" ProgID="Equation.DSMT4" ShapeID="_x0000_i1040" DrawAspect="Content" ObjectID="_1620194353" r:id="rId61"/>
        </w:object>
      </w:r>
      <w:r>
        <w:t>, except that cooling degree hours are replaced by heating degree hours.</w:t>
      </w:r>
    </w:p>
    <w:p w14:paraId="3262D491" w14:textId="77777777" w:rsidR="00BA3780" w:rsidRDefault="00BA3780" w:rsidP="00BA3780">
      <w:pPr>
        <w:keepNext/>
        <w:tabs>
          <w:tab w:val="left" w:pos="2070"/>
          <w:tab w:val="left" w:pos="2880"/>
        </w:tabs>
        <w:ind w:left="2880" w:hanging="2880"/>
      </w:pPr>
      <w:r w:rsidRPr="00A6707A">
        <w:rPr>
          <w:position w:val="-12"/>
        </w:rPr>
        <w:object w:dxaOrig="560" w:dyaOrig="360" w14:anchorId="6732243E">
          <v:shape id="_x0000_i1041" type="#_x0000_t75" style="width:28.5pt;height:21.75pt" o:ole="">
            <v:imagedata r:id="rId62" o:title=""/>
          </v:shape>
          <o:OLEObject Type="Embed" ProgID="Equation.DSMT4" ShapeID="_x0000_i1041" DrawAspect="Content" ObjectID="_1620194354" r:id="rId63"/>
        </w:object>
      </w:r>
      <w:r>
        <w:tab/>
        <w:t>=</w:t>
      </w:r>
      <w:r>
        <w:tab/>
        <w:t xml:space="preserve">A dummy variable that takes a value of 1 if customer </w:t>
      </w:r>
      <w:r>
        <w:rPr>
          <w:i/>
        </w:rPr>
        <w:t xml:space="preserve">i </w:t>
      </w:r>
      <w:r>
        <w:t>is a participant, and zero otherwise.</w:t>
      </w:r>
    </w:p>
    <w:p w14:paraId="14818509" w14:textId="77777777" w:rsidR="00BA3780" w:rsidRDefault="00BA3780" w:rsidP="00BA3780">
      <w:pPr>
        <w:tabs>
          <w:tab w:val="left" w:pos="2160"/>
          <w:tab w:val="left" w:pos="2880"/>
        </w:tabs>
        <w:ind w:left="2880" w:hanging="2880"/>
      </w:pPr>
      <w:r>
        <w:t xml:space="preserve"> </w:t>
      </w:r>
      <w:r w:rsidRPr="00A6707A">
        <w:rPr>
          <w:position w:val="-14"/>
        </w:rPr>
        <w:object w:dxaOrig="460" w:dyaOrig="380" w14:anchorId="09A54674">
          <v:shape id="_x0000_i1042" type="#_x0000_t75" style="width:21.75pt;height:21.75pt" o:ole="">
            <v:imagedata r:id="rId64" o:title=""/>
          </v:shape>
          <o:OLEObject Type="Embed" ProgID="Equation.DSMT4" ShapeID="_x0000_i1042" DrawAspect="Content" ObjectID="_1620194355" r:id="rId65"/>
        </w:object>
      </w:r>
      <w:r>
        <w:tab/>
        <w:t>=</w:t>
      </w:r>
      <w:r>
        <w:tab/>
        <w:t>Errors.</w:t>
      </w:r>
    </w:p>
    <w:p w14:paraId="47D97340" w14:textId="77777777" w:rsidR="00BA3780" w:rsidRDefault="00BA3780" w:rsidP="00BA3780">
      <w:pPr>
        <w:tabs>
          <w:tab w:val="left" w:pos="2160"/>
          <w:tab w:val="left" w:pos="2880"/>
        </w:tabs>
        <w:ind w:left="2880" w:hanging="2880"/>
      </w:pPr>
    </w:p>
    <w:p w14:paraId="7C2734F0" w14:textId="77777777" w:rsidR="00BA3780" w:rsidRDefault="00BA3780" w:rsidP="00BA3780">
      <w:pPr>
        <w:tabs>
          <w:tab w:val="left" w:pos="2160"/>
          <w:tab w:val="left" w:pos="2880"/>
        </w:tabs>
        <w:ind w:left="2880" w:hanging="2880"/>
      </w:pPr>
      <w:r>
        <w:t>This model is estimated once for three different samples:</w:t>
      </w:r>
    </w:p>
    <w:p w14:paraId="0726E176" w14:textId="77777777" w:rsidR="00BA3780" w:rsidRDefault="00BA3780" w:rsidP="00BA3780">
      <w:pPr>
        <w:pStyle w:val="ListParagraph"/>
        <w:numPr>
          <w:ilvl w:val="0"/>
          <w:numId w:val="24"/>
        </w:numPr>
      </w:pPr>
      <w:r>
        <w:t>RT-only participants and RCT controls</w:t>
      </w:r>
    </w:p>
    <w:p w14:paraId="79A43285" w14:textId="77777777" w:rsidR="00BA3780" w:rsidRDefault="00BA3780" w:rsidP="00BA3780">
      <w:pPr>
        <w:pStyle w:val="ListParagraph"/>
        <w:numPr>
          <w:ilvl w:val="0"/>
          <w:numId w:val="24"/>
        </w:numPr>
      </w:pPr>
      <w:r>
        <w:t>CPP and CPP/RT participants and RCT controls, including all summer days.</w:t>
      </w:r>
    </w:p>
    <w:p w14:paraId="2B332389" w14:textId="77777777" w:rsidR="00BA3780" w:rsidRDefault="00BA3780" w:rsidP="00BA3780">
      <w:pPr>
        <w:pStyle w:val="ListParagraph"/>
        <w:numPr>
          <w:ilvl w:val="0"/>
          <w:numId w:val="24"/>
        </w:numPr>
      </w:pPr>
      <w:r>
        <w:t xml:space="preserve">CPP and CPP/RT participants and RCT controls, </w:t>
      </w:r>
      <w:r>
        <w:rPr>
          <w:i/>
        </w:rPr>
        <w:t>excluding</w:t>
      </w:r>
      <w:r>
        <w:t xml:space="preserve"> CPP event days.</w:t>
      </w:r>
    </w:p>
    <w:p w14:paraId="63E70520" w14:textId="77777777" w:rsidR="00BA3780" w:rsidRDefault="00BA3780" w:rsidP="00BA3780">
      <w:pPr>
        <w:pStyle w:val="Heading6"/>
      </w:pPr>
      <w:bookmarkStart w:id="150" w:name="_Ref1973940"/>
      <w:bookmarkStart w:id="151" w:name="_Toc8393606"/>
      <w:r>
        <w:lastRenderedPageBreak/>
        <w:t>CPP Event Day Demand Model Specification</w:t>
      </w:r>
      <w:bookmarkEnd w:id="150"/>
      <w:bookmarkEnd w:id="151"/>
    </w:p>
    <w:p w14:paraId="30BC8BF8" w14:textId="3360CECB" w:rsidR="00BA3780" w:rsidRPr="005A5E3E" w:rsidRDefault="00BA3780" w:rsidP="00BA3780">
      <w:r>
        <w:fldChar w:fldCharType="begin"/>
      </w:r>
      <w:r>
        <w:instrText xml:space="preserve"> REF _Ref1997305 \h </w:instrText>
      </w:r>
      <w:r>
        <w:fldChar w:fldCharType="separate"/>
      </w:r>
      <w:r w:rsidR="00413291">
        <w:t xml:space="preserve">Equation </w:t>
      </w:r>
      <w:r w:rsidR="00413291">
        <w:rPr>
          <w:noProof/>
        </w:rPr>
        <w:t>2</w:t>
      </w:r>
      <w:r>
        <w:fldChar w:fldCharType="end"/>
      </w:r>
      <w:r>
        <w:t xml:space="preserve">below, presents the model specification used to estimate the participant CPP event demand impacts presented above, in the body of this report. </w:t>
      </w:r>
      <w:r w:rsidRPr="005A5E3E">
        <w:rPr>
          <w:u w:val="single"/>
        </w:rPr>
        <w:t>Important note:</w:t>
      </w:r>
      <w:r>
        <w:t xml:space="preserve"> </w:t>
      </w:r>
      <w:r>
        <w:fldChar w:fldCharType="begin"/>
      </w:r>
      <w:r>
        <w:instrText xml:space="preserve"> REF _Ref1996861 \h </w:instrText>
      </w:r>
      <w:r>
        <w:fldChar w:fldCharType="separate"/>
      </w:r>
      <w:r w:rsidR="00413291">
        <w:t xml:space="preserve">Equation </w:t>
      </w:r>
      <w:r w:rsidR="00413291">
        <w:rPr>
          <w:noProof/>
        </w:rPr>
        <w:t>1</w:t>
      </w:r>
      <w:r>
        <w:fldChar w:fldCharType="end"/>
      </w:r>
      <w:r>
        <w:t xml:space="preserve"> use the subscript “</w:t>
      </w:r>
      <w:r>
        <w:rPr>
          <w:i/>
        </w:rPr>
        <w:t>t</w:t>
      </w:r>
      <w:r>
        <w:t xml:space="preserve">” to denote the day of sample. </w:t>
      </w:r>
      <w:r>
        <w:fldChar w:fldCharType="begin"/>
      </w:r>
      <w:r>
        <w:instrText xml:space="preserve"> REF _Ref1997305 \h </w:instrText>
      </w:r>
      <w:r>
        <w:fldChar w:fldCharType="separate"/>
      </w:r>
      <w:r w:rsidR="00413291">
        <w:t xml:space="preserve">Equation </w:t>
      </w:r>
      <w:r w:rsidR="00413291">
        <w:rPr>
          <w:noProof/>
        </w:rPr>
        <w:t>2</w:t>
      </w:r>
      <w:r>
        <w:fldChar w:fldCharType="end"/>
      </w:r>
      <w:r>
        <w:t>, below, uses the “</w:t>
      </w:r>
      <w:r>
        <w:rPr>
          <w:i/>
        </w:rPr>
        <w:t>t”</w:t>
      </w:r>
      <w:r>
        <w:t xml:space="preserve"> subscript to denote the </w:t>
      </w:r>
      <w:r>
        <w:rPr>
          <w:i/>
        </w:rPr>
        <w:t>hour</w:t>
      </w:r>
      <w:r>
        <w:t xml:space="preserve"> of the sample.</w:t>
      </w:r>
    </w:p>
    <w:p w14:paraId="4C527FC9" w14:textId="77777777" w:rsidR="00BA3780" w:rsidRDefault="00BA3780" w:rsidP="00BA3780"/>
    <w:p w14:paraId="13FD21EE" w14:textId="77777777" w:rsidR="00BA3780" w:rsidRDefault="00BA3780" w:rsidP="00BA3780"/>
    <w:p w14:paraId="710B6E1E" w14:textId="77777777" w:rsidR="00BA3780" w:rsidRDefault="00BA3780" w:rsidP="00BA3780">
      <w:pPr>
        <w:pStyle w:val="MTDisplayEquation"/>
      </w:pPr>
      <w:r>
        <w:tab/>
      </w:r>
    </w:p>
    <w:p w14:paraId="5E8C59C0" w14:textId="45BAF613" w:rsidR="00BA3780" w:rsidRDefault="00BA3780" w:rsidP="00BA3780">
      <w:pPr>
        <w:pStyle w:val="Caption"/>
        <w:jc w:val="left"/>
      </w:pPr>
      <w:bookmarkStart w:id="152" w:name="_Ref1997305"/>
      <w:r>
        <w:t xml:space="preserve">Equation </w:t>
      </w:r>
      <w:r>
        <w:rPr>
          <w:noProof/>
        </w:rPr>
        <w:fldChar w:fldCharType="begin"/>
      </w:r>
      <w:r>
        <w:rPr>
          <w:noProof/>
        </w:rPr>
        <w:instrText xml:space="preserve"> SEQ Equation \* ARABIC </w:instrText>
      </w:r>
      <w:r>
        <w:rPr>
          <w:noProof/>
        </w:rPr>
        <w:fldChar w:fldCharType="separate"/>
      </w:r>
      <w:r w:rsidR="00413291">
        <w:rPr>
          <w:noProof/>
        </w:rPr>
        <w:t>2</w:t>
      </w:r>
      <w:r>
        <w:rPr>
          <w:noProof/>
        </w:rPr>
        <w:fldChar w:fldCharType="end"/>
      </w:r>
      <w:bookmarkEnd w:id="152"/>
      <w:r>
        <w:t>: CPP Event Demand Model Specification</w:t>
      </w:r>
    </w:p>
    <w:p w14:paraId="495C0779" w14:textId="77777777" w:rsidR="00BA3780" w:rsidRDefault="00BA3780" w:rsidP="00BA3780">
      <w:pPr>
        <w:pStyle w:val="MTDisplayEquation"/>
      </w:pPr>
      <w:r w:rsidRPr="00251319">
        <w:rPr>
          <w:position w:val="-170"/>
        </w:rPr>
        <w:object w:dxaOrig="7660" w:dyaOrig="3519" w14:anchorId="248C8125">
          <v:shape id="_x0000_i1043" type="#_x0000_t75" style="width:381.75pt;height:180pt" o:ole="">
            <v:imagedata r:id="rId66" o:title=""/>
          </v:shape>
          <o:OLEObject Type="Embed" ProgID="Equation.DSMT4" ShapeID="_x0000_i1043" DrawAspect="Content" ObjectID="_1620194356" r:id="rId67"/>
        </w:object>
      </w:r>
      <w:r>
        <w:t xml:space="preserve"> </w:t>
      </w:r>
    </w:p>
    <w:p w14:paraId="6A9775EF" w14:textId="77777777" w:rsidR="00BA3780" w:rsidRDefault="00BA3780" w:rsidP="00BA3780"/>
    <w:p w14:paraId="4F944EE1" w14:textId="77777777" w:rsidR="00BA3780" w:rsidRDefault="00BA3780" w:rsidP="00BA3780">
      <w:r>
        <w:t>Where:</w:t>
      </w:r>
    </w:p>
    <w:p w14:paraId="07A2EDA6" w14:textId="77777777" w:rsidR="00BA3780" w:rsidRDefault="00BA3780" w:rsidP="00BA3780">
      <w:pPr>
        <w:tabs>
          <w:tab w:val="left" w:pos="2160"/>
          <w:tab w:val="left" w:pos="2880"/>
        </w:tabs>
        <w:ind w:left="2880" w:hanging="2880"/>
      </w:pPr>
      <w:r w:rsidRPr="003C3048">
        <w:rPr>
          <w:position w:val="-14"/>
        </w:rPr>
        <w:object w:dxaOrig="340" w:dyaOrig="380" w14:anchorId="3D433A57">
          <v:shape id="_x0000_i1044" type="#_x0000_t75" style="width:14.25pt;height:21.75pt" o:ole="">
            <v:imagedata r:id="rId68" o:title=""/>
          </v:shape>
          <o:OLEObject Type="Embed" ProgID="Equation.DSMT4" ShapeID="_x0000_i1044" DrawAspect="Content" ObjectID="_1620194357" r:id="rId69"/>
        </w:object>
      </w:r>
      <w:r>
        <w:tab/>
        <w:t>=</w:t>
      </w:r>
      <w:r>
        <w:tab/>
        <w:t xml:space="preserve">Customer </w:t>
      </w:r>
      <w:r w:rsidRPr="003C3048">
        <w:rPr>
          <w:i/>
        </w:rPr>
        <w:t>i</w:t>
      </w:r>
      <w:r>
        <w:t>’s demand (kW)</w:t>
      </w:r>
      <w:r>
        <w:rPr>
          <w:rStyle w:val="FootnoteReference"/>
        </w:rPr>
        <w:footnoteReference w:id="42"/>
      </w:r>
      <w:r>
        <w:t xml:space="preserve"> in hour of sample </w:t>
      </w:r>
      <w:r>
        <w:rPr>
          <w:i/>
        </w:rPr>
        <w:t>t</w:t>
      </w:r>
      <w:r>
        <w:t>.</w:t>
      </w:r>
    </w:p>
    <w:p w14:paraId="1083BFF7" w14:textId="77777777" w:rsidR="00BA3780" w:rsidRDefault="00BA3780" w:rsidP="00BA3780">
      <w:pPr>
        <w:tabs>
          <w:tab w:val="left" w:pos="2160"/>
          <w:tab w:val="left" w:pos="2880"/>
        </w:tabs>
        <w:ind w:left="2880" w:hanging="2880"/>
      </w:pPr>
      <w:r w:rsidRPr="00426ED6">
        <w:rPr>
          <w:position w:val="-14"/>
        </w:rPr>
        <w:object w:dxaOrig="460" w:dyaOrig="380" w14:anchorId="5721E389">
          <v:shape id="_x0000_i1045" type="#_x0000_t75" style="width:21.75pt;height:21.75pt" o:ole="">
            <v:imagedata r:id="rId70" o:title=""/>
          </v:shape>
          <o:OLEObject Type="Embed" ProgID="Equation.DSMT4" ShapeID="_x0000_i1045" DrawAspect="Content" ObjectID="_1620194358" r:id="rId71"/>
        </w:object>
      </w:r>
      <w:r>
        <w:tab/>
        <w:t>=</w:t>
      </w:r>
      <w:r>
        <w:tab/>
        <w:t xml:space="preserve">A set of 24 dummies, one for each hour of the day, equal to 1 when hour of sample </w:t>
      </w:r>
      <w:r>
        <w:rPr>
          <w:i/>
        </w:rPr>
        <w:t>t</w:t>
      </w:r>
      <w:r>
        <w:t xml:space="preserve"> falls in hour of day </w:t>
      </w:r>
      <w:r>
        <w:rPr>
          <w:i/>
        </w:rPr>
        <w:t>h</w:t>
      </w:r>
      <w:r>
        <w:t>, and zero otherwise.</w:t>
      </w:r>
    </w:p>
    <w:p w14:paraId="29682539" w14:textId="77777777" w:rsidR="00BA3780" w:rsidRDefault="00BA3780" w:rsidP="00BA3780">
      <w:pPr>
        <w:tabs>
          <w:tab w:val="left" w:pos="2160"/>
          <w:tab w:val="left" w:pos="2880"/>
        </w:tabs>
        <w:ind w:left="2880" w:hanging="2880"/>
      </w:pPr>
      <w:r w:rsidRPr="00426ED6">
        <w:rPr>
          <w:position w:val="-12"/>
        </w:rPr>
        <w:object w:dxaOrig="460" w:dyaOrig="360" w14:anchorId="4A22E6FF">
          <v:shape id="_x0000_i1046" type="#_x0000_t75" style="width:21.75pt;height:21.75pt" o:ole="">
            <v:imagedata r:id="rId72" o:title=""/>
          </v:shape>
          <o:OLEObject Type="Embed" ProgID="Equation.DSMT4" ShapeID="_x0000_i1046" DrawAspect="Content" ObjectID="_1620194359" r:id="rId73"/>
        </w:object>
      </w:r>
      <w:r>
        <w:tab/>
        <w:t>=</w:t>
      </w:r>
      <w:r>
        <w:tab/>
        <w:t xml:space="preserve">The number of cooling degree hours observed in hour of sample </w:t>
      </w:r>
      <w:r>
        <w:rPr>
          <w:i/>
        </w:rPr>
        <w:t>t</w:t>
      </w:r>
      <w:r>
        <w:t>, with a base of 18 degrees Celsius.</w:t>
      </w:r>
    </w:p>
    <w:p w14:paraId="1B68C1EB" w14:textId="77777777" w:rsidR="00BA3780" w:rsidRDefault="00BA3780" w:rsidP="00BA3780">
      <w:pPr>
        <w:tabs>
          <w:tab w:val="left" w:pos="2160"/>
          <w:tab w:val="left" w:pos="2880"/>
        </w:tabs>
        <w:ind w:left="2880" w:hanging="2880"/>
      </w:pPr>
      <w:r>
        <w:t xml:space="preserve"> </w:t>
      </w:r>
      <w:r w:rsidRPr="00426ED6">
        <w:rPr>
          <w:position w:val="-12"/>
        </w:rPr>
        <w:object w:dxaOrig="480" w:dyaOrig="360" w14:anchorId="38049184">
          <v:shape id="_x0000_i1047" type="#_x0000_t75" style="width:21.75pt;height:21.75pt" o:ole="">
            <v:imagedata r:id="rId74" o:title=""/>
          </v:shape>
          <o:OLEObject Type="Embed" ProgID="Equation.DSMT4" ShapeID="_x0000_i1047" DrawAspect="Content" ObjectID="_1620194360" r:id="rId75"/>
        </w:object>
      </w:r>
      <w:r>
        <w:tab/>
        <w:t>=</w:t>
      </w:r>
      <w:r>
        <w:tab/>
        <w:t xml:space="preserve">The number of heating degree hours observed in hour of sample </w:t>
      </w:r>
      <w:r>
        <w:rPr>
          <w:i/>
        </w:rPr>
        <w:t>t</w:t>
      </w:r>
      <w:r>
        <w:t>, with a base of 18 degrees Celsius.</w:t>
      </w:r>
    </w:p>
    <w:p w14:paraId="1CE40F6B" w14:textId="77777777" w:rsidR="00BA3780" w:rsidRDefault="00BA3780" w:rsidP="00BA3780">
      <w:pPr>
        <w:keepNext/>
        <w:tabs>
          <w:tab w:val="left" w:pos="2070"/>
          <w:tab w:val="left" w:pos="2880"/>
        </w:tabs>
        <w:ind w:left="2880" w:hanging="2880"/>
      </w:pPr>
      <w:r w:rsidRPr="00426ED6">
        <w:rPr>
          <w:position w:val="-12"/>
        </w:rPr>
        <w:object w:dxaOrig="480" w:dyaOrig="360" w14:anchorId="224F365E">
          <v:shape id="_x0000_i1048" type="#_x0000_t75" style="width:21.75pt;height:21.75pt" o:ole="">
            <v:imagedata r:id="rId76" o:title=""/>
          </v:shape>
          <o:OLEObject Type="Embed" ProgID="Equation.DSMT4" ShapeID="_x0000_i1048" DrawAspect="Content" ObjectID="_1620194361" r:id="rId77"/>
        </w:object>
      </w:r>
      <w:r>
        <w:t xml:space="preserve"> </w:t>
      </w:r>
      <w:r>
        <w:tab/>
        <w:t>=</w:t>
      </w:r>
      <w:r>
        <w:tab/>
        <w:t xml:space="preserve">The average heat build-up hour of sample </w:t>
      </w:r>
      <w:r>
        <w:rPr>
          <w:i/>
        </w:rPr>
        <w:t>t</w:t>
      </w:r>
      <w:r>
        <w:t>. This is a 72-hour geometrically decaying average of cooling degree hours.  It is calculated in the following manner:</w:t>
      </w:r>
      <w:r>
        <w:tab/>
      </w:r>
      <w:r>
        <w:tab/>
      </w:r>
      <w:r w:rsidRPr="0044131E">
        <w:rPr>
          <w:position w:val="-22"/>
        </w:rPr>
        <w:object w:dxaOrig="2760" w:dyaOrig="900" w14:anchorId="53E57D94">
          <v:shape id="_x0000_i1049" type="#_x0000_t75" style="width:2in;height:43.5pt" o:ole="">
            <v:imagedata r:id="rId78" o:title=""/>
          </v:shape>
          <o:OLEObject Type="Embed" ProgID="Equation.DSMT4" ShapeID="_x0000_i1049" DrawAspect="Content" ObjectID="_1620194362" r:id="rId79"/>
        </w:object>
      </w:r>
      <w:r>
        <w:t xml:space="preserve"> . </w:t>
      </w:r>
    </w:p>
    <w:p w14:paraId="74303470" w14:textId="77777777" w:rsidR="00BA3780" w:rsidRDefault="00BA3780" w:rsidP="00BA3780">
      <w:pPr>
        <w:tabs>
          <w:tab w:val="left" w:pos="2160"/>
          <w:tab w:val="left" w:pos="2880"/>
        </w:tabs>
        <w:ind w:left="2880" w:hanging="2880"/>
      </w:pPr>
      <w:r w:rsidRPr="00426ED6">
        <w:rPr>
          <w:position w:val="-12"/>
        </w:rPr>
        <w:object w:dxaOrig="960" w:dyaOrig="360" w14:anchorId="260F70E8">
          <v:shape id="_x0000_i1050" type="#_x0000_t75" style="width:50.25pt;height:21.75pt" o:ole="">
            <v:imagedata r:id="rId80" o:title=""/>
          </v:shape>
          <o:OLEObject Type="Embed" ProgID="Equation.DSMT4" ShapeID="_x0000_i1050" DrawAspect="Content" ObjectID="_1620194363" r:id="rId81"/>
        </w:object>
      </w:r>
      <w:r>
        <w:t xml:space="preserve"> </w:t>
      </w:r>
      <w:r>
        <w:tab/>
        <w:t>=</w:t>
      </w:r>
      <w:r>
        <w:tab/>
        <w:t xml:space="preserve">The five-hour exponential moving average of cooling degree hours observed in hour of sample </w:t>
      </w:r>
      <w:r>
        <w:rPr>
          <w:i/>
        </w:rPr>
        <w:t>t</w:t>
      </w:r>
      <w:r>
        <w:t>.</w:t>
      </w:r>
    </w:p>
    <w:p w14:paraId="7858B235" w14:textId="65624FFC" w:rsidR="00BA3780" w:rsidRDefault="00BA3780" w:rsidP="00BA3780">
      <w:pPr>
        <w:tabs>
          <w:tab w:val="left" w:pos="2160"/>
          <w:tab w:val="left" w:pos="2880"/>
        </w:tabs>
        <w:ind w:left="2880" w:hanging="2880"/>
      </w:pPr>
      <w:r w:rsidRPr="00426ED6">
        <w:rPr>
          <w:position w:val="-14"/>
        </w:rPr>
        <w:object w:dxaOrig="1120" w:dyaOrig="380" w14:anchorId="396B3B77">
          <v:shape id="_x0000_i1051" type="#_x0000_t75" style="width:57.75pt;height:21.75pt" o:ole="">
            <v:imagedata r:id="rId82" o:title=""/>
          </v:shape>
          <o:OLEObject Type="Embed" ProgID="Equation.DSMT4" ShapeID="_x0000_i1051" DrawAspect="Content" ObjectID="_1620194364" r:id="rId83"/>
        </w:object>
      </w:r>
      <w:r>
        <w:tab/>
        <w:t>=</w:t>
      </w:r>
      <w:r>
        <w:tab/>
        <w:t xml:space="preserve">Customer </w:t>
      </w:r>
      <w:r w:rsidRPr="00426ED6">
        <w:rPr>
          <w:i/>
        </w:rPr>
        <w:t>i’</w:t>
      </w:r>
      <w:r w:rsidRPr="00426ED6">
        <w:t>s</w:t>
      </w:r>
      <w:r>
        <w:t xml:space="preserve"> average demand during hour of day </w:t>
      </w:r>
      <w:r>
        <w:rPr>
          <w:i/>
        </w:rPr>
        <w:t>h</w:t>
      </w:r>
      <w:r>
        <w:t xml:space="preserve">, in day-type </w:t>
      </w:r>
      <w:r>
        <w:rPr>
          <w:i/>
        </w:rPr>
        <w:t>d</w:t>
      </w:r>
      <w:r>
        <w:t xml:space="preserve"> of the pre-program (i.e., summer 2017) period. The day-type is that of the day on which hour of sample </w:t>
      </w:r>
      <w:r>
        <w:rPr>
          <w:i/>
        </w:rPr>
        <w:t xml:space="preserve">t </w:t>
      </w:r>
      <w:r>
        <w:t xml:space="preserve">falls. </w:t>
      </w:r>
      <w:r w:rsidRPr="00A6270F">
        <w:t>See</w:t>
      </w:r>
      <w:r>
        <w:t xml:space="preserve"> </w:t>
      </w:r>
      <w:r>
        <w:fldChar w:fldCharType="begin"/>
      </w:r>
      <w:r>
        <w:instrText xml:space="preserve"> REF _Ref1973941 \n \h </w:instrText>
      </w:r>
      <w:r>
        <w:fldChar w:fldCharType="separate"/>
      </w:r>
      <w:r w:rsidR="00413291">
        <w:t>A.4</w:t>
      </w:r>
      <w:r>
        <w:fldChar w:fldCharType="end"/>
      </w:r>
      <w:r>
        <w:t xml:space="preserve"> for more details.</w:t>
      </w:r>
      <w:r>
        <w:rPr>
          <w:i/>
        </w:rPr>
        <w:t xml:space="preserve"> </w:t>
      </w:r>
      <w:r>
        <w:t xml:space="preserve"> </w:t>
      </w:r>
    </w:p>
    <w:p w14:paraId="7DB98F77" w14:textId="77777777" w:rsidR="00BA3780" w:rsidRDefault="00BA3780" w:rsidP="00BA3780">
      <w:pPr>
        <w:tabs>
          <w:tab w:val="left" w:pos="2160"/>
          <w:tab w:val="left" w:pos="2880"/>
        </w:tabs>
        <w:ind w:left="2880" w:hanging="2880"/>
      </w:pPr>
      <w:r w:rsidRPr="00A6270F">
        <w:rPr>
          <w:position w:val="-12"/>
        </w:rPr>
        <w:object w:dxaOrig="560" w:dyaOrig="360" w14:anchorId="61D50D22">
          <v:shape id="_x0000_i1052" type="#_x0000_t75" style="width:28.5pt;height:21.75pt" o:ole="">
            <v:imagedata r:id="rId84" o:title=""/>
          </v:shape>
          <o:OLEObject Type="Embed" ProgID="Equation.DSMT4" ShapeID="_x0000_i1052" DrawAspect="Content" ObjectID="_1620194365" r:id="rId85"/>
        </w:object>
      </w:r>
      <w:r>
        <w:tab/>
        <w:t>=</w:t>
      </w:r>
      <w:r>
        <w:tab/>
        <w:t xml:space="preserve">A dummy variable equal to one if customer </w:t>
      </w:r>
      <w:r>
        <w:rPr>
          <w:i/>
        </w:rPr>
        <w:t xml:space="preserve">i </w:t>
      </w:r>
      <w:r>
        <w:t>is a participant, and zero otherwise.</w:t>
      </w:r>
    </w:p>
    <w:p w14:paraId="52C1BDF1" w14:textId="77777777" w:rsidR="00BA3780" w:rsidRDefault="00BA3780" w:rsidP="00BA3780">
      <w:pPr>
        <w:tabs>
          <w:tab w:val="left" w:pos="2160"/>
          <w:tab w:val="left" w:pos="2880"/>
        </w:tabs>
        <w:ind w:left="2880" w:hanging="2880"/>
      </w:pPr>
      <w:r w:rsidRPr="00A6270F">
        <w:rPr>
          <w:position w:val="-12"/>
        </w:rPr>
        <w:object w:dxaOrig="620" w:dyaOrig="360" w14:anchorId="4565C770">
          <v:shape id="_x0000_i1053" type="#_x0000_t75" style="width:28.5pt;height:21.75pt" o:ole="">
            <v:imagedata r:id="rId86" o:title=""/>
          </v:shape>
          <o:OLEObject Type="Embed" ProgID="Equation.DSMT4" ShapeID="_x0000_i1053" DrawAspect="Content" ObjectID="_1620194366" r:id="rId87"/>
        </w:object>
      </w:r>
      <w:r>
        <w:tab/>
        <w:t>=</w:t>
      </w:r>
      <w:r>
        <w:tab/>
        <w:t xml:space="preserve">A dummy variable equal to one if hour of sample </w:t>
      </w:r>
      <w:r>
        <w:rPr>
          <w:i/>
        </w:rPr>
        <w:t>t</w:t>
      </w:r>
      <w:r>
        <w:t xml:space="preserve"> is a CPP event, and zero otherwise.</w:t>
      </w:r>
    </w:p>
    <w:p w14:paraId="6DA0AE2D" w14:textId="77777777" w:rsidR="00BA3780" w:rsidRDefault="00BA3780" w:rsidP="00BA3780">
      <w:pPr>
        <w:tabs>
          <w:tab w:val="left" w:pos="2160"/>
          <w:tab w:val="left" w:pos="2880"/>
        </w:tabs>
        <w:ind w:left="2880" w:hanging="2880"/>
      </w:pPr>
      <w:r w:rsidRPr="00D620D8">
        <w:rPr>
          <w:position w:val="-14"/>
        </w:rPr>
        <w:object w:dxaOrig="1180" w:dyaOrig="380" w14:anchorId="6CA0F7B7">
          <v:shape id="_x0000_i1054" type="#_x0000_t75" style="width:57.75pt;height:21.75pt" o:ole="">
            <v:imagedata r:id="rId88" o:title=""/>
          </v:shape>
          <o:OLEObject Type="Embed" ProgID="Equation.DSMT4" ShapeID="_x0000_i1054" DrawAspect="Content" ObjectID="_1620194367" r:id="rId89"/>
        </w:object>
      </w:r>
      <w:r>
        <w:t xml:space="preserve">. </w:t>
      </w:r>
      <w:r>
        <w:tab/>
        <w:t>=</w:t>
      </w:r>
      <w:r>
        <w:tab/>
        <w:t xml:space="preserve">A dummy variable equal to one if participant </w:t>
      </w:r>
      <w:r w:rsidRPr="00B416F1">
        <w:rPr>
          <w:i/>
        </w:rPr>
        <w:t>i</w:t>
      </w:r>
      <w:r>
        <w:t xml:space="preserve"> is connected to London Hydro’s automatic curtailment system on the event day on which hour of sample </w:t>
      </w:r>
      <w:r>
        <w:rPr>
          <w:i/>
        </w:rPr>
        <w:t xml:space="preserve">t </w:t>
      </w:r>
      <w:r w:rsidRPr="00B416F1">
        <w:t>falls</w:t>
      </w:r>
      <w:r>
        <w:t>, and zero otherwise.</w:t>
      </w:r>
    </w:p>
    <w:p w14:paraId="4846D634" w14:textId="77777777" w:rsidR="00BA3780" w:rsidRDefault="00BA3780" w:rsidP="00BA3780">
      <w:pPr>
        <w:tabs>
          <w:tab w:val="left" w:pos="2160"/>
          <w:tab w:val="left" w:pos="2880"/>
        </w:tabs>
        <w:ind w:left="2880" w:hanging="2880"/>
      </w:pPr>
      <w:r>
        <w:t xml:space="preserve"> </w:t>
      </w:r>
      <w:r w:rsidRPr="00B416F1">
        <w:rPr>
          <w:position w:val="-14"/>
        </w:rPr>
        <w:object w:dxaOrig="420" w:dyaOrig="380" w14:anchorId="764C1420">
          <v:shape id="_x0000_i1055" type="#_x0000_t75" style="width:21.75pt;height:21.75pt" o:ole="">
            <v:imagedata r:id="rId90" o:title=""/>
          </v:shape>
          <o:OLEObject Type="Embed" ProgID="Equation.DSMT4" ShapeID="_x0000_i1055" DrawAspect="Content" ObjectID="_1620194368" r:id="rId91"/>
        </w:object>
      </w:r>
      <w:r>
        <w:tab/>
        <w:t>=</w:t>
      </w:r>
      <w:r>
        <w:tab/>
        <w:t xml:space="preserve">A set of four dummy variables to capture the effects (if any) of snapback. Each variable is equal to 1 when hour of sample </w:t>
      </w:r>
      <w:r>
        <w:rPr>
          <w:i/>
        </w:rPr>
        <w:t>t</w:t>
      </w:r>
      <w:r>
        <w:t xml:space="preserve"> is the </w:t>
      </w:r>
      <w:r>
        <w:rPr>
          <w:i/>
        </w:rPr>
        <w:t>s-</w:t>
      </w:r>
      <w:r>
        <w:t xml:space="preserve">th hour observed since the end of the event observed on the day on which hour of sample </w:t>
      </w:r>
      <w:r>
        <w:rPr>
          <w:i/>
        </w:rPr>
        <w:t>t</w:t>
      </w:r>
      <w:r>
        <w:t xml:space="preserve"> occurs. For example, if the event occurs between 5pm and 6pm, at 7pm these four variables will take the following values:  </w:t>
      </w:r>
      <w:r w:rsidRPr="00B416F1">
        <w:rPr>
          <w:position w:val="-14"/>
        </w:rPr>
        <w:object w:dxaOrig="880" w:dyaOrig="380" w14:anchorId="5FACF826">
          <v:shape id="_x0000_i1056" type="#_x0000_t75" style="width:43.5pt;height:21.75pt" o:ole="">
            <v:imagedata r:id="rId92" o:title=""/>
          </v:shape>
          <o:OLEObject Type="Embed" ProgID="Equation.DSMT4" ShapeID="_x0000_i1056" DrawAspect="Content" ObjectID="_1620194369" r:id="rId93"/>
        </w:object>
      </w:r>
      <w:r>
        <w:t xml:space="preserve">, </w:t>
      </w:r>
      <w:r w:rsidRPr="00B416F1">
        <w:rPr>
          <w:position w:val="-14"/>
        </w:rPr>
        <w:object w:dxaOrig="960" w:dyaOrig="380" w14:anchorId="09B8B2A2">
          <v:shape id="_x0000_i1057" type="#_x0000_t75" style="width:50.25pt;height:21.75pt" o:ole="">
            <v:imagedata r:id="rId94" o:title=""/>
          </v:shape>
          <o:OLEObject Type="Embed" ProgID="Equation.DSMT4" ShapeID="_x0000_i1057" DrawAspect="Content" ObjectID="_1620194370" r:id="rId95"/>
        </w:object>
      </w:r>
      <w:r>
        <w:t>,</w:t>
      </w:r>
      <w:r w:rsidRPr="00B416F1">
        <w:rPr>
          <w:position w:val="-14"/>
        </w:rPr>
        <w:object w:dxaOrig="940" w:dyaOrig="380" w14:anchorId="0DA9A8C0">
          <v:shape id="_x0000_i1058" type="#_x0000_t75" style="width:50.25pt;height:21.75pt" o:ole="">
            <v:imagedata r:id="rId96" o:title=""/>
          </v:shape>
          <o:OLEObject Type="Embed" ProgID="Equation.DSMT4" ShapeID="_x0000_i1058" DrawAspect="Content" ObjectID="_1620194371" r:id="rId97"/>
        </w:object>
      </w:r>
      <w:r>
        <w:t xml:space="preserve">, and </w:t>
      </w:r>
      <w:r w:rsidRPr="00B416F1">
        <w:rPr>
          <w:position w:val="-14"/>
        </w:rPr>
        <w:object w:dxaOrig="960" w:dyaOrig="380" w14:anchorId="40BB948F">
          <v:shape id="_x0000_i1059" type="#_x0000_t75" style="width:50.25pt;height:21.75pt" o:ole="">
            <v:imagedata r:id="rId98" o:title=""/>
          </v:shape>
          <o:OLEObject Type="Embed" ProgID="Equation.DSMT4" ShapeID="_x0000_i1059" DrawAspect="Content" ObjectID="_1620194372" r:id="rId99"/>
        </w:object>
      </w:r>
      <w:r>
        <w:t>.</w:t>
      </w:r>
    </w:p>
    <w:p w14:paraId="60946B6B" w14:textId="77777777" w:rsidR="00BA3780" w:rsidRDefault="00BA3780" w:rsidP="00BA3780"/>
    <w:p w14:paraId="38E9E29B" w14:textId="77777777" w:rsidR="00BA3780" w:rsidRDefault="00BA3780" w:rsidP="00BA3780">
      <w:r>
        <w:t xml:space="preserve">This model is estimated once. The estimated values of the </w:t>
      </w:r>
      <w:r w:rsidRPr="00B416F1">
        <w:rPr>
          <w:position w:val="-10"/>
        </w:rPr>
        <w:object w:dxaOrig="240" w:dyaOrig="260" w14:anchorId="773EFE5F">
          <v:shape id="_x0000_i1060" type="#_x0000_t75" style="width:14.25pt;height:14.25pt" o:ole="">
            <v:imagedata r:id="rId100" o:title=""/>
          </v:shape>
          <o:OLEObject Type="Embed" ProgID="Equation.DSMT4" ShapeID="_x0000_i1060" DrawAspect="Content" ObjectID="_1620194373" r:id="rId101"/>
        </w:object>
      </w:r>
      <w:r>
        <w:t xml:space="preserve">parameters capture the “energy impact” of the treatment, whereas the </w:t>
      </w:r>
      <w:r w:rsidRPr="00B416F1">
        <w:rPr>
          <w:position w:val="-10"/>
        </w:rPr>
        <w:object w:dxaOrig="200" w:dyaOrig="260" w14:anchorId="46B18D34">
          <v:shape id="_x0000_i1061" type="#_x0000_t75" style="width:7.5pt;height:14.25pt" o:ole="">
            <v:imagedata r:id="rId102" o:title=""/>
          </v:shape>
          <o:OLEObject Type="Embed" ProgID="Equation.DSMT4" ShapeID="_x0000_i1061" DrawAspect="Content" ObjectID="_1620194374" r:id="rId103"/>
        </w:object>
      </w:r>
      <w:r>
        <w:t xml:space="preserve"> parameters capture the “DR only” impact. That is, this second set of parameters capture the difference between what average demand during the event would have been had there been no event </w:t>
      </w:r>
      <w:r>
        <w:rPr>
          <w:i/>
        </w:rPr>
        <w:t>but the program was still in place</w:t>
      </w:r>
      <w:r>
        <w:t xml:space="preserve">, and what average demand actually was. The “total” program impact is the “sum product” of both sets of parameters and the appropriate variable values. </w:t>
      </w:r>
    </w:p>
    <w:p w14:paraId="7FA71C03" w14:textId="77777777" w:rsidR="00BA3780" w:rsidRPr="00426ED6" w:rsidRDefault="00BA3780" w:rsidP="00BA3780">
      <w:pPr>
        <w:tabs>
          <w:tab w:val="left" w:pos="2160"/>
          <w:tab w:val="left" w:pos="2880"/>
        </w:tabs>
        <w:ind w:left="2880" w:hanging="2880"/>
      </w:pPr>
    </w:p>
    <w:p w14:paraId="48EA98C6" w14:textId="77777777" w:rsidR="00BA3780" w:rsidRPr="00F96D90" w:rsidRDefault="00BA3780" w:rsidP="00BA3780">
      <w:pPr>
        <w:pStyle w:val="Heading6"/>
      </w:pPr>
      <w:bookmarkStart w:id="153" w:name="_Ref1973941"/>
      <w:bookmarkStart w:id="154" w:name="_Toc8393607"/>
      <w:r>
        <w:t>Pre-Period Consumption Variable Creation</w:t>
      </w:r>
      <w:bookmarkEnd w:id="153"/>
      <w:bookmarkEnd w:id="154"/>
    </w:p>
    <w:p w14:paraId="6AF3BD2B" w14:textId="77777777" w:rsidR="00BA3780" w:rsidRDefault="00BA3780" w:rsidP="00BA3780">
      <w:r>
        <w:t>As noted in several instances in both the body of the report and in the earlier sections of this Appendix, Navigant includes on the right-hand side of the regression equation a variable capturing an average of each participant’s pre-program consumption. In the summer this variable is a 720-element</w:t>
      </w:r>
      <w:r>
        <w:rPr>
          <w:rStyle w:val="FootnoteReference"/>
        </w:rPr>
        <w:footnoteReference w:id="43"/>
      </w:r>
      <w:r>
        <w:t xml:space="preserve"> vector of average pre-period consumption values.</w:t>
      </w:r>
    </w:p>
    <w:p w14:paraId="23AD0146" w14:textId="77777777" w:rsidR="00BA3780" w:rsidRDefault="00BA3780" w:rsidP="00BA3780"/>
    <w:p w14:paraId="3F16AE93" w14:textId="77777777" w:rsidR="00BA3780" w:rsidRDefault="00BA3780" w:rsidP="00BA3780">
      <w:r>
        <w:t>The 720 elements is the product of 30 day-types, and 24 hours in each day. Day-types are defined by three components:</w:t>
      </w:r>
    </w:p>
    <w:p w14:paraId="64341691" w14:textId="77777777" w:rsidR="00BA3780" w:rsidRDefault="00BA3780" w:rsidP="00BA3780">
      <w:pPr>
        <w:pStyle w:val="ListParagraph"/>
        <w:numPr>
          <w:ilvl w:val="0"/>
          <w:numId w:val="34"/>
        </w:numPr>
      </w:pPr>
      <w:r>
        <w:t>Month of year</w:t>
      </w:r>
    </w:p>
    <w:p w14:paraId="3D52985C" w14:textId="77777777" w:rsidR="00BA3780" w:rsidRDefault="00BA3780" w:rsidP="00BA3780">
      <w:pPr>
        <w:pStyle w:val="ListParagraph"/>
        <w:numPr>
          <w:ilvl w:val="0"/>
          <w:numId w:val="34"/>
        </w:numPr>
      </w:pPr>
      <w:r>
        <w:t>Day of week</w:t>
      </w:r>
    </w:p>
    <w:p w14:paraId="24ABD98A" w14:textId="77777777" w:rsidR="00BA3780" w:rsidRDefault="00BA3780" w:rsidP="00BA3780">
      <w:pPr>
        <w:pStyle w:val="ListParagraph"/>
        <w:numPr>
          <w:ilvl w:val="0"/>
          <w:numId w:val="34"/>
        </w:numPr>
      </w:pPr>
      <w:r>
        <w:t>Average daily temperature</w:t>
      </w:r>
    </w:p>
    <w:p w14:paraId="6FC54DFC" w14:textId="77777777" w:rsidR="00BA3780" w:rsidRDefault="00BA3780" w:rsidP="00BA3780"/>
    <w:p w14:paraId="7F4DA7FE" w14:textId="799A0DE5" w:rsidR="00BA3780" w:rsidRDefault="00BA3780" w:rsidP="00BA3780">
      <w:r>
        <w:fldChar w:fldCharType="begin"/>
      </w:r>
      <w:r>
        <w:instrText xml:space="preserve"> REF _Ref2004212 \h </w:instrText>
      </w:r>
      <w:r>
        <w:fldChar w:fldCharType="separate"/>
      </w:r>
      <w:r w:rsidR="00413291">
        <w:t xml:space="preserve">Figure </w:t>
      </w:r>
      <w:r w:rsidR="00413291">
        <w:rPr>
          <w:noProof/>
        </w:rPr>
        <w:t>38</w:t>
      </w:r>
      <w:r>
        <w:fldChar w:fldCharType="end"/>
      </w:r>
      <w:r>
        <w:t>, below, shows how day-types are assigned. So, for example:</w:t>
      </w:r>
    </w:p>
    <w:p w14:paraId="6132A765" w14:textId="77777777" w:rsidR="00BA3780" w:rsidRDefault="00BA3780" w:rsidP="00BA3780">
      <w:pPr>
        <w:pStyle w:val="ListParagraph"/>
        <w:numPr>
          <w:ilvl w:val="0"/>
          <w:numId w:val="34"/>
        </w:numPr>
      </w:pPr>
      <w:r>
        <w:lastRenderedPageBreak/>
        <w:t>Day-type F_1 would be assigned to all non-holiday weekdays in July or August with an average drybulb temperature exceeding 23 degrees.</w:t>
      </w:r>
    </w:p>
    <w:p w14:paraId="6F4CABB9" w14:textId="77777777" w:rsidR="00BA3780" w:rsidRDefault="00BA3780" w:rsidP="00BA3780">
      <w:pPr>
        <w:pStyle w:val="ListParagraph"/>
        <w:numPr>
          <w:ilvl w:val="0"/>
          <w:numId w:val="34"/>
        </w:numPr>
      </w:pPr>
      <w:r>
        <w:t>Day-type D_5 would be assigned to all weekends and holidays in May and October</w:t>
      </w:r>
    </w:p>
    <w:p w14:paraId="6B64D6D5" w14:textId="77777777" w:rsidR="00BA3780" w:rsidRDefault="00BA3780" w:rsidP="00BA3780">
      <w:pPr>
        <w:pStyle w:val="ListParagraph"/>
        <w:numPr>
          <w:ilvl w:val="0"/>
          <w:numId w:val="34"/>
        </w:numPr>
      </w:pPr>
      <w:r>
        <w:t>Etc.</w:t>
      </w:r>
    </w:p>
    <w:p w14:paraId="1692A8AF" w14:textId="77777777" w:rsidR="00BA3780" w:rsidRDefault="00BA3780" w:rsidP="00BA3780"/>
    <w:p w14:paraId="135E0C6E" w14:textId="56FD92EF" w:rsidR="00BA3780" w:rsidRDefault="00BA3780" w:rsidP="00BA3780">
      <w:pPr>
        <w:pStyle w:val="Caption"/>
      </w:pPr>
      <w:bookmarkStart w:id="155" w:name="_Ref2004212"/>
      <w:bookmarkStart w:id="156" w:name="_Toc8393646"/>
      <w:r>
        <w:t xml:space="preserve">Figure </w:t>
      </w:r>
      <w:fldSimple w:instr=" SEQ Figure \* ARABIC ">
        <w:r w:rsidR="00413291">
          <w:rPr>
            <w:noProof/>
          </w:rPr>
          <w:t>38</w:t>
        </w:r>
      </w:fldSimple>
      <w:bookmarkEnd w:id="155"/>
      <w:r>
        <w:t>: Day-Type Definitions</w:t>
      </w:r>
      <w:bookmarkEnd w:id="156"/>
    </w:p>
    <w:tbl>
      <w:tblPr>
        <w:tblW w:w="8680" w:type="dxa"/>
        <w:tblLook w:val="04A0" w:firstRow="1" w:lastRow="0" w:firstColumn="1" w:lastColumn="0" w:noHBand="0" w:noVBand="1"/>
      </w:tblPr>
      <w:tblGrid>
        <w:gridCol w:w="800"/>
        <w:gridCol w:w="2640"/>
        <w:gridCol w:w="980"/>
        <w:gridCol w:w="980"/>
        <w:gridCol w:w="980"/>
        <w:gridCol w:w="980"/>
        <w:gridCol w:w="1320"/>
      </w:tblGrid>
      <w:tr w:rsidR="00BA3780" w:rsidRPr="000E6C55" w14:paraId="31C81470" w14:textId="77777777" w:rsidTr="0060225F">
        <w:trPr>
          <w:trHeight w:val="280"/>
        </w:trPr>
        <w:tc>
          <w:tcPr>
            <w:tcW w:w="800" w:type="dxa"/>
            <w:tcBorders>
              <w:top w:val="single" w:sz="4" w:space="0" w:color="auto"/>
              <w:left w:val="single" w:sz="4" w:space="0" w:color="auto"/>
              <w:bottom w:val="nil"/>
              <w:right w:val="nil"/>
            </w:tcBorders>
            <w:shd w:val="clear" w:color="000000" w:fill="555759"/>
            <w:vAlign w:val="center"/>
            <w:hideMark/>
          </w:tcPr>
          <w:p w14:paraId="1A0F9D0C"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w:t>
            </w:r>
          </w:p>
        </w:tc>
        <w:tc>
          <w:tcPr>
            <w:tcW w:w="2640" w:type="dxa"/>
            <w:tcBorders>
              <w:top w:val="single" w:sz="4" w:space="0" w:color="auto"/>
              <w:left w:val="nil"/>
              <w:bottom w:val="nil"/>
              <w:right w:val="nil"/>
            </w:tcBorders>
            <w:shd w:val="clear" w:color="000000" w:fill="555759"/>
            <w:vAlign w:val="center"/>
            <w:hideMark/>
          </w:tcPr>
          <w:p w14:paraId="64089AF7"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 </w:t>
            </w:r>
          </w:p>
        </w:tc>
        <w:tc>
          <w:tcPr>
            <w:tcW w:w="5240" w:type="dxa"/>
            <w:gridSpan w:val="5"/>
            <w:tcBorders>
              <w:top w:val="single" w:sz="4" w:space="0" w:color="auto"/>
              <w:left w:val="nil"/>
              <w:bottom w:val="nil"/>
              <w:right w:val="single" w:sz="4" w:space="0" w:color="000000"/>
            </w:tcBorders>
            <w:shd w:val="clear" w:color="000000" w:fill="555759"/>
            <w:vAlign w:val="center"/>
            <w:hideMark/>
          </w:tcPr>
          <w:p w14:paraId="392DEC1E"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Day Type</w:t>
            </w:r>
          </w:p>
        </w:tc>
      </w:tr>
      <w:tr w:rsidR="00BA3780" w:rsidRPr="000E6C55" w14:paraId="56AEE85A" w14:textId="77777777" w:rsidTr="0060225F">
        <w:trPr>
          <w:trHeight w:val="460"/>
        </w:trPr>
        <w:tc>
          <w:tcPr>
            <w:tcW w:w="800" w:type="dxa"/>
            <w:tcBorders>
              <w:top w:val="nil"/>
              <w:left w:val="single" w:sz="4" w:space="0" w:color="auto"/>
              <w:bottom w:val="nil"/>
              <w:right w:val="nil"/>
            </w:tcBorders>
            <w:shd w:val="clear" w:color="000000" w:fill="555759"/>
            <w:vAlign w:val="center"/>
            <w:hideMark/>
          </w:tcPr>
          <w:p w14:paraId="63C4E8D9"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w:t>
            </w:r>
          </w:p>
        </w:tc>
        <w:tc>
          <w:tcPr>
            <w:tcW w:w="2640" w:type="dxa"/>
            <w:tcBorders>
              <w:top w:val="nil"/>
              <w:left w:val="nil"/>
              <w:bottom w:val="nil"/>
              <w:right w:val="nil"/>
            </w:tcBorders>
            <w:shd w:val="clear" w:color="000000" w:fill="555759"/>
            <w:vAlign w:val="center"/>
            <w:hideMark/>
          </w:tcPr>
          <w:p w14:paraId="1425B6B5"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 </w:t>
            </w:r>
          </w:p>
        </w:tc>
        <w:tc>
          <w:tcPr>
            <w:tcW w:w="3920" w:type="dxa"/>
            <w:gridSpan w:val="4"/>
            <w:tcBorders>
              <w:top w:val="nil"/>
              <w:left w:val="nil"/>
              <w:bottom w:val="nil"/>
              <w:right w:val="nil"/>
            </w:tcBorders>
            <w:shd w:val="clear" w:color="000000" w:fill="555759"/>
            <w:vAlign w:val="center"/>
            <w:hideMark/>
          </w:tcPr>
          <w:p w14:paraId="05DF0A7C"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Weekdays</w:t>
            </w:r>
          </w:p>
        </w:tc>
        <w:tc>
          <w:tcPr>
            <w:tcW w:w="1320" w:type="dxa"/>
            <w:tcBorders>
              <w:top w:val="nil"/>
              <w:left w:val="nil"/>
              <w:bottom w:val="nil"/>
              <w:right w:val="single" w:sz="4" w:space="0" w:color="auto"/>
            </w:tcBorders>
            <w:shd w:val="clear" w:color="000000" w:fill="555759"/>
            <w:vAlign w:val="center"/>
            <w:hideMark/>
          </w:tcPr>
          <w:p w14:paraId="58A1EA85" w14:textId="77777777" w:rsidR="00BA3780" w:rsidRPr="000E6C55" w:rsidRDefault="00BA3780" w:rsidP="0060225F">
            <w:pPr>
              <w:keepNext/>
              <w:spacing w:line="240" w:lineRule="auto"/>
              <w:jc w:val="center"/>
              <w:rPr>
                <w:rFonts w:cs="Arial"/>
                <w:color w:val="FFFFFF"/>
                <w:sz w:val="18"/>
                <w:szCs w:val="18"/>
              </w:rPr>
            </w:pPr>
            <w:r w:rsidRPr="000E6C55">
              <w:rPr>
                <w:rFonts w:cs="Arial"/>
                <w:color w:val="FFFFFF"/>
                <w:sz w:val="18"/>
                <w:szCs w:val="18"/>
              </w:rPr>
              <w:t>Weekends/ Holidays</w:t>
            </w:r>
          </w:p>
        </w:tc>
      </w:tr>
      <w:tr w:rsidR="00BA3780" w:rsidRPr="000E6C55" w14:paraId="66AF7F1B" w14:textId="77777777" w:rsidTr="0060225F">
        <w:trPr>
          <w:trHeight w:val="280"/>
        </w:trPr>
        <w:tc>
          <w:tcPr>
            <w:tcW w:w="800" w:type="dxa"/>
            <w:tcBorders>
              <w:top w:val="nil"/>
              <w:left w:val="single" w:sz="4" w:space="0" w:color="auto"/>
              <w:bottom w:val="single" w:sz="4" w:space="0" w:color="auto"/>
              <w:right w:val="nil"/>
            </w:tcBorders>
            <w:shd w:val="clear" w:color="000000" w:fill="2B2C2D"/>
            <w:vAlign w:val="center"/>
            <w:hideMark/>
          </w:tcPr>
          <w:p w14:paraId="0F149E17"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 </w:t>
            </w:r>
          </w:p>
        </w:tc>
        <w:tc>
          <w:tcPr>
            <w:tcW w:w="2640" w:type="dxa"/>
            <w:tcBorders>
              <w:top w:val="nil"/>
              <w:left w:val="nil"/>
              <w:bottom w:val="single" w:sz="4" w:space="0" w:color="auto"/>
              <w:right w:val="nil"/>
            </w:tcBorders>
            <w:shd w:val="clear" w:color="000000" w:fill="2B2C2D"/>
            <w:vAlign w:val="center"/>
            <w:hideMark/>
          </w:tcPr>
          <w:p w14:paraId="25018038"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 </w:t>
            </w:r>
          </w:p>
        </w:tc>
        <w:tc>
          <w:tcPr>
            <w:tcW w:w="980" w:type="dxa"/>
            <w:tcBorders>
              <w:top w:val="nil"/>
              <w:left w:val="nil"/>
              <w:bottom w:val="nil"/>
              <w:right w:val="nil"/>
            </w:tcBorders>
            <w:shd w:val="clear" w:color="000000" w:fill="2B2C2D"/>
            <w:vAlign w:val="center"/>
            <w:hideMark/>
          </w:tcPr>
          <w:p w14:paraId="45A0B019"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1</w:t>
            </w:r>
          </w:p>
        </w:tc>
        <w:tc>
          <w:tcPr>
            <w:tcW w:w="980" w:type="dxa"/>
            <w:tcBorders>
              <w:top w:val="nil"/>
              <w:left w:val="nil"/>
              <w:bottom w:val="nil"/>
              <w:right w:val="nil"/>
            </w:tcBorders>
            <w:shd w:val="clear" w:color="000000" w:fill="2B2C2D"/>
            <w:vAlign w:val="center"/>
            <w:hideMark/>
          </w:tcPr>
          <w:p w14:paraId="40907B0F"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2</w:t>
            </w:r>
          </w:p>
        </w:tc>
        <w:tc>
          <w:tcPr>
            <w:tcW w:w="980" w:type="dxa"/>
            <w:tcBorders>
              <w:top w:val="nil"/>
              <w:left w:val="nil"/>
              <w:bottom w:val="nil"/>
              <w:right w:val="nil"/>
            </w:tcBorders>
            <w:shd w:val="clear" w:color="000000" w:fill="2B2C2D"/>
            <w:vAlign w:val="center"/>
            <w:hideMark/>
          </w:tcPr>
          <w:p w14:paraId="01CDCF56"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3</w:t>
            </w:r>
          </w:p>
        </w:tc>
        <w:tc>
          <w:tcPr>
            <w:tcW w:w="980" w:type="dxa"/>
            <w:tcBorders>
              <w:top w:val="nil"/>
              <w:left w:val="nil"/>
              <w:bottom w:val="nil"/>
              <w:right w:val="nil"/>
            </w:tcBorders>
            <w:shd w:val="clear" w:color="000000" w:fill="2B2C2D"/>
            <w:vAlign w:val="center"/>
            <w:hideMark/>
          </w:tcPr>
          <w:p w14:paraId="4F97C466"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4</w:t>
            </w:r>
          </w:p>
        </w:tc>
        <w:tc>
          <w:tcPr>
            <w:tcW w:w="1320" w:type="dxa"/>
            <w:tcBorders>
              <w:top w:val="nil"/>
              <w:left w:val="nil"/>
              <w:bottom w:val="single" w:sz="4" w:space="0" w:color="auto"/>
              <w:right w:val="single" w:sz="4" w:space="0" w:color="auto"/>
            </w:tcBorders>
            <w:shd w:val="clear" w:color="000000" w:fill="2B2C2D"/>
            <w:vAlign w:val="center"/>
            <w:hideMark/>
          </w:tcPr>
          <w:p w14:paraId="0C5652B4" w14:textId="77777777" w:rsidR="00BA3780" w:rsidRPr="000E6C55" w:rsidRDefault="00BA3780" w:rsidP="0060225F">
            <w:pPr>
              <w:keepNext/>
              <w:spacing w:line="240" w:lineRule="auto"/>
              <w:jc w:val="center"/>
              <w:rPr>
                <w:rFonts w:cs="Arial"/>
                <w:color w:val="FFFFFF"/>
                <w:sz w:val="22"/>
                <w:szCs w:val="22"/>
              </w:rPr>
            </w:pPr>
            <w:r w:rsidRPr="000E6C55">
              <w:rPr>
                <w:rFonts w:cs="Arial"/>
                <w:color w:val="FFFFFF"/>
                <w:sz w:val="22"/>
                <w:szCs w:val="22"/>
              </w:rPr>
              <w:t>5</w:t>
            </w:r>
          </w:p>
        </w:tc>
      </w:tr>
      <w:tr w:rsidR="00BA3780" w:rsidRPr="000E6C55" w14:paraId="07A42EE1" w14:textId="77777777" w:rsidTr="0060225F">
        <w:trPr>
          <w:trHeight w:val="560"/>
        </w:trPr>
        <w:tc>
          <w:tcPr>
            <w:tcW w:w="800" w:type="dxa"/>
            <w:vMerge w:val="restart"/>
            <w:tcBorders>
              <w:top w:val="nil"/>
              <w:left w:val="single" w:sz="4" w:space="0" w:color="auto"/>
              <w:bottom w:val="single" w:sz="4" w:space="0" w:color="000000"/>
              <w:right w:val="nil"/>
            </w:tcBorders>
            <w:shd w:val="clear" w:color="000000" w:fill="C1EEFF"/>
            <w:textDirection w:val="btLr"/>
            <w:vAlign w:val="center"/>
            <w:hideMark/>
          </w:tcPr>
          <w:p w14:paraId="75AC2617" w14:textId="77777777" w:rsidR="00BA3780" w:rsidRPr="000E6C55" w:rsidRDefault="00BA3780" w:rsidP="0060225F">
            <w:pPr>
              <w:keepNext/>
              <w:spacing w:line="240" w:lineRule="auto"/>
              <w:jc w:val="center"/>
              <w:rPr>
                <w:rFonts w:cs="Arial"/>
                <w:sz w:val="22"/>
                <w:szCs w:val="22"/>
              </w:rPr>
            </w:pPr>
            <w:r w:rsidRPr="000E6C55">
              <w:rPr>
                <w:rFonts w:cs="Arial"/>
                <w:sz w:val="22"/>
                <w:szCs w:val="22"/>
              </w:rPr>
              <w:t>Winter</w:t>
            </w:r>
          </w:p>
        </w:tc>
        <w:tc>
          <w:tcPr>
            <w:tcW w:w="2640" w:type="dxa"/>
            <w:tcBorders>
              <w:top w:val="nil"/>
              <w:left w:val="nil"/>
              <w:bottom w:val="nil"/>
              <w:right w:val="nil"/>
            </w:tcBorders>
            <w:shd w:val="clear" w:color="000000" w:fill="C1EEFF"/>
            <w:vAlign w:val="center"/>
            <w:hideMark/>
          </w:tcPr>
          <w:p w14:paraId="683E4726"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 xml:space="preserve">Period A: </w:t>
            </w:r>
            <w:r w:rsidRPr="000E6C55">
              <w:rPr>
                <w:rFonts w:cs="Arial"/>
                <w:sz w:val="22"/>
                <w:szCs w:val="22"/>
              </w:rPr>
              <w:t>Jan &amp; Feb</w:t>
            </w:r>
          </w:p>
        </w:tc>
        <w:tc>
          <w:tcPr>
            <w:tcW w:w="980" w:type="dxa"/>
            <w:tcBorders>
              <w:top w:val="single" w:sz="4" w:space="0" w:color="auto"/>
              <w:left w:val="single" w:sz="4" w:space="0" w:color="auto"/>
              <w:bottom w:val="nil"/>
              <w:right w:val="nil"/>
            </w:tcBorders>
            <w:shd w:val="clear" w:color="000000" w:fill="FFFFFF"/>
            <w:vAlign w:val="center"/>
            <w:hideMark/>
          </w:tcPr>
          <w:p w14:paraId="383C7451"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-11</w:t>
            </w:r>
          </w:p>
        </w:tc>
        <w:tc>
          <w:tcPr>
            <w:tcW w:w="980" w:type="dxa"/>
            <w:tcBorders>
              <w:top w:val="single" w:sz="4" w:space="0" w:color="auto"/>
              <w:left w:val="nil"/>
              <w:bottom w:val="nil"/>
              <w:right w:val="nil"/>
            </w:tcBorders>
            <w:shd w:val="clear" w:color="000000" w:fill="FFFFFF"/>
            <w:vAlign w:val="center"/>
            <w:hideMark/>
          </w:tcPr>
          <w:p w14:paraId="02471667"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-7 to </w:t>
            </w:r>
            <w:r w:rsidRPr="000E6C55">
              <w:rPr>
                <w:rFonts w:cs="Arial"/>
                <w:sz w:val="22"/>
                <w:szCs w:val="22"/>
              </w:rPr>
              <w:br/>
              <w:t>-11</w:t>
            </w:r>
          </w:p>
        </w:tc>
        <w:tc>
          <w:tcPr>
            <w:tcW w:w="980" w:type="dxa"/>
            <w:tcBorders>
              <w:top w:val="single" w:sz="4" w:space="0" w:color="auto"/>
              <w:left w:val="nil"/>
              <w:bottom w:val="nil"/>
              <w:right w:val="nil"/>
            </w:tcBorders>
            <w:shd w:val="clear" w:color="000000" w:fill="FFFFFF"/>
            <w:vAlign w:val="center"/>
            <w:hideMark/>
          </w:tcPr>
          <w:p w14:paraId="7C333220"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-3 to </w:t>
            </w:r>
            <w:r w:rsidRPr="000E6C55">
              <w:rPr>
                <w:rFonts w:cs="Arial"/>
                <w:sz w:val="22"/>
                <w:szCs w:val="22"/>
              </w:rPr>
              <w:br/>
              <w:t>-7</w:t>
            </w:r>
          </w:p>
        </w:tc>
        <w:tc>
          <w:tcPr>
            <w:tcW w:w="980" w:type="dxa"/>
            <w:tcBorders>
              <w:top w:val="single" w:sz="4" w:space="0" w:color="auto"/>
              <w:left w:val="nil"/>
              <w:bottom w:val="nil"/>
              <w:right w:val="single" w:sz="4" w:space="0" w:color="auto"/>
            </w:tcBorders>
            <w:shd w:val="clear" w:color="000000" w:fill="FFFFFF"/>
            <w:vAlign w:val="center"/>
            <w:hideMark/>
          </w:tcPr>
          <w:p w14:paraId="5316E51F"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-3</w:t>
            </w:r>
          </w:p>
        </w:tc>
        <w:tc>
          <w:tcPr>
            <w:tcW w:w="1320" w:type="dxa"/>
            <w:tcBorders>
              <w:top w:val="nil"/>
              <w:left w:val="nil"/>
              <w:bottom w:val="nil"/>
              <w:right w:val="single" w:sz="4" w:space="0" w:color="auto"/>
            </w:tcBorders>
            <w:shd w:val="clear" w:color="000000" w:fill="FFFFFF"/>
            <w:vAlign w:val="center"/>
            <w:hideMark/>
          </w:tcPr>
          <w:p w14:paraId="3060AB9B" w14:textId="77777777" w:rsidR="00BA3780" w:rsidRPr="000E6C55" w:rsidRDefault="00BA3780" w:rsidP="0060225F">
            <w:pPr>
              <w:keepNext/>
              <w:spacing w:line="240" w:lineRule="auto"/>
              <w:rPr>
                <w:rFonts w:cs="Arial"/>
                <w:sz w:val="22"/>
                <w:szCs w:val="22"/>
              </w:rPr>
            </w:pPr>
            <w:r w:rsidRPr="000E6C55">
              <w:rPr>
                <w:rFonts w:cs="Arial"/>
                <w:sz w:val="22"/>
                <w:szCs w:val="22"/>
              </w:rPr>
              <w:t> </w:t>
            </w:r>
          </w:p>
        </w:tc>
      </w:tr>
      <w:tr w:rsidR="00BA3780" w:rsidRPr="000E6C55" w14:paraId="31DCDF25" w14:textId="77777777" w:rsidTr="0060225F">
        <w:trPr>
          <w:trHeight w:val="560"/>
        </w:trPr>
        <w:tc>
          <w:tcPr>
            <w:tcW w:w="800" w:type="dxa"/>
            <w:vMerge/>
            <w:tcBorders>
              <w:top w:val="nil"/>
              <w:left w:val="single" w:sz="4" w:space="0" w:color="auto"/>
              <w:bottom w:val="single" w:sz="4" w:space="0" w:color="000000"/>
              <w:right w:val="nil"/>
            </w:tcBorders>
            <w:vAlign w:val="center"/>
            <w:hideMark/>
          </w:tcPr>
          <w:p w14:paraId="40A731D9" w14:textId="77777777" w:rsidR="00BA3780" w:rsidRPr="000E6C55" w:rsidRDefault="00BA3780" w:rsidP="0060225F">
            <w:pPr>
              <w:keepNext/>
              <w:spacing w:line="240" w:lineRule="auto"/>
              <w:rPr>
                <w:rFonts w:cs="Arial"/>
                <w:sz w:val="22"/>
                <w:szCs w:val="22"/>
              </w:rPr>
            </w:pPr>
          </w:p>
        </w:tc>
        <w:tc>
          <w:tcPr>
            <w:tcW w:w="2640" w:type="dxa"/>
            <w:tcBorders>
              <w:top w:val="nil"/>
              <w:left w:val="nil"/>
              <w:bottom w:val="nil"/>
              <w:right w:val="nil"/>
            </w:tcBorders>
            <w:shd w:val="clear" w:color="000000" w:fill="C1EEFF"/>
            <w:vAlign w:val="center"/>
            <w:hideMark/>
          </w:tcPr>
          <w:p w14:paraId="69302FF1"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Period B:</w:t>
            </w:r>
            <w:r w:rsidRPr="000E6C55">
              <w:rPr>
                <w:rFonts w:cs="Arial"/>
                <w:sz w:val="22"/>
                <w:szCs w:val="22"/>
              </w:rPr>
              <w:t xml:space="preserve"> Mar &amp; Dec</w:t>
            </w:r>
          </w:p>
        </w:tc>
        <w:tc>
          <w:tcPr>
            <w:tcW w:w="980" w:type="dxa"/>
            <w:tcBorders>
              <w:top w:val="nil"/>
              <w:left w:val="single" w:sz="4" w:space="0" w:color="auto"/>
              <w:bottom w:val="nil"/>
              <w:right w:val="nil"/>
            </w:tcBorders>
            <w:shd w:val="clear" w:color="000000" w:fill="EDFFC4"/>
            <w:vAlign w:val="center"/>
            <w:hideMark/>
          </w:tcPr>
          <w:p w14:paraId="78AC0FC8"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-10</w:t>
            </w:r>
          </w:p>
        </w:tc>
        <w:tc>
          <w:tcPr>
            <w:tcW w:w="980" w:type="dxa"/>
            <w:tcBorders>
              <w:top w:val="nil"/>
              <w:left w:val="nil"/>
              <w:bottom w:val="nil"/>
              <w:right w:val="nil"/>
            </w:tcBorders>
            <w:shd w:val="clear" w:color="000000" w:fill="EDFFC4"/>
            <w:vAlign w:val="center"/>
            <w:hideMark/>
          </w:tcPr>
          <w:p w14:paraId="7BE666AF"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-6 to </w:t>
            </w:r>
            <w:r w:rsidRPr="000E6C55">
              <w:rPr>
                <w:rFonts w:cs="Arial"/>
                <w:sz w:val="22"/>
                <w:szCs w:val="22"/>
              </w:rPr>
              <w:br/>
              <w:t>-10</w:t>
            </w:r>
          </w:p>
        </w:tc>
        <w:tc>
          <w:tcPr>
            <w:tcW w:w="980" w:type="dxa"/>
            <w:tcBorders>
              <w:top w:val="nil"/>
              <w:left w:val="nil"/>
              <w:bottom w:val="nil"/>
              <w:right w:val="nil"/>
            </w:tcBorders>
            <w:shd w:val="clear" w:color="000000" w:fill="EDFFC4"/>
            <w:vAlign w:val="center"/>
            <w:hideMark/>
          </w:tcPr>
          <w:p w14:paraId="50FE51AB"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1 to </w:t>
            </w:r>
            <w:r w:rsidRPr="000E6C55">
              <w:rPr>
                <w:rFonts w:cs="Arial"/>
                <w:sz w:val="22"/>
                <w:szCs w:val="22"/>
              </w:rPr>
              <w:br/>
              <w:t>-6</w:t>
            </w:r>
          </w:p>
        </w:tc>
        <w:tc>
          <w:tcPr>
            <w:tcW w:w="980" w:type="dxa"/>
            <w:tcBorders>
              <w:top w:val="nil"/>
              <w:left w:val="nil"/>
              <w:bottom w:val="nil"/>
              <w:right w:val="single" w:sz="4" w:space="0" w:color="auto"/>
            </w:tcBorders>
            <w:shd w:val="clear" w:color="000000" w:fill="EDFFC4"/>
            <w:vAlign w:val="center"/>
            <w:hideMark/>
          </w:tcPr>
          <w:p w14:paraId="478FDDF8"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1</w:t>
            </w:r>
          </w:p>
        </w:tc>
        <w:tc>
          <w:tcPr>
            <w:tcW w:w="1320" w:type="dxa"/>
            <w:tcBorders>
              <w:top w:val="nil"/>
              <w:left w:val="nil"/>
              <w:bottom w:val="nil"/>
              <w:right w:val="single" w:sz="4" w:space="0" w:color="auto"/>
            </w:tcBorders>
            <w:shd w:val="clear" w:color="000000" w:fill="FFFFFF"/>
            <w:vAlign w:val="center"/>
            <w:hideMark/>
          </w:tcPr>
          <w:p w14:paraId="75434C8E" w14:textId="77777777" w:rsidR="00BA3780" w:rsidRPr="000E6C55" w:rsidRDefault="00BA3780" w:rsidP="0060225F">
            <w:pPr>
              <w:keepNext/>
              <w:spacing w:line="240" w:lineRule="auto"/>
              <w:jc w:val="center"/>
              <w:rPr>
                <w:rFonts w:cs="Arial"/>
                <w:sz w:val="22"/>
                <w:szCs w:val="22"/>
              </w:rPr>
            </w:pPr>
            <w:r w:rsidRPr="000E6C55">
              <w:rPr>
                <w:rFonts w:cs="Arial"/>
                <w:sz w:val="22"/>
                <w:szCs w:val="22"/>
              </w:rPr>
              <w:t>All Days</w:t>
            </w:r>
          </w:p>
        </w:tc>
      </w:tr>
      <w:tr w:rsidR="00BA3780" w:rsidRPr="000E6C55" w14:paraId="08A0072A" w14:textId="77777777" w:rsidTr="0060225F">
        <w:trPr>
          <w:trHeight w:val="560"/>
        </w:trPr>
        <w:tc>
          <w:tcPr>
            <w:tcW w:w="800" w:type="dxa"/>
            <w:vMerge/>
            <w:tcBorders>
              <w:top w:val="nil"/>
              <w:left w:val="single" w:sz="4" w:space="0" w:color="auto"/>
              <w:bottom w:val="single" w:sz="4" w:space="0" w:color="000000"/>
              <w:right w:val="nil"/>
            </w:tcBorders>
            <w:vAlign w:val="center"/>
            <w:hideMark/>
          </w:tcPr>
          <w:p w14:paraId="01695627" w14:textId="77777777" w:rsidR="00BA3780" w:rsidRPr="000E6C55" w:rsidRDefault="00BA3780" w:rsidP="0060225F">
            <w:pPr>
              <w:keepNext/>
              <w:spacing w:line="240" w:lineRule="auto"/>
              <w:rPr>
                <w:rFonts w:cs="Arial"/>
                <w:sz w:val="22"/>
                <w:szCs w:val="22"/>
              </w:rPr>
            </w:pPr>
          </w:p>
        </w:tc>
        <w:tc>
          <w:tcPr>
            <w:tcW w:w="2640" w:type="dxa"/>
            <w:tcBorders>
              <w:top w:val="nil"/>
              <w:left w:val="nil"/>
              <w:bottom w:val="single" w:sz="4" w:space="0" w:color="auto"/>
              <w:right w:val="nil"/>
            </w:tcBorders>
            <w:shd w:val="clear" w:color="000000" w:fill="C1EEFF"/>
            <w:vAlign w:val="center"/>
            <w:hideMark/>
          </w:tcPr>
          <w:p w14:paraId="411AC320"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 xml:space="preserve">Period C: </w:t>
            </w:r>
            <w:r w:rsidRPr="000E6C55">
              <w:rPr>
                <w:rFonts w:cs="Arial"/>
                <w:sz w:val="22"/>
                <w:szCs w:val="22"/>
              </w:rPr>
              <w:t>Apr &amp; Nov</w:t>
            </w:r>
          </w:p>
        </w:tc>
        <w:tc>
          <w:tcPr>
            <w:tcW w:w="980" w:type="dxa"/>
            <w:tcBorders>
              <w:top w:val="nil"/>
              <w:left w:val="single" w:sz="4" w:space="0" w:color="auto"/>
              <w:bottom w:val="single" w:sz="4" w:space="0" w:color="auto"/>
              <w:right w:val="nil"/>
            </w:tcBorders>
            <w:shd w:val="clear" w:color="000000" w:fill="FFFFFF"/>
            <w:vAlign w:val="center"/>
            <w:hideMark/>
          </w:tcPr>
          <w:p w14:paraId="3ABC7BDE"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1</w:t>
            </w:r>
          </w:p>
        </w:tc>
        <w:tc>
          <w:tcPr>
            <w:tcW w:w="980" w:type="dxa"/>
            <w:tcBorders>
              <w:top w:val="nil"/>
              <w:left w:val="nil"/>
              <w:bottom w:val="single" w:sz="4" w:space="0" w:color="auto"/>
              <w:right w:val="nil"/>
            </w:tcBorders>
            <w:shd w:val="clear" w:color="000000" w:fill="FFFFFF"/>
            <w:vAlign w:val="center"/>
            <w:hideMark/>
          </w:tcPr>
          <w:p w14:paraId="6BE8BF66"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2 to </w:t>
            </w:r>
            <w:r w:rsidRPr="000E6C55">
              <w:rPr>
                <w:rFonts w:cs="Arial"/>
                <w:sz w:val="22"/>
                <w:szCs w:val="22"/>
              </w:rPr>
              <w:br/>
              <w:t>1</w:t>
            </w:r>
          </w:p>
        </w:tc>
        <w:tc>
          <w:tcPr>
            <w:tcW w:w="980" w:type="dxa"/>
            <w:tcBorders>
              <w:top w:val="nil"/>
              <w:left w:val="nil"/>
              <w:bottom w:val="single" w:sz="4" w:space="0" w:color="auto"/>
              <w:right w:val="nil"/>
            </w:tcBorders>
            <w:shd w:val="clear" w:color="000000" w:fill="FFFFFF"/>
            <w:vAlign w:val="center"/>
            <w:hideMark/>
          </w:tcPr>
          <w:p w14:paraId="5B039E65"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6 to </w:t>
            </w:r>
            <w:r w:rsidRPr="000E6C55">
              <w:rPr>
                <w:rFonts w:cs="Arial"/>
                <w:sz w:val="22"/>
                <w:szCs w:val="22"/>
              </w:rPr>
              <w:br/>
              <w:t>2</w:t>
            </w:r>
          </w:p>
        </w:tc>
        <w:tc>
          <w:tcPr>
            <w:tcW w:w="980" w:type="dxa"/>
            <w:tcBorders>
              <w:top w:val="nil"/>
              <w:left w:val="nil"/>
              <w:bottom w:val="single" w:sz="4" w:space="0" w:color="auto"/>
              <w:right w:val="single" w:sz="4" w:space="0" w:color="auto"/>
            </w:tcBorders>
            <w:shd w:val="clear" w:color="000000" w:fill="FFFFFF"/>
            <w:vAlign w:val="center"/>
            <w:hideMark/>
          </w:tcPr>
          <w:p w14:paraId="34E069B9"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6</w:t>
            </w:r>
          </w:p>
        </w:tc>
        <w:tc>
          <w:tcPr>
            <w:tcW w:w="1320" w:type="dxa"/>
            <w:tcBorders>
              <w:top w:val="nil"/>
              <w:left w:val="nil"/>
              <w:bottom w:val="single" w:sz="4" w:space="0" w:color="auto"/>
              <w:right w:val="single" w:sz="4" w:space="0" w:color="auto"/>
            </w:tcBorders>
            <w:shd w:val="clear" w:color="000000" w:fill="FFFFFF"/>
            <w:vAlign w:val="center"/>
            <w:hideMark/>
          </w:tcPr>
          <w:p w14:paraId="2044C0AA" w14:textId="77777777" w:rsidR="00BA3780" w:rsidRPr="000E6C55" w:rsidRDefault="00BA3780" w:rsidP="0060225F">
            <w:pPr>
              <w:keepNext/>
              <w:spacing w:line="240" w:lineRule="auto"/>
              <w:rPr>
                <w:rFonts w:cs="Arial"/>
                <w:sz w:val="22"/>
                <w:szCs w:val="22"/>
              </w:rPr>
            </w:pPr>
            <w:r w:rsidRPr="000E6C55">
              <w:rPr>
                <w:rFonts w:cs="Arial"/>
                <w:sz w:val="22"/>
                <w:szCs w:val="22"/>
              </w:rPr>
              <w:t> </w:t>
            </w:r>
          </w:p>
        </w:tc>
      </w:tr>
      <w:tr w:rsidR="00BA3780" w:rsidRPr="000E6C55" w14:paraId="3E9A701D" w14:textId="77777777" w:rsidTr="0060225F">
        <w:trPr>
          <w:trHeight w:val="560"/>
        </w:trPr>
        <w:tc>
          <w:tcPr>
            <w:tcW w:w="800" w:type="dxa"/>
            <w:vMerge w:val="restart"/>
            <w:tcBorders>
              <w:top w:val="nil"/>
              <w:left w:val="single" w:sz="4" w:space="0" w:color="auto"/>
              <w:bottom w:val="single" w:sz="4" w:space="0" w:color="000000"/>
              <w:right w:val="nil"/>
            </w:tcBorders>
            <w:shd w:val="clear" w:color="000000" w:fill="FFE3A2"/>
            <w:textDirection w:val="btLr"/>
            <w:vAlign w:val="center"/>
            <w:hideMark/>
          </w:tcPr>
          <w:p w14:paraId="7E3F7BB8" w14:textId="77777777" w:rsidR="00BA3780" w:rsidRPr="000E6C55" w:rsidRDefault="00BA3780" w:rsidP="0060225F">
            <w:pPr>
              <w:keepNext/>
              <w:spacing w:line="240" w:lineRule="auto"/>
              <w:jc w:val="center"/>
              <w:rPr>
                <w:rFonts w:cs="Arial"/>
                <w:sz w:val="22"/>
                <w:szCs w:val="22"/>
              </w:rPr>
            </w:pPr>
            <w:r w:rsidRPr="000E6C55">
              <w:rPr>
                <w:rFonts w:cs="Arial"/>
                <w:sz w:val="22"/>
                <w:szCs w:val="22"/>
              </w:rPr>
              <w:t>Summer</w:t>
            </w:r>
          </w:p>
        </w:tc>
        <w:tc>
          <w:tcPr>
            <w:tcW w:w="2640" w:type="dxa"/>
            <w:tcBorders>
              <w:top w:val="nil"/>
              <w:left w:val="nil"/>
              <w:bottom w:val="nil"/>
              <w:right w:val="single" w:sz="4" w:space="0" w:color="auto"/>
            </w:tcBorders>
            <w:shd w:val="clear" w:color="000000" w:fill="FFE3A2"/>
            <w:vAlign w:val="center"/>
            <w:hideMark/>
          </w:tcPr>
          <w:p w14:paraId="647A3B27"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 xml:space="preserve">Period D: </w:t>
            </w:r>
            <w:r w:rsidRPr="000E6C55">
              <w:rPr>
                <w:rFonts w:cs="Arial"/>
                <w:sz w:val="22"/>
                <w:szCs w:val="22"/>
              </w:rPr>
              <w:t>May &amp; Oct</w:t>
            </w:r>
          </w:p>
        </w:tc>
        <w:tc>
          <w:tcPr>
            <w:tcW w:w="980" w:type="dxa"/>
            <w:tcBorders>
              <w:top w:val="nil"/>
              <w:left w:val="nil"/>
              <w:bottom w:val="nil"/>
              <w:right w:val="nil"/>
            </w:tcBorders>
            <w:shd w:val="clear" w:color="000000" w:fill="FFFFFF"/>
            <w:vAlign w:val="center"/>
            <w:hideMark/>
          </w:tcPr>
          <w:p w14:paraId="403C2401"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18</w:t>
            </w:r>
          </w:p>
        </w:tc>
        <w:tc>
          <w:tcPr>
            <w:tcW w:w="980" w:type="dxa"/>
            <w:tcBorders>
              <w:top w:val="nil"/>
              <w:left w:val="nil"/>
              <w:bottom w:val="nil"/>
              <w:right w:val="nil"/>
            </w:tcBorders>
            <w:shd w:val="clear" w:color="000000" w:fill="FFFFFF"/>
            <w:vAlign w:val="center"/>
            <w:hideMark/>
          </w:tcPr>
          <w:p w14:paraId="5E3E1639"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15 to </w:t>
            </w:r>
            <w:r w:rsidRPr="000E6C55">
              <w:rPr>
                <w:rFonts w:cs="Arial"/>
                <w:sz w:val="22"/>
                <w:szCs w:val="22"/>
              </w:rPr>
              <w:br/>
              <w:t>18</w:t>
            </w:r>
          </w:p>
        </w:tc>
        <w:tc>
          <w:tcPr>
            <w:tcW w:w="980" w:type="dxa"/>
            <w:tcBorders>
              <w:top w:val="nil"/>
              <w:left w:val="nil"/>
              <w:bottom w:val="nil"/>
              <w:right w:val="nil"/>
            </w:tcBorders>
            <w:shd w:val="clear" w:color="000000" w:fill="FFFFFF"/>
            <w:vAlign w:val="center"/>
            <w:hideMark/>
          </w:tcPr>
          <w:p w14:paraId="0EE77D13"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11 to </w:t>
            </w:r>
            <w:r w:rsidRPr="000E6C55">
              <w:rPr>
                <w:rFonts w:cs="Arial"/>
                <w:sz w:val="22"/>
                <w:szCs w:val="22"/>
              </w:rPr>
              <w:br/>
              <w:t>15</w:t>
            </w:r>
          </w:p>
        </w:tc>
        <w:tc>
          <w:tcPr>
            <w:tcW w:w="980" w:type="dxa"/>
            <w:tcBorders>
              <w:top w:val="nil"/>
              <w:left w:val="nil"/>
              <w:bottom w:val="nil"/>
              <w:right w:val="nil"/>
            </w:tcBorders>
            <w:shd w:val="clear" w:color="000000" w:fill="FFFFFF"/>
            <w:vAlign w:val="center"/>
            <w:hideMark/>
          </w:tcPr>
          <w:p w14:paraId="61B5F8C0"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11</w:t>
            </w:r>
          </w:p>
        </w:tc>
        <w:tc>
          <w:tcPr>
            <w:tcW w:w="1320" w:type="dxa"/>
            <w:tcBorders>
              <w:top w:val="nil"/>
              <w:left w:val="single" w:sz="4" w:space="0" w:color="auto"/>
              <w:bottom w:val="nil"/>
              <w:right w:val="single" w:sz="4" w:space="0" w:color="auto"/>
            </w:tcBorders>
            <w:shd w:val="clear" w:color="000000" w:fill="FFFFFF"/>
            <w:vAlign w:val="center"/>
            <w:hideMark/>
          </w:tcPr>
          <w:p w14:paraId="1D14B618" w14:textId="77777777" w:rsidR="00BA3780" w:rsidRPr="000E6C55" w:rsidRDefault="00BA3780" w:rsidP="0060225F">
            <w:pPr>
              <w:keepNext/>
              <w:spacing w:line="240" w:lineRule="auto"/>
              <w:rPr>
                <w:rFonts w:cs="Arial"/>
                <w:sz w:val="22"/>
                <w:szCs w:val="22"/>
              </w:rPr>
            </w:pPr>
            <w:r w:rsidRPr="000E6C55">
              <w:rPr>
                <w:rFonts w:cs="Arial"/>
                <w:sz w:val="22"/>
                <w:szCs w:val="22"/>
              </w:rPr>
              <w:t> </w:t>
            </w:r>
          </w:p>
        </w:tc>
      </w:tr>
      <w:tr w:rsidR="00BA3780" w:rsidRPr="000E6C55" w14:paraId="0317F1AA" w14:textId="77777777" w:rsidTr="0060225F">
        <w:trPr>
          <w:trHeight w:val="560"/>
        </w:trPr>
        <w:tc>
          <w:tcPr>
            <w:tcW w:w="800" w:type="dxa"/>
            <w:vMerge/>
            <w:tcBorders>
              <w:top w:val="nil"/>
              <w:left w:val="single" w:sz="4" w:space="0" w:color="auto"/>
              <w:bottom w:val="single" w:sz="4" w:space="0" w:color="000000"/>
              <w:right w:val="nil"/>
            </w:tcBorders>
            <w:vAlign w:val="center"/>
            <w:hideMark/>
          </w:tcPr>
          <w:p w14:paraId="45CBE79E" w14:textId="77777777" w:rsidR="00BA3780" w:rsidRPr="000E6C55" w:rsidRDefault="00BA3780" w:rsidP="0060225F">
            <w:pPr>
              <w:keepNext/>
              <w:spacing w:line="240" w:lineRule="auto"/>
              <w:rPr>
                <w:rFonts w:cs="Arial"/>
                <w:sz w:val="22"/>
                <w:szCs w:val="22"/>
              </w:rPr>
            </w:pPr>
          </w:p>
        </w:tc>
        <w:tc>
          <w:tcPr>
            <w:tcW w:w="2640" w:type="dxa"/>
            <w:tcBorders>
              <w:top w:val="nil"/>
              <w:left w:val="nil"/>
              <w:bottom w:val="nil"/>
              <w:right w:val="single" w:sz="4" w:space="0" w:color="auto"/>
            </w:tcBorders>
            <w:shd w:val="clear" w:color="000000" w:fill="FFE3A2"/>
            <w:vAlign w:val="center"/>
            <w:hideMark/>
          </w:tcPr>
          <w:p w14:paraId="3A81857F"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Period E:</w:t>
            </w:r>
            <w:r w:rsidRPr="000E6C55">
              <w:rPr>
                <w:rFonts w:cs="Arial"/>
                <w:sz w:val="22"/>
                <w:szCs w:val="22"/>
              </w:rPr>
              <w:t xml:space="preserve"> Jun &amp; Sept</w:t>
            </w:r>
          </w:p>
        </w:tc>
        <w:tc>
          <w:tcPr>
            <w:tcW w:w="980" w:type="dxa"/>
            <w:tcBorders>
              <w:top w:val="nil"/>
              <w:left w:val="nil"/>
              <w:bottom w:val="nil"/>
              <w:right w:val="nil"/>
            </w:tcBorders>
            <w:shd w:val="clear" w:color="000000" w:fill="EDFFC4"/>
            <w:vAlign w:val="center"/>
            <w:hideMark/>
          </w:tcPr>
          <w:p w14:paraId="15EB1E99"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23</w:t>
            </w:r>
          </w:p>
        </w:tc>
        <w:tc>
          <w:tcPr>
            <w:tcW w:w="980" w:type="dxa"/>
            <w:tcBorders>
              <w:top w:val="nil"/>
              <w:left w:val="nil"/>
              <w:bottom w:val="nil"/>
              <w:right w:val="nil"/>
            </w:tcBorders>
            <w:shd w:val="clear" w:color="000000" w:fill="EDFFC4"/>
            <w:vAlign w:val="center"/>
            <w:hideMark/>
          </w:tcPr>
          <w:p w14:paraId="780195AA"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980" w:type="dxa"/>
            <w:tcBorders>
              <w:top w:val="nil"/>
              <w:left w:val="nil"/>
              <w:bottom w:val="nil"/>
              <w:right w:val="nil"/>
            </w:tcBorders>
            <w:shd w:val="clear" w:color="000000" w:fill="EDFFC4"/>
            <w:vAlign w:val="center"/>
            <w:hideMark/>
          </w:tcPr>
          <w:p w14:paraId="6FD7A2E6"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16 to </w:t>
            </w:r>
            <w:r w:rsidRPr="000E6C55">
              <w:rPr>
                <w:rFonts w:cs="Arial"/>
                <w:sz w:val="22"/>
                <w:szCs w:val="22"/>
              </w:rPr>
              <w:br/>
              <w:t>21</w:t>
            </w:r>
          </w:p>
        </w:tc>
        <w:tc>
          <w:tcPr>
            <w:tcW w:w="980" w:type="dxa"/>
            <w:tcBorders>
              <w:top w:val="nil"/>
              <w:left w:val="nil"/>
              <w:bottom w:val="nil"/>
              <w:right w:val="nil"/>
            </w:tcBorders>
            <w:shd w:val="clear" w:color="000000" w:fill="EDFFC4"/>
            <w:vAlign w:val="center"/>
            <w:hideMark/>
          </w:tcPr>
          <w:p w14:paraId="3E915368"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16</w:t>
            </w:r>
          </w:p>
        </w:tc>
        <w:tc>
          <w:tcPr>
            <w:tcW w:w="1320" w:type="dxa"/>
            <w:tcBorders>
              <w:top w:val="nil"/>
              <w:left w:val="single" w:sz="4" w:space="0" w:color="auto"/>
              <w:bottom w:val="nil"/>
              <w:right w:val="single" w:sz="4" w:space="0" w:color="auto"/>
            </w:tcBorders>
            <w:shd w:val="clear" w:color="000000" w:fill="FFFFFF"/>
            <w:vAlign w:val="center"/>
            <w:hideMark/>
          </w:tcPr>
          <w:p w14:paraId="68398E60" w14:textId="77777777" w:rsidR="00BA3780" w:rsidRPr="000E6C55" w:rsidRDefault="00BA3780" w:rsidP="0060225F">
            <w:pPr>
              <w:keepNext/>
              <w:spacing w:line="240" w:lineRule="auto"/>
              <w:jc w:val="center"/>
              <w:rPr>
                <w:rFonts w:cs="Arial"/>
                <w:sz w:val="22"/>
                <w:szCs w:val="22"/>
              </w:rPr>
            </w:pPr>
            <w:r w:rsidRPr="000E6C55">
              <w:rPr>
                <w:rFonts w:cs="Arial"/>
                <w:sz w:val="22"/>
                <w:szCs w:val="22"/>
              </w:rPr>
              <w:t>All Days</w:t>
            </w:r>
          </w:p>
        </w:tc>
      </w:tr>
      <w:tr w:rsidR="00BA3780" w:rsidRPr="000E6C55" w14:paraId="04F3882B" w14:textId="77777777" w:rsidTr="0060225F">
        <w:trPr>
          <w:trHeight w:val="560"/>
        </w:trPr>
        <w:tc>
          <w:tcPr>
            <w:tcW w:w="800" w:type="dxa"/>
            <w:vMerge/>
            <w:tcBorders>
              <w:top w:val="nil"/>
              <w:left w:val="single" w:sz="4" w:space="0" w:color="auto"/>
              <w:bottom w:val="single" w:sz="4" w:space="0" w:color="000000"/>
              <w:right w:val="nil"/>
            </w:tcBorders>
            <w:vAlign w:val="center"/>
            <w:hideMark/>
          </w:tcPr>
          <w:p w14:paraId="489EB2BE" w14:textId="77777777" w:rsidR="00BA3780" w:rsidRPr="000E6C55" w:rsidRDefault="00BA3780" w:rsidP="0060225F">
            <w:pPr>
              <w:keepNext/>
              <w:spacing w:line="240" w:lineRule="auto"/>
              <w:rPr>
                <w:rFonts w:cs="Arial"/>
                <w:sz w:val="22"/>
                <w:szCs w:val="22"/>
              </w:rPr>
            </w:pPr>
          </w:p>
        </w:tc>
        <w:tc>
          <w:tcPr>
            <w:tcW w:w="2640" w:type="dxa"/>
            <w:tcBorders>
              <w:top w:val="nil"/>
              <w:left w:val="nil"/>
              <w:bottom w:val="single" w:sz="4" w:space="0" w:color="auto"/>
              <w:right w:val="single" w:sz="4" w:space="0" w:color="auto"/>
            </w:tcBorders>
            <w:shd w:val="clear" w:color="000000" w:fill="FFE3A2"/>
            <w:vAlign w:val="center"/>
            <w:hideMark/>
          </w:tcPr>
          <w:p w14:paraId="0B3BEE68" w14:textId="77777777" w:rsidR="00BA3780" w:rsidRPr="000E6C55" w:rsidRDefault="00BA3780" w:rsidP="0060225F">
            <w:pPr>
              <w:keepNext/>
              <w:spacing w:line="240" w:lineRule="auto"/>
              <w:jc w:val="center"/>
              <w:rPr>
                <w:rFonts w:cs="Arial"/>
                <w:sz w:val="22"/>
                <w:szCs w:val="22"/>
              </w:rPr>
            </w:pPr>
            <w:r w:rsidRPr="000E6C55">
              <w:rPr>
                <w:rFonts w:cs="Arial"/>
                <w:b/>
                <w:bCs/>
                <w:sz w:val="22"/>
                <w:szCs w:val="22"/>
              </w:rPr>
              <w:t>Period F:</w:t>
            </w:r>
            <w:r w:rsidRPr="000E6C55">
              <w:rPr>
                <w:rFonts w:cs="Arial"/>
                <w:sz w:val="22"/>
                <w:szCs w:val="22"/>
              </w:rPr>
              <w:t xml:space="preserve"> Jul &amp; Aug</w:t>
            </w:r>
          </w:p>
        </w:tc>
        <w:tc>
          <w:tcPr>
            <w:tcW w:w="980" w:type="dxa"/>
            <w:tcBorders>
              <w:top w:val="nil"/>
              <w:left w:val="nil"/>
              <w:bottom w:val="single" w:sz="4" w:space="0" w:color="auto"/>
              <w:right w:val="nil"/>
            </w:tcBorders>
            <w:shd w:val="clear" w:color="000000" w:fill="FFFFFF"/>
            <w:vAlign w:val="center"/>
            <w:hideMark/>
          </w:tcPr>
          <w:p w14:paraId="1535CBEC" w14:textId="77777777" w:rsidR="00BA3780" w:rsidRPr="000E6C55" w:rsidRDefault="00BA3780" w:rsidP="0060225F">
            <w:pPr>
              <w:keepNext/>
              <w:spacing w:line="240" w:lineRule="auto"/>
              <w:jc w:val="center"/>
              <w:rPr>
                <w:rFonts w:cs="Arial"/>
                <w:sz w:val="22"/>
                <w:szCs w:val="22"/>
              </w:rPr>
            </w:pPr>
            <w:r w:rsidRPr="000E6C55">
              <w:rPr>
                <w:rFonts w:cs="Arial"/>
                <w:sz w:val="22"/>
                <w:szCs w:val="22"/>
              </w:rPr>
              <w:t>&gt;= 23</w:t>
            </w:r>
          </w:p>
        </w:tc>
        <w:tc>
          <w:tcPr>
            <w:tcW w:w="980" w:type="dxa"/>
            <w:tcBorders>
              <w:top w:val="nil"/>
              <w:left w:val="nil"/>
              <w:bottom w:val="single" w:sz="4" w:space="0" w:color="auto"/>
              <w:right w:val="nil"/>
            </w:tcBorders>
            <w:shd w:val="clear" w:color="000000" w:fill="FFFFFF"/>
            <w:vAlign w:val="center"/>
            <w:hideMark/>
          </w:tcPr>
          <w:p w14:paraId="4BDCE2CB"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980" w:type="dxa"/>
            <w:tcBorders>
              <w:top w:val="nil"/>
              <w:left w:val="nil"/>
              <w:bottom w:val="single" w:sz="4" w:space="0" w:color="auto"/>
              <w:right w:val="nil"/>
            </w:tcBorders>
            <w:shd w:val="clear" w:color="000000" w:fill="FFFFFF"/>
            <w:vAlign w:val="center"/>
            <w:hideMark/>
          </w:tcPr>
          <w:p w14:paraId="73F55937" w14:textId="77777777" w:rsidR="00BA3780" w:rsidRPr="000E6C55" w:rsidRDefault="00BA3780" w:rsidP="0060225F">
            <w:pPr>
              <w:keepNext/>
              <w:spacing w:line="240" w:lineRule="auto"/>
              <w:jc w:val="center"/>
              <w:rPr>
                <w:rFonts w:cs="Arial"/>
                <w:sz w:val="22"/>
                <w:szCs w:val="22"/>
              </w:rPr>
            </w:pPr>
            <w:r w:rsidRPr="000E6C55">
              <w:rPr>
                <w:rFonts w:cs="Arial"/>
                <w:sz w:val="22"/>
                <w:szCs w:val="22"/>
              </w:rPr>
              <w:t xml:space="preserve">20 to </w:t>
            </w:r>
            <w:r w:rsidRPr="000E6C55">
              <w:rPr>
                <w:rFonts w:cs="Arial"/>
                <w:sz w:val="22"/>
                <w:szCs w:val="22"/>
              </w:rPr>
              <w:br/>
              <w:t>21</w:t>
            </w:r>
          </w:p>
        </w:tc>
        <w:tc>
          <w:tcPr>
            <w:tcW w:w="980" w:type="dxa"/>
            <w:tcBorders>
              <w:top w:val="nil"/>
              <w:left w:val="nil"/>
              <w:bottom w:val="single" w:sz="4" w:space="0" w:color="auto"/>
              <w:right w:val="nil"/>
            </w:tcBorders>
            <w:shd w:val="clear" w:color="000000" w:fill="FFFFFF"/>
            <w:vAlign w:val="center"/>
            <w:hideMark/>
          </w:tcPr>
          <w:p w14:paraId="266C7A29" w14:textId="77777777" w:rsidR="00BA3780" w:rsidRPr="000E6C55" w:rsidRDefault="00BA3780" w:rsidP="0060225F">
            <w:pPr>
              <w:keepNext/>
              <w:spacing w:line="240" w:lineRule="auto"/>
              <w:jc w:val="center"/>
              <w:rPr>
                <w:rFonts w:cs="Arial"/>
                <w:sz w:val="22"/>
                <w:szCs w:val="22"/>
              </w:rPr>
            </w:pPr>
            <w:r w:rsidRPr="000E6C55">
              <w:rPr>
                <w:rFonts w:cs="Arial"/>
                <w:sz w:val="22"/>
                <w:szCs w:val="22"/>
              </w:rPr>
              <w:t>&lt; 20</w:t>
            </w:r>
          </w:p>
        </w:tc>
        <w:tc>
          <w:tcPr>
            <w:tcW w:w="1320" w:type="dxa"/>
            <w:tcBorders>
              <w:top w:val="nil"/>
              <w:left w:val="single" w:sz="4" w:space="0" w:color="auto"/>
              <w:bottom w:val="single" w:sz="4" w:space="0" w:color="auto"/>
              <w:right w:val="single" w:sz="4" w:space="0" w:color="auto"/>
            </w:tcBorders>
            <w:shd w:val="clear" w:color="000000" w:fill="FFFFFF"/>
            <w:vAlign w:val="center"/>
            <w:hideMark/>
          </w:tcPr>
          <w:p w14:paraId="2A972F04" w14:textId="77777777" w:rsidR="00BA3780" w:rsidRPr="000E6C55" w:rsidRDefault="00BA3780" w:rsidP="0060225F">
            <w:pPr>
              <w:keepNext/>
              <w:spacing w:line="240" w:lineRule="auto"/>
              <w:rPr>
                <w:rFonts w:cs="Arial"/>
                <w:sz w:val="22"/>
                <w:szCs w:val="22"/>
              </w:rPr>
            </w:pPr>
            <w:r w:rsidRPr="000E6C55">
              <w:rPr>
                <w:rFonts w:cs="Arial"/>
                <w:sz w:val="22"/>
                <w:szCs w:val="22"/>
              </w:rPr>
              <w:t> </w:t>
            </w:r>
          </w:p>
        </w:tc>
      </w:tr>
    </w:tbl>
    <w:p w14:paraId="0DBB99B0" w14:textId="77777777" w:rsidR="00BA3780" w:rsidRDefault="00BA3780" w:rsidP="00BA3780">
      <w:r>
        <w:t xml:space="preserve"> </w:t>
      </w:r>
    </w:p>
    <w:p w14:paraId="7103B406" w14:textId="77777777" w:rsidR="00BA3780" w:rsidRDefault="00BA3780" w:rsidP="00BA3780">
      <w:r>
        <w:t>The thresholds are selected with reference to the pre-program period observed temperatures. Specifically, thresholds are selected such that, in the pre-program period, approximately:</w:t>
      </w:r>
    </w:p>
    <w:p w14:paraId="361E4823" w14:textId="77777777" w:rsidR="00BA3780" w:rsidRDefault="00BA3780" w:rsidP="00BA3780">
      <w:pPr>
        <w:pStyle w:val="ListParagraph"/>
        <w:numPr>
          <w:ilvl w:val="0"/>
          <w:numId w:val="34"/>
        </w:numPr>
      </w:pPr>
      <w:r>
        <w:t>10% of non-holiday weekdays are type 1 (most extreme temperatures)</w:t>
      </w:r>
    </w:p>
    <w:p w14:paraId="42C2273A" w14:textId="77777777" w:rsidR="00BA3780" w:rsidRDefault="00BA3780" w:rsidP="00BA3780">
      <w:pPr>
        <w:pStyle w:val="ListParagraph"/>
        <w:numPr>
          <w:ilvl w:val="0"/>
          <w:numId w:val="34"/>
        </w:numPr>
      </w:pPr>
      <w:r>
        <w:t>20% of non-holiday weekdays are type 2</w:t>
      </w:r>
    </w:p>
    <w:p w14:paraId="2D67C4F9" w14:textId="77777777" w:rsidR="00BA3780" w:rsidRDefault="00BA3780" w:rsidP="00BA3780">
      <w:pPr>
        <w:pStyle w:val="ListParagraph"/>
        <w:numPr>
          <w:ilvl w:val="0"/>
          <w:numId w:val="34"/>
        </w:numPr>
      </w:pPr>
      <w:r>
        <w:t>30% of non-holiday weekdays are type 3</w:t>
      </w:r>
    </w:p>
    <w:p w14:paraId="00FC4353" w14:textId="77777777" w:rsidR="00BA3780" w:rsidRDefault="00BA3780" w:rsidP="00BA3780">
      <w:pPr>
        <w:pStyle w:val="ListParagraph"/>
        <w:numPr>
          <w:ilvl w:val="0"/>
          <w:numId w:val="34"/>
        </w:numPr>
      </w:pPr>
      <w:r>
        <w:t>40% of non-holiday weekdays are type 4 (mildest seasonal days)</w:t>
      </w:r>
    </w:p>
    <w:p w14:paraId="68AF89D6" w14:textId="77777777" w:rsidR="00BA3780" w:rsidRDefault="00BA3780" w:rsidP="00BA3780"/>
    <w:p w14:paraId="3147C9E9" w14:textId="77777777" w:rsidR="00BA3780" w:rsidRDefault="00BA3780" w:rsidP="00BA3780">
      <w:r>
        <w:t>Once day-types are assigned to each day, each customer’s 720 element (360 in the summer, 360 in the winter) vector of pre-program period consumption is calculated by averaging their consumption, grouped by hour of day and day-type.</w:t>
      </w:r>
    </w:p>
    <w:p w14:paraId="2A19B58E" w14:textId="77777777" w:rsidR="00BA3780" w:rsidRDefault="00BA3780" w:rsidP="00BA3780"/>
    <w:p w14:paraId="35ACD0AE" w14:textId="46FC0459" w:rsidR="00F8785F" w:rsidRDefault="00BA3780" w:rsidP="00BA3780">
      <w:r>
        <w:t xml:space="preserve">These are then associated with the appropriate program period observation by defining the program period day-types based on the criteria in </w:t>
      </w:r>
      <w:r>
        <w:fldChar w:fldCharType="begin"/>
      </w:r>
      <w:r>
        <w:instrText xml:space="preserve"> REF _Ref2004212 \h </w:instrText>
      </w:r>
      <w:r>
        <w:fldChar w:fldCharType="separate"/>
      </w:r>
      <w:r w:rsidR="00413291">
        <w:t xml:space="preserve">Figure </w:t>
      </w:r>
      <w:r w:rsidR="00413291">
        <w:rPr>
          <w:noProof/>
        </w:rPr>
        <w:t>38</w:t>
      </w:r>
      <w:r>
        <w:fldChar w:fldCharType="end"/>
      </w:r>
      <w:r>
        <w:t>, above, and joining the pre-period values based on that and the hour of day.</w:t>
      </w:r>
    </w:p>
    <w:p w14:paraId="37546514" w14:textId="2AA5B6C1" w:rsidR="005E277C" w:rsidRDefault="005E277C" w:rsidP="005E277C">
      <w:pPr>
        <w:pStyle w:val="Heading6"/>
      </w:pPr>
      <w:bookmarkStart w:id="157" w:name="_Ref7558459"/>
      <w:bookmarkStart w:id="158" w:name="_Toc8393608"/>
      <w:r>
        <w:t>Participant Incentives and the Question of Bias</w:t>
      </w:r>
      <w:bookmarkEnd w:id="157"/>
      <w:bookmarkEnd w:id="158"/>
    </w:p>
    <w:p w14:paraId="0E927A63" w14:textId="77777777" w:rsidR="005E277C" w:rsidRDefault="005E277C" w:rsidP="005E277C">
      <w:pPr>
        <w:pStyle w:val="ListParagraph"/>
        <w:ind w:left="0"/>
      </w:pPr>
      <w:r>
        <w:t>Following its review of Navigant’s interim impact evaluation of the LH RPP pilot, the OEB requested that Navigant respond to the following:</w:t>
      </w:r>
    </w:p>
    <w:p w14:paraId="246DE376" w14:textId="77777777" w:rsidR="005E277C" w:rsidRDefault="005E277C" w:rsidP="005E277C">
      <w:pPr>
        <w:pStyle w:val="ListParagraph"/>
        <w:ind w:left="0"/>
      </w:pPr>
    </w:p>
    <w:p w14:paraId="26BBE1E3" w14:textId="77777777" w:rsidR="005E277C" w:rsidRDefault="005E277C" w:rsidP="005E277C">
      <w:pPr>
        <w:pStyle w:val="ListParagraph"/>
        <w:ind w:left="1440" w:right="720"/>
        <w:rPr>
          <w:i/>
        </w:rPr>
      </w:pPr>
      <w:r w:rsidRPr="00FE42D3">
        <w:rPr>
          <w:i/>
        </w:rPr>
        <w:t>Please provide a discussion of the $25/$75 incentive and any impact offering that incentive might have by introducing or inflating customer bias.</w:t>
      </w:r>
    </w:p>
    <w:p w14:paraId="348AB970" w14:textId="77777777" w:rsidR="005E277C" w:rsidRDefault="005E277C" w:rsidP="005E277C"/>
    <w:p w14:paraId="3260D438" w14:textId="0BE5EEBC" w:rsidR="005E277C" w:rsidRDefault="005E277C" w:rsidP="005E277C">
      <w:r>
        <w:t>In the context of pilot program evaluation “bias” can take on different meanings, but the two most common definitions used are that of “omitted variable bias”, and “sample bias”.</w:t>
      </w:r>
    </w:p>
    <w:p w14:paraId="0F044C8F" w14:textId="06A914F8" w:rsidR="005E277C" w:rsidRDefault="005E277C" w:rsidP="005E277C"/>
    <w:p w14:paraId="1F96241F" w14:textId="41F01718" w:rsidR="005E277C" w:rsidRDefault="005E277C" w:rsidP="005E277C">
      <w:pPr>
        <w:rPr>
          <w:b/>
        </w:rPr>
      </w:pPr>
      <w:r>
        <w:rPr>
          <w:b/>
        </w:rPr>
        <w:t>Omitted Variable Bias</w:t>
      </w:r>
    </w:p>
    <w:p w14:paraId="1F219A7D" w14:textId="18E5B9CB" w:rsidR="005E277C" w:rsidRDefault="005E277C" w:rsidP="005E277C">
      <w:pPr>
        <w:ind w:right="720"/>
      </w:pPr>
      <w:r>
        <w:t xml:space="preserve">The question here is this: </w:t>
      </w:r>
      <w:r w:rsidRPr="00FE42D3">
        <w:rPr>
          <w:i/>
        </w:rPr>
        <w:t>is there some systematic way in which the treatment and control groups are different from one another that has not been controlled for</w:t>
      </w:r>
      <w:r>
        <w:t xml:space="preserve"> (typically either through the selection of the control group or the inclusion of a variable on the right-hand-side of the regression)?</w:t>
      </w:r>
    </w:p>
    <w:p w14:paraId="40156F32" w14:textId="77777777" w:rsidR="005E277C" w:rsidRDefault="005E277C" w:rsidP="005E277C">
      <w:pPr>
        <w:ind w:right="720"/>
      </w:pPr>
    </w:p>
    <w:p w14:paraId="673065E7" w14:textId="7494EDF9" w:rsidR="005E277C" w:rsidRDefault="005E277C" w:rsidP="005E277C">
      <w:pPr>
        <w:ind w:right="720"/>
      </w:pPr>
      <w:r>
        <w:t xml:space="preserve">Failing to control for some systematic difference between the two groups </w:t>
      </w:r>
      <w:r>
        <w:rPr>
          <w:u w:val="single"/>
        </w:rPr>
        <w:t>that is correlated with the treatment effect</w:t>
      </w:r>
      <w:r>
        <w:t xml:space="preserve"> would lead to the (erroneous) attribution of that systematic difference to the treatment effect, biasing results.</w:t>
      </w:r>
    </w:p>
    <w:p w14:paraId="107A6791" w14:textId="77777777" w:rsidR="005E277C" w:rsidRDefault="005E277C" w:rsidP="005E277C">
      <w:pPr>
        <w:ind w:right="720"/>
      </w:pPr>
    </w:p>
    <w:p w14:paraId="32B2D7D3" w14:textId="427681FD" w:rsidR="005E277C" w:rsidRDefault="005E277C" w:rsidP="005E277C">
      <w:r>
        <w:t>Since the offer of the incentive is made to all program applicants (treatment and controls), there is no consistent difference here between the two groups, and therefore it is possible to rule out that the offer of the incentive has biased estimated impacts. This is one of the great benefits of a randomized control trial.</w:t>
      </w:r>
    </w:p>
    <w:p w14:paraId="576593EF" w14:textId="62625597" w:rsidR="005E277C" w:rsidRDefault="005E277C" w:rsidP="005E277C">
      <w:pPr>
        <w:rPr>
          <w:b/>
        </w:rPr>
      </w:pPr>
    </w:p>
    <w:p w14:paraId="717A6A01" w14:textId="4D0A1CC0" w:rsidR="005E277C" w:rsidRDefault="005E277C" w:rsidP="005E277C">
      <w:pPr>
        <w:rPr>
          <w:b/>
        </w:rPr>
      </w:pPr>
      <w:r w:rsidRPr="00413291">
        <w:rPr>
          <w:b/>
        </w:rPr>
        <w:t>Sample Bias</w:t>
      </w:r>
    </w:p>
    <w:p w14:paraId="08B6BEEF" w14:textId="1AAF5E4E" w:rsidR="005E277C" w:rsidRDefault="005E277C" w:rsidP="005E277C">
      <w:pPr>
        <w:ind w:right="720"/>
      </w:pPr>
      <w:r>
        <w:t xml:space="preserve">Sample bias identifies an instance in which a sample collected for a study is not representative of a broader population to which sample impacts are to be extrapolated. </w:t>
      </w:r>
    </w:p>
    <w:p w14:paraId="54C18431" w14:textId="77777777" w:rsidR="005E277C" w:rsidRDefault="005E277C" w:rsidP="005E277C">
      <w:pPr>
        <w:ind w:right="720"/>
      </w:pPr>
    </w:p>
    <w:p w14:paraId="65C79803" w14:textId="7C1A8741" w:rsidR="005E277C" w:rsidRDefault="005E277C" w:rsidP="005E277C">
      <w:pPr>
        <w:ind w:right="720"/>
      </w:pPr>
      <w:r>
        <w:t xml:space="preserve">By making the pilot opt-in (as opposed to mandatory), it is biased by construction. Since only a sample of the population will volunteer to participate, participant self-selection means that it is probable that unobservable characteristics (characteristics, like enthusiasm for energy conservation, that may be correlated with electricity consumption) of the sample would not match those of the overall residential electricity consumer population. </w:t>
      </w:r>
    </w:p>
    <w:p w14:paraId="20C3C97F" w14:textId="77777777" w:rsidR="005E277C" w:rsidRDefault="005E277C" w:rsidP="005E277C">
      <w:pPr>
        <w:ind w:right="720"/>
      </w:pPr>
    </w:p>
    <w:p w14:paraId="351F85FB" w14:textId="66B96446" w:rsidR="005E277C" w:rsidRDefault="005E277C" w:rsidP="005E277C">
      <w:pPr>
        <w:ind w:right="720"/>
        <w:rPr>
          <w:u w:val="single"/>
        </w:rPr>
      </w:pPr>
      <w:r>
        <w:t xml:space="preserve">The LH RPP pilot impacts cannot be considered representative of what could be achieved by </w:t>
      </w:r>
      <w:r w:rsidRPr="001777C5">
        <w:rPr>
          <w:i/>
        </w:rPr>
        <w:t>imposing</w:t>
      </w:r>
      <w:r>
        <w:t xml:space="preserve"> the pilot treatments on the entire population but </w:t>
      </w:r>
      <w:r w:rsidRPr="00224464">
        <w:t>can</w:t>
      </w:r>
      <w:r>
        <w:t xml:space="preserve"> be considered representative of what could be achieved by </w:t>
      </w:r>
      <w:r w:rsidRPr="00224464">
        <w:rPr>
          <w:i/>
        </w:rPr>
        <w:t>offering</w:t>
      </w:r>
      <w:r>
        <w:t xml:space="preserve"> the same pilot treatments to the overall population, with the same incentives. </w:t>
      </w:r>
      <w:r w:rsidRPr="00224464">
        <w:rPr>
          <w:u w:val="single"/>
        </w:rPr>
        <w:t>In other words, the question of sample bias depends entirely on the context to which one wishes to apply the impacts.</w:t>
      </w:r>
    </w:p>
    <w:p w14:paraId="7148B5AE" w14:textId="77777777" w:rsidR="005E277C" w:rsidRPr="00224464" w:rsidRDefault="005E277C" w:rsidP="005E277C">
      <w:pPr>
        <w:ind w:right="720"/>
        <w:rPr>
          <w:u w:val="single"/>
        </w:rPr>
      </w:pPr>
    </w:p>
    <w:p w14:paraId="1563AE53" w14:textId="217B2CF3" w:rsidR="005E277C" w:rsidRDefault="005E277C" w:rsidP="005E277C">
      <w:pPr>
        <w:ind w:right="720"/>
      </w:pPr>
      <w:r>
        <w:t xml:space="preserve">The experience of the pilot provides valuable information, when considering a wider implementation, particularly on the question of incentives. Consumers appear to be relatively risk-averse when it comes to alternative rate structures: prior to offering the incentive, there were concerns that London Hydro would not be able to attain the enrollment required for the participant group, let alone the control group. </w:t>
      </w:r>
    </w:p>
    <w:p w14:paraId="0D781B7B" w14:textId="77777777" w:rsidR="005E277C" w:rsidRDefault="005E277C" w:rsidP="005E277C">
      <w:pPr>
        <w:ind w:right="720"/>
      </w:pPr>
    </w:p>
    <w:p w14:paraId="2C236C36" w14:textId="282B6062" w:rsidR="005E277C" w:rsidRDefault="005E277C" w:rsidP="005E277C">
      <w:pPr>
        <w:ind w:right="720"/>
      </w:pPr>
      <w:r>
        <w:t xml:space="preserve">In effect, the incentive is a form of first-year bill protection. The incentive protects a customer from some of the down-side risk of the rate but does so in a fashion that interferes only minimally with the price signal on a day-to-day basis. The key process lesson here is that </w:t>
      </w:r>
      <w:r w:rsidRPr="00224464">
        <w:rPr>
          <w:u w:val="single"/>
        </w:rPr>
        <w:t>enticing consumers to try something different requires offering them a risk-free trial</w:t>
      </w:r>
      <w:r>
        <w:t xml:space="preserve">. This is not an isolated observation, </w:t>
      </w:r>
      <w:r>
        <w:lastRenderedPageBreak/>
        <w:t>but one borne out by other programs in the utility rate space, as well as numerous other industries.</w:t>
      </w:r>
    </w:p>
    <w:p w14:paraId="231D4C38" w14:textId="77777777" w:rsidR="005E277C" w:rsidRDefault="005E277C" w:rsidP="005E277C">
      <w:pPr>
        <w:ind w:right="720"/>
      </w:pPr>
    </w:p>
    <w:p w14:paraId="17FDCB4B" w14:textId="65FB2716" w:rsidR="005E277C" w:rsidRPr="00413291" w:rsidRDefault="005E277C">
      <w:pPr>
        <w:rPr>
          <w:b/>
        </w:rPr>
      </w:pPr>
      <w:r>
        <w:t>Consider, for example, OG&amp;E’s SmartHours program. This is a variable peak pricing program with a quite aggressive price differential – a critical peak price more than eight times the Off-Peak price. And yet, despite this, the program maintains an enrollment of approximately 120,000 customers</w:t>
      </w:r>
      <w:r>
        <w:rPr>
          <w:rStyle w:val="FootnoteReference"/>
          <w:rFonts w:eastAsiaTheme="majorEastAsia"/>
        </w:rPr>
        <w:footnoteReference w:id="44"/>
      </w:r>
      <w:r>
        <w:t xml:space="preserve">, or approximately 15% of its </w:t>
      </w:r>
      <w:r w:rsidRPr="00247DA6">
        <w:rPr>
          <w:i/>
        </w:rPr>
        <w:t>total</w:t>
      </w:r>
      <w:r>
        <w:t xml:space="preserve"> customer count.</w:t>
      </w:r>
      <w:r>
        <w:rPr>
          <w:rStyle w:val="FootnoteReference"/>
          <w:rFonts w:eastAsiaTheme="majorEastAsia"/>
        </w:rPr>
        <w:footnoteReference w:id="45"/>
      </w:r>
      <w:r>
        <w:t xml:space="preserve"> A key feature of the program is first-year bill protection – a risk-free trial of the alternative rate.</w:t>
      </w:r>
    </w:p>
    <w:sectPr w:rsidR="005E277C" w:rsidRPr="00413291" w:rsidSect="002021E7">
      <w:headerReference w:type="default" r:id="rId104"/>
      <w:footerReference w:type="default" r:id="rId10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B9242" w14:textId="77777777" w:rsidR="00EE5A5D" w:rsidRDefault="00EE5A5D">
      <w:r>
        <w:separator/>
      </w:r>
    </w:p>
  </w:endnote>
  <w:endnote w:type="continuationSeparator" w:id="0">
    <w:p w14:paraId="1DD8791E" w14:textId="77777777" w:rsidR="00EE5A5D" w:rsidRDefault="00EE5A5D">
      <w:r>
        <w:continuationSeparator/>
      </w:r>
    </w:p>
  </w:endnote>
  <w:endnote w:type="continuationNotice" w:id="1">
    <w:p w14:paraId="04F880B7" w14:textId="77777777" w:rsidR="00EE5A5D" w:rsidRDefault="00EE5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2852" w14:textId="77777777" w:rsidR="00EE5A5D" w:rsidRPr="005C23B8" w:rsidRDefault="00EE5A5D" w:rsidP="00CA09A7">
    <w:pPr>
      <w:pStyle w:val="Footer"/>
      <w:ind w:right="360"/>
      <w:rPr>
        <w:rFonts w:cs="Arial"/>
        <w:sz w:val="16"/>
      </w:rPr>
    </w:pPr>
  </w:p>
  <w:p w14:paraId="6D1527FA" w14:textId="7786AD01" w:rsidR="00EE5A5D" w:rsidRPr="00CA09A7" w:rsidRDefault="00EE5A5D" w:rsidP="00CA09A7">
    <w:pPr>
      <w:pStyle w:val="Footer"/>
      <w:tabs>
        <w:tab w:val="right" w:pos="9270"/>
      </w:tabs>
      <w:ind w:right="18"/>
      <w:rPr>
        <w:rFonts w:cs="Arial"/>
        <w:color w:val="555759" w:themeColor="text2"/>
        <w:sz w:val="16"/>
      </w:rPr>
    </w:pPr>
    <w:r w:rsidRPr="00CA09A7">
      <w:rPr>
        <w:rFonts w:cs="Arial"/>
        <w:color w:val="555759" w:themeColor="text2"/>
        <w:sz w:val="16"/>
      </w:rPr>
      <w:t>©201</w:t>
    </w:r>
    <w:r>
      <w:rPr>
        <w:rFonts w:cs="Arial"/>
        <w:color w:val="555759" w:themeColor="text2"/>
        <w:sz w:val="16"/>
      </w:rPr>
      <w:t>9</w:t>
    </w:r>
    <w:r w:rsidRPr="00CA09A7">
      <w:rPr>
        <w:rFonts w:cs="Arial"/>
        <w:color w:val="555759" w:themeColor="text2"/>
        <w:sz w:val="16"/>
      </w:rPr>
      <w:t xml:space="preserve"> Navigant Consulting,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700B" w14:textId="77777777" w:rsidR="00EE5A5D" w:rsidRPr="00083825" w:rsidRDefault="00EE5A5D" w:rsidP="001412F5">
    <w:pPr>
      <w:pStyle w:val="Footer"/>
      <w:ind w:right="360"/>
      <w:rPr>
        <w:rFonts w:cs="Arial"/>
        <w:color w:val="555759" w:themeColor="text2"/>
        <w:sz w:val="16"/>
      </w:rPr>
    </w:pPr>
  </w:p>
  <w:p w14:paraId="591D324E" w14:textId="3A4F4315" w:rsidR="00EE5A5D" w:rsidRPr="00083825" w:rsidRDefault="00EE5A5D" w:rsidP="00083825">
    <w:pPr>
      <w:pStyle w:val="Footer"/>
      <w:tabs>
        <w:tab w:val="clear" w:pos="8640"/>
        <w:tab w:val="right" w:pos="9270"/>
      </w:tabs>
      <w:ind w:right="18"/>
      <w:rPr>
        <w:rFonts w:cs="Arial"/>
        <w:color w:val="555759" w:themeColor="text2"/>
        <w:sz w:val="16"/>
      </w:rPr>
    </w:pPr>
    <w:r w:rsidRPr="00083825">
      <w:rPr>
        <w:rFonts w:cs="Arial"/>
        <w:color w:val="555759" w:themeColor="text2"/>
        <w:sz w:val="16"/>
      </w:rPr>
      <w:tab/>
    </w:r>
    <w:r w:rsidRPr="00083825">
      <w:rPr>
        <w:rFonts w:cs="Arial"/>
        <w:color w:val="555759" w:themeColor="text2"/>
        <w:sz w:val="16"/>
      </w:rPr>
      <w:tab/>
    </w:r>
    <w:r w:rsidRPr="00083825">
      <w:rPr>
        <w:rFonts w:cs="Arial"/>
        <w:color w:val="555759" w:themeColor="text2"/>
      </w:rPr>
      <w:t xml:space="preserve">Page </w:t>
    </w:r>
    <w:r w:rsidRPr="00083825">
      <w:rPr>
        <w:rFonts w:cs="Arial"/>
        <w:color w:val="555759" w:themeColor="text2"/>
      </w:rPr>
      <w:fldChar w:fldCharType="begin"/>
    </w:r>
    <w:r w:rsidRPr="00083825">
      <w:rPr>
        <w:rFonts w:cs="Arial"/>
        <w:color w:val="555759" w:themeColor="text2"/>
      </w:rPr>
      <w:instrText xml:space="preserve"> PAGE </w:instrText>
    </w:r>
    <w:r w:rsidRPr="00083825">
      <w:rPr>
        <w:rFonts w:cs="Arial"/>
        <w:color w:val="555759" w:themeColor="text2"/>
      </w:rPr>
      <w:fldChar w:fldCharType="separate"/>
    </w:r>
    <w:r>
      <w:rPr>
        <w:rFonts w:cs="Arial"/>
        <w:noProof/>
        <w:color w:val="555759" w:themeColor="text2"/>
      </w:rPr>
      <w:t>48</w:t>
    </w:r>
    <w:r w:rsidRPr="00083825">
      <w:rPr>
        <w:rFonts w:cs="Arial"/>
        <w:color w:val="555759" w:themeColor="text2"/>
      </w:rPr>
      <w:fldChar w:fldCharType="end"/>
    </w:r>
  </w:p>
  <w:p w14:paraId="501FD225" w14:textId="6458D270" w:rsidR="00EE5A5D" w:rsidRPr="00083825" w:rsidRDefault="00EE5A5D" w:rsidP="00083825">
    <w:pPr>
      <w:pStyle w:val="Footer"/>
      <w:tabs>
        <w:tab w:val="right" w:pos="9270"/>
      </w:tabs>
      <w:ind w:right="18"/>
      <w:rPr>
        <w:rFonts w:cs="Arial"/>
        <w:color w:val="555759" w:themeColor="text2"/>
        <w:sz w:val="16"/>
      </w:rPr>
    </w:pPr>
    <w:r>
      <w:rPr>
        <w:rFonts w:cs="Arial"/>
        <w:color w:val="555759" w:themeColor="text2"/>
        <w:sz w:val="16"/>
      </w:rPr>
      <w:t>©2019</w:t>
    </w:r>
    <w:r w:rsidRPr="00083825">
      <w:rPr>
        <w:rFonts w:cs="Arial"/>
        <w:color w:val="555759" w:themeColor="text2"/>
        <w:sz w:val="16"/>
      </w:rPr>
      <w:t xml:space="preserve"> Navigant Consulting,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7EDD" w14:textId="77777777" w:rsidR="00EE5A5D" w:rsidRDefault="00EE5A5D">
      <w:r>
        <w:separator/>
      </w:r>
    </w:p>
  </w:footnote>
  <w:footnote w:type="continuationSeparator" w:id="0">
    <w:p w14:paraId="0D5DA888" w14:textId="77777777" w:rsidR="00EE5A5D" w:rsidRDefault="00EE5A5D">
      <w:r>
        <w:continuationSeparator/>
      </w:r>
    </w:p>
  </w:footnote>
  <w:footnote w:type="continuationNotice" w:id="1">
    <w:p w14:paraId="594ECC32" w14:textId="77777777" w:rsidR="00EE5A5D" w:rsidRDefault="00EE5A5D"/>
  </w:footnote>
  <w:footnote w:id="2">
    <w:p w14:paraId="5BB111A0" w14:textId="08A1F4B6" w:rsidR="00EE5A5D" w:rsidRDefault="00EE5A5D">
      <w:pPr>
        <w:pStyle w:val="FootnoteText"/>
      </w:pPr>
      <w:r>
        <w:rPr>
          <w:rStyle w:val="FootnoteReference"/>
        </w:rPr>
        <w:footnoteRef/>
      </w:r>
      <w:r>
        <w:t xml:space="preserve"> Specific participant counts may be found in Section </w:t>
      </w:r>
      <w:r>
        <w:fldChar w:fldCharType="begin"/>
      </w:r>
      <w:r>
        <w:instrText xml:space="preserve"> REF _Ref972798 \w \h </w:instrText>
      </w:r>
      <w:r>
        <w:fldChar w:fldCharType="separate"/>
      </w:r>
      <w:r>
        <w:t>3.1</w:t>
      </w:r>
      <w:r>
        <w:fldChar w:fldCharType="end"/>
      </w:r>
    </w:p>
  </w:footnote>
  <w:footnote w:id="3">
    <w:p w14:paraId="52BD8067" w14:textId="3770AA86" w:rsidR="00EE5A5D" w:rsidRDefault="00EE5A5D" w:rsidP="00413291">
      <w:r>
        <w:rPr>
          <w:rStyle w:val="FootnoteReference"/>
        </w:rPr>
        <w:footnoteRef/>
      </w:r>
      <w:r>
        <w:t xml:space="preserve"> In statistics, “precision” refers to the measure of uncertainty around estimated values, quantified in regression analysis by the estimated parameter’s standard error. </w:t>
      </w:r>
    </w:p>
  </w:footnote>
  <w:footnote w:id="4">
    <w:p w14:paraId="21F05685" w14:textId="6AB30573" w:rsidR="00012FBE" w:rsidRDefault="00012FBE">
      <w:pPr>
        <w:pStyle w:val="FootnoteText"/>
      </w:pPr>
      <w:r>
        <w:rPr>
          <w:rStyle w:val="FootnoteReference"/>
        </w:rPr>
        <w:footnoteRef/>
      </w:r>
      <w:r>
        <w:t xml:space="preserve"> </w:t>
      </w:r>
      <w:r w:rsidRPr="00012FBE">
        <w:t>Participants’ whose enabling technologies were not connected to London Hydro’s dispatch system continued to receive event notification via the Trickl app.</w:t>
      </w:r>
    </w:p>
  </w:footnote>
  <w:footnote w:id="5">
    <w:p w14:paraId="301CCD93" w14:textId="77777777" w:rsidR="00EE5A5D" w:rsidRDefault="00EE5A5D" w:rsidP="00515B53">
      <w:pPr>
        <w:pStyle w:val="FootnoteText"/>
      </w:pPr>
      <w:r>
        <w:rPr>
          <w:rStyle w:val="FootnoteReference"/>
        </w:rPr>
        <w:footnoteRef/>
      </w:r>
      <w:r>
        <w:t xml:space="preserve"> Christensen Associates Energy Consulting, </w:t>
      </w:r>
      <w:r>
        <w:rPr>
          <w:i/>
        </w:rPr>
        <w:t>2016 Load Impact Evaluation of San Diego Gas and Electric’s Voluntary Residential Critical Peak Pricing (CPP) and Time-of-Use (TOU) Rates</w:t>
      </w:r>
      <w:r>
        <w:t>, CALMAC Study ID SDGE0304, April 2017</w:t>
      </w:r>
    </w:p>
    <w:p w14:paraId="5C075BAA" w14:textId="77777777" w:rsidR="00EE5A5D" w:rsidRPr="00186913" w:rsidRDefault="00EE5A5D" w:rsidP="00515B53">
      <w:pPr>
        <w:pStyle w:val="FootnoteText"/>
      </w:pPr>
      <w:hyperlink r:id="rId1" w:history="1">
        <w:r w:rsidRPr="00821A28">
          <w:rPr>
            <w:rStyle w:val="Hyperlink"/>
            <w:sz w:val="18"/>
          </w:rPr>
          <w:t>http://www.calmac.org/publications/PY16_TOU_and_CPP_Ex_Post_and_Ex_Ante_Report.pdf</w:t>
        </w:r>
      </w:hyperlink>
      <w:r>
        <w:t xml:space="preserve"> </w:t>
      </w:r>
    </w:p>
  </w:footnote>
  <w:footnote w:id="6">
    <w:p w14:paraId="13075FA6" w14:textId="77777777" w:rsidR="00EE5A5D" w:rsidRDefault="00EE5A5D" w:rsidP="007834EC">
      <w:pPr>
        <w:pStyle w:val="FootnoteText"/>
      </w:pPr>
      <w:r>
        <w:rPr>
          <w:rStyle w:val="FootnoteReference"/>
        </w:rPr>
        <w:footnoteRef/>
      </w:r>
      <w:r>
        <w:t xml:space="preserve"> Evaluations of real-time information pilots often yield savings estimates that are very low, or are statistically insignificant, suggesting that simply providing customers with data is insufficient for motivating real savings. Participants require an intermediary, such as the utility or some third-party home energy report provider to translate those data into </w:t>
      </w:r>
      <w:r>
        <w:rPr>
          <w:i/>
        </w:rPr>
        <w:t>information</w:t>
      </w:r>
      <w:r>
        <w:t>.</w:t>
      </w:r>
    </w:p>
    <w:p w14:paraId="1CED2CF6" w14:textId="77777777" w:rsidR="00EE5A5D" w:rsidRDefault="00EE5A5D" w:rsidP="007834EC">
      <w:pPr>
        <w:pStyle w:val="FootnoteText"/>
      </w:pPr>
      <w:r>
        <w:t>For a summary of real-time information studies and the associated impacts, see for example Table 13 on PDF page 41/95 of:</w:t>
      </w:r>
    </w:p>
    <w:p w14:paraId="51E2A20C" w14:textId="77777777" w:rsidR="00EE5A5D" w:rsidRDefault="00EE5A5D" w:rsidP="007834EC">
      <w:pPr>
        <w:pStyle w:val="FootnoteText"/>
      </w:pPr>
      <w:r>
        <w:t xml:space="preserve">Navigant, prepared for Newfoundland Labrador Hydro, </w:t>
      </w:r>
      <w:r>
        <w:rPr>
          <w:i/>
        </w:rPr>
        <w:t>Real Time Monitor Pilot Program: Impact and Process Evaluation</w:t>
      </w:r>
      <w:r>
        <w:t>, March 2016</w:t>
      </w:r>
    </w:p>
    <w:p w14:paraId="7E6F878A" w14:textId="77777777" w:rsidR="00EE5A5D" w:rsidRPr="00014230" w:rsidRDefault="00EE5A5D" w:rsidP="007834EC">
      <w:pPr>
        <w:pStyle w:val="FootnoteText"/>
      </w:pPr>
      <w:hyperlink r:id="rId2" w:history="1">
        <w:r w:rsidRPr="00821A28">
          <w:rPr>
            <w:rStyle w:val="Hyperlink"/>
            <w:sz w:val="18"/>
          </w:rPr>
          <w:t>https://www.exec.gov.nl.ca/exec/occ/publications/RTM_Complete_Rpt_F_Mar31_2016.pdf</w:t>
        </w:r>
      </w:hyperlink>
      <w:r>
        <w:t xml:space="preserve"> </w:t>
      </w:r>
    </w:p>
  </w:footnote>
  <w:footnote w:id="7">
    <w:p w14:paraId="17AFA987" w14:textId="77777777" w:rsidR="00EE5A5D" w:rsidRDefault="00EE5A5D" w:rsidP="007834EC">
      <w:pPr>
        <w:pStyle w:val="FootnoteText"/>
      </w:pPr>
      <w:r>
        <w:rPr>
          <w:rStyle w:val="FootnoteReference"/>
        </w:rPr>
        <w:footnoteRef/>
      </w:r>
      <w:r>
        <w:t xml:space="preserve"> CPP events only account for 18 hours off the summer.</w:t>
      </w:r>
    </w:p>
  </w:footnote>
  <w:footnote w:id="8">
    <w:p w14:paraId="2AEDDE4D" w14:textId="1A58968D" w:rsidR="00EE5A5D" w:rsidRDefault="00EE5A5D" w:rsidP="00451A5C">
      <w:pPr>
        <w:pStyle w:val="FootnoteText"/>
      </w:pPr>
      <w:r>
        <w:rPr>
          <w:rStyle w:val="FootnoteReference"/>
        </w:rPr>
        <w:footnoteRef/>
      </w:r>
      <w:r>
        <w:t xml:space="preserve"> It has previously been noted that when participants are provided with prices that change too frequently to allow a true “real-time” response (e.g., real-time pricing), they develop a set of rules for behaviour changes that reflect their average expectations of price changes. See for example:</w:t>
      </w:r>
    </w:p>
    <w:p w14:paraId="0275F13D" w14:textId="77777777" w:rsidR="00EE5A5D" w:rsidRDefault="00EE5A5D" w:rsidP="00451A5C">
      <w:pPr>
        <w:pStyle w:val="FootnoteText"/>
      </w:pPr>
      <w:r>
        <w:t xml:space="preserve">Navigant, submitted to Ameren Illinois Utilities, </w:t>
      </w:r>
      <w:r>
        <w:rPr>
          <w:i/>
        </w:rPr>
        <w:t>Power Smart Pricing 2009 Annual Report</w:t>
      </w:r>
      <w:r>
        <w:t>, April 2010</w:t>
      </w:r>
    </w:p>
    <w:p w14:paraId="01B46CA8" w14:textId="77777777" w:rsidR="00EE5A5D" w:rsidRPr="00F2657A" w:rsidRDefault="00EE5A5D" w:rsidP="00451A5C">
      <w:pPr>
        <w:pStyle w:val="FootnoteText"/>
      </w:pPr>
      <w:hyperlink r:id="rId3" w:history="1">
        <w:r w:rsidRPr="00821A28">
          <w:rPr>
            <w:rStyle w:val="Hyperlink"/>
            <w:sz w:val="18"/>
          </w:rPr>
          <w:t>https://www2.illinois.gov/sites/ipa/Documents/CUB-Comments-Appendix-D-2009-Navigant-Power-Smart-Pricing-Annual-Report.pdf</w:t>
        </w:r>
      </w:hyperlink>
      <w:r>
        <w:t xml:space="preserve"> </w:t>
      </w:r>
    </w:p>
  </w:footnote>
  <w:footnote w:id="9">
    <w:p w14:paraId="5E243FC7" w14:textId="77777777" w:rsidR="00EE5A5D" w:rsidRDefault="00EE5A5D" w:rsidP="005F5D7D">
      <w:pPr>
        <w:pStyle w:val="FootnoteText"/>
      </w:pPr>
      <w:r>
        <w:rPr>
          <w:rStyle w:val="FootnoteReference"/>
        </w:rPr>
        <w:footnoteRef/>
      </w:r>
      <w:r>
        <w:t xml:space="preserve"> Specific participant counts may be found in Section </w:t>
      </w:r>
      <w:r>
        <w:fldChar w:fldCharType="begin"/>
      </w:r>
      <w:r>
        <w:instrText xml:space="preserve"> REF _Ref972798 \w \h </w:instrText>
      </w:r>
      <w:r>
        <w:fldChar w:fldCharType="separate"/>
      </w:r>
      <w:r>
        <w:t>3.1</w:t>
      </w:r>
      <w:r>
        <w:fldChar w:fldCharType="end"/>
      </w:r>
    </w:p>
  </w:footnote>
  <w:footnote w:id="10">
    <w:p w14:paraId="09DA4424" w14:textId="13BD434F" w:rsidR="00EE5A5D" w:rsidRDefault="00EE5A5D">
      <w:pPr>
        <w:pStyle w:val="FootnoteText"/>
      </w:pPr>
      <w:r>
        <w:rPr>
          <w:rStyle w:val="FootnoteReference"/>
        </w:rPr>
        <w:footnoteRef/>
      </w:r>
      <w:r>
        <w:t xml:space="preserve"> A complete description of all rates applied in the OEB RPP Pilots may be found at:</w:t>
      </w:r>
    </w:p>
    <w:p w14:paraId="7C9815EC" w14:textId="4FF25D1E" w:rsidR="00EE5A5D" w:rsidRDefault="00EE5A5D" w:rsidP="00851F17">
      <w:pPr>
        <w:pStyle w:val="FootnoteText"/>
      </w:pPr>
      <w:r>
        <w:t xml:space="preserve">Ontario Energy Board, </w:t>
      </w:r>
      <w:r>
        <w:rPr>
          <w:i/>
        </w:rPr>
        <w:t>Memorandum to All Rate Regulated Electricity Distributors</w:t>
      </w:r>
      <w:r>
        <w:t xml:space="preserve"> [and] </w:t>
      </w:r>
      <w:r>
        <w:rPr>
          <w:i/>
        </w:rPr>
        <w:t>All Interested Parties</w:t>
      </w:r>
      <w:r>
        <w:t>, April 23, 2018</w:t>
      </w:r>
    </w:p>
    <w:p w14:paraId="1FEB1500" w14:textId="2E0BEA4B" w:rsidR="00EE5A5D" w:rsidRPr="00851F17" w:rsidRDefault="00EE5A5D">
      <w:pPr>
        <w:pStyle w:val="FootnoteText"/>
      </w:pPr>
      <w:hyperlink r:id="rId4" w:history="1">
        <w:r w:rsidRPr="00851F17">
          <w:rPr>
            <w:color w:val="0000FF"/>
            <w:sz w:val="20"/>
            <w:szCs w:val="24"/>
            <w:u w:val="single"/>
          </w:rPr>
          <w:t>https://www.oeb.ca/sites/default/files/letter-rpp-roadmap-pilot-price-update-20180423.pdf</w:t>
        </w:r>
      </w:hyperlink>
      <w:r>
        <w:rPr>
          <w:sz w:val="20"/>
          <w:szCs w:val="24"/>
        </w:rPr>
        <w:t xml:space="preserve"> </w:t>
      </w:r>
    </w:p>
  </w:footnote>
  <w:footnote w:id="11">
    <w:p w14:paraId="2E4631B9" w14:textId="36704CCA" w:rsidR="00EE5A5D" w:rsidRDefault="00EE5A5D" w:rsidP="00851F17">
      <w:pPr>
        <w:pStyle w:val="FootnoteText"/>
      </w:pPr>
      <w:r>
        <w:rPr>
          <w:rStyle w:val="FootnoteReference"/>
        </w:rPr>
        <w:footnoteRef/>
      </w:r>
      <w:r>
        <w:t xml:space="preserve"> Throughout this document, unless explicitly stated otherwise, all references to “summer” and “winter” are intended to convey the RPP summer (May through October)  and RPP winter (November through April) periods.</w:t>
      </w:r>
    </w:p>
  </w:footnote>
  <w:footnote w:id="12">
    <w:p w14:paraId="20D1838D" w14:textId="77777777" w:rsidR="00EE5A5D" w:rsidRDefault="00EE5A5D" w:rsidP="00262D38">
      <w:pPr>
        <w:pStyle w:val="FootnoteText"/>
      </w:pPr>
      <w:r>
        <w:rPr>
          <w:rStyle w:val="FootnoteReference"/>
        </w:rPr>
        <w:footnoteRef/>
      </w:r>
      <w:r>
        <w:t xml:space="preserve"> “RPP season” refers to the price-setting seasons used by the OEB: summer (May through October) and winter (November through April). Note that throughout this document, unless explicitly stated otherwise, all references to “summer” and “winter” are intended to convey the RPP summer and RPP winter periods.</w:t>
      </w:r>
    </w:p>
  </w:footnote>
  <w:footnote w:id="13">
    <w:p w14:paraId="2D24E6E9" w14:textId="77777777" w:rsidR="00EE5A5D" w:rsidRDefault="00EE5A5D" w:rsidP="00262D38">
      <w:pPr>
        <w:pStyle w:val="FootnoteText"/>
      </w:pPr>
      <w:r>
        <w:rPr>
          <w:rStyle w:val="FootnoteReference"/>
        </w:rPr>
        <w:footnoteRef/>
      </w:r>
      <w:r>
        <w:t xml:space="preserve"> i.e., excluding days on which CPP events are called</w:t>
      </w:r>
    </w:p>
  </w:footnote>
  <w:footnote w:id="14">
    <w:p w14:paraId="7BBB4837" w14:textId="72535794" w:rsidR="00EE5A5D" w:rsidRDefault="00EE5A5D" w:rsidP="00262D38">
      <w:pPr>
        <w:pStyle w:val="FootnoteText"/>
      </w:pPr>
      <w:r>
        <w:rPr>
          <w:rStyle w:val="FootnoteReference"/>
        </w:rPr>
        <w:footnoteRef/>
      </w:r>
      <w:r>
        <w:t xml:space="preserve"> When this incremental effect is found to be statistically non-significant on average by event, only the fact that no statistically significant impact is reported.</w:t>
      </w:r>
    </w:p>
  </w:footnote>
  <w:footnote w:id="15">
    <w:p w14:paraId="5E99EBAB" w14:textId="209F0AED" w:rsidR="00EE5A5D" w:rsidRDefault="00EE5A5D">
      <w:pPr>
        <w:pStyle w:val="FootnoteText"/>
      </w:pPr>
      <w:r>
        <w:rPr>
          <w:rStyle w:val="FootnoteReference"/>
        </w:rPr>
        <w:footnoteRef/>
      </w:r>
      <w:r>
        <w:t xml:space="preserve"> As defined by the IESO EM&amp;V protocols – the average impact between 1pm and 6pm, prevailing time, on non-holiday weekdays in June through August.</w:t>
      </w:r>
    </w:p>
  </w:footnote>
  <w:footnote w:id="16">
    <w:p w14:paraId="53C1707E" w14:textId="42862F1E" w:rsidR="00EE5A5D" w:rsidRDefault="00EE5A5D">
      <w:pPr>
        <w:pStyle w:val="FootnoteText"/>
      </w:pPr>
      <w:r>
        <w:rPr>
          <w:rStyle w:val="FootnoteReference"/>
        </w:rPr>
        <w:footnoteRef/>
      </w:r>
      <w:r>
        <w:t xml:space="preserve"> The use of day-type determine pre-program consumption data makes the sample size sensitive to the number of summer 2018 days included in the estimation set. See </w:t>
      </w:r>
      <w:r>
        <w:fldChar w:fldCharType="begin"/>
      </w:r>
      <w:r>
        <w:instrText xml:space="preserve"> REF _Ref1560369 \n \h </w:instrText>
      </w:r>
      <w:r>
        <w:fldChar w:fldCharType="separate"/>
      </w:r>
      <w:r>
        <w:t>Appendix A</w:t>
      </w:r>
      <w:r>
        <w:fldChar w:fldCharType="end"/>
      </w:r>
      <w:r>
        <w:t xml:space="preserve"> for more details.</w:t>
      </w:r>
    </w:p>
  </w:footnote>
  <w:footnote w:id="17">
    <w:p w14:paraId="6A8084B8" w14:textId="12EE85C8" w:rsidR="00EE5A5D" w:rsidRDefault="00EE5A5D">
      <w:pPr>
        <w:pStyle w:val="FootnoteText"/>
      </w:pPr>
      <w:r>
        <w:rPr>
          <w:rStyle w:val="FootnoteReference"/>
        </w:rPr>
        <w:footnoteRef/>
      </w:r>
      <w:r>
        <w:t xml:space="preserve"> Average monthly consumption values are provided only for participants and controls included in the energy analysis. The sample population of each year is somewhat larger than the previous one due to move-ins. Monthly average consumption in each summer is calculated by estimating average monthly consumption for each customer by multiplying average hourly consumption by the number of hours in the month (customer/month pairs missing more than 20% of hours in a month are excluded). Customer monthly values are then averaged across customers and the summer to deliver the values provided above.</w:t>
      </w:r>
    </w:p>
  </w:footnote>
  <w:footnote w:id="18">
    <w:p w14:paraId="00807A92" w14:textId="00EC10D4" w:rsidR="00EE5A5D" w:rsidRPr="00977AAA" w:rsidRDefault="00EE5A5D">
      <w:pPr>
        <w:pStyle w:val="FootnoteText"/>
      </w:pPr>
      <w:r>
        <w:rPr>
          <w:rStyle w:val="FootnoteReference"/>
        </w:rPr>
        <w:footnoteRef/>
      </w:r>
      <w:r>
        <w:t xml:space="preserve"> It is important to bear in mind that the key goal of a pilot program is</w:t>
      </w:r>
      <w:r>
        <w:rPr>
          <w:i/>
        </w:rPr>
        <w:t xml:space="preserve"> not</w:t>
      </w:r>
      <w:r>
        <w:t xml:space="preserve"> primarily about achieving high savings, in either energy or demand response, but to provide actionable intelligence that can be used in decision-making for a wider program roll-out.</w:t>
      </w:r>
    </w:p>
  </w:footnote>
  <w:footnote w:id="19">
    <w:p w14:paraId="6ACA6ACF" w14:textId="6DB954AC" w:rsidR="00EE5A5D" w:rsidRDefault="00EE5A5D">
      <w:pPr>
        <w:pStyle w:val="FootnoteText"/>
      </w:pPr>
      <w:r>
        <w:rPr>
          <w:rStyle w:val="FootnoteReference"/>
        </w:rPr>
        <w:footnoteRef/>
      </w:r>
      <w:r>
        <w:t xml:space="preserve"> In testing the two different control groups in a pre-program and pre-matching period, Navigant found that although both control groups had TOU-period consumption patterns that were not statistically different from those of the participants (i.e., suitable as counterfactuals), the parameters of interest in the test regression were much smaller in absolute value for the RCT group than for the matched control group. This indicated to Navigant that that RCT controls’ consumption patterns were more similar to participants than were the matched controls. This led to the conclusion that the RCT controls were the more suitable control group for the RT-only participants in this analysis.</w:t>
      </w:r>
    </w:p>
  </w:footnote>
  <w:footnote w:id="20">
    <w:p w14:paraId="5B4BD11D" w14:textId="733260A0" w:rsidR="00EE5A5D" w:rsidRDefault="00EE5A5D">
      <w:pPr>
        <w:pStyle w:val="FootnoteText"/>
      </w:pPr>
      <w:r>
        <w:rPr>
          <w:rStyle w:val="FootnoteReference"/>
        </w:rPr>
        <w:footnoteRef/>
      </w:r>
      <w:r>
        <w:t xml:space="preserve"> The reason for using a single regression, as opposed to one for each TOU period, was to allow the estimation of covariances between different impact parameters, to ensure that the uncertainty associated with aggregated impacts (e.g., across TOU periods) could be accurately estimated.</w:t>
      </w:r>
    </w:p>
  </w:footnote>
  <w:footnote w:id="21">
    <w:p w14:paraId="0286AE44" w14:textId="2A8AEC9A" w:rsidR="00EE5A5D" w:rsidRDefault="00EE5A5D">
      <w:pPr>
        <w:pStyle w:val="FootnoteText"/>
      </w:pPr>
      <w:r>
        <w:rPr>
          <w:rStyle w:val="FootnoteReference"/>
        </w:rPr>
        <w:footnoteRef/>
      </w:r>
      <w:r>
        <w:t xml:space="preserve"> Snapback is a phenomenon commonly observed in direct load control programs. If participant A/C is controlled for long enough that indoor temperature materially rises, this can result in more A/C compressor cycles than usual in the hours immediately following the event as the A/C unit works harder usual to restore the home to the set-point temperature.</w:t>
      </w:r>
    </w:p>
  </w:footnote>
  <w:footnote w:id="22">
    <w:p w14:paraId="25C675DC" w14:textId="676257D4" w:rsidR="00EE5A5D" w:rsidRDefault="00EE5A5D">
      <w:pPr>
        <w:pStyle w:val="FootnoteText"/>
      </w:pPr>
      <w:r>
        <w:rPr>
          <w:rStyle w:val="FootnoteReference"/>
        </w:rPr>
        <w:footnoteRef/>
      </w:r>
      <w:r>
        <w:t xml:space="preserve"> All estimates of uncertainty presented in this report have been estimated using cluster-robust standard-errors, with clustering applied at the individual customer level.</w:t>
      </w:r>
    </w:p>
  </w:footnote>
  <w:footnote w:id="23">
    <w:p w14:paraId="5742B3B8" w14:textId="707B2015" w:rsidR="00EE5A5D" w:rsidRDefault="00EE5A5D">
      <w:pPr>
        <w:pStyle w:val="FootnoteText"/>
      </w:pPr>
      <w:r>
        <w:rPr>
          <w:rStyle w:val="FootnoteReference"/>
        </w:rPr>
        <w:footnoteRef/>
      </w:r>
      <w:r>
        <w:t xml:space="preserve"> Generally speaking (though exceptions exist), impact estimates that are statistically no different from zero should be considered the same as no impact at all.</w:t>
      </w:r>
    </w:p>
  </w:footnote>
  <w:footnote w:id="24">
    <w:p w14:paraId="5CB01474" w14:textId="3C253433" w:rsidR="00EE5A5D" w:rsidRDefault="00EE5A5D">
      <w:pPr>
        <w:pStyle w:val="FootnoteText"/>
      </w:pPr>
      <w:r>
        <w:rPr>
          <w:rStyle w:val="FootnoteReference"/>
        </w:rPr>
        <w:footnoteRef/>
      </w:r>
      <w:r>
        <w:t xml:space="preserve"> This difference is controlled for using the pre-period consumption values included in the regression equation. That is, impacts are estimated in the program period conditional on this structural difference observed in the pre-period.</w:t>
      </w:r>
    </w:p>
  </w:footnote>
  <w:footnote w:id="25">
    <w:p w14:paraId="093D7D2A" w14:textId="2A89206B" w:rsidR="00EE5A5D" w:rsidRDefault="00EE5A5D">
      <w:pPr>
        <w:pStyle w:val="FootnoteText"/>
      </w:pPr>
      <w:r>
        <w:rPr>
          <w:rStyle w:val="FootnoteReference"/>
        </w:rPr>
        <w:footnoteRef/>
      </w:r>
      <w:r>
        <w:t xml:space="preserve"> For example: if nearly all the non-holiday weekdays included some number of cooling degree hours then it would be more difficult to argue that there are program savings that aren’t temperature sensitive, as there would be very few days in which non-temperature-sensitive savings could be achieved in isolation from the temperature-sensitive savings.</w:t>
      </w:r>
    </w:p>
  </w:footnote>
  <w:footnote w:id="26">
    <w:p w14:paraId="0195A587" w14:textId="0848E96D" w:rsidR="00EE5A5D" w:rsidRDefault="00EE5A5D" w:rsidP="00814911">
      <w:pPr>
        <w:pStyle w:val="FootnoteText"/>
      </w:pPr>
      <w:r>
        <w:rPr>
          <w:rStyle w:val="FootnoteReference"/>
        </w:rPr>
        <w:footnoteRef/>
      </w:r>
      <w:r>
        <w:t xml:space="preserve"> The p-value associated with this estimate is 0.58, indicating that it would be statistically significant only at the 42% level of confidence.</w:t>
      </w:r>
    </w:p>
  </w:footnote>
  <w:footnote w:id="27">
    <w:p w14:paraId="10E5A5F2" w14:textId="2A403179" w:rsidR="00EE5A5D" w:rsidRDefault="00EE5A5D" w:rsidP="00227D8D">
      <w:r>
        <w:rPr>
          <w:rStyle w:val="FootnoteReference"/>
        </w:rPr>
        <w:footnoteRef/>
      </w:r>
      <w:r>
        <w:t xml:space="preserve"> The savings values in this table are average daily consumption savings, by TOU period. This is equivalent to an average reduction in On-Peak demand of 0.026 kW.</w:t>
      </w:r>
    </w:p>
  </w:footnote>
  <w:footnote w:id="28">
    <w:p w14:paraId="03311C6B" w14:textId="40060D1E" w:rsidR="00EE5A5D" w:rsidRDefault="00EE5A5D">
      <w:pPr>
        <w:pStyle w:val="FootnoteText"/>
      </w:pPr>
      <w:r>
        <w:rPr>
          <w:rStyle w:val="FootnoteReference"/>
        </w:rPr>
        <w:footnoteRef/>
      </w:r>
      <w:r>
        <w:t xml:space="preserve"> The p-value associated with this estimate is 0.86, indicating that it would be statistically significant only at the 14% level of confidence.</w:t>
      </w:r>
    </w:p>
  </w:footnote>
  <w:footnote w:id="29">
    <w:p w14:paraId="0E73A589" w14:textId="73C35219" w:rsidR="00012FBE" w:rsidRDefault="00012FBE">
      <w:pPr>
        <w:pStyle w:val="FootnoteText"/>
      </w:pPr>
      <w:r>
        <w:rPr>
          <w:rStyle w:val="FootnoteReference"/>
        </w:rPr>
        <w:footnoteRef/>
      </w:r>
      <w:r>
        <w:t xml:space="preserve"> </w:t>
      </w:r>
      <w:r w:rsidRPr="00012FBE">
        <w:t>Participants’ whose enabling technologies were not connected to London Hydro’s dispatch system continued to receive event notification via the Trickl app.</w:t>
      </w:r>
    </w:p>
  </w:footnote>
  <w:footnote w:id="30">
    <w:p w14:paraId="1198D5E5" w14:textId="77777777" w:rsidR="00EE5A5D" w:rsidRDefault="00EE5A5D" w:rsidP="00DB0B6F">
      <w:pPr>
        <w:pStyle w:val="FootnoteText"/>
      </w:pPr>
      <w:r>
        <w:rPr>
          <w:rStyle w:val="FootnoteReference"/>
        </w:rPr>
        <w:footnoteRef/>
      </w:r>
      <w:r>
        <w:t xml:space="preserve"> Christensen Associates Energy Consulting, </w:t>
      </w:r>
      <w:r>
        <w:rPr>
          <w:i/>
        </w:rPr>
        <w:t>2016 Load Impact Evaluation of San Diego Gas and Electric’s Voluntary Residential Critical Peak Pricing (CPP) and Time-of-Use (TOU) Rates</w:t>
      </w:r>
      <w:r>
        <w:t>, CALMAC Study ID SDGE0304, April 2017</w:t>
      </w:r>
    </w:p>
    <w:p w14:paraId="2F526A50" w14:textId="77777777" w:rsidR="00EE5A5D" w:rsidRPr="00186913" w:rsidRDefault="00EE5A5D" w:rsidP="00DB0B6F">
      <w:pPr>
        <w:pStyle w:val="FootnoteText"/>
      </w:pPr>
      <w:hyperlink r:id="rId5" w:history="1">
        <w:r w:rsidRPr="00821A28">
          <w:rPr>
            <w:rStyle w:val="Hyperlink"/>
            <w:sz w:val="18"/>
          </w:rPr>
          <w:t>http://www.calmac.org/publications/PY16_TOU_and_CPP_Ex_Post_and_Ex_Ante_Report.pdf</w:t>
        </w:r>
      </w:hyperlink>
      <w:r>
        <w:t xml:space="preserve"> </w:t>
      </w:r>
    </w:p>
  </w:footnote>
  <w:footnote w:id="31">
    <w:p w14:paraId="27A8F0D0" w14:textId="7CD20CB0" w:rsidR="00EE5A5D" w:rsidRDefault="00EE5A5D">
      <w:pPr>
        <w:pStyle w:val="FootnoteText"/>
      </w:pPr>
      <w:r>
        <w:rPr>
          <w:rStyle w:val="FootnoteReference"/>
        </w:rPr>
        <w:footnoteRef/>
      </w:r>
      <w:r>
        <w:t xml:space="preserve"> The same caveat is not the case for the total program impact – these parameters may be confidently used to project impacts short distances out of sample.</w:t>
      </w:r>
    </w:p>
  </w:footnote>
  <w:footnote w:id="32">
    <w:p w14:paraId="31655CE1" w14:textId="35A5ABBA" w:rsidR="00EE5A5D" w:rsidRDefault="00EE5A5D">
      <w:pPr>
        <w:pStyle w:val="FootnoteText"/>
      </w:pPr>
      <w:r>
        <w:rPr>
          <w:rStyle w:val="FootnoteReference"/>
        </w:rPr>
        <w:footnoteRef/>
      </w:r>
      <w:r>
        <w:t xml:space="preserve"> See for example, Figure 3 and footnote #9 of </w:t>
      </w:r>
    </w:p>
    <w:p w14:paraId="2FB9DC28" w14:textId="6A2EF35E" w:rsidR="00EE5A5D" w:rsidRDefault="00EE5A5D">
      <w:pPr>
        <w:pStyle w:val="FootnoteText"/>
      </w:pPr>
      <w:r>
        <w:t xml:space="preserve">Navigant Consulting, presented to Progress Energy Carolinas, </w:t>
      </w:r>
      <w:r>
        <w:rPr>
          <w:i/>
        </w:rPr>
        <w:t>EM&amp;V Report for the EnergyWise Home Program – Summer 2011 and Winter 2011 – 2012</w:t>
      </w:r>
      <w:r>
        <w:t>, September 2012</w:t>
      </w:r>
    </w:p>
    <w:p w14:paraId="263B4201" w14:textId="6A49E860" w:rsidR="00EE5A5D" w:rsidRDefault="00EE5A5D">
      <w:pPr>
        <w:pStyle w:val="FootnoteText"/>
      </w:pPr>
      <w:hyperlink r:id="rId6" w:history="1">
        <w:r w:rsidRPr="0063054D">
          <w:rPr>
            <w:rStyle w:val="Hyperlink"/>
            <w:sz w:val="18"/>
          </w:rPr>
          <w:t>https://dms.psc.sc.gov/attachments/matter/2BB3B03A-155D-141F-1D48A6BCE191C362</w:t>
        </w:r>
      </w:hyperlink>
      <w:r>
        <w:t xml:space="preserve"> </w:t>
      </w:r>
    </w:p>
    <w:p w14:paraId="30648CBC" w14:textId="5323F59F" w:rsidR="00EE5A5D" w:rsidRPr="00DC34FA" w:rsidRDefault="00EE5A5D">
      <w:pPr>
        <w:pStyle w:val="FootnoteText"/>
      </w:pPr>
      <w:r>
        <w:t>Public Service Commission of South Carolina, Docket N. 2008-251-E and Docket No. 2012-93-E</w:t>
      </w:r>
    </w:p>
  </w:footnote>
  <w:footnote w:id="33">
    <w:p w14:paraId="3B7FEE07" w14:textId="5404B4A2" w:rsidR="00EE5A5D" w:rsidRDefault="00EE5A5D">
      <w:pPr>
        <w:pStyle w:val="FootnoteText"/>
      </w:pPr>
      <w:r>
        <w:rPr>
          <w:rStyle w:val="FootnoteReference"/>
        </w:rPr>
        <w:footnoteRef/>
      </w:r>
      <w:r>
        <w:t xml:space="preserve"> See Table 1-1 of</w:t>
      </w:r>
    </w:p>
    <w:p w14:paraId="53927AF3" w14:textId="6B33BBA9" w:rsidR="00EE5A5D" w:rsidRPr="008062BD" w:rsidRDefault="00EE5A5D">
      <w:pPr>
        <w:pStyle w:val="FootnoteText"/>
      </w:pPr>
      <w:r>
        <w:t xml:space="preserve">Nexant, Inc. prepared for the Independent Electricity System Operator, </w:t>
      </w:r>
      <w:r>
        <w:rPr>
          <w:i/>
        </w:rPr>
        <w:t>peaksaverPLUS® Program 2014 Load Impact Evaluation</w:t>
      </w:r>
      <w:r>
        <w:t>, August 2015</w:t>
      </w:r>
    </w:p>
  </w:footnote>
  <w:footnote w:id="34">
    <w:p w14:paraId="343788D5" w14:textId="446DF012" w:rsidR="00EE5A5D" w:rsidRDefault="00EE5A5D">
      <w:pPr>
        <w:pStyle w:val="FootnoteText"/>
      </w:pPr>
      <w:r>
        <w:rPr>
          <w:rStyle w:val="FootnoteReference"/>
        </w:rPr>
        <w:footnoteRef/>
      </w:r>
      <w:r>
        <w:t xml:space="preserve"> As above, the total effect across all the parameters is robust, it is only when considering the DR only “sub-effect” that more caution should be exercised. </w:t>
      </w:r>
    </w:p>
  </w:footnote>
  <w:footnote w:id="35">
    <w:p w14:paraId="259ADC9D" w14:textId="18DC4802" w:rsidR="00EE5A5D" w:rsidRDefault="00EE5A5D">
      <w:pPr>
        <w:pStyle w:val="FootnoteText"/>
      </w:pPr>
      <w:r>
        <w:rPr>
          <w:rStyle w:val="FootnoteReference"/>
        </w:rPr>
        <w:footnoteRef/>
      </w:r>
      <w:r>
        <w:t xml:space="preserve"> Billing cycles do not match calendar months exactly, so some imprecision exists in attributing consumption to the defined summer program period.</w:t>
      </w:r>
    </w:p>
  </w:footnote>
  <w:footnote w:id="36">
    <w:p w14:paraId="16D007A7" w14:textId="3F5A69E6" w:rsidR="00012FBE" w:rsidRDefault="00012FBE">
      <w:pPr>
        <w:pStyle w:val="FootnoteText"/>
      </w:pPr>
      <w:r>
        <w:rPr>
          <w:rStyle w:val="FootnoteReference"/>
        </w:rPr>
        <w:footnoteRef/>
      </w:r>
      <w:r>
        <w:t xml:space="preserve"> </w:t>
      </w:r>
      <w:r w:rsidRPr="00012FBE">
        <w:t>Participants’ whose enabling technologies were not connected to London Hydro’s dispatch system continued to receive event notification via the Trickl app.</w:t>
      </w:r>
    </w:p>
  </w:footnote>
  <w:footnote w:id="37">
    <w:p w14:paraId="538AE980" w14:textId="77777777" w:rsidR="00EE5A5D" w:rsidRDefault="00EE5A5D" w:rsidP="00DB0B6F">
      <w:pPr>
        <w:pStyle w:val="FootnoteText"/>
      </w:pPr>
      <w:r>
        <w:rPr>
          <w:rStyle w:val="FootnoteReference"/>
        </w:rPr>
        <w:footnoteRef/>
      </w:r>
      <w:r>
        <w:t xml:space="preserve"> Christensen Associates Energy Consulting, </w:t>
      </w:r>
      <w:r>
        <w:rPr>
          <w:i/>
        </w:rPr>
        <w:t>2016 Load Impact Evaluation of San Diego Gas and Electric’s Voluntary Residential Critical Peak Pricing (CPP) and Time-of-Use (TOU) Rates</w:t>
      </w:r>
      <w:r>
        <w:t>, CALMAC Study ID SDGE0304, April 2017</w:t>
      </w:r>
    </w:p>
    <w:p w14:paraId="132CAF24" w14:textId="77777777" w:rsidR="00EE5A5D" w:rsidRPr="00186913" w:rsidRDefault="00EE5A5D" w:rsidP="00DB0B6F">
      <w:pPr>
        <w:pStyle w:val="FootnoteText"/>
      </w:pPr>
      <w:hyperlink r:id="rId7" w:history="1">
        <w:r w:rsidRPr="00821A28">
          <w:rPr>
            <w:rStyle w:val="Hyperlink"/>
            <w:sz w:val="18"/>
          </w:rPr>
          <w:t>http://www.calmac.org/publications/PY16_TOU_and_CPP_Ex_Post_and_Ex_Ante_Report.pdf</w:t>
        </w:r>
      </w:hyperlink>
      <w:r>
        <w:t xml:space="preserve"> </w:t>
      </w:r>
    </w:p>
  </w:footnote>
  <w:footnote w:id="38">
    <w:p w14:paraId="0D9DA834" w14:textId="77777777" w:rsidR="00EE5A5D" w:rsidRDefault="00EE5A5D" w:rsidP="00557F06">
      <w:pPr>
        <w:pStyle w:val="FootnoteText"/>
      </w:pPr>
      <w:r>
        <w:rPr>
          <w:rStyle w:val="FootnoteReference"/>
        </w:rPr>
        <w:footnoteRef/>
      </w:r>
      <w:r>
        <w:t xml:space="preserve"> Evaluations of real-time information pilots often yield savings estimates that are very low, or are statistically insignificant, suggesting that simply providing customers with data is insufficient for motivating real savings. Participants require an intermediary, such as the utility or some third-party home energy report provider to translate those data into </w:t>
      </w:r>
      <w:r>
        <w:rPr>
          <w:i/>
        </w:rPr>
        <w:t>information</w:t>
      </w:r>
      <w:r>
        <w:t>.</w:t>
      </w:r>
    </w:p>
    <w:p w14:paraId="744A7C53" w14:textId="77777777" w:rsidR="00EE5A5D" w:rsidRDefault="00EE5A5D" w:rsidP="00557F06">
      <w:pPr>
        <w:pStyle w:val="FootnoteText"/>
      </w:pPr>
      <w:r>
        <w:t>For a summary of real-time information studies and the associated impacts, see for example Table 13 on PDF page 41/95 of:</w:t>
      </w:r>
    </w:p>
    <w:p w14:paraId="68906726" w14:textId="77777777" w:rsidR="00EE5A5D" w:rsidRDefault="00EE5A5D" w:rsidP="00557F06">
      <w:pPr>
        <w:pStyle w:val="FootnoteText"/>
      </w:pPr>
      <w:r>
        <w:t xml:space="preserve">Navigant, prepared for Newfoundland Labrador Hydro, </w:t>
      </w:r>
      <w:r>
        <w:rPr>
          <w:i/>
        </w:rPr>
        <w:t>Real Time Monitor Pilot Program: Impact and Process Evaluation</w:t>
      </w:r>
      <w:r>
        <w:t>, March 2016</w:t>
      </w:r>
    </w:p>
    <w:p w14:paraId="06D20555" w14:textId="77777777" w:rsidR="00EE5A5D" w:rsidRPr="00014230" w:rsidRDefault="00EE5A5D" w:rsidP="00557F06">
      <w:pPr>
        <w:pStyle w:val="FootnoteText"/>
      </w:pPr>
      <w:hyperlink r:id="rId8" w:history="1">
        <w:r w:rsidRPr="00821A28">
          <w:rPr>
            <w:rStyle w:val="Hyperlink"/>
            <w:sz w:val="18"/>
          </w:rPr>
          <w:t>https://www.exec.gov.nl.ca/exec/occ/publications/RTM_Complete_Rpt_F_Mar31_2016.pdf</w:t>
        </w:r>
      </w:hyperlink>
      <w:r>
        <w:t xml:space="preserve"> </w:t>
      </w:r>
    </w:p>
  </w:footnote>
  <w:footnote w:id="39">
    <w:p w14:paraId="42235044" w14:textId="77777777" w:rsidR="00EE5A5D" w:rsidRDefault="00EE5A5D" w:rsidP="00557F06">
      <w:pPr>
        <w:pStyle w:val="FootnoteText"/>
      </w:pPr>
      <w:r>
        <w:rPr>
          <w:rStyle w:val="FootnoteReference"/>
        </w:rPr>
        <w:footnoteRef/>
      </w:r>
      <w:r>
        <w:t xml:space="preserve"> CPP events only account for 18 hours off the summer.</w:t>
      </w:r>
    </w:p>
  </w:footnote>
  <w:footnote w:id="40">
    <w:p w14:paraId="061A103B" w14:textId="77777777" w:rsidR="00EE5A5D" w:rsidRDefault="00EE5A5D" w:rsidP="00964F42">
      <w:pPr>
        <w:pStyle w:val="FootnoteText"/>
      </w:pPr>
      <w:r>
        <w:rPr>
          <w:rStyle w:val="FootnoteReference"/>
        </w:rPr>
        <w:footnoteRef/>
      </w:r>
      <w:r>
        <w:t xml:space="preserve"> It has previously been noted that when participants are provided with prices that change too frequently to allow a true “real-time” response (e.g., real-time pricing), they develop a set of rules for behaviour changes that reflect their average expectations of price changes. See for example:</w:t>
      </w:r>
    </w:p>
    <w:p w14:paraId="30ED56B7" w14:textId="77777777" w:rsidR="00EE5A5D" w:rsidRDefault="00EE5A5D" w:rsidP="00964F42">
      <w:pPr>
        <w:pStyle w:val="FootnoteText"/>
      </w:pPr>
      <w:r>
        <w:t xml:space="preserve">Navigant, submitted to Ameren Illinois Utilities, </w:t>
      </w:r>
      <w:r>
        <w:rPr>
          <w:i/>
        </w:rPr>
        <w:t>Power Smart Pricing 2009 Annual Report</w:t>
      </w:r>
      <w:r>
        <w:t>, April 2010</w:t>
      </w:r>
    </w:p>
    <w:p w14:paraId="1C247590" w14:textId="77777777" w:rsidR="00EE5A5D" w:rsidRPr="00F2657A" w:rsidRDefault="00EE5A5D" w:rsidP="00964F42">
      <w:pPr>
        <w:pStyle w:val="FootnoteText"/>
      </w:pPr>
      <w:hyperlink r:id="rId9" w:history="1">
        <w:r w:rsidRPr="00821A28">
          <w:rPr>
            <w:rStyle w:val="Hyperlink"/>
            <w:rFonts w:eastAsiaTheme="majorEastAsia"/>
          </w:rPr>
          <w:t>https://www2.illinois.gov/sites/ipa/Documents/CUB-Comments-Appendix-D-2009-Navigant-Power-Smart-Pricing-Annual-Report.pdf</w:t>
        </w:r>
      </w:hyperlink>
      <w:r>
        <w:t xml:space="preserve"> </w:t>
      </w:r>
    </w:p>
  </w:footnote>
  <w:footnote w:id="41">
    <w:p w14:paraId="41FFB516" w14:textId="77777777" w:rsidR="00EE5A5D" w:rsidRDefault="00EE5A5D" w:rsidP="00BA3780">
      <w:pPr>
        <w:pStyle w:val="FootnoteText"/>
      </w:pPr>
      <w:r>
        <w:rPr>
          <w:rStyle w:val="FootnoteReference"/>
        </w:rPr>
        <w:footnoteRef/>
      </w:r>
      <w:r>
        <w:t xml:space="preserve"> In all but two cases, the participants with missing connectivity data are those participants that have exited the program prematurely.</w:t>
      </w:r>
    </w:p>
  </w:footnote>
  <w:footnote w:id="42">
    <w:p w14:paraId="09D2E8C8" w14:textId="77777777" w:rsidR="00EE5A5D" w:rsidRDefault="00EE5A5D" w:rsidP="00BA3780">
      <w:pPr>
        <w:pStyle w:val="FootnoteText"/>
      </w:pPr>
      <w:r>
        <w:rPr>
          <w:rStyle w:val="FootnoteReference"/>
        </w:rPr>
        <w:footnoteRef/>
      </w:r>
      <w:r>
        <w:t xml:space="preserve"> Interval data in fact show consumption, but since the goal of this is to estimate demand impacts, and hourly consumption and average hourly demand are equivalent values, it is shown as demand here.</w:t>
      </w:r>
    </w:p>
  </w:footnote>
  <w:footnote w:id="43">
    <w:p w14:paraId="7B3907AF" w14:textId="77777777" w:rsidR="00EE5A5D" w:rsidRDefault="00EE5A5D" w:rsidP="00BA3780">
      <w:pPr>
        <w:pStyle w:val="FootnoteText"/>
      </w:pPr>
      <w:r>
        <w:rPr>
          <w:rStyle w:val="FootnoteReference"/>
        </w:rPr>
        <w:footnoteRef/>
      </w:r>
      <w:r>
        <w:t xml:space="preserve"> Altogether this vector has 720 elements for a whole year, but only 360 for the summer, and 360 for the winter.</w:t>
      </w:r>
    </w:p>
  </w:footnote>
  <w:footnote w:id="44">
    <w:p w14:paraId="6F175E2A" w14:textId="77777777" w:rsidR="00EE5A5D" w:rsidRDefault="00EE5A5D" w:rsidP="005E277C">
      <w:pPr>
        <w:pStyle w:val="FootnoteText"/>
      </w:pPr>
      <w:r>
        <w:rPr>
          <w:rStyle w:val="FootnoteReference"/>
          <w:rFonts w:eastAsiaTheme="majorEastAsia"/>
        </w:rPr>
        <w:footnoteRef/>
      </w:r>
      <w:r>
        <w:t xml:space="preserve"> OG&amp;E, </w:t>
      </w:r>
      <w:r>
        <w:rPr>
          <w:i/>
        </w:rPr>
        <w:t>SmartHours – End of SmartHours Season</w:t>
      </w:r>
      <w:r>
        <w:t>, accessed 2019-04-03</w:t>
      </w:r>
    </w:p>
    <w:p w14:paraId="6E847607" w14:textId="77777777" w:rsidR="00EE5A5D" w:rsidRPr="00247DA6" w:rsidRDefault="00EE5A5D" w:rsidP="005E277C">
      <w:pPr>
        <w:pStyle w:val="FootnoteText"/>
      </w:pPr>
      <w:hyperlink r:id="rId10" w:history="1">
        <w:r w:rsidRPr="00247DA6">
          <w:rPr>
            <w:color w:val="0000FF"/>
            <w:szCs w:val="40"/>
            <w:u w:val="single"/>
          </w:rPr>
          <w:t>https://www.oge.com/wps/portal/oge/save-energy/smarthours/!ut/p/z1/lZFNC4JAEIZ_SwevzqQm1m1tY_0gsEK0vYSFrYK6opZ_PyEvQfYxp5nheedlZoBDDLxK7rlIulxWSTHUR26eLI1uHA-1LbMPJpK9vWSMLXRmGhCNAK7RNTQPvSEla4v6u6Wto2MA_0vPfG2DxKd0twjo3LV_1ONEEPzVfxLgn8dHwEeL6Qu8Am9W_GbiAReFPD__QaqzbgngTXpNm7RRb83QzrqublcKKtj3vSqkFEWqXmSp4DtJJtsO4lcS6jIMwxjzoIyslsxmD02c2DA!/dz/d5/L2dBISEvZ0FBIS9nQSEh/</w:t>
        </w:r>
      </w:hyperlink>
      <w:r>
        <w:rPr>
          <w:szCs w:val="40"/>
        </w:rPr>
        <w:t xml:space="preserve"> </w:t>
      </w:r>
    </w:p>
  </w:footnote>
  <w:footnote w:id="45">
    <w:p w14:paraId="6AB0E5A6" w14:textId="77777777" w:rsidR="00EE5A5D" w:rsidRDefault="00EE5A5D" w:rsidP="005E277C">
      <w:pPr>
        <w:pStyle w:val="FootnoteText"/>
      </w:pPr>
      <w:r>
        <w:rPr>
          <w:rStyle w:val="FootnoteReference"/>
          <w:rFonts w:eastAsiaTheme="majorEastAsia"/>
        </w:rPr>
        <w:footnoteRef/>
      </w:r>
      <w:r>
        <w:t xml:space="preserve"> OG&amp;E has approximately 840,000 customers of all classes. Navigant was not able to determine what proportion of these are residential customers at the time of writing, but per the Q4 2018 company financial statement, residential sales account for only about a third of total sales. This suggests that SmartHours customers could represent nearly a quarter of total residential customers.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0BCF" w14:textId="77777777" w:rsidR="00EE5A5D" w:rsidRDefault="00EE5A5D" w:rsidP="00263755">
    <w:pPr>
      <w:pStyle w:val="Header"/>
    </w:pPr>
    <w:r>
      <w:rPr>
        <w:noProof/>
      </w:rPr>
      <w:drawing>
        <wp:anchor distT="0" distB="0" distL="114300" distR="114300" simplePos="0" relativeHeight="251687424" behindDoc="1" locked="0" layoutInCell="1" allowOverlap="1" wp14:anchorId="7B27E5E7" wp14:editId="44ABC322">
          <wp:simplePos x="0" y="0"/>
          <wp:positionH relativeFrom="page">
            <wp:posOffset>219075</wp:posOffset>
          </wp:positionH>
          <wp:positionV relativeFrom="page">
            <wp:align>bottom</wp:align>
          </wp:positionV>
          <wp:extent cx="7886915" cy="1027762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triangle.jpg"/>
                  <pic:cNvPicPr/>
                </pic:nvPicPr>
                <pic:blipFill>
                  <a:blip r:embed="rId1">
                    <a:extLst>
                      <a:ext uri="{28A0092B-C50C-407E-A947-70E740481C1C}">
                        <a14:useLocalDpi xmlns:a14="http://schemas.microsoft.com/office/drawing/2010/main" val="0"/>
                      </a:ext>
                    </a:extLst>
                  </a:blip>
                  <a:stretch>
                    <a:fillRect/>
                  </a:stretch>
                </pic:blipFill>
                <pic:spPr>
                  <a:xfrm>
                    <a:off x="0" y="0"/>
                    <a:ext cx="7886915" cy="1027762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328" behindDoc="0" locked="0" layoutInCell="1" allowOverlap="1" wp14:anchorId="0C69BEB4" wp14:editId="4FC5C094">
          <wp:simplePos x="0" y="0"/>
          <wp:positionH relativeFrom="margin">
            <wp:align>left</wp:align>
          </wp:positionH>
          <wp:positionV relativeFrom="paragraph">
            <wp:posOffset>166082</wp:posOffset>
          </wp:positionV>
          <wp:extent cx="1935678" cy="33250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35678" cy="332509"/>
                  </a:xfrm>
                  <a:prstGeom prst="rect">
                    <a:avLst/>
                  </a:prstGeom>
                  <a:noFill/>
                </pic:spPr>
              </pic:pic>
            </a:graphicData>
          </a:graphic>
          <wp14:sizeRelH relativeFrom="page">
            <wp14:pctWidth>0</wp14:pctWidth>
          </wp14:sizeRelH>
          <wp14:sizeRelV relativeFrom="page">
            <wp14:pctHeight>0</wp14:pctHeight>
          </wp14:sizeRelV>
        </wp:anchor>
      </w:drawing>
    </w:r>
  </w:p>
  <w:p w14:paraId="15D7ACAA" w14:textId="77777777" w:rsidR="00EE5A5D" w:rsidRDefault="00EE5A5D" w:rsidP="00263755">
    <w:pPr>
      <w:pStyle w:val="Header"/>
    </w:pPr>
  </w:p>
  <w:p w14:paraId="0E07AC89" w14:textId="77777777" w:rsidR="00EE5A5D" w:rsidRDefault="00EE5A5D" w:rsidP="00263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EE5A5D" w14:paraId="25F0E5F0" w14:textId="77777777" w:rsidTr="00263755">
      <w:tc>
        <w:tcPr>
          <w:tcW w:w="2700" w:type="dxa"/>
          <w:vAlign w:val="center"/>
        </w:tcPr>
        <w:p w14:paraId="4EBDEF56" w14:textId="77777777" w:rsidR="00EE5A5D" w:rsidRPr="00CA09A7" w:rsidRDefault="00EE5A5D" w:rsidP="00263755">
          <w:pPr>
            <w:pStyle w:val="Header"/>
            <w:rPr>
              <w:color w:val="FFFFFF" w:themeColor="background1"/>
            </w:rPr>
          </w:pPr>
          <w:r>
            <w:rPr>
              <w:noProof/>
            </w:rPr>
            <w:drawing>
              <wp:anchor distT="0" distB="0" distL="114300" distR="114300" simplePos="0" relativeHeight="251685376" behindDoc="0" locked="0" layoutInCell="1" allowOverlap="1" wp14:anchorId="7079C8A7" wp14:editId="0B13952C">
                <wp:simplePos x="0" y="0"/>
                <wp:positionH relativeFrom="column">
                  <wp:posOffset>-67310</wp:posOffset>
                </wp:positionH>
                <wp:positionV relativeFrom="paragraph">
                  <wp:posOffset>0</wp:posOffset>
                </wp:positionV>
                <wp:extent cx="1490472" cy="2560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0472" cy="256032"/>
                        </a:xfrm>
                        <a:prstGeom prst="rect">
                          <a:avLst/>
                        </a:prstGeom>
                        <a:noFill/>
                      </pic:spPr>
                    </pic:pic>
                  </a:graphicData>
                </a:graphic>
                <wp14:sizeRelH relativeFrom="page">
                  <wp14:pctWidth>0</wp14:pctWidth>
                </wp14:sizeRelH>
                <wp14:sizeRelV relativeFrom="page">
                  <wp14:pctHeight>0</wp14:pctHeight>
                </wp14:sizeRelV>
              </wp:anchor>
            </w:drawing>
          </w:r>
        </w:p>
      </w:tc>
      <w:tc>
        <w:tcPr>
          <w:tcW w:w="6650" w:type="dxa"/>
          <w:shd w:val="clear" w:color="auto" w:fill="555759"/>
          <w:vAlign w:val="center"/>
        </w:tcPr>
        <w:p w14:paraId="6793A369" w14:textId="14AD763C" w:rsidR="00EE5A5D" w:rsidRPr="00CA09A7" w:rsidRDefault="00EE5A5D" w:rsidP="00E37696">
          <w:pPr>
            <w:pStyle w:val="ProposalTitleGreen"/>
            <w:rPr>
              <w:color w:val="FFFFFF" w:themeColor="background1"/>
            </w:rPr>
          </w:pPr>
          <w:r w:rsidRPr="00CA09A7">
            <w:rPr>
              <w:color w:val="FFFFFF" w:themeColor="background1"/>
            </w:rPr>
            <w:fldChar w:fldCharType="begin"/>
          </w:r>
          <w:r w:rsidRPr="00CA09A7">
            <w:rPr>
              <w:color w:val="FFFFFF" w:themeColor="background1"/>
            </w:rPr>
            <w:instrText xml:space="preserve"> STYLEREF  "Title,Proposal Title"  \* MERGEFORMAT </w:instrText>
          </w:r>
          <w:r w:rsidRPr="00CA09A7">
            <w:rPr>
              <w:color w:val="FFFFFF" w:themeColor="background1"/>
            </w:rPr>
            <w:fldChar w:fldCharType="separate"/>
          </w:r>
          <w:r w:rsidR="00F31191">
            <w:rPr>
              <w:noProof/>
              <w:color w:val="FFFFFF" w:themeColor="background1"/>
            </w:rPr>
            <w:t>Regulated Price Plan Roadmap Pilot Program Interim Impact Evaluation: Summer 2018</w:t>
          </w:r>
          <w:r w:rsidRPr="00CA09A7">
            <w:rPr>
              <w:noProof/>
              <w:color w:val="FFFFFF" w:themeColor="background1"/>
            </w:rPr>
            <w:fldChar w:fldCharType="end"/>
          </w:r>
        </w:p>
      </w:tc>
    </w:tr>
  </w:tbl>
  <w:p w14:paraId="25B1E628" w14:textId="77777777" w:rsidR="00EE5A5D" w:rsidRDefault="00EE5A5D" w:rsidP="0026375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64CB"/>
    <w:multiLevelType w:val="hybridMultilevel"/>
    <w:tmpl w:val="17D2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30F"/>
    <w:multiLevelType w:val="hybridMultilevel"/>
    <w:tmpl w:val="734C8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179FF"/>
    <w:multiLevelType w:val="multilevel"/>
    <w:tmpl w:val="32C4DE42"/>
    <w:lvl w:ilvl="0">
      <w:start w:val="1"/>
      <w:numFmt w:val="decimal"/>
      <w:pStyle w:val="Heading1"/>
      <w:suff w:val="space"/>
      <w:lvlText w:val="%1."/>
      <w:lvlJc w:val="left"/>
      <w:pPr>
        <w:ind w:left="432" w:hanging="432"/>
      </w:pPr>
      <w:rPr>
        <w:rFonts w:ascii="Arial" w:hAnsi="Arial" w:cs="Arial" w:hint="default"/>
        <w:b/>
        <w:i w:val="0"/>
        <w:color w:val="95D600" w:themeColor="accent1"/>
        <w:sz w:val="28"/>
        <w:szCs w:val="26"/>
      </w:rPr>
    </w:lvl>
    <w:lvl w:ilvl="1">
      <w:start w:val="1"/>
      <w:numFmt w:val="decimal"/>
      <w:pStyle w:val="Heading2"/>
      <w:suff w:val="space"/>
      <w:lvlText w:val="%1.%2"/>
      <w:lvlJc w:val="left"/>
      <w:pPr>
        <w:ind w:left="720" w:hanging="720"/>
      </w:pPr>
      <w:rPr>
        <w:rFonts w:ascii="Arial" w:hAnsi="Arial" w:cs="Arial" w:hint="default"/>
        <w:b/>
        <w:i w:val="0"/>
        <w:color w:val="555759" w:themeColor="text2"/>
        <w:sz w:val="26"/>
        <w:szCs w:val="26"/>
      </w:rPr>
    </w:lvl>
    <w:lvl w:ilvl="2">
      <w:start w:val="1"/>
      <w:numFmt w:val="decimal"/>
      <w:pStyle w:val="Heading3"/>
      <w:suff w:val="space"/>
      <w:lvlText w:val="%1.%2.%3"/>
      <w:lvlJc w:val="left"/>
      <w:pPr>
        <w:ind w:left="720" w:hanging="720"/>
      </w:pPr>
      <w:rPr>
        <w:rFonts w:ascii="Arial" w:hAnsi="Arial" w:cs="Arial" w:hint="default"/>
        <w:b/>
        <w:i/>
        <w:color w:val="555759" w:themeColor="text2"/>
        <w:sz w:val="22"/>
      </w:rPr>
    </w:lvl>
    <w:lvl w:ilvl="3">
      <w:start w:val="1"/>
      <w:numFmt w:val="decimal"/>
      <w:pStyle w:val="Heading4"/>
      <w:suff w:val="space"/>
      <w:lvlText w:val="%1.%2.%3.%4"/>
      <w:lvlJc w:val="left"/>
      <w:pPr>
        <w:ind w:left="864" w:hanging="864"/>
      </w:pPr>
      <w:rPr>
        <w:rFonts w:ascii="Arial" w:hAnsi="Arial" w:cs="Arial" w:hint="default"/>
        <w:b/>
        <w:i/>
        <w:color w:val="555759"/>
        <w:kern w:val="0"/>
        <w:position w:val="0"/>
        <w:sz w:val="20"/>
        <w:szCs w:val="20"/>
      </w:rPr>
    </w:lvl>
    <w:lvl w:ilvl="4">
      <w:start w:val="1"/>
      <w:numFmt w:val="upperLetter"/>
      <w:pStyle w:val="Heading5"/>
      <w:suff w:val="space"/>
      <w:lvlText w:val="Appendix %5."/>
      <w:lvlJc w:val="left"/>
      <w:pPr>
        <w:ind w:left="1098" w:hanging="1098"/>
      </w:pPr>
      <w:rPr>
        <w:rFonts w:hint="default"/>
        <w:b/>
        <w:bCs w:val="0"/>
        <w:i w:val="0"/>
        <w:iCs w:val="0"/>
        <w:caps/>
        <w:smallCaps w:val="0"/>
        <w:strike w:val="0"/>
        <w:dstrike w:val="0"/>
        <w:noProof w:val="0"/>
        <w:vanish w:val="0"/>
        <w:color w:val="95D60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5.%6"/>
      <w:lvlJc w:val="left"/>
      <w:pPr>
        <w:ind w:left="720" w:hanging="720"/>
      </w:pPr>
      <w:rPr>
        <w:rFonts w:ascii="Arial" w:hAnsi="Arial" w:cs="Arial" w:hint="default"/>
        <w:b/>
        <w:i w:val="0"/>
        <w:color w:val="555759" w:themeColor="text2"/>
        <w:kern w:val="0"/>
        <w:sz w:val="24"/>
      </w:rPr>
    </w:lvl>
    <w:lvl w:ilvl="6">
      <w:start w:val="1"/>
      <w:numFmt w:val="none"/>
      <w:lvlText w:val=""/>
      <w:lvlJc w:val="left"/>
      <w:pPr>
        <w:ind w:left="720" w:hanging="720"/>
      </w:pPr>
      <w:rPr>
        <w:rFonts w:ascii="Palatino Linotype" w:hAnsi="Palatino Linotype" w:hint="default"/>
        <w:b/>
        <w:i/>
        <w:color w:val="auto"/>
        <w:sz w:val="24"/>
      </w:rPr>
    </w:lvl>
    <w:lvl w:ilvl="7">
      <w:start w:val="1"/>
      <w:numFmt w:val="none"/>
      <w:lvlText w:val=""/>
      <w:lvlJc w:val="left"/>
      <w:pPr>
        <w:ind w:left="720" w:hanging="720"/>
      </w:pPr>
      <w:rPr>
        <w:rFonts w:ascii="Arial Narrow" w:hAnsi="Arial Narrow" w:hint="default"/>
        <w:b/>
        <w:i w:val="0"/>
        <w:color w:val="A15500"/>
        <w:sz w:val="20"/>
        <w:u w:color="FFFFFF" w:themeColor="background1"/>
      </w:rPr>
    </w:lvl>
    <w:lvl w:ilvl="8">
      <w:start w:val="1"/>
      <w:numFmt w:val="none"/>
      <w:lvlText w:val=""/>
      <w:lvlJc w:val="left"/>
      <w:pPr>
        <w:ind w:left="1584" w:hanging="1584"/>
      </w:pPr>
      <w:rPr>
        <w:rFonts w:hint="default"/>
      </w:rPr>
    </w:lvl>
  </w:abstractNum>
  <w:abstractNum w:abstractNumId="3" w15:restartNumberingAfterBreak="0">
    <w:nsid w:val="0AA515A1"/>
    <w:multiLevelType w:val="hybridMultilevel"/>
    <w:tmpl w:val="00DC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87A64"/>
    <w:multiLevelType w:val="hybridMultilevel"/>
    <w:tmpl w:val="4CCA65C2"/>
    <w:lvl w:ilvl="0" w:tplc="D61A54C8">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3512FEB"/>
    <w:multiLevelType w:val="hybridMultilevel"/>
    <w:tmpl w:val="B44C4D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65809"/>
    <w:multiLevelType w:val="hybridMultilevel"/>
    <w:tmpl w:val="2270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77BB7"/>
    <w:multiLevelType w:val="hybridMultilevel"/>
    <w:tmpl w:val="E95A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17DFB"/>
    <w:multiLevelType w:val="hybridMultilevel"/>
    <w:tmpl w:val="B0F4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26895"/>
    <w:multiLevelType w:val="hybridMultilevel"/>
    <w:tmpl w:val="D316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D6028"/>
    <w:multiLevelType w:val="hybridMultilevel"/>
    <w:tmpl w:val="46E4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36D"/>
    <w:multiLevelType w:val="hybridMultilevel"/>
    <w:tmpl w:val="7A84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8724CA"/>
    <w:multiLevelType w:val="hybridMultilevel"/>
    <w:tmpl w:val="04C8E92A"/>
    <w:lvl w:ilvl="0" w:tplc="D61A5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C47194"/>
    <w:multiLevelType w:val="hybridMultilevel"/>
    <w:tmpl w:val="0B78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122D4"/>
    <w:multiLevelType w:val="hybridMultilevel"/>
    <w:tmpl w:val="0122B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122C2"/>
    <w:multiLevelType w:val="hybridMultilevel"/>
    <w:tmpl w:val="26A86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A0FDC"/>
    <w:multiLevelType w:val="hybridMultilevel"/>
    <w:tmpl w:val="2840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E6E09"/>
    <w:multiLevelType w:val="hybridMultilevel"/>
    <w:tmpl w:val="50F09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63C70"/>
    <w:multiLevelType w:val="hybridMultilevel"/>
    <w:tmpl w:val="A864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BB7393"/>
    <w:multiLevelType w:val="hybridMultilevel"/>
    <w:tmpl w:val="48F8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225F87"/>
    <w:multiLevelType w:val="hybridMultilevel"/>
    <w:tmpl w:val="581A3B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E32CBF"/>
    <w:multiLevelType w:val="hybridMultilevel"/>
    <w:tmpl w:val="9F809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5C3A8B"/>
    <w:multiLevelType w:val="hybridMultilevel"/>
    <w:tmpl w:val="02C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D4BF9"/>
    <w:multiLevelType w:val="hybridMultilevel"/>
    <w:tmpl w:val="9DBA7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34F3F"/>
    <w:multiLevelType w:val="hybridMultilevel"/>
    <w:tmpl w:val="88C2E3EC"/>
    <w:lvl w:ilvl="0" w:tplc="57106754">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D65ACC"/>
    <w:multiLevelType w:val="hybridMultilevel"/>
    <w:tmpl w:val="2FE6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9B4D00"/>
    <w:multiLevelType w:val="hybridMultilevel"/>
    <w:tmpl w:val="D60E6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
  </w:num>
  <w:num w:numId="3">
    <w:abstractNumId w:val="6"/>
  </w:num>
  <w:num w:numId="4">
    <w:abstractNumId w:val="20"/>
  </w:num>
  <w:num w:numId="5">
    <w:abstractNumId w:val="14"/>
  </w:num>
  <w:num w:numId="6">
    <w:abstractNumId w:val="2"/>
  </w:num>
  <w:num w:numId="7">
    <w:abstractNumId w:val="13"/>
  </w:num>
  <w:num w:numId="8">
    <w:abstractNumId w:val="30"/>
  </w:num>
  <w:num w:numId="9">
    <w:abstractNumId w:val="2"/>
    <w:lvlOverride w:ilvl="0">
      <w:lvl w:ilvl="0">
        <w:start w:val="1"/>
        <w:numFmt w:val="decimal"/>
        <w:pStyle w:val="Heading1"/>
        <w:suff w:val="space"/>
        <w:lvlText w:val="%1."/>
        <w:lvlJc w:val="left"/>
        <w:pPr>
          <w:ind w:left="432" w:hanging="432"/>
        </w:pPr>
        <w:rPr>
          <w:rFonts w:ascii="Arial Bold" w:hAnsi="Arial Bold" w:hint="default"/>
          <w:b/>
          <w:i w:val="0"/>
          <w:color w:val="FFFFFF" w:themeColor="background1"/>
          <w:sz w:val="26"/>
          <w:szCs w:val="26"/>
        </w:rPr>
      </w:lvl>
    </w:lvlOverride>
    <w:lvlOverride w:ilvl="1">
      <w:lvl w:ilvl="1">
        <w:start w:val="1"/>
        <w:numFmt w:val="decimal"/>
        <w:pStyle w:val="Heading2"/>
        <w:suff w:val="space"/>
        <w:lvlText w:val="%1.%2"/>
        <w:lvlJc w:val="left"/>
        <w:pPr>
          <w:ind w:left="720" w:hanging="720"/>
        </w:pPr>
        <w:rPr>
          <w:rFonts w:ascii="Arial Bold" w:hAnsi="Arial Bold" w:hint="default"/>
          <w:b/>
          <w:i w:val="0"/>
          <w:color w:val="95D600"/>
          <w:sz w:val="26"/>
        </w:rPr>
      </w:lvl>
    </w:lvlOverride>
    <w:lvlOverride w:ilvl="2">
      <w:lvl w:ilvl="2">
        <w:start w:val="1"/>
        <w:numFmt w:val="decimal"/>
        <w:pStyle w:val="Heading3"/>
        <w:suff w:val="space"/>
        <w:lvlText w:val="%1.%2.%3"/>
        <w:lvlJc w:val="left"/>
        <w:pPr>
          <w:ind w:left="720" w:hanging="720"/>
        </w:pPr>
        <w:rPr>
          <w:rFonts w:ascii="Arial" w:hAnsi="Arial" w:cs="Arial" w:hint="default"/>
          <w:b/>
          <w:i/>
          <w:color w:val="545759"/>
          <w:sz w:val="22"/>
          <w:szCs w:val="22"/>
        </w:rPr>
      </w:lvl>
    </w:lvlOverride>
    <w:lvlOverride w:ilvl="3">
      <w:lvl w:ilvl="3">
        <w:start w:val="1"/>
        <w:numFmt w:val="decimal"/>
        <w:pStyle w:val="Heading4"/>
        <w:suff w:val="space"/>
        <w:lvlText w:val="%1.%2.%3.%4"/>
        <w:lvlJc w:val="left"/>
        <w:pPr>
          <w:ind w:left="864" w:hanging="864"/>
        </w:pPr>
        <w:rPr>
          <w:rFonts w:ascii="Arial Bold" w:hAnsi="Arial Bold" w:hint="default"/>
          <w:b/>
          <w:i/>
          <w:color w:val="555759"/>
          <w:kern w:val="0"/>
          <w:position w:val="0"/>
          <w:sz w:val="22"/>
        </w:rPr>
      </w:lvl>
    </w:lvlOverride>
    <w:lvlOverride w:ilvl="4">
      <w:lvl w:ilvl="4">
        <w:start w:val="1"/>
        <w:numFmt w:val="upperLetter"/>
        <w:pStyle w:val="Heading5"/>
        <w:suff w:val="space"/>
        <w:lvlText w:val="Appendix %5."/>
        <w:lvlJc w:val="left"/>
        <w:pPr>
          <w:ind w:left="1098" w:hanging="1008"/>
        </w:pPr>
        <w:rPr>
          <w:rFonts w:ascii="Arial Bold" w:hAnsi="Arial Bold" w:hint="default"/>
          <w:b/>
          <w:i w:val="0"/>
          <w:caps/>
          <w:color w:val="FFFFFF" w:themeColor="background1"/>
          <w:kern w:val="28"/>
          <w:position w:val="6"/>
          <w:sz w:val="26"/>
          <w:szCs w:val="26"/>
        </w:rPr>
      </w:lvl>
    </w:lvlOverride>
    <w:lvlOverride w:ilvl="5">
      <w:lvl w:ilvl="5">
        <w:start w:val="1"/>
        <w:numFmt w:val="decimal"/>
        <w:pStyle w:val="Heading6"/>
        <w:suff w:val="space"/>
        <w:lvlText w:val="%5.%6"/>
        <w:lvlJc w:val="left"/>
        <w:pPr>
          <w:ind w:left="720" w:hanging="720"/>
        </w:pPr>
        <w:rPr>
          <w:rFonts w:ascii="Arial Bold" w:hAnsi="Arial Bold" w:hint="default"/>
          <w:b/>
          <w:i w:val="0"/>
          <w:color w:val="95D600" w:themeColor="accent1"/>
          <w:kern w:val="0"/>
          <w:sz w:val="24"/>
        </w:rPr>
      </w:lvl>
    </w:lvlOverride>
    <w:lvlOverride w:ilvl="6">
      <w:lvl w:ilvl="6">
        <w:start w:val="1"/>
        <w:numFmt w:val="none"/>
        <w:lvlText w:val=""/>
        <w:lvlJc w:val="left"/>
        <w:pPr>
          <w:ind w:left="720" w:hanging="720"/>
        </w:pPr>
        <w:rPr>
          <w:rFonts w:ascii="Palatino Linotype" w:hAnsi="Palatino Linotype" w:hint="default"/>
          <w:b/>
          <w:i/>
          <w:color w:val="auto"/>
          <w:sz w:val="24"/>
        </w:rPr>
      </w:lvl>
    </w:lvlOverride>
    <w:lvlOverride w:ilvl="7">
      <w:lvl w:ilvl="7">
        <w:start w:val="1"/>
        <w:numFmt w:val="none"/>
        <w:lvlText w:val=""/>
        <w:lvlJc w:val="left"/>
        <w:pPr>
          <w:ind w:left="720" w:hanging="720"/>
        </w:pPr>
        <w:rPr>
          <w:rFonts w:ascii="Arial Narrow" w:hAnsi="Arial Narrow" w:hint="default"/>
          <w:b/>
          <w:i w:val="0"/>
          <w:color w:val="A15500"/>
          <w:sz w:val="20"/>
          <w:u w:color="FFFFFF" w:themeColor="background1"/>
        </w:rPr>
      </w:lvl>
    </w:lvlOverride>
    <w:lvlOverride w:ilvl="8">
      <w:lvl w:ilvl="8">
        <w:start w:val="1"/>
        <w:numFmt w:val="none"/>
        <w:lvlText w:val=""/>
        <w:lvlJc w:val="left"/>
        <w:pPr>
          <w:ind w:left="1584" w:hanging="1584"/>
        </w:pPr>
        <w:rPr>
          <w:rFonts w:hint="default"/>
        </w:rPr>
      </w:lvl>
    </w:lvlOverride>
  </w:num>
  <w:num w:numId="10">
    <w:abstractNumId w:val="28"/>
  </w:num>
  <w:num w:numId="11">
    <w:abstractNumId w:val="15"/>
  </w:num>
  <w:num w:numId="12">
    <w:abstractNumId w:val="1"/>
  </w:num>
  <w:num w:numId="13">
    <w:abstractNumId w:val="32"/>
  </w:num>
  <w:num w:numId="14">
    <w:abstractNumId w:val="23"/>
  </w:num>
  <w:num w:numId="15">
    <w:abstractNumId w:val="4"/>
  </w:num>
  <w:num w:numId="16">
    <w:abstractNumId w:val="7"/>
  </w:num>
  <w:num w:numId="17">
    <w:abstractNumId w:val="16"/>
  </w:num>
  <w:num w:numId="18">
    <w:abstractNumId w:val="27"/>
  </w:num>
  <w:num w:numId="19">
    <w:abstractNumId w:val="9"/>
  </w:num>
  <w:num w:numId="20">
    <w:abstractNumId w:val="29"/>
  </w:num>
  <w:num w:numId="21">
    <w:abstractNumId w:val="26"/>
  </w:num>
  <w:num w:numId="22">
    <w:abstractNumId w:val="22"/>
  </w:num>
  <w:num w:numId="23">
    <w:abstractNumId w:val="10"/>
  </w:num>
  <w:num w:numId="24">
    <w:abstractNumId w:val="31"/>
  </w:num>
  <w:num w:numId="25">
    <w:abstractNumId w:val="25"/>
  </w:num>
  <w:num w:numId="26">
    <w:abstractNumId w:val="21"/>
  </w:num>
  <w:num w:numId="27">
    <w:abstractNumId w:val="12"/>
  </w:num>
  <w:num w:numId="28">
    <w:abstractNumId w:val="24"/>
  </w:num>
  <w:num w:numId="29">
    <w:abstractNumId w:val="8"/>
  </w:num>
  <w:num w:numId="30">
    <w:abstractNumId w:val="11"/>
  </w:num>
  <w:num w:numId="31">
    <w:abstractNumId w:val="18"/>
  </w:num>
  <w:num w:numId="32">
    <w:abstractNumId w:val="3"/>
  </w:num>
  <w:num w:numId="33">
    <w:abstractNumId w:val="17"/>
  </w:num>
  <w:num w:numId="3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BC"/>
    <w:rsid w:val="00002101"/>
    <w:rsid w:val="0000384B"/>
    <w:rsid w:val="0000450F"/>
    <w:rsid w:val="00005803"/>
    <w:rsid w:val="00007C30"/>
    <w:rsid w:val="00012FBE"/>
    <w:rsid w:val="00013F91"/>
    <w:rsid w:val="00014230"/>
    <w:rsid w:val="000157F9"/>
    <w:rsid w:val="00021CDF"/>
    <w:rsid w:val="000222C1"/>
    <w:rsid w:val="0002316D"/>
    <w:rsid w:val="00023D0C"/>
    <w:rsid w:val="000245F7"/>
    <w:rsid w:val="00024F11"/>
    <w:rsid w:val="000253AB"/>
    <w:rsid w:val="00025E73"/>
    <w:rsid w:val="0002697C"/>
    <w:rsid w:val="00026BD9"/>
    <w:rsid w:val="00032256"/>
    <w:rsid w:val="00032A54"/>
    <w:rsid w:val="00041DBE"/>
    <w:rsid w:val="000427D4"/>
    <w:rsid w:val="0004343E"/>
    <w:rsid w:val="00044105"/>
    <w:rsid w:val="00044148"/>
    <w:rsid w:val="00045E94"/>
    <w:rsid w:val="0005017F"/>
    <w:rsid w:val="00050476"/>
    <w:rsid w:val="00050BCB"/>
    <w:rsid w:val="00052075"/>
    <w:rsid w:val="00052128"/>
    <w:rsid w:val="00053BD2"/>
    <w:rsid w:val="000601D7"/>
    <w:rsid w:val="00060371"/>
    <w:rsid w:val="000615C0"/>
    <w:rsid w:val="00064B2F"/>
    <w:rsid w:val="000669F0"/>
    <w:rsid w:val="00071CBF"/>
    <w:rsid w:val="00083825"/>
    <w:rsid w:val="00083B73"/>
    <w:rsid w:val="000904DC"/>
    <w:rsid w:val="000972A9"/>
    <w:rsid w:val="000A03B3"/>
    <w:rsid w:val="000A3784"/>
    <w:rsid w:val="000A38CE"/>
    <w:rsid w:val="000B085B"/>
    <w:rsid w:val="000B1B4C"/>
    <w:rsid w:val="000B2D1E"/>
    <w:rsid w:val="000B3045"/>
    <w:rsid w:val="000C106F"/>
    <w:rsid w:val="000C20F4"/>
    <w:rsid w:val="000C2CB0"/>
    <w:rsid w:val="000C4628"/>
    <w:rsid w:val="000C6D87"/>
    <w:rsid w:val="000D105F"/>
    <w:rsid w:val="000D54AD"/>
    <w:rsid w:val="000D5F0E"/>
    <w:rsid w:val="000D6C6A"/>
    <w:rsid w:val="000E00B2"/>
    <w:rsid w:val="000E5A68"/>
    <w:rsid w:val="000F0295"/>
    <w:rsid w:val="000F20A3"/>
    <w:rsid w:val="000F2625"/>
    <w:rsid w:val="000F6019"/>
    <w:rsid w:val="00102D8C"/>
    <w:rsid w:val="001031CB"/>
    <w:rsid w:val="001039DD"/>
    <w:rsid w:val="00104A39"/>
    <w:rsid w:val="00113E9C"/>
    <w:rsid w:val="0011664D"/>
    <w:rsid w:val="001167D5"/>
    <w:rsid w:val="00122E70"/>
    <w:rsid w:val="00123751"/>
    <w:rsid w:val="00124A6C"/>
    <w:rsid w:val="00125099"/>
    <w:rsid w:val="001254CB"/>
    <w:rsid w:val="00127E6A"/>
    <w:rsid w:val="00130123"/>
    <w:rsid w:val="00130CA6"/>
    <w:rsid w:val="0013361D"/>
    <w:rsid w:val="001345CB"/>
    <w:rsid w:val="00134E52"/>
    <w:rsid w:val="00136C06"/>
    <w:rsid w:val="001374D9"/>
    <w:rsid w:val="0014062A"/>
    <w:rsid w:val="00140F43"/>
    <w:rsid w:val="001412F5"/>
    <w:rsid w:val="001503E3"/>
    <w:rsid w:val="00151674"/>
    <w:rsid w:val="001535D3"/>
    <w:rsid w:val="00154839"/>
    <w:rsid w:val="0016191D"/>
    <w:rsid w:val="00167289"/>
    <w:rsid w:val="00173661"/>
    <w:rsid w:val="00175B18"/>
    <w:rsid w:val="00177191"/>
    <w:rsid w:val="001806B8"/>
    <w:rsid w:val="0018088E"/>
    <w:rsid w:val="0018310B"/>
    <w:rsid w:val="00186913"/>
    <w:rsid w:val="00194F48"/>
    <w:rsid w:val="00195E34"/>
    <w:rsid w:val="001A467A"/>
    <w:rsid w:val="001A54F6"/>
    <w:rsid w:val="001B0A63"/>
    <w:rsid w:val="001B1AC3"/>
    <w:rsid w:val="001B21E5"/>
    <w:rsid w:val="001C0EAF"/>
    <w:rsid w:val="001C0F93"/>
    <w:rsid w:val="001C3BFC"/>
    <w:rsid w:val="001C3DE3"/>
    <w:rsid w:val="001C4B46"/>
    <w:rsid w:val="001C5BA2"/>
    <w:rsid w:val="001D21DF"/>
    <w:rsid w:val="001D3D85"/>
    <w:rsid w:val="001D4B4F"/>
    <w:rsid w:val="001E4D43"/>
    <w:rsid w:val="001E6048"/>
    <w:rsid w:val="001E6B62"/>
    <w:rsid w:val="001F1E8B"/>
    <w:rsid w:val="001F4B2F"/>
    <w:rsid w:val="001F4D0B"/>
    <w:rsid w:val="002021E7"/>
    <w:rsid w:val="0020410C"/>
    <w:rsid w:val="00204BA0"/>
    <w:rsid w:val="00210591"/>
    <w:rsid w:val="0021166E"/>
    <w:rsid w:val="002146C5"/>
    <w:rsid w:val="00215CDD"/>
    <w:rsid w:val="002162BF"/>
    <w:rsid w:val="002225CD"/>
    <w:rsid w:val="00223557"/>
    <w:rsid w:val="00224747"/>
    <w:rsid w:val="002247C8"/>
    <w:rsid w:val="00227D8D"/>
    <w:rsid w:val="00230217"/>
    <w:rsid w:val="002327C6"/>
    <w:rsid w:val="0023376C"/>
    <w:rsid w:val="00234E8D"/>
    <w:rsid w:val="00243DC6"/>
    <w:rsid w:val="00246B8E"/>
    <w:rsid w:val="00250E44"/>
    <w:rsid w:val="00252CCD"/>
    <w:rsid w:val="00253BA2"/>
    <w:rsid w:val="0025427C"/>
    <w:rsid w:val="00254446"/>
    <w:rsid w:val="00262683"/>
    <w:rsid w:val="00262D38"/>
    <w:rsid w:val="00263755"/>
    <w:rsid w:val="00272A86"/>
    <w:rsid w:val="002744EA"/>
    <w:rsid w:val="0027565C"/>
    <w:rsid w:val="0028325A"/>
    <w:rsid w:val="00284B90"/>
    <w:rsid w:val="00285D33"/>
    <w:rsid w:val="00287B0B"/>
    <w:rsid w:val="0029250B"/>
    <w:rsid w:val="0029544E"/>
    <w:rsid w:val="002966AB"/>
    <w:rsid w:val="00297B8A"/>
    <w:rsid w:val="002A2726"/>
    <w:rsid w:val="002A7ABE"/>
    <w:rsid w:val="002B19FD"/>
    <w:rsid w:val="002B335F"/>
    <w:rsid w:val="002B359E"/>
    <w:rsid w:val="002B3922"/>
    <w:rsid w:val="002B3A85"/>
    <w:rsid w:val="002B5155"/>
    <w:rsid w:val="002C3A79"/>
    <w:rsid w:val="002C5EBC"/>
    <w:rsid w:val="002C663C"/>
    <w:rsid w:val="002D00F4"/>
    <w:rsid w:val="002D472C"/>
    <w:rsid w:val="002D632D"/>
    <w:rsid w:val="002D7723"/>
    <w:rsid w:val="002D7CDC"/>
    <w:rsid w:val="002E4C9C"/>
    <w:rsid w:val="002E572D"/>
    <w:rsid w:val="002E5786"/>
    <w:rsid w:val="002F1ADB"/>
    <w:rsid w:val="002F2124"/>
    <w:rsid w:val="002F68B4"/>
    <w:rsid w:val="002F7BF5"/>
    <w:rsid w:val="0030192D"/>
    <w:rsid w:val="003058AA"/>
    <w:rsid w:val="00310947"/>
    <w:rsid w:val="0031453C"/>
    <w:rsid w:val="003209E3"/>
    <w:rsid w:val="00320B96"/>
    <w:rsid w:val="00321B8F"/>
    <w:rsid w:val="003237F1"/>
    <w:rsid w:val="00325247"/>
    <w:rsid w:val="00326CDB"/>
    <w:rsid w:val="00330DF4"/>
    <w:rsid w:val="003326F2"/>
    <w:rsid w:val="00334319"/>
    <w:rsid w:val="0034086D"/>
    <w:rsid w:val="003424F9"/>
    <w:rsid w:val="0034348C"/>
    <w:rsid w:val="003505C2"/>
    <w:rsid w:val="00353ADC"/>
    <w:rsid w:val="00355DC7"/>
    <w:rsid w:val="00361E01"/>
    <w:rsid w:val="003629AA"/>
    <w:rsid w:val="00362CB7"/>
    <w:rsid w:val="00362E43"/>
    <w:rsid w:val="00363680"/>
    <w:rsid w:val="003641B8"/>
    <w:rsid w:val="003657CE"/>
    <w:rsid w:val="003666BA"/>
    <w:rsid w:val="00372DD1"/>
    <w:rsid w:val="00376D0E"/>
    <w:rsid w:val="00377A47"/>
    <w:rsid w:val="00380FB9"/>
    <w:rsid w:val="003858E9"/>
    <w:rsid w:val="0038786A"/>
    <w:rsid w:val="00390DEE"/>
    <w:rsid w:val="00390E19"/>
    <w:rsid w:val="003945EA"/>
    <w:rsid w:val="003A0986"/>
    <w:rsid w:val="003A368A"/>
    <w:rsid w:val="003A3A85"/>
    <w:rsid w:val="003A5CBB"/>
    <w:rsid w:val="003B0675"/>
    <w:rsid w:val="003B469E"/>
    <w:rsid w:val="003B4802"/>
    <w:rsid w:val="003B59BA"/>
    <w:rsid w:val="003B5C24"/>
    <w:rsid w:val="003B7884"/>
    <w:rsid w:val="003C2962"/>
    <w:rsid w:val="003C46A8"/>
    <w:rsid w:val="003C4758"/>
    <w:rsid w:val="003C5CCD"/>
    <w:rsid w:val="003C61B8"/>
    <w:rsid w:val="003C72CC"/>
    <w:rsid w:val="003D26EE"/>
    <w:rsid w:val="003D36AB"/>
    <w:rsid w:val="003D3A23"/>
    <w:rsid w:val="003D6774"/>
    <w:rsid w:val="003D6E6D"/>
    <w:rsid w:val="003E0DD3"/>
    <w:rsid w:val="003E2C35"/>
    <w:rsid w:val="003E6ABC"/>
    <w:rsid w:val="003E6DAB"/>
    <w:rsid w:val="003F06A1"/>
    <w:rsid w:val="00403A63"/>
    <w:rsid w:val="004045C5"/>
    <w:rsid w:val="004071DF"/>
    <w:rsid w:val="00407C3B"/>
    <w:rsid w:val="00413291"/>
    <w:rsid w:val="004166CF"/>
    <w:rsid w:val="00416D1E"/>
    <w:rsid w:val="004175F4"/>
    <w:rsid w:val="00420F9B"/>
    <w:rsid w:val="00421870"/>
    <w:rsid w:val="0042309A"/>
    <w:rsid w:val="0043500D"/>
    <w:rsid w:val="00436A8E"/>
    <w:rsid w:val="00441F9D"/>
    <w:rsid w:val="004465B4"/>
    <w:rsid w:val="00451A5C"/>
    <w:rsid w:val="00454CCE"/>
    <w:rsid w:val="00455601"/>
    <w:rsid w:val="00462040"/>
    <w:rsid w:val="00462685"/>
    <w:rsid w:val="00463BCD"/>
    <w:rsid w:val="00470E6D"/>
    <w:rsid w:val="004721FB"/>
    <w:rsid w:val="004724A0"/>
    <w:rsid w:val="00472513"/>
    <w:rsid w:val="00474639"/>
    <w:rsid w:val="00476BCF"/>
    <w:rsid w:val="00476F49"/>
    <w:rsid w:val="0048021A"/>
    <w:rsid w:val="004843AB"/>
    <w:rsid w:val="004912E2"/>
    <w:rsid w:val="00495117"/>
    <w:rsid w:val="00497533"/>
    <w:rsid w:val="004A3B1F"/>
    <w:rsid w:val="004A50BE"/>
    <w:rsid w:val="004A567A"/>
    <w:rsid w:val="004A701E"/>
    <w:rsid w:val="004A7D97"/>
    <w:rsid w:val="004B393C"/>
    <w:rsid w:val="004B4F5F"/>
    <w:rsid w:val="004B634F"/>
    <w:rsid w:val="004B698E"/>
    <w:rsid w:val="004B7C53"/>
    <w:rsid w:val="004C1051"/>
    <w:rsid w:val="004C1C32"/>
    <w:rsid w:val="004C38FE"/>
    <w:rsid w:val="004D4E8F"/>
    <w:rsid w:val="004E2DCF"/>
    <w:rsid w:val="004E386B"/>
    <w:rsid w:val="004E4D46"/>
    <w:rsid w:val="004E7A99"/>
    <w:rsid w:val="004F42B5"/>
    <w:rsid w:val="004F4D54"/>
    <w:rsid w:val="004F6356"/>
    <w:rsid w:val="00500293"/>
    <w:rsid w:val="00500626"/>
    <w:rsid w:val="00500D7A"/>
    <w:rsid w:val="005044E7"/>
    <w:rsid w:val="00505E45"/>
    <w:rsid w:val="005150F3"/>
    <w:rsid w:val="00515B53"/>
    <w:rsid w:val="00516276"/>
    <w:rsid w:val="00516BF3"/>
    <w:rsid w:val="0051710C"/>
    <w:rsid w:val="005226DB"/>
    <w:rsid w:val="00522A51"/>
    <w:rsid w:val="00522F1F"/>
    <w:rsid w:val="0053380C"/>
    <w:rsid w:val="00536E3F"/>
    <w:rsid w:val="00540340"/>
    <w:rsid w:val="005426E4"/>
    <w:rsid w:val="00543C9C"/>
    <w:rsid w:val="0054437D"/>
    <w:rsid w:val="00544D36"/>
    <w:rsid w:val="00550488"/>
    <w:rsid w:val="00550AB7"/>
    <w:rsid w:val="005510D2"/>
    <w:rsid w:val="005517FF"/>
    <w:rsid w:val="00554101"/>
    <w:rsid w:val="0055420D"/>
    <w:rsid w:val="005543EB"/>
    <w:rsid w:val="00557403"/>
    <w:rsid w:val="00557F06"/>
    <w:rsid w:val="00560D84"/>
    <w:rsid w:val="005652BA"/>
    <w:rsid w:val="00566A09"/>
    <w:rsid w:val="00573807"/>
    <w:rsid w:val="00573AFD"/>
    <w:rsid w:val="005821DF"/>
    <w:rsid w:val="00587FD0"/>
    <w:rsid w:val="00590619"/>
    <w:rsid w:val="00590834"/>
    <w:rsid w:val="00590A8F"/>
    <w:rsid w:val="00592A30"/>
    <w:rsid w:val="00593CAA"/>
    <w:rsid w:val="005A28FB"/>
    <w:rsid w:val="005A37F9"/>
    <w:rsid w:val="005A3F75"/>
    <w:rsid w:val="005A61C8"/>
    <w:rsid w:val="005B14FD"/>
    <w:rsid w:val="005B1D5B"/>
    <w:rsid w:val="005B24F9"/>
    <w:rsid w:val="005B31FC"/>
    <w:rsid w:val="005C23B8"/>
    <w:rsid w:val="005D2A60"/>
    <w:rsid w:val="005D405F"/>
    <w:rsid w:val="005D4065"/>
    <w:rsid w:val="005D411B"/>
    <w:rsid w:val="005D51F6"/>
    <w:rsid w:val="005D6709"/>
    <w:rsid w:val="005E024C"/>
    <w:rsid w:val="005E260C"/>
    <w:rsid w:val="005E277C"/>
    <w:rsid w:val="005E33D6"/>
    <w:rsid w:val="005E53D6"/>
    <w:rsid w:val="005E7BD5"/>
    <w:rsid w:val="005F1838"/>
    <w:rsid w:val="005F2DB7"/>
    <w:rsid w:val="005F39C5"/>
    <w:rsid w:val="005F5D7D"/>
    <w:rsid w:val="005F6675"/>
    <w:rsid w:val="005F6998"/>
    <w:rsid w:val="00600732"/>
    <w:rsid w:val="00600ADC"/>
    <w:rsid w:val="006018B2"/>
    <w:rsid w:val="0060225F"/>
    <w:rsid w:val="00602AA1"/>
    <w:rsid w:val="00603EF8"/>
    <w:rsid w:val="0060627A"/>
    <w:rsid w:val="00606CEA"/>
    <w:rsid w:val="0060749E"/>
    <w:rsid w:val="006108F2"/>
    <w:rsid w:val="00611A9B"/>
    <w:rsid w:val="00617449"/>
    <w:rsid w:val="006207AE"/>
    <w:rsid w:val="0062130C"/>
    <w:rsid w:val="00622C05"/>
    <w:rsid w:val="00632D19"/>
    <w:rsid w:val="006334F8"/>
    <w:rsid w:val="00637E57"/>
    <w:rsid w:val="006412E3"/>
    <w:rsid w:val="00641D54"/>
    <w:rsid w:val="00646E97"/>
    <w:rsid w:val="006514D3"/>
    <w:rsid w:val="00651A28"/>
    <w:rsid w:val="00653303"/>
    <w:rsid w:val="0065433B"/>
    <w:rsid w:val="00657AAA"/>
    <w:rsid w:val="0066033A"/>
    <w:rsid w:val="006674ED"/>
    <w:rsid w:val="006724AE"/>
    <w:rsid w:val="00672649"/>
    <w:rsid w:val="00673B07"/>
    <w:rsid w:val="00674400"/>
    <w:rsid w:val="00681B72"/>
    <w:rsid w:val="006836A4"/>
    <w:rsid w:val="00685E59"/>
    <w:rsid w:val="00686935"/>
    <w:rsid w:val="00691748"/>
    <w:rsid w:val="006934A5"/>
    <w:rsid w:val="006940CA"/>
    <w:rsid w:val="006A1B94"/>
    <w:rsid w:val="006B0E8E"/>
    <w:rsid w:val="006B1082"/>
    <w:rsid w:val="006B1BCC"/>
    <w:rsid w:val="006B3934"/>
    <w:rsid w:val="006B5693"/>
    <w:rsid w:val="006B7285"/>
    <w:rsid w:val="006B78A9"/>
    <w:rsid w:val="006C0AB4"/>
    <w:rsid w:val="006C211B"/>
    <w:rsid w:val="006C3688"/>
    <w:rsid w:val="006C42E5"/>
    <w:rsid w:val="006D4463"/>
    <w:rsid w:val="006D7C30"/>
    <w:rsid w:val="006D7CF6"/>
    <w:rsid w:val="006E0C69"/>
    <w:rsid w:val="006E17F3"/>
    <w:rsid w:val="006E4E9D"/>
    <w:rsid w:val="006F0504"/>
    <w:rsid w:val="006F18F6"/>
    <w:rsid w:val="006F1929"/>
    <w:rsid w:val="00701A04"/>
    <w:rsid w:val="00701A88"/>
    <w:rsid w:val="007040FD"/>
    <w:rsid w:val="00705E1B"/>
    <w:rsid w:val="007075E2"/>
    <w:rsid w:val="00713AC5"/>
    <w:rsid w:val="00713FBC"/>
    <w:rsid w:val="0071475E"/>
    <w:rsid w:val="00725175"/>
    <w:rsid w:val="0073323A"/>
    <w:rsid w:val="00734D99"/>
    <w:rsid w:val="00735EAB"/>
    <w:rsid w:val="00743BE1"/>
    <w:rsid w:val="00745ED3"/>
    <w:rsid w:val="00747645"/>
    <w:rsid w:val="00751BAE"/>
    <w:rsid w:val="00751EE6"/>
    <w:rsid w:val="00753BF5"/>
    <w:rsid w:val="00757749"/>
    <w:rsid w:val="00760320"/>
    <w:rsid w:val="00760600"/>
    <w:rsid w:val="00761902"/>
    <w:rsid w:val="00762F9F"/>
    <w:rsid w:val="00771268"/>
    <w:rsid w:val="007734A2"/>
    <w:rsid w:val="0077471E"/>
    <w:rsid w:val="00782687"/>
    <w:rsid w:val="007834EC"/>
    <w:rsid w:val="007864C0"/>
    <w:rsid w:val="0079173C"/>
    <w:rsid w:val="00796EFF"/>
    <w:rsid w:val="0079794C"/>
    <w:rsid w:val="007A044F"/>
    <w:rsid w:val="007A102D"/>
    <w:rsid w:val="007B1D8D"/>
    <w:rsid w:val="007B2FBD"/>
    <w:rsid w:val="007B3144"/>
    <w:rsid w:val="007B43D1"/>
    <w:rsid w:val="007B6E10"/>
    <w:rsid w:val="007B71F3"/>
    <w:rsid w:val="007C0AA3"/>
    <w:rsid w:val="007D006E"/>
    <w:rsid w:val="007D02E4"/>
    <w:rsid w:val="007D1EAE"/>
    <w:rsid w:val="007D3BDA"/>
    <w:rsid w:val="007D3CF7"/>
    <w:rsid w:val="007E1341"/>
    <w:rsid w:val="007E17E0"/>
    <w:rsid w:val="008024E9"/>
    <w:rsid w:val="008062BD"/>
    <w:rsid w:val="00811F52"/>
    <w:rsid w:val="00812854"/>
    <w:rsid w:val="008137BD"/>
    <w:rsid w:val="00814911"/>
    <w:rsid w:val="00821A55"/>
    <w:rsid w:val="00821BEB"/>
    <w:rsid w:val="00826349"/>
    <w:rsid w:val="00827655"/>
    <w:rsid w:val="00830C9A"/>
    <w:rsid w:val="00831766"/>
    <w:rsid w:val="00832913"/>
    <w:rsid w:val="00836726"/>
    <w:rsid w:val="00836C9A"/>
    <w:rsid w:val="00841556"/>
    <w:rsid w:val="00847E9D"/>
    <w:rsid w:val="00851F17"/>
    <w:rsid w:val="008525B0"/>
    <w:rsid w:val="008526A9"/>
    <w:rsid w:val="0085321D"/>
    <w:rsid w:val="00854A4B"/>
    <w:rsid w:val="00855152"/>
    <w:rsid w:val="00855231"/>
    <w:rsid w:val="00855AA8"/>
    <w:rsid w:val="00860C75"/>
    <w:rsid w:val="008674B9"/>
    <w:rsid w:val="00870BBE"/>
    <w:rsid w:val="00870CD0"/>
    <w:rsid w:val="0087360A"/>
    <w:rsid w:val="00873D07"/>
    <w:rsid w:val="00875317"/>
    <w:rsid w:val="00875D37"/>
    <w:rsid w:val="0089079C"/>
    <w:rsid w:val="008939BA"/>
    <w:rsid w:val="0089488B"/>
    <w:rsid w:val="008949A9"/>
    <w:rsid w:val="00894C21"/>
    <w:rsid w:val="00895452"/>
    <w:rsid w:val="008960AC"/>
    <w:rsid w:val="008972FF"/>
    <w:rsid w:val="008A2A3E"/>
    <w:rsid w:val="008A5785"/>
    <w:rsid w:val="008A5AF8"/>
    <w:rsid w:val="008A620A"/>
    <w:rsid w:val="008B0830"/>
    <w:rsid w:val="008B2D3C"/>
    <w:rsid w:val="008B5D10"/>
    <w:rsid w:val="008C09DD"/>
    <w:rsid w:val="008C121A"/>
    <w:rsid w:val="008C7CE0"/>
    <w:rsid w:val="008D1910"/>
    <w:rsid w:val="008D4ACD"/>
    <w:rsid w:val="008D51CF"/>
    <w:rsid w:val="008E062E"/>
    <w:rsid w:val="008E0C7B"/>
    <w:rsid w:val="008E1317"/>
    <w:rsid w:val="008E13F6"/>
    <w:rsid w:val="008E4E53"/>
    <w:rsid w:val="008E5423"/>
    <w:rsid w:val="008E5479"/>
    <w:rsid w:val="008E5671"/>
    <w:rsid w:val="008E5798"/>
    <w:rsid w:val="008E6853"/>
    <w:rsid w:val="008E6D2F"/>
    <w:rsid w:val="008E7F1B"/>
    <w:rsid w:val="008F2323"/>
    <w:rsid w:val="008F3579"/>
    <w:rsid w:val="008F469F"/>
    <w:rsid w:val="009006A9"/>
    <w:rsid w:val="009029F7"/>
    <w:rsid w:val="00905DF5"/>
    <w:rsid w:val="009061BE"/>
    <w:rsid w:val="00907581"/>
    <w:rsid w:val="00907B8C"/>
    <w:rsid w:val="009101EC"/>
    <w:rsid w:val="00910C9B"/>
    <w:rsid w:val="0091167C"/>
    <w:rsid w:val="00914609"/>
    <w:rsid w:val="00921901"/>
    <w:rsid w:val="00924459"/>
    <w:rsid w:val="00925212"/>
    <w:rsid w:val="009341F2"/>
    <w:rsid w:val="009342B3"/>
    <w:rsid w:val="0093538B"/>
    <w:rsid w:val="00936439"/>
    <w:rsid w:val="00936A7B"/>
    <w:rsid w:val="00940E28"/>
    <w:rsid w:val="0095087E"/>
    <w:rsid w:val="0095737C"/>
    <w:rsid w:val="00957563"/>
    <w:rsid w:val="00964EDB"/>
    <w:rsid w:val="00964F42"/>
    <w:rsid w:val="00966A86"/>
    <w:rsid w:val="00971B7A"/>
    <w:rsid w:val="009720BE"/>
    <w:rsid w:val="00974D1A"/>
    <w:rsid w:val="00975F32"/>
    <w:rsid w:val="00977AAA"/>
    <w:rsid w:val="0098053B"/>
    <w:rsid w:val="00983DA3"/>
    <w:rsid w:val="009845CB"/>
    <w:rsid w:val="00993090"/>
    <w:rsid w:val="00996132"/>
    <w:rsid w:val="0099613F"/>
    <w:rsid w:val="009A3412"/>
    <w:rsid w:val="009B1289"/>
    <w:rsid w:val="009B402D"/>
    <w:rsid w:val="009B51EA"/>
    <w:rsid w:val="009C31AF"/>
    <w:rsid w:val="009C542A"/>
    <w:rsid w:val="009C6BE2"/>
    <w:rsid w:val="009D0B21"/>
    <w:rsid w:val="009D290D"/>
    <w:rsid w:val="009D3D95"/>
    <w:rsid w:val="009D4273"/>
    <w:rsid w:val="009E2DAB"/>
    <w:rsid w:val="009E5D80"/>
    <w:rsid w:val="009F02CE"/>
    <w:rsid w:val="009F0AB8"/>
    <w:rsid w:val="009F0AEA"/>
    <w:rsid w:val="009F2465"/>
    <w:rsid w:val="009F3C67"/>
    <w:rsid w:val="009F42B6"/>
    <w:rsid w:val="009F6397"/>
    <w:rsid w:val="009F7825"/>
    <w:rsid w:val="00A06554"/>
    <w:rsid w:val="00A0664D"/>
    <w:rsid w:val="00A10AAC"/>
    <w:rsid w:val="00A11C20"/>
    <w:rsid w:val="00A12575"/>
    <w:rsid w:val="00A12937"/>
    <w:rsid w:val="00A217B9"/>
    <w:rsid w:val="00A230E1"/>
    <w:rsid w:val="00A31D1C"/>
    <w:rsid w:val="00A3298A"/>
    <w:rsid w:val="00A3381C"/>
    <w:rsid w:val="00A34E6E"/>
    <w:rsid w:val="00A4109F"/>
    <w:rsid w:val="00A419BF"/>
    <w:rsid w:val="00A4416D"/>
    <w:rsid w:val="00A44911"/>
    <w:rsid w:val="00A4512D"/>
    <w:rsid w:val="00A527E3"/>
    <w:rsid w:val="00A5340A"/>
    <w:rsid w:val="00A56430"/>
    <w:rsid w:val="00A56485"/>
    <w:rsid w:val="00A60DC7"/>
    <w:rsid w:val="00A65F2B"/>
    <w:rsid w:val="00A72A4D"/>
    <w:rsid w:val="00A7729C"/>
    <w:rsid w:val="00A816FA"/>
    <w:rsid w:val="00A84F14"/>
    <w:rsid w:val="00A859C1"/>
    <w:rsid w:val="00A91D81"/>
    <w:rsid w:val="00A94D01"/>
    <w:rsid w:val="00A95D9D"/>
    <w:rsid w:val="00A962F9"/>
    <w:rsid w:val="00A979F6"/>
    <w:rsid w:val="00A97C52"/>
    <w:rsid w:val="00AA31D7"/>
    <w:rsid w:val="00AA4523"/>
    <w:rsid w:val="00AA458A"/>
    <w:rsid w:val="00AA5889"/>
    <w:rsid w:val="00AA65C0"/>
    <w:rsid w:val="00AA6D74"/>
    <w:rsid w:val="00AA6E02"/>
    <w:rsid w:val="00AB0367"/>
    <w:rsid w:val="00AB1929"/>
    <w:rsid w:val="00AB1A95"/>
    <w:rsid w:val="00AB5C91"/>
    <w:rsid w:val="00AC1B75"/>
    <w:rsid w:val="00AC4319"/>
    <w:rsid w:val="00AC45D4"/>
    <w:rsid w:val="00AC4E21"/>
    <w:rsid w:val="00AC5D31"/>
    <w:rsid w:val="00AC79BB"/>
    <w:rsid w:val="00AC7AF1"/>
    <w:rsid w:val="00AD00FA"/>
    <w:rsid w:val="00AD5366"/>
    <w:rsid w:val="00AD7930"/>
    <w:rsid w:val="00AE1B50"/>
    <w:rsid w:val="00AE23ED"/>
    <w:rsid w:val="00AE5DC1"/>
    <w:rsid w:val="00AE6273"/>
    <w:rsid w:val="00AE78DC"/>
    <w:rsid w:val="00AF56AF"/>
    <w:rsid w:val="00AF6C48"/>
    <w:rsid w:val="00B009FF"/>
    <w:rsid w:val="00B02586"/>
    <w:rsid w:val="00B02D3A"/>
    <w:rsid w:val="00B04677"/>
    <w:rsid w:val="00B046AA"/>
    <w:rsid w:val="00B257C3"/>
    <w:rsid w:val="00B26E66"/>
    <w:rsid w:val="00B30253"/>
    <w:rsid w:val="00B328AE"/>
    <w:rsid w:val="00B33E43"/>
    <w:rsid w:val="00B34A67"/>
    <w:rsid w:val="00B40C4A"/>
    <w:rsid w:val="00B4149F"/>
    <w:rsid w:val="00B41CDD"/>
    <w:rsid w:val="00B42200"/>
    <w:rsid w:val="00B46B80"/>
    <w:rsid w:val="00B47928"/>
    <w:rsid w:val="00B52087"/>
    <w:rsid w:val="00B557A9"/>
    <w:rsid w:val="00B55EC6"/>
    <w:rsid w:val="00B5607F"/>
    <w:rsid w:val="00B560A1"/>
    <w:rsid w:val="00B56D53"/>
    <w:rsid w:val="00B60C56"/>
    <w:rsid w:val="00B6315F"/>
    <w:rsid w:val="00B65435"/>
    <w:rsid w:val="00B75F5D"/>
    <w:rsid w:val="00B772CD"/>
    <w:rsid w:val="00B9017B"/>
    <w:rsid w:val="00B907CF"/>
    <w:rsid w:val="00B91FBE"/>
    <w:rsid w:val="00B920BC"/>
    <w:rsid w:val="00B9308B"/>
    <w:rsid w:val="00B97393"/>
    <w:rsid w:val="00BA3780"/>
    <w:rsid w:val="00BA3B8C"/>
    <w:rsid w:val="00BB08B9"/>
    <w:rsid w:val="00BB7E41"/>
    <w:rsid w:val="00BC2454"/>
    <w:rsid w:val="00BD0AC7"/>
    <w:rsid w:val="00BD581F"/>
    <w:rsid w:val="00BD607B"/>
    <w:rsid w:val="00BE1F8E"/>
    <w:rsid w:val="00BE236B"/>
    <w:rsid w:val="00BE68B6"/>
    <w:rsid w:val="00BF1A21"/>
    <w:rsid w:val="00BF1F15"/>
    <w:rsid w:val="00BF3438"/>
    <w:rsid w:val="00BF39F0"/>
    <w:rsid w:val="00BF4181"/>
    <w:rsid w:val="00BF539F"/>
    <w:rsid w:val="00BF64FE"/>
    <w:rsid w:val="00C0137E"/>
    <w:rsid w:val="00C05378"/>
    <w:rsid w:val="00C10BD5"/>
    <w:rsid w:val="00C11A56"/>
    <w:rsid w:val="00C139B9"/>
    <w:rsid w:val="00C13FA7"/>
    <w:rsid w:val="00C227A0"/>
    <w:rsid w:val="00C22F0D"/>
    <w:rsid w:val="00C26169"/>
    <w:rsid w:val="00C263F7"/>
    <w:rsid w:val="00C274B0"/>
    <w:rsid w:val="00C30E80"/>
    <w:rsid w:val="00C40404"/>
    <w:rsid w:val="00C417FA"/>
    <w:rsid w:val="00C45926"/>
    <w:rsid w:val="00C45A5B"/>
    <w:rsid w:val="00C51EF9"/>
    <w:rsid w:val="00C526AD"/>
    <w:rsid w:val="00C531E6"/>
    <w:rsid w:val="00C543ED"/>
    <w:rsid w:val="00C54AEC"/>
    <w:rsid w:val="00C551A8"/>
    <w:rsid w:val="00C602CD"/>
    <w:rsid w:val="00C6321F"/>
    <w:rsid w:val="00C639D8"/>
    <w:rsid w:val="00C65116"/>
    <w:rsid w:val="00C7107B"/>
    <w:rsid w:val="00C71937"/>
    <w:rsid w:val="00C72EF5"/>
    <w:rsid w:val="00C73C3F"/>
    <w:rsid w:val="00C73E9C"/>
    <w:rsid w:val="00C818D2"/>
    <w:rsid w:val="00C81E33"/>
    <w:rsid w:val="00C84745"/>
    <w:rsid w:val="00C85172"/>
    <w:rsid w:val="00C85E3A"/>
    <w:rsid w:val="00C8797B"/>
    <w:rsid w:val="00C94162"/>
    <w:rsid w:val="00C95325"/>
    <w:rsid w:val="00CA09A7"/>
    <w:rsid w:val="00CA2A60"/>
    <w:rsid w:val="00CA2F4C"/>
    <w:rsid w:val="00CA5588"/>
    <w:rsid w:val="00CA5C57"/>
    <w:rsid w:val="00CB0A93"/>
    <w:rsid w:val="00CB157C"/>
    <w:rsid w:val="00CB2CB8"/>
    <w:rsid w:val="00CC1524"/>
    <w:rsid w:val="00CD12E8"/>
    <w:rsid w:val="00CD1CDC"/>
    <w:rsid w:val="00CD2896"/>
    <w:rsid w:val="00CD3018"/>
    <w:rsid w:val="00CD4A41"/>
    <w:rsid w:val="00CD6046"/>
    <w:rsid w:val="00CE5236"/>
    <w:rsid w:val="00CE61C0"/>
    <w:rsid w:val="00CF354D"/>
    <w:rsid w:val="00CF6FED"/>
    <w:rsid w:val="00D006F9"/>
    <w:rsid w:val="00D04065"/>
    <w:rsid w:val="00D05231"/>
    <w:rsid w:val="00D07E9E"/>
    <w:rsid w:val="00D11382"/>
    <w:rsid w:val="00D13F11"/>
    <w:rsid w:val="00D15EDA"/>
    <w:rsid w:val="00D16B78"/>
    <w:rsid w:val="00D20239"/>
    <w:rsid w:val="00D26781"/>
    <w:rsid w:val="00D30B13"/>
    <w:rsid w:val="00D30C69"/>
    <w:rsid w:val="00D310A4"/>
    <w:rsid w:val="00D347D9"/>
    <w:rsid w:val="00D370A9"/>
    <w:rsid w:val="00D37846"/>
    <w:rsid w:val="00D435DA"/>
    <w:rsid w:val="00D44DBC"/>
    <w:rsid w:val="00D45C61"/>
    <w:rsid w:val="00D523C6"/>
    <w:rsid w:val="00D54214"/>
    <w:rsid w:val="00D54D2A"/>
    <w:rsid w:val="00D56DB7"/>
    <w:rsid w:val="00D60388"/>
    <w:rsid w:val="00D63DA8"/>
    <w:rsid w:val="00D64C00"/>
    <w:rsid w:val="00D67197"/>
    <w:rsid w:val="00D712AA"/>
    <w:rsid w:val="00D7327F"/>
    <w:rsid w:val="00D77EAB"/>
    <w:rsid w:val="00D80D8E"/>
    <w:rsid w:val="00D82890"/>
    <w:rsid w:val="00D85F46"/>
    <w:rsid w:val="00D91035"/>
    <w:rsid w:val="00D921C6"/>
    <w:rsid w:val="00D94979"/>
    <w:rsid w:val="00D963BA"/>
    <w:rsid w:val="00D975DF"/>
    <w:rsid w:val="00DA38CB"/>
    <w:rsid w:val="00DB0B6F"/>
    <w:rsid w:val="00DB788B"/>
    <w:rsid w:val="00DC2084"/>
    <w:rsid w:val="00DC34FA"/>
    <w:rsid w:val="00DC45E4"/>
    <w:rsid w:val="00DC5B50"/>
    <w:rsid w:val="00DC683F"/>
    <w:rsid w:val="00DD1252"/>
    <w:rsid w:val="00DD26F1"/>
    <w:rsid w:val="00DD6C8F"/>
    <w:rsid w:val="00DE224E"/>
    <w:rsid w:val="00DE30F1"/>
    <w:rsid w:val="00DE346A"/>
    <w:rsid w:val="00DE3DA2"/>
    <w:rsid w:val="00DE6CC2"/>
    <w:rsid w:val="00DE6D2F"/>
    <w:rsid w:val="00DE7520"/>
    <w:rsid w:val="00DF667F"/>
    <w:rsid w:val="00DF7F89"/>
    <w:rsid w:val="00DF7FA6"/>
    <w:rsid w:val="00E01468"/>
    <w:rsid w:val="00E03BEE"/>
    <w:rsid w:val="00E21D11"/>
    <w:rsid w:val="00E2633A"/>
    <w:rsid w:val="00E30708"/>
    <w:rsid w:val="00E319D5"/>
    <w:rsid w:val="00E31CB4"/>
    <w:rsid w:val="00E33A68"/>
    <w:rsid w:val="00E3636E"/>
    <w:rsid w:val="00E372AF"/>
    <w:rsid w:val="00E37696"/>
    <w:rsid w:val="00E40AED"/>
    <w:rsid w:val="00E46B28"/>
    <w:rsid w:val="00E52919"/>
    <w:rsid w:val="00E61079"/>
    <w:rsid w:val="00E62EEF"/>
    <w:rsid w:val="00E633E4"/>
    <w:rsid w:val="00E636D2"/>
    <w:rsid w:val="00E664E9"/>
    <w:rsid w:val="00E70258"/>
    <w:rsid w:val="00E70C1A"/>
    <w:rsid w:val="00E71135"/>
    <w:rsid w:val="00E729D4"/>
    <w:rsid w:val="00E75C78"/>
    <w:rsid w:val="00E77A0C"/>
    <w:rsid w:val="00E77FF9"/>
    <w:rsid w:val="00E815DC"/>
    <w:rsid w:val="00E854BF"/>
    <w:rsid w:val="00E86831"/>
    <w:rsid w:val="00E90155"/>
    <w:rsid w:val="00EA4C55"/>
    <w:rsid w:val="00EB38FA"/>
    <w:rsid w:val="00EB4B3F"/>
    <w:rsid w:val="00EB4B79"/>
    <w:rsid w:val="00EB603A"/>
    <w:rsid w:val="00EB6A32"/>
    <w:rsid w:val="00EC02FE"/>
    <w:rsid w:val="00EC08A2"/>
    <w:rsid w:val="00EC502E"/>
    <w:rsid w:val="00EC7496"/>
    <w:rsid w:val="00ED4AED"/>
    <w:rsid w:val="00ED4DC4"/>
    <w:rsid w:val="00ED6045"/>
    <w:rsid w:val="00ED7942"/>
    <w:rsid w:val="00EE0FDE"/>
    <w:rsid w:val="00EE222D"/>
    <w:rsid w:val="00EE2ED8"/>
    <w:rsid w:val="00EE37D7"/>
    <w:rsid w:val="00EE5A5D"/>
    <w:rsid w:val="00EE7918"/>
    <w:rsid w:val="00EE7950"/>
    <w:rsid w:val="00EF38B8"/>
    <w:rsid w:val="00EF52B8"/>
    <w:rsid w:val="00EF6904"/>
    <w:rsid w:val="00F01314"/>
    <w:rsid w:val="00F05180"/>
    <w:rsid w:val="00F07846"/>
    <w:rsid w:val="00F1580D"/>
    <w:rsid w:val="00F16F4D"/>
    <w:rsid w:val="00F24C76"/>
    <w:rsid w:val="00F26244"/>
    <w:rsid w:val="00F2657A"/>
    <w:rsid w:val="00F27B9D"/>
    <w:rsid w:val="00F27FDA"/>
    <w:rsid w:val="00F31191"/>
    <w:rsid w:val="00F313F1"/>
    <w:rsid w:val="00F315BA"/>
    <w:rsid w:val="00F32F10"/>
    <w:rsid w:val="00F35752"/>
    <w:rsid w:val="00F376CD"/>
    <w:rsid w:val="00F40A6E"/>
    <w:rsid w:val="00F414A1"/>
    <w:rsid w:val="00F43C3E"/>
    <w:rsid w:val="00F43F31"/>
    <w:rsid w:val="00F449E9"/>
    <w:rsid w:val="00F44A16"/>
    <w:rsid w:val="00F57A9B"/>
    <w:rsid w:val="00F629CF"/>
    <w:rsid w:val="00F666BB"/>
    <w:rsid w:val="00F67848"/>
    <w:rsid w:val="00F703CF"/>
    <w:rsid w:val="00F7098A"/>
    <w:rsid w:val="00F70AB2"/>
    <w:rsid w:val="00F710F6"/>
    <w:rsid w:val="00F74853"/>
    <w:rsid w:val="00F74B1F"/>
    <w:rsid w:val="00F80766"/>
    <w:rsid w:val="00F85AC0"/>
    <w:rsid w:val="00F85D30"/>
    <w:rsid w:val="00F8704E"/>
    <w:rsid w:val="00F8785F"/>
    <w:rsid w:val="00FA3E84"/>
    <w:rsid w:val="00FA44FF"/>
    <w:rsid w:val="00FA6862"/>
    <w:rsid w:val="00FB0E01"/>
    <w:rsid w:val="00FB3735"/>
    <w:rsid w:val="00FB62BB"/>
    <w:rsid w:val="00FB65D7"/>
    <w:rsid w:val="00FB699E"/>
    <w:rsid w:val="00FB6B65"/>
    <w:rsid w:val="00FC014D"/>
    <w:rsid w:val="00FC1F86"/>
    <w:rsid w:val="00FC54B2"/>
    <w:rsid w:val="00FD03D7"/>
    <w:rsid w:val="00FD2D33"/>
    <w:rsid w:val="00FD2EBF"/>
    <w:rsid w:val="00FD3DC2"/>
    <w:rsid w:val="00FD6A1C"/>
    <w:rsid w:val="00FD6DC6"/>
    <w:rsid w:val="00FE310A"/>
    <w:rsid w:val="00FE4A00"/>
    <w:rsid w:val="00FE7705"/>
    <w:rsid w:val="00FE7ECD"/>
    <w:rsid w:val="00FF0150"/>
    <w:rsid w:val="00FF25A3"/>
    <w:rsid w:val="00FF297E"/>
    <w:rsid w:val="00FF34A1"/>
    <w:rsid w:val="00FF459D"/>
    <w:rsid w:val="00FF4C1D"/>
    <w:rsid w:val="00FF5B0E"/>
    <w:rsid w:val="00FF7B5C"/>
    <w:rsid w:val="00FF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34E3EBE3"/>
  <w15:docId w15:val="{8D078501-89E0-448B-9626-F7E12503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825"/>
    <w:pPr>
      <w:spacing w:line="264" w:lineRule="auto"/>
    </w:pPr>
    <w:rPr>
      <w:rFonts w:ascii="Arial" w:hAnsi="Arial"/>
      <w:szCs w:val="24"/>
    </w:rPr>
  </w:style>
  <w:style w:type="paragraph" w:styleId="Heading1">
    <w:name w:val="heading 1"/>
    <w:basedOn w:val="Normal"/>
    <w:next w:val="Normal"/>
    <w:link w:val="Heading1Char"/>
    <w:qFormat/>
    <w:rsid w:val="000D5F0E"/>
    <w:pPr>
      <w:keepNext/>
      <w:keepLines/>
      <w:pageBreakBefore/>
      <w:numPr>
        <w:numId w:val="6"/>
      </w:numPr>
      <w:spacing w:before="360" w:after="240" w:line="240" w:lineRule="auto"/>
      <w:outlineLvl w:val="0"/>
    </w:pPr>
    <w:rPr>
      <w:rFonts w:cs="Arial"/>
      <w:b/>
      <w:bCs/>
      <w:caps/>
      <w:color w:val="95D600" w:themeColor="accent1"/>
      <w:kern w:val="28"/>
      <w:position w:val="6"/>
      <w:sz w:val="28"/>
      <w:szCs w:val="26"/>
    </w:rPr>
  </w:style>
  <w:style w:type="paragraph" w:styleId="Heading2">
    <w:name w:val="heading 2"/>
    <w:basedOn w:val="Normal"/>
    <w:next w:val="Normal"/>
    <w:link w:val="Heading2Char"/>
    <w:qFormat/>
    <w:rsid w:val="00083825"/>
    <w:pPr>
      <w:keepNext/>
      <w:numPr>
        <w:ilvl w:val="1"/>
        <w:numId w:val="6"/>
      </w:numPr>
      <w:spacing w:before="360" w:after="240"/>
      <w:outlineLvl w:val="1"/>
    </w:pPr>
    <w:rPr>
      <w:rFonts w:cs="Arial"/>
      <w:b/>
      <w:bCs/>
      <w:iCs/>
      <w:color w:val="555759" w:themeColor="text2"/>
      <w:sz w:val="26"/>
      <w:szCs w:val="28"/>
    </w:rPr>
  </w:style>
  <w:style w:type="paragraph" w:styleId="Heading3">
    <w:name w:val="heading 3"/>
    <w:basedOn w:val="Normal"/>
    <w:next w:val="Normal"/>
    <w:link w:val="Heading3Char"/>
    <w:qFormat/>
    <w:rsid w:val="00DE346A"/>
    <w:pPr>
      <w:keepNext/>
      <w:numPr>
        <w:ilvl w:val="2"/>
        <w:numId w:val="9"/>
      </w:numPr>
      <w:spacing w:before="360" w:after="240"/>
      <w:outlineLvl w:val="2"/>
    </w:pPr>
    <w:rPr>
      <w:rFonts w:cs="Arial"/>
      <w:b/>
      <w:bCs/>
      <w:i/>
      <w:color w:val="555759" w:themeColor="text2"/>
      <w:sz w:val="22"/>
      <w:szCs w:val="26"/>
    </w:rPr>
  </w:style>
  <w:style w:type="paragraph" w:styleId="Heading4">
    <w:name w:val="heading 4"/>
    <w:basedOn w:val="Normal"/>
    <w:next w:val="Normal"/>
    <w:link w:val="Heading4Char"/>
    <w:unhideWhenUsed/>
    <w:qFormat/>
    <w:rsid w:val="00DE346A"/>
    <w:pPr>
      <w:keepNext/>
      <w:keepLines/>
      <w:numPr>
        <w:ilvl w:val="3"/>
        <w:numId w:val="6"/>
      </w:numPr>
      <w:spacing w:before="360" w:after="240"/>
      <w:outlineLvl w:val="3"/>
    </w:pPr>
    <w:rPr>
      <w:rFonts w:eastAsiaTheme="majorEastAsia" w:cstheme="majorBidi"/>
      <w:b/>
      <w:bCs/>
      <w:i/>
      <w:iCs/>
      <w:color w:val="555759"/>
      <w:kern w:val="28"/>
      <w:szCs w:val="20"/>
    </w:rPr>
  </w:style>
  <w:style w:type="paragraph" w:styleId="Heading5">
    <w:name w:val="heading 5"/>
    <w:aliases w:val="Append Level 1"/>
    <w:basedOn w:val="Normal"/>
    <w:next w:val="Normal"/>
    <w:link w:val="Heading5Char"/>
    <w:unhideWhenUsed/>
    <w:qFormat/>
    <w:rsid w:val="000615C0"/>
    <w:pPr>
      <w:keepNext/>
      <w:keepLines/>
      <w:pageBreakBefore/>
      <w:numPr>
        <w:ilvl w:val="4"/>
        <w:numId w:val="6"/>
      </w:numPr>
      <w:spacing w:before="360" w:after="360" w:line="240" w:lineRule="auto"/>
      <w:outlineLvl w:val="4"/>
    </w:pPr>
    <w:rPr>
      <w:rFonts w:eastAsiaTheme="majorEastAsia" w:cstheme="majorBidi"/>
      <w:b/>
      <w:caps/>
      <w:color w:val="95D600" w:themeColor="accent1"/>
      <w:kern w:val="28"/>
      <w:sz w:val="28"/>
      <w:szCs w:val="26"/>
    </w:rPr>
  </w:style>
  <w:style w:type="paragraph" w:styleId="Heading6">
    <w:name w:val="heading 6"/>
    <w:aliases w:val="Append Level 2"/>
    <w:next w:val="Normal"/>
    <w:link w:val="Heading6Char"/>
    <w:unhideWhenUsed/>
    <w:qFormat/>
    <w:rsid w:val="00B02D3A"/>
    <w:pPr>
      <w:keepNext/>
      <w:keepLines/>
      <w:numPr>
        <w:ilvl w:val="5"/>
        <w:numId w:val="6"/>
      </w:numPr>
      <w:spacing w:before="360" w:after="240"/>
      <w:outlineLvl w:val="5"/>
    </w:pPr>
    <w:rPr>
      <w:rFonts w:ascii="Arial" w:eastAsiaTheme="majorEastAsia" w:hAnsi="Arial" w:cstheme="majorBidi"/>
      <w:b/>
      <w:iCs/>
      <w:color w:val="555759" w:themeColor="text2"/>
      <w:kern w:val="28"/>
      <w:position w:val="6"/>
      <w:sz w:val="24"/>
      <w:szCs w:val="24"/>
    </w:rPr>
  </w:style>
  <w:style w:type="paragraph" w:styleId="Heading7">
    <w:name w:val="heading 7"/>
    <w:aliases w:val="Exec Sum Level 1"/>
    <w:basedOn w:val="ExecSummaryHead1"/>
    <w:next w:val="Normal"/>
    <w:link w:val="Heading7Char"/>
    <w:unhideWhenUsed/>
    <w:qFormat/>
    <w:rsid w:val="000D5F0E"/>
    <w:pPr>
      <w:pageBreakBefore/>
      <w:outlineLvl w:val="6"/>
    </w:pPr>
    <w:rPr>
      <w:caps/>
      <w:szCs w:val="26"/>
    </w:rPr>
  </w:style>
  <w:style w:type="paragraph" w:styleId="Heading8">
    <w:name w:val="heading 8"/>
    <w:aliases w:val="Exec Sum Level 2"/>
    <w:basedOn w:val="Normal"/>
    <w:next w:val="Normal"/>
    <w:link w:val="Heading8Char"/>
    <w:unhideWhenUsed/>
    <w:qFormat/>
    <w:rsid w:val="00083825"/>
    <w:pPr>
      <w:keepNext/>
      <w:keepLines/>
      <w:spacing w:before="360" w:after="240"/>
      <w:outlineLvl w:val="7"/>
    </w:pPr>
    <w:rPr>
      <w:rFonts w:eastAsiaTheme="majorEastAsia" w:cstheme="majorBidi"/>
      <w:b/>
      <w:color w:val="555759" w:themeColor="text2"/>
      <w:sz w:val="26"/>
      <w:szCs w:val="26"/>
    </w:rPr>
  </w:style>
  <w:style w:type="paragraph" w:styleId="Heading9">
    <w:name w:val="heading 9"/>
    <w:aliases w:val="Exec Sum Level 3"/>
    <w:basedOn w:val="Normal"/>
    <w:next w:val="Normal"/>
    <w:link w:val="Heading9Char"/>
    <w:unhideWhenUsed/>
    <w:qFormat/>
    <w:rsid w:val="00083825"/>
    <w:pPr>
      <w:keepNext/>
      <w:keepLines/>
      <w:spacing w:before="360" w:after="240"/>
      <w:outlineLvl w:val="8"/>
    </w:pPr>
    <w:rPr>
      <w:rFonts w:eastAsiaTheme="majorEastAsia" w:cstheme="majorBidi"/>
      <w:b/>
      <w:i/>
      <w:iCs/>
      <w:color w:val="555759"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2">
    <w:name w:val="Table Classic 2"/>
    <w:basedOn w:val="TableNormal"/>
    <w:rsid w:val="00BF64FE"/>
    <w:pPr>
      <w:tabs>
        <w:tab w:val="left" w:pos="360"/>
        <w:tab w:val="left" w:pos="720"/>
        <w:tab w:val="left" w:pos="1080"/>
        <w:tab w:val="left" w:pos="1440"/>
      </w:tabs>
    </w:pPr>
    <w:rPr>
      <w:rFonts w:ascii="Arial" w:hAnsi="Arial"/>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StyleBulleted6">
    <w:name w:val="Style Bulleted6"/>
    <w:rsid w:val="00BF64FE"/>
    <w:pPr>
      <w:numPr>
        <w:numId w:val="1"/>
      </w:numPr>
    </w:pPr>
  </w:style>
  <w:style w:type="numbering" w:customStyle="1" w:styleId="StyleBulleted9">
    <w:name w:val="Style Bulleted9"/>
    <w:basedOn w:val="NoList"/>
    <w:rsid w:val="00BF64FE"/>
    <w:pPr>
      <w:numPr>
        <w:numId w:val="2"/>
      </w:numPr>
    </w:pPr>
  </w:style>
  <w:style w:type="paragraph" w:styleId="Header">
    <w:name w:val="header"/>
    <w:basedOn w:val="Normal"/>
    <w:link w:val="HeaderChar"/>
    <w:rsid w:val="00BF64FE"/>
    <w:pPr>
      <w:tabs>
        <w:tab w:val="center" w:pos="4320"/>
        <w:tab w:val="right" w:pos="8640"/>
      </w:tabs>
    </w:pPr>
  </w:style>
  <w:style w:type="paragraph" w:styleId="Footer">
    <w:name w:val="footer"/>
    <w:basedOn w:val="Normal"/>
    <w:link w:val="FooterChar"/>
    <w:uiPriority w:val="99"/>
    <w:rsid w:val="00BF64FE"/>
    <w:pPr>
      <w:tabs>
        <w:tab w:val="center" w:pos="4320"/>
        <w:tab w:val="right" w:pos="8640"/>
      </w:tabs>
      <w:spacing w:line="240" w:lineRule="auto"/>
    </w:pPr>
    <w:rPr>
      <w:sz w:val="18"/>
    </w:rPr>
  </w:style>
  <w:style w:type="paragraph" w:styleId="Title">
    <w:name w:val="Title"/>
    <w:aliases w:val="Proposal Title"/>
    <w:basedOn w:val="Normal"/>
    <w:next w:val="Normal"/>
    <w:link w:val="TitleChar"/>
    <w:uiPriority w:val="10"/>
    <w:qFormat/>
    <w:rsid w:val="00C51EF9"/>
    <w:pPr>
      <w:widowControl w:val="0"/>
      <w:spacing w:before="120" w:after="120" w:line="240" w:lineRule="auto"/>
    </w:pPr>
    <w:rPr>
      <w:rFonts w:eastAsiaTheme="majorEastAsia" w:cstheme="majorBidi"/>
      <w:b/>
      <w:color w:val="95D600" w:themeColor="accent1"/>
      <w:spacing w:val="-10"/>
      <w:kern w:val="28"/>
      <w:sz w:val="48"/>
      <w:szCs w:val="56"/>
    </w:rPr>
  </w:style>
  <w:style w:type="paragraph" w:styleId="Subtitle">
    <w:name w:val="Subtitle"/>
    <w:basedOn w:val="Normal"/>
    <w:next w:val="Normal"/>
    <w:link w:val="SubtitleChar"/>
    <w:uiPriority w:val="11"/>
    <w:qFormat/>
    <w:rsid w:val="008C7CE0"/>
    <w:pPr>
      <w:widowControl w:val="0"/>
      <w:numPr>
        <w:ilvl w:val="1"/>
      </w:numPr>
      <w:spacing w:before="240" w:line="240" w:lineRule="auto"/>
    </w:pPr>
    <w:rPr>
      <w:rFonts w:eastAsiaTheme="minorEastAsia" w:cstheme="minorBidi"/>
      <w:b/>
      <w:color w:val="5A5A5A" w:themeColor="text1" w:themeTint="A5"/>
      <w:spacing w:val="15"/>
      <w:sz w:val="28"/>
      <w:szCs w:val="22"/>
    </w:rPr>
  </w:style>
  <w:style w:type="character" w:customStyle="1" w:styleId="CoverText">
    <w:name w:val="Cover Text"/>
    <w:basedOn w:val="DefaultParagraphFont"/>
    <w:rsid w:val="00BF64FE"/>
    <w:rPr>
      <w:rFonts w:ascii="Arial" w:hAnsi="Arial"/>
      <w:color w:val="545759"/>
      <w:sz w:val="20"/>
    </w:rPr>
  </w:style>
  <w:style w:type="paragraph" w:styleId="TOC1">
    <w:name w:val="toc 1"/>
    <w:basedOn w:val="Normal"/>
    <w:next w:val="Normal"/>
    <w:link w:val="TOC1Char"/>
    <w:autoRedefine/>
    <w:uiPriority w:val="39"/>
    <w:unhideWhenUsed/>
    <w:rsid w:val="00E03BEE"/>
    <w:pPr>
      <w:widowControl w:val="0"/>
      <w:tabs>
        <w:tab w:val="right" w:leader="dot" w:pos="9350"/>
      </w:tabs>
      <w:spacing w:before="120" w:after="120" w:line="240" w:lineRule="auto"/>
    </w:pPr>
    <w:rPr>
      <w:rFonts w:eastAsiaTheme="minorHAnsi" w:cstheme="minorBidi"/>
      <w:b/>
      <w:sz w:val="24"/>
      <w:szCs w:val="22"/>
    </w:rPr>
  </w:style>
  <w:style w:type="paragraph" w:styleId="TOC2">
    <w:name w:val="toc 2"/>
    <w:basedOn w:val="Normal"/>
    <w:next w:val="Normal"/>
    <w:autoRedefine/>
    <w:uiPriority w:val="39"/>
    <w:rsid w:val="00E03BEE"/>
    <w:pPr>
      <w:tabs>
        <w:tab w:val="left" w:pos="1080"/>
        <w:tab w:val="right" w:pos="9346"/>
      </w:tabs>
      <w:ind w:left="1080" w:hanging="540"/>
    </w:pPr>
    <w:rPr>
      <w:noProof/>
    </w:rPr>
  </w:style>
  <w:style w:type="paragraph" w:styleId="TOC3">
    <w:name w:val="toc 3"/>
    <w:basedOn w:val="Normal"/>
    <w:next w:val="Normal"/>
    <w:autoRedefine/>
    <w:uiPriority w:val="39"/>
    <w:rsid w:val="009D0B21"/>
    <w:pPr>
      <w:tabs>
        <w:tab w:val="left" w:pos="1800"/>
        <w:tab w:val="right" w:leader="dot" w:pos="9346"/>
      </w:tabs>
      <w:ind w:left="1800" w:hanging="720"/>
    </w:pPr>
    <w:rPr>
      <w:rFonts w:eastAsiaTheme="minorEastAsia" w:cstheme="minorBidi"/>
      <w:noProof/>
      <w:szCs w:val="20"/>
    </w:rPr>
  </w:style>
  <w:style w:type="character" w:styleId="Hyperlink">
    <w:name w:val="Hyperlink"/>
    <w:basedOn w:val="DefaultParagraphFont"/>
    <w:uiPriority w:val="99"/>
    <w:rsid w:val="00BF64FE"/>
    <w:rPr>
      <w:rFonts w:ascii="Arial" w:hAnsi="Arial"/>
      <w:color w:val="95D600"/>
      <w:sz w:val="20"/>
      <w:u w:val="single"/>
    </w:rPr>
  </w:style>
  <w:style w:type="paragraph" w:styleId="TOCHeading">
    <w:name w:val="TOC Heading"/>
    <w:basedOn w:val="Heading1"/>
    <w:next w:val="Normal"/>
    <w:link w:val="TOCHeadingChar"/>
    <w:uiPriority w:val="39"/>
    <w:unhideWhenUsed/>
    <w:qFormat/>
    <w:rsid w:val="00122E70"/>
    <w:pPr>
      <w:keepNext w:val="0"/>
      <w:keepLines w:val="0"/>
      <w:pageBreakBefore w:val="0"/>
      <w:widowControl w:val="0"/>
      <w:numPr>
        <w:numId w:val="0"/>
      </w:numPr>
      <w:outlineLvl w:val="9"/>
    </w:pPr>
    <w:rPr>
      <w:rFonts w:ascii="Arial Bold" w:eastAsiaTheme="minorHAnsi" w:hAnsi="Arial Bold" w:cstheme="minorBidi"/>
      <w:bCs w:val="0"/>
      <w:kern w:val="0"/>
      <w:position w:val="0"/>
      <w:szCs w:val="22"/>
    </w:rPr>
  </w:style>
  <w:style w:type="numbering" w:customStyle="1" w:styleId="StyleNumberedLeft025Hanging025">
    <w:name w:val="Style Numbered Left:  0.25&quot; Hanging:  0.25&quot;"/>
    <w:basedOn w:val="NoList"/>
    <w:rsid w:val="00BF64FE"/>
    <w:pPr>
      <w:numPr>
        <w:numId w:val="3"/>
      </w:numPr>
    </w:pPr>
  </w:style>
  <w:style w:type="paragraph" w:styleId="FootnoteText">
    <w:name w:val="footnote text"/>
    <w:aliases w:val="Footnote Text1 Char,Footnote Text Char Ch,Footnote Text Char Ch Char Char Char,Footnote Text Char Ch Char Char,Footnote Text1 Char Char Char,Footnote Text Char Ch Char,ft Char,ft,Footnote_Text,Char2 Char,TBG Style,ALTS FOOTNOTE,fn"/>
    <w:basedOn w:val="Normal"/>
    <w:link w:val="FootnoteTextChar"/>
    <w:uiPriority w:val="99"/>
    <w:rsid w:val="00BF64FE"/>
    <w:pPr>
      <w:keepLines/>
    </w:pPr>
    <w:rPr>
      <w:sz w:val="18"/>
      <w:szCs w:val="20"/>
    </w:rPr>
  </w:style>
  <w:style w:type="character" w:styleId="FootnoteReference">
    <w:name w:val="footnote reference"/>
    <w:aliases w:val="Footnote_Reference,o"/>
    <w:basedOn w:val="DefaultParagraphFont"/>
    <w:uiPriority w:val="99"/>
    <w:rsid w:val="008E5479"/>
    <w:rPr>
      <w:rFonts w:ascii="Arial" w:hAnsi="Arial"/>
      <w:color w:val="555759" w:themeColor="text2"/>
      <w:vertAlign w:val="superscript"/>
    </w:rPr>
  </w:style>
  <w:style w:type="paragraph" w:styleId="Caption">
    <w:name w:val="caption"/>
    <w:aliases w:val="Table Caption,Char,Caption Char1 Char"/>
    <w:basedOn w:val="Normal"/>
    <w:next w:val="Normal"/>
    <w:link w:val="CaptionChar"/>
    <w:qFormat/>
    <w:rsid w:val="00083825"/>
    <w:pPr>
      <w:keepNext/>
      <w:spacing w:after="120"/>
      <w:jc w:val="center"/>
    </w:pPr>
    <w:rPr>
      <w:b/>
      <w:bCs/>
      <w:color w:val="3F4042" w:themeColor="text2" w:themeShade="BF"/>
      <w:szCs w:val="20"/>
    </w:rPr>
  </w:style>
  <w:style w:type="numbering" w:customStyle="1" w:styleId="StyleBulletedLeft0Hanging03">
    <w:name w:val="Style Bulleted Left:  0&quot; Hanging:  0.3&quot;"/>
    <w:basedOn w:val="NoList"/>
    <w:rsid w:val="00BF64FE"/>
    <w:pPr>
      <w:numPr>
        <w:numId w:val="4"/>
      </w:numPr>
    </w:pPr>
  </w:style>
  <w:style w:type="paragraph" w:customStyle="1" w:styleId="StyleCaptionWhite">
    <w:name w:val="Style Caption + White"/>
    <w:basedOn w:val="Caption"/>
    <w:rsid w:val="00BF64FE"/>
    <w:pPr>
      <w:spacing w:before="120"/>
    </w:pPr>
    <w:rPr>
      <w:color w:val="FFFFFF"/>
      <w14:textFill>
        <w14:solidFill>
          <w14:srgbClr w14:val="FFFFFF">
            <w14:lumMod w14:val="50000"/>
          </w14:srgbClr>
        </w14:solidFill>
      </w14:textFill>
    </w:rPr>
  </w:style>
  <w:style w:type="numbering" w:customStyle="1" w:styleId="StyleBulleted">
    <w:name w:val="Style Bulleted"/>
    <w:basedOn w:val="NoList"/>
    <w:rsid w:val="00BF64FE"/>
    <w:pPr>
      <w:numPr>
        <w:numId w:val="5"/>
      </w:numPr>
    </w:pPr>
  </w:style>
  <w:style w:type="character" w:customStyle="1" w:styleId="Heading4Char">
    <w:name w:val="Heading 4 Char"/>
    <w:basedOn w:val="DefaultParagraphFont"/>
    <w:link w:val="Heading4"/>
    <w:rsid w:val="00DE346A"/>
    <w:rPr>
      <w:rFonts w:ascii="Arial" w:eastAsiaTheme="majorEastAsia" w:hAnsi="Arial" w:cstheme="majorBidi"/>
      <w:b/>
      <w:bCs/>
      <w:i/>
      <w:iCs/>
      <w:color w:val="555759"/>
      <w:kern w:val="28"/>
    </w:rPr>
  </w:style>
  <w:style w:type="character" w:customStyle="1" w:styleId="Heading5Char">
    <w:name w:val="Heading 5 Char"/>
    <w:aliases w:val="Append Level 1 Char"/>
    <w:basedOn w:val="DefaultParagraphFont"/>
    <w:link w:val="Heading5"/>
    <w:rsid w:val="000615C0"/>
    <w:rPr>
      <w:rFonts w:ascii="Arial" w:eastAsiaTheme="majorEastAsia" w:hAnsi="Arial" w:cstheme="majorBidi"/>
      <w:b/>
      <w:caps/>
      <w:color w:val="95D600" w:themeColor="accent1"/>
      <w:kern w:val="28"/>
      <w:sz w:val="28"/>
      <w:szCs w:val="26"/>
    </w:rPr>
  </w:style>
  <w:style w:type="character" w:customStyle="1" w:styleId="Heading6Char">
    <w:name w:val="Heading 6 Char"/>
    <w:aliases w:val="Append Level 2 Char"/>
    <w:basedOn w:val="DefaultParagraphFont"/>
    <w:link w:val="Heading6"/>
    <w:rsid w:val="00B02D3A"/>
    <w:rPr>
      <w:rFonts w:ascii="Arial" w:eastAsiaTheme="majorEastAsia" w:hAnsi="Arial" w:cstheme="majorBidi"/>
      <w:b/>
      <w:iCs/>
      <w:color w:val="555759" w:themeColor="text2"/>
      <w:kern w:val="28"/>
      <w:position w:val="6"/>
      <w:sz w:val="24"/>
      <w:szCs w:val="24"/>
    </w:rPr>
  </w:style>
  <w:style w:type="character" w:customStyle="1" w:styleId="Heading7Char">
    <w:name w:val="Heading 7 Char"/>
    <w:aliases w:val="Exec Sum Level 1 Char"/>
    <w:basedOn w:val="DefaultParagraphFont"/>
    <w:link w:val="Heading7"/>
    <w:rsid w:val="000D5F0E"/>
    <w:rPr>
      <w:rFonts w:ascii="Arial Bold" w:eastAsiaTheme="minorHAnsi" w:hAnsi="Arial Bold" w:cstheme="minorBidi"/>
      <w:b/>
      <w:caps/>
      <w:color w:val="95D600" w:themeColor="accent1"/>
      <w:sz w:val="28"/>
      <w:szCs w:val="26"/>
    </w:rPr>
  </w:style>
  <w:style w:type="character" w:customStyle="1" w:styleId="Heading8Char">
    <w:name w:val="Heading 8 Char"/>
    <w:aliases w:val="Exec Sum Level 2 Char"/>
    <w:basedOn w:val="DefaultParagraphFont"/>
    <w:link w:val="Heading8"/>
    <w:rsid w:val="00083825"/>
    <w:rPr>
      <w:rFonts w:ascii="Arial" w:eastAsiaTheme="majorEastAsia" w:hAnsi="Arial" w:cstheme="majorBidi"/>
      <w:b/>
      <w:color w:val="555759" w:themeColor="text2"/>
      <w:sz w:val="26"/>
      <w:szCs w:val="26"/>
    </w:rPr>
  </w:style>
  <w:style w:type="character" w:customStyle="1" w:styleId="Heading9Char">
    <w:name w:val="Heading 9 Char"/>
    <w:aliases w:val="Exec Sum Level 3 Char"/>
    <w:basedOn w:val="DefaultParagraphFont"/>
    <w:link w:val="Heading9"/>
    <w:rsid w:val="00083825"/>
    <w:rPr>
      <w:rFonts w:ascii="Arial" w:eastAsiaTheme="majorEastAsia" w:hAnsi="Arial" w:cstheme="majorBidi"/>
      <w:b/>
      <w:i/>
      <w:iCs/>
      <w:color w:val="555759" w:themeColor="text2"/>
      <w:sz w:val="22"/>
    </w:rPr>
  </w:style>
  <w:style w:type="paragraph" w:styleId="ListParagraph">
    <w:name w:val="List Paragraph"/>
    <w:basedOn w:val="Normal"/>
    <w:link w:val="ListParagraphChar"/>
    <w:uiPriority w:val="34"/>
    <w:qFormat/>
    <w:rsid w:val="00BF64FE"/>
    <w:pPr>
      <w:spacing w:before="120"/>
      <w:ind w:left="720"/>
    </w:pPr>
  </w:style>
  <w:style w:type="table" w:styleId="TableGrid">
    <w:name w:val="Table Grid"/>
    <w:basedOn w:val="TableNormal"/>
    <w:rsid w:val="00BF6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List7">
    <w:name w:val="Table List 7"/>
    <w:basedOn w:val="TableNormal"/>
    <w:rsid w:val="00BF64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ExecSummaryHead1">
    <w:name w:val="Exec Summary Head 1"/>
    <w:basedOn w:val="TOCHeading"/>
    <w:next w:val="Normal"/>
    <w:link w:val="ExecSummaryHead1Char"/>
    <w:rsid w:val="008E5479"/>
    <w:rPr>
      <w:caps w:val="0"/>
    </w:rPr>
  </w:style>
  <w:style w:type="character" w:customStyle="1" w:styleId="TOCHeadingChar">
    <w:name w:val="TOC Heading Char"/>
    <w:basedOn w:val="DefaultParagraphFont"/>
    <w:link w:val="TOCHeading"/>
    <w:uiPriority w:val="39"/>
    <w:rsid w:val="00122E70"/>
    <w:rPr>
      <w:rFonts w:ascii="Arial Bold" w:eastAsiaTheme="minorHAnsi" w:hAnsi="Arial Bold" w:cstheme="minorBidi"/>
      <w:b/>
      <w:caps/>
      <w:color w:val="95D600" w:themeColor="accent1"/>
      <w:sz w:val="28"/>
      <w:szCs w:val="22"/>
    </w:rPr>
  </w:style>
  <w:style w:type="character" w:customStyle="1" w:styleId="ExecSummaryHead1Char">
    <w:name w:val="Exec Summary Head 1 Char"/>
    <w:basedOn w:val="TOCHeadingChar"/>
    <w:link w:val="ExecSummaryHead1"/>
    <w:rsid w:val="008E5479"/>
    <w:rPr>
      <w:rFonts w:ascii="Arial Bold" w:eastAsiaTheme="minorHAnsi" w:hAnsi="Arial Bold" w:cstheme="minorBidi"/>
      <w:b/>
      <w:caps/>
      <w:color w:val="555759"/>
      <w:sz w:val="28"/>
      <w:szCs w:val="22"/>
    </w:rPr>
  </w:style>
  <w:style w:type="character" w:customStyle="1" w:styleId="Heading1Char">
    <w:name w:val="Heading 1 Char"/>
    <w:basedOn w:val="DefaultParagraphFont"/>
    <w:link w:val="Heading1"/>
    <w:rsid w:val="000D5F0E"/>
    <w:rPr>
      <w:rFonts w:ascii="Arial" w:hAnsi="Arial" w:cs="Arial"/>
      <w:b/>
      <w:bCs/>
      <w:caps/>
      <w:color w:val="95D600" w:themeColor="accent1"/>
      <w:kern w:val="28"/>
      <w:position w:val="6"/>
      <w:sz w:val="28"/>
      <w:szCs w:val="26"/>
    </w:rPr>
  </w:style>
  <w:style w:type="character" w:customStyle="1" w:styleId="Heading2Char">
    <w:name w:val="Heading 2 Char"/>
    <w:basedOn w:val="DefaultParagraphFont"/>
    <w:link w:val="Heading2"/>
    <w:rsid w:val="00083825"/>
    <w:rPr>
      <w:rFonts w:ascii="Arial" w:hAnsi="Arial" w:cs="Arial"/>
      <w:b/>
      <w:bCs/>
      <w:iCs/>
      <w:color w:val="555759" w:themeColor="text2"/>
      <w:sz w:val="26"/>
      <w:szCs w:val="28"/>
    </w:rPr>
  </w:style>
  <w:style w:type="character" w:customStyle="1" w:styleId="Heading3Char">
    <w:name w:val="Heading 3 Char"/>
    <w:basedOn w:val="DefaultParagraphFont"/>
    <w:link w:val="Heading3"/>
    <w:rsid w:val="00DE346A"/>
    <w:rPr>
      <w:rFonts w:ascii="Arial" w:hAnsi="Arial" w:cs="Arial"/>
      <w:b/>
      <w:bCs/>
      <w:i/>
      <w:color w:val="555759" w:themeColor="text2"/>
      <w:sz w:val="22"/>
      <w:szCs w:val="26"/>
    </w:rPr>
  </w:style>
  <w:style w:type="character" w:styleId="PlaceholderText">
    <w:name w:val="Placeholder Text"/>
    <w:basedOn w:val="DefaultParagraphFont"/>
    <w:uiPriority w:val="99"/>
    <w:semiHidden/>
    <w:rsid w:val="00BF64FE"/>
    <w:rPr>
      <w:color w:val="808080"/>
    </w:rPr>
  </w:style>
  <w:style w:type="paragraph" w:styleId="TOC4">
    <w:name w:val="toc 4"/>
    <w:basedOn w:val="Normal"/>
    <w:next w:val="Normal"/>
    <w:autoRedefine/>
    <w:uiPriority w:val="39"/>
    <w:rsid w:val="00CB2CB8"/>
    <w:pPr>
      <w:tabs>
        <w:tab w:val="left" w:pos="2700"/>
        <w:tab w:val="right" w:leader="dot" w:pos="9278"/>
      </w:tabs>
      <w:spacing w:after="100"/>
      <w:ind w:left="2700" w:hanging="900"/>
    </w:pPr>
    <w:rPr>
      <w:i/>
      <w:noProof/>
    </w:rPr>
  </w:style>
  <w:style w:type="character" w:customStyle="1" w:styleId="CaptionChar">
    <w:name w:val="Caption Char"/>
    <w:aliases w:val="Table Caption Char,Char Char,Caption Char1 Char Char"/>
    <w:basedOn w:val="DefaultParagraphFont"/>
    <w:link w:val="Caption"/>
    <w:rsid w:val="00083825"/>
    <w:rPr>
      <w:rFonts w:ascii="Arial" w:hAnsi="Arial"/>
      <w:b/>
      <w:bCs/>
      <w:color w:val="3F4042" w:themeColor="text2" w:themeShade="BF"/>
    </w:rPr>
  </w:style>
  <w:style w:type="paragraph" w:styleId="TableofFigures">
    <w:name w:val="table of figures"/>
    <w:basedOn w:val="Normal"/>
    <w:next w:val="Normal"/>
    <w:uiPriority w:val="99"/>
    <w:rsid w:val="008E5479"/>
    <w:pPr>
      <w:tabs>
        <w:tab w:val="right" w:leader="dot" w:pos="9274"/>
      </w:tabs>
    </w:pPr>
  </w:style>
  <w:style w:type="paragraph" w:customStyle="1" w:styleId="Source">
    <w:name w:val="Source"/>
    <w:basedOn w:val="Normal"/>
    <w:link w:val="SourceChar"/>
    <w:qFormat/>
    <w:rsid w:val="00DE346A"/>
    <w:pPr>
      <w:spacing w:after="240"/>
    </w:pPr>
    <w:rPr>
      <w:i/>
      <w:color w:val="3F4042" w:themeColor="text2" w:themeShade="BF"/>
      <w:sz w:val="16"/>
      <w:szCs w:val="20"/>
    </w:rPr>
  </w:style>
  <w:style w:type="character" w:customStyle="1" w:styleId="SourceChar">
    <w:name w:val="Source Char"/>
    <w:basedOn w:val="DefaultParagraphFont"/>
    <w:link w:val="Source"/>
    <w:rsid w:val="00DE346A"/>
    <w:rPr>
      <w:rFonts w:ascii="Arial" w:hAnsi="Arial"/>
      <w:i/>
      <w:color w:val="3F4042" w:themeColor="text2" w:themeShade="BF"/>
      <w:sz w:val="16"/>
    </w:rPr>
  </w:style>
  <w:style w:type="character" w:customStyle="1" w:styleId="HeaderChar">
    <w:name w:val="Header Char"/>
    <w:basedOn w:val="DefaultParagraphFont"/>
    <w:link w:val="Header"/>
    <w:locked/>
    <w:rsid w:val="00BF64FE"/>
    <w:rPr>
      <w:rFonts w:ascii="Arial" w:hAnsi="Arial"/>
      <w:szCs w:val="24"/>
    </w:rPr>
  </w:style>
  <w:style w:type="character" w:customStyle="1" w:styleId="ListParagraphChar">
    <w:name w:val="List Paragraph Char"/>
    <w:basedOn w:val="DefaultParagraphFont"/>
    <w:link w:val="ListParagraph"/>
    <w:uiPriority w:val="34"/>
    <w:locked/>
    <w:rsid w:val="00BF64FE"/>
    <w:rPr>
      <w:rFonts w:ascii="Arial" w:hAnsi="Arial"/>
      <w:szCs w:val="24"/>
    </w:rPr>
  </w:style>
  <w:style w:type="table" w:customStyle="1" w:styleId="MediumShading1-Accent61">
    <w:name w:val="Medium Shading 1 - Accent 61"/>
    <w:basedOn w:val="TableNormal"/>
    <w:next w:val="MediumShading1-Accent6"/>
    <w:uiPriority w:val="63"/>
    <w:rsid w:val="00BF64FE"/>
    <w:rPr>
      <w:rFonts w:eastAsia="Calibri"/>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64FE"/>
    <w:tblPr>
      <w:tblStyleRowBandSize w:val="1"/>
      <w:tblStyleColBandSize w:val="1"/>
      <w:tbl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single" w:sz="8" w:space="0" w:color="FF015F" w:themeColor="accent6" w:themeTint="BF"/>
      </w:tblBorders>
    </w:tblPr>
    <w:tblStylePr w:type="firstRow">
      <w:pPr>
        <w:spacing w:before="0" w:after="0" w:line="240" w:lineRule="auto"/>
      </w:pPr>
      <w:rPr>
        <w:b/>
        <w:bCs/>
        <w:color w:val="FFFFFF" w:themeColor="background1"/>
      </w:rPr>
      <w:tblPr/>
      <w:tcPr>
        <w:tc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shd w:val="clear" w:color="auto" w:fill="AC0040" w:themeFill="accent6"/>
      </w:tcPr>
    </w:tblStylePr>
    <w:tblStylePr w:type="lastRow">
      <w:pPr>
        <w:spacing w:before="0" w:after="0" w:line="240" w:lineRule="auto"/>
      </w:pPr>
      <w:rPr>
        <w:b/>
        <w:bCs/>
      </w:rPr>
      <w:tblPr/>
      <w:tcPr>
        <w:tcBorders>
          <w:top w:val="double" w:sz="6"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ABCA" w:themeFill="accent6" w:themeFillTint="3F"/>
      </w:tcPr>
    </w:tblStylePr>
    <w:tblStylePr w:type="band1Horz">
      <w:tblPr/>
      <w:tcPr>
        <w:tcBorders>
          <w:insideH w:val="nil"/>
          <w:insideV w:val="nil"/>
        </w:tcBorders>
        <w:shd w:val="clear" w:color="auto" w:fill="FFABCA" w:themeFill="accent6" w:themeFillTint="3F"/>
      </w:tcPr>
    </w:tblStylePr>
    <w:tblStylePr w:type="band2Horz">
      <w:tblPr/>
      <w:tcPr>
        <w:tcBorders>
          <w:insideH w:val="nil"/>
          <w:insideV w:val="nil"/>
        </w:tcBorders>
      </w:tcPr>
    </w:tblStylePr>
  </w:style>
  <w:style w:type="paragraph" w:styleId="BalloonText">
    <w:name w:val="Balloon Text"/>
    <w:basedOn w:val="Normal"/>
    <w:link w:val="BalloonTextChar"/>
    <w:rsid w:val="00BF64FE"/>
    <w:rPr>
      <w:rFonts w:ascii="Tahoma" w:hAnsi="Tahoma" w:cs="Tahoma"/>
      <w:sz w:val="16"/>
      <w:szCs w:val="16"/>
    </w:rPr>
  </w:style>
  <w:style w:type="character" w:customStyle="1" w:styleId="BalloonTextChar">
    <w:name w:val="Balloon Text Char"/>
    <w:basedOn w:val="DefaultParagraphFont"/>
    <w:link w:val="BalloonText"/>
    <w:rsid w:val="00BF64FE"/>
    <w:rPr>
      <w:rFonts w:ascii="Tahoma" w:hAnsi="Tahoma" w:cs="Tahoma"/>
      <w:sz w:val="16"/>
      <w:szCs w:val="16"/>
    </w:rPr>
  </w:style>
  <w:style w:type="paragraph" w:styleId="EndnoteText">
    <w:name w:val="endnote text"/>
    <w:basedOn w:val="Normal"/>
    <w:link w:val="EndnoteTextChar"/>
    <w:rsid w:val="00BF64FE"/>
    <w:rPr>
      <w:szCs w:val="20"/>
    </w:rPr>
  </w:style>
  <w:style w:type="character" w:customStyle="1" w:styleId="EndnoteTextChar">
    <w:name w:val="Endnote Text Char"/>
    <w:basedOn w:val="DefaultParagraphFont"/>
    <w:link w:val="EndnoteText"/>
    <w:rsid w:val="00BF64FE"/>
    <w:rPr>
      <w:rFonts w:ascii="Arial" w:hAnsi="Arial"/>
    </w:rPr>
  </w:style>
  <w:style w:type="character" w:styleId="EndnoteReference">
    <w:name w:val="endnote reference"/>
    <w:basedOn w:val="DefaultParagraphFont"/>
    <w:rsid w:val="00BF64FE"/>
    <w:rPr>
      <w:rFonts w:ascii="Arial" w:hAnsi="Arial"/>
      <w:color w:val="555759"/>
      <w:vertAlign w:val="superscript"/>
    </w:rPr>
  </w:style>
  <w:style w:type="paragraph" w:customStyle="1" w:styleId="TableBullet">
    <w:name w:val="Table Bullet"/>
    <w:basedOn w:val="ListParagraph"/>
    <w:link w:val="TableBulletChar"/>
    <w:qFormat/>
    <w:rsid w:val="00F70AB2"/>
    <w:pPr>
      <w:numPr>
        <w:numId w:val="8"/>
      </w:numPr>
      <w:spacing w:before="0"/>
      <w:contextualSpacing/>
    </w:pPr>
  </w:style>
  <w:style w:type="character" w:customStyle="1" w:styleId="TableBulletChar">
    <w:name w:val="Table Bullet Char"/>
    <w:basedOn w:val="DefaultParagraphFont"/>
    <w:link w:val="TableBullet"/>
    <w:rsid w:val="00F70AB2"/>
    <w:rPr>
      <w:rFonts w:ascii="Arial" w:hAnsi="Arial"/>
      <w:szCs w:val="24"/>
    </w:rPr>
  </w:style>
  <w:style w:type="character" w:styleId="CommentReference">
    <w:name w:val="annotation reference"/>
    <w:basedOn w:val="DefaultParagraphFont"/>
    <w:rsid w:val="008E5479"/>
    <w:rPr>
      <w:rFonts w:ascii="Arial" w:hAnsi="Arial"/>
      <w:sz w:val="16"/>
      <w:szCs w:val="16"/>
    </w:rPr>
  </w:style>
  <w:style w:type="paragraph" w:styleId="Revision">
    <w:name w:val="Revision"/>
    <w:hidden/>
    <w:uiPriority w:val="99"/>
    <w:semiHidden/>
    <w:rsid w:val="000C2CB0"/>
    <w:rPr>
      <w:rFonts w:ascii="Palatino Linotype" w:hAnsi="Palatino Linotype"/>
      <w:szCs w:val="24"/>
    </w:rPr>
  </w:style>
  <w:style w:type="paragraph" w:customStyle="1" w:styleId="FooterAddress">
    <w:name w:val="Footer Address"/>
    <w:basedOn w:val="Footer"/>
    <w:link w:val="FooterAddressChar"/>
    <w:qFormat/>
    <w:rsid w:val="00BF64FE"/>
    <w:pPr>
      <w:tabs>
        <w:tab w:val="left" w:pos="360"/>
        <w:tab w:val="left" w:pos="720"/>
        <w:tab w:val="left" w:pos="1080"/>
        <w:tab w:val="left" w:pos="1440"/>
      </w:tabs>
      <w:spacing w:line="240" w:lineRule="exact"/>
    </w:pPr>
    <w:rPr>
      <w:color w:val="555759"/>
      <w:sz w:val="16"/>
    </w:rPr>
  </w:style>
  <w:style w:type="character" w:customStyle="1" w:styleId="FooterAddressChar">
    <w:name w:val="Footer Address Char"/>
    <w:basedOn w:val="DefaultParagraphFont"/>
    <w:link w:val="FooterAddress"/>
    <w:rsid w:val="00BF64FE"/>
    <w:rPr>
      <w:rFonts w:ascii="Arial" w:hAnsi="Arial"/>
      <w:color w:val="555759"/>
      <w:sz w:val="16"/>
      <w:szCs w:val="24"/>
    </w:rPr>
  </w:style>
  <w:style w:type="paragraph" w:styleId="BodyText">
    <w:name w:val="Body Text"/>
    <w:basedOn w:val="Normal"/>
    <w:link w:val="BodyTextChar"/>
    <w:semiHidden/>
    <w:unhideWhenUsed/>
    <w:rsid w:val="00BF64FE"/>
    <w:pPr>
      <w:spacing w:after="120"/>
    </w:pPr>
  </w:style>
  <w:style w:type="character" w:customStyle="1" w:styleId="BodyTextChar">
    <w:name w:val="Body Text Char"/>
    <w:basedOn w:val="DefaultParagraphFont"/>
    <w:link w:val="BodyText"/>
    <w:semiHidden/>
    <w:rsid w:val="00BF64FE"/>
    <w:rPr>
      <w:rFonts w:ascii="Arial" w:hAnsi="Arial"/>
      <w:szCs w:val="24"/>
    </w:rPr>
  </w:style>
  <w:style w:type="character" w:customStyle="1" w:styleId="FooterChar">
    <w:name w:val="Footer Char"/>
    <w:basedOn w:val="DefaultParagraphFont"/>
    <w:link w:val="Footer"/>
    <w:uiPriority w:val="99"/>
    <w:rsid w:val="00BF64FE"/>
    <w:rPr>
      <w:rFonts w:ascii="Arial" w:hAnsi="Arial"/>
      <w:sz w:val="18"/>
      <w:szCs w:val="24"/>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F64FE"/>
    <w:rPr>
      <w:rFonts w:ascii="Arial" w:hAnsi="Arial"/>
      <w:sz w:val="18"/>
    </w:rPr>
  </w:style>
  <w:style w:type="paragraph" w:customStyle="1" w:styleId="Headerinfo">
    <w:name w:val="Header info"/>
    <w:basedOn w:val="Normal"/>
    <w:qFormat/>
    <w:rsid w:val="00BF64FE"/>
    <w:pPr>
      <w:tabs>
        <w:tab w:val="right" w:pos="9000"/>
      </w:tabs>
      <w:spacing w:line="276" w:lineRule="auto"/>
    </w:pPr>
    <w:rPr>
      <w:rFonts w:cs="Arial"/>
      <w:noProof/>
      <w:color w:val="545759"/>
      <w:sz w:val="24"/>
      <w:szCs w:val="21"/>
      <w:lang w:val="fr-FR"/>
    </w:rPr>
  </w:style>
  <w:style w:type="paragraph" w:customStyle="1" w:styleId="Heading4b">
    <w:name w:val="Heading 4b"/>
    <w:basedOn w:val="Normal"/>
    <w:qFormat/>
    <w:rsid w:val="00BF64FE"/>
    <w:pPr>
      <w:keepNext/>
      <w:tabs>
        <w:tab w:val="num" w:pos="720"/>
        <w:tab w:val="left" w:pos="1080"/>
        <w:tab w:val="left" w:pos="1440"/>
      </w:tabs>
      <w:spacing w:before="240" w:after="240" w:line="240" w:lineRule="auto"/>
      <w:outlineLvl w:val="3"/>
    </w:pPr>
    <w:rPr>
      <w:rFonts w:ascii="Arial Narrow" w:hAnsi="Arial Narrow"/>
      <w:b/>
      <w:bCs/>
      <w:i/>
      <w:color w:val="6F6754"/>
    </w:rPr>
  </w:style>
  <w:style w:type="paragraph" w:customStyle="1" w:styleId="ResumeBullet">
    <w:name w:val="Resume Bullet"/>
    <w:basedOn w:val="BodyText"/>
    <w:link w:val="ResumeBulletChar"/>
    <w:autoRedefine/>
    <w:rsid w:val="00BF64FE"/>
    <w:pPr>
      <w:keepLines/>
      <w:numPr>
        <w:numId w:val="7"/>
      </w:numPr>
      <w:spacing w:after="240" w:line="240" w:lineRule="auto"/>
    </w:pPr>
    <w:rPr>
      <w:bCs/>
      <w:color w:val="545759"/>
      <w:szCs w:val="20"/>
      <w:lang w:val="en-GB" w:eastAsia="x-none"/>
    </w:rPr>
  </w:style>
  <w:style w:type="character" w:customStyle="1" w:styleId="ResumeBulletChar">
    <w:name w:val="Resume Bullet Char"/>
    <w:link w:val="ResumeBullet"/>
    <w:rsid w:val="00BF64FE"/>
    <w:rPr>
      <w:rFonts w:ascii="Arial" w:hAnsi="Arial"/>
      <w:bCs/>
      <w:color w:val="545759"/>
      <w:lang w:val="en-GB" w:eastAsia="x-none"/>
    </w:rPr>
  </w:style>
  <w:style w:type="paragraph" w:customStyle="1" w:styleId="SectionHeading">
    <w:name w:val="Section Heading"/>
    <w:basedOn w:val="Normal"/>
    <w:autoRedefine/>
    <w:qFormat/>
    <w:rsid w:val="00BF64FE"/>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szCs w:val="22"/>
      <w:lang w:val="en-GB"/>
    </w:rPr>
  </w:style>
  <w:style w:type="paragraph" w:customStyle="1" w:styleId="SubHeaderBold">
    <w:name w:val="Sub Header Bold"/>
    <w:basedOn w:val="Normal"/>
    <w:qFormat/>
    <w:rsid w:val="005426E4"/>
    <w:pPr>
      <w:spacing w:after="120" w:line="240" w:lineRule="auto"/>
      <w:ind w:left="360" w:hanging="360"/>
    </w:pPr>
    <w:rPr>
      <w:rFonts w:cs="Arial"/>
      <w:b/>
      <w:noProof/>
      <w:sz w:val="28"/>
      <w:szCs w:val="22"/>
      <w:lang w:val="en-GB"/>
    </w:rPr>
  </w:style>
  <w:style w:type="character" w:customStyle="1" w:styleId="SubtitleChar">
    <w:name w:val="Subtitle Char"/>
    <w:basedOn w:val="DefaultParagraphFont"/>
    <w:link w:val="Subtitle"/>
    <w:uiPriority w:val="11"/>
    <w:rsid w:val="008C7CE0"/>
    <w:rPr>
      <w:rFonts w:ascii="Arial" w:eastAsiaTheme="minorEastAsia" w:hAnsi="Arial" w:cstheme="minorBidi"/>
      <w:b/>
      <w:color w:val="5A5A5A" w:themeColor="text1" w:themeTint="A5"/>
      <w:spacing w:val="15"/>
      <w:sz w:val="28"/>
      <w:szCs w:val="22"/>
    </w:rPr>
  </w:style>
  <w:style w:type="character" w:customStyle="1" w:styleId="ProposalBodyHeading">
    <w:name w:val="Proposal Body Heading"/>
    <w:basedOn w:val="DefaultParagraphFont"/>
    <w:uiPriority w:val="1"/>
    <w:qFormat/>
    <w:rsid w:val="00C51EF9"/>
    <w:rPr>
      <w:rFonts w:ascii="Arial" w:hAnsi="Arial"/>
      <w:b/>
      <w:color w:val="555759"/>
      <w:sz w:val="22"/>
    </w:rPr>
  </w:style>
  <w:style w:type="character" w:customStyle="1" w:styleId="TitleChar">
    <w:name w:val="Title Char"/>
    <w:aliases w:val="Proposal Title Char"/>
    <w:basedOn w:val="DefaultParagraphFont"/>
    <w:link w:val="Title"/>
    <w:uiPriority w:val="10"/>
    <w:rsid w:val="00C51EF9"/>
    <w:rPr>
      <w:rFonts w:ascii="Arial" w:eastAsiaTheme="majorEastAsia" w:hAnsi="Arial" w:cstheme="majorBidi"/>
      <w:b/>
      <w:color w:val="95D600" w:themeColor="accent1"/>
      <w:spacing w:val="-10"/>
      <w:kern w:val="28"/>
      <w:sz w:val="48"/>
      <w:szCs w:val="56"/>
    </w:rPr>
  </w:style>
  <w:style w:type="character" w:customStyle="1" w:styleId="TOC1Char">
    <w:name w:val="TOC 1 Char"/>
    <w:basedOn w:val="DefaultParagraphFont"/>
    <w:link w:val="TOC1"/>
    <w:uiPriority w:val="39"/>
    <w:rsid w:val="00E03BEE"/>
    <w:rPr>
      <w:rFonts w:ascii="Arial" w:eastAsiaTheme="minorHAnsi" w:hAnsi="Arial" w:cstheme="minorBidi"/>
      <w:b/>
      <w:color w:val="555759" w:themeColor="text2"/>
      <w:sz w:val="24"/>
      <w:szCs w:val="22"/>
    </w:rPr>
  </w:style>
  <w:style w:type="table" w:customStyle="1" w:styleId="TableGrid1">
    <w:name w:val="Table Grid1"/>
    <w:basedOn w:val="TableNormal"/>
    <w:next w:val="TableGrid"/>
    <w:uiPriority w:val="39"/>
    <w:rsid w:val="004626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646E97"/>
    <w:rPr>
      <w:rFonts w:ascii="Arial" w:hAnsi="Arial"/>
    </w:rPr>
    <w:tblPr>
      <w:tblStyleRowBandSize w:val="1"/>
      <w:tblStyleColBandSize w:val="1"/>
      <w:tblBorders>
        <w:top w:val="single" w:sz="4" w:space="0" w:color="95D600" w:themeColor="accent1"/>
        <w:bottom w:val="single" w:sz="4" w:space="0" w:color="95D600" w:themeColor="accent1"/>
        <w:insideH w:val="single" w:sz="4" w:space="0" w:color="95D600" w:themeColor="accent1"/>
      </w:tblBorders>
    </w:tblPr>
    <w:tblStylePr w:type="firstRow">
      <w:rPr>
        <w:b/>
        <w:bCs/>
        <w:color w:val="FFFFFF" w:themeColor="background1"/>
      </w:rPr>
      <w:tblPr/>
      <w:tcPr>
        <w:shd w:val="clear" w:color="auto" w:fill="95D600" w:themeFill="accent1"/>
      </w:tcPr>
    </w:tblStylePr>
    <w:tblStylePr w:type="lastRow">
      <w:rPr>
        <w:b/>
        <w:bCs/>
      </w:rPr>
      <w:tblPr/>
      <w:tcPr>
        <w:tcBorders>
          <w:top w:val="double" w:sz="4" w:space="0" w:color="95D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D600" w:themeColor="accent1"/>
          <w:right w:val="single" w:sz="4" w:space="0" w:color="95D600" w:themeColor="accent1"/>
        </w:tcBorders>
      </w:tcPr>
    </w:tblStylePr>
    <w:tblStylePr w:type="band1Horz">
      <w:tblPr/>
      <w:tcPr>
        <w:tcBorders>
          <w:top w:val="single" w:sz="4" w:space="0" w:color="95D600" w:themeColor="accent1"/>
          <w:bottom w:val="single" w:sz="4" w:space="0" w:color="95D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themeColor="accent1"/>
          <w:left w:val="nil"/>
        </w:tcBorders>
      </w:tcPr>
    </w:tblStylePr>
    <w:tblStylePr w:type="swCell">
      <w:tblPr/>
      <w:tcPr>
        <w:tcBorders>
          <w:top w:val="double" w:sz="4" w:space="0" w:color="95D600" w:themeColor="accent1"/>
          <w:right w:val="nil"/>
        </w:tcBorders>
      </w:tcPr>
    </w:tblStylePr>
  </w:style>
  <w:style w:type="paragraph" w:customStyle="1" w:styleId="ResumeSubHead">
    <w:name w:val="Resume Sub Head"/>
    <w:basedOn w:val="Normal"/>
    <w:qFormat/>
    <w:rsid w:val="00C551A8"/>
    <w:pPr>
      <w:spacing w:after="120" w:line="276" w:lineRule="auto"/>
      <w:ind w:left="360" w:hanging="360"/>
    </w:pPr>
    <w:rPr>
      <w:rFonts w:cs="Arial"/>
      <w:b/>
      <w:szCs w:val="22"/>
      <w:lang w:val="en-GB"/>
    </w:rPr>
  </w:style>
  <w:style w:type="paragraph" w:customStyle="1" w:styleId="ResumeParagraphText">
    <w:name w:val="Resume Paragraph Text"/>
    <w:basedOn w:val="Normal"/>
    <w:link w:val="ResumeParagraphTextChar"/>
    <w:qFormat/>
    <w:rsid w:val="00252CCD"/>
    <w:pPr>
      <w:spacing w:line="276" w:lineRule="auto"/>
    </w:pPr>
    <w:rPr>
      <w:szCs w:val="20"/>
      <w:lang w:val="en-GB"/>
    </w:rPr>
  </w:style>
  <w:style w:type="character" w:customStyle="1" w:styleId="ResumeParagraphTextChar">
    <w:name w:val="Resume Paragraph Text Char"/>
    <w:basedOn w:val="DefaultParagraphFont"/>
    <w:link w:val="ResumeParagraphText"/>
    <w:rsid w:val="00252CCD"/>
    <w:rPr>
      <w:rFonts w:ascii="Arial" w:hAnsi="Arial"/>
      <w:color w:val="555759" w:themeColor="text2"/>
      <w:sz w:val="22"/>
      <w:lang w:val="en-GB"/>
    </w:rPr>
  </w:style>
  <w:style w:type="paragraph" w:styleId="NoSpacing">
    <w:name w:val="No Spacing"/>
    <w:uiPriority w:val="1"/>
    <w:qFormat/>
    <w:rsid w:val="00263755"/>
    <w:pPr>
      <w:widowControl w:val="0"/>
    </w:pPr>
    <w:rPr>
      <w:rFonts w:ascii="Arial" w:eastAsiaTheme="minorHAnsi" w:hAnsi="Arial" w:cstheme="minorBidi"/>
      <w:color w:val="555759" w:themeColor="text2"/>
      <w:sz w:val="22"/>
      <w:szCs w:val="22"/>
    </w:rPr>
  </w:style>
  <w:style w:type="paragraph" w:customStyle="1" w:styleId="ProposalTitleGreen">
    <w:name w:val="Proposal Title Green"/>
    <w:basedOn w:val="Header"/>
    <w:link w:val="ProposalTitleGreenChar"/>
    <w:qFormat/>
    <w:rsid w:val="00263755"/>
    <w:pPr>
      <w:widowControl w:val="0"/>
      <w:tabs>
        <w:tab w:val="clear" w:pos="4320"/>
        <w:tab w:val="clear" w:pos="8640"/>
      </w:tabs>
      <w:spacing w:before="240" w:after="240" w:line="240" w:lineRule="auto"/>
    </w:pPr>
    <w:rPr>
      <w:rFonts w:eastAsiaTheme="minorHAnsi" w:cstheme="minorBidi"/>
      <w:b/>
      <w:color w:val="95D600"/>
      <w:sz w:val="24"/>
      <w:szCs w:val="22"/>
    </w:rPr>
  </w:style>
  <w:style w:type="character" w:customStyle="1" w:styleId="ProposalTitleGreenChar">
    <w:name w:val="Proposal Title Green Char"/>
    <w:basedOn w:val="HeaderChar"/>
    <w:link w:val="ProposalTitleGreen"/>
    <w:rsid w:val="00263755"/>
    <w:rPr>
      <w:rFonts w:ascii="Arial" w:eastAsiaTheme="minorHAnsi" w:hAnsi="Arial" w:cstheme="minorBidi"/>
      <w:b/>
      <w:color w:val="95D600"/>
      <w:sz w:val="24"/>
      <w:szCs w:val="22"/>
    </w:rPr>
  </w:style>
  <w:style w:type="table" w:customStyle="1" w:styleId="EnergyTable">
    <w:name w:val="Energy Table"/>
    <w:basedOn w:val="TableNormal"/>
    <w:uiPriority w:val="99"/>
    <w:qFormat/>
    <w:rsid w:val="00DE346A"/>
    <w:pPr>
      <w:spacing w:before="40" w:after="40"/>
      <w:jc w:val="center"/>
    </w:pPr>
    <w:rPr>
      <w:rFonts w:ascii="Arial" w:hAnsi="Arial"/>
    </w:rPr>
    <w:tblPr>
      <w:tblStyleRowBandSize w:val="1"/>
      <w:jc w:val="center"/>
      <w:tblBorders>
        <w:bottom w:val="single" w:sz="8" w:space="0" w:color="555759" w:themeColor="text2"/>
        <w:insideH w:val="single" w:sz="4" w:space="0" w:color="DCDDDE"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5D600" w:themeColor="accent1"/>
          <w:right w:val="nil"/>
          <w:insideH w:val="nil"/>
          <w:insideV w:val="nil"/>
          <w:tl2br w:val="nil"/>
          <w:tr2bl w:val="nil"/>
        </w:tcBorders>
        <w:shd w:val="clear" w:color="auto" w:fill="555759" w:themeFill="text2"/>
      </w:tcPr>
    </w:tblStylePr>
    <w:tblStylePr w:type="lastRow">
      <w:pPr>
        <w:jc w:val="center"/>
      </w:pPr>
      <w:rPr>
        <w:rFonts w:ascii="Arial Narrow" w:hAnsi="Arial Narrow"/>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paragraph" w:styleId="CommentText">
    <w:name w:val="annotation text"/>
    <w:basedOn w:val="Normal"/>
    <w:link w:val="CommentTextChar"/>
    <w:semiHidden/>
    <w:unhideWhenUsed/>
    <w:rsid w:val="007C0AA3"/>
    <w:pPr>
      <w:spacing w:line="240" w:lineRule="auto"/>
    </w:pPr>
    <w:rPr>
      <w:szCs w:val="20"/>
    </w:rPr>
  </w:style>
  <w:style w:type="character" w:customStyle="1" w:styleId="CommentTextChar">
    <w:name w:val="Comment Text Char"/>
    <w:basedOn w:val="DefaultParagraphFont"/>
    <w:link w:val="CommentText"/>
    <w:semiHidden/>
    <w:rsid w:val="007C0AA3"/>
    <w:rPr>
      <w:rFonts w:ascii="Arial" w:hAnsi="Arial"/>
    </w:rPr>
  </w:style>
  <w:style w:type="paragraph" w:styleId="CommentSubject">
    <w:name w:val="annotation subject"/>
    <w:basedOn w:val="CommentText"/>
    <w:next w:val="CommentText"/>
    <w:link w:val="CommentSubjectChar"/>
    <w:semiHidden/>
    <w:unhideWhenUsed/>
    <w:rsid w:val="007C0AA3"/>
    <w:rPr>
      <w:b/>
      <w:bCs/>
    </w:rPr>
  </w:style>
  <w:style w:type="character" w:customStyle="1" w:styleId="CommentSubjectChar">
    <w:name w:val="Comment Subject Char"/>
    <w:basedOn w:val="CommentTextChar"/>
    <w:link w:val="CommentSubject"/>
    <w:semiHidden/>
    <w:rsid w:val="007C0AA3"/>
    <w:rPr>
      <w:rFonts w:ascii="Arial" w:hAnsi="Arial"/>
      <w:b/>
      <w:bCs/>
    </w:rPr>
  </w:style>
  <w:style w:type="paragraph" w:customStyle="1" w:styleId="MTDisplayEquation">
    <w:name w:val="MTDisplayEquation"/>
    <w:basedOn w:val="Normal"/>
    <w:next w:val="Normal"/>
    <w:link w:val="MTDisplayEquationChar"/>
    <w:rsid w:val="00550AB7"/>
    <w:pPr>
      <w:tabs>
        <w:tab w:val="center" w:pos="4640"/>
        <w:tab w:val="right" w:pos="9280"/>
      </w:tabs>
      <w:spacing w:line="240" w:lineRule="auto"/>
    </w:pPr>
    <w:rPr>
      <w:rFonts w:ascii="Palatino Linotype" w:hAnsi="Palatino Linotype"/>
    </w:rPr>
  </w:style>
  <w:style w:type="character" w:customStyle="1" w:styleId="MTDisplayEquationChar">
    <w:name w:val="MTDisplayEquation Char"/>
    <w:basedOn w:val="DefaultParagraphFont"/>
    <w:link w:val="MTDisplayEquation"/>
    <w:rsid w:val="00550AB7"/>
    <w:rPr>
      <w:rFonts w:ascii="Palatino Linotype" w:hAnsi="Palatino Linotype"/>
      <w:szCs w:val="24"/>
    </w:rPr>
  </w:style>
  <w:style w:type="character" w:customStyle="1" w:styleId="MTEquationSection">
    <w:name w:val="MTEquationSection"/>
    <w:basedOn w:val="DefaultParagraphFont"/>
    <w:rsid w:val="00812854"/>
    <w:rPr>
      <w:vanish/>
      <w:color w:val="FF0000"/>
    </w:rPr>
  </w:style>
  <w:style w:type="character" w:customStyle="1" w:styleId="UnresolvedMention1">
    <w:name w:val="Unresolved Mention1"/>
    <w:basedOn w:val="DefaultParagraphFont"/>
    <w:uiPriority w:val="99"/>
    <w:semiHidden/>
    <w:unhideWhenUsed/>
    <w:rsid w:val="00DC34FA"/>
    <w:rPr>
      <w:color w:val="605E5C"/>
      <w:shd w:val="clear" w:color="auto" w:fill="E1DFDD"/>
    </w:rPr>
  </w:style>
  <w:style w:type="character" w:styleId="FollowedHyperlink">
    <w:name w:val="FollowedHyperlink"/>
    <w:basedOn w:val="DefaultParagraphFont"/>
    <w:semiHidden/>
    <w:unhideWhenUsed/>
    <w:rsid w:val="00964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7648">
      <w:bodyDiv w:val="1"/>
      <w:marLeft w:val="0"/>
      <w:marRight w:val="0"/>
      <w:marTop w:val="0"/>
      <w:marBottom w:val="0"/>
      <w:divBdr>
        <w:top w:val="none" w:sz="0" w:space="0" w:color="auto"/>
        <w:left w:val="none" w:sz="0" w:space="0" w:color="auto"/>
        <w:bottom w:val="none" w:sz="0" w:space="0" w:color="auto"/>
        <w:right w:val="none" w:sz="0" w:space="0" w:color="auto"/>
      </w:divBdr>
    </w:div>
    <w:div w:id="67000921">
      <w:bodyDiv w:val="1"/>
      <w:marLeft w:val="0"/>
      <w:marRight w:val="0"/>
      <w:marTop w:val="0"/>
      <w:marBottom w:val="0"/>
      <w:divBdr>
        <w:top w:val="none" w:sz="0" w:space="0" w:color="auto"/>
        <w:left w:val="none" w:sz="0" w:space="0" w:color="auto"/>
        <w:bottom w:val="none" w:sz="0" w:space="0" w:color="auto"/>
        <w:right w:val="none" w:sz="0" w:space="0" w:color="auto"/>
      </w:divBdr>
    </w:div>
    <w:div w:id="70934472">
      <w:bodyDiv w:val="1"/>
      <w:marLeft w:val="0"/>
      <w:marRight w:val="0"/>
      <w:marTop w:val="0"/>
      <w:marBottom w:val="0"/>
      <w:divBdr>
        <w:top w:val="none" w:sz="0" w:space="0" w:color="auto"/>
        <w:left w:val="none" w:sz="0" w:space="0" w:color="auto"/>
        <w:bottom w:val="none" w:sz="0" w:space="0" w:color="auto"/>
        <w:right w:val="none" w:sz="0" w:space="0" w:color="auto"/>
      </w:divBdr>
    </w:div>
    <w:div w:id="344089639">
      <w:bodyDiv w:val="1"/>
      <w:marLeft w:val="0"/>
      <w:marRight w:val="0"/>
      <w:marTop w:val="0"/>
      <w:marBottom w:val="0"/>
      <w:divBdr>
        <w:top w:val="none" w:sz="0" w:space="0" w:color="auto"/>
        <w:left w:val="none" w:sz="0" w:space="0" w:color="auto"/>
        <w:bottom w:val="none" w:sz="0" w:space="0" w:color="auto"/>
        <w:right w:val="none" w:sz="0" w:space="0" w:color="auto"/>
      </w:divBdr>
    </w:div>
    <w:div w:id="350573516">
      <w:bodyDiv w:val="1"/>
      <w:marLeft w:val="0"/>
      <w:marRight w:val="0"/>
      <w:marTop w:val="0"/>
      <w:marBottom w:val="0"/>
      <w:divBdr>
        <w:top w:val="none" w:sz="0" w:space="0" w:color="auto"/>
        <w:left w:val="none" w:sz="0" w:space="0" w:color="auto"/>
        <w:bottom w:val="none" w:sz="0" w:space="0" w:color="auto"/>
        <w:right w:val="none" w:sz="0" w:space="0" w:color="auto"/>
      </w:divBdr>
    </w:div>
    <w:div w:id="354159498">
      <w:bodyDiv w:val="1"/>
      <w:marLeft w:val="0"/>
      <w:marRight w:val="0"/>
      <w:marTop w:val="0"/>
      <w:marBottom w:val="0"/>
      <w:divBdr>
        <w:top w:val="none" w:sz="0" w:space="0" w:color="auto"/>
        <w:left w:val="none" w:sz="0" w:space="0" w:color="auto"/>
        <w:bottom w:val="none" w:sz="0" w:space="0" w:color="auto"/>
        <w:right w:val="none" w:sz="0" w:space="0" w:color="auto"/>
      </w:divBdr>
      <w:divsChild>
        <w:div w:id="511917668">
          <w:marLeft w:val="136"/>
          <w:marRight w:val="136"/>
          <w:marTop w:val="204"/>
          <w:marBottom w:val="0"/>
          <w:divBdr>
            <w:top w:val="none" w:sz="0" w:space="0" w:color="auto"/>
            <w:left w:val="none" w:sz="0" w:space="0" w:color="auto"/>
            <w:bottom w:val="none" w:sz="0" w:space="0" w:color="auto"/>
            <w:right w:val="none" w:sz="0" w:space="0" w:color="auto"/>
          </w:divBdr>
          <w:divsChild>
            <w:div w:id="14728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9157">
      <w:bodyDiv w:val="1"/>
      <w:marLeft w:val="0"/>
      <w:marRight w:val="0"/>
      <w:marTop w:val="0"/>
      <w:marBottom w:val="0"/>
      <w:divBdr>
        <w:top w:val="none" w:sz="0" w:space="0" w:color="auto"/>
        <w:left w:val="none" w:sz="0" w:space="0" w:color="auto"/>
        <w:bottom w:val="none" w:sz="0" w:space="0" w:color="auto"/>
        <w:right w:val="none" w:sz="0" w:space="0" w:color="auto"/>
      </w:divBdr>
    </w:div>
    <w:div w:id="624820892">
      <w:bodyDiv w:val="1"/>
      <w:marLeft w:val="0"/>
      <w:marRight w:val="0"/>
      <w:marTop w:val="0"/>
      <w:marBottom w:val="0"/>
      <w:divBdr>
        <w:top w:val="none" w:sz="0" w:space="0" w:color="auto"/>
        <w:left w:val="none" w:sz="0" w:space="0" w:color="auto"/>
        <w:bottom w:val="none" w:sz="0" w:space="0" w:color="auto"/>
        <w:right w:val="none" w:sz="0" w:space="0" w:color="auto"/>
      </w:divBdr>
    </w:div>
    <w:div w:id="816923164">
      <w:bodyDiv w:val="1"/>
      <w:marLeft w:val="0"/>
      <w:marRight w:val="0"/>
      <w:marTop w:val="0"/>
      <w:marBottom w:val="0"/>
      <w:divBdr>
        <w:top w:val="none" w:sz="0" w:space="0" w:color="auto"/>
        <w:left w:val="none" w:sz="0" w:space="0" w:color="auto"/>
        <w:bottom w:val="none" w:sz="0" w:space="0" w:color="auto"/>
        <w:right w:val="none" w:sz="0" w:space="0" w:color="auto"/>
      </w:divBdr>
    </w:div>
    <w:div w:id="901326471">
      <w:bodyDiv w:val="1"/>
      <w:marLeft w:val="0"/>
      <w:marRight w:val="0"/>
      <w:marTop w:val="0"/>
      <w:marBottom w:val="0"/>
      <w:divBdr>
        <w:top w:val="none" w:sz="0" w:space="0" w:color="auto"/>
        <w:left w:val="none" w:sz="0" w:space="0" w:color="auto"/>
        <w:bottom w:val="none" w:sz="0" w:space="0" w:color="auto"/>
        <w:right w:val="none" w:sz="0" w:space="0" w:color="auto"/>
      </w:divBdr>
    </w:div>
    <w:div w:id="1002852267">
      <w:bodyDiv w:val="1"/>
      <w:marLeft w:val="0"/>
      <w:marRight w:val="0"/>
      <w:marTop w:val="0"/>
      <w:marBottom w:val="0"/>
      <w:divBdr>
        <w:top w:val="none" w:sz="0" w:space="0" w:color="auto"/>
        <w:left w:val="none" w:sz="0" w:space="0" w:color="auto"/>
        <w:bottom w:val="none" w:sz="0" w:space="0" w:color="auto"/>
        <w:right w:val="none" w:sz="0" w:space="0" w:color="auto"/>
      </w:divBdr>
    </w:div>
    <w:div w:id="1219048300">
      <w:bodyDiv w:val="1"/>
      <w:marLeft w:val="0"/>
      <w:marRight w:val="0"/>
      <w:marTop w:val="0"/>
      <w:marBottom w:val="0"/>
      <w:divBdr>
        <w:top w:val="none" w:sz="0" w:space="0" w:color="auto"/>
        <w:left w:val="none" w:sz="0" w:space="0" w:color="auto"/>
        <w:bottom w:val="none" w:sz="0" w:space="0" w:color="auto"/>
        <w:right w:val="none" w:sz="0" w:space="0" w:color="auto"/>
      </w:divBdr>
    </w:div>
    <w:div w:id="1225681921">
      <w:bodyDiv w:val="1"/>
      <w:marLeft w:val="0"/>
      <w:marRight w:val="0"/>
      <w:marTop w:val="0"/>
      <w:marBottom w:val="0"/>
      <w:divBdr>
        <w:top w:val="none" w:sz="0" w:space="0" w:color="auto"/>
        <w:left w:val="none" w:sz="0" w:space="0" w:color="auto"/>
        <w:bottom w:val="none" w:sz="0" w:space="0" w:color="auto"/>
        <w:right w:val="none" w:sz="0" w:space="0" w:color="auto"/>
      </w:divBdr>
    </w:div>
    <w:div w:id="1268007235">
      <w:bodyDiv w:val="1"/>
      <w:marLeft w:val="0"/>
      <w:marRight w:val="0"/>
      <w:marTop w:val="0"/>
      <w:marBottom w:val="0"/>
      <w:divBdr>
        <w:top w:val="none" w:sz="0" w:space="0" w:color="auto"/>
        <w:left w:val="none" w:sz="0" w:space="0" w:color="auto"/>
        <w:bottom w:val="none" w:sz="0" w:space="0" w:color="auto"/>
        <w:right w:val="none" w:sz="0" w:space="0" w:color="auto"/>
      </w:divBdr>
    </w:div>
    <w:div w:id="1277176999">
      <w:bodyDiv w:val="1"/>
      <w:marLeft w:val="0"/>
      <w:marRight w:val="0"/>
      <w:marTop w:val="0"/>
      <w:marBottom w:val="0"/>
      <w:divBdr>
        <w:top w:val="none" w:sz="0" w:space="0" w:color="auto"/>
        <w:left w:val="none" w:sz="0" w:space="0" w:color="auto"/>
        <w:bottom w:val="none" w:sz="0" w:space="0" w:color="auto"/>
        <w:right w:val="none" w:sz="0" w:space="0" w:color="auto"/>
      </w:divBdr>
    </w:div>
    <w:div w:id="1349602182">
      <w:bodyDiv w:val="1"/>
      <w:marLeft w:val="0"/>
      <w:marRight w:val="0"/>
      <w:marTop w:val="0"/>
      <w:marBottom w:val="0"/>
      <w:divBdr>
        <w:top w:val="none" w:sz="0" w:space="0" w:color="auto"/>
        <w:left w:val="none" w:sz="0" w:space="0" w:color="auto"/>
        <w:bottom w:val="none" w:sz="0" w:space="0" w:color="auto"/>
        <w:right w:val="none" w:sz="0" w:space="0" w:color="auto"/>
      </w:divBdr>
      <w:divsChild>
        <w:div w:id="629480102">
          <w:marLeft w:val="0"/>
          <w:marRight w:val="0"/>
          <w:marTop w:val="0"/>
          <w:marBottom w:val="0"/>
          <w:divBdr>
            <w:top w:val="none" w:sz="0" w:space="0" w:color="auto"/>
            <w:left w:val="none" w:sz="0" w:space="0" w:color="auto"/>
            <w:bottom w:val="none" w:sz="0" w:space="0" w:color="auto"/>
            <w:right w:val="none" w:sz="0" w:space="0" w:color="auto"/>
          </w:divBdr>
          <w:divsChild>
            <w:div w:id="563764185">
              <w:marLeft w:val="0"/>
              <w:marRight w:val="0"/>
              <w:marTop w:val="0"/>
              <w:marBottom w:val="0"/>
              <w:divBdr>
                <w:top w:val="none" w:sz="0" w:space="0" w:color="auto"/>
                <w:left w:val="none" w:sz="0" w:space="0" w:color="auto"/>
                <w:bottom w:val="none" w:sz="0" w:space="0" w:color="auto"/>
                <w:right w:val="none" w:sz="0" w:space="0" w:color="auto"/>
              </w:divBdr>
              <w:divsChild>
                <w:div w:id="274101921">
                  <w:marLeft w:val="0"/>
                  <w:marRight w:val="0"/>
                  <w:marTop w:val="0"/>
                  <w:marBottom w:val="150"/>
                  <w:divBdr>
                    <w:top w:val="none" w:sz="0" w:space="0" w:color="auto"/>
                    <w:left w:val="none" w:sz="0" w:space="0" w:color="auto"/>
                    <w:bottom w:val="none" w:sz="0" w:space="0" w:color="auto"/>
                    <w:right w:val="none" w:sz="0" w:space="0" w:color="auto"/>
                  </w:divBdr>
                  <w:divsChild>
                    <w:div w:id="1461462266">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362705848">
      <w:bodyDiv w:val="1"/>
      <w:marLeft w:val="0"/>
      <w:marRight w:val="0"/>
      <w:marTop w:val="0"/>
      <w:marBottom w:val="0"/>
      <w:divBdr>
        <w:top w:val="none" w:sz="0" w:space="0" w:color="auto"/>
        <w:left w:val="none" w:sz="0" w:space="0" w:color="auto"/>
        <w:bottom w:val="none" w:sz="0" w:space="0" w:color="auto"/>
        <w:right w:val="none" w:sz="0" w:space="0" w:color="auto"/>
      </w:divBdr>
    </w:div>
    <w:div w:id="1440833450">
      <w:bodyDiv w:val="1"/>
      <w:marLeft w:val="0"/>
      <w:marRight w:val="0"/>
      <w:marTop w:val="0"/>
      <w:marBottom w:val="0"/>
      <w:divBdr>
        <w:top w:val="none" w:sz="0" w:space="0" w:color="auto"/>
        <w:left w:val="none" w:sz="0" w:space="0" w:color="auto"/>
        <w:bottom w:val="none" w:sz="0" w:space="0" w:color="auto"/>
        <w:right w:val="none" w:sz="0" w:space="0" w:color="auto"/>
      </w:divBdr>
      <w:divsChild>
        <w:div w:id="1111123260">
          <w:marLeft w:val="136"/>
          <w:marRight w:val="136"/>
          <w:marTop w:val="204"/>
          <w:marBottom w:val="0"/>
          <w:divBdr>
            <w:top w:val="none" w:sz="0" w:space="0" w:color="auto"/>
            <w:left w:val="none" w:sz="0" w:space="0" w:color="auto"/>
            <w:bottom w:val="none" w:sz="0" w:space="0" w:color="auto"/>
            <w:right w:val="none" w:sz="0" w:space="0" w:color="auto"/>
          </w:divBdr>
          <w:divsChild>
            <w:div w:id="18654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027">
      <w:bodyDiv w:val="1"/>
      <w:marLeft w:val="0"/>
      <w:marRight w:val="0"/>
      <w:marTop w:val="0"/>
      <w:marBottom w:val="0"/>
      <w:divBdr>
        <w:top w:val="none" w:sz="0" w:space="0" w:color="auto"/>
        <w:left w:val="none" w:sz="0" w:space="0" w:color="auto"/>
        <w:bottom w:val="none" w:sz="0" w:space="0" w:color="auto"/>
        <w:right w:val="none" w:sz="0" w:space="0" w:color="auto"/>
      </w:divBdr>
    </w:div>
    <w:div w:id="1939673845">
      <w:bodyDiv w:val="1"/>
      <w:marLeft w:val="0"/>
      <w:marRight w:val="0"/>
      <w:marTop w:val="0"/>
      <w:marBottom w:val="0"/>
      <w:divBdr>
        <w:top w:val="none" w:sz="0" w:space="0" w:color="auto"/>
        <w:left w:val="none" w:sz="0" w:space="0" w:color="auto"/>
        <w:bottom w:val="none" w:sz="0" w:space="0" w:color="auto"/>
        <w:right w:val="none" w:sz="0" w:space="0" w:color="auto"/>
      </w:divBdr>
    </w:div>
    <w:div w:id="1971552250">
      <w:bodyDiv w:val="1"/>
      <w:marLeft w:val="0"/>
      <w:marRight w:val="0"/>
      <w:marTop w:val="0"/>
      <w:marBottom w:val="0"/>
      <w:divBdr>
        <w:top w:val="none" w:sz="0" w:space="0" w:color="auto"/>
        <w:left w:val="none" w:sz="0" w:space="0" w:color="auto"/>
        <w:bottom w:val="none" w:sz="0" w:space="0" w:color="auto"/>
        <w:right w:val="none" w:sz="0" w:space="0" w:color="auto"/>
      </w:divBdr>
    </w:div>
    <w:div w:id="2077823575">
      <w:bodyDiv w:val="1"/>
      <w:marLeft w:val="0"/>
      <w:marRight w:val="0"/>
      <w:marTop w:val="0"/>
      <w:marBottom w:val="0"/>
      <w:divBdr>
        <w:top w:val="none" w:sz="0" w:space="0" w:color="auto"/>
        <w:left w:val="none" w:sz="0" w:space="0" w:color="auto"/>
        <w:bottom w:val="none" w:sz="0" w:space="0" w:color="auto"/>
        <w:right w:val="none" w:sz="0" w:space="0" w:color="auto"/>
      </w:divBdr>
    </w:div>
    <w:div w:id="2119982339">
      <w:bodyDiv w:val="1"/>
      <w:marLeft w:val="0"/>
      <w:marRight w:val="0"/>
      <w:marTop w:val="0"/>
      <w:marBottom w:val="0"/>
      <w:divBdr>
        <w:top w:val="none" w:sz="0" w:space="0" w:color="auto"/>
        <w:left w:val="none" w:sz="0" w:space="0" w:color="auto"/>
        <w:bottom w:val="none" w:sz="0" w:space="0" w:color="auto"/>
        <w:right w:val="none" w:sz="0" w:space="0" w:color="auto"/>
      </w:divBdr>
    </w:div>
    <w:div w:id="21295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oleObject" Target="embeddings/oleObject6.bin"/><Relationship Id="rId47" Type="http://schemas.openxmlformats.org/officeDocument/2006/relationships/image" Target="media/image23.wmf"/><Relationship Id="rId63" Type="http://schemas.openxmlformats.org/officeDocument/2006/relationships/oleObject" Target="embeddings/oleObject17.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30.bin"/><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image" Target="media/image45.wmf"/><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8.xml"/><Relationship Id="rId107" Type="http://schemas.openxmlformats.org/officeDocument/2006/relationships/theme" Target="theme/theme1.xml"/><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oleObject" Target="embeddings/oleObject1.bin"/><Relationship Id="rId37" Type="http://schemas.openxmlformats.org/officeDocument/2006/relationships/image" Target="media/image18.wmf"/><Relationship Id="rId40" Type="http://schemas.openxmlformats.org/officeDocument/2006/relationships/oleObject" Target="embeddings/oleObject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14.bin"/><Relationship Id="rId66" Type="http://schemas.openxmlformats.org/officeDocument/2006/relationships/image" Target="media/image32.wmf"/><Relationship Id="rId74" Type="http://schemas.openxmlformats.org/officeDocument/2006/relationships/image" Target="media/image36.wmf"/><Relationship Id="rId79" Type="http://schemas.openxmlformats.org/officeDocument/2006/relationships/oleObject" Target="embeddings/oleObject25.bin"/><Relationship Id="rId87" Type="http://schemas.openxmlformats.org/officeDocument/2006/relationships/oleObject" Target="embeddings/oleObject29.bin"/><Relationship Id="rId102" Type="http://schemas.openxmlformats.org/officeDocument/2006/relationships/image" Target="media/image50.wmf"/><Relationship Id="rId5" Type="http://schemas.openxmlformats.org/officeDocument/2006/relationships/webSettings" Target="webSettings.xml"/><Relationship Id="rId61" Type="http://schemas.openxmlformats.org/officeDocument/2006/relationships/oleObject" Target="embeddings/oleObject16.bin"/><Relationship Id="rId82" Type="http://schemas.openxmlformats.org/officeDocument/2006/relationships/image" Target="media/image40.wmf"/><Relationship Id="rId90" Type="http://schemas.openxmlformats.org/officeDocument/2006/relationships/image" Target="media/image44.wmf"/><Relationship Id="rId95" Type="http://schemas.openxmlformats.org/officeDocument/2006/relationships/oleObject" Target="embeddings/oleObject33.bin"/><Relationship Id="rId19" Type="http://schemas.openxmlformats.org/officeDocument/2006/relationships/image" Target="media/image6.png"/><Relationship Id="rId14" Type="http://schemas.openxmlformats.org/officeDocument/2006/relationships/chart" Target="charts/chart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chart" Target="charts/chart9.xml"/><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9.bin"/><Relationship Id="rId56" Type="http://schemas.openxmlformats.org/officeDocument/2006/relationships/oleObject" Target="embeddings/oleObject13.bin"/><Relationship Id="rId64" Type="http://schemas.openxmlformats.org/officeDocument/2006/relationships/image" Target="media/image31.wmf"/><Relationship Id="rId69" Type="http://schemas.openxmlformats.org/officeDocument/2006/relationships/oleObject" Target="embeddings/oleObject20.bin"/><Relationship Id="rId77" Type="http://schemas.openxmlformats.org/officeDocument/2006/relationships/oleObject" Target="embeddings/oleObject24.bin"/><Relationship Id="rId100" Type="http://schemas.openxmlformats.org/officeDocument/2006/relationships/image" Target="media/image49.wmf"/><Relationship Id="rId105"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image" Target="media/image25.wmf"/><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oleObject" Target="embeddings/oleObject28.bin"/><Relationship Id="rId93" Type="http://schemas.openxmlformats.org/officeDocument/2006/relationships/oleObject" Target="embeddings/oleObject32.bin"/><Relationship Id="rId98" Type="http://schemas.openxmlformats.org/officeDocument/2006/relationships/image" Target="media/image48.w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6.wmf"/><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image" Target="media/image29.wmf"/><Relationship Id="rId67" Type="http://schemas.openxmlformats.org/officeDocument/2006/relationships/oleObject" Target="embeddings/oleObject19.bin"/><Relationship Id="rId103" Type="http://schemas.openxmlformats.org/officeDocument/2006/relationships/oleObject" Target="embeddings/oleObject37.bin"/><Relationship Id="rId20" Type="http://schemas.openxmlformats.org/officeDocument/2006/relationships/image" Target="media/image7.png"/><Relationship Id="rId41" Type="http://schemas.openxmlformats.org/officeDocument/2006/relationships/image" Target="media/image20.wmf"/><Relationship Id="rId54" Type="http://schemas.openxmlformats.org/officeDocument/2006/relationships/oleObject" Target="embeddings/oleObject12.bin"/><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oleObject" Target="embeddings/oleObject23.bin"/><Relationship Id="rId83" Type="http://schemas.openxmlformats.org/officeDocument/2006/relationships/oleObject" Target="embeddings/oleObject27.bin"/><Relationship Id="rId88" Type="http://schemas.openxmlformats.org/officeDocument/2006/relationships/image" Target="media/image43.wmf"/><Relationship Id="rId91" Type="http://schemas.openxmlformats.org/officeDocument/2006/relationships/oleObject" Target="embeddings/oleObject31.bin"/><Relationship Id="rId96" Type="http://schemas.openxmlformats.org/officeDocument/2006/relationships/image" Target="media/image47.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image" Target="media/image10.png"/><Relationship Id="rId28" Type="http://schemas.openxmlformats.org/officeDocument/2006/relationships/chart" Target="charts/chart7.xml"/><Relationship Id="rId36" Type="http://schemas.openxmlformats.org/officeDocument/2006/relationships/oleObject" Target="embeddings/oleObject3.bin"/><Relationship Id="rId49" Type="http://schemas.openxmlformats.org/officeDocument/2006/relationships/image" Target="media/image24.wmf"/><Relationship Id="rId57" Type="http://schemas.openxmlformats.org/officeDocument/2006/relationships/image" Target="media/image28.wmf"/><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5.wmf"/><Relationship Id="rId44" Type="http://schemas.openxmlformats.org/officeDocument/2006/relationships/oleObject" Target="embeddings/oleObject7.bin"/><Relationship Id="rId52" Type="http://schemas.openxmlformats.org/officeDocument/2006/relationships/oleObject" Target="embeddings/oleObject11.bin"/><Relationship Id="rId60" Type="http://schemas.openxmlformats.org/officeDocument/2006/relationships/oleObject" Target="embeddings/oleObject15.bin"/><Relationship Id="rId65" Type="http://schemas.openxmlformats.org/officeDocument/2006/relationships/oleObject" Target="embeddings/oleObject18.bin"/><Relationship Id="rId73" Type="http://schemas.openxmlformats.org/officeDocument/2006/relationships/oleObject" Target="embeddings/oleObject22.bin"/><Relationship Id="rId78" Type="http://schemas.openxmlformats.org/officeDocument/2006/relationships/image" Target="media/image38.wmf"/><Relationship Id="rId81" Type="http://schemas.openxmlformats.org/officeDocument/2006/relationships/oleObject" Target="embeddings/oleObject26.bin"/><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35.bin"/><Relationship Id="rId101" Type="http://schemas.openxmlformats.org/officeDocument/2006/relationships/oleObject" Target="embeddings/oleObject36.bin"/><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3.xml"/><Relationship Id="rId18" Type="http://schemas.openxmlformats.org/officeDocument/2006/relationships/image" Target="media/image5.png"/><Relationship Id="rId39" Type="http://schemas.openxmlformats.org/officeDocument/2006/relationships/image" Target="media/image19.wmf"/><Relationship Id="rId34" Type="http://schemas.openxmlformats.org/officeDocument/2006/relationships/oleObject" Target="embeddings/oleObject2.bin"/><Relationship Id="rId50" Type="http://schemas.openxmlformats.org/officeDocument/2006/relationships/oleObject" Target="embeddings/oleObject10.bin"/><Relationship Id="rId55" Type="http://schemas.openxmlformats.org/officeDocument/2006/relationships/image" Target="media/image27.wmf"/><Relationship Id="rId76" Type="http://schemas.openxmlformats.org/officeDocument/2006/relationships/image" Target="media/image37.wmf"/><Relationship Id="rId97" Type="http://schemas.openxmlformats.org/officeDocument/2006/relationships/oleObject" Target="embeddings/oleObject34.bin"/><Relationship Id="rId10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exec.gov.nl.ca/exec/occ/publications/RTM_Complete_Rpt_F_Mar31_2016.pdf" TargetMode="External"/><Relationship Id="rId3" Type="http://schemas.openxmlformats.org/officeDocument/2006/relationships/hyperlink" Target="https://www2.illinois.gov/sites/ipa/Documents/CUB-Comments-Appendix-D-2009-Navigant-Power-Smart-Pricing-Annual-Report.pdf" TargetMode="External"/><Relationship Id="rId7" Type="http://schemas.openxmlformats.org/officeDocument/2006/relationships/hyperlink" Target="http://www.calmac.org/publications/PY16_TOU_and_CPP_Ex_Post_and_Ex_Ante_Report.pdf" TargetMode="External"/><Relationship Id="rId2" Type="http://schemas.openxmlformats.org/officeDocument/2006/relationships/hyperlink" Target="https://www.exec.gov.nl.ca/exec/occ/publications/RTM_Complete_Rpt_F_Mar31_2016.pdf" TargetMode="External"/><Relationship Id="rId1" Type="http://schemas.openxmlformats.org/officeDocument/2006/relationships/hyperlink" Target="http://www.calmac.org/publications/PY16_TOU_and_CPP_Ex_Post_and_Ex_Ante_Report.pdf" TargetMode="External"/><Relationship Id="rId6" Type="http://schemas.openxmlformats.org/officeDocument/2006/relationships/hyperlink" Target="https://dms.psc.sc.gov/attachments/matter/2BB3B03A-155D-141F-1D48A6BCE191C362" TargetMode="External"/><Relationship Id="rId5" Type="http://schemas.openxmlformats.org/officeDocument/2006/relationships/hyperlink" Target="http://www.calmac.org/publications/PY16_TOU_and_CPP_Ex_Post_and_Ex_Ante_Report.pdf" TargetMode="External"/><Relationship Id="rId10" Type="http://schemas.openxmlformats.org/officeDocument/2006/relationships/hyperlink" Target="https://www.oge.com/wps/portal/oge/save-energy/smarthours/!ut/p/z1/lZFNC4JAEIZ_SwevzqQm1m1tY_0gsEK0vYSFrYK6opZ_PyEvQfYxp5nheedlZoBDDLxK7rlIulxWSTHUR26eLI1uHA-1LbMPJpK9vWSMLXRmGhCNAK7RNTQPvSEla4v6u6Wto2MA_0vPfG2DxKd0twjo3LV_1ONEEPzVfxLgn8dHwEeL6Qu8Am9W_GbiAReFPD__QaqzbgngTXpNm7RRb83QzrqublcKKtj3vSqkFEWqXmSp4DtJJtsO4lcS6jIMwxjzoIyslsxmD02c2DA!/dz/d5/L2dBISEvZ0FBIS9nQSEh/" TargetMode="External"/><Relationship Id="rId4" Type="http://schemas.openxmlformats.org/officeDocument/2006/relationships/hyperlink" Target="https://www.oeb.ca/sites/default/files/letter-rpp-roadmap-pilot-price-update-20180423.pdf" TargetMode="External"/><Relationship Id="rId9" Type="http://schemas.openxmlformats.org/officeDocument/2006/relationships/hyperlink" Target="https://www2.illinois.gov/sites/ipa/Documents/CUB-Comments-Appendix-D-2009-Navigant-Power-Smart-Pricing-Annual-Report.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NCI\NCI%20Templates\Energy_Report%20Template_01-27-16.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1.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oleObject" Target="file:///\\chi1islfls01\Energy\London%20Hydro\RPP%20Pilot\05%20Working%20Spreadsheets\08%20OEB%20Metrics%20Output\LH%20RPP%20Appendix%20B%20London%20Hydro%20EMV%20Metrics%202019-05-1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hi1islfls01\Energy\London%20Hydro\RPP%20Pilot\05%20Working%20Spreadsheets\08%20OEB%20Metrics%20Output\LH%20RPP%20Appendix%20B%20London%20Hydro%20EMV%20Metrics%202019-05-1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927068852844771E-2"/>
          <c:y val="3.0418247638938668E-2"/>
          <c:w val="0.87157967396600522"/>
          <c:h val="0.86497455275159918"/>
        </c:manualLayout>
      </c:layout>
      <c:scatterChart>
        <c:scatterStyle val="lineMarker"/>
        <c:varyColors val="0"/>
        <c:ser>
          <c:idx val="0"/>
          <c:order val="0"/>
          <c:tx>
            <c:strRef>
              <c:f>'01 Tabular Event Impacts'!$A$8</c:f>
              <c:strCache>
                <c:ptCount val="1"/>
                <c:pt idx="0">
                  <c:v>Average Number Connected</c:v>
                </c:pt>
              </c:strCache>
            </c:strRef>
          </c:tx>
          <c:spPr>
            <a:ln w="25400" cap="rnd">
              <a:noFill/>
              <a:round/>
            </a:ln>
            <a:effectLst/>
          </c:spPr>
          <c:marker>
            <c:symbol val="triangle"/>
            <c:size val="7"/>
            <c:spPr>
              <a:solidFill>
                <a:schemeClr val="accent4"/>
              </a:solidFill>
              <a:ln w="9525">
                <a:solidFill>
                  <a:schemeClr val="accent1"/>
                </a:solidFill>
              </a:ln>
              <a:effectLst/>
            </c:spPr>
          </c:marker>
          <c:errBars>
            <c:errDir val="y"/>
            <c:errBarType val="both"/>
            <c:errValType val="cust"/>
            <c:noEndCap val="0"/>
            <c:plus>
              <c:numRef>
                <c:f>'01 Tabular Event Impacts'!$D$8:$D$25</c:f>
                <c:numCache>
                  <c:formatCode>General</c:formatCode>
                  <c:ptCount val="18"/>
                  <c:pt idx="0">
                    <c:v>6.4619623412359606E-2</c:v>
                  </c:pt>
                  <c:pt idx="1">
                    <c:v>6.0145478583062698E-2</c:v>
                  </c:pt>
                  <c:pt idx="2">
                    <c:v>7.4211815683863105E-2</c:v>
                  </c:pt>
                  <c:pt idx="3">
                    <c:v>8.2616670414941695E-2</c:v>
                  </c:pt>
                  <c:pt idx="4">
                    <c:v>9.3506467454451903E-2</c:v>
                  </c:pt>
                  <c:pt idx="5">
                    <c:v>6.4671256720362905E-2</c:v>
                  </c:pt>
                  <c:pt idx="6">
                    <c:v>5.9722336113472503E-2</c:v>
                  </c:pt>
                  <c:pt idx="7">
                    <c:v>6.2532542643516195E-2</c:v>
                  </c:pt>
                  <c:pt idx="8">
                    <c:v>5.9903595168575699E-2</c:v>
                  </c:pt>
                  <c:pt idx="9">
                    <c:v>6.0958903971566399E-2</c:v>
                  </c:pt>
                  <c:pt idx="10">
                    <c:v>6.8495274108069298E-2</c:v>
                  </c:pt>
                  <c:pt idx="11">
                    <c:v>5.9686061465687702E-2</c:v>
                  </c:pt>
                  <c:pt idx="12">
                    <c:v>5.9123616853819103E-2</c:v>
                  </c:pt>
                  <c:pt idx="13">
                    <c:v>5.9500394896837602E-2</c:v>
                  </c:pt>
                  <c:pt idx="14">
                    <c:v>7.3398733663985402E-2</c:v>
                  </c:pt>
                  <c:pt idx="15">
                    <c:v>7.6061389024430201E-2</c:v>
                  </c:pt>
                  <c:pt idx="16">
                    <c:v>6.7584789868419398E-2</c:v>
                  </c:pt>
                  <c:pt idx="17">
                    <c:v>5.9458772269121003E-2</c:v>
                  </c:pt>
                </c:numCache>
              </c:numRef>
            </c:plus>
            <c:minus>
              <c:numRef>
                <c:f>'01 Tabular Event Impacts'!$D$8:$D$25</c:f>
                <c:numCache>
                  <c:formatCode>General</c:formatCode>
                  <c:ptCount val="18"/>
                  <c:pt idx="0">
                    <c:v>6.4619623412359606E-2</c:v>
                  </c:pt>
                  <c:pt idx="1">
                    <c:v>6.0145478583062698E-2</c:v>
                  </c:pt>
                  <c:pt idx="2">
                    <c:v>7.4211815683863105E-2</c:v>
                  </c:pt>
                  <c:pt idx="3">
                    <c:v>8.2616670414941695E-2</c:v>
                  </c:pt>
                  <c:pt idx="4">
                    <c:v>9.3506467454451903E-2</c:v>
                  </c:pt>
                  <c:pt idx="5">
                    <c:v>6.4671256720362905E-2</c:v>
                  </c:pt>
                  <c:pt idx="6">
                    <c:v>5.9722336113472503E-2</c:v>
                  </c:pt>
                  <c:pt idx="7">
                    <c:v>6.2532542643516195E-2</c:v>
                  </c:pt>
                  <c:pt idx="8">
                    <c:v>5.9903595168575699E-2</c:v>
                  </c:pt>
                  <c:pt idx="9">
                    <c:v>6.0958903971566399E-2</c:v>
                  </c:pt>
                  <c:pt idx="10">
                    <c:v>6.8495274108069298E-2</c:v>
                  </c:pt>
                  <c:pt idx="11">
                    <c:v>5.9686061465687702E-2</c:v>
                  </c:pt>
                  <c:pt idx="12">
                    <c:v>5.9123616853819103E-2</c:v>
                  </c:pt>
                  <c:pt idx="13">
                    <c:v>5.9500394896837602E-2</c:v>
                  </c:pt>
                  <c:pt idx="14">
                    <c:v>7.3398733663985402E-2</c:v>
                  </c:pt>
                  <c:pt idx="15">
                    <c:v>7.6061389024430201E-2</c:v>
                  </c:pt>
                  <c:pt idx="16">
                    <c:v>6.7584789868419398E-2</c:v>
                  </c:pt>
                  <c:pt idx="17">
                    <c:v>5.9458772269121003E-2</c:v>
                  </c:pt>
                </c:numCache>
              </c:numRef>
            </c:minus>
            <c:spPr>
              <a:noFill/>
              <a:ln w="9525" cap="flat" cmpd="sng" algn="ctr">
                <a:solidFill>
                  <a:schemeClr val="tx1">
                    <a:lumMod val="65000"/>
                    <a:lumOff val="35000"/>
                  </a:schemeClr>
                </a:solidFill>
                <a:round/>
              </a:ln>
              <a:effectLst/>
            </c:spPr>
          </c:errBars>
          <c:xVal>
            <c:numRef>
              <c:f>'01 Tabular Event Impacts'!$F$8:$F$25</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Impacts'!$C$8:$C$25</c:f>
              <c:numCache>
                <c:formatCode>General</c:formatCode>
                <c:ptCount val="18"/>
                <c:pt idx="0">
                  <c:v>0.604406360416471</c:v>
                </c:pt>
                <c:pt idx="1">
                  <c:v>0.64559838868261099</c:v>
                </c:pt>
                <c:pt idx="2">
                  <c:v>0.82905064757228097</c:v>
                </c:pt>
                <c:pt idx="3">
                  <c:v>0.90317109609486002</c:v>
                </c:pt>
                <c:pt idx="4">
                  <c:v>1.0010403327614299</c:v>
                </c:pt>
                <c:pt idx="5">
                  <c:v>0.68061324514493504</c:v>
                </c:pt>
                <c:pt idx="6">
                  <c:v>0.64247729145704802</c:v>
                </c:pt>
                <c:pt idx="7">
                  <c:v>0.46886565564920801</c:v>
                </c:pt>
                <c:pt idx="8">
                  <c:v>0.63390573848846099</c:v>
                </c:pt>
                <c:pt idx="9">
                  <c:v>0.65055914541073201</c:v>
                </c:pt>
                <c:pt idx="10">
                  <c:v>0.75978161892715501</c:v>
                </c:pt>
                <c:pt idx="11">
                  <c:v>0.531105107447573</c:v>
                </c:pt>
                <c:pt idx="12">
                  <c:v>0.56055009032331704</c:v>
                </c:pt>
                <c:pt idx="13">
                  <c:v>0.60837218144670402</c:v>
                </c:pt>
                <c:pt idx="14">
                  <c:v>0.81164957784237302</c:v>
                </c:pt>
                <c:pt idx="15">
                  <c:v>0.82701290908347402</c:v>
                </c:pt>
                <c:pt idx="16">
                  <c:v>0.395146984335986</c:v>
                </c:pt>
                <c:pt idx="17">
                  <c:v>0.53734674004552496</c:v>
                </c:pt>
              </c:numCache>
            </c:numRef>
          </c:yVal>
          <c:smooth val="0"/>
          <c:extLst>
            <c:ext xmlns:c16="http://schemas.microsoft.com/office/drawing/2014/chart" uri="{C3380CC4-5D6E-409C-BE32-E72D297353CC}">
              <c16:uniqueId val="{00000000-2A8B-4FD4-AB98-5677042C54DE}"/>
            </c:ext>
          </c:extLst>
        </c:ser>
        <c:ser>
          <c:idx val="1"/>
          <c:order val="1"/>
          <c:tx>
            <c:strRef>
              <c:f>'01 Tabular Event Impacts'!$A$30</c:f>
              <c:strCache>
                <c:ptCount val="1"/>
                <c:pt idx="0">
                  <c:v>Connected Only</c:v>
                </c:pt>
              </c:strCache>
            </c:strRef>
          </c:tx>
          <c:spPr>
            <a:ln w="25400" cap="rnd">
              <a:noFill/>
              <a:round/>
            </a:ln>
            <a:effectLst/>
          </c:spPr>
          <c:marker>
            <c:symbol val="diamond"/>
            <c:size val="7"/>
            <c:spPr>
              <a:solidFill>
                <a:schemeClr val="accent2"/>
              </a:solidFill>
              <a:ln w="9525">
                <a:solidFill>
                  <a:schemeClr val="accent1"/>
                </a:solidFill>
              </a:ln>
              <a:effectLst/>
            </c:spPr>
          </c:marker>
          <c:errBars>
            <c:errDir val="y"/>
            <c:errBarType val="both"/>
            <c:errValType val="cust"/>
            <c:noEndCap val="0"/>
            <c:plus>
              <c:numRef>
                <c:f>'01 Tabular Event Impacts'!$D$30:$D$47</c:f>
                <c:numCache>
                  <c:formatCode>General</c:formatCode>
                  <c:ptCount val="18"/>
                  <c:pt idx="0">
                    <c:v>6.5772048449953699E-2</c:v>
                  </c:pt>
                  <c:pt idx="1">
                    <c:v>6.15807236260556E-2</c:v>
                  </c:pt>
                  <c:pt idx="2">
                    <c:v>7.6053073947805999E-2</c:v>
                  </c:pt>
                  <c:pt idx="3">
                    <c:v>8.5366421332580003E-2</c:v>
                  </c:pt>
                  <c:pt idx="4">
                    <c:v>9.5958384606224398E-2</c:v>
                  </c:pt>
                  <c:pt idx="5">
                    <c:v>6.6040477320351301E-2</c:v>
                  </c:pt>
                  <c:pt idx="6">
                    <c:v>6.1150729222401799E-2</c:v>
                  </c:pt>
                  <c:pt idx="7">
                    <c:v>6.3937096456001499E-2</c:v>
                  </c:pt>
                  <c:pt idx="8">
                    <c:v>6.12905025007177E-2</c:v>
                  </c:pt>
                  <c:pt idx="9">
                    <c:v>6.23331985621038E-2</c:v>
                  </c:pt>
                  <c:pt idx="10">
                    <c:v>7.0105818511241702E-2</c:v>
                  </c:pt>
                  <c:pt idx="11">
                    <c:v>6.09656981597059E-2</c:v>
                  </c:pt>
                  <c:pt idx="12">
                    <c:v>6.0370772616247799E-2</c:v>
                  </c:pt>
                  <c:pt idx="13">
                    <c:v>6.07633508556501E-2</c:v>
                  </c:pt>
                  <c:pt idx="14">
                    <c:v>7.5585844099427799E-2</c:v>
                  </c:pt>
                  <c:pt idx="15">
                    <c:v>7.8300777959352405E-2</c:v>
                  </c:pt>
                  <c:pt idx="16">
                    <c:v>6.8983859706616496E-2</c:v>
                  </c:pt>
                  <c:pt idx="17">
                    <c:v>6.0609426077927298E-2</c:v>
                  </c:pt>
                </c:numCache>
              </c:numRef>
            </c:plus>
            <c:minus>
              <c:numRef>
                <c:f>'01 Tabular Event Impacts'!$D$30:$D$47</c:f>
                <c:numCache>
                  <c:formatCode>General</c:formatCode>
                  <c:ptCount val="18"/>
                  <c:pt idx="0">
                    <c:v>6.5772048449953699E-2</c:v>
                  </c:pt>
                  <c:pt idx="1">
                    <c:v>6.15807236260556E-2</c:v>
                  </c:pt>
                  <c:pt idx="2">
                    <c:v>7.6053073947805999E-2</c:v>
                  </c:pt>
                  <c:pt idx="3">
                    <c:v>8.5366421332580003E-2</c:v>
                  </c:pt>
                  <c:pt idx="4">
                    <c:v>9.5958384606224398E-2</c:v>
                  </c:pt>
                  <c:pt idx="5">
                    <c:v>6.6040477320351301E-2</c:v>
                  </c:pt>
                  <c:pt idx="6">
                    <c:v>6.1150729222401799E-2</c:v>
                  </c:pt>
                  <c:pt idx="7">
                    <c:v>6.3937096456001499E-2</c:v>
                  </c:pt>
                  <c:pt idx="8">
                    <c:v>6.12905025007177E-2</c:v>
                  </c:pt>
                  <c:pt idx="9">
                    <c:v>6.23331985621038E-2</c:v>
                  </c:pt>
                  <c:pt idx="10">
                    <c:v>7.0105818511241702E-2</c:v>
                  </c:pt>
                  <c:pt idx="11">
                    <c:v>6.09656981597059E-2</c:v>
                  </c:pt>
                  <c:pt idx="12">
                    <c:v>6.0370772616247799E-2</c:v>
                  </c:pt>
                  <c:pt idx="13">
                    <c:v>6.07633508556501E-2</c:v>
                  </c:pt>
                  <c:pt idx="14">
                    <c:v>7.5585844099427799E-2</c:v>
                  </c:pt>
                  <c:pt idx="15">
                    <c:v>7.8300777959352405E-2</c:v>
                  </c:pt>
                  <c:pt idx="16">
                    <c:v>6.8983859706616496E-2</c:v>
                  </c:pt>
                  <c:pt idx="17">
                    <c:v>6.0609426077927298E-2</c:v>
                  </c:pt>
                </c:numCache>
              </c:numRef>
            </c:minus>
            <c:spPr>
              <a:noFill/>
              <a:ln w="9525" cap="flat" cmpd="sng" algn="ctr">
                <a:solidFill>
                  <a:schemeClr val="tx1">
                    <a:lumMod val="65000"/>
                    <a:lumOff val="35000"/>
                  </a:schemeClr>
                </a:solidFill>
                <a:round/>
              </a:ln>
              <a:effectLst/>
            </c:spPr>
          </c:errBars>
          <c:xVal>
            <c:numRef>
              <c:f>'01 Tabular Event Impacts'!$F$30:$F$47</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Impacts'!$C$30:$C$47</c:f>
              <c:numCache>
                <c:formatCode>General</c:formatCode>
                <c:ptCount val="18"/>
                <c:pt idx="0">
                  <c:v>0.67290433292960705</c:v>
                </c:pt>
                <c:pt idx="1">
                  <c:v>0.72380370337255595</c:v>
                </c:pt>
                <c:pt idx="2">
                  <c:v>0.93777611831433405</c:v>
                </c:pt>
                <c:pt idx="3">
                  <c:v>1.02625797306125</c:v>
                </c:pt>
                <c:pt idx="4">
                  <c:v>1.1257939141573801</c:v>
                </c:pt>
                <c:pt idx="5">
                  <c:v>0.75662028582322505</c:v>
                </c:pt>
                <c:pt idx="6">
                  <c:v>0.70904983655847398</c:v>
                </c:pt>
                <c:pt idx="7">
                  <c:v>0.51147631574379904</c:v>
                </c:pt>
                <c:pt idx="8">
                  <c:v>0.71418161631989396</c:v>
                </c:pt>
                <c:pt idx="9">
                  <c:v>0.744651558653326</c:v>
                </c:pt>
                <c:pt idx="10">
                  <c:v>0.85611875442629604</c:v>
                </c:pt>
                <c:pt idx="11">
                  <c:v>0.58909448463527903</c:v>
                </c:pt>
                <c:pt idx="12">
                  <c:v>0.62822430531610696</c:v>
                </c:pt>
                <c:pt idx="13">
                  <c:v>0.69205081609876995</c:v>
                </c:pt>
                <c:pt idx="14">
                  <c:v>0.93260299241533695</c:v>
                </c:pt>
                <c:pt idx="15">
                  <c:v>0.96018630863297005</c:v>
                </c:pt>
                <c:pt idx="16">
                  <c:v>0.43417888308740898</c:v>
                </c:pt>
                <c:pt idx="17">
                  <c:v>0.60737645003533802</c:v>
                </c:pt>
              </c:numCache>
            </c:numRef>
          </c:yVal>
          <c:smooth val="0"/>
          <c:extLst>
            <c:ext xmlns:c16="http://schemas.microsoft.com/office/drawing/2014/chart" uri="{C3380CC4-5D6E-409C-BE32-E72D297353CC}">
              <c16:uniqueId val="{00000001-2A8B-4FD4-AB98-5677042C54DE}"/>
            </c:ext>
          </c:extLst>
        </c:ser>
        <c:ser>
          <c:idx val="2"/>
          <c:order val="2"/>
          <c:tx>
            <c:strRef>
              <c:f>'01 Tabular Event Impacts'!$A$52</c:f>
              <c:strCache>
                <c:ptCount val="1"/>
                <c:pt idx="0">
                  <c:v>Unconnected</c:v>
                </c:pt>
              </c:strCache>
            </c:strRef>
          </c:tx>
          <c:spPr>
            <a:ln w="25400" cap="rnd">
              <a:noFill/>
              <a:round/>
            </a:ln>
            <a:effectLst/>
          </c:spPr>
          <c:marker>
            <c:symbol val="square"/>
            <c:size val="7"/>
            <c:spPr>
              <a:solidFill>
                <a:schemeClr val="accent3"/>
              </a:solidFill>
              <a:ln w="9525">
                <a:solidFill>
                  <a:schemeClr val="accent1"/>
                </a:solidFill>
              </a:ln>
              <a:effectLst/>
            </c:spPr>
          </c:marker>
          <c:errBars>
            <c:errDir val="y"/>
            <c:errBarType val="both"/>
            <c:errValType val="cust"/>
            <c:noEndCap val="0"/>
            <c:plus>
              <c:numRef>
                <c:f>'01 Tabular Event Impacts'!$D$52:$D$69</c:f>
                <c:numCache>
                  <c:formatCode>General</c:formatCode>
                  <c:ptCount val="18"/>
                  <c:pt idx="0">
                    <c:v>9.4900721672838501E-2</c:v>
                  </c:pt>
                  <c:pt idx="1">
                    <c:v>9.35888383670236E-2</c:v>
                  </c:pt>
                  <c:pt idx="2">
                    <c:v>0.116652342560061</c:v>
                  </c:pt>
                  <c:pt idx="3">
                    <c:v>0.13791580977841</c:v>
                  </c:pt>
                  <c:pt idx="4">
                    <c:v>0.152172303850793</c:v>
                  </c:pt>
                  <c:pt idx="5">
                    <c:v>9.6652321479046704E-2</c:v>
                  </c:pt>
                  <c:pt idx="6">
                    <c:v>9.2752317692433403E-2</c:v>
                  </c:pt>
                  <c:pt idx="7">
                    <c:v>9.8006978145285403E-2</c:v>
                  </c:pt>
                  <c:pt idx="8">
                    <c:v>9.3024588432166697E-2</c:v>
                  </c:pt>
                  <c:pt idx="9">
                    <c:v>9.5046307242000597E-2</c:v>
                  </c:pt>
                  <c:pt idx="10">
                    <c:v>0.1052870899771</c:v>
                  </c:pt>
                  <c:pt idx="11">
                    <c:v>9.23353120323923E-2</c:v>
                  </c:pt>
                  <c:pt idx="12">
                    <c:v>9.1203309571845997E-2</c:v>
                  </c:pt>
                  <c:pt idx="13">
                    <c:v>9.1995377381377003E-2</c:v>
                  </c:pt>
                  <c:pt idx="14">
                    <c:v>0.120011956966748</c:v>
                  </c:pt>
                  <c:pt idx="15">
                    <c:v>0.12501481752540999</c:v>
                  </c:pt>
                  <c:pt idx="16">
                    <c:v>0.10752876560126599</c:v>
                  </c:pt>
                  <c:pt idx="17">
                    <c:v>9.1655149632314206E-2</c:v>
                  </c:pt>
                </c:numCache>
              </c:numRef>
            </c:plus>
            <c:minus>
              <c:numRef>
                <c:f>'01 Tabular Event Impacts'!$D$52:$D$69</c:f>
                <c:numCache>
                  <c:formatCode>General</c:formatCode>
                  <c:ptCount val="18"/>
                  <c:pt idx="0">
                    <c:v>9.4900721672838501E-2</c:v>
                  </c:pt>
                  <c:pt idx="1">
                    <c:v>9.35888383670236E-2</c:v>
                  </c:pt>
                  <c:pt idx="2">
                    <c:v>0.116652342560061</c:v>
                  </c:pt>
                  <c:pt idx="3">
                    <c:v>0.13791580977841</c:v>
                  </c:pt>
                  <c:pt idx="4">
                    <c:v>0.152172303850793</c:v>
                  </c:pt>
                  <c:pt idx="5">
                    <c:v>9.6652321479046704E-2</c:v>
                  </c:pt>
                  <c:pt idx="6">
                    <c:v>9.2752317692433403E-2</c:v>
                  </c:pt>
                  <c:pt idx="7">
                    <c:v>9.8006978145285403E-2</c:v>
                  </c:pt>
                  <c:pt idx="8">
                    <c:v>9.3024588432166697E-2</c:v>
                  </c:pt>
                  <c:pt idx="9">
                    <c:v>9.5046307242000597E-2</c:v>
                  </c:pt>
                  <c:pt idx="10">
                    <c:v>0.1052870899771</c:v>
                  </c:pt>
                  <c:pt idx="11">
                    <c:v>9.23353120323923E-2</c:v>
                  </c:pt>
                  <c:pt idx="12">
                    <c:v>9.1203309571845997E-2</c:v>
                  </c:pt>
                  <c:pt idx="13">
                    <c:v>9.1995377381377003E-2</c:v>
                  </c:pt>
                  <c:pt idx="14">
                    <c:v>0.120011956966748</c:v>
                  </c:pt>
                  <c:pt idx="15">
                    <c:v>0.12501481752540999</c:v>
                  </c:pt>
                  <c:pt idx="16">
                    <c:v>0.10752876560126599</c:v>
                  </c:pt>
                  <c:pt idx="17">
                    <c:v>9.1655149632314206E-2</c:v>
                  </c:pt>
                </c:numCache>
              </c:numRef>
            </c:minus>
            <c:spPr>
              <a:noFill/>
              <a:ln w="9525" cap="flat" cmpd="sng" algn="ctr">
                <a:solidFill>
                  <a:schemeClr val="tx1">
                    <a:lumMod val="65000"/>
                    <a:lumOff val="35000"/>
                  </a:schemeClr>
                </a:solidFill>
                <a:round/>
              </a:ln>
              <a:effectLst/>
            </c:spPr>
          </c:errBars>
          <c:xVal>
            <c:numRef>
              <c:f>'01 Tabular Event Impacts'!$F$52:$F$69</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Impacts'!$C$52:$C$69</c:f>
              <c:numCache>
                <c:formatCode>General</c:formatCode>
                <c:ptCount val="18"/>
                <c:pt idx="0">
                  <c:v>0.29870244605229102</c:v>
                </c:pt>
                <c:pt idx="1">
                  <c:v>0.28436431606714702</c:v>
                </c:pt>
                <c:pt idx="2">
                  <c:v>0.34926210237111099</c:v>
                </c:pt>
                <c:pt idx="3">
                  <c:v>0.32503576488906999</c:v>
                </c:pt>
                <c:pt idx="4">
                  <c:v>0.38515159934353799</c:v>
                </c:pt>
                <c:pt idx="5">
                  <c:v>0.31468244105461202</c:v>
                </c:pt>
                <c:pt idx="6">
                  <c:v>0.28238034295388198</c:v>
                </c:pt>
                <c:pt idx="7">
                  <c:v>0.255812355176253</c:v>
                </c:pt>
                <c:pt idx="8">
                  <c:v>0.28307042055849602</c:v>
                </c:pt>
                <c:pt idx="9">
                  <c:v>0.28716775633588998</c:v>
                </c:pt>
                <c:pt idx="10">
                  <c:v>0.33367505806556802</c:v>
                </c:pt>
                <c:pt idx="11">
                  <c:v>0.26624977894603602</c:v>
                </c:pt>
                <c:pt idx="12">
                  <c:v>0.27151162068121598</c:v>
                </c:pt>
                <c:pt idx="13">
                  <c:v>0.28009446088859902</c:v>
                </c:pt>
                <c:pt idx="14">
                  <c:v>0.31244184860486901</c:v>
                </c:pt>
                <c:pt idx="15">
                  <c:v>0.31615101572966797</c:v>
                </c:pt>
                <c:pt idx="16">
                  <c:v>0.245418061256758</c:v>
                </c:pt>
                <c:pt idx="17">
                  <c:v>0.26870818041247202</c:v>
                </c:pt>
              </c:numCache>
            </c:numRef>
          </c:yVal>
          <c:smooth val="0"/>
          <c:extLst>
            <c:ext xmlns:c16="http://schemas.microsoft.com/office/drawing/2014/chart" uri="{C3380CC4-5D6E-409C-BE32-E72D297353CC}">
              <c16:uniqueId val="{00000002-2A8B-4FD4-AB98-5677042C54DE}"/>
            </c:ext>
          </c:extLst>
        </c:ser>
        <c:ser>
          <c:idx val="3"/>
          <c:order val="3"/>
          <c:tx>
            <c:strRef>
              <c:f>'02 Scatter Plot'!$A$3</c:f>
              <c:strCache>
                <c:ptCount val="1"/>
                <c:pt idx="0">
                  <c:v>Ex Ante Average Number Connected</c:v>
                </c:pt>
              </c:strCache>
            </c:strRef>
          </c:tx>
          <c:spPr>
            <a:ln w="12700" cap="rnd">
              <a:solidFill>
                <a:schemeClr val="accent4"/>
              </a:solidFill>
              <a:round/>
            </a:ln>
            <a:effectLst/>
          </c:spPr>
          <c:marker>
            <c:symbol val="none"/>
          </c:marker>
          <c:xVal>
            <c:numRef>
              <c:f>'02 Scatter Plot'!$B$3:$B$27</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Plot'!$D$3:$D$27</c:f>
              <c:numCache>
                <c:formatCode>General</c:formatCode>
                <c:ptCount val="25"/>
                <c:pt idx="0">
                  <c:v>0.35336662426415399</c:v>
                </c:pt>
                <c:pt idx="1">
                  <c:v>0.38139089562606898</c:v>
                </c:pt>
                <c:pt idx="2">
                  <c:v>0.40941516698798402</c:v>
                </c:pt>
                <c:pt idx="3">
                  <c:v>0.43743943834989901</c:v>
                </c:pt>
                <c:pt idx="4">
                  <c:v>0.465463709711814</c:v>
                </c:pt>
                <c:pt idx="5">
                  <c:v>0.49348798107372799</c:v>
                </c:pt>
                <c:pt idx="6">
                  <c:v>0.52151225243564303</c:v>
                </c:pt>
                <c:pt idx="7">
                  <c:v>0.54953652379755802</c:v>
                </c:pt>
                <c:pt idx="8">
                  <c:v>0.57756079515947301</c:v>
                </c:pt>
                <c:pt idx="9">
                  <c:v>0.60558506652138699</c:v>
                </c:pt>
                <c:pt idx="10">
                  <c:v>0.63360933788330198</c:v>
                </c:pt>
                <c:pt idx="11">
                  <c:v>0.66163360924521697</c:v>
                </c:pt>
                <c:pt idx="12">
                  <c:v>0.68965788060713196</c:v>
                </c:pt>
                <c:pt idx="13">
                  <c:v>0.71768215196904594</c:v>
                </c:pt>
                <c:pt idx="14">
                  <c:v>0.74570642333096104</c:v>
                </c:pt>
                <c:pt idx="15">
                  <c:v>0.77373069469287603</c:v>
                </c:pt>
                <c:pt idx="16">
                  <c:v>0.80175496605479102</c:v>
                </c:pt>
                <c:pt idx="17">
                  <c:v>0.82977923741670501</c:v>
                </c:pt>
                <c:pt idx="18">
                  <c:v>0.85780350877861999</c:v>
                </c:pt>
                <c:pt idx="19">
                  <c:v>0.88582778014053498</c:v>
                </c:pt>
                <c:pt idx="20">
                  <c:v>0.91385205150244997</c:v>
                </c:pt>
                <c:pt idx="21">
                  <c:v>0.94187632286436396</c:v>
                </c:pt>
                <c:pt idx="22">
                  <c:v>0.96990059422627894</c:v>
                </c:pt>
                <c:pt idx="23">
                  <c:v>0.99792486558819404</c:v>
                </c:pt>
                <c:pt idx="24">
                  <c:v>1.0259491369501099</c:v>
                </c:pt>
              </c:numCache>
            </c:numRef>
          </c:yVal>
          <c:smooth val="0"/>
          <c:extLst>
            <c:ext xmlns:c16="http://schemas.microsoft.com/office/drawing/2014/chart" uri="{C3380CC4-5D6E-409C-BE32-E72D297353CC}">
              <c16:uniqueId val="{00000003-2A8B-4FD4-AB98-5677042C54DE}"/>
            </c:ext>
          </c:extLst>
        </c:ser>
        <c:ser>
          <c:idx val="4"/>
          <c:order val="4"/>
          <c:tx>
            <c:strRef>
              <c:f>'02 Scatter Plot'!$A$30</c:f>
              <c:strCache>
                <c:ptCount val="1"/>
                <c:pt idx="0">
                  <c:v>Ex Ante Connected Only</c:v>
                </c:pt>
              </c:strCache>
            </c:strRef>
          </c:tx>
          <c:spPr>
            <a:ln w="12700" cap="rnd">
              <a:solidFill>
                <a:schemeClr val="accent2"/>
              </a:solidFill>
              <a:round/>
            </a:ln>
            <a:effectLst/>
          </c:spPr>
          <c:marker>
            <c:symbol val="none"/>
          </c:marker>
          <c:xVal>
            <c:numRef>
              <c:f>'02 Scatter Plot'!$B$30:$B$54</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Plot'!$D$30:$D$54</c:f>
              <c:numCache>
                <c:formatCode>General</c:formatCode>
                <c:ptCount val="25"/>
                <c:pt idx="0">
                  <c:v>0.37920172378947797</c:v>
                </c:pt>
                <c:pt idx="1">
                  <c:v>0.41239344392375599</c:v>
                </c:pt>
                <c:pt idx="2">
                  <c:v>0.445585164058034</c:v>
                </c:pt>
                <c:pt idx="3">
                  <c:v>0.47877688419231101</c:v>
                </c:pt>
                <c:pt idx="4">
                  <c:v>0.51196860432658897</c:v>
                </c:pt>
                <c:pt idx="5">
                  <c:v>0.54516032446086704</c:v>
                </c:pt>
                <c:pt idx="6">
                  <c:v>0.578352044595144</c:v>
                </c:pt>
                <c:pt idx="7">
                  <c:v>0.61154376472942196</c:v>
                </c:pt>
                <c:pt idx="8">
                  <c:v>0.64473548486369903</c:v>
                </c:pt>
                <c:pt idx="9">
                  <c:v>0.67792720499797698</c:v>
                </c:pt>
                <c:pt idx="10">
                  <c:v>0.71111892513225505</c:v>
                </c:pt>
                <c:pt idx="11">
                  <c:v>0.74431064526653201</c:v>
                </c:pt>
                <c:pt idx="12">
                  <c:v>0.77750236540080997</c:v>
                </c:pt>
                <c:pt idx="13">
                  <c:v>0.81069408553508804</c:v>
                </c:pt>
                <c:pt idx="14">
                  <c:v>0.843885805669365</c:v>
                </c:pt>
                <c:pt idx="15">
                  <c:v>0.87707752580364295</c:v>
                </c:pt>
                <c:pt idx="16">
                  <c:v>0.91026924593792102</c:v>
                </c:pt>
                <c:pt idx="17">
                  <c:v>0.94346096607219798</c:v>
                </c:pt>
                <c:pt idx="18">
                  <c:v>0.97665268620647605</c:v>
                </c:pt>
                <c:pt idx="19">
                  <c:v>1.0098444063407499</c:v>
                </c:pt>
                <c:pt idx="20">
                  <c:v>1.0430361264750301</c:v>
                </c:pt>
                <c:pt idx="21">
                  <c:v>1.07622784660931</c:v>
                </c:pt>
                <c:pt idx="22">
                  <c:v>1.10941956674359</c:v>
                </c:pt>
                <c:pt idx="23">
                  <c:v>1.14261128687786</c:v>
                </c:pt>
                <c:pt idx="24">
                  <c:v>1.1758030070121399</c:v>
                </c:pt>
              </c:numCache>
            </c:numRef>
          </c:yVal>
          <c:smooth val="0"/>
          <c:extLst>
            <c:ext xmlns:c16="http://schemas.microsoft.com/office/drawing/2014/chart" uri="{C3380CC4-5D6E-409C-BE32-E72D297353CC}">
              <c16:uniqueId val="{00000004-2A8B-4FD4-AB98-5677042C54DE}"/>
            </c:ext>
          </c:extLst>
        </c:ser>
        <c:ser>
          <c:idx val="5"/>
          <c:order val="5"/>
          <c:tx>
            <c:strRef>
              <c:f>'02 Scatter Plot'!$A$57</c:f>
              <c:strCache>
                <c:ptCount val="1"/>
                <c:pt idx="0">
                  <c:v>Ex Ante Unconnected</c:v>
                </c:pt>
              </c:strCache>
            </c:strRef>
          </c:tx>
          <c:spPr>
            <a:ln w="12700" cap="rnd">
              <a:solidFill>
                <a:schemeClr val="accent3"/>
              </a:solidFill>
              <a:round/>
            </a:ln>
            <a:effectLst/>
          </c:spPr>
          <c:marker>
            <c:symbol val="none"/>
          </c:marker>
          <c:xVal>
            <c:numRef>
              <c:f>'02 Scatter Plot'!$B$57:$B$81</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Plot'!$D$57:$D$81</c:f>
              <c:numCache>
                <c:formatCode>General</c:formatCode>
                <c:ptCount val="25"/>
                <c:pt idx="0">
                  <c:v>0.24041005122289899</c:v>
                </c:pt>
                <c:pt idx="1">
                  <c:v>0.24584113287713699</c:v>
                </c:pt>
                <c:pt idx="2">
                  <c:v>0.25127221453137499</c:v>
                </c:pt>
                <c:pt idx="3">
                  <c:v>0.25670329618561299</c:v>
                </c:pt>
                <c:pt idx="4">
                  <c:v>0.262134377839851</c:v>
                </c:pt>
                <c:pt idx="5">
                  <c:v>0.267565459494089</c:v>
                </c:pt>
                <c:pt idx="6">
                  <c:v>0.272996541148327</c:v>
                </c:pt>
                <c:pt idx="7">
                  <c:v>0.278427622802565</c:v>
                </c:pt>
                <c:pt idx="8">
                  <c:v>0.283858704456802</c:v>
                </c:pt>
                <c:pt idx="9">
                  <c:v>0.28928978611104</c:v>
                </c:pt>
                <c:pt idx="10">
                  <c:v>0.29472086776527801</c:v>
                </c:pt>
                <c:pt idx="11">
                  <c:v>0.30015194941951601</c:v>
                </c:pt>
                <c:pt idx="12">
                  <c:v>0.30558303107375401</c:v>
                </c:pt>
                <c:pt idx="13">
                  <c:v>0.31101411272799201</c:v>
                </c:pt>
                <c:pt idx="14">
                  <c:v>0.31644519438223001</c:v>
                </c:pt>
                <c:pt idx="15">
                  <c:v>0.32187627603646801</c:v>
                </c:pt>
                <c:pt idx="16">
                  <c:v>0.32730735769070601</c:v>
                </c:pt>
                <c:pt idx="17">
                  <c:v>0.33273843934494401</c:v>
                </c:pt>
                <c:pt idx="18">
                  <c:v>0.33816952099918202</c:v>
                </c:pt>
                <c:pt idx="19">
                  <c:v>0.34360060265342002</c:v>
                </c:pt>
                <c:pt idx="20">
                  <c:v>0.34903168430765802</c:v>
                </c:pt>
                <c:pt idx="21">
                  <c:v>0.35446276596189602</c:v>
                </c:pt>
                <c:pt idx="22">
                  <c:v>0.35989384761613402</c:v>
                </c:pt>
                <c:pt idx="23">
                  <c:v>0.36532492927037102</c:v>
                </c:pt>
                <c:pt idx="24">
                  <c:v>0.37075601092460903</c:v>
                </c:pt>
              </c:numCache>
            </c:numRef>
          </c:yVal>
          <c:smooth val="0"/>
          <c:extLst>
            <c:ext xmlns:c16="http://schemas.microsoft.com/office/drawing/2014/chart" uri="{C3380CC4-5D6E-409C-BE32-E72D297353CC}">
              <c16:uniqueId val="{00000005-2A8B-4FD4-AB98-5677042C54DE}"/>
            </c:ext>
          </c:extLst>
        </c:ser>
        <c:dLbls>
          <c:showLegendKey val="0"/>
          <c:showVal val="0"/>
          <c:showCatName val="0"/>
          <c:showSerName val="0"/>
          <c:showPercent val="0"/>
          <c:showBubbleSize val="0"/>
        </c:dLbls>
        <c:axId val="510324568"/>
        <c:axId val="510324896"/>
      </c:scatterChart>
      <c:valAx>
        <c:axId val="510324568"/>
        <c:scaling>
          <c:orientation val="minMax"/>
          <c:max val="32"/>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Event Temperature (Celsius)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324896"/>
        <c:crosses val="autoZero"/>
        <c:crossBetween val="midCat"/>
      </c:valAx>
      <c:valAx>
        <c:axId val="51032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Average Impact (kW)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324568"/>
        <c:crosses val="autoZero"/>
        <c:crossBetween val="midCat"/>
      </c:valAx>
      <c:spPr>
        <a:noFill/>
        <a:ln>
          <a:noFill/>
        </a:ln>
        <a:effectLst/>
      </c:spPr>
    </c:plotArea>
    <c:legend>
      <c:legendPos val="b"/>
      <c:layout>
        <c:manualLayout>
          <c:xMode val="edge"/>
          <c:yMode val="edge"/>
          <c:x val="0.11207802231108917"/>
          <c:y val="5.8835684414926669E-2"/>
          <c:w val="0.47334428468571238"/>
          <c:h val="0.21389166749044886"/>
        </c:manualLayout>
      </c:layout>
      <c:overlay val="0"/>
      <c:spPr>
        <a:solidFill>
          <a:schemeClr val="bg1">
            <a:alpha val="50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02489412749785"/>
          <c:y val="4.7516198704103674E-2"/>
          <c:w val="0.84395616958923081"/>
          <c:h val="0.72555364704681879"/>
        </c:manualLayout>
      </c:layout>
      <c:areaChart>
        <c:grouping val="stacked"/>
        <c:varyColors val="0"/>
        <c:ser>
          <c:idx val="0"/>
          <c:order val="0"/>
          <c:tx>
            <c:strRef>
              <c:f>'04 Participants Timeline'!$B$2</c:f>
              <c:strCache>
                <c:ptCount val="1"/>
                <c:pt idx="0">
                  <c:v>RT Participants</c:v>
                </c:pt>
              </c:strCache>
            </c:strRef>
          </c:tx>
          <c:spPr>
            <a:solidFill>
              <a:schemeClr val="accent1"/>
            </a:solidFill>
            <a:ln>
              <a:noFill/>
            </a:ln>
            <a:effectLst/>
          </c:spPr>
          <c:cat>
            <c:numRef>
              <c:f>'04 Participants Timeline'!$A$3:$A$1130</c:f>
              <c:numCache>
                <c:formatCode>yyyy\-mm\-dd</c:formatCode>
                <c:ptCount val="1128"/>
                <c:pt idx="0">
                  <c:v>42278</c:v>
                </c:pt>
                <c:pt idx="1">
                  <c:v>42279</c:v>
                </c:pt>
                <c:pt idx="2">
                  <c:v>42280</c:v>
                </c:pt>
                <c:pt idx="3">
                  <c:v>42281</c:v>
                </c:pt>
                <c:pt idx="4">
                  <c:v>42282</c:v>
                </c:pt>
                <c:pt idx="5">
                  <c:v>42283</c:v>
                </c:pt>
                <c:pt idx="6">
                  <c:v>42284</c:v>
                </c:pt>
                <c:pt idx="7">
                  <c:v>42285</c:v>
                </c:pt>
                <c:pt idx="8">
                  <c:v>42286</c:v>
                </c:pt>
                <c:pt idx="9">
                  <c:v>42287</c:v>
                </c:pt>
                <c:pt idx="10">
                  <c:v>42288</c:v>
                </c:pt>
                <c:pt idx="11">
                  <c:v>42289</c:v>
                </c:pt>
                <c:pt idx="12">
                  <c:v>42290</c:v>
                </c:pt>
                <c:pt idx="13">
                  <c:v>42291</c:v>
                </c:pt>
                <c:pt idx="14">
                  <c:v>42292</c:v>
                </c:pt>
                <c:pt idx="15">
                  <c:v>42293</c:v>
                </c:pt>
                <c:pt idx="16">
                  <c:v>42294</c:v>
                </c:pt>
                <c:pt idx="17">
                  <c:v>42295</c:v>
                </c:pt>
                <c:pt idx="18">
                  <c:v>42296</c:v>
                </c:pt>
                <c:pt idx="19">
                  <c:v>42297</c:v>
                </c:pt>
                <c:pt idx="20">
                  <c:v>42298</c:v>
                </c:pt>
                <c:pt idx="21">
                  <c:v>42299</c:v>
                </c:pt>
                <c:pt idx="22">
                  <c:v>42300</c:v>
                </c:pt>
                <c:pt idx="23">
                  <c:v>42301</c:v>
                </c:pt>
                <c:pt idx="24">
                  <c:v>42302</c:v>
                </c:pt>
                <c:pt idx="25">
                  <c:v>42303</c:v>
                </c:pt>
                <c:pt idx="26">
                  <c:v>42304</c:v>
                </c:pt>
                <c:pt idx="27">
                  <c:v>42305</c:v>
                </c:pt>
                <c:pt idx="28">
                  <c:v>42306</c:v>
                </c:pt>
                <c:pt idx="29">
                  <c:v>42307</c:v>
                </c:pt>
                <c:pt idx="30">
                  <c:v>42308</c:v>
                </c:pt>
                <c:pt idx="31">
                  <c:v>42309</c:v>
                </c:pt>
                <c:pt idx="32">
                  <c:v>42310</c:v>
                </c:pt>
                <c:pt idx="33">
                  <c:v>42311</c:v>
                </c:pt>
                <c:pt idx="34">
                  <c:v>42312</c:v>
                </c:pt>
                <c:pt idx="35">
                  <c:v>42313</c:v>
                </c:pt>
                <c:pt idx="36">
                  <c:v>42314</c:v>
                </c:pt>
                <c:pt idx="37">
                  <c:v>42315</c:v>
                </c:pt>
                <c:pt idx="38">
                  <c:v>42316</c:v>
                </c:pt>
                <c:pt idx="39">
                  <c:v>42317</c:v>
                </c:pt>
                <c:pt idx="40">
                  <c:v>42318</c:v>
                </c:pt>
                <c:pt idx="41">
                  <c:v>42319</c:v>
                </c:pt>
                <c:pt idx="42">
                  <c:v>42320</c:v>
                </c:pt>
                <c:pt idx="43">
                  <c:v>42321</c:v>
                </c:pt>
                <c:pt idx="44">
                  <c:v>42322</c:v>
                </c:pt>
                <c:pt idx="45">
                  <c:v>42323</c:v>
                </c:pt>
                <c:pt idx="46">
                  <c:v>42324</c:v>
                </c:pt>
                <c:pt idx="47">
                  <c:v>42325</c:v>
                </c:pt>
                <c:pt idx="48">
                  <c:v>42326</c:v>
                </c:pt>
                <c:pt idx="49">
                  <c:v>42327</c:v>
                </c:pt>
                <c:pt idx="50">
                  <c:v>42328</c:v>
                </c:pt>
                <c:pt idx="51">
                  <c:v>42329</c:v>
                </c:pt>
                <c:pt idx="52">
                  <c:v>42330</c:v>
                </c:pt>
                <c:pt idx="53">
                  <c:v>42331</c:v>
                </c:pt>
                <c:pt idx="54">
                  <c:v>42332</c:v>
                </c:pt>
                <c:pt idx="55">
                  <c:v>42333</c:v>
                </c:pt>
                <c:pt idx="56">
                  <c:v>42334</c:v>
                </c:pt>
                <c:pt idx="57">
                  <c:v>42335</c:v>
                </c:pt>
                <c:pt idx="58">
                  <c:v>42336</c:v>
                </c:pt>
                <c:pt idx="59">
                  <c:v>42337</c:v>
                </c:pt>
                <c:pt idx="60">
                  <c:v>42338</c:v>
                </c:pt>
                <c:pt idx="61">
                  <c:v>42339</c:v>
                </c:pt>
                <c:pt idx="62">
                  <c:v>42340</c:v>
                </c:pt>
                <c:pt idx="63">
                  <c:v>42341</c:v>
                </c:pt>
                <c:pt idx="64">
                  <c:v>42342</c:v>
                </c:pt>
                <c:pt idx="65">
                  <c:v>42343</c:v>
                </c:pt>
                <c:pt idx="66">
                  <c:v>42344</c:v>
                </c:pt>
                <c:pt idx="67">
                  <c:v>42345</c:v>
                </c:pt>
                <c:pt idx="68">
                  <c:v>42346</c:v>
                </c:pt>
                <c:pt idx="69">
                  <c:v>42347</c:v>
                </c:pt>
                <c:pt idx="70">
                  <c:v>42348</c:v>
                </c:pt>
                <c:pt idx="71">
                  <c:v>42349</c:v>
                </c:pt>
                <c:pt idx="72">
                  <c:v>42350</c:v>
                </c:pt>
                <c:pt idx="73">
                  <c:v>42351</c:v>
                </c:pt>
                <c:pt idx="74">
                  <c:v>42352</c:v>
                </c:pt>
                <c:pt idx="75">
                  <c:v>42353</c:v>
                </c:pt>
                <c:pt idx="76">
                  <c:v>42354</c:v>
                </c:pt>
                <c:pt idx="77">
                  <c:v>42355</c:v>
                </c:pt>
                <c:pt idx="78">
                  <c:v>42356</c:v>
                </c:pt>
                <c:pt idx="79">
                  <c:v>42357</c:v>
                </c:pt>
                <c:pt idx="80">
                  <c:v>42358</c:v>
                </c:pt>
                <c:pt idx="81">
                  <c:v>42359</c:v>
                </c:pt>
                <c:pt idx="82">
                  <c:v>42360</c:v>
                </c:pt>
                <c:pt idx="83">
                  <c:v>42361</c:v>
                </c:pt>
                <c:pt idx="84">
                  <c:v>42362</c:v>
                </c:pt>
                <c:pt idx="85">
                  <c:v>42363</c:v>
                </c:pt>
                <c:pt idx="86">
                  <c:v>42364</c:v>
                </c:pt>
                <c:pt idx="87">
                  <c:v>42365</c:v>
                </c:pt>
                <c:pt idx="88">
                  <c:v>42366</c:v>
                </c:pt>
                <c:pt idx="89">
                  <c:v>42367</c:v>
                </c:pt>
                <c:pt idx="90">
                  <c:v>42368</c:v>
                </c:pt>
                <c:pt idx="91">
                  <c:v>42369</c:v>
                </c:pt>
                <c:pt idx="92">
                  <c:v>42370</c:v>
                </c:pt>
                <c:pt idx="93">
                  <c:v>42371</c:v>
                </c:pt>
                <c:pt idx="94">
                  <c:v>42372</c:v>
                </c:pt>
                <c:pt idx="95">
                  <c:v>42373</c:v>
                </c:pt>
                <c:pt idx="96">
                  <c:v>42374</c:v>
                </c:pt>
                <c:pt idx="97">
                  <c:v>42375</c:v>
                </c:pt>
                <c:pt idx="98">
                  <c:v>42376</c:v>
                </c:pt>
                <c:pt idx="99">
                  <c:v>42377</c:v>
                </c:pt>
                <c:pt idx="100">
                  <c:v>42378</c:v>
                </c:pt>
                <c:pt idx="101">
                  <c:v>42379</c:v>
                </c:pt>
                <c:pt idx="102">
                  <c:v>42380</c:v>
                </c:pt>
                <c:pt idx="103">
                  <c:v>42381</c:v>
                </c:pt>
                <c:pt idx="104">
                  <c:v>42382</c:v>
                </c:pt>
                <c:pt idx="105">
                  <c:v>42383</c:v>
                </c:pt>
                <c:pt idx="106">
                  <c:v>42384</c:v>
                </c:pt>
                <c:pt idx="107">
                  <c:v>42385</c:v>
                </c:pt>
                <c:pt idx="108">
                  <c:v>42386</c:v>
                </c:pt>
                <c:pt idx="109">
                  <c:v>42387</c:v>
                </c:pt>
                <c:pt idx="110">
                  <c:v>42388</c:v>
                </c:pt>
                <c:pt idx="111">
                  <c:v>42389</c:v>
                </c:pt>
                <c:pt idx="112">
                  <c:v>42390</c:v>
                </c:pt>
                <c:pt idx="113">
                  <c:v>42391</c:v>
                </c:pt>
                <c:pt idx="114">
                  <c:v>42392</c:v>
                </c:pt>
                <c:pt idx="115">
                  <c:v>42393</c:v>
                </c:pt>
                <c:pt idx="116">
                  <c:v>42394</c:v>
                </c:pt>
                <c:pt idx="117">
                  <c:v>42395</c:v>
                </c:pt>
                <c:pt idx="118">
                  <c:v>42396</c:v>
                </c:pt>
                <c:pt idx="119">
                  <c:v>42397</c:v>
                </c:pt>
                <c:pt idx="120">
                  <c:v>42398</c:v>
                </c:pt>
                <c:pt idx="121">
                  <c:v>42399</c:v>
                </c:pt>
                <c:pt idx="122">
                  <c:v>42400</c:v>
                </c:pt>
                <c:pt idx="123">
                  <c:v>42401</c:v>
                </c:pt>
                <c:pt idx="124">
                  <c:v>42402</c:v>
                </c:pt>
                <c:pt idx="125">
                  <c:v>42403</c:v>
                </c:pt>
                <c:pt idx="126">
                  <c:v>42404</c:v>
                </c:pt>
                <c:pt idx="127">
                  <c:v>42405</c:v>
                </c:pt>
                <c:pt idx="128">
                  <c:v>42406</c:v>
                </c:pt>
                <c:pt idx="129">
                  <c:v>42407</c:v>
                </c:pt>
                <c:pt idx="130">
                  <c:v>42408</c:v>
                </c:pt>
                <c:pt idx="131">
                  <c:v>42409</c:v>
                </c:pt>
                <c:pt idx="132">
                  <c:v>42410</c:v>
                </c:pt>
                <c:pt idx="133">
                  <c:v>42411</c:v>
                </c:pt>
                <c:pt idx="134">
                  <c:v>42412</c:v>
                </c:pt>
                <c:pt idx="135">
                  <c:v>42413</c:v>
                </c:pt>
                <c:pt idx="136">
                  <c:v>42414</c:v>
                </c:pt>
                <c:pt idx="137">
                  <c:v>42415</c:v>
                </c:pt>
                <c:pt idx="138">
                  <c:v>42416</c:v>
                </c:pt>
                <c:pt idx="139">
                  <c:v>42417</c:v>
                </c:pt>
                <c:pt idx="140">
                  <c:v>42418</c:v>
                </c:pt>
                <c:pt idx="141">
                  <c:v>42419</c:v>
                </c:pt>
                <c:pt idx="142">
                  <c:v>42420</c:v>
                </c:pt>
                <c:pt idx="143">
                  <c:v>42421</c:v>
                </c:pt>
                <c:pt idx="144">
                  <c:v>42422</c:v>
                </c:pt>
                <c:pt idx="145">
                  <c:v>42423</c:v>
                </c:pt>
                <c:pt idx="146">
                  <c:v>42424</c:v>
                </c:pt>
                <c:pt idx="147">
                  <c:v>42425</c:v>
                </c:pt>
                <c:pt idx="148">
                  <c:v>42426</c:v>
                </c:pt>
                <c:pt idx="149">
                  <c:v>42427</c:v>
                </c:pt>
                <c:pt idx="150">
                  <c:v>42428</c:v>
                </c:pt>
                <c:pt idx="151">
                  <c:v>42429</c:v>
                </c:pt>
                <c:pt idx="152">
                  <c:v>42430</c:v>
                </c:pt>
                <c:pt idx="153">
                  <c:v>42431</c:v>
                </c:pt>
                <c:pt idx="154">
                  <c:v>42432</c:v>
                </c:pt>
                <c:pt idx="155">
                  <c:v>42433</c:v>
                </c:pt>
                <c:pt idx="156">
                  <c:v>42434</c:v>
                </c:pt>
                <c:pt idx="157">
                  <c:v>42435</c:v>
                </c:pt>
                <c:pt idx="158">
                  <c:v>42436</c:v>
                </c:pt>
                <c:pt idx="159">
                  <c:v>42437</c:v>
                </c:pt>
                <c:pt idx="160">
                  <c:v>42438</c:v>
                </c:pt>
                <c:pt idx="161">
                  <c:v>42439</c:v>
                </c:pt>
                <c:pt idx="162">
                  <c:v>42440</c:v>
                </c:pt>
                <c:pt idx="163">
                  <c:v>42441</c:v>
                </c:pt>
                <c:pt idx="164">
                  <c:v>42442</c:v>
                </c:pt>
                <c:pt idx="165">
                  <c:v>42443</c:v>
                </c:pt>
                <c:pt idx="166">
                  <c:v>42444</c:v>
                </c:pt>
                <c:pt idx="167">
                  <c:v>42445</c:v>
                </c:pt>
                <c:pt idx="168">
                  <c:v>42446</c:v>
                </c:pt>
                <c:pt idx="169">
                  <c:v>42447</c:v>
                </c:pt>
                <c:pt idx="170">
                  <c:v>42448</c:v>
                </c:pt>
                <c:pt idx="171">
                  <c:v>42449</c:v>
                </c:pt>
                <c:pt idx="172">
                  <c:v>42450</c:v>
                </c:pt>
                <c:pt idx="173">
                  <c:v>42451</c:v>
                </c:pt>
                <c:pt idx="174">
                  <c:v>42452</c:v>
                </c:pt>
                <c:pt idx="175">
                  <c:v>42453</c:v>
                </c:pt>
                <c:pt idx="176">
                  <c:v>42454</c:v>
                </c:pt>
                <c:pt idx="177">
                  <c:v>42455</c:v>
                </c:pt>
                <c:pt idx="178">
                  <c:v>42456</c:v>
                </c:pt>
                <c:pt idx="179">
                  <c:v>42457</c:v>
                </c:pt>
                <c:pt idx="180">
                  <c:v>42458</c:v>
                </c:pt>
                <c:pt idx="181">
                  <c:v>42459</c:v>
                </c:pt>
                <c:pt idx="182">
                  <c:v>42460</c:v>
                </c:pt>
                <c:pt idx="183">
                  <c:v>42461</c:v>
                </c:pt>
                <c:pt idx="184">
                  <c:v>42462</c:v>
                </c:pt>
                <c:pt idx="185">
                  <c:v>42463</c:v>
                </c:pt>
                <c:pt idx="186">
                  <c:v>42464</c:v>
                </c:pt>
                <c:pt idx="187">
                  <c:v>42465</c:v>
                </c:pt>
                <c:pt idx="188">
                  <c:v>42466</c:v>
                </c:pt>
                <c:pt idx="189">
                  <c:v>42467</c:v>
                </c:pt>
                <c:pt idx="190">
                  <c:v>42468</c:v>
                </c:pt>
                <c:pt idx="191">
                  <c:v>42469</c:v>
                </c:pt>
                <c:pt idx="192">
                  <c:v>42470</c:v>
                </c:pt>
                <c:pt idx="193">
                  <c:v>42471</c:v>
                </c:pt>
                <c:pt idx="194">
                  <c:v>42472</c:v>
                </c:pt>
                <c:pt idx="195">
                  <c:v>42473</c:v>
                </c:pt>
                <c:pt idx="196">
                  <c:v>42474</c:v>
                </c:pt>
                <c:pt idx="197">
                  <c:v>42475</c:v>
                </c:pt>
                <c:pt idx="198">
                  <c:v>42476</c:v>
                </c:pt>
                <c:pt idx="199">
                  <c:v>42477</c:v>
                </c:pt>
                <c:pt idx="200">
                  <c:v>42478</c:v>
                </c:pt>
                <c:pt idx="201">
                  <c:v>42479</c:v>
                </c:pt>
                <c:pt idx="202">
                  <c:v>42480</c:v>
                </c:pt>
                <c:pt idx="203">
                  <c:v>42481</c:v>
                </c:pt>
                <c:pt idx="204">
                  <c:v>42482</c:v>
                </c:pt>
                <c:pt idx="205">
                  <c:v>42483</c:v>
                </c:pt>
                <c:pt idx="206">
                  <c:v>42484</c:v>
                </c:pt>
                <c:pt idx="207">
                  <c:v>42485</c:v>
                </c:pt>
                <c:pt idx="208">
                  <c:v>42486</c:v>
                </c:pt>
                <c:pt idx="209">
                  <c:v>42487</c:v>
                </c:pt>
                <c:pt idx="210">
                  <c:v>42488</c:v>
                </c:pt>
                <c:pt idx="211">
                  <c:v>42489</c:v>
                </c:pt>
                <c:pt idx="212">
                  <c:v>42490</c:v>
                </c:pt>
                <c:pt idx="213">
                  <c:v>42491</c:v>
                </c:pt>
                <c:pt idx="214">
                  <c:v>42492</c:v>
                </c:pt>
                <c:pt idx="215">
                  <c:v>42493</c:v>
                </c:pt>
                <c:pt idx="216">
                  <c:v>42494</c:v>
                </c:pt>
                <c:pt idx="217">
                  <c:v>42495</c:v>
                </c:pt>
                <c:pt idx="218">
                  <c:v>42496</c:v>
                </c:pt>
                <c:pt idx="219">
                  <c:v>42497</c:v>
                </c:pt>
                <c:pt idx="220">
                  <c:v>42498</c:v>
                </c:pt>
                <c:pt idx="221">
                  <c:v>42499</c:v>
                </c:pt>
                <c:pt idx="222">
                  <c:v>42500</c:v>
                </c:pt>
                <c:pt idx="223">
                  <c:v>42501</c:v>
                </c:pt>
                <c:pt idx="224">
                  <c:v>42502</c:v>
                </c:pt>
                <c:pt idx="225">
                  <c:v>42503</c:v>
                </c:pt>
                <c:pt idx="226">
                  <c:v>42504</c:v>
                </c:pt>
                <c:pt idx="227">
                  <c:v>42505</c:v>
                </c:pt>
                <c:pt idx="228">
                  <c:v>42506</c:v>
                </c:pt>
                <c:pt idx="229">
                  <c:v>42507</c:v>
                </c:pt>
                <c:pt idx="230">
                  <c:v>42508</c:v>
                </c:pt>
                <c:pt idx="231">
                  <c:v>42509</c:v>
                </c:pt>
                <c:pt idx="232">
                  <c:v>42510</c:v>
                </c:pt>
                <c:pt idx="233">
                  <c:v>42511</c:v>
                </c:pt>
                <c:pt idx="234">
                  <c:v>42512</c:v>
                </c:pt>
                <c:pt idx="235">
                  <c:v>42513</c:v>
                </c:pt>
                <c:pt idx="236">
                  <c:v>42514</c:v>
                </c:pt>
                <c:pt idx="237">
                  <c:v>42515</c:v>
                </c:pt>
                <c:pt idx="238">
                  <c:v>42516</c:v>
                </c:pt>
                <c:pt idx="239">
                  <c:v>42517</c:v>
                </c:pt>
                <c:pt idx="240">
                  <c:v>42518</c:v>
                </c:pt>
                <c:pt idx="241">
                  <c:v>42519</c:v>
                </c:pt>
                <c:pt idx="242">
                  <c:v>42520</c:v>
                </c:pt>
                <c:pt idx="243">
                  <c:v>42521</c:v>
                </c:pt>
                <c:pt idx="244">
                  <c:v>42522</c:v>
                </c:pt>
                <c:pt idx="245">
                  <c:v>42523</c:v>
                </c:pt>
                <c:pt idx="246">
                  <c:v>42524</c:v>
                </c:pt>
                <c:pt idx="247">
                  <c:v>42525</c:v>
                </c:pt>
                <c:pt idx="248">
                  <c:v>42526</c:v>
                </c:pt>
                <c:pt idx="249">
                  <c:v>42527</c:v>
                </c:pt>
                <c:pt idx="250">
                  <c:v>42528</c:v>
                </c:pt>
                <c:pt idx="251">
                  <c:v>42529</c:v>
                </c:pt>
                <c:pt idx="252">
                  <c:v>42530</c:v>
                </c:pt>
                <c:pt idx="253">
                  <c:v>42531</c:v>
                </c:pt>
                <c:pt idx="254">
                  <c:v>42532</c:v>
                </c:pt>
                <c:pt idx="255">
                  <c:v>42533</c:v>
                </c:pt>
                <c:pt idx="256">
                  <c:v>42534</c:v>
                </c:pt>
                <c:pt idx="257">
                  <c:v>42535</c:v>
                </c:pt>
                <c:pt idx="258">
                  <c:v>42536</c:v>
                </c:pt>
                <c:pt idx="259">
                  <c:v>42537</c:v>
                </c:pt>
                <c:pt idx="260">
                  <c:v>42538</c:v>
                </c:pt>
                <c:pt idx="261">
                  <c:v>42539</c:v>
                </c:pt>
                <c:pt idx="262">
                  <c:v>42540</c:v>
                </c:pt>
                <c:pt idx="263">
                  <c:v>42541</c:v>
                </c:pt>
                <c:pt idx="264">
                  <c:v>42542</c:v>
                </c:pt>
                <c:pt idx="265">
                  <c:v>42543</c:v>
                </c:pt>
                <c:pt idx="266">
                  <c:v>42544</c:v>
                </c:pt>
                <c:pt idx="267">
                  <c:v>42545</c:v>
                </c:pt>
                <c:pt idx="268">
                  <c:v>42546</c:v>
                </c:pt>
                <c:pt idx="269">
                  <c:v>42547</c:v>
                </c:pt>
                <c:pt idx="270">
                  <c:v>42548</c:v>
                </c:pt>
                <c:pt idx="271">
                  <c:v>42549</c:v>
                </c:pt>
                <c:pt idx="272">
                  <c:v>42550</c:v>
                </c:pt>
                <c:pt idx="273">
                  <c:v>42551</c:v>
                </c:pt>
                <c:pt idx="274">
                  <c:v>42552</c:v>
                </c:pt>
                <c:pt idx="275">
                  <c:v>42553</c:v>
                </c:pt>
                <c:pt idx="276">
                  <c:v>42554</c:v>
                </c:pt>
                <c:pt idx="277">
                  <c:v>42555</c:v>
                </c:pt>
                <c:pt idx="278">
                  <c:v>42556</c:v>
                </c:pt>
                <c:pt idx="279">
                  <c:v>42557</c:v>
                </c:pt>
                <c:pt idx="280">
                  <c:v>42558</c:v>
                </c:pt>
                <c:pt idx="281">
                  <c:v>42559</c:v>
                </c:pt>
                <c:pt idx="282">
                  <c:v>42560</c:v>
                </c:pt>
                <c:pt idx="283">
                  <c:v>42561</c:v>
                </c:pt>
                <c:pt idx="284">
                  <c:v>42562</c:v>
                </c:pt>
                <c:pt idx="285">
                  <c:v>42563</c:v>
                </c:pt>
                <c:pt idx="286">
                  <c:v>42564</c:v>
                </c:pt>
                <c:pt idx="287">
                  <c:v>42565</c:v>
                </c:pt>
                <c:pt idx="288">
                  <c:v>42566</c:v>
                </c:pt>
                <c:pt idx="289">
                  <c:v>42567</c:v>
                </c:pt>
                <c:pt idx="290">
                  <c:v>42568</c:v>
                </c:pt>
                <c:pt idx="291">
                  <c:v>42569</c:v>
                </c:pt>
                <c:pt idx="292">
                  <c:v>42570</c:v>
                </c:pt>
                <c:pt idx="293">
                  <c:v>42571</c:v>
                </c:pt>
                <c:pt idx="294">
                  <c:v>42572</c:v>
                </c:pt>
                <c:pt idx="295">
                  <c:v>42573</c:v>
                </c:pt>
                <c:pt idx="296">
                  <c:v>42574</c:v>
                </c:pt>
                <c:pt idx="297">
                  <c:v>42575</c:v>
                </c:pt>
                <c:pt idx="298">
                  <c:v>42576</c:v>
                </c:pt>
                <c:pt idx="299">
                  <c:v>42577</c:v>
                </c:pt>
                <c:pt idx="300">
                  <c:v>42578</c:v>
                </c:pt>
                <c:pt idx="301">
                  <c:v>42579</c:v>
                </c:pt>
                <c:pt idx="302">
                  <c:v>42580</c:v>
                </c:pt>
                <c:pt idx="303">
                  <c:v>42581</c:v>
                </c:pt>
                <c:pt idx="304">
                  <c:v>42582</c:v>
                </c:pt>
                <c:pt idx="305">
                  <c:v>42583</c:v>
                </c:pt>
                <c:pt idx="306">
                  <c:v>42584</c:v>
                </c:pt>
                <c:pt idx="307">
                  <c:v>42585</c:v>
                </c:pt>
                <c:pt idx="308">
                  <c:v>42586</c:v>
                </c:pt>
                <c:pt idx="309">
                  <c:v>42587</c:v>
                </c:pt>
                <c:pt idx="310">
                  <c:v>42588</c:v>
                </c:pt>
                <c:pt idx="311">
                  <c:v>42589</c:v>
                </c:pt>
                <c:pt idx="312">
                  <c:v>42590</c:v>
                </c:pt>
                <c:pt idx="313">
                  <c:v>42591</c:v>
                </c:pt>
                <c:pt idx="314">
                  <c:v>42592</c:v>
                </c:pt>
                <c:pt idx="315">
                  <c:v>42593</c:v>
                </c:pt>
                <c:pt idx="316">
                  <c:v>42594</c:v>
                </c:pt>
                <c:pt idx="317">
                  <c:v>42595</c:v>
                </c:pt>
                <c:pt idx="318">
                  <c:v>42596</c:v>
                </c:pt>
                <c:pt idx="319">
                  <c:v>42597</c:v>
                </c:pt>
                <c:pt idx="320">
                  <c:v>42598</c:v>
                </c:pt>
                <c:pt idx="321">
                  <c:v>42599</c:v>
                </c:pt>
                <c:pt idx="322">
                  <c:v>42600</c:v>
                </c:pt>
                <c:pt idx="323">
                  <c:v>42601</c:v>
                </c:pt>
                <c:pt idx="324">
                  <c:v>42602</c:v>
                </c:pt>
                <c:pt idx="325">
                  <c:v>42603</c:v>
                </c:pt>
                <c:pt idx="326">
                  <c:v>42604</c:v>
                </c:pt>
                <c:pt idx="327">
                  <c:v>42605</c:v>
                </c:pt>
                <c:pt idx="328">
                  <c:v>42606</c:v>
                </c:pt>
                <c:pt idx="329">
                  <c:v>42607</c:v>
                </c:pt>
                <c:pt idx="330">
                  <c:v>42608</c:v>
                </c:pt>
                <c:pt idx="331">
                  <c:v>42609</c:v>
                </c:pt>
                <c:pt idx="332">
                  <c:v>42610</c:v>
                </c:pt>
                <c:pt idx="333">
                  <c:v>42611</c:v>
                </c:pt>
                <c:pt idx="334">
                  <c:v>42612</c:v>
                </c:pt>
                <c:pt idx="335">
                  <c:v>42613</c:v>
                </c:pt>
                <c:pt idx="336">
                  <c:v>42614</c:v>
                </c:pt>
                <c:pt idx="337">
                  <c:v>42615</c:v>
                </c:pt>
                <c:pt idx="338">
                  <c:v>42616</c:v>
                </c:pt>
                <c:pt idx="339">
                  <c:v>42617</c:v>
                </c:pt>
                <c:pt idx="340">
                  <c:v>42618</c:v>
                </c:pt>
                <c:pt idx="341">
                  <c:v>42619</c:v>
                </c:pt>
                <c:pt idx="342">
                  <c:v>42620</c:v>
                </c:pt>
                <c:pt idx="343">
                  <c:v>42621</c:v>
                </c:pt>
                <c:pt idx="344">
                  <c:v>42622</c:v>
                </c:pt>
                <c:pt idx="345">
                  <c:v>42623</c:v>
                </c:pt>
                <c:pt idx="346">
                  <c:v>42624</c:v>
                </c:pt>
                <c:pt idx="347">
                  <c:v>42625</c:v>
                </c:pt>
                <c:pt idx="348">
                  <c:v>42626</c:v>
                </c:pt>
                <c:pt idx="349">
                  <c:v>42627</c:v>
                </c:pt>
                <c:pt idx="350">
                  <c:v>42628</c:v>
                </c:pt>
                <c:pt idx="351">
                  <c:v>42629</c:v>
                </c:pt>
                <c:pt idx="352">
                  <c:v>42630</c:v>
                </c:pt>
                <c:pt idx="353">
                  <c:v>42631</c:v>
                </c:pt>
                <c:pt idx="354">
                  <c:v>42632</c:v>
                </c:pt>
                <c:pt idx="355">
                  <c:v>42633</c:v>
                </c:pt>
                <c:pt idx="356">
                  <c:v>42634</c:v>
                </c:pt>
                <c:pt idx="357">
                  <c:v>42635</c:v>
                </c:pt>
                <c:pt idx="358">
                  <c:v>42636</c:v>
                </c:pt>
                <c:pt idx="359">
                  <c:v>42637</c:v>
                </c:pt>
                <c:pt idx="360">
                  <c:v>42638</c:v>
                </c:pt>
                <c:pt idx="361">
                  <c:v>42639</c:v>
                </c:pt>
                <c:pt idx="362">
                  <c:v>42640</c:v>
                </c:pt>
                <c:pt idx="363">
                  <c:v>42641</c:v>
                </c:pt>
                <c:pt idx="364">
                  <c:v>42642</c:v>
                </c:pt>
                <c:pt idx="365">
                  <c:v>42643</c:v>
                </c:pt>
                <c:pt idx="366">
                  <c:v>42644</c:v>
                </c:pt>
                <c:pt idx="367">
                  <c:v>42645</c:v>
                </c:pt>
                <c:pt idx="368">
                  <c:v>42646</c:v>
                </c:pt>
                <c:pt idx="369">
                  <c:v>42647</c:v>
                </c:pt>
                <c:pt idx="370">
                  <c:v>42648</c:v>
                </c:pt>
                <c:pt idx="371">
                  <c:v>42649</c:v>
                </c:pt>
                <c:pt idx="372">
                  <c:v>42650</c:v>
                </c:pt>
                <c:pt idx="373">
                  <c:v>42651</c:v>
                </c:pt>
                <c:pt idx="374">
                  <c:v>42652</c:v>
                </c:pt>
                <c:pt idx="375">
                  <c:v>42653</c:v>
                </c:pt>
                <c:pt idx="376">
                  <c:v>42654</c:v>
                </c:pt>
                <c:pt idx="377">
                  <c:v>42655</c:v>
                </c:pt>
                <c:pt idx="378">
                  <c:v>42656</c:v>
                </c:pt>
                <c:pt idx="379">
                  <c:v>42657</c:v>
                </c:pt>
                <c:pt idx="380">
                  <c:v>42658</c:v>
                </c:pt>
                <c:pt idx="381">
                  <c:v>42659</c:v>
                </c:pt>
                <c:pt idx="382">
                  <c:v>42660</c:v>
                </c:pt>
                <c:pt idx="383">
                  <c:v>42661</c:v>
                </c:pt>
                <c:pt idx="384">
                  <c:v>42662</c:v>
                </c:pt>
                <c:pt idx="385">
                  <c:v>42663</c:v>
                </c:pt>
                <c:pt idx="386">
                  <c:v>42664</c:v>
                </c:pt>
                <c:pt idx="387">
                  <c:v>42665</c:v>
                </c:pt>
                <c:pt idx="388">
                  <c:v>42666</c:v>
                </c:pt>
                <c:pt idx="389">
                  <c:v>42667</c:v>
                </c:pt>
                <c:pt idx="390">
                  <c:v>42668</c:v>
                </c:pt>
                <c:pt idx="391">
                  <c:v>42669</c:v>
                </c:pt>
                <c:pt idx="392">
                  <c:v>42670</c:v>
                </c:pt>
                <c:pt idx="393">
                  <c:v>42671</c:v>
                </c:pt>
                <c:pt idx="394">
                  <c:v>42672</c:v>
                </c:pt>
                <c:pt idx="395">
                  <c:v>42673</c:v>
                </c:pt>
                <c:pt idx="396">
                  <c:v>42674</c:v>
                </c:pt>
                <c:pt idx="397">
                  <c:v>42675</c:v>
                </c:pt>
                <c:pt idx="398">
                  <c:v>42676</c:v>
                </c:pt>
                <c:pt idx="399">
                  <c:v>42677</c:v>
                </c:pt>
                <c:pt idx="400">
                  <c:v>42678</c:v>
                </c:pt>
                <c:pt idx="401">
                  <c:v>42679</c:v>
                </c:pt>
                <c:pt idx="402">
                  <c:v>42680</c:v>
                </c:pt>
                <c:pt idx="403">
                  <c:v>42681</c:v>
                </c:pt>
                <c:pt idx="404">
                  <c:v>42682</c:v>
                </c:pt>
                <c:pt idx="405">
                  <c:v>42683</c:v>
                </c:pt>
                <c:pt idx="406">
                  <c:v>42684</c:v>
                </c:pt>
                <c:pt idx="407">
                  <c:v>42685</c:v>
                </c:pt>
                <c:pt idx="408">
                  <c:v>42686</c:v>
                </c:pt>
                <c:pt idx="409">
                  <c:v>42687</c:v>
                </c:pt>
                <c:pt idx="410">
                  <c:v>42688</c:v>
                </c:pt>
                <c:pt idx="411">
                  <c:v>42689</c:v>
                </c:pt>
                <c:pt idx="412">
                  <c:v>42690</c:v>
                </c:pt>
                <c:pt idx="413">
                  <c:v>42691</c:v>
                </c:pt>
                <c:pt idx="414">
                  <c:v>42692</c:v>
                </c:pt>
                <c:pt idx="415">
                  <c:v>42693</c:v>
                </c:pt>
                <c:pt idx="416">
                  <c:v>42694</c:v>
                </c:pt>
                <c:pt idx="417">
                  <c:v>42695</c:v>
                </c:pt>
                <c:pt idx="418">
                  <c:v>42696</c:v>
                </c:pt>
                <c:pt idx="419">
                  <c:v>42697</c:v>
                </c:pt>
                <c:pt idx="420">
                  <c:v>42698</c:v>
                </c:pt>
                <c:pt idx="421">
                  <c:v>42699</c:v>
                </c:pt>
                <c:pt idx="422">
                  <c:v>42700</c:v>
                </c:pt>
                <c:pt idx="423">
                  <c:v>42701</c:v>
                </c:pt>
                <c:pt idx="424">
                  <c:v>42702</c:v>
                </c:pt>
                <c:pt idx="425">
                  <c:v>42703</c:v>
                </c:pt>
                <c:pt idx="426">
                  <c:v>42704</c:v>
                </c:pt>
                <c:pt idx="427">
                  <c:v>42705</c:v>
                </c:pt>
                <c:pt idx="428">
                  <c:v>42706</c:v>
                </c:pt>
                <c:pt idx="429">
                  <c:v>42707</c:v>
                </c:pt>
                <c:pt idx="430">
                  <c:v>42708</c:v>
                </c:pt>
                <c:pt idx="431">
                  <c:v>42709</c:v>
                </c:pt>
                <c:pt idx="432">
                  <c:v>42710</c:v>
                </c:pt>
                <c:pt idx="433">
                  <c:v>42711</c:v>
                </c:pt>
                <c:pt idx="434">
                  <c:v>42712</c:v>
                </c:pt>
                <c:pt idx="435">
                  <c:v>42713</c:v>
                </c:pt>
                <c:pt idx="436">
                  <c:v>42714</c:v>
                </c:pt>
                <c:pt idx="437">
                  <c:v>42715</c:v>
                </c:pt>
                <c:pt idx="438">
                  <c:v>42716</c:v>
                </c:pt>
                <c:pt idx="439">
                  <c:v>42717</c:v>
                </c:pt>
                <c:pt idx="440">
                  <c:v>42718</c:v>
                </c:pt>
                <c:pt idx="441">
                  <c:v>42719</c:v>
                </c:pt>
                <c:pt idx="442">
                  <c:v>42720</c:v>
                </c:pt>
                <c:pt idx="443">
                  <c:v>42721</c:v>
                </c:pt>
                <c:pt idx="444">
                  <c:v>42722</c:v>
                </c:pt>
                <c:pt idx="445">
                  <c:v>42723</c:v>
                </c:pt>
                <c:pt idx="446">
                  <c:v>42724</c:v>
                </c:pt>
                <c:pt idx="447">
                  <c:v>42725</c:v>
                </c:pt>
                <c:pt idx="448">
                  <c:v>42726</c:v>
                </c:pt>
                <c:pt idx="449">
                  <c:v>42727</c:v>
                </c:pt>
                <c:pt idx="450">
                  <c:v>42728</c:v>
                </c:pt>
                <c:pt idx="451">
                  <c:v>42729</c:v>
                </c:pt>
                <c:pt idx="452">
                  <c:v>42730</c:v>
                </c:pt>
                <c:pt idx="453">
                  <c:v>42731</c:v>
                </c:pt>
                <c:pt idx="454">
                  <c:v>42732</c:v>
                </c:pt>
                <c:pt idx="455">
                  <c:v>42733</c:v>
                </c:pt>
                <c:pt idx="456">
                  <c:v>42734</c:v>
                </c:pt>
                <c:pt idx="457">
                  <c:v>42735</c:v>
                </c:pt>
                <c:pt idx="458">
                  <c:v>42736</c:v>
                </c:pt>
                <c:pt idx="459">
                  <c:v>42737</c:v>
                </c:pt>
                <c:pt idx="460">
                  <c:v>42738</c:v>
                </c:pt>
                <c:pt idx="461">
                  <c:v>42739</c:v>
                </c:pt>
                <c:pt idx="462">
                  <c:v>42740</c:v>
                </c:pt>
                <c:pt idx="463">
                  <c:v>42741</c:v>
                </c:pt>
                <c:pt idx="464">
                  <c:v>42742</c:v>
                </c:pt>
                <c:pt idx="465">
                  <c:v>42743</c:v>
                </c:pt>
                <c:pt idx="466">
                  <c:v>42744</c:v>
                </c:pt>
                <c:pt idx="467">
                  <c:v>42745</c:v>
                </c:pt>
                <c:pt idx="468">
                  <c:v>42746</c:v>
                </c:pt>
                <c:pt idx="469">
                  <c:v>42747</c:v>
                </c:pt>
                <c:pt idx="470">
                  <c:v>42748</c:v>
                </c:pt>
                <c:pt idx="471">
                  <c:v>42749</c:v>
                </c:pt>
                <c:pt idx="472">
                  <c:v>42750</c:v>
                </c:pt>
                <c:pt idx="473">
                  <c:v>42751</c:v>
                </c:pt>
                <c:pt idx="474">
                  <c:v>42752</c:v>
                </c:pt>
                <c:pt idx="475">
                  <c:v>42753</c:v>
                </c:pt>
                <c:pt idx="476">
                  <c:v>42754</c:v>
                </c:pt>
                <c:pt idx="477">
                  <c:v>42755</c:v>
                </c:pt>
                <c:pt idx="478">
                  <c:v>42756</c:v>
                </c:pt>
                <c:pt idx="479">
                  <c:v>42757</c:v>
                </c:pt>
                <c:pt idx="480">
                  <c:v>42758</c:v>
                </c:pt>
                <c:pt idx="481">
                  <c:v>42759</c:v>
                </c:pt>
                <c:pt idx="482">
                  <c:v>42760</c:v>
                </c:pt>
                <c:pt idx="483">
                  <c:v>42761</c:v>
                </c:pt>
                <c:pt idx="484">
                  <c:v>42762</c:v>
                </c:pt>
                <c:pt idx="485">
                  <c:v>42763</c:v>
                </c:pt>
                <c:pt idx="486">
                  <c:v>42764</c:v>
                </c:pt>
                <c:pt idx="487">
                  <c:v>42765</c:v>
                </c:pt>
                <c:pt idx="488">
                  <c:v>42766</c:v>
                </c:pt>
                <c:pt idx="489">
                  <c:v>42767</c:v>
                </c:pt>
                <c:pt idx="490">
                  <c:v>42768</c:v>
                </c:pt>
                <c:pt idx="491">
                  <c:v>42769</c:v>
                </c:pt>
                <c:pt idx="492">
                  <c:v>42770</c:v>
                </c:pt>
                <c:pt idx="493">
                  <c:v>42771</c:v>
                </c:pt>
                <c:pt idx="494">
                  <c:v>42772</c:v>
                </c:pt>
                <c:pt idx="495">
                  <c:v>42773</c:v>
                </c:pt>
                <c:pt idx="496">
                  <c:v>42774</c:v>
                </c:pt>
                <c:pt idx="497">
                  <c:v>42775</c:v>
                </c:pt>
                <c:pt idx="498">
                  <c:v>42776</c:v>
                </c:pt>
                <c:pt idx="499">
                  <c:v>42777</c:v>
                </c:pt>
                <c:pt idx="500">
                  <c:v>42778</c:v>
                </c:pt>
                <c:pt idx="501">
                  <c:v>42779</c:v>
                </c:pt>
                <c:pt idx="502">
                  <c:v>42780</c:v>
                </c:pt>
                <c:pt idx="503">
                  <c:v>42781</c:v>
                </c:pt>
                <c:pt idx="504">
                  <c:v>42782</c:v>
                </c:pt>
                <c:pt idx="505">
                  <c:v>42783</c:v>
                </c:pt>
                <c:pt idx="506">
                  <c:v>42784</c:v>
                </c:pt>
                <c:pt idx="507">
                  <c:v>42785</c:v>
                </c:pt>
                <c:pt idx="508">
                  <c:v>42786</c:v>
                </c:pt>
                <c:pt idx="509">
                  <c:v>42787</c:v>
                </c:pt>
                <c:pt idx="510">
                  <c:v>42788</c:v>
                </c:pt>
                <c:pt idx="511">
                  <c:v>42789</c:v>
                </c:pt>
                <c:pt idx="512">
                  <c:v>42790</c:v>
                </c:pt>
                <c:pt idx="513">
                  <c:v>42791</c:v>
                </c:pt>
                <c:pt idx="514">
                  <c:v>42792</c:v>
                </c:pt>
                <c:pt idx="515">
                  <c:v>42793</c:v>
                </c:pt>
                <c:pt idx="516">
                  <c:v>42794</c:v>
                </c:pt>
                <c:pt idx="517">
                  <c:v>42795</c:v>
                </c:pt>
                <c:pt idx="518">
                  <c:v>42796</c:v>
                </c:pt>
                <c:pt idx="519">
                  <c:v>42797</c:v>
                </c:pt>
                <c:pt idx="520">
                  <c:v>42798</c:v>
                </c:pt>
                <c:pt idx="521">
                  <c:v>42799</c:v>
                </c:pt>
                <c:pt idx="522">
                  <c:v>42800</c:v>
                </c:pt>
                <c:pt idx="523">
                  <c:v>42801</c:v>
                </c:pt>
                <c:pt idx="524">
                  <c:v>42802</c:v>
                </c:pt>
                <c:pt idx="525">
                  <c:v>42803</c:v>
                </c:pt>
                <c:pt idx="526">
                  <c:v>42804</c:v>
                </c:pt>
                <c:pt idx="527">
                  <c:v>42805</c:v>
                </c:pt>
                <c:pt idx="528">
                  <c:v>42806</c:v>
                </c:pt>
                <c:pt idx="529">
                  <c:v>42807</c:v>
                </c:pt>
                <c:pt idx="530">
                  <c:v>42808</c:v>
                </c:pt>
                <c:pt idx="531">
                  <c:v>42809</c:v>
                </c:pt>
                <c:pt idx="532">
                  <c:v>42810</c:v>
                </c:pt>
                <c:pt idx="533">
                  <c:v>42811</c:v>
                </c:pt>
                <c:pt idx="534">
                  <c:v>42812</c:v>
                </c:pt>
                <c:pt idx="535">
                  <c:v>42813</c:v>
                </c:pt>
                <c:pt idx="536">
                  <c:v>42814</c:v>
                </c:pt>
                <c:pt idx="537">
                  <c:v>42815</c:v>
                </c:pt>
                <c:pt idx="538">
                  <c:v>42816</c:v>
                </c:pt>
                <c:pt idx="539">
                  <c:v>42817</c:v>
                </c:pt>
                <c:pt idx="540">
                  <c:v>42818</c:v>
                </c:pt>
                <c:pt idx="541">
                  <c:v>42819</c:v>
                </c:pt>
                <c:pt idx="542">
                  <c:v>42820</c:v>
                </c:pt>
                <c:pt idx="543">
                  <c:v>42821</c:v>
                </c:pt>
                <c:pt idx="544">
                  <c:v>42822</c:v>
                </c:pt>
                <c:pt idx="545">
                  <c:v>42823</c:v>
                </c:pt>
                <c:pt idx="546">
                  <c:v>42824</c:v>
                </c:pt>
                <c:pt idx="547">
                  <c:v>42825</c:v>
                </c:pt>
                <c:pt idx="548">
                  <c:v>42826</c:v>
                </c:pt>
                <c:pt idx="549">
                  <c:v>42827</c:v>
                </c:pt>
                <c:pt idx="550">
                  <c:v>42828</c:v>
                </c:pt>
                <c:pt idx="551">
                  <c:v>42829</c:v>
                </c:pt>
                <c:pt idx="552">
                  <c:v>42830</c:v>
                </c:pt>
                <c:pt idx="553">
                  <c:v>42831</c:v>
                </c:pt>
                <c:pt idx="554">
                  <c:v>42832</c:v>
                </c:pt>
                <c:pt idx="555">
                  <c:v>42833</c:v>
                </c:pt>
                <c:pt idx="556">
                  <c:v>42834</c:v>
                </c:pt>
                <c:pt idx="557">
                  <c:v>42835</c:v>
                </c:pt>
                <c:pt idx="558">
                  <c:v>42836</c:v>
                </c:pt>
                <c:pt idx="559">
                  <c:v>42837</c:v>
                </c:pt>
                <c:pt idx="560">
                  <c:v>42838</c:v>
                </c:pt>
                <c:pt idx="561">
                  <c:v>42839</c:v>
                </c:pt>
                <c:pt idx="562">
                  <c:v>42840</c:v>
                </c:pt>
                <c:pt idx="563">
                  <c:v>42841</c:v>
                </c:pt>
                <c:pt idx="564">
                  <c:v>42842</c:v>
                </c:pt>
                <c:pt idx="565">
                  <c:v>42843</c:v>
                </c:pt>
                <c:pt idx="566">
                  <c:v>42844</c:v>
                </c:pt>
                <c:pt idx="567">
                  <c:v>42845</c:v>
                </c:pt>
                <c:pt idx="568">
                  <c:v>42846</c:v>
                </c:pt>
                <c:pt idx="569">
                  <c:v>42847</c:v>
                </c:pt>
                <c:pt idx="570">
                  <c:v>42848</c:v>
                </c:pt>
                <c:pt idx="571">
                  <c:v>42849</c:v>
                </c:pt>
                <c:pt idx="572">
                  <c:v>42850</c:v>
                </c:pt>
                <c:pt idx="573">
                  <c:v>42851</c:v>
                </c:pt>
                <c:pt idx="574">
                  <c:v>42852</c:v>
                </c:pt>
                <c:pt idx="575">
                  <c:v>42853</c:v>
                </c:pt>
                <c:pt idx="576">
                  <c:v>42854</c:v>
                </c:pt>
                <c:pt idx="577">
                  <c:v>42855</c:v>
                </c:pt>
                <c:pt idx="578">
                  <c:v>42856</c:v>
                </c:pt>
                <c:pt idx="579">
                  <c:v>42857</c:v>
                </c:pt>
                <c:pt idx="580">
                  <c:v>42858</c:v>
                </c:pt>
                <c:pt idx="581">
                  <c:v>42859</c:v>
                </c:pt>
                <c:pt idx="582">
                  <c:v>42860</c:v>
                </c:pt>
                <c:pt idx="583">
                  <c:v>42861</c:v>
                </c:pt>
                <c:pt idx="584">
                  <c:v>42862</c:v>
                </c:pt>
                <c:pt idx="585">
                  <c:v>42863</c:v>
                </c:pt>
                <c:pt idx="586">
                  <c:v>42864</c:v>
                </c:pt>
                <c:pt idx="587">
                  <c:v>42865</c:v>
                </c:pt>
                <c:pt idx="588">
                  <c:v>42866</c:v>
                </c:pt>
                <c:pt idx="589">
                  <c:v>42867</c:v>
                </c:pt>
                <c:pt idx="590">
                  <c:v>42868</c:v>
                </c:pt>
                <c:pt idx="591">
                  <c:v>42869</c:v>
                </c:pt>
                <c:pt idx="592">
                  <c:v>42870</c:v>
                </c:pt>
                <c:pt idx="593">
                  <c:v>42871</c:v>
                </c:pt>
                <c:pt idx="594">
                  <c:v>42872</c:v>
                </c:pt>
                <c:pt idx="595">
                  <c:v>42873</c:v>
                </c:pt>
                <c:pt idx="596">
                  <c:v>42874</c:v>
                </c:pt>
                <c:pt idx="597">
                  <c:v>42875</c:v>
                </c:pt>
                <c:pt idx="598">
                  <c:v>42876</c:v>
                </c:pt>
                <c:pt idx="599">
                  <c:v>42877</c:v>
                </c:pt>
                <c:pt idx="600">
                  <c:v>42878</c:v>
                </c:pt>
                <c:pt idx="601">
                  <c:v>42879</c:v>
                </c:pt>
                <c:pt idx="602">
                  <c:v>42880</c:v>
                </c:pt>
                <c:pt idx="603">
                  <c:v>42881</c:v>
                </c:pt>
                <c:pt idx="604">
                  <c:v>42882</c:v>
                </c:pt>
                <c:pt idx="605">
                  <c:v>42883</c:v>
                </c:pt>
                <c:pt idx="606">
                  <c:v>42884</c:v>
                </c:pt>
                <c:pt idx="607">
                  <c:v>42885</c:v>
                </c:pt>
                <c:pt idx="608">
                  <c:v>42886</c:v>
                </c:pt>
                <c:pt idx="609">
                  <c:v>42887</c:v>
                </c:pt>
                <c:pt idx="610">
                  <c:v>42888</c:v>
                </c:pt>
                <c:pt idx="611">
                  <c:v>42889</c:v>
                </c:pt>
                <c:pt idx="612">
                  <c:v>42890</c:v>
                </c:pt>
                <c:pt idx="613">
                  <c:v>42891</c:v>
                </c:pt>
                <c:pt idx="614">
                  <c:v>42892</c:v>
                </c:pt>
                <c:pt idx="615">
                  <c:v>42893</c:v>
                </c:pt>
                <c:pt idx="616">
                  <c:v>42894</c:v>
                </c:pt>
                <c:pt idx="617">
                  <c:v>42895</c:v>
                </c:pt>
                <c:pt idx="618">
                  <c:v>42896</c:v>
                </c:pt>
                <c:pt idx="619">
                  <c:v>42897</c:v>
                </c:pt>
                <c:pt idx="620">
                  <c:v>42898</c:v>
                </c:pt>
                <c:pt idx="621">
                  <c:v>42899</c:v>
                </c:pt>
                <c:pt idx="622">
                  <c:v>42900</c:v>
                </c:pt>
                <c:pt idx="623">
                  <c:v>42901</c:v>
                </c:pt>
                <c:pt idx="624">
                  <c:v>42902</c:v>
                </c:pt>
                <c:pt idx="625">
                  <c:v>42903</c:v>
                </c:pt>
                <c:pt idx="626">
                  <c:v>42904</c:v>
                </c:pt>
                <c:pt idx="627">
                  <c:v>42905</c:v>
                </c:pt>
                <c:pt idx="628">
                  <c:v>42906</c:v>
                </c:pt>
                <c:pt idx="629">
                  <c:v>42907</c:v>
                </c:pt>
                <c:pt idx="630">
                  <c:v>42908</c:v>
                </c:pt>
                <c:pt idx="631">
                  <c:v>42909</c:v>
                </c:pt>
                <c:pt idx="632">
                  <c:v>42910</c:v>
                </c:pt>
                <c:pt idx="633">
                  <c:v>42911</c:v>
                </c:pt>
                <c:pt idx="634">
                  <c:v>42912</c:v>
                </c:pt>
                <c:pt idx="635">
                  <c:v>42913</c:v>
                </c:pt>
                <c:pt idx="636">
                  <c:v>42914</c:v>
                </c:pt>
                <c:pt idx="637">
                  <c:v>42915</c:v>
                </c:pt>
                <c:pt idx="638">
                  <c:v>42916</c:v>
                </c:pt>
                <c:pt idx="639">
                  <c:v>42917</c:v>
                </c:pt>
                <c:pt idx="640">
                  <c:v>42918</c:v>
                </c:pt>
                <c:pt idx="641">
                  <c:v>42919</c:v>
                </c:pt>
                <c:pt idx="642">
                  <c:v>42920</c:v>
                </c:pt>
                <c:pt idx="643">
                  <c:v>42921</c:v>
                </c:pt>
                <c:pt idx="644">
                  <c:v>42922</c:v>
                </c:pt>
                <c:pt idx="645">
                  <c:v>42923</c:v>
                </c:pt>
                <c:pt idx="646">
                  <c:v>42924</c:v>
                </c:pt>
                <c:pt idx="647">
                  <c:v>42925</c:v>
                </c:pt>
                <c:pt idx="648">
                  <c:v>42926</c:v>
                </c:pt>
                <c:pt idx="649">
                  <c:v>42927</c:v>
                </c:pt>
                <c:pt idx="650">
                  <c:v>42928</c:v>
                </c:pt>
                <c:pt idx="651">
                  <c:v>42929</c:v>
                </c:pt>
                <c:pt idx="652">
                  <c:v>42930</c:v>
                </c:pt>
                <c:pt idx="653">
                  <c:v>42931</c:v>
                </c:pt>
                <c:pt idx="654">
                  <c:v>42932</c:v>
                </c:pt>
                <c:pt idx="655">
                  <c:v>42933</c:v>
                </c:pt>
                <c:pt idx="656">
                  <c:v>42934</c:v>
                </c:pt>
                <c:pt idx="657">
                  <c:v>42935</c:v>
                </c:pt>
                <c:pt idx="658">
                  <c:v>42936</c:v>
                </c:pt>
                <c:pt idx="659">
                  <c:v>42937</c:v>
                </c:pt>
                <c:pt idx="660">
                  <c:v>42938</c:v>
                </c:pt>
                <c:pt idx="661">
                  <c:v>42939</c:v>
                </c:pt>
                <c:pt idx="662">
                  <c:v>42940</c:v>
                </c:pt>
                <c:pt idx="663">
                  <c:v>42941</c:v>
                </c:pt>
                <c:pt idx="664">
                  <c:v>42942</c:v>
                </c:pt>
                <c:pt idx="665">
                  <c:v>42943</c:v>
                </c:pt>
                <c:pt idx="666">
                  <c:v>42944</c:v>
                </c:pt>
                <c:pt idx="667">
                  <c:v>42945</c:v>
                </c:pt>
                <c:pt idx="668">
                  <c:v>42946</c:v>
                </c:pt>
                <c:pt idx="669">
                  <c:v>42947</c:v>
                </c:pt>
                <c:pt idx="670">
                  <c:v>42948</c:v>
                </c:pt>
                <c:pt idx="671">
                  <c:v>42949</c:v>
                </c:pt>
                <c:pt idx="672">
                  <c:v>42950</c:v>
                </c:pt>
                <c:pt idx="673">
                  <c:v>42951</c:v>
                </c:pt>
                <c:pt idx="674">
                  <c:v>42952</c:v>
                </c:pt>
                <c:pt idx="675">
                  <c:v>42953</c:v>
                </c:pt>
                <c:pt idx="676">
                  <c:v>42954</c:v>
                </c:pt>
                <c:pt idx="677">
                  <c:v>42955</c:v>
                </c:pt>
                <c:pt idx="678">
                  <c:v>42956</c:v>
                </c:pt>
                <c:pt idx="679">
                  <c:v>42957</c:v>
                </c:pt>
                <c:pt idx="680">
                  <c:v>42958</c:v>
                </c:pt>
                <c:pt idx="681">
                  <c:v>42959</c:v>
                </c:pt>
                <c:pt idx="682">
                  <c:v>42960</c:v>
                </c:pt>
                <c:pt idx="683">
                  <c:v>42961</c:v>
                </c:pt>
                <c:pt idx="684">
                  <c:v>42962</c:v>
                </c:pt>
                <c:pt idx="685">
                  <c:v>42963</c:v>
                </c:pt>
                <c:pt idx="686">
                  <c:v>42964</c:v>
                </c:pt>
                <c:pt idx="687">
                  <c:v>42965</c:v>
                </c:pt>
                <c:pt idx="688">
                  <c:v>42966</c:v>
                </c:pt>
                <c:pt idx="689">
                  <c:v>42967</c:v>
                </c:pt>
                <c:pt idx="690">
                  <c:v>42968</c:v>
                </c:pt>
                <c:pt idx="691">
                  <c:v>42969</c:v>
                </c:pt>
                <c:pt idx="692">
                  <c:v>42970</c:v>
                </c:pt>
                <c:pt idx="693">
                  <c:v>42971</c:v>
                </c:pt>
                <c:pt idx="694">
                  <c:v>42972</c:v>
                </c:pt>
                <c:pt idx="695">
                  <c:v>42973</c:v>
                </c:pt>
                <c:pt idx="696">
                  <c:v>42974</c:v>
                </c:pt>
                <c:pt idx="697">
                  <c:v>42975</c:v>
                </c:pt>
                <c:pt idx="698">
                  <c:v>42976</c:v>
                </c:pt>
                <c:pt idx="699">
                  <c:v>42977</c:v>
                </c:pt>
                <c:pt idx="700">
                  <c:v>42978</c:v>
                </c:pt>
                <c:pt idx="701">
                  <c:v>42979</c:v>
                </c:pt>
                <c:pt idx="702">
                  <c:v>42980</c:v>
                </c:pt>
                <c:pt idx="703">
                  <c:v>42981</c:v>
                </c:pt>
                <c:pt idx="704">
                  <c:v>42982</c:v>
                </c:pt>
                <c:pt idx="705">
                  <c:v>42983</c:v>
                </c:pt>
                <c:pt idx="706">
                  <c:v>42984</c:v>
                </c:pt>
                <c:pt idx="707">
                  <c:v>42985</c:v>
                </c:pt>
                <c:pt idx="708">
                  <c:v>42986</c:v>
                </c:pt>
                <c:pt idx="709">
                  <c:v>42987</c:v>
                </c:pt>
                <c:pt idx="710">
                  <c:v>42988</c:v>
                </c:pt>
                <c:pt idx="711">
                  <c:v>42989</c:v>
                </c:pt>
                <c:pt idx="712">
                  <c:v>42990</c:v>
                </c:pt>
                <c:pt idx="713">
                  <c:v>42991</c:v>
                </c:pt>
                <c:pt idx="714">
                  <c:v>42992</c:v>
                </c:pt>
                <c:pt idx="715">
                  <c:v>42993</c:v>
                </c:pt>
                <c:pt idx="716">
                  <c:v>42994</c:v>
                </c:pt>
                <c:pt idx="717">
                  <c:v>42995</c:v>
                </c:pt>
                <c:pt idx="718">
                  <c:v>42996</c:v>
                </c:pt>
                <c:pt idx="719">
                  <c:v>42997</c:v>
                </c:pt>
                <c:pt idx="720">
                  <c:v>42998</c:v>
                </c:pt>
                <c:pt idx="721">
                  <c:v>42999</c:v>
                </c:pt>
                <c:pt idx="722">
                  <c:v>43000</c:v>
                </c:pt>
                <c:pt idx="723">
                  <c:v>43001</c:v>
                </c:pt>
                <c:pt idx="724">
                  <c:v>43002</c:v>
                </c:pt>
                <c:pt idx="725">
                  <c:v>43003</c:v>
                </c:pt>
                <c:pt idx="726">
                  <c:v>43004</c:v>
                </c:pt>
                <c:pt idx="727">
                  <c:v>43005</c:v>
                </c:pt>
                <c:pt idx="728">
                  <c:v>43006</c:v>
                </c:pt>
                <c:pt idx="729">
                  <c:v>43007</c:v>
                </c:pt>
                <c:pt idx="730">
                  <c:v>43008</c:v>
                </c:pt>
                <c:pt idx="731">
                  <c:v>43009</c:v>
                </c:pt>
                <c:pt idx="732">
                  <c:v>43010</c:v>
                </c:pt>
                <c:pt idx="733">
                  <c:v>43011</c:v>
                </c:pt>
                <c:pt idx="734">
                  <c:v>43012</c:v>
                </c:pt>
                <c:pt idx="735">
                  <c:v>43013</c:v>
                </c:pt>
                <c:pt idx="736">
                  <c:v>43014</c:v>
                </c:pt>
                <c:pt idx="737">
                  <c:v>43015</c:v>
                </c:pt>
                <c:pt idx="738">
                  <c:v>43016</c:v>
                </c:pt>
                <c:pt idx="739">
                  <c:v>43017</c:v>
                </c:pt>
                <c:pt idx="740">
                  <c:v>43018</c:v>
                </c:pt>
                <c:pt idx="741">
                  <c:v>43019</c:v>
                </c:pt>
                <c:pt idx="742">
                  <c:v>43020</c:v>
                </c:pt>
                <c:pt idx="743">
                  <c:v>43021</c:v>
                </c:pt>
                <c:pt idx="744">
                  <c:v>43022</c:v>
                </c:pt>
                <c:pt idx="745">
                  <c:v>43023</c:v>
                </c:pt>
                <c:pt idx="746">
                  <c:v>43024</c:v>
                </c:pt>
                <c:pt idx="747">
                  <c:v>43025</c:v>
                </c:pt>
                <c:pt idx="748">
                  <c:v>43026</c:v>
                </c:pt>
                <c:pt idx="749">
                  <c:v>43027</c:v>
                </c:pt>
                <c:pt idx="750">
                  <c:v>43028</c:v>
                </c:pt>
                <c:pt idx="751">
                  <c:v>43029</c:v>
                </c:pt>
                <c:pt idx="752">
                  <c:v>43030</c:v>
                </c:pt>
                <c:pt idx="753">
                  <c:v>43031</c:v>
                </c:pt>
                <c:pt idx="754">
                  <c:v>43032</c:v>
                </c:pt>
                <c:pt idx="755">
                  <c:v>43033</c:v>
                </c:pt>
                <c:pt idx="756">
                  <c:v>43034</c:v>
                </c:pt>
                <c:pt idx="757">
                  <c:v>43035</c:v>
                </c:pt>
                <c:pt idx="758">
                  <c:v>43036</c:v>
                </c:pt>
                <c:pt idx="759">
                  <c:v>43037</c:v>
                </c:pt>
                <c:pt idx="760">
                  <c:v>43038</c:v>
                </c:pt>
                <c:pt idx="761">
                  <c:v>43039</c:v>
                </c:pt>
                <c:pt idx="762">
                  <c:v>43040</c:v>
                </c:pt>
                <c:pt idx="763">
                  <c:v>43041</c:v>
                </c:pt>
                <c:pt idx="764">
                  <c:v>43042</c:v>
                </c:pt>
                <c:pt idx="765">
                  <c:v>43043</c:v>
                </c:pt>
                <c:pt idx="766">
                  <c:v>43044</c:v>
                </c:pt>
                <c:pt idx="767">
                  <c:v>43045</c:v>
                </c:pt>
                <c:pt idx="768">
                  <c:v>43046</c:v>
                </c:pt>
                <c:pt idx="769">
                  <c:v>43047</c:v>
                </c:pt>
                <c:pt idx="770">
                  <c:v>43048</c:v>
                </c:pt>
                <c:pt idx="771">
                  <c:v>43049</c:v>
                </c:pt>
                <c:pt idx="772">
                  <c:v>43050</c:v>
                </c:pt>
                <c:pt idx="773">
                  <c:v>43051</c:v>
                </c:pt>
                <c:pt idx="774">
                  <c:v>43052</c:v>
                </c:pt>
                <c:pt idx="775">
                  <c:v>43053</c:v>
                </c:pt>
                <c:pt idx="776">
                  <c:v>43054</c:v>
                </c:pt>
                <c:pt idx="777">
                  <c:v>43055</c:v>
                </c:pt>
                <c:pt idx="778">
                  <c:v>43056</c:v>
                </c:pt>
                <c:pt idx="779">
                  <c:v>43057</c:v>
                </c:pt>
                <c:pt idx="780">
                  <c:v>43058</c:v>
                </c:pt>
                <c:pt idx="781">
                  <c:v>43059</c:v>
                </c:pt>
                <c:pt idx="782">
                  <c:v>43060</c:v>
                </c:pt>
                <c:pt idx="783">
                  <c:v>43061</c:v>
                </c:pt>
                <c:pt idx="784">
                  <c:v>43062</c:v>
                </c:pt>
                <c:pt idx="785">
                  <c:v>43063</c:v>
                </c:pt>
                <c:pt idx="786">
                  <c:v>43064</c:v>
                </c:pt>
                <c:pt idx="787">
                  <c:v>43065</c:v>
                </c:pt>
                <c:pt idx="788">
                  <c:v>43066</c:v>
                </c:pt>
                <c:pt idx="789">
                  <c:v>43067</c:v>
                </c:pt>
                <c:pt idx="790">
                  <c:v>43068</c:v>
                </c:pt>
                <c:pt idx="791">
                  <c:v>43069</c:v>
                </c:pt>
                <c:pt idx="792">
                  <c:v>43070</c:v>
                </c:pt>
                <c:pt idx="793">
                  <c:v>43071</c:v>
                </c:pt>
                <c:pt idx="794">
                  <c:v>43072</c:v>
                </c:pt>
                <c:pt idx="795">
                  <c:v>43073</c:v>
                </c:pt>
                <c:pt idx="796">
                  <c:v>43074</c:v>
                </c:pt>
                <c:pt idx="797">
                  <c:v>43075</c:v>
                </c:pt>
                <c:pt idx="798">
                  <c:v>43076</c:v>
                </c:pt>
                <c:pt idx="799">
                  <c:v>43077</c:v>
                </c:pt>
                <c:pt idx="800">
                  <c:v>43078</c:v>
                </c:pt>
                <c:pt idx="801">
                  <c:v>43079</c:v>
                </c:pt>
                <c:pt idx="802">
                  <c:v>43080</c:v>
                </c:pt>
                <c:pt idx="803">
                  <c:v>43081</c:v>
                </c:pt>
                <c:pt idx="804">
                  <c:v>43082</c:v>
                </c:pt>
                <c:pt idx="805">
                  <c:v>43083</c:v>
                </c:pt>
                <c:pt idx="806">
                  <c:v>43084</c:v>
                </c:pt>
                <c:pt idx="807">
                  <c:v>43085</c:v>
                </c:pt>
                <c:pt idx="808">
                  <c:v>43086</c:v>
                </c:pt>
                <c:pt idx="809">
                  <c:v>43087</c:v>
                </c:pt>
                <c:pt idx="810">
                  <c:v>43088</c:v>
                </c:pt>
                <c:pt idx="811">
                  <c:v>43089</c:v>
                </c:pt>
                <c:pt idx="812">
                  <c:v>43090</c:v>
                </c:pt>
                <c:pt idx="813">
                  <c:v>43091</c:v>
                </c:pt>
                <c:pt idx="814">
                  <c:v>43092</c:v>
                </c:pt>
                <c:pt idx="815">
                  <c:v>43093</c:v>
                </c:pt>
                <c:pt idx="816">
                  <c:v>43094</c:v>
                </c:pt>
                <c:pt idx="817">
                  <c:v>43095</c:v>
                </c:pt>
                <c:pt idx="818">
                  <c:v>43096</c:v>
                </c:pt>
                <c:pt idx="819">
                  <c:v>43097</c:v>
                </c:pt>
                <c:pt idx="820">
                  <c:v>43098</c:v>
                </c:pt>
                <c:pt idx="821">
                  <c:v>43099</c:v>
                </c:pt>
                <c:pt idx="822">
                  <c:v>43100</c:v>
                </c:pt>
                <c:pt idx="823">
                  <c:v>43101</c:v>
                </c:pt>
                <c:pt idx="824">
                  <c:v>43102</c:v>
                </c:pt>
                <c:pt idx="825">
                  <c:v>43103</c:v>
                </c:pt>
                <c:pt idx="826">
                  <c:v>43104</c:v>
                </c:pt>
                <c:pt idx="827">
                  <c:v>43105</c:v>
                </c:pt>
                <c:pt idx="828">
                  <c:v>43106</c:v>
                </c:pt>
                <c:pt idx="829">
                  <c:v>43107</c:v>
                </c:pt>
                <c:pt idx="830">
                  <c:v>43108</c:v>
                </c:pt>
                <c:pt idx="831">
                  <c:v>43109</c:v>
                </c:pt>
                <c:pt idx="832">
                  <c:v>43110</c:v>
                </c:pt>
                <c:pt idx="833">
                  <c:v>43111</c:v>
                </c:pt>
                <c:pt idx="834">
                  <c:v>43112</c:v>
                </c:pt>
                <c:pt idx="835">
                  <c:v>43113</c:v>
                </c:pt>
                <c:pt idx="836">
                  <c:v>43114</c:v>
                </c:pt>
                <c:pt idx="837">
                  <c:v>43115</c:v>
                </c:pt>
                <c:pt idx="838">
                  <c:v>43116</c:v>
                </c:pt>
                <c:pt idx="839">
                  <c:v>43117</c:v>
                </c:pt>
                <c:pt idx="840">
                  <c:v>43118</c:v>
                </c:pt>
                <c:pt idx="841">
                  <c:v>43119</c:v>
                </c:pt>
                <c:pt idx="842">
                  <c:v>43120</c:v>
                </c:pt>
                <c:pt idx="843">
                  <c:v>43121</c:v>
                </c:pt>
                <c:pt idx="844">
                  <c:v>43122</c:v>
                </c:pt>
                <c:pt idx="845">
                  <c:v>43123</c:v>
                </c:pt>
                <c:pt idx="846">
                  <c:v>43124</c:v>
                </c:pt>
                <c:pt idx="847">
                  <c:v>43125</c:v>
                </c:pt>
                <c:pt idx="848">
                  <c:v>43126</c:v>
                </c:pt>
                <c:pt idx="849">
                  <c:v>43127</c:v>
                </c:pt>
                <c:pt idx="850">
                  <c:v>43128</c:v>
                </c:pt>
                <c:pt idx="851">
                  <c:v>43129</c:v>
                </c:pt>
                <c:pt idx="852">
                  <c:v>43130</c:v>
                </c:pt>
                <c:pt idx="853">
                  <c:v>43131</c:v>
                </c:pt>
                <c:pt idx="854">
                  <c:v>43132</c:v>
                </c:pt>
                <c:pt idx="855">
                  <c:v>43133</c:v>
                </c:pt>
                <c:pt idx="856">
                  <c:v>43134</c:v>
                </c:pt>
                <c:pt idx="857">
                  <c:v>43135</c:v>
                </c:pt>
                <c:pt idx="858">
                  <c:v>43136</c:v>
                </c:pt>
                <c:pt idx="859">
                  <c:v>43137</c:v>
                </c:pt>
                <c:pt idx="860">
                  <c:v>43138</c:v>
                </c:pt>
                <c:pt idx="861">
                  <c:v>43139</c:v>
                </c:pt>
                <c:pt idx="862">
                  <c:v>43140</c:v>
                </c:pt>
                <c:pt idx="863">
                  <c:v>43141</c:v>
                </c:pt>
                <c:pt idx="864">
                  <c:v>43142</c:v>
                </c:pt>
                <c:pt idx="865">
                  <c:v>43143</c:v>
                </c:pt>
                <c:pt idx="866">
                  <c:v>43144</c:v>
                </c:pt>
                <c:pt idx="867">
                  <c:v>43145</c:v>
                </c:pt>
                <c:pt idx="868">
                  <c:v>43146</c:v>
                </c:pt>
                <c:pt idx="869">
                  <c:v>43147</c:v>
                </c:pt>
                <c:pt idx="870">
                  <c:v>43148</c:v>
                </c:pt>
                <c:pt idx="871">
                  <c:v>43149</c:v>
                </c:pt>
                <c:pt idx="872">
                  <c:v>43150</c:v>
                </c:pt>
                <c:pt idx="873">
                  <c:v>43151</c:v>
                </c:pt>
                <c:pt idx="874">
                  <c:v>43152</c:v>
                </c:pt>
                <c:pt idx="875">
                  <c:v>43153</c:v>
                </c:pt>
                <c:pt idx="876">
                  <c:v>43154</c:v>
                </c:pt>
                <c:pt idx="877">
                  <c:v>43155</c:v>
                </c:pt>
                <c:pt idx="878">
                  <c:v>43156</c:v>
                </c:pt>
                <c:pt idx="879">
                  <c:v>43157</c:v>
                </c:pt>
                <c:pt idx="880">
                  <c:v>43158</c:v>
                </c:pt>
                <c:pt idx="881">
                  <c:v>43159</c:v>
                </c:pt>
                <c:pt idx="882">
                  <c:v>43160</c:v>
                </c:pt>
                <c:pt idx="883">
                  <c:v>43161</c:v>
                </c:pt>
                <c:pt idx="884">
                  <c:v>43162</c:v>
                </c:pt>
                <c:pt idx="885">
                  <c:v>43163</c:v>
                </c:pt>
                <c:pt idx="886">
                  <c:v>43164</c:v>
                </c:pt>
                <c:pt idx="887">
                  <c:v>43165</c:v>
                </c:pt>
                <c:pt idx="888">
                  <c:v>43166</c:v>
                </c:pt>
                <c:pt idx="889">
                  <c:v>43167</c:v>
                </c:pt>
                <c:pt idx="890">
                  <c:v>43168</c:v>
                </c:pt>
                <c:pt idx="891">
                  <c:v>43169</c:v>
                </c:pt>
                <c:pt idx="892">
                  <c:v>43170</c:v>
                </c:pt>
                <c:pt idx="893">
                  <c:v>43171</c:v>
                </c:pt>
                <c:pt idx="894">
                  <c:v>43172</c:v>
                </c:pt>
                <c:pt idx="895">
                  <c:v>43173</c:v>
                </c:pt>
                <c:pt idx="896">
                  <c:v>43174</c:v>
                </c:pt>
                <c:pt idx="897">
                  <c:v>43175</c:v>
                </c:pt>
                <c:pt idx="898">
                  <c:v>43176</c:v>
                </c:pt>
                <c:pt idx="899">
                  <c:v>43177</c:v>
                </c:pt>
                <c:pt idx="900">
                  <c:v>43178</c:v>
                </c:pt>
                <c:pt idx="901">
                  <c:v>43179</c:v>
                </c:pt>
                <c:pt idx="902">
                  <c:v>43180</c:v>
                </c:pt>
                <c:pt idx="903">
                  <c:v>43181</c:v>
                </c:pt>
                <c:pt idx="904">
                  <c:v>43182</c:v>
                </c:pt>
                <c:pt idx="905">
                  <c:v>43183</c:v>
                </c:pt>
                <c:pt idx="906">
                  <c:v>43184</c:v>
                </c:pt>
                <c:pt idx="907">
                  <c:v>43185</c:v>
                </c:pt>
                <c:pt idx="908">
                  <c:v>43186</c:v>
                </c:pt>
                <c:pt idx="909">
                  <c:v>43187</c:v>
                </c:pt>
                <c:pt idx="910">
                  <c:v>43188</c:v>
                </c:pt>
                <c:pt idx="911">
                  <c:v>43189</c:v>
                </c:pt>
                <c:pt idx="912">
                  <c:v>43190</c:v>
                </c:pt>
                <c:pt idx="913">
                  <c:v>43191</c:v>
                </c:pt>
                <c:pt idx="914">
                  <c:v>43192</c:v>
                </c:pt>
                <c:pt idx="915">
                  <c:v>43193</c:v>
                </c:pt>
                <c:pt idx="916">
                  <c:v>43194</c:v>
                </c:pt>
                <c:pt idx="917">
                  <c:v>43195</c:v>
                </c:pt>
                <c:pt idx="918">
                  <c:v>43196</c:v>
                </c:pt>
                <c:pt idx="919">
                  <c:v>43197</c:v>
                </c:pt>
                <c:pt idx="920">
                  <c:v>43198</c:v>
                </c:pt>
                <c:pt idx="921">
                  <c:v>43199</c:v>
                </c:pt>
                <c:pt idx="922">
                  <c:v>43200</c:v>
                </c:pt>
                <c:pt idx="923">
                  <c:v>43201</c:v>
                </c:pt>
                <c:pt idx="924">
                  <c:v>43202</c:v>
                </c:pt>
                <c:pt idx="925">
                  <c:v>43203</c:v>
                </c:pt>
                <c:pt idx="926">
                  <c:v>43204</c:v>
                </c:pt>
                <c:pt idx="927">
                  <c:v>43205</c:v>
                </c:pt>
                <c:pt idx="928">
                  <c:v>43206</c:v>
                </c:pt>
                <c:pt idx="929">
                  <c:v>43207</c:v>
                </c:pt>
                <c:pt idx="930">
                  <c:v>43208</c:v>
                </c:pt>
                <c:pt idx="931">
                  <c:v>43209</c:v>
                </c:pt>
                <c:pt idx="932">
                  <c:v>43210</c:v>
                </c:pt>
                <c:pt idx="933">
                  <c:v>43211</c:v>
                </c:pt>
                <c:pt idx="934">
                  <c:v>43212</c:v>
                </c:pt>
                <c:pt idx="935">
                  <c:v>43213</c:v>
                </c:pt>
                <c:pt idx="936">
                  <c:v>43214</c:v>
                </c:pt>
                <c:pt idx="937">
                  <c:v>43215</c:v>
                </c:pt>
                <c:pt idx="938">
                  <c:v>43216</c:v>
                </c:pt>
                <c:pt idx="939">
                  <c:v>43217</c:v>
                </c:pt>
                <c:pt idx="940">
                  <c:v>43218</c:v>
                </c:pt>
                <c:pt idx="941">
                  <c:v>43219</c:v>
                </c:pt>
                <c:pt idx="942">
                  <c:v>43220</c:v>
                </c:pt>
                <c:pt idx="943">
                  <c:v>43221</c:v>
                </c:pt>
                <c:pt idx="944">
                  <c:v>43222</c:v>
                </c:pt>
                <c:pt idx="945">
                  <c:v>43223</c:v>
                </c:pt>
                <c:pt idx="946">
                  <c:v>43224</c:v>
                </c:pt>
                <c:pt idx="947">
                  <c:v>43225</c:v>
                </c:pt>
                <c:pt idx="948">
                  <c:v>43226</c:v>
                </c:pt>
                <c:pt idx="949">
                  <c:v>43227</c:v>
                </c:pt>
                <c:pt idx="950">
                  <c:v>43228</c:v>
                </c:pt>
                <c:pt idx="951">
                  <c:v>43229</c:v>
                </c:pt>
                <c:pt idx="952">
                  <c:v>43230</c:v>
                </c:pt>
                <c:pt idx="953">
                  <c:v>43231</c:v>
                </c:pt>
                <c:pt idx="954">
                  <c:v>43232</c:v>
                </c:pt>
                <c:pt idx="955">
                  <c:v>43233</c:v>
                </c:pt>
                <c:pt idx="956">
                  <c:v>43234</c:v>
                </c:pt>
                <c:pt idx="957">
                  <c:v>43235</c:v>
                </c:pt>
                <c:pt idx="958">
                  <c:v>43236</c:v>
                </c:pt>
                <c:pt idx="959">
                  <c:v>43237</c:v>
                </c:pt>
                <c:pt idx="960">
                  <c:v>43238</c:v>
                </c:pt>
                <c:pt idx="961">
                  <c:v>43239</c:v>
                </c:pt>
                <c:pt idx="962">
                  <c:v>43240</c:v>
                </c:pt>
                <c:pt idx="963">
                  <c:v>43241</c:v>
                </c:pt>
                <c:pt idx="964">
                  <c:v>43242</c:v>
                </c:pt>
                <c:pt idx="965">
                  <c:v>43243</c:v>
                </c:pt>
                <c:pt idx="966">
                  <c:v>43244</c:v>
                </c:pt>
                <c:pt idx="967">
                  <c:v>43245</c:v>
                </c:pt>
                <c:pt idx="968">
                  <c:v>43246</c:v>
                </c:pt>
                <c:pt idx="969">
                  <c:v>43247</c:v>
                </c:pt>
                <c:pt idx="970">
                  <c:v>43248</c:v>
                </c:pt>
                <c:pt idx="971">
                  <c:v>43249</c:v>
                </c:pt>
                <c:pt idx="972">
                  <c:v>43250</c:v>
                </c:pt>
                <c:pt idx="973">
                  <c:v>43251</c:v>
                </c:pt>
                <c:pt idx="974">
                  <c:v>43252</c:v>
                </c:pt>
                <c:pt idx="975">
                  <c:v>43253</c:v>
                </c:pt>
                <c:pt idx="976">
                  <c:v>43254</c:v>
                </c:pt>
                <c:pt idx="977">
                  <c:v>43255</c:v>
                </c:pt>
                <c:pt idx="978">
                  <c:v>43256</c:v>
                </c:pt>
                <c:pt idx="979">
                  <c:v>43257</c:v>
                </c:pt>
                <c:pt idx="980">
                  <c:v>43258</c:v>
                </c:pt>
                <c:pt idx="981">
                  <c:v>43259</c:v>
                </c:pt>
                <c:pt idx="982">
                  <c:v>43260</c:v>
                </c:pt>
                <c:pt idx="983">
                  <c:v>43261</c:v>
                </c:pt>
                <c:pt idx="984">
                  <c:v>43262</c:v>
                </c:pt>
                <c:pt idx="985">
                  <c:v>43263</c:v>
                </c:pt>
                <c:pt idx="986">
                  <c:v>43264</c:v>
                </c:pt>
                <c:pt idx="987">
                  <c:v>43265</c:v>
                </c:pt>
                <c:pt idx="988">
                  <c:v>43266</c:v>
                </c:pt>
                <c:pt idx="989">
                  <c:v>43267</c:v>
                </c:pt>
                <c:pt idx="990">
                  <c:v>43268</c:v>
                </c:pt>
                <c:pt idx="991">
                  <c:v>43269</c:v>
                </c:pt>
                <c:pt idx="992">
                  <c:v>43270</c:v>
                </c:pt>
                <c:pt idx="993">
                  <c:v>43271</c:v>
                </c:pt>
                <c:pt idx="994">
                  <c:v>43272</c:v>
                </c:pt>
                <c:pt idx="995">
                  <c:v>43273</c:v>
                </c:pt>
                <c:pt idx="996">
                  <c:v>43274</c:v>
                </c:pt>
                <c:pt idx="997">
                  <c:v>43275</c:v>
                </c:pt>
                <c:pt idx="998">
                  <c:v>43276</c:v>
                </c:pt>
                <c:pt idx="999">
                  <c:v>43277</c:v>
                </c:pt>
                <c:pt idx="1000">
                  <c:v>43278</c:v>
                </c:pt>
                <c:pt idx="1001">
                  <c:v>43279</c:v>
                </c:pt>
                <c:pt idx="1002">
                  <c:v>43280</c:v>
                </c:pt>
                <c:pt idx="1003">
                  <c:v>43281</c:v>
                </c:pt>
                <c:pt idx="1004">
                  <c:v>43282</c:v>
                </c:pt>
                <c:pt idx="1005">
                  <c:v>43283</c:v>
                </c:pt>
                <c:pt idx="1006">
                  <c:v>43284</c:v>
                </c:pt>
                <c:pt idx="1007">
                  <c:v>43285</c:v>
                </c:pt>
                <c:pt idx="1008">
                  <c:v>43286</c:v>
                </c:pt>
                <c:pt idx="1009">
                  <c:v>43287</c:v>
                </c:pt>
                <c:pt idx="1010">
                  <c:v>43288</c:v>
                </c:pt>
                <c:pt idx="1011">
                  <c:v>43289</c:v>
                </c:pt>
                <c:pt idx="1012">
                  <c:v>43290</c:v>
                </c:pt>
                <c:pt idx="1013">
                  <c:v>43291</c:v>
                </c:pt>
                <c:pt idx="1014">
                  <c:v>43292</c:v>
                </c:pt>
                <c:pt idx="1015">
                  <c:v>43293</c:v>
                </c:pt>
                <c:pt idx="1016">
                  <c:v>43294</c:v>
                </c:pt>
                <c:pt idx="1017">
                  <c:v>43295</c:v>
                </c:pt>
                <c:pt idx="1018">
                  <c:v>43296</c:v>
                </c:pt>
                <c:pt idx="1019">
                  <c:v>43297</c:v>
                </c:pt>
                <c:pt idx="1020">
                  <c:v>43298</c:v>
                </c:pt>
                <c:pt idx="1021">
                  <c:v>43299</c:v>
                </c:pt>
                <c:pt idx="1022">
                  <c:v>43300</c:v>
                </c:pt>
                <c:pt idx="1023">
                  <c:v>43301</c:v>
                </c:pt>
                <c:pt idx="1024">
                  <c:v>43302</c:v>
                </c:pt>
                <c:pt idx="1025">
                  <c:v>43303</c:v>
                </c:pt>
                <c:pt idx="1026">
                  <c:v>43304</c:v>
                </c:pt>
                <c:pt idx="1027">
                  <c:v>43305</c:v>
                </c:pt>
                <c:pt idx="1028">
                  <c:v>43306</c:v>
                </c:pt>
                <c:pt idx="1029">
                  <c:v>43307</c:v>
                </c:pt>
                <c:pt idx="1030">
                  <c:v>43308</c:v>
                </c:pt>
                <c:pt idx="1031">
                  <c:v>43309</c:v>
                </c:pt>
                <c:pt idx="1032">
                  <c:v>43310</c:v>
                </c:pt>
                <c:pt idx="1033">
                  <c:v>43311</c:v>
                </c:pt>
                <c:pt idx="1034">
                  <c:v>43312</c:v>
                </c:pt>
                <c:pt idx="1035">
                  <c:v>43313</c:v>
                </c:pt>
                <c:pt idx="1036">
                  <c:v>43314</c:v>
                </c:pt>
                <c:pt idx="1037">
                  <c:v>43315</c:v>
                </c:pt>
                <c:pt idx="1038">
                  <c:v>43316</c:v>
                </c:pt>
                <c:pt idx="1039">
                  <c:v>43317</c:v>
                </c:pt>
                <c:pt idx="1040">
                  <c:v>43318</c:v>
                </c:pt>
                <c:pt idx="1041">
                  <c:v>43319</c:v>
                </c:pt>
                <c:pt idx="1042">
                  <c:v>43320</c:v>
                </c:pt>
                <c:pt idx="1043">
                  <c:v>43321</c:v>
                </c:pt>
                <c:pt idx="1044">
                  <c:v>43322</c:v>
                </c:pt>
                <c:pt idx="1045">
                  <c:v>43323</c:v>
                </c:pt>
                <c:pt idx="1046">
                  <c:v>43324</c:v>
                </c:pt>
                <c:pt idx="1047">
                  <c:v>43325</c:v>
                </c:pt>
                <c:pt idx="1048">
                  <c:v>43326</c:v>
                </c:pt>
                <c:pt idx="1049">
                  <c:v>43327</c:v>
                </c:pt>
                <c:pt idx="1050">
                  <c:v>43328</c:v>
                </c:pt>
                <c:pt idx="1051">
                  <c:v>43329</c:v>
                </c:pt>
                <c:pt idx="1052">
                  <c:v>43330</c:v>
                </c:pt>
                <c:pt idx="1053">
                  <c:v>43331</c:v>
                </c:pt>
                <c:pt idx="1054">
                  <c:v>43332</c:v>
                </c:pt>
                <c:pt idx="1055">
                  <c:v>43333</c:v>
                </c:pt>
                <c:pt idx="1056">
                  <c:v>43334</c:v>
                </c:pt>
                <c:pt idx="1057">
                  <c:v>43335</c:v>
                </c:pt>
                <c:pt idx="1058">
                  <c:v>43336</c:v>
                </c:pt>
                <c:pt idx="1059">
                  <c:v>43337</c:v>
                </c:pt>
                <c:pt idx="1060">
                  <c:v>43338</c:v>
                </c:pt>
                <c:pt idx="1061">
                  <c:v>43339</c:v>
                </c:pt>
                <c:pt idx="1062">
                  <c:v>43340</c:v>
                </c:pt>
                <c:pt idx="1063">
                  <c:v>43341</c:v>
                </c:pt>
                <c:pt idx="1064">
                  <c:v>43342</c:v>
                </c:pt>
                <c:pt idx="1065">
                  <c:v>43343</c:v>
                </c:pt>
                <c:pt idx="1066">
                  <c:v>43344</c:v>
                </c:pt>
                <c:pt idx="1067">
                  <c:v>43345</c:v>
                </c:pt>
                <c:pt idx="1068">
                  <c:v>43346</c:v>
                </c:pt>
                <c:pt idx="1069">
                  <c:v>43347</c:v>
                </c:pt>
                <c:pt idx="1070">
                  <c:v>43348</c:v>
                </c:pt>
                <c:pt idx="1071">
                  <c:v>43349</c:v>
                </c:pt>
                <c:pt idx="1072">
                  <c:v>43350</c:v>
                </c:pt>
                <c:pt idx="1073">
                  <c:v>43351</c:v>
                </c:pt>
                <c:pt idx="1074">
                  <c:v>43352</c:v>
                </c:pt>
                <c:pt idx="1075">
                  <c:v>43353</c:v>
                </c:pt>
                <c:pt idx="1076">
                  <c:v>43354</c:v>
                </c:pt>
                <c:pt idx="1077">
                  <c:v>43355</c:v>
                </c:pt>
                <c:pt idx="1078">
                  <c:v>43356</c:v>
                </c:pt>
                <c:pt idx="1079">
                  <c:v>43357</c:v>
                </c:pt>
                <c:pt idx="1080">
                  <c:v>43358</c:v>
                </c:pt>
                <c:pt idx="1081">
                  <c:v>43359</c:v>
                </c:pt>
                <c:pt idx="1082">
                  <c:v>43360</c:v>
                </c:pt>
                <c:pt idx="1083">
                  <c:v>43361</c:v>
                </c:pt>
                <c:pt idx="1084">
                  <c:v>43362</c:v>
                </c:pt>
                <c:pt idx="1085">
                  <c:v>43363</c:v>
                </c:pt>
                <c:pt idx="1086">
                  <c:v>43364</c:v>
                </c:pt>
                <c:pt idx="1087">
                  <c:v>43365</c:v>
                </c:pt>
                <c:pt idx="1088">
                  <c:v>43366</c:v>
                </c:pt>
                <c:pt idx="1089">
                  <c:v>43367</c:v>
                </c:pt>
                <c:pt idx="1090">
                  <c:v>43368</c:v>
                </c:pt>
                <c:pt idx="1091">
                  <c:v>43369</c:v>
                </c:pt>
                <c:pt idx="1092">
                  <c:v>43370</c:v>
                </c:pt>
                <c:pt idx="1093">
                  <c:v>43371</c:v>
                </c:pt>
                <c:pt idx="1094">
                  <c:v>43372</c:v>
                </c:pt>
                <c:pt idx="1095">
                  <c:v>43373</c:v>
                </c:pt>
                <c:pt idx="1096">
                  <c:v>43374</c:v>
                </c:pt>
                <c:pt idx="1097">
                  <c:v>43375</c:v>
                </c:pt>
                <c:pt idx="1098">
                  <c:v>43376</c:v>
                </c:pt>
                <c:pt idx="1099">
                  <c:v>43377</c:v>
                </c:pt>
                <c:pt idx="1100">
                  <c:v>43378</c:v>
                </c:pt>
                <c:pt idx="1101">
                  <c:v>43379</c:v>
                </c:pt>
                <c:pt idx="1102">
                  <c:v>43380</c:v>
                </c:pt>
                <c:pt idx="1103">
                  <c:v>43381</c:v>
                </c:pt>
                <c:pt idx="1104">
                  <c:v>43382</c:v>
                </c:pt>
                <c:pt idx="1105">
                  <c:v>43383</c:v>
                </c:pt>
                <c:pt idx="1106">
                  <c:v>43384</c:v>
                </c:pt>
                <c:pt idx="1107">
                  <c:v>43385</c:v>
                </c:pt>
                <c:pt idx="1108">
                  <c:v>43386</c:v>
                </c:pt>
                <c:pt idx="1109">
                  <c:v>43387</c:v>
                </c:pt>
                <c:pt idx="1110">
                  <c:v>43388</c:v>
                </c:pt>
                <c:pt idx="1111">
                  <c:v>43389</c:v>
                </c:pt>
                <c:pt idx="1112">
                  <c:v>43390</c:v>
                </c:pt>
                <c:pt idx="1113">
                  <c:v>43391</c:v>
                </c:pt>
                <c:pt idx="1114">
                  <c:v>43392</c:v>
                </c:pt>
                <c:pt idx="1115">
                  <c:v>43393</c:v>
                </c:pt>
                <c:pt idx="1116">
                  <c:v>43394</c:v>
                </c:pt>
                <c:pt idx="1117">
                  <c:v>43395</c:v>
                </c:pt>
                <c:pt idx="1118">
                  <c:v>43396</c:v>
                </c:pt>
                <c:pt idx="1119">
                  <c:v>43397</c:v>
                </c:pt>
                <c:pt idx="1120">
                  <c:v>43398</c:v>
                </c:pt>
                <c:pt idx="1121">
                  <c:v>43399</c:v>
                </c:pt>
                <c:pt idx="1122">
                  <c:v>43400</c:v>
                </c:pt>
                <c:pt idx="1123">
                  <c:v>43401</c:v>
                </c:pt>
                <c:pt idx="1124">
                  <c:v>43402</c:v>
                </c:pt>
                <c:pt idx="1125">
                  <c:v>43403</c:v>
                </c:pt>
                <c:pt idx="1126">
                  <c:v>43404</c:v>
                </c:pt>
                <c:pt idx="1127">
                  <c:v>43405</c:v>
                </c:pt>
              </c:numCache>
            </c:numRef>
          </c:cat>
          <c:val>
            <c:numRef>
              <c:f>'04 Participants Timeline'!$B$3:$B$1130</c:f>
              <c:numCache>
                <c:formatCode>#,##0</c:formatCode>
                <c:ptCount val="1128"/>
                <c:pt idx="0">
                  <c:v>819</c:v>
                </c:pt>
                <c:pt idx="1">
                  <c:v>819</c:v>
                </c:pt>
                <c:pt idx="2">
                  <c:v>820</c:v>
                </c:pt>
                <c:pt idx="3">
                  <c:v>820</c:v>
                </c:pt>
                <c:pt idx="4">
                  <c:v>819</c:v>
                </c:pt>
                <c:pt idx="5">
                  <c:v>819</c:v>
                </c:pt>
                <c:pt idx="6">
                  <c:v>820</c:v>
                </c:pt>
                <c:pt idx="7">
                  <c:v>820</c:v>
                </c:pt>
                <c:pt idx="8">
                  <c:v>821</c:v>
                </c:pt>
                <c:pt idx="9">
                  <c:v>821</c:v>
                </c:pt>
                <c:pt idx="10">
                  <c:v>821</c:v>
                </c:pt>
                <c:pt idx="11">
                  <c:v>821</c:v>
                </c:pt>
                <c:pt idx="12">
                  <c:v>821</c:v>
                </c:pt>
                <c:pt idx="13">
                  <c:v>821</c:v>
                </c:pt>
                <c:pt idx="14">
                  <c:v>822</c:v>
                </c:pt>
                <c:pt idx="15">
                  <c:v>822</c:v>
                </c:pt>
                <c:pt idx="16">
                  <c:v>822</c:v>
                </c:pt>
                <c:pt idx="17">
                  <c:v>822</c:v>
                </c:pt>
                <c:pt idx="18">
                  <c:v>822</c:v>
                </c:pt>
                <c:pt idx="19">
                  <c:v>822</c:v>
                </c:pt>
                <c:pt idx="20">
                  <c:v>823</c:v>
                </c:pt>
                <c:pt idx="21">
                  <c:v>823</c:v>
                </c:pt>
                <c:pt idx="22">
                  <c:v>823</c:v>
                </c:pt>
                <c:pt idx="23">
                  <c:v>823</c:v>
                </c:pt>
                <c:pt idx="24">
                  <c:v>823</c:v>
                </c:pt>
                <c:pt idx="25">
                  <c:v>823</c:v>
                </c:pt>
                <c:pt idx="26">
                  <c:v>823</c:v>
                </c:pt>
                <c:pt idx="27">
                  <c:v>823</c:v>
                </c:pt>
                <c:pt idx="28">
                  <c:v>823</c:v>
                </c:pt>
                <c:pt idx="29">
                  <c:v>823</c:v>
                </c:pt>
                <c:pt idx="30">
                  <c:v>825</c:v>
                </c:pt>
                <c:pt idx="31">
                  <c:v>825</c:v>
                </c:pt>
                <c:pt idx="32">
                  <c:v>825</c:v>
                </c:pt>
                <c:pt idx="33">
                  <c:v>825</c:v>
                </c:pt>
                <c:pt idx="34">
                  <c:v>825</c:v>
                </c:pt>
                <c:pt idx="35">
                  <c:v>825</c:v>
                </c:pt>
                <c:pt idx="36">
                  <c:v>825</c:v>
                </c:pt>
                <c:pt idx="37">
                  <c:v>825</c:v>
                </c:pt>
                <c:pt idx="38">
                  <c:v>825</c:v>
                </c:pt>
                <c:pt idx="39">
                  <c:v>825</c:v>
                </c:pt>
                <c:pt idx="40">
                  <c:v>826</c:v>
                </c:pt>
                <c:pt idx="41">
                  <c:v>826</c:v>
                </c:pt>
                <c:pt idx="42">
                  <c:v>826</c:v>
                </c:pt>
                <c:pt idx="43">
                  <c:v>826</c:v>
                </c:pt>
                <c:pt idx="44">
                  <c:v>826</c:v>
                </c:pt>
                <c:pt idx="45">
                  <c:v>826</c:v>
                </c:pt>
                <c:pt idx="46">
                  <c:v>826</c:v>
                </c:pt>
                <c:pt idx="47">
                  <c:v>826</c:v>
                </c:pt>
                <c:pt idx="48">
                  <c:v>826</c:v>
                </c:pt>
                <c:pt idx="49">
                  <c:v>826</c:v>
                </c:pt>
                <c:pt idx="50">
                  <c:v>826</c:v>
                </c:pt>
                <c:pt idx="51">
                  <c:v>826</c:v>
                </c:pt>
                <c:pt idx="52">
                  <c:v>826</c:v>
                </c:pt>
                <c:pt idx="53">
                  <c:v>826</c:v>
                </c:pt>
                <c:pt idx="54">
                  <c:v>826</c:v>
                </c:pt>
                <c:pt idx="55">
                  <c:v>827</c:v>
                </c:pt>
                <c:pt idx="56">
                  <c:v>829</c:v>
                </c:pt>
                <c:pt idx="57">
                  <c:v>830</c:v>
                </c:pt>
                <c:pt idx="58">
                  <c:v>830</c:v>
                </c:pt>
                <c:pt idx="59">
                  <c:v>830</c:v>
                </c:pt>
                <c:pt idx="60">
                  <c:v>830</c:v>
                </c:pt>
                <c:pt idx="61">
                  <c:v>831</c:v>
                </c:pt>
                <c:pt idx="62">
                  <c:v>831</c:v>
                </c:pt>
                <c:pt idx="63">
                  <c:v>831</c:v>
                </c:pt>
                <c:pt idx="64">
                  <c:v>831</c:v>
                </c:pt>
                <c:pt idx="65">
                  <c:v>831</c:v>
                </c:pt>
                <c:pt idx="66">
                  <c:v>831</c:v>
                </c:pt>
                <c:pt idx="67">
                  <c:v>831</c:v>
                </c:pt>
                <c:pt idx="68">
                  <c:v>832</c:v>
                </c:pt>
                <c:pt idx="69">
                  <c:v>832</c:v>
                </c:pt>
                <c:pt idx="70">
                  <c:v>832</c:v>
                </c:pt>
                <c:pt idx="71">
                  <c:v>832</c:v>
                </c:pt>
                <c:pt idx="72">
                  <c:v>832</c:v>
                </c:pt>
                <c:pt idx="73">
                  <c:v>832</c:v>
                </c:pt>
                <c:pt idx="74">
                  <c:v>832</c:v>
                </c:pt>
                <c:pt idx="75">
                  <c:v>832</c:v>
                </c:pt>
                <c:pt idx="76">
                  <c:v>833</c:v>
                </c:pt>
                <c:pt idx="77">
                  <c:v>834</c:v>
                </c:pt>
                <c:pt idx="78">
                  <c:v>835</c:v>
                </c:pt>
                <c:pt idx="79">
                  <c:v>835</c:v>
                </c:pt>
                <c:pt idx="80">
                  <c:v>835</c:v>
                </c:pt>
                <c:pt idx="81">
                  <c:v>835</c:v>
                </c:pt>
                <c:pt idx="82">
                  <c:v>836</c:v>
                </c:pt>
                <c:pt idx="83">
                  <c:v>836</c:v>
                </c:pt>
                <c:pt idx="84">
                  <c:v>837</c:v>
                </c:pt>
                <c:pt idx="85">
                  <c:v>838</c:v>
                </c:pt>
                <c:pt idx="86">
                  <c:v>838</c:v>
                </c:pt>
                <c:pt idx="87">
                  <c:v>838</c:v>
                </c:pt>
                <c:pt idx="88">
                  <c:v>838</c:v>
                </c:pt>
                <c:pt idx="89">
                  <c:v>838</c:v>
                </c:pt>
                <c:pt idx="90">
                  <c:v>838</c:v>
                </c:pt>
                <c:pt idx="91">
                  <c:v>838</c:v>
                </c:pt>
                <c:pt idx="92">
                  <c:v>838</c:v>
                </c:pt>
                <c:pt idx="93">
                  <c:v>838</c:v>
                </c:pt>
                <c:pt idx="94">
                  <c:v>838</c:v>
                </c:pt>
                <c:pt idx="95">
                  <c:v>838</c:v>
                </c:pt>
                <c:pt idx="96">
                  <c:v>839</c:v>
                </c:pt>
                <c:pt idx="97">
                  <c:v>839</c:v>
                </c:pt>
                <c:pt idx="98">
                  <c:v>839</c:v>
                </c:pt>
                <c:pt idx="99">
                  <c:v>839</c:v>
                </c:pt>
                <c:pt idx="100">
                  <c:v>839</c:v>
                </c:pt>
                <c:pt idx="101">
                  <c:v>839</c:v>
                </c:pt>
                <c:pt idx="102">
                  <c:v>839</c:v>
                </c:pt>
                <c:pt idx="103">
                  <c:v>839</c:v>
                </c:pt>
                <c:pt idx="104">
                  <c:v>839</c:v>
                </c:pt>
                <c:pt idx="105">
                  <c:v>840</c:v>
                </c:pt>
                <c:pt idx="106">
                  <c:v>840</c:v>
                </c:pt>
                <c:pt idx="107">
                  <c:v>841</c:v>
                </c:pt>
                <c:pt idx="108">
                  <c:v>841</c:v>
                </c:pt>
                <c:pt idx="109">
                  <c:v>841</c:v>
                </c:pt>
                <c:pt idx="110">
                  <c:v>842</c:v>
                </c:pt>
                <c:pt idx="111">
                  <c:v>843</c:v>
                </c:pt>
                <c:pt idx="112">
                  <c:v>843</c:v>
                </c:pt>
                <c:pt idx="113">
                  <c:v>843</c:v>
                </c:pt>
                <c:pt idx="114">
                  <c:v>843</c:v>
                </c:pt>
                <c:pt idx="115">
                  <c:v>843</c:v>
                </c:pt>
                <c:pt idx="116">
                  <c:v>843</c:v>
                </c:pt>
                <c:pt idx="117">
                  <c:v>843</c:v>
                </c:pt>
                <c:pt idx="118">
                  <c:v>843</c:v>
                </c:pt>
                <c:pt idx="119">
                  <c:v>843</c:v>
                </c:pt>
                <c:pt idx="120">
                  <c:v>843</c:v>
                </c:pt>
                <c:pt idx="121">
                  <c:v>843</c:v>
                </c:pt>
                <c:pt idx="122">
                  <c:v>843</c:v>
                </c:pt>
                <c:pt idx="123">
                  <c:v>843</c:v>
                </c:pt>
                <c:pt idx="124">
                  <c:v>843</c:v>
                </c:pt>
                <c:pt idx="125">
                  <c:v>843</c:v>
                </c:pt>
                <c:pt idx="126">
                  <c:v>843</c:v>
                </c:pt>
                <c:pt idx="127">
                  <c:v>843</c:v>
                </c:pt>
                <c:pt idx="128">
                  <c:v>844</c:v>
                </c:pt>
                <c:pt idx="129">
                  <c:v>844</c:v>
                </c:pt>
                <c:pt idx="130">
                  <c:v>844</c:v>
                </c:pt>
                <c:pt idx="131">
                  <c:v>844</c:v>
                </c:pt>
                <c:pt idx="132">
                  <c:v>844</c:v>
                </c:pt>
                <c:pt idx="133">
                  <c:v>844</c:v>
                </c:pt>
                <c:pt idx="134">
                  <c:v>844</c:v>
                </c:pt>
                <c:pt idx="135">
                  <c:v>844</c:v>
                </c:pt>
                <c:pt idx="136">
                  <c:v>844</c:v>
                </c:pt>
                <c:pt idx="137">
                  <c:v>844</c:v>
                </c:pt>
                <c:pt idx="138">
                  <c:v>844</c:v>
                </c:pt>
                <c:pt idx="139">
                  <c:v>845</c:v>
                </c:pt>
                <c:pt idx="140">
                  <c:v>846</c:v>
                </c:pt>
                <c:pt idx="141">
                  <c:v>846</c:v>
                </c:pt>
                <c:pt idx="142">
                  <c:v>846</c:v>
                </c:pt>
                <c:pt idx="143">
                  <c:v>846</c:v>
                </c:pt>
                <c:pt idx="144">
                  <c:v>846</c:v>
                </c:pt>
                <c:pt idx="145">
                  <c:v>847</c:v>
                </c:pt>
                <c:pt idx="146">
                  <c:v>847</c:v>
                </c:pt>
                <c:pt idx="147">
                  <c:v>847</c:v>
                </c:pt>
                <c:pt idx="148">
                  <c:v>847</c:v>
                </c:pt>
                <c:pt idx="149">
                  <c:v>847</c:v>
                </c:pt>
                <c:pt idx="150">
                  <c:v>847</c:v>
                </c:pt>
                <c:pt idx="151">
                  <c:v>847</c:v>
                </c:pt>
                <c:pt idx="152">
                  <c:v>847</c:v>
                </c:pt>
                <c:pt idx="153">
                  <c:v>847</c:v>
                </c:pt>
                <c:pt idx="154">
                  <c:v>847</c:v>
                </c:pt>
                <c:pt idx="155">
                  <c:v>847</c:v>
                </c:pt>
                <c:pt idx="156">
                  <c:v>848</c:v>
                </c:pt>
                <c:pt idx="157">
                  <c:v>848</c:v>
                </c:pt>
                <c:pt idx="158">
                  <c:v>848</c:v>
                </c:pt>
                <c:pt idx="159">
                  <c:v>848</c:v>
                </c:pt>
                <c:pt idx="160">
                  <c:v>848</c:v>
                </c:pt>
                <c:pt idx="161">
                  <c:v>848</c:v>
                </c:pt>
                <c:pt idx="162">
                  <c:v>848</c:v>
                </c:pt>
                <c:pt idx="163">
                  <c:v>848</c:v>
                </c:pt>
                <c:pt idx="164">
                  <c:v>848</c:v>
                </c:pt>
                <c:pt idx="165">
                  <c:v>848</c:v>
                </c:pt>
                <c:pt idx="166">
                  <c:v>848</c:v>
                </c:pt>
                <c:pt idx="167">
                  <c:v>848</c:v>
                </c:pt>
                <c:pt idx="168">
                  <c:v>848</c:v>
                </c:pt>
                <c:pt idx="169">
                  <c:v>848</c:v>
                </c:pt>
                <c:pt idx="170">
                  <c:v>848</c:v>
                </c:pt>
                <c:pt idx="171">
                  <c:v>848</c:v>
                </c:pt>
                <c:pt idx="172">
                  <c:v>848</c:v>
                </c:pt>
                <c:pt idx="173">
                  <c:v>848</c:v>
                </c:pt>
                <c:pt idx="174">
                  <c:v>848</c:v>
                </c:pt>
                <c:pt idx="175">
                  <c:v>848</c:v>
                </c:pt>
                <c:pt idx="176">
                  <c:v>850</c:v>
                </c:pt>
                <c:pt idx="177">
                  <c:v>850</c:v>
                </c:pt>
                <c:pt idx="178">
                  <c:v>850</c:v>
                </c:pt>
                <c:pt idx="179">
                  <c:v>850</c:v>
                </c:pt>
                <c:pt idx="180">
                  <c:v>850</c:v>
                </c:pt>
                <c:pt idx="181">
                  <c:v>850</c:v>
                </c:pt>
                <c:pt idx="182">
                  <c:v>850</c:v>
                </c:pt>
                <c:pt idx="183">
                  <c:v>851</c:v>
                </c:pt>
                <c:pt idx="184">
                  <c:v>851</c:v>
                </c:pt>
                <c:pt idx="185">
                  <c:v>851</c:v>
                </c:pt>
                <c:pt idx="186">
                  <c:v>851</c:v>
                </c:pt>
                <c:pt idx="187">
                  <c:v>851</c:v>
                </c:pt>
                <c:pt idx="188">
                  <c:v>852</c:v>
                </c:pt>
                <c:pt idx="189">
                  <c:v>852</c:v>
                </c:pt>
                <c:pt idx="190">
                  <c:v>852</c:v>
                </c:pt>
                <c:pt idx="191">
                  <c:v>852</c:v>
                </c:pt>
                <c:pt idx="192">
                  <c:v>852</c:v>
                </c:pt>
                <c:pt idx="193">
                  <c:v>852</c:v>
                </c:pt>
                <c:pt idx="194">
                  <c:v>852</c:v>
                </c:pt>
                <c:pt idx="195">
                  <c:v>852</c:v>
                </c:pt>
                <c:pt idx="196">
                  <c:v>853</c:v>
                </c:pt>
                <c:pt idx="197">
                  <c:v>853</c:v>
                </c:pt>
                <c:pt idx="198">
                  <c:v>854</c:v>
                </c:pt>
                <c:pt idx="199">
                  <c:v>854</c:v>
                </c:pt>
                <c:pt idx="200">
                  <c:v>854</c:v>
                </c:pt>
                <c:pt idx="201">
                  <c:v>854</c:v>
                </c:pt>
                <c:pt idx="202">
                  <c:v>854</c:v>
                </c:pt>
                <c:pt idx="203">
                  <c:v>856</c:v>
                </c:pt>
                <c:pt idx="204">
                  <c:v>856</c:v>
                </c:pt>
                <c:pt idx="205">
                  <c:v>856</c:v>
                </c:pt>
                <c:pt idx="206">
                  <c:v>856</c:v>
                </c:pt>
                <c:pt idx="207">
                  <c:v>856</c:v>
                </c:pt>
                <c:pt idx="208">
                  <c:v>857</c:v>
                </c:pt>
                <c:pt idx="209">
                  <c:v>857</c:v>
                </c:pt>
                <c:pt idx="210">
                  <c:v>858</c:v>
                </c:pt>
                <c:pt idx="211">
                  <c:v>858</c:v>
                </c:pt>
                <c:pt idx="212">
                  <c:v>858</c:v>
                </c:pt>
                <c:pt idx="213">
                  <c:v>858</c:v>
                </c:pt>
                <c:pt idx="214">
                  <c:v>858</c:v>
                </c:pt>
                <c:pt idx="215">
                  <c:v>858</c:v>
                </c:pt>
                <c:pt idx="216">
                  <c:v>858</c:v>
                </c:pt>
                <c:pt idx="217">
                  <c:v>858</c:v>
                </c:pt>
                <c:pt idx="218">
                  <c:v>859</c:v>
                </c:pt>
                <c:pt idx="219">
                  <c:v>859</c:v>
                </c:pt>
                <c:pt idx="220">
                  <c:v>859</c:v>
                </c:pt>
                <c:pt idx="221">
                  <c:v>859</c:v>
                </c:pt>
                <c:pt idx="222">
                  <c:v>859</c:v>
                </c:pt>
                <c:pt idx="223">
                  <c:v>859</c:v>
                </c:pt>
                <c:pt idx="224">
                  <c:v>859</c:v>
                </c:pt>
                <c:pt idx="225">
                  <c:v>860</c:v>
                </c:pt>
                <c:pt idx="226">
                  <c:v>862</c:v>
                </c:pt>
                <c:pt idx="227">
                  <c:v>862</c:v>
                </c:pt>
                <c:pt idx="228">
                  <c:v>862</c:v>
                </c:pt>
                <c:pt idx="229">
                  <c:v>862</c:v>
                </c:pt>
                <c:pt idx="230">
                  <c:v>862</c:v>
                </c:pt>
                <c:pt idx="231">
                  <c:v>862</c:v>
                </c:pt>
                <c:pt idx="232">
                  <c:v>862</c:v>
                </c:pt>
                <c:pt idx="233">
                  <c:v>862</c:v>
                </c:pt>
                <c:pt idx="234">
                  <c:v>862</c:v>
                </c:pt>
                <c:pt idx="235">
                  <c:v>862</c:v>
                </c:pt>
                <c:pt idx="236">
                  <c:v>862</c:v>
                </c:pt>
                <c:pt idx="237">
                  <c:v>862</c:v>
                </c:pt>
                <c:pt idx="238">
                  <c:v>863</c:v>
                </c:pt>
                <c:pt idx="239">
                  <c:v>863</c:v>
                </c:pt>
                <c:pt idx="240">
                  <c:v>864</c:v>
                </c:pt>
                <c:pt idx="241">
                  <c:v>864</c:v>
                </c:pt>
                <c:pt idx="242">
                  <c:v>864</c:v>
                </c:pt>
                <c:pt idx="243">
                  <c:v>864</c:v>
                </c:pt>
                <c:pt idx="244">
                  <c:v>866</c:v>
                </c:pt>
                <c:pt idx="245">
                  <c:v>866</c:v>
                </c:pt>
                <c:pt idx="246">
                  <c:v>866</c:v>
                </c:pt>
                <c:pt idx="247">
                  <c:v>867</c:v>
                </c:pt>
                <c:pt idx="248">
                  <c:v>867</c:v>
                </c:pt>
                <c:pt idx="249">
                  <c:v>867</c:v>
                </c:pt>
                <c:pt idx="250">
                  <c:v>867</c:v>
                </c:pt>
                <c:pt idx="251">
                  <c:v>867</c:v>
                </c:pt>
                <c:pt idx="252">
                  <c:v>868</c:v>
                </c:pt>
                <c:pt idx="253">
                  <c:v>868</c:v>
                </c:pt>
                <c:pt idx="254">
                  <c:v>868</c:v>
                </c:pt>
                <c:pt idx="255">
                  <c:v>868</c:v>
                </c:pt>
                <c:pt idx="256">
                  <c:v>868</c:v>
                </c:pt>
                <c:pt idx="257">
                  <c:v>869</c:v>
                </c:pt>
                <c:pt idx="258">
                  <c:v>870</c:v>
                </c:pt>
                <c:pt idx="259">
                  <c:v>873</c:v>
                </c:pt>
                <c:pt idx="260">
                  <c:v>874</c:v>
                </c:pt>
                <c:pt idx="261">
                  <c:v>875</c:v>
                </c:pt>
                <c:pt idx="262">
                  <c:v>875</c:v>
                </c:pt>
                <c:pt idx="263">
                  <c:v>875</c:v>
                </c:pt>
                <c:pt idx="264">
                  <c:v>876</c:v>
                </c:pt>
                <c:pt idx="265">
                  <c:v>877</c:v>
                </c:pt>
                <c:pt idx="266">
                  <c:v>877</c:v>
                </c:pt>
                <c:pt idx="267">
                  <c:v>877</c:v>
                </c:pt>
                <c:pt idx="268">
                  <c:v>878</c:v>
                </c:pt>
                <c:pt idx="269">
                  <c:v>878</c:v>
                </c:pt>
                <c:pt idx="270">
                  <c:v>878</c:v>
                </c:pt>
                <c:pt idx="271">
                  <c:v>879</c:v>
                </c:pt>
                <c:pt idx="272">
                  <c:v>879</c:v>
                </c:pt>
                <c:pt idx="273">
                  <c:v>881</c:v>
                </c:pt>
                <c:pt idx="274">
                  <c:v>883</c:v>
                </c:pt>
                <c:pt idx="275">
                  <c:v>883</c:v>
                </c:pt>
                <c:pt idx="276">
                  <c:v>883</c:v>
                </c:pt>
                <c:pt idx="277">
                  <c:v>883</c:v>
                </c:pt>
                <c:pt idx="278">
                  <c:v>885</c:v>
                </c:pt>
                <c:pt idx="279">
                  <c:v>885</c:v>
                </c:pt>
                <c:pt idx="280">
                  <c:v>885</c:v>
                </c:pt>
                <c:pt idx="281">
                  <c:v>886</c:v>
                </c:pt>
                <c:pt idx="282">
                  <c:v>887</c:v>
                </c:pt>
                <c:pt idx="283">
                  <c:v>887</c:v>
                </c:pt>
                <c:pt idx="284">
                  <c:v>887</c:v>
                </c:pt>
                <c:pt idx="285">
                  <c:v>887</c:v>
                </c:pt>
                <c:pt idx="286">
                  <c:v>887</c:v>
                </c:pt>
                <c:pt idx="287">
                  <c:v>887</c:v>
                </c:pt>
                <c:pt idx="288">
                  <c:v>888</c:v>
                </c:pt>
                <c:pt idx="289">
                  <c:v>890</c:v>
                </c:pt>
                <c:pt idx="290">
                  <c:v>890</c:v>
                </c:pt>
                <c:pt idx="291">
                  <c:v>890</c:v>
                </c:pt>
                <c:pt idx="292">
                  <c:v>891</c:v>
                </c:pt>
                <c:pt idx="293">
                  <c:v>891</c:v>
                </c:pt>
                <c:pt idx="294">
                  <c:v>891</c:v>
                </c:pt>
                <c:pt idx="295">
                  <c:v>891</c:v>
                </c:pt>
                <c:pt idx="296">
                  <c:v>892</c:v>
                </c:pt>
                <c:pt idx="297">
                  <c:v>892</c:v>
                </c:pt>
                <c:pt idx="298">
                  <c:v>892</c:v>
                </c:pt>
                <c:pt idx="299">
                  <c:v>892</c:v>
                </c:pt>
                <c:pt idx="300">
                  <c:v>892</c:v>
                </c:pt>
                <c:pt idx="301">
                  <c:v>893</c:v>
                </c:pt>
                <c:pt idx="302">
                  <c:v>893</c:v>
                </c:pt>
                <c:pt idx="303">
                  <c:v>897</c:v>
                </c:pt>
                <c:pt idx="304">
                  <c:v>897</c:v>
                </c:pt>
                <c:pt idx="305">
                  <c:v>898</c:v>
                </c:pt>
                <c:pt idx="306">
                  <c:v>898</c:v>
                </c:pt>
                <c:pt idx="307">
                  <c:v>901</c:v>
                </c:pt>
                <c:pt idx="308">
                  <c:v>901</c:v>
                </c:pt>
                <c:pt idx="309">
                  <c:v>903</c:v>
                </c:pt>
                <c:pt idx="310">
                  <c:v>903</c:v>
                </c:pt>
                <c:pt idx="311">
                  <c:v>903</c:v>
                </c:pt>
                <c:pt idx="312">
                  <c:v>903</c:v>
                </c:pt>
                <c:pt idx="313">
                  <c:v>905</c:v>
                </c:pt>
                <c:pt idx="314">
                  <c:v>906</c:v>
                </c:pt>
                <c:pt idx="315">
                  <c:v>906</c:v>
                </c:pt>
                <c:pt idx="316">
                  <c:v>907</c:v>
                </c:pt>
                <c:pt idx="317">
                  <c:v>907</c:v>
                </c:pt>
                <c:pt idx="318">
                  <c:v>907</c:v>
                </c:pt>
                <c:pt idx="319">
                  <c:v>907</c:v>
                </c:pt>
                <c:pt idx="320">
                  <c:v>908</c:v>
                </c:pt>
                <c:pt idx="321">
                  <c:v>908</c:v>
                </c:pt>
                <c:pt idx="322">
                  <c:v>910</c:v>
                </c:pt>
                <c:pt idx="323">
                  <c:v>910</c:v>
                </c:pt>
                <c:pt idx="324">
                  <c:v>910</c:v>
                </c:pt>
                <c:pt idx="325">
                  <c:v>910</c:v>
                </c:pt>
                <c:pt idx="326">
                  <c:v>910</c:v>
                </c:pt>
                <c:pt idx="327">
                  <c:v>912</c:v>
                </c:pt>
                <c:pt idx="328">
                  <c:v>912</c:v>
                </c:pt>
                <c:pt idx="329">
                  <c:v>912</c:v>
                </c:pt>
                <c:pt idx="330">
                  <c:v>913</c:v>
                </c:pt>
                <c:pt idx="331">
                  <c:v>916</c:v>
                </c:pt>
                <c:pt idx="332">
                  <c:v>916</c:v>
                </c:pt>
                <c:pt idx="333">
                  <c:v>916</c:v>
                </c:pt>
                <c:pt idx="334">
                  <c:v>916</c:v>
                </c:pt>
                <c:pt idx="335">
                  <c:v>918</c:v>
                </c:pt>
                <c:pt idx="336">
                  <c:v>918</c:v>
                </c:pt>
                <c:pt idx="337">
                  <c:v>919</c:v>
                </c:pt>
                <c:pt idx="338">
                  <c:v>920</c:v>
                </c:pt>
                <c:pt idx="339">
                  <c:v>920</c:v>
                </c:pt>
                <c:pt idx="340">
                  <c:v>920</c:v>
                </c:pt>
                <c:pt idx="341">
                  <c:v>920</c:v>
                </c:pt>
                <c:pt idx="342">
                  <c:v>920</c:v>
                </c:pt>
                <c:pt idx="343">
                  <c:v>922</c:v>
                </c:pt>
                <c:pt idx="344">
                  <c:v>922</c:v>
                </c:pt>
                <c:pt idx="345">
                  <c:v>922</c:v>
                </c:pt>
                <c:pt idx="346">
                  <c:v>922</c:v>
                </c:pt>
                <c:pt idx="347">
                  <c:v>922</c:v>
                </c:pt>
                <c:pt idx="348">
                  <c:v>923</c:v>
                </c:pt>
                <c:pt idx="349">
                  <c:v>923</c:v>
                </c:pt>
                <c:pt idx="350">
                  <c:v>924</c:v>
                </c:pt>
                <c:pt idx="351">
                  <c:v>925</c:v>
                </c:pt>
                <c:pt idx="352">
                  <c:v>929</c:v>
                </c:pt>
                <c:pt idx="353">
                  <c:v>929</c:v>
                </c:pt>
                <c:pt idx="354">
                  <c:v>929</c:v>
                </c:pt>
                <c:pt idx="355">
                  <c:v>929</c:v>
                </c:pt>
                <c:pt idx="356">
                  <c:v>929</c:v>
                </c:pt>
                <c:pt idx="357">
                  <c:v>929</c:v>
                </c:pt>
                <c:pt idx="358">
                  <c:v>929</c:v>
                </c:pt>
                <c:pt idx="359">
                  <c:v>932</c:v>
                </c:pt>
                <c:pt idx="360">
                  <c:v>932</c:v>
                </c:pt>
                <c:pt idx="361">
                  <c:v>932</c:v>
                </c:pt>
                <c:pt idx="362">
                  <c:v>932</c:v>
                </c:pt>
                <c:pt idx="363">
                  <c:v>933</c:v>
                </c:pt>
                <c:pt idx="364">
                  <c:v>933</c:v>
                </c:pt>
                <c:pt idx="365">
                  <c:v>938</c:v>
                </c:pt>
                <c:pt idx="366">
                  <c:v>939</c:v>
                </c:pt>
                <c:pt idx="367">
                  <c:v>939</c:v>
                </c:pt>
                <c:pt idx="368">
                  <c:v>939</c:v>
                </c:pt>
                <c:pt idx="369">
                  <c:v>939</c:v>
                </c:pt>
                <c:pt idx="370">
                  <c:v>939</c:v>
                </c:pt>
                <c:pt idx="371">
                  <c:v>939</c:v>
                </c:pt>
                <c:pt idx="372">
                  <c:v>940</c:v>
                </c:pt>
                <c:pt idx="373">
                  <c:v>941</c:v>
                </c:pt>
                <c:pt idx="374">
                  <c:v>941</c:v>
                </c:pt>
                <c:pt idx="375">
                  <c:v>941</c:v>
                </c:pt>
                <c:pt idx="376">
                  <c:v>941</c:v>
                </c:pt>
                <c:pt idx="377">
                  <c:v>941</c:v>
                </c:pt>
                <c:pt idx="378">
                  <c:v>941</c:v>
                </c:pt>
                <c:pt idx="379">
                  <c:v>942</c:v>
                </c:pt>
                <c:pt idx="380">
                  <c:v>942</c:v>
                </c:pt>
                <c:pt idx="381">
                  <c:v>942</c:v>
                </c:pt>
                <c:pt idx="382">
                  <c:v>942</c:v>
                </c:pt>
                <c:pt idx="383">
                  <c:v>942</c:v>
                </c:pt>
                <c:pt idx="384">
                  <c:v>942</c:v>
                </c:pt>
                <c:pt idx="385">
                  <c:v>942</c:v>
                </c:pt>
                <c:pt idx="386">
                  <c:v>942</c:v>
                </c:pt>
                <c:pt idx="387">
                  <c:v>942</c:v>
                </c:pt>
                <c:pt idx="388">
                  <c:v>942</c:v>
                </c:pt>
                <c:pt idx="389">
                  <c:v>942</c:v>
                </c:pt>
                <c:pt idx="390">
                  <c:v>942</c:v>
                </c:pt>
                <c:pt idx="391">
                  <c:v>942</c:v>
                </c:pt>
                <c:pt idx="392">
                  <c:v>942</c:v>
                </c:pt>
                <c:pt idx="393">
                  <c:v>943</c:v>
                </c:pt>
                <c:pt idx="394">
                  <c:v>945</c:v>
                </c:pt>
                <c:pt idx="395">
                  <c:v>945</c:v>
                </c:pt>
                <c:pt idx="396">
                  <c:v>945</c:v>
                </c:pt>
                <c:pt idx="397">
                  <c:v>950</c:v>
                </c:pt>
                <c:pt idx="398">
                  <c:v>952</c:v>
                </c:pt>
                <c:pt idx="399">
                  <c:v>952</c:v>
                </c:pt>
                <c:pt idx="400">
                  <c:v>953</c:v>
                </c:pt>
                <c:pt idx="401">
                  <c:v>954</c:v>
                </c:pt>
                <c:pt idx="402">
                  <c:v>954</c:v>
                </c:pt>
                <c:pt idx="403">
                  <c:v>954</c:v>
                </c:pt>
                <c:pt idx="404">
                  <c:v>954</c:v>
                </c:pt>
                <c:pt idx="405">
                  <c:v>954</c:v>
                </c:pt>
                <c:pt idx="406">
                  <c:v>954</c:v>
                </c:pt>
                <c:pt idx="407">
                  <c:v>955</c:v>
                </c:pt>
                <c:pt idx="408">
                  <c:v>955</c:v>
                </c:pt>
                <c:pt idx="409">
                  <c:v>955</c:v>
                </c:pt>
                <c:pt idx="410">
                  <c:v>955</c:v>
                </c:pt>
                <c:pt idx="411">
                  <c:v>956</c:v>
                </c:pt>
                <c:pt idx="412">
                  <c:v>957</c:v>
                </c:pt>
                <c:pt idx="413">
                  <c:v>958</c:v>
                </c:pt>
                <c:pt idx="414">
                  <c:v>959</c:v>
                </c:pt>
                <c:pt idx="415">
                  <c:v>959</c:v>
                </c:pt>
                <c:pt idx="416">
                  <c:v>959</c:v>
                </c:pt>
                <c:pt idx="417">
                  <c:v>959</c:v>
                </c:pt>
                <c:pt idx="418">
                  <c:v>959</c:v>
                </c:pt>
                <c:pt idx="419">
                  <c:v>960</c:v>
                </c:pt>
                <c:pt idx="420">
                  <c:v>960</c:v>
                </c:pt>
                <c:pt idx="421">
                  <c:v>962</c:v>
                </c:pt>
                <c:pt idx="422">
                  <c:v>962</c:v>
                </c:pt>
                <c:pt idx="423">
                  <c:v>962</c:v>
                </c:pt>
                <c:pt idx="424">
                  <c:v>962</c:v>
                </c:pt>
                <c:pt idx="425">
                  <c:v>964</c:v>
                </c:pt>
                <c:pt idx="426">
                  <c:v>965</c:v>
                </c:pt>
                <c:pt idx="427">
                  <c:v>967</c:v>
                </c:pt>
                <c:pt idx="428">
                  <c:v>969</c:v>
                </c:pt>
                <c:pt idx="429">
                  <c:v>969</c:v>
                </c:pt>
                <c:pt idx="430">
                  <c:v>969</c:v>
                </c:pt>
                <c:pt idx="431">
                  <c:v>969</c:v>
                </c:pt>
                <c:pt idx="432">
                  <c:v>970</c:v>
                </c:pt>
                <c:pt idx="433">
                  <c:v>972</c:v>
                </c:pt>
                <c:pt idx="434">
                  <c:v>972</c:v>
                </c:pt>
                <c:pt idx="435">
                  <c:v>974</c:v>
                </c:pt>
                <c:pt idx="436">
                  <c:v>974</c:v>
                </c:pt>
                <c:pt idx="437">
                  <c:v>974</c:v>
                </c:pt>
                <c:pt idx="438">
                  <c:v>974</c:v>
                </c:pt>
                <c:pt idx="439">
                  <c:v>975</c:v>
                </c:pt>
                <c:pt idx="440">
                  <c:v>975</c:v>
                </c:pt>
                <c:pt idx="441">
                  <c:v>976</c:v>
                </c:pt>
                <c:pt idx="442">
                  <c:v>978</c:v>
                </c:pt>
                <c:pt idx="443">
                  <c:v>978</c:v>
                </c:pt>
                <c:pt idx="444">
                  <c:v>978</c:v>
                </c:pt>
                <c:pt idx="445">
                  <c:v>978</c:v>
                </c:pt>
                <c:pt idx="446">
                  <c:v>978</c:v>
                </c:pt>
                <c:pt idx="447">
                  <c:v>979</c:v>
                </c:pt>
                <c:pt idx="448">
                  <c:v>979</c:v>
                </c:pt>
                <c:pt idx="449">
                  <c:v>981</c:v>
                </c:pt>
                <c:pt idx="450">
                  <c:v>981</c:v>
                </c:pt>
                <c:pt idx="451">
                  <c:v>981</c:v>
                </c:pt>
                <c:pt idx="452">
                  <c:v>981</c:v>
                </c:pt>
                <c:pt idx="453">
                  <c:v>981</c:v>
                </c:pt>
                <c:pt idx="454">
                  <c:v>981</c:v>
                </c:pt>
                <c:pt idx="455">
                  <c:v>981</c:v>
                </c:pt>
                <c:pt idx="456">
                  <c:v>981</c:v>
                </c:pt>
                <c:pt idx="457">
                  <c:v>981</c:v>
                </c:pt>
                <c:pt idx="458">
                  <c:v>981</c:v>
                </c:pt>
                <c:pt idx="459">
                  <c:v>981</c:v>
                </c:pt>
                <c:pt idx="460">
                  <c:v>981</c:v>
                </c:pt>
                <c:pt idx="461">
                  <c:v>981</c:v>
                </c:pt>
                <c:pt idx="462">
                  <c:v>981</c:v>
                </c:pt>
                <c:pt idx="463">
                  <c:v>981</c:v>
                </c:pt>
                <c:pt idx="464">
                  <c:v>981</c:v>
                </c:pt>
                <c:pt idx="465">
                  <c:v>981</c:v>
                </c:pt>
                <c:pt idx="466">
                  <c:v>981</c:v>
                </c:pt>
                <c:pt idx="467">
                  <c:v>982</c:v>
                </c:pt>
                <c:pt idx="468">
                  <c:v>983</c:v>
                </c:pt>
                <c:pt idx="469">
                  <c:v>983</c:v>
                </c:pt>
                <c:pt idx="470">
                  <c:v>984</c:v>
                </c:pt>
                <c:pt idx="471">
                  <c:v>985</c:v>
                </c:pt>
                <c:pt idx="472">
                  <c:v>985</c:v>
                </c:pt>
                <c:pt idx="473">
                  <c:v>985</c:v>
                </c:pt>
                <c:pt idx="474">
                  <c:v>986</c:v>
                </c:pt>
                <c:pt idx="475">
                  <c:v>986</c:v>
                </c:pt>
                <c:pt idx="476">
                  <c:v>986</c:v>
                </c:pt>
                <c:pt idx="477">
                  <c:v>986</c:v>
                </c:pt>
                <c:pt idx="478">
                  <c:v>987</c:v>
                </c:pt>
                <c:pt idx="479">
                  <c:v>987</c:v>
                </c:pt>
                <c:pt idx="480">
                  <c:v>987</c:v>
                </c:pt>
                <c:pt idx="481">
                  <c:v>987</c:v>
                </c:pt>
                <c:pt idx="482">
                  <c:v>987</c:v>
                </c:pt>
                <c:pt idx="483">
                  <c:v>987</c:v>
                </c:pt>
                <c:pt idx="484">
                  <c:v>987</c:v>
                </c:pt>
                <c:pt idx="485">
                  <c:v>987</c:v>
                </c:pt>
                <c:pt idx="486">
                  <c:v>987</c:v>
                </c:pt>
                <c:pt idx="487">
                  <c:v>987</c:v>
                </c:pt>
                <c:pt idx="488">
                  <c:v>987</c:v>
                </c:pt>
                <c:pt idx="489">
                  <c:v>987</c:v>
                </c:pt>
                <c:pt idx="490">
                  <c:v>988</c:v>
                </c:pt>
                <c:pt idx="491">
                  <c:v>988</c:v>
                </c:pt>
                <c:pt idx="492">
                  <c:v>988</c:v>
                </c:pt>
                <c:pt idx="493">
                  <c:v>988</c:v>
                </c:pt>
                <c:pt idx="494">
                  <c:v>988</c:v>
                </c:pt>
                <c:pt idx="495">
                  <c:v>988</c:v>
                </c:pt>
                <c:pt idx="496">
                  <c:v>988</c:v>
                </c:pt>
                <c:pt idx="497">
                  <c:v>988</c:v>
                </c:pt>
                <c:pt idx="498">
                  <c:v>988</c:v>
                </c:pt>
                <c:pt idx="499">
                  <c:v>988</c:v>
                </c:pt>
                <c:pt idx="500">
                  <c:v>988</c:v>
                </c:pt>
                <c:pt idx="501">
                  <c:v>988</c:v>
                </c:pt>
                <c:pt idx="502">
                  <c:v>988</c:v>
                </c:pt>
                <c:pt idx="503">
                  <c:v>989</c:v>
                </c:pt>
                <c:pt idx="504">
                  <c:v>989</c:v>
                </c:pt>
                <c:pt idx="505">
                  <c:v>990</c:v>
                </c:pt>
                <c:pt idx="506">
                  <c:v>990</c:v>
                </c:pt>
                <c:pt idx="507">
                  <c:v>990</c:v>
                </c:pt>
                <c:pt idx="508">
                  <c:v>990</c:v>
                </c:pt>
                <c:pt idx="509">
                  <c:v>990</c:v>
                </c:pt>
                <c:pt idx="510">
                  <c:v>990</c:v>
                </c:pt>
                <c:pt idx="511">
                  <c:v>990</c:v>
                </c:pt>
                <c:pt idx="512">
                  <c:v>991</c:v>
                </c:pt>
                <c:pt idx="513">
                  <c:v>992</c:v>
                </c:pt>
                <c:pt idx="514">
                  <c:v>992</c:v>
                </c:pt>
                <c:pt idx="515">
                  <c:v>992</c:v>
                </c:pt>
                <c:pt idx="516">
                  <c:v>993</c:v>
                </c:pt>
                <c:pt idx="517">
                  <c:v>994</c:v>
                </c:pt>
                <c:pt idx="518">
                  <c:v>994</c:v>
                </c:pt>
                <c:pt idx="519">
                  <c:v>994</c:v>
                </c:pt>
                <c:pt idx="520">
                  <c:v>994</c:v>
                </c:pt>
                <c:pt idx="521">
                  <c:v>994</c:v>
                </c:pt>
                <c:pt idx="522">
                  <c:v>994</c:v>
                </c:pt>
                <c:pt idx="523">
                  <c:v>994</c:v>
                </c:pt>
                <c:pt idx="524">
                  <c:v>994</c:v>
                </c:pt>
                <c:pt idx="525">
                  <c:v>994</c:v>
                </c:pt>
                <c:pt idx="526">
                  <c:v>994</c:v>
                </c:pt>
                <c:pt idx="527">
                  <c:v>994</c:v>
                </c:pt>
                <c:pt idx="528">
                  <c:v>994</c:v>
                </c:pt>
                <c:pt idx="529">
                  <c:v>994</c:v>
                </c:pt>
                <c:pt idx="530">
                  <c:v>995</c:v>
                </c:pt>
                <c:pt idx="531">
                  <c:v>995</c:v>
                </c:pt>
                <c:pt idx="532">
                  <c:v>995</c:v>
                </c:pt>
                <c:pt idx="533">
                  <c:v>995</c:v>
                </c:pt>
                <c:pt idx="534">
                  <c:v>997</c:v>
                </c:pt>
                <c:pt idx="535">
                  <c:v>997</c:v>
                </c:pt>
                <c:pt idx="536">
                  <c:v>997</c:v>
                </c:pt>
                <c:pt idx="537">
                  <c:v>998</c:v>
                </c:pt>
                <c:pt idx="538">
                  <c:v>998</c:v>
                </c:pt>
                <c:pt idx="539">
                  <c:v>998</c:v>
                </c:pt>
                <c:pt idx="540">
                  <c:v>998</c:v>
                </c:pt>
                <c:pt idx="541">
                  <c:v>998</c:v>
                </c:pt>
                <c:pt idx="542">
                  <c:v>998</c:v>
                </c:pt>
                <c:pt idx="543">
                  <c:v>998</c:v>
                </c:pt>
                <c:pt idx="544">
                  <c:v>1000</c:v>
                </c:pt>
                <c:pt idx="545">
                  <c:v>1000</c:v>
                </c:pt>
                <c:pt idx="546">
                  <c:v>1000</c:v>
                </c:pt>
                <c:pt idx="547">
                  <c:v>1002</c:v>
                </c:pt>
                <c:pt idx="548">
                  <c:v>1006</c:v>
                </c:pt>
                <c:pt idx="549">
                  <c:v>1006</c:v>
                </c:pt>
                <c:pt idx="550">
                  <c:v>1006</c:v>
                </c:pt>
                <c:pt idx="551">
                  <c:v>1006</c:v>
                </c:pt>
                <c:pt idx="552">
                  <c:v>1006</c:v>
                </c:pt>
                <c:pt idx="553">
                  <c:v>1007</c:v>
                </c:pt>
                <c:pt idx="554">
                  <c:v>1008</c:v>
                </c:pt>
                <c:pt idx="555">
                  <c:v>1008</c:v>
                </c:pt>
                <c:pt idx="556">
                  <c:v>1008</c:v>
                </c:pt>
                <c:pt idx="557">
                  <c:v>1008</c:v>
                </c:pt>
                <c:pt idx="558">
                  <c:v>1008</c:v>
                </c:pt>
                <c:pt idx="559">
                  <c:v>1008</c:v>
                </c:pt>
                <c:pt idx="560">
                  <c:v>1008</c:v>
                </c:pt>
                <c:pt idx="561">
                  <c:v>1009</c:v>
                </c:pt>
                <c:pt idx="562">
                  <c:v>1009</c:v>
                </c:pt>
                <c:pt idx="563">
                  <c:v>1009</c:v>
                </c:pt>
                <c:pt idx="564">
                  <c:v>1009</c:v>
                </c:pt>
                <c:pt idx="565">
                  <c:v>1009</c:v>
                </c:pt>
                <c:pt idx="566">
                  <c:v>1009</c:v>
                </c:pt>
                <c:pt idx="567">
                  <c:v>1010</c:v>
                </c:pt>
                <c:pt idx="568">
                  <c:v>1010</c:v>
                </c:pt>
                <c:pt idx="569">
                  <c:v>1010</c:v>
                </c:pt>
                <c:pt idx="570">
                  <c:v>1010</c:v>
                </c:pt>
                <c:pt idx="571">
                  <c:v>1010</c:v>
                </c:pt>
                <c:pt idx="572">
                  <c:v>1010</c:v>
                </c:pt>
                <c:pt idx="573">
                  <c:v>1010</c:v>
                </c:pt>
                <c:pt idx="574">
                  <c:v>1010</c:v>
                </c:pt>
                <c:pt idx="575">
                  <c:v>1010</c:v>
                </c:pt>
                <c:pt idx="576">
                  <c:v>1013</c:v>
                </c:pt>
                <c:pt idx="577">
                  <c:v>1013</c:v>
                </c:pt>
                <c:pt idx="578">
                  <c:v>1013</c:v>
                </c:pt>
                <c:pt idx="579">
                  <c:v>1021</c:v>
                </c:pt>
                <c:pt idx="580">
                  <c:v>1021</c:v>
                </c:pt>
                <c:pt idx="581">
                  <c:v>1021</c:v>
                </c:pt>
                <c:pt idx="582">
                  <c:v>1022</c:v>
                </c:pt>
                <c:pt idx="583">
                  <c:v>1022</c:v>
                </c:pt>
                <c:pt idx="584">
                  <c:v>1022</c:v>
                </c:pt>
                <c:pt idx="585">
                  <c:v>1022</c:v>
                </c:pt>
                <c:pt idx="586">
                  <c:v>1022</c:v>
                </c:pt>
                <c:pt idx="587">
                  <c:v>1022</c:v>
                </c:pt>
                <c:pt idx="588">
                  <c:v>1022</c:v>
                </c:pt>
                <c:pt idx="589">
                  <c:v>1022</c:v>
                </c:pt>
                <c:pt idx="590">
                  <c:v>1023</c:v>
                </c:pt>
                <c:pt idx="591">
                  <c:v>1023</c:v>
                </c:pt>
                <c:pt idx="592">
                  <c:v>1023</c:v>
                </c:pt>
                <c:pt idx="593">
                  <c:v>1024</c:v>
                </c:pt>
                <c:pt idx="594">
                  <c:v>1025</c:v>
                </c:pt>
                <c:pt idx="595">
                  <c:v>1025</c:v>
                </c:pt>
                <c:pt idx="596">
                  <c:v>1025</c:v>
                </c:pt>
                <c:pt idx="597">
                  <c:v>1025</c:v>
                </c:pt>
                <c:pt idx="598">
                  <c:v>1025</c:v>
                </c:pt>
                <c:pt idx="599">
                  <c:v>1025</c:v>
                </c:pt>
                <c:pt idx="600">
                  <c:v>1025</c:v>
                </c:pt>
                <c:pt idx="601">
                  <c:v>1025</c:v>
                </c:pt>
                <c:pt idx="602">
                  <c:v>1026</c:v>
                </c:pt>
                <c:pt idx="603">
                  <c:v>1027</c:v>
                </c:pt>
                <c:pt idx="604">
                  <c:v>1028</c:v>
                </c:pt>
                <c:pt idx="605">
                  <c:v>1028</c:v>
                </c:pt>
                <c:pt idx="606">
                  <c:v>1028</c:v>
                </c:pt>
                <c:pt idx="607">
                  <c:v>1028</c:v>
                </c:pt>
                <c:pt idx="608">
                  <c:v>1029</c:v>
                </c:pt>
                <c:pt idx="609">
                  <c:v>1034</c:v>
                </c:pt>
                <c:pt idx="610">
                  <c:v>1036</c:v>
                </c:pt>
                <c:pt idx="611">
                  <c:v>1036</c:v>
                </c:pt>
                <c:pt idx="612">
                  <c:v>1036</c:v>
                </c:pt>
                <c:pt idx="613">
                  <c:v>1036</c:v>
                </c:pt>
                <c:pt idx="614">
                  <c:v>1036</c:v>
                </c:pt>
                <c:pt idx="615">
                  <c:v>1036</c:v>
                </c:pt>
                <c:pt idx="616">
                  <c:v>1037</c:v>
                </c:pt>
                <c:pt idx="617">
                  <c:v>1039</c:v>
                </c:pt>
                <c:pt idx="618">
                  <c:v>1040</c:v>
                </c:pt>
                <c:pt idx="619">
                  <c:v>1040</c:v>
                </c:pt>
                <c:pt idx="620">
                  <c:v>1040</c:v>
                </c:pt>
                <c:pt idx="621">
                  <c:v>1040</c:v>
                </c:pt>
                <c:pt idx="622">
                  <c:v>1040</c:v>
                </c:pt>
                <c:pt idx="623">
                  <c:v>1041</c:v>
                </c:pt>
                <c:pt idx="624">
                  <c:v>1047</c:v>
                </c:pt>
                <c:pt idx="625">
                  <c:v>1047</c:v>
                </c:pt>
                <c:pt idx="626">
                  <c:v>1047</c:v>
                </c:pt>
                <c:pt idx="627">
                  <c:v>1047</c:v>
                </c:pt>
                <c:pt idx="628">
                  <c:v>1048</c:v>
                </c:pt>
                <c:pt idx="629">
                  <c:v>1049</c:v>
                </c:pt>
                <c:pt idx="630">
                  <c:v>1050</c:v>
                </c:pt>
                <c:pt idx="631">
                  <c:v>1050</c:v>
                </c:pt>
                <c:pt idx="632">
                  <c:v>1051</c:v>
                </c:pt>
                <c:pt idx="633">
                  <c:v>1051</c:v>
                </c:pt>
                <c:pt idx="634">
                  <c:v>1051</c:v>
                </c:pt>
                <c:pt idx="635">
                  <c:v>1052</c:v>
                </c:pt>
                <c:pt idx="636">
                  <c:v>1053</c:v>
                </c:pt>
                <c:pt idx="637">
                  <c:v>1053</c:v>
                </c:pt>
                <c:pt idx="638">
                  <c:v>1057</c:v>
                </c:pt>
                <c:pt idx="639">
                  <c:v>1060</c:v>
                </c:pt>
                <c:pt idx="640">
                  <c:v>1060</c:v>
                </c:pt>
                <c:pt idx="641">
                  <c:v>1060</c:v>
                </c:pt>
                <c:pt idx="642">
                  <c:v>1060</c:v>
                </c:pt>
                <c:pt idx="643">
                  <c:v>1063</c:v>
                </c:pt>
                <c:pt idx="644">
                  <c:v>1065</c:v>
                </c:pt>
                <c:pt idx="645">
                  <c:v>1066</c:v>
                </c:pt>
                <c:pt idx="646">
                  <c:v>1068</c:v>
                </c:pt>
                <c:pt idx="647">
                  <c:v>1068</c:v>
                </c:pt>
                <c:pt idx="648">
                  <c:v>1068</c:v>
                </c:pt>
                <c:pt idx="649">
                  <c:v>1069</c:v>
                </c:pt>
                <c:pt idx="650">
                  <c:v>1069</c:v>
                </c:pt>
                <c:pt idx="651">
                  <c:v>1070</c:v>
                </c:pt>
                <c:pt idx="652">
                  <c:v>1071</c:v>
                </c:pt>
                <c:pt idx="653">
                  <c:v>1071</c:v>
                </c:pt>
                <c:pt idx="654">
                  <c:v>1071</c:v>
                </c:pt>
                <c:pt idx="655">
                  <c:v>1071</c:v>
                </c:pt>
                <c:pt idx="656">
                  <c:v>1071</c:v>
                </c:pt>
                <c:pt idx="657">
                  <c:v>1071</c:v>
                </c:pt>
                <c:pt idx="658">
                  <c:v>1071</c:v>
                </c:pt>
                <c:pt idx="659">
                  <c:v>1071</c:v>
                </c:pt>
                <c:pt idx="660">
                  <c:v>1072</c:v>
                </c:pt>
                <c:pt idx="661">
                  <c:v>1072</c:v>
                </c:pt>
                <c:pt idx="662">
                  <c:v>1072</c:v>
                </c:pt>
                <c:pt idx="663">
                  <c:v>1073</c:v>
                </c:pt>
                <c:pt idx="664">
                  <c:v>1073</c:v>
                </c:pt>
                <c:pt idx="665">
                  <c:v>1076</c:v>
                </c:pt>
                <c:pt idx="666">
                  <c:v>1077</c:v>
                </c:pt>
                <c:pt idx="667">
                  <c:v>1079</c:v>
                </c:pt>
                <c:pt idx="668">
                  <c:v>1079</c:v>
                </c:pt>
                <c:pt idx="669">
                  <c:v>1079</c:v>
                </c:pt>
                <c:pt idx="670">
                  <c:v>1081</c:v>
                </c:pt>
                <c:pt idx="671">
                  <c:v>1084</c:v>
                </c:pt>
                <c:pt idx="672">
                  <c:v>1084</c:v>
                </c:pt>
                <c:pt idx="673">
                  <c:v>1085</c:v>
                </c:pt>
                <c:pt idx="674">
                  <c:v>1086</c:v>
                </c:pt>
                <c:pt idx="675">
                  <c:v>1086</c:v>
                </c:pt>
                <c:pt idx="676">
                  <c:v>1086</c:v>
                </c:pt>
                <c:pt idx="677">
                  <c:v>1086</c:v>
                </c:pt>
                <c:pt idx="678">
                  <c:v>1088</c:v>
                </c:pt>
                <c:pt idx="679">
                  <c:v>1088</c:v>
                </c:pt>
                <c:pt idx="680">
                  <c:v>1088</c:v>
                </c:pt>
                <c:pt idx="681">
                  <c:v>1088</c:v>
                </c:pt>
                <c:pt idx="682">
                  <c:v>1088</c:v>
                </c:pt>
                <c:pt idx="683">
                  <c:v>1088</c:v>
                </c:pt>
                <c:pt idx="684">
                  <c:v>1092</c:v>
                </c:pt>
                <c:pt idx="685">
                  <c:v>1096</c:v>
                </c:pt>
                <c:pt idx="686">
                  <c:v>1100</c:v>
                </c:pt>
                <c:pt idx="687">
                  <c:v>1100</c:v>
                </c:pt>
                <c:pt idx="688">
                  <c:v>1101</c:v>
                </c:pt>
                <c:pt idx="689">
                  <c:v>1101</c:v>
                </c:pt>
                <c:pt idx="690">
                  <c:v>1101</c:v>
                </c:pt>
                <c:pt idx="691">
                  <c:v>1101</c:v>
                </c:pt>
                <c:pt idx="692">
                  <c:v>1102</c:v>
                </c:pt>
                <c:pt idx="693">
                  <c:v>1102</c:v>
                </c:pt>
                <c:pt idx="694">
                  <c:v>1104</c:v>
                </c:pt>
                <c:pt idx="695">
                  <c:v>1105</c:v>
                </c:pt>
                <c:pt idx="696">
                  <c:v>1105</c:v>
                </c:pt>
                <c:pt idx="697">
                  <c:v>1105</c:v>
                </c:pt>
                <c:pt idx="698">
                  <c:v>1105</c:v>
                </c:pt>
                <c:pt idx="699">
                  <c:v>1106</c:v>
                </c:pt>
                <c:pt idx="700">
                  <c:v>1108</c:v>
                </c:pt>
                <c:pt idx="701">
                  <c:v>1112</c:v>
                </c:pt>
                <c:pt idx="702">
                  <c:v>1112</c:v>
                </c:pt>
                <c:pt idx="703">
                  <c:v>1112</c:v>
                </c:pt>
                <c:pt idx="704">
                  <c:v>1112</c:v>
                </c:pt>
                <c:pt idx="705">
                  <c:v>1112</c:v>
                </c:pt>
                <c:pt idx="706">
                  <c:v>1112</c:v>
                </c:pt>
                <c:pt idx="707">
                  <c:v>1112</c:v>
                </c:pt>
                <c:pt idx="708">
                  <c:v>1112</c:v>
                </c:pt>
                <c:pt idx="709">
                  <c:v>1112</c:v>
                </c:pt>
                <c:pt idx="710">
                  <c:v>1112</c:v>
                </c:pt>
                <c:pt idx="711">
                  <c:v>1112</c:v>
                </c:pt>
                <c:pt idx="712">
                  <c:v>1112</c:v>
                </c:pt>
                <c:pt idx="713">
                  <c:v>1112</c:v>
                </c:pt>
                <c:pt idx="714">
                  <c:v>1112</c:v>
                </c:pt>
                <c:pt idx="715">
                  <c:v>1113</c:v>
                </c:pt>
                <c:pt idx="716">
                  <c:v>1113</c:v>
                </c:pt>
                <c:pt idx="717">
                  <c:v>1113</c:v>
                </c:pt>
                <c:pt idx="718">
                  <c:v>1113</c:v>
                </c:pt>
                <c:pt idx="719">
                  <c:v>1113</c:v>
                </c:pt>
                <c:pt idx="720">
                  <c:v>1113</c:v>
                </c:pt>
                <c:pt idx="721">
                  <c:v>1114</c:v>
                </c:pt>
                <c:pt idx="722">
                  <c:v>1115</c:v>
                </c:pt>
                <c:pt idx="723">
                  <c:v>1116</c:v>
                </c:pt>
                <c:pt idx="724">
                  <c:v>1116</c:v>
                </c:pt>
                <c:pt idx="725">
                  <c:v>1116</c:v>
                </c:pt>
                <c:pt idx="726">
                  <c:v>1118</c:v>
                </c:pt>
                <c:pt idx="727">
                  <c:v>1118</c:v>
                </c:pt>
                <c:pt idx="728">
                  <c:v>1118</c:v>
                </c:pt>
                <c:pt idx="729">
                  <c:v>1120</c:v>
                </c:pt>
                <c:pt idx="730">
                  <c:v>1122</c:v>
                </c:pt>
                <c:pt idx="731">
                  <c:v>1122</c:v>
                </c:pt>
                <c:pt idx="732">
                  <c:v>1122</c:v>
                </c:pt>
                <c:pt idx="733">
                  <c:v>1123</c:v>
                </c:pt>
                <c:pt idx="734">
                  <c:v>1123</c:v>
                </c:pt>
                <c:pt idx="735">
                  <c:v>1123</c:v>
                </c:pt>
                <c:pt idx="736">
                  <c:v>1123</c:v>
                </c:pt>
                <c:pt idx="737">
                  <c:v>1126</c:v>
                </c:pt>
                <c:pt idx="738">
                  <c:v>1126</c:v>
                </c:pt>
                <c:pt idx="739">
                  <c:v>1126</c:v>
                </c:pt>
                <c:pt idx="740">
                  <c:v>1126</c:v>
                </c:pt>
                <c:pt idx="741">
                  <c:v>1126</c:v>
                </c:pt>
                <c:pt idx="742">
                  <c:v>1127</c:v>
                </c:pt>
                <c:pt idx="743">
                  <c:v>1127</c:v>
                </c:pt>
                <c:pt idx="744">
                  <c:v>1129</c:v>
                </c:pt>
                <c:pt idx="745">
                  <c:v>1129</c:v>
                </c:pt>
                <c:pt idx="746">
                  <c:v>1129</c:v>
                </c:pt>
                <c:pt idx="747">
                  <c:v>1129</c:v>
                </c:pt>
                <c:pt idx="748">
                  <c:v>1129</c:v>
                </c:pt>
                <c:pt idx="749">
                  <c:v>1129</c:v>
                </c:pt>
                <c:pt idx="750">
                  <c:v>1129</c:v>
                </c:pt>
                <c:pt idx="751">
                  <c:v>1129</c:v>
                </c:pt>
                <c:pt idx="752">
                  <c:v>1129</c:v>
                </c:pt>
                <c:pt idx="753">
                  <c:v>1129</c:v>
                </c:pt>
                <c:pt idx="754">
                  <c:v>1130</c:v>
                </c:pt>
                <c:pt idx="755">
                  <c:v>1130</c:v>
                </c:pt>
                <c:pt idx="756">
                  <c:v>1130</c:v>
                </c:pt>
                <c:pt idx="757">
                  <c:v>1131</c:v>
                </c:pt>
                <c:pt idx="758">
                  <c:v>1131</c:v>
                </c:pt>
                <c:pt idx="759">
                  <c:v>1131</c:v>
                </c:pt>
                <c:pt idx="760">
                  <c:v>1131</c:v>
                </c:pt>
                <c:pt idx="761">
                  <c:v>1131</c:v>
                </c:pt>
                <c:pt idx="762">
                  <c:v>1131</c:v>
                </c:pt>
                <c:pt idx="763">
                  <c:v>1131</c:v>
                </c:pt>
                <c:pt idx="764">
                  <c:v>1131</c:v>
                </c:pt>
                <c:pt idx="765">
                  <c:v>1131</c:v>
                </c:pt>
                <c:pt idx="766">
                  <c:v>1131</c:v>
                </c:pt>
                <c:pt idx="767">
                  <c:v>1131</c:v>
                </c:pt>
                <c:pt idx="768">
                  <c:v>1131</c:v>
                </c:pt>
                <c:pt idx="769">
                  <c:v>1131</c:v>
                </c:pt>
                <c:pt idx="770">
                  <c:v>1131</c:v>
                </c:pt>
                <c:pt idx="771">
                  <c:v>1131</c:v>
                </c:pt>
                <c:pt idx="772">
                  <c:v>1131</c:v>
                </c:pt>
                <c:pt idx="773">
                  <c:v>1131</c:v>
                </c:pt>
                <c:pt idx="774">
                  <c:v>1131</c:v>
                </c:pt>
                <c:pt idx="775">
                  <c:v>1131</c:v>
                </c:pt>
                <c:pt idx="776">
                  <c:v>1131</c:v>
                </c:pt>
                <c:pt idx="777">
                  <c:v>1131</c:v>
                </c:pt>
                <c:pt idx="778">
                  <c:v>1132</c:v>
                </c:pt>
                <c:pt idx="779">
                  <c:v>1132</c:v>
                </c:pt>
                <c:pt idx="780">
                  <c:v>1132</c:v>
                </c:pt>
                <c:pt idx="781">
                  <c:v>1132</c:v>
                </c:pt>
                <c:pt idx="782">
                  <c:v>1132</c:v>
                </c:pt>
                <c:pt idx="783">
                  <c:v>1132</c:v>
                </c:pt>
                <c:pt idx="784">
                  <c:v>1132</c:v>
                </c:pt>
                <c:pt idx="785">
                  <c:v>1132</c:v>
                </c:pt>
                <c:pt idx="786">
                  <c:v>1132</c:v>
                </c:pt>
                <c:pt idx="787">
                  <c:v>1132</c:v>
                </c:pt>
                <c:pt idx="788">
                  <c:v>1132</c:v>
                </c:pt>
                <c:pt idx="789">
                  <c:v>1133</c:v>
                </c:pt>
                <c:pt idx="790">
                  <c:v>1133</c:v>
                </c:pt>
                <c:pt idx="791">
                  <c:v>1133</c:v>
                </c:pt>
                <c:pt idx="792">
                  <c:v>1133</c:v>
                </c:pt>
                <c:pt idx="793">
                  <c:v>1133</c:v>
                </c:pt>
                <c:pt idx="794">
                  <c:v>1133</c:v>
                </c:pt>
                <c:pt idx="795">
                  <c:v>1133</c:v>
                </c:pt>
                <c:pt idx="796">
                  <c:v>1133</c:v>
                </c:pt>
                <c:pt idx="797">
                  <c:v>1133</c:v>
                </c:pt>
                <c:pt idx="798">
                  <c:v>1133</c:v>
                </c:pt>
                <c:pt idx="799">
                  <c:v>1133</c:v>
                </c:pt>
                <c:pt idx="800">
                  <c:v>1133</c:v>
                </c:pt>
                <c:pt idx="801">
                  <c:v>1133</c:v>
                </c:pt>
                <c:pt idx="802">
                  <c:v>1133</c:v>
                </c:pt>
                <c:pt idx="803">
                  <c:v>1133</c:v>
                </c:pt>
                <c:pt idx="804">
                  <c:v>1133</c:v>
                </c:pt>
                <c:pt idx="805">
                  <c:v>1133</c:v>
                </c:pt>
                <c:pt idx="806">
                  <c:v>1133</c:v>
                </c:pt>
                <c:pt idx="807">
                  <c:v>1133</c:v>
                </c:pt>
                <c:pt idx="808">
                  <c:v>1133</c:v>
                </c:pt>
                <c:pt idx="809">
                  <c:v>1133</c:v>
                </c:pt>
                <c:pt idx="810">
                  <c:v>1133</c:v>
                </c:pt>
                <c:pt idx="811">
                  <c:v>1133</c:v>
                </c:pt>
                <c:pt idx="812">
                  <c:v>1133</c:v>
                </c:pt>
                <c:pt idx="813">
                  <c:v>1133</c:v>
                </c:pt>
                <c:pt idx="814">
                  <c:v>1133</c:v>
                </c:pt>
                <c:pt idx="815">
                  <c:v>1133</c:v>
                </c:pt>
                <c:pt idx="816">
                  <c:v>1133</c:v>
                </c:pt>
                <c:pt idx="817">
                  <c:v>1133</c:v>
                </c:pt>
                <c:pt idx="818">
                  <c:v>1133</c:v>
                </c:pt>
                <c:pt idx="819">
                  <c:v>1133</c:v>
                </c:pt>
                <c:pt idx="820">
                  <c:v>1133</c:v>
                </c:pt>
                <c:pt idx="821">
                  <c:v>1133</c:v>
                </c:pt>
                <c:pt idx="822">
                  <c:v>1133</c:v>
                </c:pt>
                <c:pt idx="823">
                  <c:v>1133</c:v>
                </c:pt>
                <c:pt idx="824">
                  <c:v>1133</c:v>
                </c:pt>
                <c:pt idx="825">
                  <c:v>1133</c:v>
                </c:pt>
                <c:pt idx="826">
                  <c:v>1133</c:v>
                </c:pt>
                <c:pt idx="827">
                  <c:v>1134</c:v>
                </c:pt>
                <c:pt idx="828">
                  <c:v>1134</c:v>
                </c:pt>
                <c:pt idx="829">
                  <c:v>1134</c:v>
                </c:pt>
                <c:pt idx="830">
                  <c:v>1134</c:v>
                </c:pt>
                <c:pt idx="831">
                  <c:v>1134</c:v>
                </c:pt>
                <c:pt idx="832">
                  <c:v>1134</c:v>
                </c:pt>
                <c:pt idx="833">
                  <c:v>1134</c:v>
                </c:pt>
                <c:pt idx="834">
                  <c:v>1134</c:v>
                </c:pt>
                <c:pt idx="835">
                  <c:v>1134</c:v>
                </c:pt>
                <c:pt idx="836">
                  <c:v>1134</c:v>
                </c:pt>
                <c:pt idx="837">
                  <c:v>1134</c:v>
                </c:pt>
                <c:pt idx="838">
                  <c:v>1134</c:v>
                </c:pt>
                <c:pt idx="839">
                  <c:v>1134</c:v>
                </c:pt>
                <c:pt idx="840">
                  <c:v>1134</c:v>
                </c:pt>
                <c:pt idx="841">
                  <c:v>1134</c:v>
                </c:pt>
                <c:pt idx="842">
                  <c:v>1134</c:v>
                </c:pt>
                <c:pt idx="843">
                  <c:v>1134</c:v>
                </c:pt>
                <c:pt idx="844">
                  <c:v>1134</c:v>
                </c:pt>
                <c:pt idx="845">
                  <c:v>1134</c:v>
                </c:pt>
                <c:pt idx="846">
                  <c:v>1134</c:v>
                </c:pt>
                <c:pt idx="847">
                  <c:v>1134</c:v>
                </c:pt>
                <c:pt idx="848">
                  <c:v>1134</c:v>
                </c:pt>
                <c:pt idx="849">
                  <c:v>1134</c:v>
                </c:pt>
                <c:pt idx="850">
                  <c:v>1134</c:v>
                </c:pt>
                <c:pt idx="851">
                  <c:v>1134</c:v>
                </c:pt>
                <c:pt idx="852">
                  <c:v>1135</c:v>
                </c:pt>
                <c:pt idx="853">
                  <c:v>1135</c:v>
                </c:pt>
                <c:pt idx="854">
                  <c:v>1135</c:v>
                </c:pt>
                <c:pt idx="855">
                  <c:v>1135</c:v>
                </c:pt>
                <c:pt idx="856">
                  <c:v>1135</c:v>
                </c:pt>
                <c:pt idx="857">
                  <c:v>1135</c:v>
                </c:pt>
                <c:pt idx="858">
                  <c:v>1135</c:v>
                </c:pt>
                <c:pt idx="859">
                  <c:v>1135</c:v>
                </c:pt>
                <c:pt idx="860">
                  <c:v>1135</c:v>
                </c:pt>
                <c:pt idx="861">
                  <c:v>1135</c:v>
                </c:pt>
                <c:pt idx="862">
                  <c:v>1135</c:v>
                </c:pt>
                <c:pt idx="863">
                  <c:v>1135</c:v>
                </c:pt>
                <c:pt idx="864">
                  <c:v>1135</c:v>
                </c:pt>
                <c:pt idx="865">
                  <c:v>1135</c:v>
                </c:pt>
                <c:pt idx="866">
                  <c:v>1135</c:v>
                </c:pt>
                <c:pt idx="867">
                  <c:v>1135</c:v>
                </c:pt>
                <c:pt idx="868">
                  <c:v>1135</c:v>
                </c:pt>
                <c:pt idx="869">
                  <c:v>1135</c:v>
                </c:pt>
                <c:pt idx="870">
                  <c:v>1135</c:v>
                </c:pt>
                <c:pt idx="871">
                  <c:v>1135</c:v>
                </c:pt>
                <c:pt idx="872">
                  <c:v>1135</c:v>
                </c:pt>
                <c:pt idx="873">
                  <c:v>1135</c:v>
                </c:pt>
                <c:pt idx="874">
                  <c:v>1135</c:v>
                </c:pt>
                <c:pt idx="875">
                  <c:v>1134</c:v>
                </c:pt>
                <c:pt idx="876">
                  <c:v>1134</c:v>
                </c:pt>
                <c:pt idx="877">
                  <c:v>1134</c:v>
                </c:pt>
                <c:pt idx="878">
                  <c:v>1134</c:v>
                </c:pt>
                <c:pt idx="879">
                  <c:v>1134</c:v>
                </c:pt>
                <c:pt idx="880">
                  <c:v>1134</c:v>
                </c:pt>
                <c:pt idx="881">
                  <c:v>1134</c:v>
                </c:pt>
                <c:pt idx="882">
                  <c:v>1134</c:v>
                </c:pt>
                <c:pt idx="883">
                  <c:v>1134</c:v>
                </c:pt>
                <c:pt idx="884">
                  <c:v>1134</c:v>
                </c:pt>
                <c:pt idx="885">
                  <c:v>1134</c:v>
                </c:pt>
                <c:pt idx="886">
                  <c:v>1135</c:v>
                </c:pt>
                <c:pt idx="887">
                  <c:v>1135</c:v>
                </c:pt>
                <c:pt idx="888">
                  <c:v>1135</c:v>
                </c:pt>
                <c:pt idx="889">
                  <c:v>1135</c:v>
                </c:pt>
                <c:pt idx="890">
                  <c:v>1135</c:v>
                </c:pt>
                <c:pt idx="891">
                  <c:v>1135</c:v>
                </c:pt>
                <c:pt idx="892">
                  <c:v>1135</c:v>
                </c:pt>
                <c:pt idx="893">
                  <c:v>1135</c:v>
                </c:pt>
                <c:pt idx="894">
                  <c:v>1135</c:v>
                </c:pt>
                <c:pt idx="895">
                  <c:v>1135</c:v>
                </c:pt>
                <c:pt idx="896">
                  <c:v>1135</c:v>
                </c:pt>
                <c:pt idx="897">
                  <c:v>1135</c:v>
                </c:pt>
                <c:pt idx="898">
                  <c:v>1135</c:v>
                </c:pt>
                <c:pt idx="899">
                  <c:v>1135</c:v>
                </c:pt>
                <c:pt idx="900">
                  <c:v>1135</c:v>
                </c:pt>
                <c:pt idx="901">
                  <c:v>1135</c:v>
                </c:pt>
                <c:pt idx="902">
                  <c:v>1135</c:v>
                </c:pt>
                <c:pt idx="903">
                  <c:v>1135</c:v>
                </c:pt>
                <c:pt idx="904">
                  <c:v>1135</c:v>
                </c:pt>
                <c:pt idx="905">
                  <c:v>1135</c:v>
                </c:pt>
                <c:pt idx="906">
                  <c:v>1135</c:v>
                </c:pt>
                <c:pt idx="907">
                  <c:v>1135</c:v>
                </c:pt>
                <c:pt idx="908">
                  <c:v>1135</c:v>
                </c:pt>
                <c:pt idx="909">
                  <c:v>1135</c:v>
                </c:pt>
                <c:pt idx="910">
                  <c:v>1135</c:v>
                </c:pt>
                <c:pt idx="911">
                  <c:v>1135</c:v>
                </c:pt>
                <c:pt idx="912">
                  <c:v>1135</c:v>
                </c:pt>
                <c:pt idx="913">
                  <c:v>1135</c:v>
                </c:pt>
                <c:pt idx="914">
                  <c:v>1135</c:v>
                </c:pt>
                <c:pt idx="915">
                  <c:v>1135</c:v>
                </c:pt>
                <c:pt idx="916">
                  <c:v>1135</c:v>
                </c:pt>
                <c:pt idx="917">
                  <c:v>1135</c:v>
                </c:pt>
                <c:pt idx="918">
                  <c:v>1135</c:v>
                </c:pt>
                <c:pt idx="919">
                  <c:v>1135</c:v>
                </c:pt>
                <c:pt idx="920">
                  <c:v>1135</c:v>
                </c:pt>
                <c:pt idx="921">
                  <c:v>1135</c:v>
                </c:pt>
                <c:pt idx="922">
                  <c:v>1135</c:v>
                </c:pt>
                <c:pt idx="923">
                  <c:v>1135</c:v>
                </c:pt>
                <c:pt idx="924">
                  <c:v>1135</c:v>
                </c:pt>
                <c:pt idx="925">
                  <c:v>1135</c:v>
                </c:pt>
                <c:pt idx="926">
                  <c:v>1135</c:v>
                </c:pt>
                <c:pt idx="927">
                  <c:v>1135</c:v>
                </c:pt>
                <c:pt idx="928">
                  <c:v>1135</c:v>
                </c:pt>
                <c:pt idx="929">
                  <c:v>1135</c:v>
                </c:pt>
                <c:pt idx="930">
                  <c:v>1135</c:v>
                </c:pt>
                <c:pt idx="931">
                  <c:v>1135</c:v>
                </c:pt>
                <c:pt idx="932">
                  <c:v>1135</c:v>
                </c:pt>
                <c:pt idx="933">
                  <c:v>1135</c:v>
                </c:pt>
                <c:pt idx="934">
                  <c:v>1135</c:v>
                </c:pt>
                <c:pt idx="935">
                  <c:v>1135</c:v>
                </c:pt>
                <c:pt idx="936">
                  <c:v>1135</c:v>
                </c:pt>
                <c:pt idx="937">
                  <c:v>1135</c:v>
                </c:pt>
                <c:pt idx="938">
                  <c:v>1135</c:v>
                </c:pt>
                <c:pt idx="939">
                  <c:v>1135</c:v>
                </c:pt>
                <c:pt idx="940">
                  <c:v>1135</c:v>
                </c:pt>
                <c:pt idx="941">
                  <c:v>1135</c:v>
                </c:pt>
                <c:pt idx="942">
                  <c:v>1135</c:v>
                </c:pt>
                <c:pt idx="943">
                  <c:v>1135</c:v>
                </c:pt>
                <c:pt idx="944">
                  <c:v>1135</c:v>
                </c:pt>
                <c:pt idx="945">
                  <c:v>1135</c:v>
                </c:pt>
                <c:pt idx="946">
                  <c:v>1135</c:v>
                </c:pt>
                <c:pt idx="947">
                  <c:v>1135</c:v>
                </c:pt>
                <c:pt idx="948">
                  <c:v>1135</c:v>
                </c:pt>
                <c:pt idx="949">
                  <c:v>1135</c:v>
                </c:pt>
                <c:pt idx="950">
                  <c:v>1135</c:v>
                </c:pt>
                <c:pt idx="951">
                  <c:v>1135</c:v>
                </c:pt>
                <c:pt idx="952">
                  <c:v>1135</c:v>
                </c:pt>
                <c:pt idx="953">
                  <c:v>1135</c:v>
                </c:pt>
                <c:pt idx="954">
                  <c:v>1135</c:v>
                </c:pt>
                <c:pt idx="955">
                  <c:v>1135</c:v>
                </c:pt>
                <c:pt idx="956">
                  <c:v>1135</c:v>
                </c:pt>
                <c:pt idx="957">
                  <c:v>1135</c:v>
                </c:pt>
                <c:pt idx="958">
                  <c:v>1135</c:v>
                </c:pt>
                <c:pt idx="959">
                  <c:v>1135</c:v>
                </c:pt>
                <c:pt idx="960">
                  <c:v>1135</c:v>
                </c:pt>
                <c:pt idx="961">
                  <c:v>1135</c:v>
                </c:pt>
                <c:pt idx="962">
                  <c:v>1135</c:v>
                </c:pt>
                <c:pt idx="963">
                  <c:v>1135</c:v>
                </c:pt>
                <c:pt idx="964">
                  <c:v>1135</c:v>
                </c:pt>
                <c:pt idx="965">
                  <c:v>1135</c:v>
                </c:pt>
                <c:pt idx="966">
                  <c:v>1135</c:v>
                </c:pt>
                <c:pt idx="967">
                  <c:v>1135</c:v>
                </c:pt>
                <c:pt idx="968">
                  <c:v>1135</c:v>
                </c:pt>
                <c:pt idx="969">
                  <c:v>1135</c:v>
                </c:pt>
                <c:pt idx="970">
                  <c:v>1135</c:v>
                </c:pt>
                <c:pt idx="971">
                  <c:v>1135</c:v>
                </c:pt>
                <c:pt idx="972">
                  <c:v>1135</c:v>
                </c:pt>
                <c:pt idx="973">
                  <c:v>1135</c:v>
                </c:pt>
                <c:pt idx="974">
                  <c:v>1135</c:v>
                </c:pt>
                <c:pt idx="975">
                  <c:v>1135</c:v>
                </c:pt>
                <c:pt idx="976">
                  <c:v>1135</c:v>
                </c:pt>
                <c:pt idx="977">
                  <c:v>1135</c:v>
                </c:pt>
                <c:pt idx="978">
                  <c:v>1135</c:v>
                </c:pt>
                <c:pt idx="979">
                  <c:v>1135</c:v>
                </c:pt>
                <c:pt idx="980">
                  <c:v>1135</c:v>
                </c:pt>
                <c:pt idx="981">
                  <c:v>1135</c:v>
                </c:pt>
                <c:pt idx="982">
                  <c:v>1135</c:v>
                </c:pt>
                <c:pt idx="983">
                  <c:v>1135</c:v>
                </c:pt>
                <c:pt idx="984">
                  <c:v>1135</c:v>
                </c:pt>
                <c:pt idx="985">
                  <c:v>1135</c:v>
                </c:pt>
                <c:pt idx="986">
                  <c:v>1135</c:v>
                </c:pt>
                <c:pt idx="987">
                  <c:v>1135</c:v>
                </c:pt>
                <c:pt idx="988">
                  <c:v>1135</c:v>
                </c:pt>
                <c:pt idx="989">
                  <c:v>1135</c:v>
                </c:pt>
                <c:pt idx="990">
                  <c:v>1135</c:v>
                </c:pt>
                <c:pt idx="991">
                  <c:v>1135</c:v>
                </c:pt>
                <c:pt idx="992">
                  <c:v>1135</c:v>
                </c:pt>
                <c:pt idx="993">
                  <c:v>1135</c:v>
                </c:pt>
                <c:pt idx="994">
                  <c:v>1135</c:v>
                </c:pt>
                <c:pt idx="995">
                  <c:v>1135</c:v>
                </c:pt>
                <c:pt idx="996">
                  <c:v>1135</c:v>
                </c:pt>
                <c:pt idx="997">
                  <c:v>1135</c:v>
                </c:pt>
                <c:pt idx="998">
                  <c:v>1135</c:v>
                </c:pt>
                <c:pt idx="999">
                  <c:v>1135</c:v>
                </c:pt>
                <c:pt idx="1000">
                  <c:v>1135</c:v>
                </c:pt>
                <c:pt idx="1001">
                  <c:v>1135</c:v>
                </c:pt>
                <c:pt idx="1002">
                  <c:v>1135</c:v>
                </c:pt>
                <c:pt idx="1003">
                  <c:v>1135</c:v>
                </c:pt>
                <c:pt idx="1004">
                  <c:v>1135</c:v>
                </c:pt>
                <c:pt idx="1005">
                  <c:v>1135</c:v>
                </c:pt>
                <c:pt idx="1006">
                  <c:v>1135</c:v>
                </c:pt>
                <c:pt idx="1007">
                  <c:v>1135</c:v>
                </c:pt>
                <c:pt idx="1008">
                  <c:v>1135</c:v>
                </c:pt>
                <c:pt idx="1009">
                  <c:v>1135</c:v>
                </c:pt>
                <c:pt idx="1010">
                  <c:v>1135</c:v>
                </c:pt>
                <c:pt idx="1011">
                  <c:v>1135</c:v>
                </c:pt>
                <c:pt idx="1012">
                  <c:v>1135</c:v>
                </c:pt>
                <c:pt idx="1013">
                  <c:v>1135</c:v>
                </c:pt>
                <c:pt idx="1014">
                  <c:v>1135</c:v>
                </c:pt>
                <c:pt idx="1015">
                  <c:v>1135</c:v>
                </c:pt>
                <c:pt idx="1016">
                  <c:v>1135</c:v>
                </c:pt>
                <c:pt idx="1017">
                  <c:v>1135</c:v>
                </c:pt>
                <c:pt idx="1018">
                  <c:v>1135</c:v>
                </c:pt>
                <c:pt idx="1019">
                  <c:v>1135</c:v>
                </c:pt>
                <c:pt idx="1020">
                  <c:v>1135</c:v>
                </c:pt>
                <c:pt idx="1021">
                  <c:v>1135</c:v>
                </c:pt>
                <c:pt idx="1022">
                  <c:v>1135</c:v>
                </c:pt>
                <c:pt idx="1023">
                  <c:v>1135</c:v>
                </c:pt>
                <c:pt idx="1024">
                  <c:v>1135</c:v>
                </c:pt>
                <c:pt idx="1025">
                  <c:v>1135</c:v>
                </c:pt>
                <c:pt idx="1026">
                  <c:v>1135</c:v>
                </c:pt>
                <c:pt idx="1027">
                  <c:v>1135</c:v>
                </c:pt>
                <c:pt idx="1028">
                  <c:v>1135</c:v>
                </c:pt>
                <c:pt idx="1029">
                  <c:v>1135</c:v>
                </c:pt>
                <c:pt idx="1030">
                  <c:v>1135</c:v>
                </c:pt>
                <c:pt idx="1031">
                  <c:v>1135</c:v>
                </c:pt>
                <c:pt idx="1032">
                  <c:v>1135</c:v>
                </c:pt>
                <c:pt idx="1033">
                  <c:v>1135</c:v>
                </c:pt>
                <c:pt idx="1034">
                  <c:v>1135</c:v>
                </c:pt>
                <c:pt idx="1035">
                  <c:v>1135</c:v>
                </c:pt>
                <c:pt idx="1036">
                  <c:v>1135</c:v>
                </c:pt>
                <c:pt idx="1037">
                  <c:v>1135</c:v>
                </c:pt>
                <c:pt idx="1038">
                  <c:v>1135</c:v>
                </c:pt>
                <c:pt idx="1039">
                  <c:v>1135</c:v>
                </c:pt>
                <c:pt idx="1040">
                  <c:v>1135</c:v>
                </c:pt>
                <c:pt idx="1041">
                  <c:v>1135</c:v>
                </c:pt>
                <c:pt idx="1042">
                  <c:v>1135</c:v>
                </c:pt>
                <c:pt idx="1043">
                  <c:v>1135</c:v>
                </c:pt>
                <c:pt idx="1044">
                  <c:v>1135</c:v>
                </c:pt>
                <c:pt idx="1045">
                  <c:v>1135</c:v>
                </c:pt>
                <c:pt idx="1046">
                  <c:v>1135</c:v>
                </c:pt>
                <c:pt idx="1047">
                  <c:v>1135</c:v>
                </c:pt>
                <c:pt idx="1048">
                  <c:v>1135</c:v>
                </c:pt>
                <c:pt idx="1049">
                  <c:v>1135</c:v>
                </c:pt>
                <c:pt idx="1050">
                  <c:v>1135</c:v>
                </c:pt>
                <c:pt idx="1051">
                  <c:v>1135</c:v>
                </c:pt>
                <c:pt idx="1052">
                  <c:v>1135</c:v>
                </c:pt>
                <c:pt idx="1053">
                  <c:v>1135</c:v>
                </c:pt>
                <c:pt idx="1054">
                  <c:v>1135</c:v>
                </c:pt>
                <c:pt idx="1055">
                  <c:v>1135</c:v>
                </c:pt>
                <c:pt idx="1056">
                  <c:v>1135</c:v>
                </c:pt>
                <c:pt idx="1057">
                  <c:v>1135</c:v>
                </c:pt>
                <c:pt idx="1058">
                  <c:v>1135</c:v>
                </c:pt>
                <c:pt idx="1059">
                  <c:v>1135</c:v>
                </c:pt>
                <c:pt idx="1060">
                  <c:v>1135</c:v>
                </c:pt>
                <c:pt idx="1061">
                  <c:v>1135</c:v>
                </c:pt>
                <c:pt idx="1062">
                  <c:v>1135</c:v>
                </c:pt>
                <c:pt idx="1063">
                  <c:v>1135</c:v>
                </c:pt>
                <c:pt idx="1064">
                  <c:v>1135</c:v>
                </c:pt>
                <c:pt idx="1065">
                  <c:v>1135</c:v>
                </c:pt>
                <c:pt idx="1066">
                  <c:v>1135</c:v>
                </c:pt>
                <c:pt idx="1067">
                  <c:v>1135</c:v>
                </c:pt>
                <c:pt idx="1068">
                  <c:v>1135</c:v>
                </c:pt>
                <c:pt idx="1069">
                  <c:v>1135</c:v>
                </c:pt>
                <c:pt idx="1070">
                  <c:v>1135</c:v>
                </c:pt>
                <c:pt idx="1071">
                  <c:v>1135</c:v>
                </c:pt>
                <c:pt idx="1072">
                  <c:v>1135</c:v>
                </c:pt>
                <c:pt idx="1073">
                  <c:v>1135</c:v>
                </c:pt>
                <c:pt idx="1074">
                  <c:v>1135</c:v>
                </c:pt>
                <c:pt idx="1075">
                  <c:v>1135</c:v>
                </c:pt>
                <c:pt idx="1076">
                  <c:v>1135</c:v>
                </c:pt>
                <c:pt idx="1077">
                  <c:v>1135</c:v>
                </c:pt>
                <c:pt idx="1078">
                  <c:v>1135</c:v>
                </c:pt>
                <c:pt idx="1079">
                  <c:v>1135</c:v>
                </c:pt>
                <c:pt idx="1080">
                  <c:v>1135</c:v>
                </c:pt>
                <c:pt idx="1081">
                  <c:v>1135</c:v>
                </c:pt>
                <c:pt idx="1082">
                  <c:v>1135</c:v>
                </c:pt>
                <c:pt idx="1083">
                  <c:v>1135</c:v>
                </c:pt>
                <c:pt idx="1084">
                  <c:v>1135</c:v>
                </c:pt>
                <c:pt idx="1085">
                  <c:v>1135</c:v>
                </c:pt>
                <c:pt idx="1086">
                  <c:v>1135</c:v>
                </c:pt>
                <c:pt idx="1087">
                  <c:v>1135</c:v>
                </c:pt>
                <c:pt idx="1088">
                  <c:v>1135</c:v>
                </c:pt>
                <c:pt idx="1089">
                  <c:v>1135</c:v>
                </c:pt>
                <c:pt idx="1090">
                  <c:v>1135</c:v>
                </c:pt>
                <c:pt idx="1091">
                  <c:v>1135</c:v>
                </c:pt>
                <c:pt idx="1092">
                  <c:v>1135</c:v>
                </c:pt>
                <c:pt idx="1093">
                  <c:v>1135</c:v>
                </c:pt>
                <c:pt idx="1094">
                  <c:v>1135</c:v>
                </c:pt>
                <c:pt idx="1095">
                  <c:v>1135</c:v>
                </c:pt>
                <c:pt idx="1096">
                  <c:v>1135</c:v>
                </c:pt>
                <c:pt idx="1097">
                  <c:v>1135</c:v>
                </c:pt>
                <c:pt idx="1098">
                  <c:v>1135</c:v>
                </c:pt>
                <c:pt idx="1099">
                  <c:v>1135</c:v>
                </c:pt>
                <c:pt idx="1100">
                  <c:v>1135</c:v>
                </c:pt>
                <c:pt idx="1101">
                  <c:v>1135</c:v>
                </c:pt>
                <c:pt idx="1102">
                  <c:v>1135</c:v>
                </c:pt>
                <c:pt idx="1103">
                  <c:v>1135</c:v>
                </c:pt>
                <c:pt idx="1104">
                  <c:v>1135</c:v>
                </c:pt>
                <c:pt idx="1105">
                  <c:v>1135</c:v>
                </c:pt>
                <c:pt idx="1106">
                  <c:v>1135</c:v>
                </c:pt>
                <c:pt idx="1107">
                  <c:v>1135</c:v>
                </c:pt>
                <c:pt idx="1108">
                  <c:v>1135</c:v>
                </c:pt>
                <c:pt idx="1109">
                  <c:v>1135</c:v>
                </c:pt>
                <c:pt idx="1110">
                  <c:v>1135</c:v>
                </c:pt>
                <c:pt idx="1111">
                  <c:v>1135</c:v>
                </c:pt>
                <c:pt idx="1112">
                  <c:v>1135</c:v>
                </c:pt>
                <c:pt idx="1113">
                  <c:v>1135</c:v>
                </c:pt>
                <c:pt idx="1114">
                  <c:v>1135</c:v>
                </c:pt>
                <c:pt idx="1115">
                  <c:v>1135</c:v>
                </c:pt>
                <c:pt idx="1116">
                  <c:v>1135</c:v>
                </c:pt>
                <c:pt idx="1117">
                  <c:v>1135</c:v>
                </c:pt>
                <c:pt idx="1118">
                  <c:v>1135</c:v>
                </c:pt>
                <c:pt idx="1119">
                  <c:v>1135</c:v>
                </c:pt>
                <c:pt idx="1120">
                  <c:v>1135</c:v>
                </c:pt>
                <c:pt idx="1121">
                  <c:v>1135</c:v>
                </c:pt>
                <c:pt idx="1122">
                  <c:v>1135</c:v>
                </c:pt>
                <c:pt idx="1123">
                  <c:v>1135</c:v>
                </c:pt>
                <c:pt idx="1124">
                  <c:v>1135</c:v>
                </c:pt>
                <c:pt idx="1125">
                  <c:v>1135</c:v>
                </c:pt>
                <c:pt idx="1126">
                  <c:v>1135</c:v>
                </c:pt>
                <c:pt idx="1127">
                  <c:v>1135</c:v>
                </c:pt>
              </c:numCache>
            </c:numRef>
          </c:val>
          <c:extLst>
            <c:ext xmlns:c16="http://schemas.microsoft.com/office/drawing/2014/chart" uri="{C3380CC4-5D6E-409C-BE32-E72D297353CC}">
              <c16:uniqueId val="{00000000-E42F-442A-8284-84FB82BD8A5A}"/>
            </c:ext>
          </c:extLst>
        </c:ser>
        <c:ser>
          <c:idx val="1"/>
          <c:order val="1"/>
          <c:tx>
            <c:strRef>
              <c:f>'04 Participants Timeline'!$C$2</c:f>
              <c:strCache>
                <c:ptCount val="1"/>
                <c:pt idx="0">
                  <c:v>CPP and CPP/RT Participants</c:v>
                </c:pt>
              </c:strCache>
            </c:strRef>
          </c:tx>
          <c:spPr>
            <a:solidFill>
              <a:schemeClr val="accent2"/>
            </a:solidFill>
            <a:ln>
              <a:noFill/>
            </a:ln>
            <a:effectLst/>
          </c:spPr>
          <c:cat>
            <c:numRef>
              <c:f>'04 Participants Timeline'!$A$3:$A$1130</c:f>
              <c:numCache>
                <c:formatCode>yyyy\-mm\-dd</c:formatCode>
                <c:ptCount val="1128"/>
                <c:pt idx="0">
                  <c:v>42278</c:v>
                </c:pt>
                <c:pt idx="1">
                  <c:v>42279</c:v>
                </c:pt>
                <c:pt idx="2">
                  <c:v>42280</c:v>
                </c:pt>
                <c:pt idx="3">
                  <c:v>42281</c:v>
                </c:pt>
                <c:pt idx="4">
                  <c:v>42282</c:v>
                </c:pt>
                <c:pt idx="5">
                  <c:v>42283</c:v>
                </c:pt>
                <c:pt idx="6">
                  <c:v>42284</c:v>
                </c:pt>
                <c:pt idx="7">
                  <c:v>42285</c:v>
                </c:pt>
                <c:pt idx="8">
                  <c:v>42286</c:v>
                </c:pt>
                <c:pt idx="9">
                  <c:v>42287</c:v>
                </c:pt>
                <c:pt idx="10">
                  <c:v>42288</c:v>
                </c:pt>
                <c:pt idx="11">
                  <c:v>42289</c:v>
                </c:pt>
                <c:pt idx="12">
                  <c:v>42290</c:v>
                </c:pt>
                <c:pt idx="13">
                  <c:v>42291</c:v>
                </c:pt>
                <c:pt idx="14">
                  <c:v>42292</c:v>
                </c:pt>
                <c:pt idx="15">
                  <c:v>42293</c:v>
                </c:pt>
                <c:pt idx="16">
                  <c:v>42294</c:v>
                </c:pt>
                <c:pt idx="17">
                  <c:v>42295</c:v>
                </c:pt>
                <c:pt idx="18">
                  <c:v>42296</c:v>
                </c:pt>
                <c:pt idx="19">
                  <c:v>42297</c:v>
                </c:pt>
                <c:pt idx="20">
                  <c:v>42298</c:v>
                </c:pt>
                <c:pt idx="21">
                  <c:v>42299</c:v>
                </c:pt>
                <c:pt idx="22">
                  <c:v>42300</c:v>
                </c:pt>
                <c:pt idx="23">
                  <c:v>42301</c:v>
                </c:pt>
                <c:pt idx="24">
                  <c:v>42302</c:v>
                </c:pt>
                <c:pt idx="25">
                  <c:v>42303</c:v>
                </c:pt>
                <c:pt idx="26">
                  <c:v>42304</c:v>
                </c:pt>
                <c:pt idx="27">
                  <c:v>42305</c:v>
                </c:pt>
                <c:pt idx="28">
                  <c:v>42306</c:v>
                </c:pt>
                <c:pt idx="29">
                  <c:v>42307</c:v>
                </c:pt>
                <c:pt idx="30">
                  <c:v>42308</c:v>
                </c:pt>
                <c:pt idx="31">
                  <c:v>42309</c:v>
                </c:pt>
                <c:pt idx="32">
                  <c:v>42310</c:v>
                </c:pt>
                <c:pt idx="33">
                  <c:v>42311</c:v>
                </c:pt>
                <c:pt idx="34">
                  <c:v>42312</c:v>
                </c:pt>
                <c:pt idx="35">
                  <c:v>42313</c:v>
                </c:pt>
                <c:pt idx="36">
                  <c:v>42314</c:v>
                </c:pt>
                <c:pt idx="37">
                  <c:v>42315</c:v>
                </c:pt>
                <c:pt idx="38">
                  <c:v>42316</c:v>
                </c:pt>
                <c:pt idx="39">
                  <c:v>42317</c:v>
                </c:pt>
                <c:pt idx="40">
                  <c:v>42318</c:v>
                </c:pt>
                <c:pt idx="41">
                  <c:v>42319</c:v>
                </c:pt>
                <c:pt idx="42">
                  <c:v>42320</c:v>
                </c:pt>
                <c:pt idx="43">
                  <c:v>42321</c:v>
                </c:pt>
                <c:pt idx="44">
                  <c:v>42322</c:v>
                </c:pt>
                <c:pt idx="45">
                  <c:v>42323</c:v>
                </c:pt>
                <c:pt idx="46">
                  <c:v>42324</c:v>
                </c:pt>
                <c:pt idx="47">
                  <c:v>42325</c:v>
                </c:pt>
                <c:pt idx="48">
                  <c:v>42326</c:v>
                </c:pt>
                <c:pt idx="49">
                  <c:v>42327</c:v>
                </c:pt>
                <c:pt idx="50">
                  <c:v>42328</c:v>
                </c:pt>
                <c:pt idx="51">
                  <c:v>42329</c:v>
                </c:pt>
                <c:pt idx="52">
                  <c:v>42330</c:v>
                </c:pt>
                <c:pt idx="53">
                  <c:v>42331</c:v>
                </c:pt>
                <c:pt idx="54">
                  <c:v>42332</c:v>
                </c:pt>
                <c:pt idx="55">
                  <c:v>42333</c:v>
                </c:pt>
                <c:pt idx="56">
                  <c:v>42334</c:v>
                </c:pt>
                <c:pt idx="57">
                  <c:v>42335</c:v>
                </c:pt>
                <c:pt idx="58">
                  <c:v>42336</c:v>
                </c:pt>
                <c:pt idx="59">
                  <c:v>42337</c:v>
                </c:pt>
                <c:pt idx="60">
                  <c:v>42338</c:v>
                </c:pt>
                <c:pt idx="61">
                  <c:v>42339</c:v>
                </c:pt>
                <c:pt idx="62">
                  <c:v>42340</c:v>
                </c:pt>
                <c:pt idx="63">
                  <c:v>42341</c:v>
                </c:pt>
                <c:pt idx="64">
                  <c:v>42342</c:v>
                </c:pt>
                <c:pt idx="65">
                  <c:v>42343</c:v>
                </c:pt>
                <c:pt idx="66">
                  <c:v>42344</c:v>
                </c:pt>
                <c:pt idx="67">
                  <c:v>42345</c:v>
                </c:pt>
                <c:pt idx="68">
                  <c:v>42346</c:v>
                </c:pt>
                <c:pt idx="69">
                  <c:v>42347</c:v>
                </c:pt>
                <c:pt idx="70">
                  <c:v>42348</c:v>
                </c:pt>
                <c:pt idx="71">
                  <c:v>42349</c:v>
                </c:pt>
                <c:pt idx="72">
                  <c:v>42350</c:v>
                </c:pt>
                <c:pt idx="73">
                  <c:v>42351</c:v>
                </c:pt>
                <c:pt idx="74">
                  <c:v>42352</c:v>
                </c:pt>
                <c:pt idx="75">
                  <c:v>42353</c:v>
                </c:pt>
                <c:pt idx="76">
                  <c:v>42354</c:v>
                </c:pt>
                <c:pt idx="77">
                  <c:v>42355</c:v>
                </c:pt>
                <c:pt idx="78">
                  <c:v>42356</c:v>
                </c:pt>
                <c:pt idx="79">
                  <c:v>42357</c:v>
                </c:pt>
                <c:pt idx="80">
                  <c:v>42358</c:v>
                </c:pt>
                <c:pt idx="81">
                  <c:v>42359</c:v>
                </c:pt>
                <c:pt idx="82">
                  <c:v>42360</c:v>
                </c:pt>
                <c:pt idx="83">
                  <c:v>42361</c:v>
                </c:pt>
                <c:pt idx="84">
                  <c:v>42362</c:v>
                </c:pt>
                <c:pt idx="85">
                  <c:v>42363</c:v>
                </c:pt>
                <c:pt idx="86">
                  <c:v>42364</c:v>
                </c:pt>
                <c:pt idx="87">
                  <c:v>42365</c:v>
                </c:pt>
                <c:pt idx="88">
                  <c:v>42366</c:v>
                </c:pt>
                <c:pt idx="89">
                  <c:v>42367</c:v>
                </c:pt>
                <c:pt idx="90">
                  <c:v>42368</c:v>
                </c:pt>
                <c:pt idx="91">
                  <c:v>42369</c:v>
                </c:pt>
                <c:pt idx="92">
                  <c:v>42370</c:v>
                </c:pt>
                <c:pt idx="93">
                  <c:v>42371</c:v>
                </c:pt>
                <c:pt idx="94">
                  <c:v>42372</c:v>
                </c:pt>
                <c:pt idx="95">
                  <c:v>42373</c:v>
                </c:pt>
                <c:pt idx="96">
                  <c:v>42374</c:v>
                </c:pt>
                <c:pt idx="97">
                  <c:v>42375</c:v>
                </c:pt>
                <c:pt idx="98">
                  <c:v>42376</c:v>
                </c:pt>
                <c:pt idx="99">
                  <c:v>42377</c:v>
                </c:pt>
                <c:pt idx="100">
                  <c:v>42378</c:v>
                </c:pt>
                <c:pt idx="101">
                  <c:v>42379</c:v>
                </c:pt>
                <c:pt idx="102">
                  <c:v>42380</c:v>
                </c:pt>
                <c:pt idx="103">
                  <c:v>42381</c:v>
                </c:pt>
                <c:pt idx="104">
                  <c:v>42382</c:v>
                </c:pt>
                <c:pt idx="105">
                  <c:v>42383</c:v>
                </c:pt>
                <c:pt idx="106">
                  <c:v>42384</c:v>
                </c:pt>
                <c:pt idx="107">
                  <c:v>42385</c:v>
                </c:pt>
                <c:pt idx="108">
                  <c:v>42386</c:v>
                </c:pt>
                <c:pt idx="109">
                  <c:v>42387</c:v>
                </c:pt>
                <c:pt idx="110">
                  <c:v>42388</c:v>
                </c:pt>
                <c:pt idx="111">
                  <c:v>42389</c:v>
                </c:pt>
                <c:pt idx="112">
                  <c:v>42390</c:v>
                </c:pt>
                <c:pt idx="113">
                  <c:v>42391</c:v>
                </c:pt>
                <c:pt idx="114">
                  <c:v>42392</c:v>
                </c:pt>
                <c:pt idx="115">
                  <c:v>42393</c:v>
                </c:pt>
                <c:pt idx="116">
                  <c:v>42394</c:v>
                </c:pt>
                <c:pt idx="117">
                  <c:v>42395</c:v>
                </c:pt>
                <c:pt idx="118">
                  <c:v>42396</c:v>
                </c:pt>
                <c:pt idx="119">
                  <c:v>42397</c:v>
                </c:pt>
                <c:pt idx="120">
                  <c:v>42398</c:v>
                </c:pt>
                <c:pt idx="121">
                  <c:v>42399</c:v>
                </c:pt>
                <c:pt idx="122">
                  <c:v>42400</c:v>
                </c:pt>
                <c:pt idx="123">
                  <c:v>42401</c:v>
                </c:pt>
                <c:pt idx="124">
                  <c:v>42402</c:v>
                </c:pt>
                <c:pt idx="125">
                  <c:v>42403</c:v>
                </c:pt>
                <c:pt idx="126">
                  <c:v>42404</c:v>
                </c:pt>
                <c:pt idx="127">
                  <c:v>42405</c:v>
                </c:pt>
                <c:pt idx="128">
                  <c:v>42406</c:v>
                </c:pt>
                <c:pt idx="129">
                  <c:v>42407</c:v>
                </c:pt>
                <c:pt idx="130">
                  <c:v>42408</c:v>
                </c:pt>
                <c:pt idx="131">
                  <c:v>42409</c:v>
                </c:pt>
                <c:pt idx="132">
                  <c:v>42410</c:v>
                </c:pt>
                <c:pt idx="133">
                  <c:v>42411</c:v>
                </c:pt>
                <c:pt idx="134">
                  <c:v>42412</c:v>
                </c:pt>
                <c:pt idx="135">
                  <c:v>42413</c:v>
                </c:pt>
                <c:pt idx="136">
                  <c:v>42414</c:v>
                </c:pt>
                <c:pt idx="137">
                  <c:v>42415</c:v>
                </c:pt>
                <c:pt idx="138">
                  <c:v>42416</c:v>
                </c:pt>
                <c:pt idx="139">
                  <c:v>42417</c:v>
                </c:pt>
                <c:pt idx="140">
                  <c:v>42418</c:v>
                </c:pt>
                <c:pt idx="141">
                  <c:v>42419</c:v>
                </c:pt>
                <c:pt idx="142">
                  <c:v>42420</c:v>
                </c:pt>
                <c:pt idx="143">
                  <c:v>42421</c:v>
                </c:pt>
                <c:pt idx="144">
                  <c:v>42422</c:v>
                </c:pt>
                <c:pt idx="145">
                  <c:v>42423</c:v>
                </c:pt>
                <c:pt idx="146">
                  <c:v>42424</c:v>
                </c:pt>
                <c:pt idx="147">
                  <c:v>42425</c:v>
                </c:pt>
                <c:pt idx="148">
                  <c:v>42426</c:v>
                </c:pt>
                <c:pt idx="149">
                  <c:v>42427</c:v>
                </c:pt>
                <c:pt idx="150">
                  <c:v>42428</c:v>
                </c:pt>
                <c:pt idx="151">
                  <c:v>42429</c:v>
                </c:pt>
                <c:pt idx="152">
                  <c:v>42430</c:v>
                </c:pt>
                <c:pt idx="153">
                  <c:v>42431</c:v>
                </c:pt>
                <c:pt idx="154">
                  <c:v>42432</c:v>
                </c:pt>
                <c:pt idx="155">
                  <c:v>42433</c:v>
                </c:pt>
                <c:pt idx="156">
                  <c:v>42434</c:v>
                </c:pt>
                <c:pt idx="157">
                  <c:v>42435</c:v>
                </c:pt>
                <c:pt idx="158">
                  <c:v>42436</c:v>
                </c:pt>
                <c:pt idx="159">
                  <c:v>42437</c:v>
                </c:pt>
                <c:pt idx="160">
                  <c:v>42438</c:v>
                </c:pt>
                <c:pt idx="161">
                  <c:v>42439</c:v>
                </c:pt>
                <c:pt idx="162">
                  <c:v>42440</c:v>
                </c:pt>
                <c:pt idx="163">
                  <c:v>42441</c:v>
                </c:pt>
                <c:pt idx="164">
                  <c:v>42442</c:v>
                </c:pt>
                <c:pt idx="165">
                  <c:v>42443</c:v>
                </c:pt>
                <c:pt idx="166">
                  <c:v>42444</c:v>
                </c:pt>
                <c:pt idx="167">
                  <c:v>42445</c:v>
                </c:pt>
                <c:pt idx="168">
                  <c:v>42446</c:v>
                </c:pt>
                <c:pt idx="169">
                  <c:v>42447</c:v>
                </c:pt>
                <c:pt idx="170">
                  <c:v>42448</c:v>
                </c:pt>
                <c:pt idx="171">
                  <c:v>42449</c:v>
                </c:pt>
                <c:pt idx="172">
                  <c:v>42450</c:v>
                </c:pt>
                <c:pt idx="173">
                  <c:v>42451</c:v>
                </c:pt>
                <c:pt idx="174">
                  <c:v>42452</c:v>
                </c:pt>
                <c:pt idx="175">
                  <c:v>42453</c:v>
                </c:pt>
                <c:pt idx="176">
                  <c:v>42454</c:v>
                </c:pt>
                <c:pt idx="177">
                  <c:v>42455</c:v>
                </c:pt>
                <c:pt idx="178">
                  <c:v>42456</c:v>
                </c:pt>
                <c:pt idx="179">
                  <c:v>42457</c:v>
                </c:pt>
                <c:pt idx="180">
                  <c:v>42458</c:v>
                </c:pt>
                <c:pt idx="181">
                  <c:v>42459</c:v>
                </c:pt>
                <c:pt idx="182">
                  <c:v>42460</c:v>
                </c:pt>
                <c:pt idx="183">
                  <c:v>42461</c:v>
                </c:pt>
                <c:pt idx="184">
                  <c:v>42462</c:v>
                </c:pt>
                <c:pt idx="185">
                  <c:v>42463</c:v>
                </c:pt>
                <c:pt idx="186">
                  <c:v>42464</c:v>
                </c:pt>
                <c:pt idx="187">
                  <c:v>42465</c:v>
                </c:pt>
                <c:pt idx="188">
                  <c:v>42466</c:v>
                </c:pt>
                <c:pt idx="189">
                  <c:v>42467</c:v>
                </c:pt>
                <c:pt idx="190">
                  <c:v>42468</c:v>
                </c:pt>
                <c:pt idx="191">
                  <c:v>42469</c:v>
                </c:pt>
                <c:pt idx="192">
                  <c:v>42470</c:v>
                </c:pt>
                <c:pt idx="193">
                  <c:v>42471</c:v>
                </c:pt>
                <c:pt idx="194">
                  <c:v>42472</c:v>
                </c:pt>
                <c:pt idx="195">
                  <c:v>42473</c:v>
                </c:pt>
                <c:pt idx="196">
                  <c:v>42474</c:v>
                </c:pt>
                <c:pt idx="197">
                  <c:v>42475</c:v>
                </c:pt>
                <c:pt idx="198">
                  <c:v>42476</c:v>
                </c:pt>
                <c:pt idx="199">
                  <c:v>42477</c:v>
                </c:pt>
                <c:pt idx="200">
                  <c:v>42478</c:v>
                </c:pt>
                <c:pt idx="201">
                  <c:v>42479</c:v>
                </c:pt>
                <c:pt idx="202">
                  <c:v>42480</c:v>
                </c:pt>
                <c:pt idx="203">
                  <c:v>42481</c:v>
                </c:pt>
                <c:pt idx="204">
                  <c:v>42482</c:v>
                </c:pt>
                <c:pt idx="205">
                  <c:v>42483</c:v>
                </c:pt>
                <c:pt idx="206">
                  <c:v>42484</c:v>
                </c:pt>
                <c:pt idx="207">
                  <c:v>42485</c:v>
                </c:pt>
                <c:pt idx="208">
                  <c:v>42486</c:v>
                </c:pt>
                <c:pt idx="209">
                  <c:v>42487</c:v>
                </c:pt>
                <c:pt idx="210">
                  <c:v>42488</c:v>
                </c:pt>
                <c:pt idx="211">
                  <c:v>42489</c:v>
                </c:pt>
                <c:pt idx="212">
                  <c:v>42490</c:v>
                </c:pt>
                <c:pt idx="213">
                  <c:v>42491</c:v>
                </c:pt>
                <c:pt idx="214">
                  <c:v>42492</c:v>
                </c:pt>
                <c:pt idx="215">
                  <c:v>42493</c:v>
                </c:pt>
                <c:pt idx="216">
                  <c:v>42494</c:v>
                </c:pt>
                <c:pt idx="217">
                  <c:v>42495</c:v>
                </c:pt>
                <c:pt idx="218">
                  <c:v>42496</c:v>
                </c:pt>
                <c:pt idx="219">
                  <c:v>42497</c:v>
                </c:pt>
                <c:pt idx="220">
                  <c:v>42498</c:v>
                </c:pt>
                <c:pt idx="221">
                  <c:v>42499</c:v>
                </c:pt>
                <c:pt idx="222">
                  <c:v>42500</c:v>
                </c:pt>
                <c:pt idx="223">
                  <c:v>42501</c:v>
                </c:pt>
                <c:pt idx="224">
                  <c:v>42502</c:v>
                </c:pt>
                <c:pt idx="225">
                  <c:v>42503</c:v>
                </c:pt>
                <c:pt idx="226">
                  <c:v>42504</c:v>
                </c:pt>
                <c:pt idx="227">
                  <c:v>42505</c:v>
                </c:pt>
                <c:pt idx="228">
                  <c:v>42506</c:v>
                </c:pt>
                <c:pt idx="229">
                  <c:v>42507</c:v>
                </c:pt>
                <c:pt idx="230">
                  <c:v>42508</c:v>
                </c:pt>
                <c:pt idx="231">
                  <c:v>42509</c:v>
                </c:pt>
                <c:pt idx="232">
                  <c:v>42510</c:v>
                </c:pt>
                <c:pt idx="233">
                  <c:v>42511</c:v>
                </c:pt>
                <c:pt idx="234">
                  <c:v>42512</c:v>
                </c:pt>
                <c:pt idx="235">
                  <c:v>42513</c:v>
                </c:pt>
                <c:pt idx="236">
                  <c:v>42514</c:v>
                </c:pt>
                <c:pt idx="237">
                  <c:v>42515</c:v>
                </c:pt>
                <c:pt idx="238">
                  <c:v>42516</c:v>
                </c:pt>
                <c:pt idx="239">
                  <c:v>42517</c:v>
                </c:pt>
                <c:pt idx="240">
                  <c:v>42518</c:v>
                </c:pt>
                <c:pt idx="241">
                  <c:v>42519</c:v>
                </c:pt>
                <c:pt idx="242">
                  <c:v>42520</c:v>
                </c:pt>
                <c:pt idx="243">
                  <c:v>42521</c:v>
                </c:pt>
                <c:pt idx="244">
                  <c:v>42522</c:v>
                </c:pt>
                <c:pt idx="245">
                  <c:v>42523</c:v>
                </c:pt>
                <c:pt idx="246">
                  <c:v>42524</c:v>
                </c:pt>
                <c:pt idx="247">
                  <c:v>42525</c:v>
                </c:pt>
                <c:pt idx="248">
                  <c:v>42526</c:v>
                </c:pt>
                <c:pt idx="249">
                  <c:v>42527</c:v>
                </c:pt>
                <c:pt idx="250">
                  <c:v>42528</c:v>
                </c:pt>
                <c:pt idx="251">
                  <c:v>42529</c:v>
                </c:pt>
                <c:pt idx="252">
                  <c:v>42530</c:v>
                </c:pt>
                <c:pt idx="253">
                  <c:v>42531</c:v>
                </c:pt>
                <c:pt idx="254">
                  <c:v>42532</c:v>
                </c:pt>
                <c:pt idx="255">
                  <c:v>42533</c:v>
                </c:pt>
                <c:pt idx="256">
                  <c:v>42534</c:v>
                </c:pt>
                <c:pt idx="257">
                  <c:v>42535</c:v>
                </c:pt>
                <c:pt idx="258">
                  <c:v>42536</c:v>
                </c:pt>
                <c:pt idx="259">
                  <c:v>42537</c:v>
                </c:pt>
                <c:pt idx="260">
                  <c:v>42538</c:v>
                </c:pt>
                <c:pt idx="261">
                  <c:v>42539</c:v>
                </c:pt>
                <c:pt idx="262">
                  <c:v>42540</c:v>
                </c:pt>
                <c:pt idx="263">
                  <c:v>42541</c:v>
                </c:pt>
                <c:pt idx="264">
                  <c:v>42542</c:v>
                </c:pt>
                <c:pt idx="265">
                  <c:v>42543</c:v>
                </c:pt>
                <c:pt idx="266">
                  <c:v>42544</c:v>
                </c:pt>
                <c:pt idx="267">
                  <c:v>42545</c:v>
                </c:pt>
                <c:pt idx="268">
                  <c:v>42546</c:v>
                </c:pt>
                <c:pt idx="269">
                  <c:v>42547</c:v>
                </c:pt>
                <c:pt idx="270">
                  <c:v>42548</c:v>
                </c:pt>
                <c:pt idx="271">
                  <c:v>42549</c:v>
                </c:pt>
                <c:pt idx="272">
                  <c:v>42550</c:v>
                </c:pt>
                <c:pt idx="273">
                  <c:v>42551</c:v>
                </c:pt>
                <c:pt idx="274">
                  <c:v>42552</c:v>
                </c:pt>
                <c:pt idx="275">
                  <c:v>42553</c:v>
                </c:pt>
                <c:pt idx="276">
                  <c:v>42554</c:v>
                </c:pt>
                <c:pt idx="277">
                  <c:v>42555</c:v>
                </c:pt>
                <c:pt idx="278">
                  <c:v>42556</c:v>
                </c:pt>
                <c:pt idx="279">
                  <c:v>42557</c:v>
                </c:pt>
                <c:pt idx="280">
                  <c:v>42558</c:v>
                </c:pt>
                <c:pt idx="281">
                  <c:v>42559</c:v>
                </c:pt>
                <c:pt idx="282">
                  <c:v>42560</c:v>
                </c:pt>
                <c:pt idx="283">
                  <c:v>42561</c:v>
                </c:pt>
                <c:pt idx="284">
                  <c:v>42562</c:v>
                </c:pt>
                <c:pt idx="285">
                  <c:v>42563</c:v>
                </c:pt>
                <c:pt idx="286">
                  <c:v>42564</c:v>
                </c:pt>
                <c:pt idx="287">
                  <c:v>42565</c:v>
                </c:pt>
                <c:pt idx="288">
                  <c:v>42566</c:v>
                </c:pt>
                <c:pt idx="289">
                  <c:v>42567</c:v>
                </c:pt>
                <c:pt idx="290">
                  <c:v>42568</c:v>
                </c:pt>
                <c:pt idx="291">
                  <c:v>42569</c:v>
                </c:pt>
                <c:pt idx="292">
                  <c:v>42570</c:v>
                </c:pt>
                <c:pt idx="293">
                  <c:v>42571</c:v>
                </c:pt>
                <c:pt idx="294">
                  <c:v>42572</c:v>
                </c:pt>
                <c:pt idx="295">
                  <c:v>42573</c:v>
                </c:pt>
                <c:pt idx="296">
                  <c:v>42574</c:v>
                </c:pt>
                <c:pt idx="297">
                  <c:v>42575</c:v>
                </c:pt>
                <c:pt idx="298">
                  <c:v>42576</c:v>
                </c:pt>
                <c:pt idx="299">
                  <c:v>42577</c:v>
                </c:pt>
                <c:pt idx="300">
                  <c:v>42578</c:v>
                </c:pt>
                <c:pt idx="301">
                  <c:v>42579</c:v>
                </c:pt>
                <c:pt idx="302">
                  <c:v>42580</c:v>
                </c:pt>
                <c:pt idx="303">
                  <c:v>42581</c:v>
                </c:pt>
                <c:pt idx="304">
                  <c:v>42582</c:v>
                </c:pt>
                <c:pt idx="305">
                  <c:v>42583</c:v>
                </c:pt>
                <c:pt idx="306">
                  <c:v>42584</c:v>
                </c:pt>
                <c:pt idx="307">
                  <c:v>42585</c:v>
                </c:pt>
                <c:pt idx="308">
                  <c:v>42586</c:v>
                </c:pt>
                <c:pt idx="309">
                  <c:v>42587</c:v>
                </c:pt>
                <c:pt idx="310">
                  <c:v>42588</c:v>
                </c:pt>
                <c:pt idx="311">
                  <c:v>42589</c:v>
                </c:pt>
                <c:pt idx="312">
                  <c:v>42590</c:v>
                </c:pt>
                <c:pt idx="313">
                  <c:v>42591</c:v>
                </c:pt>
                <c:pt idx="314">
                  <c:v>42592</c:v>
                </c:pt>
                <c:pt idx="315">
                  <c:v>42593</c:v>
                </c:pt>
                <c:pt idx="316">
                  <c:v>42594</c:v>
                </c:pt>
                <c:pt idx="317">
                  <c:v>42595</c:v>
                </c:pt>
                <c:pt idx="318">
                  <c:v>42596</c:v>
                </c:pt>
                <c:pt idx="319">
                  <c:v>42597</c:v>
                </c:pt>
                <c:pt idx="320">
                  <c:v>42598</c:v>
                </c:pt>
                <c:pt idx="321">
                  <c:v>42599</c:v>
                </c:pt>
                <c:pt idx="322">
                  <c:v>42600</c:v>
                </c:pt>
                <c:pt idx="323">
                  <c:v>42601</c:v>
                </c:pt>
                <c:pt idx="324">
                  <c:v>42602</c:v>
                </c:pt>
                <c:pt idx="325">
                  <c:v>42603</c:v>
                </c:pt>
                <c:pt idx="326">
                  <c:v>42604</c:v>
                </c:pt>
                <c:pt idx="327">
                  <c:v>42605</c:v>
                </c:pt>
                <c:pt idx="328">
                  <c:v>42606</c:v>
                </c:pt>
                <c:pt idx="329">
                  <c:v>42607</c:v>
                </c:pt>
                <c:pt idx="330">
                  <c:v>42608</c:v>
                </c:pt>
                <c:pt idx="331">
                  <c:v>42609</c:v>
                </c:pt>
                <c:pt idx="332">
                  <c:v>42610</c:v>
                </c:pt>
                <c:pt idx="333">
                  <c:v>42611</c:v>
                </c:pt>
                <c:pt idx="334">
                  <c:v>42612</c:v>
                </c:pt>
                <c:pt idx="335">
                  <c:v>42613</c:v>
                </c:pt>
                <c:pt idx="336">
                  <c:v>42614</c:v>
                </c:pt>
                <c:pt idx="337">
                  <c:v>42615</c:v>
                </c:pt>
                <c:pt idx="338">
                  <c:v>42616</c:v>
                </c:pt>
                <c:pt idx="339">
                  <c:v>42617</c:v>
                </c:pt>
                <c:pt idx="340">
                  <c:v>42618</c:v>
                </c:pt>
                <c:pt idx="341">
                  <c:v>42619</c:v>
                </c:pt>
                <c:pt idx="342">
                  <c:v>42620</c:v>
                </c:pt>
                <c:pt idx="343">
                  <c:v>42621</c:v>
                </c:pt>
                <c:pt idx="344">
                  <c:v>42622</c:v>
                </c:pt>
                <c:pt idx="345">
                  <c:v>42623</c:v>
                </c:pt>
                <c:pt idx="346">
                  <c:v>42624</c:v>
                </c:pt>
                <c:pt idx="347">
                  <c:v>42625</c:v>
                </c:pt>
                <c:pt idx="348">
                  <c:v>42626</c:v>
                </c:pt>
                <c:pt idx="349">
                  <c:v>42627</c:v>
                </c:pt>
                <c:pt idx="350">
                  <c:v>42628</c:v>
                </c:pt>
                <c:pt idx="351">
                  <c:v>42629</c:v>
                </c:pt>
                <c:pt idx="352">
                  <c:v>42630</c:v>
                </c:pt>
                <c:pt idx="353">
                  <c:v>42631</c:v>
                </c:pt>
                <c:pt idx="354">
                  <c:v>42632</c:v>
                </c:pt>
                <c:pt idx="355">
                  <c:v>42633</c:v>
                </c:pt>
                <c:pt idx="356">
                  <c:v>42634</c:v>
                </c:pt>
                <c:pt idx="357">
                  <c:v>42635</c:v>
                </c:pt>
                <c:pt idx="358">
                  <c:v>42636</c:v>
                </c:pt>
                <c:pt idx="359">
                  <c:v>42637</c:v>
                </c:pt>
                <c:pt idx="360">
                  <c:v>42638</c:v>
                </c:pt>
                <c:pt idx="361">
                  <c:v>42639</c:v>
                </c:pt>
                <c:pt idx="362">
                  <c:v>42640</c:v>
                </c:pt>
                <c:pt idx="363">
                  <c:v>42641</c:v>
                </c:pt>
                <c:pt idx="364">
                  <c:v>42642</c:v>
                </c:pt>
                <c:pt idx="365">
                  <c:v>42643</c:v>
                </c:pt>
                <c:pt idx="366">
                  <c:v>42644</c:v>
                </c:pt>
                <c:pt idx="367">
                  <c:v>42645</c:v>
                </c:pt>
                <c:pt idx="368">
                  <c:v>42646</c:v>
                </c:pt>
                <c:pt idx="369">
                  <c:v>42647</c:v>
                </c:pt>
                <c:pt idx="370">
                  <c:v>42648</c:v>
                </c:pt>
                <c:pt idx="371">
                  <c:v>42649</c:v>
                </c:pt>
                <c:pt idx="372">
                  <c:v>42650</c:v>
                </c:pt>
                <c:pt idx="373">
                  <c:v>42651</c:v>
                </c:pt>
                <c:pt idx="374">
                  <c:v>42652</c:v>
                </c:pt>
                <c:pt idx="375">
                  <c:v>42653</c:v>
                </c:pt>
                <c:pt idx="376">
                  <c:v>42654</c:v>
                </c:pt>
                <c:pt idx="377">
                  <c:v>42655</c:v>
                </c:pt>
                <c:pt idx="378">
                  <c:v>42656</c:v>
                </c:pt>
                <c:pt idx="379">
                  <c:v>42657</c:v>
                </c:pt>
                <c:pt idx="380">
                  <c:v>42658</c:v>
                </c:pt>
                <c:pt idx="381">
                  <c:v>42659</c:v>
                </c:pt>
                <c:pt idx="382">
                  <c:v>42660</c:v>
                </c:pt>
                <c:pt idx="383">
                  <c:v>42661</c:v>
                </c:pt>
                <c:pt idx="384">
                  <c:v>42662</c:v>
                </c:pt>
                <c:pt idx="385">
                  <c:v>42663</c:v>
                </c:pt>
                <c:pt idx="386">
                  <c:v>42664</c:v>
                </c:pt>
                <c:pt idx="387">
                  <c:v>42665</c:v>
                </c:pt>
                <c:pt idx="388">
                  <c:v>42666</c:v>
                </c:pt>
                <c:pt idx="389">
                  <c:v>42667</c:v>
                </c:pt>
                <c:pt idx="390">
                  <c:v>42668</c:v>
                </c:pt>
                <c:pt idx="391">
                  <c:v>42669</c:v>
                </c:pt>
                <c:pt idx="392">
                  <c:v>42670</c:v>
                </c:pt>
                <c:pt idx="393">
                  <c:v>42671</c:v>
                </c:pt>
                <c:pt idx="394">
                  <c:v>42672</c:v>
                </c:pt>
                <c:pt idx="395">
                  <c:v>42673</c:v>
                </c:pt>
                <c:pt idx="396">
                  <c:v>42674</c:v>
                </c:pt>
                <c:pt idx="397">
                  <c:v>42675</c:v>
                </c:pt>
                <c:pt idx="398">
                  <c:v>42676</c:v>
                </c:pt>
                <c:pt idx="399">
                  <c:v>42677</c:v>
                </c:pt>
                <c:pt idx="400">
                  <c:v>42678</c:v>
                </c:pt>
                <c:pt idx="401">
                  <c:v>42679</c:v>
                </c:pt>
                <c:pt idx="402">
                  <c:v>42680</c:v>
                </c:pt>
                <c:pt idx="403">
                  <c:v>42681</c:v>
                </c:pt>
                <c:pt idx="404">
                  <c:v>42682</c:v>
                </c:pt>
                <c:pt idx="405">
                  <c:v>42683</c:v>
                </c:pt>
                <c:pt idx="406">
                  <c:v>42684</c:v>
                </c:pt>
                <c:pt idx="407">
                  <c:v>42685</c:v>
                </c:pt>
                <c:pt idx="408">
                  <c:v>42686</c:v>
                </c:pt>
                <c:pt idx="409">
                  <c:v>42687</c:v>
                </c:pt>
                <c:pt idx="410">
                  <c:v>42688</c:v>
                </c:pt>
                <c:pt idx="411">
                  <c:v>42689</c:v>
                </c:pt>
                <c:pt idx="412">
                  <c:v>42690</c:v>
                </c:pt>
                <c:pt idx="413">
                  <c:v>42691</c:v>
                </c:pt>
                <c:pt idx="414">
                  <c:v>42692</c:v>
                </c:pt>
                <c:pt idx="415">
                  <c:v>42693</c:v>
                </c:pt>
                <c:pt idx="416">
                  <c:v>42694</c:v>
                </c:pt>
                <c:pt idx="417">
                  <c:v>42695</c:v>
                </c:pt>
                <c:pt idx="418">
                  <c:v>42696</c:v>
                </c:pt>
                <c:pt idx="419">
                  <c:v>42697</c:v>
                </c:pt>
                <c:pt idx="420">
                  <c:v>42698</c:v>
                </c:pt>
                <c:pt idx="421">
                  <c:v>42699</c:v>
                </c:pt>
                <c:pt idx="422">
                  <c:v>42700</c:v>
                </c:pt>
                <c:pt idx="423">
                  <c:v>42701</c:v>
                </c:pt>
                <c:pt idx="424">
                  <c:v>42702</c:v>
                </c:pt>
                <c:pt idx="425">
                  <c:v>42703</c:v>
                </c:pt>
                <c:pt idx="426">
                  <c:v>42704</c:v>
                </c:pt>
                <c:pt idx="427">
                  <c:v>42705</c:v>
                </c:pt>
                <c:pt idx="428">
                  <c:v>42706</c:v>
                </c:pt>
                <c:pt idx="429">
                  <c:v>42707</c:v>
                </c:pt>
                <c:pt idx="430">
                  <c:v>42708</c:v>
                </c:pt>
                <c:pt idx="431">
                  <c:v>42709</c:v>
                </c:pt>
                <c:pt idx="432">
                  <c:v>42710</c:v>
                </c:pt>
                <c:pt idx="433">
                  <c:v>42711</c:v>
                </c:pt>
                <c:pt idx="434">
                  <c:v>42712</c:v>
                </c:pt>
                <c:pt idx="435">
                  <c:v>42713</c:v>
                </c:pt>
                <c:pt idx="436">
                  <c:v>42714</c:v>
                </c:pt>
                <c:pt idx="437">
                  <c:v>42715</c:v>
                </c:pt>
                <c:pt idx="438">
                  <c:v>42716</c:v>
                </c:pt>
                <c:pt idx="439">
                  <c:v>42717</c:v>
                </c:pt>
                <c:pt idx="440">
                  <c:v>42718</c:v>
                </c:pt>
                <c:pt idx="441">
                  <c:v>42719</c:v>
                </c:pt>
                <c:pt idx="442">
                  <c:v>42720</c:v>
                </c:pt>
                <c:pt idx="443">
                  <c:v>42721</c:v>
                </c:pt>
                <c:pt idx="444">
                  <c:v>42722</c:v>
                </c:pt>
                <c:pt idx="445">
                  <c:v>42723</c:v>
                </c:pt>
                <c:pt idx="446">
                  <c:v>42724</c:v>
                </c:pt>
                <c:pt idx="447">
                  <c:v>42725</c:v>
                </c:pt>
                <c:pt idx="448">
                  <c:v>42726</c:v>
                </c:pt>
                <c:pt idx="449">
                  <c:v>42727</c:v>
                </c:pt>
                <c:pt idx="450">
                  <c:v>42728</c:v>
                </c:pt>
                <c:pt idx="451">
                  <c:v>42729</c:v>
                </c:pt>
                <c:pt idx="452">
                  <c:v>42730</c:v>
                </c:pt>
                <c:pt idx="453">
                  <c:v>42731</c:v>
                </c:pt>
                <c:pt idx="454">
                  <c:v>42732</c:v>
                </c:pt>
                <c:pt idx="455">
                  <c:v>42733</c:v>
                </c:pt>
                <c:pt idx="456">
                  <c:v>42734</c:v>
                </c:pt>
                <c:pt idx="457">
                  <c:v>42735</c:v>
                </c:pt>
                <c:pt idx="458">
                  <c:v>42736</c:v>
                </c:pt>
                <c:pt idx="459">
                  <c:v>42737</c:v>
                </c:pt>
                <c:pt idx="460">
                  <c:v>42738</c:v>
                </c:pt>
                <c:pt idx="461">
                  <c:v>42739</c:v>
                </c:pt>
                <c:pt idx="462">
                  <c:v>42740</c:v>
                </c:pt>
                <c:pt idx="463">
                  <c:v>42741</c:v>
                </c:pt>
                <c:pt idx="464">
                  <c:v>42742</c:v>
                </c:pt>
                <c:pt idx="465">
                  <c:v>42743</c:v>
                </c:pt>
                <c:pt idx="466">
                  <c:v>42744</c:v>
                </c:pt>
                <c:pt idx="467">
                  <c:v>42745</c:v>
                </c:pt>
                <c:pt idx="468">
                  <c:v>42746</c:v>
                </c:pt>
                <c:pt idx="469">
                  <c:v>42747</c:v>
                </c:pt>
                <c:pt idx="470">
                  <c:v>42748</c:v>
                </c:pt>
                <c:pt idx="471">
                  <c:v>42749</c:v>
                </c:pt>
                <c:pt idx="472">
                  <c:v>42750</c:v>
                </c:pt>
                <c:pt idx="473">
                  <c:v>42751</c:v>
                </c:pt>
                <c:pt idx="474">
                  <c:v>42752</c:v>
                </c:pt>
                <c:pt idx="475">
                  <c:v>42753</c:v>
                </c:pt>
                <c:pt idx="476">
                  <c:v>42754</c:v>
                </c:pt>
                <c:pt idx="477">
                  <c:v>42755</c:v>
                </c:pt>
                <c:pt idx="478">
                  <c:v>42756</c:v>
                </c:pt>
                <c:pt idx="479">
                  <c:v>42757</c:v>
                </c:pt>
                <c:pt idx="480">
                  <c:v>42758</c:v>
                </c:pt>
                <c:pt idx="481">
                  <c:v>42759</c:v>
                </c:pt>
                <c:pt idx="482">
                  <c:v>42760</c:v>
                </c:pt>
                <c:pt idx="483">
                  <c:v>42761</c:v>
                </c:pt>
                <c:pt idx="484">
                  <c:v>42762</c:v>
                </c:pt>
                <c:pt idx="485">
                  <c:v>42763</c:v>
                </c:pt>
                <c:pt idx="486">
                  <c:v>42764</c:v>
                </c:pt>
                <c:pt idx="487">
                  <c:v>42765</c:v>
                </c:pt>
                <c:pt idx="488">
                  <c:v>42766</c:v>
                </c:pt>
                <c:pt idx="489">
                  <c:v>42767</c:v>
                </c:pt>
                <c:pt idx="490">
                  <c:v>42768</c:v>
                </c:pt>
                <c:pt idx="491">
                  <c:v>42769</c:v>
                </c:pt>
                <c:pt idx="492">
                  <c:v>42770</c:v>
                </c:pt>
                <c:pt idx="493">
                  <c:v>42771</c:v>
                </c:pt>
                <c:pt idx="494">
                  <c:v>42772</c:v>
                </c:pt>
                <c:pt idx="495">
                  <c:v>42773</c:v>
                </c:pt>
                <c:pt idx="496">
                  <c:v>42774</c:v>
                </c:pt>
                <c:pt idx="497">
                  <c:v>42775</c:v>
                </c:pt>
                <c:pt idx="498">
                  <c:v>42776</c:v>
                </c:pt>
                <c:pt idx="499">
                  <c:v>42777</c:v>
                </c:pt>
                <c:pt idx="500">
                  <c:v>42778</c:v>
                </c:pt>
                <c:pt idx="501">
                  <c:v>42779</c:v>
                </c:pt>
                <c:pt idx="502">
                  <c:v>42780</c:v>
                </c:pt>
                <c:pt idx="503">
                  <c:v>42781</c:v>
                </c:pt>
                <c:pt idx="504">
                  <c:v>42782</c:v>
                </c:pt>
                <c:pt idx="505">
                  <c:v>42783</c:v>
                </c:pt>
                <c:pt idx="506">
                  <c:v>42784</c:v>
                </c:pt>
                <c:pt idx="507">
                  <c:v>42785</c:v>
                </c:pt>
                <c:pt idx="508">
                  <c:v>42786</c:v>
                </c:pt>
                <c:pt idx="509">
                  <c:v>42787</c:v>
                </c:pt>
                <c:pt idx="510">
                  <c:v>42788</c:v>
                </c:pt>
                <c:pt idx="511">
                  <c:v>42789</c:v>
                </c:pt>
                <c:pt idx="512">
                  <c:v>42790</c:v>
                </c:pt>
                <c:pt idx="513">
                  <c:v>42791</c:v>
                </c:pt>
                <c:pt idx="514">
                  <c:v>42792</c:v>
                </c:pt>
                <c:pt idx="515">
                  <c:v>42793</c:v>
                </c:pt>
                <c:pt idx="516">
                  <c:v>42794</c:v>
                </c:pt>
                <c:pt idx="517">
                  <c:v>42795</c:v>
                </c:pt>
                <c:pt idx="518">
                  <c:v>42796</c:v>
                </c:pt>
                <c:pt idx="519">
                  <c:v>42797</c:v>
                </c:pt>
                <c:pt idx="520">
                  <c:v>42798</c:v>
                </c:pt>
                <c:pt idx="521">
                  <c:v>42799</c:v>
                </c:pt>
                <c:pt idx="522">
                  <c:v>42800</c:v>
                </c:pt>
                <c:pt idx="523">
                  <c:v>42801</c:v>
                </c:pt>
                <c:pt idx="524">
                  <c:v>42802</c:v>
                </c:pt>
                <c:pt idx="525">
                  <c:v>42803</c:v>
                </c:pt>
                <c:pt idx="526">
                  <c:v>42804</c:v>
                </c:pt>
                <c:pt idx="527">
                  <c:v>42805</c:v>
                </c:pt>
                <c:pt idx="528">
                  <c:v>42806</c:v>
                </c:pt>
                <c:pt idx="529">
                  <c:v>42807</c:v>
                </c:pt>
                <c:pt idx="530">
                  <c:v>42808</c:v>
                </c:pt>
                <c:pt idx="531">
                  <c:v>42809</c:v>
                </c:pt>
                <c:pt idx="532">
                  <c:v>42810</c:v>
                </c:pt>
                <c:pt idx="533">
                  <c:v>42811</c:v>
                </c:pt>
                <c:pt idx="534">
                  <c:v>42812</c:v>
                </c:pt>
                <c:pt idx="535">
                  <c:v>42813</c:v>
                </c:pt>
                <c:pt idx="536">
                  <c:v>42814</c:v>
                </c:pt>
                <c:pt idx="537">
                  <c:v>42815</c:v>
                </c:pt>
                <c:pt idx="538">
                  <c:v>42816</c:v>
                </c:pt>
                <c:pt idx="539">
                  <c:v>42817</c:v>
                </c:pt>
                <c:pt idx="540">
                  <c:v>42818</c:v>
                </c:pt>
                <c:pt idx="541">
                  <c:v>42819</c:v>
                </c:pt>
                <c:pt idx="542">
                  <c:v>42820</c:v>
                </c:pt>
                <c:pt idx="543">
                  <c:v>42821</c:v>
                </c:pt>
                <c:pt idx="544">
                  <c:v>42822</c:v>
                </c:pt>
                <c:pt idx="545">
                  <c:v>42823</c:v>
                </c:pt>
                <c:pt idx="546">
                  <c:v>42824</c:v>
                </c:pt>
                <c:pt idx="547">
                  <c:v>42825</c:v>
                </c:pt>
                <c:pt idx="548">
                  <c:v>42826</c:v>
                </c:pt>
                <c:pt idx="549">
                  <c:v>42827</c:v>
                </c:pt>
                <c:pt idx="550">
                  <c:v>42828</c:v>
                </c:pt>
                <c:pt idx="551">
                  <c:v>42829</c:v>
                </c:pt>
                <c:pt idx="552">
                  <c:v>42830</c:v>
                </c:pt>
                <c:pt idx="553">
                  <c:v>42831</c:v>
                </c:pt>
                <c:pt idx="554">
                  <c:v>42832</c:v>
                </c:pt>
                <c:pt idx="555">
                  <c:v>42833</c:v>
                </c:pt>
                <c:pt idx="556">
                  <c:v>42834</c:v>
                </c:pt>
                <c:pt idx="557">
                  <c:v>42835</c:v>
                </c:pt>
                <c:pt idx="558">
                  <c:v>42836</c:v>
                </c:pt>
                <c:pt idx="559">
                  <c:v>42837</c:v>
                </c:pt>
                <c:pt idx="560">
                  <c:v>42838</c:v>
                </c:pt>
                <c:pt idx="561">
                  <c:v>42839</c:v>
                </c:pt>
                <c:pt idx="562">
                  <c:v>42840</c:v>
                </c:pt>
                <c:pt idx="563">
                  <c:v>42841</c:v>
                </c:pt>
                <c:pt idx="564">
                  <c:v>42842</c:v>
                </c:pt>
                <c:pt idx="565">
                  <c:v>42843</c:v>
                </c:pt>
                <c:pt idx="566">
                  <c:v>42844</c:v>
                </c:pt>
                <c:pt idx="567">
                  <c:v>42845</c:v>
                </c:pt>
                <c:pt idx="568">
                  <c:v>42846</c:v>
                </c:pt>
                <c:pt idx="569">
                  <c:v>42847</c:v>
                </c:pt>
                <c:pt idx="570">
                  <c:v>42848</c:v>
                </c:pt>
                <c:pt idx="571">
                  <c:v>42849</c:v>
                </c:pt>
                <c:pt idx="572">
                  <c:v>42850</c:v>
                </c:pt>
                <c:pt idx="573">
                  <c:v>42851</c:v>
                </c:pt>
                <c:pt idx="574">
                  <c:v>42852</c:v>
                </c:pt>
                <c:pt idx="575">
                  <c:v>42853</c:v>
                </c:pt>
                <c:pt idx="576">
                  <c:v>42854</c:v>
                </c:pt>
                <c:pt idx="577">
                  <c:v>42855</c:v>
                </c:pt>
                <c:pt idx="578">
                  <c:v>42856</c:v>
                </c:pt>
                <c:pt idx="579">
                  <c:v>42857</c:v>
                </c:pt>
                <c:pt idx="580">
                  <c:v>42858</c:v>
                </c:pt>
                <c:pt idx="581">
                  <c:v>42859</c:v>
                </c:pt>
                <c:pt idx="582">
                  <c:v>42860</c:v>
                </c:pt>
                <c:pt idx="583">
                  <c:v>42861</c:v>
                </c:pt>
                <c:pt idx="584">
                  <c:v>42862</c:v>
                </c:pt>
                <c:pt idx="585">
                  <c:v>42863</c:v>
                </c:pt>
                <c:pt idx="586">
                  <c:v>42864</c:v>
                </c:pt>
                <c:pt idx="587">
                  <c:v>42865</c:v>
                </c:pt>
                <c:pt idx="588">
                  <c:v>42866</c:v>
                </c:pt>
                <c:pt idx="589">
                  <c:v>42867</c:v>
                </c:pt>
                <c:pt idx="590">
                  <c:v>42868</c:v>
                </c:pt>
                <c:pt idx="591">
                  <c:v>42869</c:v>
                </c:pt>
                <c:pt idx="592">
                  <c:v>42870</c:v>
                </c:pt>
                <c:pt idx="593">
                  <c:v>42871</c:v>
                </c:pt>
                <c:pt idx="594">
                  <c:v>42872</c:v>
                </c:pt>
                <c:pt idx="595">
                  <c:v>42873</c:v>
                </c:pt>
                <c:pt idx="596">
                  <c:v>42874</c:v>
                </c:pt>
                <c:pt idx="597">
                  <c:v>42875</c:v>
                </c:pt>
                <c:pt idx="598">
                  <c:v>42876</c:v>
                </c:pt>
                <c:pt idx="599">
                  <c:v>42877</c:v>
                </c:pt>
                <c:pt idx="600">
                  <c:v>42878</c:v>
                </c:pt>
                <c:pt idx="601">
                  <c:v>42879</c:v>
                </c:pt>
                <c:pt idx="602">
                  <c:v>42880</c:v>
                </c:pt>
                <c:pt idx="603">
                  <c:v>42881</c:v>
                </c:pt>
                <c:pt idx="604">
                  <c:v>42882</c:v>
                </c:pt>
                <c:pt idx="605">
                  <c:v>42883</c:v>
                </c:pt>
                <c:pt idx="606">
                  <c:v>42884</c:v>
                </c:pt>
                <c:pt idx="607">
                  <c:v>42885</c:v>
                </c:pt>
                <c:pt idx="608">
                  <c:v>42886</c:v>
                </c:pt>
                <c:pt idx="609">
                  <c:v>42887</c:v>
                </c:pt>
                <c:pt idx="610">
                  <c:v>42888</c:v>
                </c:pt>
                <c:pt idx="611">
                  <c:v>42889</c:v>
                </c:pt>
                <c:pt idx="612">
                  <c:v>42890</c:v>
                </c:pt>
                <c:pt idx="613">
                  <c:v>42891</c:v>
                </c:pt>
                <c:pt idx="614">
                  <c:v>42892</c:v>
                </c:pt>
                <c:pt idx="615">
                  <c:v>42893</c:v>
                </c:pt>
                <c:pt idx="616">
                  <c:v>42894</c:v>
                </c:pt>
                <c:pt idx="617">
                  <c:v>42895</c:v>
                </c:pt>
                <c:pt idx="618">
                  <c:v>42896</c:v>
                </c:pt>
                <c:pt idx="619">
                  <c:v>42897</c:v>
                </c:pt>
                <c:pt idx="620">
                  <c:v>42898</c:v>
                </c:pt>
                <c:pt idx="621">
                  <c:v>42899</c:v>
                </c:pt>
                <c:pt idx="622">
                  <c:v>42900</c:v>
                </c:pt>
                <c:pt idx="623">
                  <c:v>42901</c:v>
                </c:pt>
                <c:pt idx="624">
                  <c:v>42902</c:v>
                </c:pt>
                <c:pt idx="625">
                  <c:v>42903</c:v>
                </c:pt>
                <c:pt idx="626">
                  <c:v>42904</c:v>
                </c:pt>
                <c:pt idx="627">
                  <c:v>42905</c:v>
                </c:pt>
                <c:pt idx="628">
                  <c:v>42906</c:v>
                </c:pt>
                <c:pt idx="629">
                  <c:v>42907</c:v>
                </c:pt>
                <c:pt idx="630">
                  <c:v>42908</c:v>
                </c:pt>
                <c:pt idx="631">
                  <c:v>42909</c:v>
                </c:pt>
                <c:pt idx="632">
                  <c:v>42910</c:v>
                </c:pt>
                <c:pt idx="633">
                  <c:v>42911</c:v>
                </c:pt>
                <c:pt idx="634">
                  <c:v>42912</c:v>
                </c:pt>
                <c:pt idx="635">
                  <c:v>42913</c:v>
                </c:pt>
                <c:pt idx="636">
                  <c:v>42914</c:v>
                </c:pt>
                <c:pt idx="637">
                  <c:v>42915</c:v>
                </c:pt>
                <c:pt idx="638">
                  <c:v>42916</c:v>
                </c:pt>
                <c:pt idx="639">
                  <c:v>42917</c:v>
                </c:pt>
                <c:pt idx="640">
                  <c:v>42918</c:v>
                </c:pt>
                <c:pt idx="641">
                  <c:v>42919</c:v>
                </c:pt>
                <c:pt idx="642">
                  <c:v>42920</c:v>
                </c:pt>
                <c:pt idx="643">
                  <c:v>42921</c:v>
                </c:pt>
                <c:pt idx="644">
                  <c:v>42922</c:v>
                </c:pt>
                <c:pt idx="645">
                  <c:v>42923</c:v>
                </c:pt>
                <c:pt idx="646">
                  <c:v>42924</c:v>
                </c:pt>
                <c:pt idx="647">
                  <c:v>42925</c:v>
                </c:pt>
                <c:pt idx="648">
                  <c:v>42926</c:v>
                </c:pt>
                <c:pt idx="649">
                  <c:v>42927</c:v>
                </c:pt>
                <c:pt idx="650">
                  <c:v>42928</c:v>
                </c:pt>
                <c:pt idx="651">
                  <c:v>42929</c:v>
                </c:pt>
                <c:pt idx="652">
                  <c:v>42930</c:v>
                </c:pt>
                <c:pt idx="653">
                  <c:v>42931</c:v>
                </c:pt>
                <c:pt idx="654">
                  <c:v>42932</c:v>
                </c:pt>
                <c:pt idx="655">
                  <c:v>42933</c:v>
                </c:pt>
                <c:pt idx="656">
                  <c:v>42934</c:v>
                </c:pt>
                <c:pt idx="657">
                  <c:v>42935</c:v>
                </c:pt>
                <c:pt idx="658">
                  <c:v>42936</c:v>
                </c:pt>
                <c:pt idx="659">
                  <c:v>42937</c:v>
                </c:pt>
                <c:pt idx="660">
                  <c:v>42938</c:v>
                </c:pt>
                <c:pt idx="661">
                  <c:v>42939</c:v>
                </c:pt>
                <c:pt idx="662">
                  <c:v>42940</c:v>
                </c:pt>
                <c:pt idx="663">
                  <c:v>42941</c:v>
                </c:pt>
                <c:pt idx="664">
                  <c:v>42942</c:v>
                </c:pt>
                <c:pt idx="665">
                  <c:v>42943</c:v>
                </c:pt>
                <c:pt idx="666">
                  <c:v>42944</c:v>
                </c:pt>
                <c:pt idx="667">
                  <c:v>42945</c:v>
                </c:pt>
                <c:pt idx="668">
                  <c:v>42946</c:v>
                </c:pt>
                <c:pt idx="669">
                  <c:v>42947</c:v>
                </c:pt>
                <c:pt idx="670">
                  <c:v>42948</c:v>
                </c:pt>
                <c:pt idx="671">
                  <c:v>42949</c:v>
                </c:pt>
                <c:pt idx="672">
                  <c:v>42950</c:v>
                </c:pt>
                <c:pt idx="673">
                  <c:v>42951</c:v>
                </c:pt>
                <c:pt idx="674">
                  <c:v>42952</c:v>
                </c:pt>
                <c:pt idx="675">
                  <c:v>42953</c:v>
                </c:pt>
                <c:pt idx="676">
                  <c:v>42954</c:v>
                </c:pt>
                <c:pt idx="677">
                  <c:v>42955</c:v>
                </c:pt>
                <c:pt idx="678">
                  <c:v>42956</c:v>
                </c:pt>
                <c:pt idx="679">
                  <c:v>42957</c:v>
                </c:pt>
                <c:pt idx="680">
                  <c:v>42958</c:v>
                </c:pt>
                <c:pt idx="681">
                  <c:v>42959</c:v>
                </c:pt>
                <c:pt idx="682">
                  <c:v>42960</c:v>
                </c:pt>
                <c:pt idx="683">
                  <c:v>42961</c:v>
                </c:pt>
                <c:pt idx="684">
                  <c:v>42962</c:v>
                </c:pt>
                <c:pt idx="685">
                  <c:v>42963</c:v>
                </c:pt>
                <c:pt idx="686">
                  <c:v>42964</c:v>
                </c:pt>
                <c:pt idx="687">
                  <c:v>42965</c:v>
                </c:pt>
                <c:pt idx="688">
                  <c:v>42966</c:v>
                </c:pt>
                <c:pt idx="689">
                  <c:v>42967</c:v>
                </c:pt>
                <c:pt idx="690">
                  <c:v>42968</c:v>
                </c:pt>
                <c:pt idx="691">
                  <c:v>42969</c:v>
                </c:pt>
                <c:pt idx="692">
                  <c:v>42970</c:v>
                </c:pt>
                <c:pt idx="693">
                  <c:v>42971</c:v>
                </c:pt>
                <c:pt idx="694">
                  <c:v>42972</c:v>
                </c:pt>
                <c:pt idx="695">
                  <c:v>42973</c:v>
                </c:pt>
                <c:pt idx="696">
                  <c:v>42974</c:v>
                </c:pt>
                <c:pt idx="697">
                  <c:v>42975</c:v>
                </c:pt>
                <c:pt idx="698">
                  <c:v>42976</c:v>
                </c:pt>
                <c:pt idx="699">
                  <c:v>42977</c:v>
                </c:pt>
                <c:pt idx="700">
                  <c:v>42978</c:v>
                </c:pt>
                <c:pt idx="701">
                  <c:v>42979</c:v>
                </c:pt>
                <c:pt idx="702">
                  <c:v>42980</c:v>
                </c:pt>
                <c:pt idx="703">
                  <c:v>42981</c:v>
                </c:pt>
                <c:pt idx="704">
                  <c:v>42982</c:v>
                </c:pt>
                <c:pt idx="705">
                  <c:v>42983</c:v>
                </c:pt>
                <c:pt idx="706">
                  <c:v>42984</c:v>
                </c:pt>
                <c:pt idx="707">
                  <c:v>42985</c:v>
                </c:pt>
                <c:pt idx="708">
                  <c:v>42986</c:v>
                </c:pt>
                <c:pt idx="709">
                  <c:v>42987</c:v>
                </c:pt>
                <c:pt idx="710">
                  <c:v>42988</c:v>
                </c:pt>
                <c:pt idx="711">
                  <c:v>42989</c:v>
                </c:pt>
                <c:pt idx="712">
                  <c:v>42990</c:v>
                </c:pt>
                <c:pt idx="713">
                  <c:v>42991</c:v>
                </c:pt>
                <c:pt idx="714">
                  <c:v>42992</c:v>
                </c:pt>
                <c:pt idx="715">
                  <c:v>42993</c:v>
                </c:pt>
                <c:pt idx="716">
                  <c:v>42994</c:v>
                </c:pt>
                <c:pt idx="717">
                  <c:v>42995</c:v>
                </c:pt>
                <c:pt idx="718">
                  <c:v>42996</c:v>
                </c:pt>
                <c:pt idx="719">
                  <c:v>42997</c:v>
                </c:pt>
                <c:pt idx="720">
                  <c:v>42998</c:v>
                </c:pt>
                <c:pt idx="721">
                  <c:v>42999</c:v>
                </c:pt>
                <c:pt idx="722">
                  <c:v>43000</c:v>
                </c:pt>
                <c:pt idx="723">
                  <c:v>43001</c:v>
                </c:pt>
                <c:pt idx="724">
                  <c:v>43002</c:v>
                </c:pt>
                <c:pt idx="725">
                  <c:v>43003</c:v>
                </c:pt>
                <c:pt idx="726">
                  <c:v>43004</c:v>
                </c:pt>
                <c:pt idx="727">
                  <c:v>43005</c:v>
                </c:pt>
                <c:pt idx="728">
                  <c:v>43006</c:v>
                </c:pt>
                <c:pt idx="729">
                  <c:v>43007</c:v>
                </c:pt>
                <c:pt idx="730">
                  <c:v>43008</c:v>
                </c:pt>
                <c:pt idx="731">
                  <c:v>43009</c:v>
                </c:pt>
                <c:pt idx="732">
                  <c:v>43010</c:v>
                </c:pt>
                <c:pt idx="733">
                  <c:v>43011</c:v>
                </c:pt>
                <c:pt idx="734">
                  <c:v>43012</c:v>
                </c:pt>
                <c:pt idx="735">
                  <c:v>43013</c:v>
                </c:pt>
                <c:pt idx="736">
                  <c:v>43014</c:v>
                </c:pt>
                <c:pt idx="737">
                  <c:v>43015</c:v>
                </c:pt>
                <c:pt idx="738">
                  <c:v>43016</c:v>
                </c:pt>
                <c:pt idx="739">
                  <c:v>43017</c:v>
                </c:pt>
                <c:pt idx="740">
                  <c:v>43018</c:v>
                </c:pt>
                <c:pt idx="741">
                  <c:v>43019</c:v>
                </c:pt>
                <c:pt idx="742">
                  <c:v>43020</c:v>
                </c:pt>
                <c:pt idx="743">
                  <c:v>43021</c:v>
                </c:pt>
                <c:pt idx="744">
                  <c:v>43022</c:v>
                </c:pt>
                <c:pt idx="745">
                  <c:v>43023</c:v>
                </c:pt>
                <c:pt idx="746">
                  <c:v>43024</c:v>
                </c:pt>
                <c:pt idx="747">
                  <c:v>43025</c:v>
                </c:pt>
                <c:pt idx="748">
                  <c:v>43026</c:v>
                </c:pt>
                <c:pt idx="749">
                  <c:v>43027</c:v>
                </c:pt>
                <c:pt idx="750">
                  <c:v>43028</c:v>
                </c:pt>
                <c:pt idx="751">
                  <c:v>43029</c:v>
                </c:pt>
                <c:pt idx="752">
                  <c:v>43030</c:v>
                </c:pt>
                <c:pt idx="753">
                  <c:v>43031</c:v>
                </c:pt>
                <c:pt idx="754">
                  <c:v>43032</c:v>
                </c:pt>
                <c:pt idx="755">
                  <c:v>43033</c:v>
                </c:pt>
                <c:pt idx="756">
                  <c:v>43034</c:v>
                </c:pt>
                <c:pt idx="757">
                  <c:v>43035</c:v>
                </c:pt>
                <c:pt idx="758">
                  <c:v>43036</c:v>
                </c:pt>
                <c:pt idx="759">
                  <c:v>43037</c:v>
                </c:pt>
                <c:pt idx="760">
                  <c:v>43038</c:v>
                </c:pt>
                <c:pt idx="761">
                  <c:v>43039</c:v>
                </c:pt>
                <c:pt idx="762">
                  <c:v>43040</c:v>
                </c:pt>
                <c:pt idx="763">
                  <c:v>43041</c:v>
                </c:pt>
                <c:pt idx="764">
                  <c:v>43042</c:v>
                </c:pt>
                <c:pt idx="765">
                  <c:v>43043</c:v>
                </c:pt>
                <c:pt idx="766">
                  <c:v>43044</c:v>
                </c:pt>
                <c:pt idx="767">
                  <c:v>43045</c:v>
                </c:pt>
                <c:pt idx="768">
                  <c:v>43046</c:v>
                </c:pt>
                <c:pt idx="769">
                  <c:v>43047</c:v>
                </c:pt>
                <c:pt idx="770">
                  <c:v>43048</c:v>
                </c:pt>
                <c:pt idx="771">
                  <c:v>43049</c:v>
                </c:pt>
                <c:pt idx="772">
                  <c:v>43050</c:v>
                </c:pt>
                <c:pt idx="773">
                  <c:v>43051</c:v>
                </c:pt>
                <c:pt idx="774">
                  <c:v>43052</c:v>
                </c:pt>
                <c:pt idx="775">
                  <c:v>43053</c:v>
                </c:pt>
                <c:pt idx="776">
                  <c:v>43054</c:v>
                </c:pt>
                <c:pt idx="777">
                  <c:v>43055</c:v>
                </c:pt>
                <c:pt idx="778">
                  <c:v>43056</c:v>
                </c:pt>
                <c:pt idx="779">
                  <c:v>43057</c:v>
                </c:pt>
                <c:pt idx="780">
                  <c:v>43058</c:v>
                </c:pt>
                <c:pt idx="781">
                  <c:v>43059</c:v>
                </c:pt>
                <c:pt idx="782">
                  <c:v>43060</c:v>
                </c:pt>
                <c:pt idx="783">
                  <c:v>43061</c:v>
                </c:pt>
                <c:pt idx="784">
                  <c:v>43062</c:v>
                </c:pt>
                <c:pt idx="785">
                  <c:v>43063</c:v>
                </c:pt>
                <c:pt idx="786">
                  <c:v>43064</c:v>
                </c:pt>
                <c:pt idx="787">
                  <c:v>43065</c:v>
                </c:pt>
                <c:pt idx="788">
                  <c:v>43066</c:v>
                </c:pt>
                <c:pt idx="789">
                  <c:v>43067</c:v>
                </c:pt>
                <c:pt idx="790">
                  <c:v>43068</c:v>
                </c:pt>
                <c:pt idx="791">
                  <c:v>43069</c:v>
                </c:pt>
                <c:pt idx="792">
                  <c:v>43070</c:v>
                </c:pt>
                <c:pt idx="793">
                  <c:v>43071</c:v>
                </c:pt>
                <c:pt idx="794">
                  <c:v>43072</c:v>
                </c:pt>
                <c:pt idx="795">
                  <c:v>43073</c:v>
                </c:pt>
                <c:pt idx="796">
                  <c:v>43074</c:v>
                </c:pt>
                <c:pt idx="797">
                  <c:v>43075</c:v>
                </c:pt>
                <c:pt idx="798">
                  <c:v>43076</c:v>
                </c:pt>
                <c:pt idx="799">
                  <c:v>43077</c:v>
                </c:pt>
                <c:pt idx="800">
                  <c:v>43078</c:v>
                </c:pt>
                <c:pt idx="801">
                  <c:v>43079</c:v>
                </c:pt>
                <c:pt idx="802">
                  <c:v>43080</c:v>
                </c:pt>
                <c:pt idx="803">
                  <c:v>43081</c:v>
                </c:pt>
                <c:pt idx="804">
                  <c:v>43082</c:v>
                </c:pt>
                <c:pt idx="805">
                  <c:v>43083</c:v>
                </c:pt>
                <c:pt idx="806">
                  <c:v>43084</c:v>
                </c:pt>
                <c:pt idx="807">
                  <c:v>43085</c:v>
                </c:pt>
                <c:pt idx="808">
                  <c:v>43086</c:v>
                </c:pt>
                <c:pt idx="809">
                  <c:v>43087</c:v>
                </c:pt>
                <c:pt idx="810">
                  <c:v>43088</c:v>
                </c:pt>
                <c:pt idx="811">
                  <c:v>43089</c:v>
                </c:pt>
                <c:pt idx="812">
                  <c:v>43090</c:v>
                </c:pt>
                <c:pt idx="813">
                  <c:v>43091</c:v>
                </c:pt>
                <c:pt idx="814">
                  <c:v>43092</c:v>
                </c:pt>
                <c:pt idx="815">
                  <c:v>43093</c:v>
                </c:pt>
                <c:pt idx="816">
                  <c:v>43094</c:v>
                </c:pt>
                <c:pt idx="817">
                  <c:v>43095</c:v>
                </c:pt>
                <c:pt idx="818">
                  <c:v>43096</c:v>
                </c:pt>
                <c:pt idx="819">
                  <c:v>43097</c:v>
                </c:pt>
                <c:pt idx="820">
                  <c:v>43098</c:v>
                </c:pt>
                <c:pt idx="821">
                  <c:v>43099</c:v>
                </c:pt>
                <c:pt idx="822">
                  <c:v>43100</c:v>
                </c:pt>
                <c:pt idx="823">
                  <c:v>43101</c:v>
                </c:pt>
                <c:pt idx="824">
                  <c:v>43102</c:v>
                </c:pt>
                <c:pt idx="825">
                  <c:v>43103</c:v>
                </c:pt>
                <c:pt idx="826">
                  <c:v>43104</c:v>
                </c:pt>
                <c:pt idx="827">
                  <c:v>43105</c:v>
                </c:pt>
                <c:pt idx="828">
                  <c:v>43106</c:v>
                </c:pt>
                <c:pt idx="829">
                  <c:v>43107</c:v>
                </c:pt>
                <c:pt idx="830">
                  <c:v>43108</c:v>
                </c:pt>
                <c:pt idx="831">
                  <c:v>43109</c:v>
                </c:pt>
                <c:pt idx="832">
                  <c:v>43110</c:v>
                </c:pt>
                <c:pt idx="833">
                  <c:v>43111</c:v>
                </c:pt>
                <c:pt idx="834">
                  <c:v>43112</c:v>
                </c:pt>
                <c:pt idx="835">
                  <c:v>43113</c:v>
                </c:pt>
                <c:pt idx="836">
                  <c:v>43114</c:v>
                </c:pt>
                <c:pt idx="837">
                  <c:v>43115</c:v>
                </c:pt>
                <c:pt idx="838">
                  <c:v>43116</c:v>
                </c:pt>
                <c:pt idx="839">
                  <c:v>43117</c:v>
                </c:pt>
                <c:pt idx="840">
                  <c:v>43118</c:v>
                </c:pt>
                <c:pt idx="841">
                  <c:v>43119</c:v>
                </c:pt>
                <c:pt idx="842">
                  <c:v>43120</c:v>
                </c:pt>
                <c:pt idx="843">
                  <c:v>43121</c:v>
                </c:pt>
                <c:pt idx="844">
                  <c:v>43122</c:v>
                </c:pt>
                <c:pt idx="845">
                  <c:v>43123</c:v>
                </c:pt>
                <c:pt idx="846">
                  <c:v>43124</c:v>
                </c:pt>
                <c:pt idx="847">
                  <c:v>43125</c:v>
                </c:pt>
                <c:pt idx="848">
                  <c:v>43126</c:v>
                </c:pt>
                <c:pt idx="849">
                  <c:v>43127</c:v>
                </c:pt>
                <c:pt idx="850">
                  <c:v>43128</c:v>
                </c:pt>
                <c:pt idx="851">
                  <c:v>43129</c:v>
                </c:pt>
                <c:pt idx="852">
                  <c:v>43130</c:v>
                </c:pt>
                <c:pt idx="853">
                  <c:v>43131</c:v>
                </c:pt>
                <c:pt idx="854">
                  <c:v>43132</c:v>
                </c:pt>
                <c:pt idx="855">
                  <c:v>43133</c:v>
                </c:pt>
                <c:pt idx="856">
                  <c:v>43134</c:v>
                </c:pt>
                <c:pt idx="857">
                  <c:v>43135</c:v>
                </c:pt>
                <c:pt idx="858">
                  <c:v>43136</c:v>
                </c:pt>
                <c:pt idx="859">
                  <c:v>43137</c:v>
                </c:pt>
                <c:pt idx="860">
                  <c:v>43138</c:v>
                </c:pt>
                <c:pt idx="861">
                  <c:v>43139</c:v>
                </c:pt>
                <c:pt idx="862">
                  <c:v>43140</c:v>
                </c:pt>
                <c:pt idx="863">
                  <c:v>43141</c:v>
                </c:pt>
                <c:pt idx="864">
                  <c:v>43142</c:v>
                </c:pt>
                <c:pt idx="865">
                  <c:v>43143</c:v>
                </c:pt>
                <c:pt idx="866">
                  <c:v>43144</c:v>
                </c:pt>
                <c:pt idx="867">
                  <c:v>43145</c:v>
                </c:pt>
                <c:pt idx="868">
                  <c:v>43146</c:v>
                </c:pt>
                <c:pt idx="869">
                  <c:v>43147</c:v>
                </c:pt>
                <c:pt idx="870">
                  <c:v>43148</c:v>
                </c:pt>
                <c:pt idx="871">
                  <c:v>43149</c:v>
                </c:pt>
                <c:pt idx="872">
                  <c:v>43150</c:v>
                </c:pt>
                <c:pt idx="873">
                  <c:v>43151</c:v>
                </c:pt>
                <c:pt idx="874">
                  <c:v>43152</c:v>
                </c:pt>
                <c:pt idx="875">
                  <c:v>43153</c:v>
                </c:pt>
                <c:pt idx="876">
                  <c:v>43154</c:v>
                </c:pt>
                <c:pt idx="877">
                  <c:v>43155</c:v>
                </c:pt>
                <c:pt idx="878">
                  <c:v>43156</c:v>
                </c:pt>
                <c:pt idx="879">
                  <c:v>43157</c:v>
                </c:pt>
                <c:pt idx="880">
                  <c:v>43158</c:v>
                </c:pt>
                <c:pt idx="881">
                  <c:v>43159</c:v>
                </c:pt>
                <c:pt idx="882">
                  <c:v>43160</c:v>
                </c:pt>
                <c:pt idx="883">
                  <c:v>43161</c:v>
                </c:pt>
                <c:pt idx="884">
                  <c:v>43162</c:v>
                </c:pt>
                <c:pt idx="885">
                  <c:v>43163</c:v>
                </c:pt>
                <c:pt idx="886">
                  <c:v>43164</c:v>
                </c:pt>
                <c:pt idx="887">
                  <c:v>43165</c:v>
                </c:pt>
                <c:pt idx="888">
                  <c:v>43166</c:v>
                </c:pt>
                <c:pt idx="889">
                  <c:v>43167</c:v>
                </c:pt>
                <c:pt idx="890">
                  <c:v>43168</c:v>
                </c:pt>
                <c:pt idx="891">
                  <c:v>43169</c:v>
                </c:pt>
                <c:pt idx="892">
                  <c:v>43170</c:v>
                </c:pt>
                <c:pt idx="893">
                  <c:v>43171</c:v>
                </c:pt>
                <c:pt idx="894">
                  <c:v>43172</c:v>
                </c:pt>
                <c:pt idx="895">
                  <c:v>43173</c:v>
                </c:pt>
                <c:pt idx="896">
                  <c:v>43174</c:v>
                </c:pt>
                <c:pt idx="897">
                  <c:v>43175</c:v>
                </c:pt>
                <c:pt idx="898">
                  <c:v>43176</c:v>
                </c:pt>
                <c:pt idx="899">
                  <c:v>43177</c:v>
                </c:pt>
                <c:pt idx="900">
                  <c:v>43178</c:v>
                </c:pt>
                <c:pt idx="901">
                  <c:v>43179</c:v>
                </c:pt>
                <c:pt idx="902">
                  <c:v>43180</c:v>
                </c:pt>
                <c:pt idx="903">
                  <c:v>43181</c:v>
                </c:pt>
                <c:pt idx="904">
                  <c:v>43182</c:v>
                </c:pt>
                <c:pt idx="905">
                  <c:v>43183</c:v>
                </c:pt>
                <c:pt idx="906">
                  <c:v>43184</c:v>
                </c:pt>
                <c:pt idx="907">
                  <c:v>43185</c:v>
                </c:pt>
                <c:pt idx="908">
                  <c:v>43186</c:v>
                </c:pt>
                <c:pt idx="909">
                  <c:v>43187</c:v>
                </c:pt>
                <c:pt idx="910">
                  <c:v>43188</c:v>
                </c:pt>
                <c:pt idx="911">
                  <c:v>43189</c:v>
                </c:pt>
                <c:pt idx="912">
                  <c:v>43190</c:v>
                </c:pt>
                <c:pt idx="913">
                  <c:v>43191</c:v>
                </c:pt>
                <c:pt idx="914">
                  <c:v>43192</c:v>
                </c:pt>
                <c:pt idx="915">
                  <c:v>43193</c:v>
                </c:pt>
                <c:pt idx="916">
                  <c:v>43194</c:v>
                </c:pt>
                <c:pt idx="917">
                  <c:v>43195</c:v>
                </c:pt>
                <c:pt idx="918">
                  <c:v>43196</c:v>
                </c:pt>
                <c:pt idx="919">
                  <c:v>43197</c:v>
                </c:pt>
                <c:pt idx="920">
                  <c:v>43198</c:v>
                </c:pt>
                <c:pt idx="921">
                  <c:v>43199</c:v>
                </c:pt>
                <c:pt idx="922">
                  <c:v>43200</c:v>
                </c:pt>
                <c:pt idx="923">
                  <c:v>43201</c:v>
                </c:pt>
                <c:pt idx="924">
                  <c:v>43202</c:v>
                </c:pt>
                <c:pt idx="925">
                  <c:v>43203</c:v>
                </c:pt>
                <c:pt idx="926">
                  <c:v>43204</c:v>
                </c:pt>
                <c:pt idx="927">
                  <c:v>43205</c:v>
                </c:pt>
                <c:pt idx="928">
                  <c:v>43206</c:v>
                </c:pt>
                <c:pt idx="929">
                  <c:v>43207</c:v>
                </c:pt>
                <c:pt idx="930">
                  <c:v>43208</c:v>
                </c:pt>
                <c:pt idx="931">
                  <c:v>43209</c:v>
                </c:pt>
                <c:pt idx="932">
                  <c:v>43210</c:v>
                </c:pt>
                <c:pt idx="933">
                  <c:v>43211</c:v>
                </c:pt>
                <c:pt idx="934">
                  <c:v>43212</c:v>
                </c:pt>
                <c:pt idx="935">
                  <c:v>43213</c:v>
                </c:pt>
                <c:pt idx="936">
                  <c:v>43214</c:v>
                </c:pt>
                <c:pt idx="937">
                  <c:v>43215</c:v>
                </c:pt>
                <c:pt idx="938">
                  <c:v>43216</c:v>
                </c:pt>
                <c:pt idx="939">
                  <c:v>43217</c:v>
                </c:pt>
                <c:pt idx="940">
                  <c:v>43218</c:v>
                </c:pt>
                <c:pt idx="941">
                  <c:v>43219</c:v>
                </c:pt>
                <c:pt idx="942">
                  <c:v>43220</c:v>
                </c:pt>
                <c:pt idx="943">
                  <c:v>43221</c:v>
                </c:pt>
                <c:pt idx="944">
                  <c:v>43222</c:v>
                </c:pt>
                <c:pt idx="945">
                  <c:v>43223</c:v>
                </c:pt>
                <c:pt idx="946">
                  <c:v>43224</c:v>
                </c:pt>
                <c:pt idx="947">
                  <c:v>43225</c:v>
                </c:pt>
                <c:pt idx="948">
                  <c:v>43226</c:v>
                </c:pt>
                <c:pt idx="949">
                  <c:v>43227</c:v>
                </c:pt>
                <c:pt idx="950">
                  <c:v>43228</c:v>
                </c:pt>
                <c:pt idx="951">
                  <c:v>43229</c:v>
                </c:pt>
                <c:pt idx="952">
                  <c:v>43230</c:v>
                </c:pt>
                <c:pt idx="953">
                  <c:v>43231</c:v>
                </c:pt>
                <c:pt idx="954">
                  <c:v>43232</c:v>
                </c:pt>
                <c:pt idx="955">
                  <c:v>43233</c:v>
                </c:pt>
                <c:pt idx="956">
                  <c:v>43234</c:v>
                </c:pt>
                <c:pt idx="957">
                  <c:v>43235</c:v>
                </c:pt>
                <c:pt idx="958">
                  <c:v>43236</c:v>
                </c:pt>
                <c:pt idx="959">
                  <c:v>43237</c:v>
                </c:pt>
                <c:pt idx="960">
                  <c:v>43238</c:v>
                </c:pt>
                <c:pt idx="961">
                  <c:v>43239</c:v>
                </c:pt>
                <c:pt idx="962">
                  <c:v>43240</c:v>
                </c:pt>
                <c:pt idx="963">
                  <c:v>43241</c:v>
                </c:pt>
                <c:pt idx="964">
                  <c:v>43242</c:v>
                </c:pt>
                <c:pt idx="965">
                  <c:v>43243</c:v>
                </c:pt>
                <c:pt idx="966">
                  <c:v>43244</c:v>
                </c:pt>
                <c:pt idx="967">
                  <c:v>43245</c:v>
                </c:pt>
                <c:pt idx="968">
                  <c:v>43246</c:v>
                </c:pt>
                <c:pt idx="969">
                  <c:v>43247</c:v>
                </c:pt>
                <c:pt idx="970">
                  <c:v>43248</c:v>
                </c:pt>
                <c:pt idx="971">
                  <c:v>43249</c:v>
                </c:pt>
                <c:pt idx="972">
                  <c:v>43250</c:v>
                </c:pt>
                <c:pt idx="973">
                  <c:v>43251</c:v>
                </c:pt>
                <c:pt idx="974">
                  <c:v>43252</c:v>
                </c:pt>
                <c:pt idx="975">
                  <c:v>43253</c:v>
                </c:pt>
                <c:pt idx="976">
                  <c:v>43254</c:v>
                </c:pt>
                <c:pt idx="977">
                  <c:v>43255</c:v>
                </c:pt>
                <c:pt idx="978">
                  <c:v>43256</c:v>
                </c:pt>
                <c:pt idx="979">
                  <c:v>43257</c:v>
                </c:pt>
                <c:pt idx="980">
                  <c:v>43258</c:v>
                </c:pt>
                <c:pt idx="981">
                  <c:v>43259</c:v>
                </c:pt>
                <c:pt idx="982">
                  <c:v>43260</c:v>
                </c:pt>
                <c:pt idx="983">
                  <c:v>43261</c:v>
                </c:pt>
                <c:pt idx="984">
                  <c:v>43262</c:v>
                </c:pt>
                <c:pt idx="985">
                  <c:v>43263</c:v>
                </c:pt>
                <c:pt idx="986">
                  <c:v>43264</c:v>
                </c:pt>
                <c:pt idx="987">
                  <c:v>43265</c:v>
                </c:pt>
                <c:pt idx="988">
                  <c:v>43266</c:v>
                </c:pt>
                <c:pt idx="989">
                  <c:v>43267</c:v>
                </c:pt>
                <c:pt idx="990">
                  <c:v>43268</c:v>
                </c:pt>
                <c:pt idx="991">
                  <c:v>43269</c:v>
                </c:pt>
                <c:pt idx="992">
                  <c:v>43270</c:v>
                </c:pt>
                <c:pt idx="993">
                  <c:v>43271</c:v>
                </c:pt>
                <c:pt idx="994">
                  <c:v>43272</c:v>
                </c:pt>
                <c:pt idx="995">
                  <c:v>43273</c:v>
                </c:pt>
                <c:pt idx="996">
                  <c:v>43274</c:v>
                </c:pt>
                <c:pt idx="997">
                  <c:v>43275</c:v>
                </c:pt>
                <c:pt idx="998">
                  <c:v>43276</c:v>
                </c:pt>
                <c:pt idx="999">
                  <c:v>43277</c:v>
                </c:pt>
                <c:pt idx="1000">
                  <c:v>43278</c:v>
                </c:pt>
                <c:pt idx="1001">
                  <c:v>43279</c:v>
                </c:pt>
                <c:pt idx="1002">
                  <c:v>43280</c:v>
                </c:pt>
                <c:pt idx="1003">
                  <c:v>43281</c:v>
                </c:pt>
                <c:pt idx="1004">
                  <c:v>43282</c:v>
                </c:pt>
                <c:pt idx="1005">
                  <c:v>43283</c:v>
                </c:pt>
                <c:pt idx="1006">
                  <c:v>43284</c:v>
                </c:pt>
                <c:pt idx="1007">
                  <c:v>43285</c:v>
                </c:pt>
                <c:pt idx="1008">
                  <c:v>43286</c:v>
                </c:pt>
                <c:pt idx="1009">
                  <c:v>43287</c:v>
                </c:pt>
                <c:pt idx="1010">
                  <c:v>43288</c:v>
                </c:pt>
                <c:pt idx="1011">
                  <c:v>43289</c:v>
                </c:pt>
                <c:pt idx="1012">
                  <c:v>43290</c:v>
                </c:pt>
                <c:pt idx="1013">
                  <c:v>43291</c:v>
                </c:pt>
                <c:pt idx="1014">
                  <c:v>43292</c:v>
                </c:pt>
                <c:pt idx="1015">
                  <c:v>43293</c:v>
                </c:pt>
                <c:pt idx="1016">
                  <c:v>43294</c:v>
                </c:pt>
                <c:pt idx="1017">
                  <c:v>43295</c:v>
                </c:pt>
                <c:pt idx="1018">
                  <c:v>43296</c:v>
                </c:pt>
                <c:pt idx="1019">
                  <c:v>43297</c:v>
                </c:pt>
                <c:pt idx="1020">
                  <c:v>43298</c:v>
                </c:pt>
                <c:pt idx="1021">
                  <c:v>43299</c:v>
                </c:pt>
                <c:pt idx="1022">
                  <c:v>43300</c:v>
                </c:pt>
                <c:pt idx="1023">
                  <c:v>43301</c:v>
                </c:pt>
                <c:pt idx="1024">
                  <c:v>43302</c:v>
                </c:pt>
                <c:pt idx="1025">
                  <c:v>43303</c:v>
                </c:pt>
                <c:pt idx="1026">
                  <c:v>43304</c:v>
                </c:pt>
                <c:pt idx="1027">
                  <c:v>43305</c:v>
                </c:pt>
                <c:pt idx="1028">
                  <c:v>43306</c:v>
                </c:pt>
                <c:pt idx="1029">
                  <c:v>43307</c:v>
                </c:pt>
                <c:pt idx="1030">
                  <c:v>43308</c:v>
                </c:pt>
                <c:pt idx="1031">
                  <c:v>43309</c:v>
                </c:pt>
                <c:pt idx="1032">
                  <c:v>43310</c:v>
                </c:pt>
                <c:pt idx="1033">
                  <c:v>43311</c:v>
                </c:pt>
                <c:pt idx="1034">
                  <c:v>43312</c:v>
                </c:pt>
                <c:pt idx="1035">
                  <c:v>43313</c:v>
                </c:pt>
                <c:pt idx="1036">
                  <c:v>43314</c:v>
                </c:pt>
                <c:pt idx="1037">
                  <c:v>43315</c:v>
                </c:pt>
                <c:pt idx="1038">
                  <c:v>43316</c:v>
                </c:pt>
                <c:pt idx="1039">
                  <c:v>43317</c:v>
                </c:pt>
                <c:pt idx="1040">
                  <c:v>43318</c:v>
                </c:pt>
                <c:pt idx="1041">
                  <c:v>43319</c:v>
                </c:pt>
                <c:pt idx="1042">
                  <c:v>43320</c:v>
                </c:pt>
                <c:pt idx="1043">
                  <c:v>43321</c:v>
                </c:pt>
                <c:pt idx="1044">
                  <c:v>43322</c:v>
                </c:pt>
                <c:pt idx="1045">
                  <c:v>43323</c:v>
                </c:pt>
                <c:pt idx="1046">
                  <c:v>43324</c:v>
                </c:pt>
                <c:pt idx="1047">
                  <c:v>43325</c:v>
                </c:pt>
                <c:pt idx="1048">
                  <c:v>43326</c:v>
                </c:pt>
                <c:pt idx="1049">
                  <c:v>43327</c:v>
                </c:pt>
                <c:pt idx="1050">
                  <c:v>43328</c:v>
                </c:pt>
                <c:pt idx="1051">
                  <c:v>43329</c:v>
                </c:pt>
                <c:pt idx="1052">
                  <c:v>43330</c:v>
                </c:pt>
                <c:pt idx="1053">
                  <c:v>43331</c:v>
                </c:pt>
                <c:pt idx="1054">
                  <c:v>43332</c:v>
                </c:pt>
                <c:pt idx="1055">
                  <c:v>43333</c:v>
                </c:pt>
                <c:pt idx="1056">
                  <c:v>43334</c:v>
                </c:pt>
                <c:pt idx="1057">
                  <c:v>43335</c:v>
                </c:pt>
                <c:pt idx="1058">
                  <c:v>43336</c:v>
                </c:pt>
                <c:pt idx="1059">
                  <c:v>43337</c:v>
                </c:pt>
                <c:pt idx="1060">
                  <c:v>43338</c:v>
                </c:pt>
                <c:pt idx="1061">
                  <c:v>43339</c:v>
                </c:pt>
                <c:pt idx="1062">
                  <c:v>43340</c:v>
                </c:pt>
                <c:pt idx="1063">
                  <c:v>43341</c:v>
                </c:pt>
                <c:pt idx="1064">
                  <c:v>43342</c:v>
                </c:pt>
                <c:pt idx="1065">
                  <c:v>43343</c:v>
                </c:pt>
                <c:pt idx="1066">
                  <c:v>43344</c:v>
                </c:pt>
                <c:pt idx="1067">
                  <c:v>43345</c:v>
                </c:pt>
                <c:pt idx="1068">
                  <c:v>43346</c:v>
                </c:pt>
                <c:pt idx="1069">
                  <c:v>43347</c:v>
                </c:pt>
                <c:pt idx="1070">
                  <c:v>43348</c:v>
                </c:pt>
                <c:pt idx="1071">
                  <c:v>43349</c:v>
                </c:pt>
                <c:pt idx="1072">
                  <c:v>43350</c:v>
                </c:pt>
                <c:pt idx="1073">
                  <c:v>43351</c:v>
                </c:pt>
                <c:pt idx="1074">
                  <c:v>43352</c:v>
                </c:pt>
                <c:pt idx="1075">
                  <c:v>43353</c:v>
                </c:pt>
                <c:pt idx="1076">
                  <c:v>43354</c:v>
                </c:pt>
                <c:pt idx="1077">
                  <c:v>43355</c:v>
                </c:pt>
                <c:pt idx="1078">
                  <c:v>43356</c:v>
                </c:pt>
                <c:pt idx="1079">
                  <c:v>43357</c:v>
                </c:pt>
                <c:pt idx="1080">
                  <c:v>43358</c:v>
                </c:pt>
                <c:pt idx="1081">
                  <c:v>43359</c:v>
                </c:pt>
                <c:pt idx="1082">
                  <c:v>43360</c:v>
                </c:pt>
                <c:pt idx="1083">
                  <c:v>43361</c:v>
                </c:pt>
                <c:pt idx="1084">
                  <c:v>43362</c:v>
                </c:pt>
                <c:pt idx="1085">
                  <c:v>43363</c:v>
                </c:pt>
                <c:pt idx="1086">
                  <c:v>43364</c:v>
                </c:pt>
                <c:pt idx="1087">
                  <c:v>43365</c:v>
                </c:pt>
                <c:pt idx="1088">
                  <c:v>43366</c:v>
                </c:pt>
                <c:pt idx="1089">
                  <c:v>43367</c:v>
                </c:pt>
                <c:pt idx="1090">
                  <c:v>43368</c:v>
                </c:pt>
                <c:pt idx="1091">
                  <c:v>43369</c:v>
                </c:pt>
                <c:pt idx="1092">
                  <c:v>43370</c:v>
                </c:pt>
                <c:pt idx="1093">
                  <c:v>43371</c:v>
                </c:pt>
                <c:pt idx="1094">
                  <c:v>43372</c:v>
                </c:pt>
                <c:pt idx="1095">
                  <c:v>43373</c:v>
                </c:pt>
                <c:pt idx="1096">
                  <c:v>43374</c:v>
                </c:pt>
                <c:pt idx="1097">
                  <c:v>43375</c:v>
                </c:pt>
                <c:pt idx="1098">
                  <c:v>43376</c:v>
                </c:pt>
                <c:pt idx="1099">
                  <c:v>43377</c:v>
                </c:pt>
                <c:pt idx="1100">
                  <c:v>43378</c:v>
                </c:pt>
                <c:pt idx="1101">
                  <c:v>43379</c:v>
                </c:pt>
                <c:pt idx="1102">
                  <c:v>43380</c:v>
                </c:pt>
                <c:pt idx="1103">
                  <c:v>43381</c:v>
                </c:pt>
                <c:pt idx="1104">
                  <c:v>43382</c:v>
                </c:pt>
                <c:pt idx="1105">
                  <c:v>43383</c:v>
                </c:pt>
                <c:pt idx="1106">
                  <c:v>43384</c:v>
                </c:pt>
                <c:pt idx="1107">
                  <c:v>43385</c:v>
                </c:pt>
                <c:pt idx="1108">
                  <c:v>43386</c:v>
                </c:pt>
                <c:pt idx="1109">
                  <c:v>43387</c:v>
                </c:pt>
                <c:pt idx="1110">
                  <c:v>43388</c:v>
                </c:pt>
                <c:pt idx="1111">
                  <c:v>43389</c:v>
                </c:pt>
                <c:pt idx="1112">
                  <c:v>43390</c:v>
                </c:pt>
                <c:pt idx="1113">
                  <c:v>43391</c:v>
                </c:pt>
                <c:pt idx="1114">
                  <c:v>43392</c:v>
                </c:pt>
                <c:pt idx="1115">
                  <c:v>43393</c:v>
                </c:pt>
                <c:pt idx="1116">
                  <c:v>43394</c:v>
                </c:pt>
                <c:pt idx="1117">
                  <c:v>43395</c:v>
                </c:pt>
                <c:pt idx="1118">
                  <c:v>43396</c:v>
                </c:pt>
                <c:pt idx="1119">
                  <c:v>43397</c:v>
                </c:pt>
                <c:pt idx="1120">
                  <c:v>43398</c:v>
                </c:pt>
                <c:pt idx="1121">
                  <c:v>43399</c:v>
                </c:pt>
                <c:pt idx="1122">
                  <c:v>43400</c:v>
                </c:pt>
                <c:pt idx="1123">
                  <c:v>43401</c:v>
                </c:pt>
                <c:pt idx="1124">
                  <c:v>43402</c:v>
                </c:pt>
                <c:pt idx="1125">
                  <c:v>43403</c:v>
                </c:pt>
                <c:pt idx="1126">
                  <c:v>43404</c:v>
                </c:pt>
                <c:pt idx="1127">
                  <c:v>43405</c:v>
                </c:pt>
              </c:numCache>
            </c:numRef>
          </c:cat>
          <c:val>
            <c:numRef>
              <c:f>'04 Participants Timeline'!$C$3:$C$1130</c:f>
              <c:numCache>
                <c:formatCode>#,##0</c:formatCode>
                <c:ptCount val="1128"/>
                <c:pt idx="0">
                  <c:v>470</c:v>
                </c:pt>
                <c:pt idx="1">
                  <c:v>470</c:v>
                </c:pt>
                <c:pt idx="2">
                  <c:v>470</c:v>
                </c:pt>
                <c:pt idx="3">
                  <c:v>470</c:v>
                </c:pt>
                <c:pt idx="4">
                  <c:v>470</c:v>
                </c:pt>
                <c:pt idx="5">
                  <c:v>470</c:v>
                </c:pt>
                <c:pt idx="6">
                  <c:v>470</c:v>
                </c:pt>
                <c:pt idx="7">
                  <c:v>470</c:v>
                </c:pt>
                <c:pt idx="8">
                  <c:v>470</c:v>
                </c:pt>
                <c:pt idx="9">
                  <c:v>470</c:v>
                </c:pt>
                <c:pt idx="10">
                  <c:v>470</c:v>
                </c:pt>
                <c:pt idx="11">
                  <c:v>470</c:v>
                </c:pt>
                <c:pt idx="12">
                  <c:v>470</c:v>
                </c:pt>
                <c:pt idx="13">
                  <c:v>470</c:v>
                </c:pt>
                <c:pt idx="14">
                  <c:v>470</c:v>
                </c:pt>
                <c:pt idx="15">
                  <c:v>472</c:v>
                </c:pt>
                <c:pt idx="16">
                  <c:v>472</c:v>
                </c:pt>
                <c:pt idx="17">
                  <c:v>472</c:v>
                </c:pt>
                <c:pt idx="18">
                  <c:v>472</c:v>
                </c:pt>
                <c:pt idx="19">
                  <c:v>472</c:v>
                </c:pt>
                <c:pt idx="20">
                  <c:v>472</c:v>
                </c:pt>
                <c:pt idx="21">
                  <c:v>472</c:v>
                </c:pt>
                <c:pt idx="22">
                  <c:v>472</c:v>
                </c:pt>
                <c:pt idx="23">
                  <c:v>473</c:v>
                </c:pt>
                <c:pt idx="24">
                  <c:v>473</c:v>
                </c:pt>
                <c:pt idx="25">
                  <c:v>473</c:v>
                </c:pt>
                <c:pt idx="26">
                  <c:v>473</c:v>
                </c:pt>
                <c:pt idx="27">
                  <c:v>473</c:v>
                </c:pt>
                <c:pt idx="28">
                  <c:v>473</c:v>
                </c:pt>
                <c:pt idx="29">
                  <c:v>473</c:v>
                </c:pt>
                <c:pt idx="30">
                  <c:v>473</c:v>
                </c:pt>
                <c:pt idx="31">
                  <c:v>473</c:v>
                </c:pt>
                <c:pt idx="32">
                  <c:v>473</c:v>
                </c:pt>
                <c:pt idx="33">
                  <c:v>473</c:v>
                </c:pt>
                <c:pt idx="34">
                  <c:v>473</c:v>
                </c:pt>
                <c:pt idx="35">
                  <c:v>473</c:v>
                </c:pt>
                <c:pt idx="36">
                  <c:v>473</c:v>
                </c:pt>
                <c:pt idx="37">
                  <c:v>473</c:v>
                </c:pt>
                <c:pt idx="38">
                  <c:v>473</c:v>
                </c:pt>
                <c:pt idx="39">
                  <c:v>473</c:v>
                </c:pt>
                <c:pt idx="40">
                  <c:v>473</c:v>
                </c:pt>
                <c:pt idx="41">
                  <c:v>473</c:v>
                </c:pt>
                <c:pt idx="42">
                  <c:v>473</c:v>
                </c:pt>
                <c:pt idx="43">
                  <c:v>473</c:v>
                </c:pt>
                <c:pt idx="44">
                  <c:v>473</c:v>
                </c:pt>
                <c:pt idx="45">
                  <c:v>473</c:v>
                </c:pt>
                <c:pt idx="46">
                  <c:v>473</c:v>
                </c:pt>
                <c:pt idx="47">
                  <c:v>473</c:v>
                </c:pt>
                <c:pt idx="48">
                  <c:v>473</c:v>
                </c:pt>
                <c:pt idx="49">
                  <c:v>473</c:v>
                </c:pt>
                <c:pt idx="50">
                  <c:v>473</c:v>
                </c:pt>
                <c:pt idx="51">
                  <c:v>474</c:v>
                </c:pt>
                <c:pt idx="52">
                  <c:v>474</c:v>
                </c:pt>
                <c:pt idx="53">
                  <c:v>474</c:v>
                </c:pt>
                <c:pt idx="54">
                  <c:v>474</c:v>
                </c:pt>
                <c:pt idx="55">
                  <c:v>474</c:v>
                </c:pt>
                <c:pt idx="56">
                  <c:v>474</c:v>
                </c:pt>
                <c:pt idx="57">
                  <c:v>474</c:v>
                </c:pt>
                <c:pt idx="58">
                  <c:v>475</c:v>
                </c:pt>
                <c:pt idx="59">
                  <c:v>475</c:v>
                </c:pt>
                <c:pt idx="60">
                  <c:v>475</c:v>
                </c:pt>
                <c:pt idx="61">
                  <c:v>476</c:v>
                </c:pt>
                <c:pt idx="62">
                  <c:v>476</c:v>
                </c:pt>
                <c:pt idx="63">
                  <c:v>476</c:v>
                </c:pt>
                <c:pt idx="64">
                  <c:v>476</c:v>
                </c:pt>
                <c:pt idx="65">
                  <c:v>476</c:v>
                </c:pt>
                <c:pt idx="66">
                  <c:v>476</c:v>
                </c:pt>
                <c:pt idx="67">
                  <c:v>476</c:v>
                </c:pt>
                <c:pt idx="68">
                  <c:v>476</c:v>
                </c:pt>
                <c:pt idx="69">
                  <c:v>476</c:v>
                </c:pt>
                <c:pt idx="70">
                  <c:v>476</c:v>
                </c:pt>
                <c:pt idx="71">
                  <c:v>476</c:v>
                </c:pt>
                <c:pt idx="72">
                  <c:v>476</c:v>
                </c:pt>
                <c:pt idx="73">
                  <c:v>476</c:v>
                </c:pt>
                <c:pt idx="74">
                  <c:v>476</c:v>
                </c:pt>
                <c:pt idx="75">
                  <c:v>476</c:v>
                </c:pt>
                <c:pt idx="76">
                  <c:v>476</c:v>
                </c:pt>
                <c:pt idx="77">
                  <c:v>476</c:v>
                </c:pt>
                <c:pt idx="78">
                  <c:v>476</c:v>
                </c:pt>
                <c:pt idx="79">
                  <c:v>477</c:v>
                </c:pt>
                <c:pt idx="80">
                  <c:v>477</c:v>
                </c:pt>
                <c:pt idx="81">
                  <c:v>477</c:v>
                </c:pt>
                <c:pt idx="82">
                  <c:v>477</c:v>
                </c:pt>
                <c:pt idx="83">
                  <c:v>477</c:v>
                </c:pt>
                <c:pt idx="84">
                  <c:v>477</c:v>
                </c:pt>
                <c:pt idx="85">
                  <c:v>477</c:v>
                </c:pt>
                <c:pt idx="86">
                  <c:v>477</c:v>
                </c:pt>
                <c:pt idx="87">
                  <c:v>477</c:v>
                </c:pt>
                <c:pt idx="88">
                  <c:v>477</c:v>
                </c:pt>
                <c:pt idx="89">
                  <c:v>477</c:v>
                </c:pt>
                <c:pt idx="90">
                  <c:v>477</c:v>
                </c:pt>
                <c:pt idx="91">
                  <c:v>477</c:v>
                </c:pt>
                <c:pt idx="92">
                  <c:v>477</c:v>
                </c:pt>
                <c:pt idx="93">
                  <c:v>477</c:v>
                </c:pt>
                <c:pt idx="94">
                  <c:v>477</c:v>
                </c:pt>
                <c:pt idx="95">
                  <c:v>477</c:v>
                </c:pt>
                <c:pt idx="96">
                  <c:v>477</c:v>
                </c:pt>
                <c:pt idx="97">
                  <c:v>477</c:v>
                </c:pt>
                <c:pt idx="98">
                  <c:v>477</c:v>
                </c:pt>
                <c:pt idx="99">
                  <c:v>478</c:v>
                </c:pt>
                <c:pt idx="100">
                  <c:v>479</c:v>
                </c:pt>
                <c:pt idx="101">
                  <c:v>479</c:v>
                </c:pt>
                <c:pt idx="102">
                  <c:v>479</c:v>
                </c:pt>
                <c:pt idx="103">
                  <c:v>479</c:v>
                </c:pt>
                <c:pt idx="104">
                  <c:v>479</c:v>
                </c:pt>
                <c:pt idx="105">
                  <c:v>479</c:v>
                </c:pt>
                <c:pt idx="106">
                  <c:v>480</c:v>
                </c:pt>
                <c:pt idx="107">
                  <c:v>481</c:v>
                </c:pt>
                <c:pt idx="108">
                  <c:v>481</c:v>
                </c:pt>
                <c:pt idx="109">
                  <c:v>481</c:v>
                </c:pt>
                <c:pt idx="110">
                  <c:v>481</c:v>
                </c:pt>
                <c:pt idx="111">
                  <c:v>481</c:v>
                </c:pt>
                <c:pt idx="112">
                  <c:v>481</c:v>
                </c:pt>
                <c:pt idx="113">
                  <c:v>481</c:v>
                </c:pt>
                <c:pt idx="114">
                  <c:v>481</c:v>
                </c:pt>
                <c:pt idx="115">
                  <c:v>481</c:v>
                </c:pt>
                <c:pt idx="116">
                  <c:v>481</c:v>
                </c:pt>
                <c:pt idx="117">
                  <c:v>481</c:v>
                </c:pt>
                <c:pt idx="118">
                  <c:v>481</c:v>
                </c:pt>
                <c:pt idx="119">
                  <c:v>481</c:v>
                </c:pt>
                <c:pt idx="120">
                  <c:v>481</c:v>
                </c:pt>
                <c:pt idx="121">
                  <c:v>482</c:v>
                </c:pt>
                <c:pt idx="122">
                  <c:v>482</c:v>
                </c:pt>
                <c:pt idx="123">
                  <c:v>482</c:v>
                </c:pt>
                <c:pt idx="124">
                  <c:v>482</c:v>
                </c:pt>
                <c:pt idx="125">
                  <c:v>482</c:v>
                </c:pt>
                <c:pt idx="126">
                  <c:v>482</c:v>
                </c:pt>
                <c:pt idx="127">
                  <c:v>482</c:v>
                </c:pt>
                <c:pt idx="128">
                  <c:v>482</c:v>
                </c:pt>
                <c:pt idx="129">
                  <c:v>482</c:v>
                </c:pt>
                <c:pt idx="130">
                  <c:v>482</c:v>
                </c:pt>
                <c:pt idx="131">
                  <c:v>482</c:v>
                </c:pt>
                <c:pt idx="132">
                  <c:v>482</c:v>
                </c:pt>
                <c:pt idx="133">
                  <c:v>482</c:v>
                </c:pt>
                <c:pt idx="134">
                  <c:v>482</c:v>
                </c:pt>
                <c:pt idx="135">
                  <c:v>482</c:v>
                </c:pt>
                <c:pt idx="136">
                  <c:v>482</c:v>
                </c:pt>
                <c:pt idx="137">
                  <c:v>482</c:v>
                </c:pt>
                <c:pt idx="138">
                  <c:v>482</c:v>
                </c:pt>
                <c:pt idx="139">
                  <c:v>482</c:v>
                </c:pt>
                <c:pt idx="140">
                  <c:v>482</c:v>
                </c:pt>
                <c:pt idx="141">
                  <c:v>482</c:v>
                </c:pt>
                <c:pt idx="142">
                  <c:v>482</c:v>
                </c:pt>
                <c:pt idx="143">
                  <c:v>482</c:v>
                </c:pt>
                <c:pt idx="144">
                  <c:v>482</c:v>
                </c:pt>
                <c:pt idx="145">
                  <c:v>482</c:v>
                </c:pt>
                <c:pt idx="146">
                  <c:v>483</c:v>
                </c:pt>
                <c:pt idx="147">
                  <c:v>483</c:v>
                </c:pt>
                <c:pt idx="148">
                  <c:v>483</c:v>
                </c:pt>
                <c:pt idx="149">
                  <c:v>483</c:v>
                </c:pt>
                <c:pt idx="150">
                  <c:v>483</c:v>
                </c:pt>
                <c:pt idx="151">
                  <c:v>483</c:v>
                </c:pt>
                <c:pt idx="152">
                  <c:v>484</c:v>
                </c:pt>
                <c:pt idx="153">
                  <c:v>484</c:v>
                </c:pt>
                <c:pt idx="154">
                  <c:v>484</c:v>
                </c:pt>
                <c:pt idx="155">
                  <c:v>484</c:v>
                </c:pt>
                <c:pt idx="156">
                  <c:v>484</c:v>
                </c:pt>
                <c:pt idx="157">
                  <c:v>484</c:v>
                </c:pt>
                <c:pt idx="158">
                  <c:v>484</c:v>
                </c:pt>
                <c:pt idx="159">
                  <c:v>484</c:v>
                </c:pt>
                <c:pt idx="160">
                  <c:v>484</c:v>
                </c:pt>
                <c:pt idx="161">
                  <c:v>484</c:v>
                </c:pt>
                <c:pt idx="162">
                  <c:v>484</c:v>
                </c:pt>
                <c:pt idx="163">
                  <c:v>484</c:v>
                </c:pt>
                <c:pt idx="164">
                  <c:v>484</c:v>
                </c:pt>
                <c:pt idx="165">
                  <c:v>484</c:v>
                </c:pt>
                <c:pt idx="166">
                  <c:v>484</c:v>
                </c:pt>
                <c:pt idx="167">
                  <c:v>484</c:v>
                </c:pt>
                <c:pt idx="168">
                  <c:v>484</c:v>
                </c:pt>
                <c:pt idx="169">
                  <c:v>484</c:v>
                </c:pt>
                <c:pt idx="170">
                  <c:v>484</c:v>
                </c:pt>
                <c:pt idx="171">
                  <c:v>484</c:v>
                </c:pt>
                <c:pt idx="172">
                  <c:v>484</c:v>
                </c:pt>
                <c:pt idx="173">
                  <c:v>484</c:v>
                </c:pt>
                <c:pt idx="174">
                  <c:v>484</c:v>
                </c:pt>
                <c:pt idx="175">
                  <c:v>484</c:v>
                </c:pt>
                <c:pt idx="176">
                  <c:v>484</c:v>
                </c:pt>
                <c:pt idx="177">
                  <c:v>484</c:v>
                </c:pt>
                <c:pt idx="178">
                  <c:v>484</c:v>
                </c:pt>
                <c:pt idx="179">
                  <c:v>484</c:v>
                </c:pt>
                <c:pt idx="180">
                  <c:v>484</c:v>
                </c:pt>
                <c:pt idx="181">
                  <c:v>484</c:v>
                </c:pt>
                <c:pt idx="182">
                  <c:v>484</c:v>
                </c:pt>
                <c:pt idx="183">
                  <c:v>484</c:v>
                </c:pt>
                <c:pt idx="184">
                  <c:v>484</c:v>
                </c:pt>
                <c:pt idx="185">
                  <c:v>484</c:v>
                </c:pt>
                <c:pt idx="186">
                  <c:v>484</c:v>
                </c:pt>
                <c:pt idx="187">
                  <c:v>484</c:v>
                </c:pt>
                <c:pt idx="188">
                  <c:v>484</c:v>
                </c:pt>
                <c:pt idx="189">
                  <c:v>484</c:v>
                </c:pt>
                <c:pt idx="190">
                  <c:v>485</c:v>
                </c:pt>
                <c:pt idx="191">
                  <c:v>485</c:v>
                </c:pt>
                <c:pt idx="192">
                  <c:v>485</c:v>
                </c:pt>
                <c:pt idx="193">
                  <c:v>485</c:v>
                </c:pt>
                <c:pt idx="194">
                  <c:v>485</c:v>
                </c:pt>
                <c:pt idx="195">
                  <c:v>485</c:v>
                </c:pt>
                <c:pt idx="196">
                  <c:v>486</c:v>
                </c:pt>
                <c:pt idx="197">
                  <c:v>486</c:v>
                </c:pt>
                <c:pt idx="198">
                  <c:v>487</c:v>
                </c:pt>
                <c:pt idx="199">
                  <c:v>487</c:v>
                </c:pt>
                <c:pt idx="200">
                  <c:v>487</c:v>
                </c:pt>
                <c:pt idx="201">
                  <c:v>487</c:v>
                </c:pt>
                <c:pt idx="202">
                  <c:v>487</c:v>
                </c:pt>
                <c:pt idx="203">
                  <c:v>487</c:v>
                </c:pt>
                <c:pt idx="204">
                  <c:v>487</c:v>
                </c:pt>
                <c:pt idx="205">
                  <c:v>487</c:v>
                </c:pt>
                <c:pt idx="206">
                  <c:v>487</c:v>
                </c:pt>
                <c:pt idx="207">
                  <c:v>487</c:v>
                </c:pt>
                <c:pt idx="208">
                  <c:v>487</c:v>
                </c:pt>
                <c:pt idx="209">
                  <c:v>487</c:v>
                </c:pt>
                <c:pt idx="210">
                  <c:v>487</c:v>
                </c:pt>
                <c:pt idx="211">
                  <c:v>488</c:v>
                </c:pt>
                <c:pt idx="212">
                  <c:v>489</c:v>
                </c:pt>
                <c:pt idx="213">
                  <c:v>489</c:v>
                </c:pt>
                <c:pt idx="214">
                  <c:v>489</c:v>
                </c:pt>
                <c:pt idx="215">
                  <c:v>489</c:v>
                </c:pt>
                <c:pt idx="216">
                  <c:v>489</c:v>
                </c:pt>
                <c:pt idx="217">
                  <c:v>489</c:v>
                </c:pt>
                <c:pt idx="218">
                  <c:v>489</c:v>
                </c:pt>
                <c:pt idx="219">
                  <c:v>489</c:v>
                </c:pt>
                <c:pt idx="220">
                  <c:v>489</c:v>
                </c:pt>
                <c:pt idx="221">
                  <c:v>489</c:v>
                </c:pt>
                <c:pt idx="222">
                  <c:v>490</c:v>
                </c:pt>
                <c:pt idx="223">
                  <c:v>490</c:v>
                </c:pt>
                <c:pt idx="224">
                  <c:v>490</c:v>
                </c:pt>
                <c:pt idx="225">
                  <c:v>491</c:v>
                </c:pt>
                <c:pt idx="226">
                  <c:v>491</c:v>
                </c:pt>
                <c:pt idx="227">
                  <c:v>491</c:v>
                </c:pt>
                <c:pt idx="228">
                  <c:v>491</c:v>
                </c:pt>
                <c:pt idx="229">
                  <c:v>493</c:v>
                </c:pt>
                <c:pt idx="230">
                  <c:v>493</c:v>
                </c:pt>
                <c:pt idx="231">
                  <c:v>493</c:v>
                </c:pt>
                <c:pt idx="232">
                  <c:v>493</c:v>
                </c:pt>
                <c:pt idx="233">
                  <c:v>493</c:v>
                </c:pt>
                <c:pt idx="234">
                  <c:v>493</c:v>
                </c:pt>
                <c:pt idx="235">
                  <c:v>493</c:v>
                </c:pt>
                <c:pt idx="236">
                  <c:v>493</c:v>
                </c:pt>
                <c:pt idx="237">
                  <c:v>493</c:v>
                </c:pt>
                <c:pt idx="238">
                  <c:v>493</c:v>
                </c:pt>
                <c:pt idx="239">
                  <c:v>493</c:v>
                </c:pt>
                <c:pt idx="240">
                  <c:v>493</c:v>
                </c:pt>
                <c:pt idx="241">
                  <c:v>493</c:v>
                </c:pt>
                <c:pt idx="242">
                  <c:v>493</c:v>
                </c:pt>
                <c:pt idx="243">
                  <c:v>493</c:v>
                </c:pt>
                <c:pt idx="244">
                  <c:v>493</c:v>
                </c:pt>
                <c:pt idx="245">
                  <c:v>495</c:v>
                </c:pt>
                <c:pt idx="246">
                  <c:v>495</c:v>
                </c:pt>
                <c:pt idx="247">
                  <c:v>495</c:v>
                </c:pt>
                <c:pt idx="248">
                  <c:v>495</c:v>
                </c:pt>
                <c:pt idx="249">
                  <c:v>495</c:v>
                </c:pt>
                <c:pt idx="250">
                  <c:v>496</c:v>
                </c:pt>
                <c:pt idx="251">
                  <c:v>497</c:v>
                </c:pt>
                <c:pt idx="252">
                  <c:v>497</c:v>
                </c:pt>
                <c:pt idx="253">
                  <c:v>498</c:v>
                </c:pt>
                <c:pt idx="254">
                  <c:v>499</c:v>
                </c:pt>
                <c:pt idx="255">
                  <c:v>499</c:v>
                </c:pt>
                <c:pt idx="256">
                  <c:v>499</c:v>
                </c:pt>
                <c:pt idx="257">
                  <c:v>499</c:v>
                </c:pt>
                <c:pt idx="258">
                  <c:v>500</c:v>
                </c:pt>
                <c:pt idx="259">
                  <c:v>501</c:v>
                </c:pt>
                <c:pt idx="260">
                  <c:v>501</c:v>
                </c:pt>
                <c:pt idx="261">
                  <c:v>501</c:v>
                </c:pt>
                <c:pt idx="262">
                  <c:v>501</c:v>
                </c:pt>
                <c:pt idx="263">
                  <c:v>501</c:v>
                </c:pt>
                <c:pt idx="264">
                  <c:v>502</c:v>
                </c:pt>
                <c:pt idx="265">
                  <c:v>503</c:v>
                </c:pt>
                <c:pt idx="266">
                  <c:v>504</c:v>
                </c:pt>
                <c:pt idx="267">
                  <c:v>504</c:v>
                </c:pt>
                <c:pt idx="268">
                  <c:v>504</c:v>
                </c:pt>
                <c:pt idx="269">
                  <c:v>504</c:v>
                </c:pt>
                <c:pt idx="270">
                  <c:v>504</c:v>
                </c:pt>
                <c:pt idx="271">
                  <c:v>504</c:v>
                </c:pt>
                <c:pt idx="272">
                  <c:v>504</c:v>
                </c:pt>
                <c:pt idx="273">
                  <c:v>505</c:v>
                </c:pt>
                <c:pt idx="274">
                  <c:v>507</c:v>
                </c:pt>
                <c:pt idx="275">
                  <c:v>507</c:v>
                </c:pt>
                <c:pt idx="276">
                  <c:v>507</c:v>
                </c:pt>
                <c:pt idx="277">
                  <c:v>507</c:v>
                </c:pt>
                <c:pt idx="278">
                  <c:v>509</c:v>
                </c:pt>
                <c:pt idx="279">
                  <c:v>510</c:v>
                </c:pt>
                <c:pt idx="280">
                  <c:v>510</c:v>
                </c:pt>
                <c:pt idx="281">
                  <c:v>511</c:v>
                </c:pt>
                <c:pt idx="282">
                  <c:v>511</c:v>
                </c:pt>
                <c:pt idx="283">
                  <c:v>511</c:v>
                </c:pt>
                <c:pt idx="284">
                  <c:v>511</c:v>
                </c:pt>
                <c:pt idx="285">
                  <c:v>511</c:v>
                </c:pt>
                <c:pt idx="286">
                  <c:v>511</c:v>
                </c:pt>
                <c:pt idx="287">
                  <c:v>512</c:v>
                </c:pt>
                <c:pt idx="288">
                  <c:v>512</c:v>
                </c:pt>
                <c:pt idx="289">
                  <c:v>514</c:v>
                </c:pt>
                <c:pt idx="290">
                  <c:v>514</c:v>
                </c:pt>
                <c:pt idx="291">
                  <c:v>514</c:v>
                </c:pt>
                <c:pt idx="292">
                  <c:v>514</c:v>
                </c:pt>
                <c:pt idx="293">
                  <c:v>514</c:v>
                </c:pt>
                <c:pt idx="294">
                  <c:v>514</c:v>
                </c:pt>
                <c:pt idx="295">
                  <c:v>514</c:v>
                </c:pt>
                <c:pt idx="296">
                  <c:v>513</c:v>
                </c:pt>
                <c:pt idx="297">
                  <c:v>513</c:v>
                </c:pt>
                <c:pt idx="298">
                  <c:v>513</c:v>
                </c:pt>
                <c:pt idx="299">
                  <c:v>513</c:v>
                </c:pt>
                <c:pt idx="300">
                  <c:v>513</c:v>
                </c:pt>
                <c:pt idx="301">
                  <c:v>513</c:v>
                </c:pt>
                <c:pt idx="302">
                  <c:v>516</c:v>
                </c:pt>
                <c:pt idx="303">
                  <c:v>518</c:v>
                </c:pt>
                <c:pt idx="304">
                  <c:v>518</c:v>
                </c:pt>
                <c:pt idx="305">
                  <c:v>519</c:v>
                </c:pt>
                <c:pt idx="306">
                  <c:v>519</c:v>
                </c:pt>
                <c:pt idx="307">
                  <c:v>519</c:v>
                </c:pt>
                <c:pt idx="308">
                  <c:v>519</c:v>
                </c:pt>
                <c:pt idx="309">
                  <c:v>519</c:v>
                </c:pt>
                <c:pt idx="310">
                  <c:v>519</c:v>
                </c:pt>
                <c:pt idx="311">
                  <c:v>519</c:v>
                </c:pt>
                <c:pt idx="312">
                  <c:v>519</c:v>
                </c:pt>
                <c:pt idx="313">
                  <c:v>519</c:v>
                </c:pt>
                <c:pt idx="314">
                  <c:v>520</c:v>
                </c:pt>
                <c:pt idx="315">
                  <c:v>522</c:v>
                </c:pt>
                <c:pt idx="316">
                  <c:v>522</c:v>
                </c:pt>
                <c:pt idx="317">
                  <c:v>522</c:v>
                </c:pt>
                <c:pt idx="318">
                  <c:v>522</c:v>
                </c:pt>
                <c:pt idx="319">
                  <c:v>522</c:v>
                </c:pt>
                <c:pt idx="320">
                  <c:v>523</c:v>
                </c:pt>
                <c:pt idx="321">
                  <c:v>523</c:v>
                </c:pt>
                <c:pt idx="322">
                  <c:v>523</c:v>
                </c:pt>
                <c:pt idx="323">
                  <c:v>524</c:v>
                </c:pt>
                <c:pt idx="324">
                  <c:v>524</c:v>
                </c:pt>
                <c:pt idx="325">
                  <c:v>524</c:v>
                </c:pt>
                <c:pt idx="326">
                  <c:v>524</c:v>
                </c:pt>
                <c:pt idx="327">
                  <c:v>524</c:v>
                </c:pt>
                <c:pt idx="328">
                  <c:v>524</c:v>
                </c:pt>
                <c:pt idx="329">
                  <c:v>524</c:v>
                </c:pt>
                <c:pt idx="330">
                  <c:v>525</c:v>
                </c:pt>
                <c:pt idx="331">
                  <c:v>526</c:v>
                </c:pt>
                <c:pt idx="332">
                  <c:v>526</c:v>
                </c:pt>
                <c:pt idx="333">
                  <c:v>526</c:v>
                </c:pt>
                <c:pt idx="334">
                  <c:v>526</c:v>
                </c:pt>
                <c:pt idx="335">
                  <c:v>526</c:v>
                </c:pt>
                <c:pt idx="336">
                  <c:v>529</c:v>
                </c:pt>
                <c:pt idx="337">
                  <c:v>530</c:v>
                </c:pt>
                <c:pt idx="338">
                  <c:v>530</c:v>
                </c:pt>
                <c:pt idx="339">
                  <c:v>530</c:v>
                </c:pt>
                <c:pt idx="340">
                  <c:v>530</c:v>
                </c:pt>
                <c:pt idx="341">
                  <c:v>530</c:v>
                </c:pt>
                <c:pt idx="342">
                  <c:v>530</c:v>
                </c:pt>
                <c:pt idx="343">
                  <c:v>530</c:v>
                </c:pt>
                <c:pt idx="344">
                  <c:v>530</c:v>
                </c:pt>
                <c:pt idx="345">
                  <c:v>531</c:v>
                </c:pt>
                <c:pt idx="346">
                  <c:v>531</c:v>
                </c:pt>
                <c:pt idx="347">
                  <c:v>531</c:v>
                </c:pt>
                <c:pt idx="348">
                  <c:v>532</c:v>
                </c:pt>
                <c:pt idx="349">
                  <c:v>532</c:v>
                </c:pt>
                <c:pt idx="350">
                  <c:v>532</c:v>
                </c:pt>
                <c:pt idx="351">
                  <c:v>533</c:v>
                </c:pt>
                <c:pt idx="352">
                  <c:v>534</c:v>
                </c:pt>
                <c:pt idx="353">
                  <c:v>534</c:v>
                </c:pt>
                <c:pt idx="354">
                  <c:v>534</c:v>
                </c:pt>
                <c:pt idx="355">
                  <c:v>534</c:v>
                </c:pt>
                <c:pt idx="356">
                  <c:v>534</c:v>
                </c:pt>
                <c:pt idx="357">
                  <c:v>534</c:v>
                </c:pt>
                <c:pt idx="358">
                  <c:v>534</c:v>
                </c:pt>
                <c:pt idx="359">
                  <c:v>534</c:v>
                </c:pt>
                <c:pt idx="360">
                  <c:v>534</c:v>
                </c:pt>
                <c:pt idx="361">
                  <c:v>534</c:v>
                </c:pt>
                <c:pt idx="362">
                  <c:v>534</c:v>
                </c:pt>
                <c:pt idx="363">
                  <c:v>535</c:v>
                </c:pt>
                <c:pt idx="364">
                  <c:v>535</c:v>
                </c:pt>
                <c:pt idx="365">
                  <c:v>535</c:v>
                </c:pt>
                <c:pt idx="366">
                  <c:v>538</c:v>
                </c:pt>
                <c:pt idx="367">
                  <c:v>538</c:v>
                </c:pt>
                <c:pt idx="368">
                  <c:v>538</c:v>
                </c:pt>
                <c:pt idx="369">
                  <c:v>539</c:v>
                </c:pt>
                <c:pt idx="370">
                  <c:v>540</c:v>
                </c:pt>
                <c:pt idx="371">
                  <c:v>540</c:v>
                </c:pt>
                <c:pt idx="372">
                  <c:v>540</c:v>
                </c:pt>
                <c:pt idx="373">
                  <c:v>540</c:v>
                </c:pt>
                <c:pt idx="374">
                  <c:v>540</c:v>
                </c:pt>
                <c:pt idx="375">
                  <c:v>540</c:v>
                </c:pt>
                <c:pt idx="376">
                  <c:v>540</c:v>
                </c:pt>
                <c:pt idx="377">
                  <c:v>541</c:v>
                </c:pt>
                <c:pt idx="378">
                  <c:v>542</c:v>
                </c:pt>
                <c:pt idx="379">
                  <c:v>542</c:v>
                </c:pt>
                <c:pt idx="380">
                  <c:v>543</c:v>
                </c:pt>
                <c:pt idx="381">
                  <c:v>543</c:v>
                </c:pt>
                <c:pt idx="382">
                  <c:v>543</c:v>
                </c:pt>
                <c:pt idx="383">
                  <c:v>543</c:v>
                </c:pt>
                <c:pt idx="384">
                  <c:v>543</c:v>
                </c:pt>
                <c:pt idx="385">
                  <c:v>543</c:v>
                </c:pt>
                <c:pt idx="386">
                  <c:v>543</c:v>
                </c:pt>
                <c:pt idx="387">
                  <c:v>543</c:v>
                </c:pt>
                <c:pt idx="388">
                  <c:v>543</c:v>
                </c:pt>
                <c:pt idx="389">
                  <c:v>543</c:v>
                </c:pt>
                <c:pt idx="390">
                  <c:v>543</c:v>
                </c:pt>
                <c:pt idx="391">
                  <c:v>543</c:v>
                </c:pt>
                <c:pt idx="392">
                  <c:v>543</c:v>
                </c:pt>
                <c:pt idx="393">
                  <c:v>543</c:v>
                </c:pt>
                <c:pt idx="394">
                  <c:v>544</c:v>
                </c:pt>
                <c:pt idx="395">
                  <c:v>544</c:v>
                </c:pt>
                <c:pt idx="396">
                  <c:v>544</c:v>
                </c:pt>
                <c:pt idx="397">
                  <c:v>544</c:v>
                </c:pt>
                <c:pt idx="398">
                  <c:v>544</c:v>
                </c:pt>
                <c:pt idx="399">
                  <c:v>544</c:v>
                </c:pt>
                <c:pt idx="400">
                  <c:v>544</c:v>
                </c:pt>
                <c:pt idx="401">
                  <c:v>544</c:v>
                </c:pt>
                <c:pt idx="402">
                  <c:v>544</c:v>
                </c:pt>
                <c:pt idx="403">
                  <c:v>544</c:v>
                </c:pt>
                <c:pt idx="404">
                  <c:v>544</c:v>
                </c:pt>
                <c:pt idx="405">
                  <c:v>545</c:v>
                </c:pt>
                <c:pt idx="406">
                  <c:v>545</c:v>
                </c:pt>
                <c:pt idx="407">
                  <c:v>545</c:v>
                </c:pt>
                <c:pt idx="408">
                  <c:v>545</c:v>
                </c:pt>
                <c:pt idx="409">
                  <c:v>545</c:v>
                </c:pt>
                <c:pt idx="410">
                  <c:v>545</c:v>
                </c:pt>
                <c:pt idx="411">
                  <c:v>547</c:v>
                </c:pt>
                <c:pt idx="412">
                  <c:v>548</c:v>
                </c:pt>
                <c:pt idx="413">
                  <c:v>548</c:v>
                </c:pt>
                <c:pt idx="414">
                  <c:v>549</c:v>
                </c:pt>
                <c:pt idx="415">
                  <c:v>549</c:v>
                </c:pt>
                <c:pt idx="416">
                  <c:v>549</c:v>
                </c:pt>
                <c:pt idx="417">
                  <c:v>549</c:v>
                </c:pt>
                <c:pt idx="418">
                  <c:v>549</c:v>
                </c:pt>
                <c:pt idx="419">
                  <c:v>549</c:v>
                </c:pt>
                <c:pt idx="420">
                  <c:v>550</c:v>
                </c:pt>
                <c:pt idx="421">
                  <c:v>550</c:v>
                </c:pt>
                <c:pt idx="422">
                  <c:v>551</c:v>
                </c:pt>
                <c:pt idx="423">
                  <c:v>551</c:v>
                </c:pt>
                <c:pt idx="424">
                  <c:v>551</c:v>
                </c:pt>
                <c:pt idx="425">
                  <c:v>552</c:v>
                </c:pt>
                <c:pt idx="426">
                  <c:v>552</c:v>
                </c:pt>
                <c:pt idx="427">
                  <c:v>554</c:v>
                </c:pt>
                <c:pt idx="428">
                  <c:v>554</c:v>
                </c:pt>
                <c:pt idx="429">
                  <c:v>554</c:v>
                </c:pt>
                <c:pt idx="430">
                  <c:v>554</c:v>
                </c:pt>
                <c:pt idx="431">
                  <c:v>554</c:v>
                </c:pt>
                <c:pt idx="432">
                  <c:v>554</c:v>
                </c:pt>
                <c:pt idx="433">
                  <c:v>554</c:v>
                </c:pt>
                <c:pt idx="434">
                  <c:v>554</c:v>
                </c:pt>
                <c:pt idx="435">
                  <c:v>554</c:v>
                </c:pt>
                <c:pt idx="436">
                  <c:v>554</c:v>
                </c:pt>
                <c:pt idx="437">
                  <c:v>554</c:v>
                </c:pt>
                <c:pt idx="438">
                  <c:v>554</c:v>
                </c:pt>
                <c:pt idx="439">
                  <c:v>555</c:v>
                </c:pt>
                <c:pt idx="440">
                  <c:v>555</c:v>
                </c:pt>
                <c:pt idx="441">
                  <c:v>556</c:v>
                </c:pt>
                <c:pt idx="442">
                  <c:v>556</c:v>
                </c:pt>
                <c:pt idx="443">
                  <c:v>556</c:v>
                </c:pt>
                <c:pt idx="444">
                  <c:v>556</c:v>
                </c:pt>
                <c:pt idx="445">
                  <c:v>556</c:v>
                </c:pt>
                <c:pt idx="446">
                  <c:v>556</c:v>
                </c:pt>
                <c:pt idx="447">
                  <c:v>556</c:v>
                </c:pt>
                <c:pt idx="448">
                  <c:v>556</c:v>
                </c:pt>
                <c:pt idx="449">
                  <c:v>556</c:v>
                </c:pt>
                <c:pt idx="450">
                  <c:v>556</c:v>
                </c:pt>
                <c:pt idx="451">
                  <c:v>556</c:v>
                </c:pt>
                <c:pt idx="452">
                  <c:v>556</c:v>
                </c:pt>
                <c:pt idx="453">
                  <c:v>556</c:v>
                </c:pt>
                <c:pt idx="454">
                  <c:v>556</c:v>
                </c:pt>
                <c:pt idx="455">
                  <c:v>556</c:v>
                </c:pt>
                <c:pt idx="456">
                  <c:v>556</c:v>
                </c:pt>
                <c:pt idx="457">
                  <c:v>558</c:v>
                </c:pt>
                <c:pt idx="458">
                  <c:v>558</c:v>
                </c:pt>
                <c:pt idx="459">
                  <c:v>558</c:v>
                </c:pt>
                <c:pt idx="460">
                  <c:v>558</c:v>
                </c:pt>
                <c:pt idx="461">
                  <c:v>558</c:v>
                </c:pt>
                <c:pt idx="462">
                  <c:v>558</c:v>
                </c:pt>
                <c:pt idx="463">
                  <c:v>558</c:v>
                </c:pt>
                <c:pt idx="464">
                  <c:v>558</c:v>
                </c:pt>
                <c:pt idx="465">
                  <c:v>558</c:v>
                </c:pt>
                <c:pt idx="466">
                  <c:v>558</c:v>
                </c:pt>
                <c:pt idx="467">
                  <c:v>558</c:v>
                </c:pt>
                <c:pt idx="468">
                  <c:v>559</c:v>
                </c:pt>
                <c:pt idx="469">
                  <c:v>559</c:v>
                </c:pt>
                <c:pt idx="470">
                  <c:v>559</c:v>
                </c:pt>
                <c:pt idx="471">
                  <c:v>561</c:v>
                </c:pt>
                <c:pt idx="472">
                  <c:v>561</c:v>
                </c:pt>
                <c:pt idx="473">
                  <c:v>561</c:v>
                </c:pt>
                <c:pt idx="474">
                  <c:v>562</c:v>
                </c:pt>
                <c:pt idx="475">
                  <c:v>562</c:v>
                </c:pt>
                <c:pt idx="476">
                  <c:v>562</c:v>
                </c:pt>
                <c:pt idx="477">
                  <c:v>562</c:v>
                </c:pt>
                <c:pt idx="478">
                  <c:v>563</c:v>
                </c:pt>
                <c:pt idx="479">
                  <c:v>563</c:v>
                </c:pt>
                <c:pt idx="480">
                  <c:v>563</c:v>
                </c:pt>
                <c:pt idx="481">
                  <c:v>563</c:v>
                </c:pt>
                <c:pt idx="482">
                  <c:v>563</c:v>
                </c:pt>
                <c:pt idx="483">
                  <c:v>563</c:v>
                </c:pt>
                <c:pt idx="484">
                  <c:v>563</c:v>
                </c:pt>
                <c:pt idx="485">
                  <c:v>564</c:v>
                </c:pt>
                <c:pt idx="486">
                  <c:v>564</c:v>
                </c:pt>
                <c:pt idx="487">
                  <c:v>564</c:v>
                </c:pt>
                <c:pt idx="488">
                  <c:v>564</c:v>
                </c:pt>
                <c:pt idx="489">
                  <c:v>565</c:v>
                </c:pt>
                <c:pt idx="490">
                  <c:v>565</c:v>
                </c:pt>
                <c:pt idx="491">
                  <c:v>566</c:v>
                </c:pt>
                <c:pt idx="492">
                  <c:v>567</c:v>
                </c:pt>
                <c:pt idx="493">
                  <c:v>567</c:v>
                </c:pt>
                <c:pt idx="494">
                  <c:v>567</c:v>
                </c:pt>
                <c:pt idx="495">
                  <c:v>567</c:v>
                </c:pt>
                <c:pt idx="496">
                  <c:v>567</c:v>
                </c:pt>
                <c:pt idx="497">
                  <c:v>567</c:v>
                </c:pt>
                <c:pt idx="498">
                  <c:v>567</c:v>
                </c:pt>
                <c:pt idx="499">
                  <c:v>567</c:v>
                </c:pt>
                <c:pt idx="500">
                  <c:v>567</c:v>
                </c:pt>
                <c:pt idx="501">
                  <c:v>567</c:v>
                </c:pt>
                <c:pt idx="502">
                  <c:v>567</c:v>
                </c:pt>
                <c:pt idx="503">
                  <c:v>567</c:v>
                </c:pt>
                <c:pt idx="504">
                  <c:v>567</c:v>
                </c:pt>
                <c:pt idx="505">
                  <c:v>567</c:v>
                </c:pt>
                <c:pt idx="506">
                  <c:v>567</c:v>
                </c:pt>
                <c:pt idx="507">
                  <c:v>567</c:v>
                </c:pt>
                <c:pt idx="508">
                  <c:v>567</c:v>
                </c:pt>
                <c:pt idx="509">
                  <c:v>567</c:v>
                </c:pt>
                <c:pt idx="510">
                  <c:v>567</c:v>
                </c:pt>
                <c:pt idx="511">
                  <c:v>567</c:v>
                </c:pt>
                <c:pt idx="512">
                  <c:v>567</c:v>
                </c:pt>
                <c:pt idx="513">
                  <c:v>567</c:v>
                </c:pt>
                <c:pt idx="514">
                  <c:v>567</c:v>
                </c:pt>
                <c:pt idx="515">
                  <c:v>567</c:v>
                </c:pt>
                <c:pt idx="516">
                  <c:v>567</c:v>
                </c:pt>
                <c:pt idx="517">
                  <c:v>567</c:v>
                </c:pt>
                <c:pt idx="518">
                  <c:v>567</c:v>
                </c:pt>
                <c:pt idx="519">
                  <c:v>567</c:v>
                </c:pt>
                <c:pt idx="520">
                  <c:v>567</c:v>
                </c:pt>
                <c:pt idx="521">
                  <c:v>567</c:v>
                </c:pt>
                <c:pt idx="522">
                  <c:v>567</c:v>
                </c:pt>
                <c:pt idx="523">
                  <c:v>567</c:v>
                </c:pt>
                <c:pt idx="524">
                  <c:v>567</c:v>
                </c:pt>
                <c:pt idx="525">
                  <c:v>567</c:v>
                </c:pt>
                <c:pt idx="526">
                  <c:v>567</c:v>
                </c:pt>
                <c:pt idx="527">
                  <c:v>568</c:v>
                </c:pt>
                <c:pt idx="528">
                  <c:v>568</c:v>
                </c:pt>
                <c:pt idx="529">
                  <c:v>568</c:v>
                </c:pt>
                <c:pt idx="530">
                  <c:v>569</c:v>
                </c:pt>
                <c:pt idx="531">
                  <c:v>571</c:v>
                </c:pt>
                <c:pt idx="532">
                  <c:v>571</c:v>
                </c:pt>
                <c:pt idx="533">
                  <c:v>571</c:v>
                </c:pt>
                <c:pt idx="534">
                  <c:v>571</c:v>
                </c:pt>
                <c:pt idx="535">
                  <c:v>571</c:v>
                </c:pt>
                <c:pt idx="536">
                  <c:v>571</c:v>
                </c:pt>
                <c:pt idx="537">
                  <c:v>571</c:v>
                </c:pt>
                <c:pt idx="538">
                  <c:v>571</c:v>
                </c:pt>
                <c:pt idx="539">
                  <c:v>571</c:v>
                </c:pt>
                <c:pt idx="540">
                  <c:v>571</c:v>
                </c:pt>
                <c:pt idx="541">
                  <c:v>571</c:v>
                </c:pt>
                <c:pt idx="542">
                  <c:v>571</c:v>
                </c:pt>
                <c:pt idx="543">
                  <c:v>571</c:v>
                </c:pt>
                <c:pt idx="544">
                  <c:v>572</c:v>
                </c:pt>
                <c:pt idx="545">
                  <c:v>572</c:v>
                </c:pt>
                <c:pt idx="546">
                  <c:v>572</c:v>
                </c:pt>
                <c:pt idx="547">
                  <c:v>572</c:v>
                </c:pt>
                <c:pt idx="548">
                  <c:v>572</c:v>
                </c:pt>
                <c:pt idx="549">
                  <c:v>572</c:v>
                </c:pt>
                <c:pt idx="550">
                  <c:v>572</c:v>
                </c:pt>
                <c:pt idx="551">
                  <c:v>572</c:v>
                </c:pt>
                <c:pt idx="552">
                  <c:v>572</c:v>
                </c:pt>
                <c:pt idx="553">
                  <c:v>572</c:v>
                </c:pt>
                <c:pt idx="554">
                  <c:v>573</c:v>
                </c:pt>
                <c:pt idx="555">
                  <c:v>574</c:v>
                </c:pt>
                <c:pt idx="556">
                  <c:v>574</c:v>
                </c:pt>
                <c:pt idx="557">
                  <c:v>574</c:v>
                </c:pt>
                <c:pt idx="558">
                  <c:v>574</c:v>
                </c:pt>
                <c:pt idx="559">
                  <c:v>574</c:v>
                </c:pt>
                <c:pt idx="560">
                  <c:v>574</c:v>
                </c:pt>
                <c:pt idx="561">
                  <c:v>574</c:v>
                </c:pt>
                <c:pt idx="562">
                  <c:v>574</c:v>
                </c:pt>
                <c:pt idx="563">
                  <c:v>574</c:v>
                </c:pt>
                <c:pt idx="564">
                  <c:v>574</c:v>
                </c:pt>
                <c:pt idx="565">
                  <c:v>574</c:v>
                </c:pt>
                <c:pt idx="566">
                  <c:v>575</c:v>
                </c:pt>
                <c:pt idx="567">
                  <c:v>575</c:v>
                </c:pt>
                <c:pt idx="568">
                  <c:v>575</c:v>
                </c:pt>
                <c:pt idx="569">
                  <c:v>575</c:v>
                </c:pt>
                <c:pt idx="570">
                  <c:v>575</c:v>
                </c:pt>
                <c:pt idx="571">
                  <c:v>575</c:v>
                </c:pt>
                <c:pt idx="572">
                  <c:v>575</c:v>
                </c:pt>
                <c:pt idx="573">
                  <c:v>575</c:v>
                </c:pt>
                <c:pt idx="574">
                  <c:v>576</c:v>
                </c:pt>
                <c:pt idx="575">
                  <c:v>578</c:v>
                </c:pt>
                <c:pt idx="576">
                  <c:v>579</c:v>
                </c:pt>
                <c:pt idx="577">
                  <c:v>579</c:v>
                </c:pt>
                <c:pt idx="578">
                  <c:v>579</c:v>
                </c:pt>
                <c:pt idx="579">
                  <c:v>579</c:v>
                </c:pt>
                <c:pt idx="580">
                  <c:v>579</c:v>
                </c:pt>
                <c:pt idx="581">
                  <c:v>579</c:v>
                </c:pt>
                <c:pt idx="582">
                  <c:v>579</c:v>
                </c:pt>
                <c:pt idx="583">
                  <c:v>580</c:v>
                </c:pt>
                <c:pt idx="584">
                  <c:v>580</c:v>
                </c:pt>
                <c:pt idx="585">
                  <c:v>580</c:v>
                </c:pt>
                <c:pt idx="586">
                  <c:v>580</c:v>
                </c:pt>
                <c:pt idx="587">
                  <c:v>580</c:v>
                </c:pt>
                <c:pt idx="588">
                  <c:v>580</c:v>
                </c:pt>
                <c:pt idx="589">
                  <c:v>581</c:v>
                </c:pt>
                <c:pt idx="590">
                  <c:v>581</c:v>
                </c:pt>
                <c:pt idx="591">
                  <c:v>581</c:v>
                </c:pt>
                <c:pt idx="592">
                  <c:v>581</c:v>
                </c:pt>
                <c:pt idx="593">
                  <c:v>581</c:v>
                </c:pt>
                <c:pt idx="594">
                  <c:v>581</c:v>
                </c:pt>
                <c:pt idx="595">
                  <c:v>581</c:v>
                </c:pt>
                <c:pt idx="596">
                  <c:v>581</c:v>
                </c:pt>
                <c:pt idx="597">
                  <c:v>582</c:v>
                </c:pt>
                <c:pt idx="598">
                  <c:v>582</c:v>
                </c:pt>
                <c:pt idx="599">
                  <c:v>582</c:v>
                </c:pt>
                <c:pt idx="600">
                  <c:v>582</c:v>
                </c:pt>
                <c:pt idx="601">
                  <c:v>583</c:v>
                </c:pt>
                <c:pt idx="602">
                  <c:v>583</c:v>
                </c:pt>
                <c:pt idx="603">
                  <c:v>584</c:v>
                </c:pt>
                <c:pt idx="604">
                  <c:v>584</c:v>
                </c:pt>
                <c:pt idx="605">
                  <c:v>584</c:v>
                </c:pt>
                <c:pt idx="606">
                  <c:v>584</c:v>
                </c:pt>
                <c:pt idx="607">
                  <c:v>584</c:v>
                </c:pt>
                <c:pt idx="608">
                  <c:v>584</c:v>
                </c:pt>
                <c:pt idx="609">
                  <c:v>586</c:v>
                </c:pt>
                <c:pt idx="610">
                  <c:v>587</c:v>
                </c:pt>
                <c:pt idx="611">
                  <c:v>587</c:v>
                </c:pt>
                <c:pt idx="612">
                  <c:v>587</c:v>
                </c:pt>
                <c:pt idx="613">
                  <c:v>587</c:v>
                </c:pt>
                <c:pt idx="614">
                  <c:v>589</c:v>
                </c:pt>
                <c:pt idx="615">
                  <c:v>589</c:v>
                </c:pt>
                <c:pt idx="616">
                  <c:v>589</c:v>
                </c:pt>
                <c:pt idx="617">
                  <c:v>589</c:v>
                </c:pt>
                <c:pt idx="618">
                  <c:v>589</c:v>
                </c:pt>
                <c:pt idx="619">
                  <c:v>589</c:v>
                </c:pt>
                <c:pt idx="620">
                  <c:v>589</c:v>
                </c:pt>
                <c:pt idx="621">
                  <c:v>589</c:v>
                </c:pt>
                <c:pt idx="622">
                  <c:v>589</c:v>
                </c:pt>
                <c:pt idx="623">
                  <c:v>589</c:v>
                </c:pt>
                <c:pt idx="624">
                  <c:v>592</c:v>
                </c:pt>
                <c:pt idx="625">
                  <c:v>592</c:v>
                </c:pt>
                <c:pt idx="626">
                  <c:v>592</c:v>
                </c:pt>
                <c:pt idx="627">
                  <c:v>592</c:v>
                </c:pt>
                <c:pt idx="628">
                  <c:v>592</c:v>
                </c:pt>
                <c:pt idx="629">
                  <c:v>592</c:v>
                </c:pt>
                <c:pt idx="630">
                  <c:v>592</c:v>
                </c:pt>
                <c:pt idx="631">
                  <c:v>593</c:v>
                </c:pt>
                <c:pt idx="632">
                  <c:v>593</c:v>
                </c:pt>
                <c:pt idx="633">
                  <c:v>593</c:v>
                </c:pt>
                <c:pt idx="634">
                  <c:v>593</c:v>
                </c:pt>
                <c:pt idx="635">
                  <c:v>596</c:v>
                </c:pt>
                <c:pt idx="636">
                  <c:v>596</c:v>
                </c:pt>
                <c:pt idx="637">
                  <c:v>596</c:v>
                </c:pt>
                <c:pt idx="638">
                  <c:v>597</c:v>
                </c:pt>
                <c:pt idx="639">
                  <c:v>597</c:v>
                </c:pt>
                <c:pt idx="640">
                  <c:v>597</c:v>
                </c:pt>
                <c:pt idx="641">
                  <c:v>597</c:v>
                </c:pt>
                <c:pt idx="642">
                  <c:v>597</c:v>
                </c:pt>
                <c:pt idx="643">
                  <c:v>598</c:v>
                </c:pt>
                <c:pt idx="644">
                  <c:v>598</c:v>
                </c:pt>
                <c:pt idx="645">
                  <c:v>598</c:v>
                </c:pt>
                <c:pt idx="646">
                  <c:v>598</c:v>
                </c:pt>
                <c:pt idx="647">
                  <c:v>598</c:v>
                </c:pt>
                <c:pt idx="648">
                  <c:v>598</c:v>
                </c:pt>
                <c:pt idx="649">
                  <c:v>598</c:v>
                </c:pt>
                <c:pt idx="650">
                  <c:v>598</c:v>
                </c:pt>
                <c:pt idx="651">
                  <c:v>598</c:v>
                </c:pt>
                <c:pt idx="652">
                  <c:v>599</c:v>
                </c:pt>
                <c:pt idx="653">
                  <c:v>600</c:v>
                </c:pt>
                <c:pt idx="654">
                  <c:v>600</c:v>
                </c:pt>
                <c:pt idx="655">
                  <c:v>600</c:v>
                </c:pt>
                <c:pt idx="656">
                  <c:v>602</c:v>
                </c:pt>
                <c:pt idx="657">
                  <c:v>603</c:v>
                </c:pt>
                <c:pt idx="658">
                  <c:v>603</c:v>
                </c:pt>
                <c:pt idx="659">
                  <c:v>603</c:v>
                </c:pt>
                <c:pt idx="660">
                  <c:v>603</c:v>
                </c:pt>
                <c:pt idx="661">
                  <c:v>603</c:v>
                </c:pt>
                <c:pt idx="662">
                  <c:v>603</c:v>
                </c:pt>
                <c:pt idx="663">
                  <c:v>604</c:v>
                </c:pt>
                <c:pt idx="664">
                  <c:v>604</c:v>
                </c:pt>
                <c:pt idx="665">
                  <c:v>604</c:v>
                </c:pt>
                <c:pt idx="666">
                  <c:v>604</c:v>
                </c:pt>
                <c:pt idx="667">
                  <c:v>607</c:v>
                </c:pt>
                <c:pt idx="668">
                  <c:v>607</c:v>
                </c:pt>
                <c:pt idx="669">
                  <c:v>607</c:v>
                </c:pt>
                <c:pt idx="670">
                  <c:v>609</c:v>
                </c:pt>
                <c:pt idx="671">
                  <c:v>609</c:v>
                </c:pt>
                <c:pt idx="672">
                  <c:v>609</c:v>
                </c:pt>
                <c:pt idx="673">
                  <c:v>612</c:v>
                </c:pt>
                <c:pt idx="674">
                  <c:v>612</c:v>
                </c:pt>
                <c:pt idx="675">
                  <c:v>612</c:v>
                </c:pt>
                <c:pt idx="676">
                  <c:v>612</c:v>
                </c:pt>
                <c:pt idx="677">
                  <c:v>612</c:v>
                </c:pt>
                <c:pt idx="678">
                  <c:v>614</c:v>
                </c:pt>
                <c:pt idx="679">
                  <c:v>614</c:v>
                </c:pt>
                <c:pt idx="680">
                  <c:v>615</c:v>
                </c:pt>
                <c:pt idx="681">
                  <c:v>615</c:v>
                </c:pt>
                <c:pt idx="682">
                  <c:v>615</c:v>
                </c:pt>
                <c:pt idx="683">
                  <c:v>615</c:v>
                </c:pt>
                <c:pt idx="684">
                  <c:v>616</c:v>
                </c:pt>
                <c:pt idx="685">
                  <c:v>616</c:v>
                </c:pt>
                <c:pt idx="686">
                  <c:v>617</c:v>
                </c:pt>
                <c:pt idx="687">
                  <c:v>617</c:v>
                </c:pt>
                <c:pt idx="688">
                  <c:v>617</c:v>
                </c:pt>
                <c:pt idx="689">
                  <c:v>617</c:v>
                </c:pt>
                <c:pt idx="690">
                  <c:v>617</c:v>
                </c:pt>
                <c:pt idx="691">
                  <c:v>619</c:v>
                </c:pt>
                <c:pt idx="692">
                  <c:v>619</c:v>
                </c:pt>
                <c:pt idx="693">
                  <c:v>620</c:v>
                </c:pt>
                <c:pt idx="694">
                  <c:v>622</c:v>
                </c:pt>
                <c:pt idx="695">
                  <c:v>622</c:v>
                </c:pt>
                <c:pt idx="696">
                  <c:v>622</c:v>
                </c:pt>
                <c:pt idx="697">
                  <c:v>622</c:v>
                </c:pt>
                <c:pt idx="698">
                  <c:v>623</c:v>
                </c:pt>
                <c:pt idx="699">
                  <c:v>623</c:v>
                </c:pt>
                <c:pt idx="700">
                  <c:v>623</c:v>
                </c:pt>
                <c:pt idx="701">
                  <c:v>624</c:v>
                </c:pt>
                <c:pt idx="702">
                  <c:v>624</c:v>
                </c:pt>
                <c:pt idx="703">
                  <c:v>624</c:v>
                </c:pt>
                <c:pt idx="704">
                  <c:v>624</c:v>
                </c:pt>
                <c:pt idx="705">
                  <c:v>624</c:v>
                </c:pt>
                <c:pt idx="706">
                  <c:v>624</c:v>
                </c:pt>
                <c:pt idx="707">
                  <c:v>624</c:v>
                </c:pt>
                <c:pt idx="708">
                  <c:v>624</c:v>
                </c:pt>
                <c:pt idx="709">
                  <c:v>627</c:v>
                </c:pt>
                <c:pt idx="710">
                  <c:v>627</c:v>
                </c:pt>
                <c:pt idx="711">
                  <c:v>627</c:v>
                </c:pt>
                <c:pt idx="712">
                  <c:v>627</c:v>
                </c:pt>
                <c:pt idx="713">
                  <c:v>627</c:v>
                </c:pt>
                <c:pt idx="714">
                  <c:v>627</c:v>
                </c:pt>
                <c:pt idx="715">
                  <c:v>628</c:v>
                </c:pt>
                <c:pt idx="716">
                  <c:v>629</c:v>
                </c:pt>
                <c:pt idx="717">
                  <c:v>629</c:v>
                </c:pt>
                <c:pt idx="718">
                  <c:v>629</c:v>
                </c:pt>
                <c:pt idx="719">
                  <c:v>629</c:v>
                </c:pt>
                <c:pt idx="720">
                  <c:v>629</c:v>
                </c:pt>
                <c:pt idx="721">
                  <c:v>629</c:v>
                </c:pt>
                <c:pt idx="722">
                  <c:v>629</c:v>
                </c:pt>
                <c:pt idx="723">
                  <c:v>629</c:v>
                </c:pt>
                <c:pt idx="724">
                  <c:v>629</c:v>
                </c:pt>
                <c:pt idx="725">
                  <c:v>629</c:v>
                </c:pt>
                <c:pt idx="726">
                  <c:v>629</c:v>
                </c:pt>
                <c:pt idx="727">
                  <c:v>629</c:v>
                </c:pt>
                <c:pt idx="728">
                  <c:v>629</c:v>
                </c:pt>
                <c:pt idx="729">
                  <c:v>629</c:v>
                </c:pt>
                <c:pt idx="730">
                  <c:v>631</c:v>
                </c:pt>
                <c:pt idx="731">
                  <c:v>631</c:v>
                </c:pt>
                <c:pt idx="732">
                  <c:v>631</c:v>
                </c:pt>
                <c:pt idx="733">
                  <c:v>631</c:v>
                </c:pt>
                <c:pt idx="734">
                  <c:v>631</c:v>
                </c:pt>
                <c:pt idx="735">
                  <c:v>632</c:v>
                </c:pt>
                <c:pt idx="736">
                  <c:v>633</c:v>
                </c:pt>
                <c:pt idx="737">
                  <c:v>633</c:v>
                </c:pt>
                <c:pt idx="738">
                  <c:v>633</c:v>
                </c:pt>
                <c:pt idx="739">
                  <c:v>633</c:v>
                </c:pt>
                <c:pt idx="740">
                  <c:v>633</c:v>
                </c:pt>
                <c:pt idx="741">
                  <c:v>634</c:v>
                </c:pt>
                <c:pt idx="742">
                  <c:v>634</c:v>
                </c:pt>
                <c:pt idx="743">
                  <c:v>634</c:v>
                </c:pt>
                <c:pt idx="744">
                  <c:v>637</c:v>
                </c:pt>
                <c:pt idx="745">
                  <c:v>637</c:v>
                </c:pt>
                <c:pt idx="746">
                  <c:v>637</c:v>
                </c:pt>
                <c:pt idx="747">
                  <c:v>637</c:v>
                </c:pt>
                <c:pt idx="748">
                  <c:v>637</c:v>
                </c:pt>
                <c:pt idx="749">
                  <c:v>637</c:v>
                </c:pt>
                <c:pt idx="750">
                  <c:v>637</c:v>
                </c:pt>
                <c:pt idx="751">
                  <c:v>640</c:v>
                </c:pt>
                <c:pt idx="752">
                  <c:v>640</c:v>
                </c:pt>
                <c:pt idx="753">
                  <c:v>640</c:v>
                </c:pt>
                <c:pt idx="754">
                  <c:v>640</c:v>
                </c:pt>
                <c:pt idx="755">
                  <c:v>640</c:v>
                </c:pt>
                <c:pt idx="756">
                  <c:v>641</c:v>
                </c:pt>
                <c:pt idx="757">
                  <c:v>641</c:v>
                </c:pt>
                <c:pt idx="758">
                  <c:v>641</c:v>
                </c:pt>
                <c:pt idx="759">
                  <c:v>641</c:v>
                </c:pt>
                <c:pt idx="760">
                  <c:v>641</c:v>
                </c:pt>
                <c:pt idx="761">
                  <c:v>642</c:v>
                </c:pt>
                <c:pt idx="762">
                  <c:v>642</c:v>
                </c:pt>
                <c:pt idx="763">
                  <c:v>642</c:v>
                </c:pt>
                <c:pt idx="764">
                  <c:v>642</c:v>
                </c:pt>
                <c:pt idx="765">
                  <c:v>643</c:v>
                </c:pt>
                <c:pt idx="766">
                  <c:v>643</c:v>
                </c:pt>
                <c:pt idx="767">
                  <c:v>643</c:v>
                </c:pt>
                <c:pt idx="768">
                  <c:v>643</c:v>
                </c:pt>
                <c:pt idx="769">
                  <c:v>643</c:v>
                </c:pt>
                <c:pt idx="770">
                  <c:v>643</c:v>
                </c:pt>
                <c:pt idx="771">
                  <c:v>643</c:v>
                </c:pt>
                <c:pt idx="772">
                  <c:v>643</c:v>
                </c:pt>
                <c:pt idx="773">
                  <c:v>643</c:v>
                </c:pt>
                <c:pt idx="774">
                  <c:v>643</c:v>
                </c:pt>
                <c:pt idx="775">
                  <c:v>643</c:v>
                </c:pt>
                <c:pt idx="776">
                  <c:v>644</c:v>
                </c:pt>
                <c:pt idx="777">
                  <c:v>646</c:v>
                </c:pt>
                <c:pt idx="778">
                  <c:v>646</c:v>
                </c:pt>
                <c:pt idx="779">
                  <c:v>646</c:v>
                </c:pt>
                <c:pt idx="780">
                  <c:v>646</c:v>
                </c:pt>
                <c:pt idx="781">
                  <c:v>646</c:v>
                </c:pt>
                <c:pt idx="782">
                  <c:v>646</c:v>
                </c:pt>
                <c:pt idx="783">
                  <c:v>646</c:v>
                </c:pt>
                <c:pt idx="784">
                  <c:v>646</c:v>
                </c:pt>
                <c:pt idx="785">
                  <c:v>646</c:v>
                </c:pt>
                <c:pt idx="786">
                  <c:v>646</c:v>
                </c:pt>
                <c:pt idx="787">
                  <c:v>646</c:v>
                </c:pt>
                <c:pt idx="788">
                  <c:v>646</c:v>
                </c:pt>
                <c:pt idx="789">
                  <c:v>646</c:v>
                </c:pt>
                <c:pt idx="790">
                  <c:v>646</c:v>
                </c:pt>
                <c:pt idx="791">
                  <c:v>649</c:v>
                </c:pt>
                <c:pt idx="792">
                  <c:v>651</c:v>
                </c:pt>
                <c:pt idx="793">
                  <c:v>652</c:v>
                </c:pt>
                <c:pt idx="794">
                  <c:v>652</c:v>
                </c:pt>
                <c:pt idx="795">
                  <c:v>652</c:v>
                </c:pt>
                <c:pt idx="796">
                  <c:v>652</c:v>
                </c:pt>
                <c:pt idx="797">
                  <c:v>652</c:v>
                </c:pt>
                <c:pt idx="798">
                  <c:v>652</c:v>
                </c:pt>
                <c:pt idx="799">
                  <c:v>652</c:v>
                </c:pt>
                <c:pt idx="800">
                  <c:v>653</c:v>
                </c:pt>
                <c:pt idx="801">
                  <c:v>653</c:v>
                </c:pt>
                <c:pt idx="802">
                  <c:v>653</c:v>
                </c:pt>
                <c:pt idx="803">
                  <c:v>653</c:v>
                </c:pt>
                <c:pt idx="804">
                  <c:v>653</c:v>
                </c:pt>
                <c:pt idx="805">
                  <c:v>653</c:v>
                </c:pt>
                <c:pt idx="806">
                  <c:v>653</c:v>
                </c:pt>
                <c:pt idx="807">
                  <c:v>654</c:v>
                </c:pt>
                <c:pt idx="808">
                  <c:v>654</c:v>
                </c:pt>
                <c:pt idx="809">
                  <c:v>654</c:v>
                </c:pt>
                <c:pt idx="810">
                  <c:v>654</c:v>
                </c:pt>
                <c:pt idx="811">
                  <c:v>654</c:v>
                </c:pt>
                <c:pt idx="812">
                  <c:v>654</c:v>
                </c:pt>
                <c:pt idx="813">
                  <c:v>654</c:v>
                </c:pt>
                <c:pt idx="814">
                  <c:v>654</c:v>
                </c:pt>
                <c:pt idx="815">
                  <c:v>654</c:v>
                </c:pt>
                <c:pt idx="816">
                  <c:v>654</c:v>
                </c:pt>
                <c:pt idx="817">
                  <c:v>654</c:v>
                </c:pt>
                <c:pt idx="818">
                  <c:v>654</c:v>
                </c:pt>
                <c:pt idx="819">
                  <c:v>655</c:v>
                </c:pt>
                <c:pt idx="820">
                  <c:v>655</c:v>
                </c:pt>
                <c:pt idx="821">
                  <c:v>656</c:v>
                </c:pt>
                <c:pt idx="822">
                  <c:v>656</c:v>
                </c:pt>
                <c:pt idx="823">
                  <c:v>656</c:v>
                </c:pt>
                <c:pt idx="824">
                  <c:v>656</c:v>
                </c:pt>
                <c:pt idx="825">
                  <c:v>656</c:v>
                </c:pt>
                <c:pt idx="826">
                  <c:v>656</c:v>
                </c:pt>
                <c:pt idx="827">
                  <c:v>656</c:v>
                </c:pt>
                <c:pt idx="828">
                  <c:v>656</c:v>
                </c:pt>
                <c:pt idx="829">
                  <c:v>656</c:v>
                </c:pt>
                <c:pt idx="830">
                  <c:v>656</c:v>
                </c:pt>
                <c:pt idx="831">
                  <c:v>656</c:v>
                </c:pt>
                <c:pt idx="832">
                  <c:v>656</c:v>
                </c:pt>
                <c:pt idx="833">
                  <c:v>656</c:v>
                </c:pt>
                <c:pt idx="834">
                  <c:v>656</c:v>
                </c:pt>
                <c:pt idx="835">
                  <c:v>656</c:v>
                </c:pt>
                <c:pt idx="836">
                  <c:v>656</c:v>
                </c:pt>
                <c:pt idx="837">
                  <c:v>656</c:v>
                </c:pt>
                <c:pt idx="838">
                  <c:v>656</c:v>
                </c:pt>
                <c:pt idx="839">
                  <c:v>656</c:v>
                </c:pt>
                <c:pt idx="840">
                  <c:v>656</c:v>
                </c:pt>
                <c:pt idx="841">
                  <c:v>656</c:v>
                </c:pt>
                <c:pt idx="842">
                  <c:v>656</c:v>
                </c:pt>
                <c:pt idx="843">
                  <c:v>656</c:v>
                </c:pt>
                <c:pt idx="844">
                  <c:v>656</c:v>
                </c:pt>
                <c:pt idx="845">
                  <c:v>656</c:v>
                </c:pt>
                <c:pt idx="846">
                  <c:v>656</c:v>
                </c:pt>
                <c:pt idx="847">
                  <c:v>656</c:v>
                </c:pt>
                <c:pt idx="848">
                  <c:v>656</c:v>
                </c:pt>
                <c:pt idx="849">
                  <c:v>656</c:v>
                </c:pt>
                <c:pt idx="850">
                  <c:v>656</c:v>
                </c:pt>
                <c:pt idx="851">
                  <c:v>656</c:v>
                </c:pt>
                <c:pt idx="852">
                  <c:v>656</c:v>
                </c:pt>
                <c:pt idx="853">
                  <c:v>656</c:v>
                </c:pt>
                <c:pt idx="854">
                  <c:v>656</c:v>
                </c:pt>
                <c:pt idx="855">
                  <c:v>656</c:v>
                </c:pt>
                <c:pt idx="856">
                  <c:v>656</c:v>
                </c:pt>
                <c:pt idx="857">
                  <c:v>656</c:v>
                </c:pt>
                <c:pt idx="858">
                  <c:v>656</c:v>
                </c:pt>
                <c:pt idx="859">
                  <c:v>656</c:v>
                </c:pt>
                <c:pt idx="860">
                  <c:v>656</c:v>
                </c:pt>
                <c:pt idx="861">
                  <c:v>656</c:v>
                </c:pt>
                <c:pt idx="862">
                  <c:v>656</c:v>
                </c:pt>
                <c:pt idx="863">
                  <c:v>656</c:v>
                </c:pt>
                <c:pt idx="864">
                  <c:v>656</c:v>
                </c:pt>
                <c:pt idx="865">
                  <c:v>656</c:v>
                </c:pt>
                <c:pt idx="866">
                  <c:v>656</c:v>
                </c:pt>
                <c:pt idx="867">
                  <c:v>657</c:v>
                </c:pt>
                <c:pt idx="868">
                  <c:v>657</c:v>
                </c:pt>
                <c:pt idx="869">
                  <c:v>657</c:v>
                </c:pt>
                <c:pt idx="870">
                  <c:v>657</c:v>
                </c:pt>
                <c:pt idx="871">
                  <c:v>657</c:v>
                </c:pt>
                <c:pt idx="872">
                  <c:v>657</c:v>
                </c:pt>
                <c:pt idx="873">
                  <c:v>657</c:v>
                </c:pt>
                <c:pt idx="874">
                  <c:v>657</c:v>
                </c:pt>
                <c:pt idx="875">
                  <c:v>657</c:v>
                </c:pt>
                <c:pt idx="876">
                  <c:v>657</c:v>
                </c:pt>
                <c:pt idx="877">
                  <c:v>657</c:v>
                </c:pt>
                <c:pt idx="878">
                  <c:v>657</c:v>
                </c:pt>
                <c:pt idx="879">
                  <c:v>657</c:v>
                </c:pt>
                <c:pt idx="880">
                  <c:v>657</c:v>
                </c:pt>
                <c:pt idx="881">
                  <c:v>657</c:v>
                </c:pt>
                <c:pt idx="882">
                  <c:v>657</c:v>
                </c:pt>
                <c:pt idx="883">
                  <c:v>657</c:v>
                </c:pt>
                <c:pt idx="884">
                  <c:v>657</c:v>
                </c:pt>
                <c:pt idx="885">
                  <c:v>657</c:v>
                </c:pt>
                <c:pt idx="886">
                  <c:v>657</c:v>
                </c:pt>
                <c:pt idx="887">
                  <c:v>657</c:v>
                </c:pt>
                <c:pt idx="888">
                  <c:v>657</c:v>
                </c:pt>
                <c:pt idx="889">
                  <c:v>657</c:v>
                </c:pt>
                <c:pt idx="890">
                  <c:v>657</c:v>
                </c:pt>
                <c:pt idx="891">
                  <c:v>657</c:v>
                </c:pt>
                <c:pt idx="892">
                  <c:v>657</c:v>
                </c:pt>
                <c:pt idx="893">
                  <c:v>657</c:v>
                </c:pt>
                <c:pt idx="894">
                  <c:v>657</c:v>
                </c:pt>
                <c:pt idx="895">
                  <c:v>657</c:v>
                </c:pt>
                <c:pt idx="896">
                  <c:v>657</c:v>
                </c:pt>
                <c:pt idx="897">
                  <c:v>657</c:v>
                </c:pt>
                <c:pt idx="898">
                  <c:v>657</c:v>
                </c:pt>
                <c:pt idx="899">
                  <c:v>657</c:v>
                </c:pt>
                <c:pt idx="900">
                  <c:v>657</c:v>
                </c:pt>
                <c:pt idx="901">
                  <c:v>657</c:v>
                </c:pt>
                <c:pt idx="902">
                  <c:v>657</c:v>
                </c:pt>
                <c:pt idx="903">
                  <c:v>657</c:v>
                </c:pt>
                <c:pt idx="904">
                  <c:v>657</c:v>
                </c:pt>
                <c:pt idx="905">
                  <c:v>657</c:v>
                </c:pt>
                <c:pt idx="906">
                  <c:v>657</c:v>
                </c:pt>
                <c:pt idx="907">
                  <c:v>657</c:v>
                </c:pt>
                <c:pt idx="908">
                  <c:v>657</c:v>
                </c:pt>
                <c:pt idx="909">
                  <c:v>657</c:v>
                </c:pt>
                <c:pt idx="910">
                  <c:v>657</c:v>
                </c:pt>
                <c:pt idx="911">
                  <c:v>657</c:v>
                </c:pt>
                <c:pt idx="912">
                  <c:v>657</c:v>
                </c:pt>
                <c:pt idx="913">
                  <c:v>657</c:v>
                </c:pt>
                <c:pt idx="914">
                  <c:v>657</c:v>
                </c:pt>
                <c:pt idx="915">
                  <c:v>657</c:v>
                </c:pt>
                <c:pt idx="916">
                  <c:v>657</c:v>
                </c:pt>
                <c:pt idx="917">
                  <c:v>657</c:v>
                </c:pt>
                <c:pt idx="918">
                  <c:v>657</c:v>
                </c:pt>
                <c:pt idx="919">
                  <c:v>657</c:v>
                </c:pt>
                <c:pt idx="920">
                  <c:v>657</c:v>
                </c:pt>
                <c:pt idx="921">
                  <c:v>657</c:v>
                </c:pt>
                <c:pt idx="922">
                  <c:v>657</c:v>
                </c:pt>
                <c:pt idx="923">
                  <c:v>657</c:v>
                </c:pt>
                <c:pt idx="924">
                  <c:v>657</c:v>
                </c:pt>
                <c:pt idx="925">
                  <c:v>657</c:v>
                </c:pt>
                <c:pt idx="926">
                  <c:v>657</c:v>
                </c:pt>
                <c:pt idx="927">
                  <c:v>657</c:v>
                </c:pt>
                <c:pt idx="928">
                  <c:v>657</c:v>
                </c:pt>
                <c:pt idx="929">
                  <c:v>657</c:v>
                </c:pt>
                <c:pt idx="930">
                  <c:v>657</c:v>
                </c:pt>
                <c:pt idx="931">
                  <c:v>657</c:v>
                </c:pt>
                <c:pt idx="932">
                  <c:v>657</c:v>
                </c:pt>
                <c:pt idx="933">
                  <c:v>657</c:v>
                </c:pt>
                <c:pt idx="934">
                  <c:v>657</c:v>
                </c:pt>
                <c:pt idx="935">
                  <c:v>657</c:v>
                </c:pt>
                <c:pt idx="936">
                  <c:v>657</c:v>
                </c:pt>
                <c:pt idx="937">
                  <c:v>657</c:v>
                </c:pt>
                <c:pt idx="938">
                  <c:v>657</c:v>
                </c:pt>
                <c:pt idx="939">
                  <c:v>657</c:v>
                </c:pt>
                <c:pt idx="940">
                  <c:v>657</c:v>
                </c:pt>
                <c:pt idx="941">
                  <c:v>657</c:v>
                </c:pt>
                <c:pt idx="942">
                  <c:v>657</c:v>
                </c:pt>
                <c:pt idx="943">
                  <c:v>657</c:v>
                </c:pt>
                <c:pt idx="944">
                  <c:v>657</c:v>
                </c:pt>
                <c:pt idx="945">
                  <c:v>657</c:v>
                </c:pt>
                <c:pt idx="946">
                  <c:v>657</c:v>
                </c:pt>
                <c:pt idx="947">
                  <c:v>657</c:v>
                </c:pt>
                <c:pt idx="948">
                  <c:v>657</c:v>
                </c:pt>
                <c:pt idx="949">
                  <c:v>657</c:v>
                </c:pt>
                <c:pt idx="950">
                  <c:v>657</c:v>
                </c:pt>
                <c:pt idx="951">
                  <c:v>657</c:v>
                </c:pt>
                <c:pt idx="952">
                  <c:v>657</c:v>
                </c:pt>
                <c:pt idx="953">
                  <c:v>657</c:v>
                </c:pt>
                <c:pt idx="954">
                  <c:v>657</c:v>
                </c:pt>
                <c:pt idx="955">
                  <c:v>657</c:v>
                </c:pt>
                <c:pt idx="956">
                  <c:v>657</c:v>
                </c:pt>
                <c:pt idx="957">
                  <c:v>657</c:v>
                </c:pt>
                <c:pt idx="958">
                  <c:v>657</c:v>
                </c:pt>
                <c:pt idx="959">
                  <c:v>657</c:v>
                </c:pt>
                <c:pt idx="960">
                  <c:v>657</c:v>
                </c:pt>
                <c:pt idx="961">
                  <c:v>657</c:v>
                </c:pt>
                <c:pt idx="962">
                  <c:v>657</c:v>
                </c:pt>
                <c:pt idx="963">
                  <c:v>657</c:v>
                </c:pt>
                <c:pt idx="964">
                  <c:v>657</c:v>
                </c:pt>
                <c:pt idx="965">
                  <c:v>657</c:v>
                </c:pt>
                <c:pt idx="966">
                  <c:v>657</c:v>
                </c:pt>
                <c:pt idx="967">
                  <c:v>657</c:v>
                </c:pt>
                <c:pt idx="968">
                  <c:v>657</c:v>
                </c:pt>
                <c:pt idx="969">
                  <c:v>657</c:v>
                </c:pt>
                <c:pt idx="970">
                  <c:v>657</c:v>
                </c:pt>
                <c:pt idx="971">
                  <c:v>657</c:v>
                </c:pt>
                <c:pt idx="972">
                  <c:v>657</c:v>
                </c:pt>
                <c:pt idx="973">
                  <c:v>657</c:v>
                </c:pt>
                <c:pt idx="974">
                  <c:v>657</c:v>
                </c:pt>
                <c:pt idx="975">
                  <c:v>657</c:v>
                </c:pt>
                <c:pt idx="976">
                  <c:v>657</c:v>
                </c:pt>
                <c:pt idx="977">
                  <c:v>657</c:v>
                </c:pt>
                <c:pt idx="978">
                  <c:v>657</c:v>
                </c:pt>
                <c:pt idx="979">
                  <c:v>657</c:v>
                </c:pt>
                <c:pt idx="980">
                  <c:v>657</c:v>
                </c:pt>
                <c:pt idx="981">
                  <c:v>657</c:v>
                </c:pt>
                <c:pt idx="982">
                  <c:v>657</c:v>
                </c:pt>
                <c:pt idx="983">
                  <c:v>657</c:v>
                </c:pt>
                <c:pt idx="984">
                  <c:v>657</c:v>
                </c:pt>
                <c:pt idx="985">
                  <c:v>657</c:v>
                </c:pt>
                <c:pt idx="986">
                  <c:v>657</c:v>
                </c:pt>
                <c:pt idx="987">
                  <c:v>657</c:v>
                </c:pt>
                <c:pt idx="988">
                  <c:v>657</c:v>
                </c:pt>
                <c:pt idx="989">
                  <c:v>657</c:v>
                </c:pt>
                <c:pt idx="990">
                  <c:v>657</c:v>
                </c:pt>
                <c:pt idx="991">
                  <c:v>657</c:v>
                </c:pt>
                <c:pt idx="992">
                  <c:v>657</c:v>
                </c:pt>
                <c:pt idx="993">
                  <c:v>657</c:v>
                </c:pt>
                <c:pt idx="994">
                  <c:v>657</c:v>
                </c:pt>
                <c:pt idx="995">
                  <c:v>657</c:v>
                </c:pt>
                <c:pt idx="996">
                  <c:v>657</c:v>
                </c:pt>
                <c:pt idx="997">
                  <c:v>657</c:v>
                </c:pt>
                <c:pt idx="998">
                  <c:v>657</c:v>
                </c:pt>
                <c:pt idx="999">
                  <c:v>657</c:v>
                </c:pt>
                <c:pt idx="1000">
                  <c:v>657</c:v>
                </c:pt>
                <c:pt idx="1001">
                  <c:v>657</c:v>
                </c:pt>
                <c:pt idx="1002">
                  <c:v>657</c:v>
                </c:pt>
                <c:pt idx="1003">
                  <c:v>657</c:v>
                </c:pt>
                <c:pt idx="1004">
                  <c:v>657</c:v>
                </c:pt>
                <c:pt idx="1005">
                  <c:v>657</c:v>
                </c:pt>
                <c:pt idx="1006">
                  <c:v>657</c:v>
                </c:pt>
                <c:pt idx="1007">
                  <c:v>657</c:v>
                </c:pt>
                <c:pt idx="1008">
                  <c:v>657</c:v>
                </c:pt>
                <c:pt idx="1009">
                  <c:v>657</c:v>
                </c:pt>
                <c:pt idx="1010">
                  <c:v>657</c:v>
                </c:pt>
                <c:pt idx="1011">
                  <c:v>657</c:v>
                </c:pt>
                <c:pt idx="1012">
                  <c:v>657</c:v>
                </c:pt>
                <c:pt idx="1013">
                  <c:v>657</c:v>
                </c:pt>
                <c:pt idx="1014">
                  <c:v>657</c:v>
                </c:pt>
                <c:pt idx="1015">
                  <c:v>657</c:v>
                </c:pt>
                <c:pt idx="1016">
                  <c:v>657</c:v>
                </c:pt>
                <c:pt idx="1017">
                  <c:v>657</c:v>
                </c:pt>
                <c:pt idx="1018">
                  <c:v>657</c:v>
                </c:pt>
                <c:pt idx="1019">
                  <c:v>657</c:v>
                </c:pt>
                <c:pt idx="1020">
                  <c:v>657</c:v>
                </c:pt>
                <c:pt idx="1021">
                  <c:v>657</c:v>
                </c:pt>
                <c:pt idx="1022">
                  <c:v>657</c:v>
                </c:pt>
                <c:pt idx="1023">
                  <c:v>657</c:v>
                </c:pt>
                <c:pt idx="1024">
                  <c:v>657</c:v>
                </c:pt>
                <c:pt idx="1025">
                  <c:v>657</c:v>
                </c:pt>
                <c:pt idx="1026">
                  <c:v>657</c:v>
                </c:pt>
                <c:pt idx="1027">
                  <c:v>657</c:v>
                </c:pt>
                <c:pt idx="1028">
                  <c:v>657</c:v>
                </c:pt>
                <c:pt idx="1029">
                  <c:v>657</c:v>
                </c:pt>
                <c:pt idx="1030">
                  <c:v>657</c:v>
                </c:pt>
                <c:pt idx="1031">
                  <c:v>657</c:v>
                </c:pt>
                <c:pt idx="1032">
                  <c:v>657</c:v>
                </c:pt>
                <c:pt idx="1033">
                  <c:v>657</c:v>
                </c:pt>
                <c:pt idx="1034">
                  <c:v>657</c:v>
                </c:pt>
                <c:pt idx="1035">
                  <c:v>657</c:v>
                </c:pt>
                <c:pt idx="1036">
                  <c:v>657</c:v>
                </c:pt>
                <c:pt idx="1037">
                  <c:v>657</c:v>
                </c:pt>
                <c:pt idx="1038">
                  <c:v>657</c:v>
                </c:pt>
                <c:pt idx="1039">
                  <c:v>657</c:v>
                </c:pt>
                <c:pt idx="1040">
                  <c:v>657</c:v>
                </c:pt>
                <c:pt idx="1041">
                  <c:v>657</c:v>
                </c:pt>
                <c:pt idx="1042">
                  <c:v>657</c:v>
                </c:pt>
                <c:pt idx="1043">
                  <c:v>657</c:v>
                </c:pt>
                <c:pt idx="1044">
                  <c:v>657</c:v>
                </c:pt>
                <c:pt idx="1045">
                  <c:v>657</c:v>
                </c:pt>
                <c:pt idx="1046">
                  <c:v>657</c:v>
                </c:pt>
                <c:pt idx="1047">
                  <c:v>657</c:v>
                </c:pt>
                <c:pt idx="1048">
                  <c:v>658</c:v>
                </c:pt>
                <c:pt idx="1049">
                  <c:v>658</c:v>
                </c:pt>
                <c:pt idx="1050">
                  <c:v>658</c:v>
                </c:pt>
                <c:pt idx="1051">
                  <c:v>658</c:v>
                </c:pt>
                <c:pt idx="1052">
                  <c:v>658</c:v>
                </c:pt>
                <c:pt idx="1053">
                  <c:v>658</c:v>
                </c:pt>
                <c:pt idx="1054">
                  <c:v>658</c:v>
                </c:pt>
                <c:pt idx="1055">
                  <c:v>658</c:v>
                </c:pt>
                <c:pt idx="1056">
                  <c:v>658</c:v>
                </c:pt>
                <c:pt idx="1057">
                  <c:v>658</c:v>
                </c:pt>
                <c:pt idx="1058">
                  <c:v>658</c:v>
                </c:pt>
                <c:pt idx="1059">
                  <c:v>658</c:v>
                </c:pt>
                <c:pt idx="1060">
                  <c:v>658</c:v>
                </c:pt>
                <c:pt idx="1061">
                  <c:v>658</c:v>
                </c:pt>
                <c:pt idx="1062">
                  <c:v>658</c:v>
                </c:pt>
                <c:pt idx="1063">
                  <c:v>658</c:v>
                </c:pt>
                <c:pt idx="1064">
                  <c:v>658</c:v>
                </c:pt>
                <c:pt idx="1065">
                  <c:v>658</c:v>
                </c:pt>
                <c:pt idx="1066">
                  <c:v>658</c:v>
                </c:pt>
                <c:pt idx="1067">
                  <c:v>658</c:v>
                </c:pt>
                <c:pt idx="1068">
                  <c:v>658</c:v>
                </c:pt>
                <c:pt idx="1069">
                  <c:v>658</c:v>
                </c:pt>
                <c:pt idx="1070">
                  <c:v>658</c:v>
                </c:pt>
                <c:pt idx="1071">
                  <c:v>658</c:v>
                </c:pt>
                <c:pt idx="1072">
                  <c:v>658</c:v>
                </c:pt>
                <c:pt idx="1073">
                  <c:v>658</c:v>
                </c:pt>
                <c:pt idx="1074">
                  <c:v>658</c:v>
                </c:pt>
                <c:pt idx="1075">
                  <c:v>658</c:v>
                </c:pt>
                <c:pt idx="1076">
                  <c:v>658</c:v>
                </c:pt>
                <c:pt idx="1077">
                  <c:v>658</c:v>
                </c:pt>
                <c:pt idx="1078">
                  <c:v>658</c:v>
                </c:pt>
                <c:pt idx="1079">
                  <c:v>658</c:v>
                </c:pt>
                <c:pt idx="1080">
                  <c:v>658</c:v>
                </c:pt>
                <c:pt idx="1081">
                  <c:v>658</c:v>
                </c:pt>
                <c:pt idx="1082">
                  <c:v>658</c:v>
                </c:pt>
                <c:pt idx="1083">
                  <c:v>658</c:v>
                </c:pt>
                <c:pt idx="1084">
                  <c:v>658</c:v>
                </c:pt>
                <c:pt idx="1085">
                  <c:v>658</c:v>
                </c:pt>
                <c:pt idx="1086">
                  <c:v>658</c:v>
                </c:pt>
                <c:pt idx="1087">
                  <c:v>658</c:v>
                </c:pt>
                <c:pt idx="1088">
                  <c:v>658</c:v>
                </c:pt>
                <c:pt idx="1089">
                  <c:v>658</c:v>
                </c:pt>
                <c:pt idx="1090">
                  <c:v>658</c:v>
                </c:pt>
                <c:pt idx="1091">
                  <c:v>658</c:v>
                </c:pt>
                <c:pt idx="1092">
                  <c:v>658</c:v>
                </c:pt>
                <c:pt idx="1093">
                  <c:v>658</c:v>
                </c:pt>
                <c:pt idx="1094">
                  <c:v>658</c:v>
                </c:pt>
                <c:pt idx="1095">
                  <c:v>658</c:v>
                </c:pt>
                <c:pt idx="1096">
                  <c:v>658</c:v>
                </c:pt>
                <c:pt idx="1097">
                  <c:v>658</c:v>
                </c:pt>
                <c:pt idx="1098">
                  <c:v>658</c:v>
                </c:pt>
                <c:pt idx="1099">
                  <c:v>658</c:v>
                </c:pt>
                <c:pt idx="1100">
                  <c:v>658</c:v>
                </c:pt>
                <c:pt idx="1101">
                  <c:v>658</c:v>
                </c:pt>
                <c:pt idx="1102">
                  <c:v>658</c:v>
                </c:pt>
                <c:pt idx="1103">
                  <c:v>658</c:v>
                </c:pt>
                <c:pt idx="1104">
                  <c:v>658</c:v>
                </c:pt>
                <c:pt idx="1105">
                  <c:v>658</c:v>
                </c:pt>
                <c:pt idx="1106">
                  <c:v>658</c:v>
                </c:pt>
                <c:pt idx="1107">
                  <c:v>658</c:v>
                </c:pt>
                <c:pt idx="1108">
                  <c:v>658</c:v>
                </c:pt>
                <c:pt idx="1109">
                  <c:v>658</c:v>
                </c:pt>
                <c:pt idx="1110">
                  <c:v>658</c:v>
                </c:pt>
                <c:pt idx="1111">
                  <c:v>658</c:v>
                </c:pt>
                <c:pt idx="1112">
                  <c:v>658</c:v>
                </c:pt>
                <c:pt idx="1113">
                  <c:v>658</c:v>
                </c:pt>
                <c:pt idx="1114">
                  <c:v>658</c:v>
                </c:pt>
                <c:pt idx="1115">
                  <c:v>658</c:v>
                </c:pt>
                <c:pt idx="1116">
                  <c:v>658</c:v>
                </c:pt>
                <c:pt idx="1117">
                  <c:v>658</c:v>
                </c:pt>
                <c:pt idx="1118">
                  <c:v>658</c:v>
                </c:pt>
                <c:pt idx="1119">
                  <c:v>658</c:v>
                </c:pt>
                <c:pt idx="1120">
                  <c:v>658</c:v>
                </c:pt>
                <c:pt idx="1121">
                  <c:v>658</c:v>
                </c:pt>
                <c:pt idx="1122">
                  <c:v>658</c:v>
                </c:pt>
                <c:pt idx="1123">
                  <c:v>658</c:v>
                </c:pt>
                <c:pt idx="1124">
                  <c:v>658</c:v>
                </c:pt>
                <c:pt idx="1125">
                  <c:v>658</c:v>
                </c:pt>
                <c:pt idx="1126">
                  <c:v>658</c:v>
                </c:pt>
                <c:pt idx="1127">
                  <c:v>658</c:v>
                </c:pt>
              </c:numCache>
            </c:numRef>
          </c:val>
          <c:extLst>
            <c:ext xmlns:c16="http://schemas.microsoft.com/office/drawing/2014/chart" uri="{C3380CC4-5D6E-409C-BE32-E72D297353CC}">
              <c16:uniqueId val="{00000001-E42F-442A-8284-84FB82BD8A5A}"/>
            </c:ext>
          </c:extLst>
        </c:ser>
        <c:ser>
          <c:idx val="2"/>
          <c:order val="2"/>
          <c:tx>
            <c:strRef>
              <c:f>'04 Participants Timeline'!$D$2</c:f>
              <c:strCache>
                <c:ptCount val="1"/>
                <c:pt idx="0">
                  <c:v>RCT Controls</c:v>
                </c:pt>
              </c:strCache>
            </c:strRef>
          </c:tx>
          <c:spPr>
            <a:solidFill>
              <a:schemeClr val="accent3"/>
            </a:solidFill>
            <a:ln>
              <a:noFill/>
            </a:ln>
            <a:effectLst/>
          </c:spPr>
          <c:cat>
            <c:numRef>
              <c:f>'04 Participants Timeline'!$A$3:$A$1130</c:f>
              <c:numCache>
                <c:formatCode>yyyy\-mm\-dd</c:formatCode>
                <c:ptCount val="1128"/>
                <c:pt idx="0">
                  <c:v>42278</c:v>
                </c:pt>
                <c:pt idx="1">
                  <c:v>42279</c:v>
                </c:pt>
                <c:pt idx="2">
                  <c:v>42280</c:v>
                </c:pt>
                <c:pt idx="3">
                  <c:v>42281</c:v>
                </c:pt>
                <c:pt idx="4">
                  <c:v>42282</c:v>
                </c:pt>
                <c:pt idx="5">
                  <c:v>42283</c:v>
                </c:pt>
                <c:pt idx="6">
                  <c:v>42284</c:v>
                </c:pt>
                <c:pt idx="7">
                  <c:v>42285</c:v>
                </c:pt>
                <c:pt idx="8">
                  <c:v>42286</c:v>
                </c:pt>
                <c:pt idx="9">
                  <c:v>42287</c:v>
                </c:pt>
                <c:pt idx="10">
                  <c:v>42288</c:v>
                </c:pt>
                <c:pt idx="11">
                  <c:v>42289</c:v>
                </c:pt>
                <c:pt idx="12">
                  <c:v>42290</c:v>
                </c:pt>
                <c:pt idx="13">
                  <c:v>42291</c:v>
                </c:pt>
                <c:pt idx="14">
                  <c:v>42292</c:v>
                </c:pt>
                <c:pt idx="15">
                  <c:v>42293</c:v>
                </c:pt>
                <c:pt idx="16">
                  <c:v>42294</c:v>
                </c:pt>
                <c:pt idx="17">
                  <c:v>42295</c:v>
                </c:pt>
                <c:pt idx="18">
                  <c:v>42296</c:v>
                </c:pt>
                <c:pt idx="19">
                  <c:v>42297</c:v>
                </c:pt>
                <c:pt idx="20">
                  <c:v>42298</c:v>
                </c:pt>
                <c:pt idx="21">
                  <c:v>42299</c:v>
                </c:pt>
                <c:pt idx="22">
                  <c:v>42300</c:v>
                </c:pt>
                <c:pt idx="23">
                  <c:v>42301</c:v>
                </c:pt>
                <c:pt idx="24">
                  <c:v>42302</c:v>
                </c:pt>
                <c:pt idx="25">
                  <c:v>42303</c:v>
                </c:pt>
                <c:pt idx="26">
                  <c:v>42304</c:v>
                </c:pt>
                <c:pt idx="27">
                  <c:v>42305</c:v>
                </c:pt>
                <c:pt idx="28">
                  <c:v>42306</c:v>
                </c:pt>
                <c:pt idx="29">
                  <c:v>42307</c:v>
                </c:pt>
                <c:pt idx="30">
                  <c:v>42308</c:v>
                </c:pt>
                <c:pt idx="31">
                  <c:v>42309</c:v>
                </c:pt>
                <c:pt idx="32">
                  <c:v>42310</c:v>
                </c:pt>
                <c:pt idx="33">
                  <c:v>42311</c:v>
                </c:pt>
                <c:pt idx="34">
                  <c:v>42312</c:v>
                </c:pt>
                <c:pt idx="35">
                  <c:v>42313</c:v>
                </c:pt>
                <c:pt idx="36">
                  <c:v>42314</c:v>
                </c:pt>
                <c:pt idx="37">
                  <c:v>42315</c:v>
                </c:pt>
                <c:pt idx="38">
                  <c:v>42316</c:v>
                </c:pt>
                <c:pt idx="39">
                  <c:v>42317</c:v>
                </c:pt>
                <c:pt idx="40">
                  <c:v>42318</c:v>
                </c:pt>
                <c:pt idx="41">
                  <c:v>42319</c:v>
                </c:pt>
                <c:pt idx="42">
                  <c:v>42320</c:v>
                </c:pt>
                <c:pt idx="43">
                  <c:v>42321</c:v>
                </c:pt>
                <c:pt idx="44">
                  <c:v>42322</c:v>
                </c:pt>
                <c:pt idx="45">
                  <c:v>42323</c:v>
                </c:pt>
                <c:pt idx="46">
                  <c:v>42324</c:v>
                </c:pt>
                <c:pt idx="47">
                  <c:v>42325</c:v>
                </c:pt>
                <c:pt idx="48">
                  <c:v>42326</c:v>
                </c:pt>
                <c:pt idx="49">
                  <c:v>42327</c:v>
                </c:pt>
                <c:pt idx="50">
                  <c:v>42328</c:v>
                </c:pt>
                <c:pt idx="51">
                  <c:v>42329</c:v>
                </c:pt>
                <c:pt idx="52">
                  <c:v>42330</c:v>
                </c:pt>
                <c:pt idx="53">
                  <c:v>42331</c:v>
                </c:pt>
                <c:pt idx="54">
                  <c:v>42332</c:v>
                </c:pt>
                <c:pt idx="55">
                  <c:v>42333</c:v>
                </c:pt>
                <c:pt idx="56">
                  <c:v>42334</c:v>
                </c:pt>
                <c:pt idx="57">
                  <c:v>42335</c:v>
                </c:pt>
                <c:pt idx="58">
                  <c:v>42336</c:v>
                </c:pt>
                <c:pt idx="59">
                  <c:v>42337</c:v>
                </c:pt>
                <c:pt idx="60">
                  <c:v>42338</c:v>
                </c:pt>
                <c:pt idx="61">
                  <c:v>42339</c:v>
                </c:pt>
                <c:pt idx="62">
                  <c:v>42340</c:v>
                </c:pt>
                <c:pt idx="63">
                  <c:v>42341</c:v>
                </c:pt>
                <c:pt idx="64">
                  <c:v>42342</c:v>
                </c:pt>
                <c:pt idx="65">
                  <c:v>42343</c:v>
                </c:pt>
                <c:pt idx="66">
                  <c:v>42344</c:v>
                </c:pt>
                <c:pt idx="67">
                  <c:v>42345</c:v>
                </c:pt>
                <c:pt idx="68">
                  <c:v>42346</c:v>
                </c:pt>
                <c:pt idx="69">
                  <c:v>42347</c:v>
                </c:pt>
                <c:pt idx="70">
                  <c:v>42348</c:v>
                </c:pt>
                <c:pt idx="71">
                  <c:v>42349</c:v>
                </c:pt>
                <c:pt idx="72">
                  <c:v>42350</c:v>
                </c:pt>
                <c:pt idx="73">
                  <c:v>42351</c:v>
                </c:pt>
                <c:pt idx="74">
                  <c:v>42352</c:v>
                </c:pt>
                <c:pt idx="75">
                  <c:v>42353</c:v>
                </c:pt>
                <c:pt idx="76">
                  <c:v>42354</c:v>
                </c:pt>
                <c:pt idx="77">
                  <c:v>42355</c:v>
                </c:pt>
                <c:pt idx="78">
                  <c:v>42356</c:v>
                </c:pt>
                <c:pt idx="79">
                  <c:v>42357</c:v>
                </c:pt>
                <c:pt idx="80">
                  <c:v>42358</c:v>
                </c:pt>
                <c:pt idx="81">
                  <c:v>42359</c:v>
                </c:pt>
                <c:pt idx="82">
                  <c:v>42360</c:v>
                </c:pt>
                <c:pt idx="83">
                  <c:v>42361</c:v>
                </c:pt>
                <c:pt idx="84">
                  <c:v>42362</c:v>
                </c:pt>
                <c:pt idx="85">
                  <c:v>42363</c:v>
                </c:pt>
                <c:pt idx="86">
                  <c:v>42364</c:v>
                </c:pt>
                <c:pt idx="87">
                  <c:v>42365</c:v>
                </c:pt>
                <c:pt idx="88">
                  <c:v>42366</c:v>
                </c:pt>
                <c:pt idx="89">
                  <c:v>42367</c:v>
                </c:pt>
                <c:pt idx="90">
                  <c:v>42368</c:v>
                </c:pt>
                <c:pt idx="91">
                  <c:v>42369</c:v>
                </c:pt>
                <c:pt idx="92">
                  <c:v>42370</c:v>
                </c:pt>
                <c:pt idx="93">
                  <c:v>42371</c:v>
                </c:pt>
                <c:pt idx="94">
                  <c:v>42372</c:v>
                </c:pt>
                <c:pt idx="95">
                  <c:v>42373</c:v>
                </c:pt>
                <c:pt idx="96">
                  <c:v>42374</c:v>
                </c:pt>
                <c:pt idx="97">
                  <c:v>42375</c:v>
                </c:pt>
                <c:pt idx="98">
                  <c:v>42376</c:v>
                </c:pt>
                <c:pt idx="99">
                  <c:v>42377</c:v>
                </c:pt>
                <c:pt idx="100">
                  <c:v>42378</c:v>
                </c:pt>
                <c:pt idx="101">
                  <c:v>42379</c:v>
                </c:pt>
                <c:pt idx="102">
                  <c:v>42380</c:v>
                </c:pt>
                <c:pt idx="103">
                  <c:v>42381</c:v>
                </c:pt>
                <c:pt idx="104">
                  <c:v>42382</c:v>
                </c:pt>
                <c:pt idx="105">
                  <c:v>42383</c:v>
                </c:pt>
                <c:pt idx="106">
                  <c:v>42384</c:v>
                </c:pt>
                <c:pt idx="107">
                  <c:v>42385</c:v>
                </c:pt>
                <c:pt idx="108">
                  <c:v>42386</c:v>
                </c:pt>
                <c:pt idx="109">
                  <c:v>42387</c:v>
                </c:pt>
                <c:pt idx="110">
                  <c:v>42388</c:v>
                </c:pt>
                <c:pt idx="111">
                  <c:v>42389</c:v>
                </c:pt>
                <c:pt idx="112">
                  <c:v>42390</c:v>
                </c:pt>
                <c:pt idx="113">
                  <c:v>42391</c:v>
                </c:pt>
                <c:pt idx="114">
                  <c:v>42392</c:v>
                </c:pt>
                <c:pt idx="115">
                  <c:v>42393</c:v>
                </c:pt>
                <c:pt idx="116">
                  <c:v>42394</c:v>
                </c:pt>
                <c:pt idx="117">
                  <c:v>42395</c:v>
                </c:pt>
                <c:pt idx="118">
                  <c:v>42396</c:v>
                </c:pt>
                <c:pt idx="119">
                  <c:v>42397</c:v>
                </c:pt>
                <c:pt idx="120">
                  <c:v>42398</c:v>
                </c:pt>
                <c:pt idx="121">
                  <c:v>42399</c:v>
                </c:pt>
                <c:pt idx="122">
                  <c:v>42400</c:v>
                </c:pt>
                <c:pt idx="123">
                  <c:v>42401</c:v>
                </c:pt>
                <c:pt idx="124">
                  <c:v>42402</c:v>
                </c:pt>
                <c:pt idx="125">
                  <c:v>42403</c:v>
                </c:pt>
                <c:pt idx="126">
                  <c:v>42404</c:v>
                </c:pt>
                <c:pt idx="127">
                  <c:v>42405</c:v>
                </c:pt>
                <c:pt idx="128">
                  <c:v>42406</c:v>
                </c:pt>
                <c:pt idx="129">
                  <c:v>42407</c:v>
                </c:pt>
                <c:pt idx="130">
                  <c:v>42408</c:v>
                </c:pt>
                <c:pt idx="131">
                  <c:v>42409</c:v>
                </c:pt>
                <c:pt idx="132">
                  <c:v>42410</c:v>
                </c:pt>
                <c:pt idx="133">
                  <c:v>42411</c:v>
                </c:pt>
                <c:pt idx="134">
                  <c:v>42412</c:v>
                </c:pt>
                <c:pt idx="135">
                  <c:v>42413</c:v>
                </c:pt>
                <c:pt idx="136">
                  <c:v>42414</c:v>
                </c:pt>
                <c:pt idx="137">
                  <c:v>42415</c:v>
                </c:pt>
                <c:pt idx="138">
                  <c:v>42416</c:v>
                </c:pt>
                <c:pt idx="139">
                  <c:v>42417</c:v>
                </c:pt>
                <c:pt idx="140">
                  <c:v>42418</c:v>
                </c:pt>
                <c:pt idx="141">
                  <c:v>42419</c:v>
                </c:pt>
                <c:pt idx="142">
                  <c:v>42420</c:v>
                </c:pt>
                <c:pt idx="143">
                  <c:v>42421</c:v>
                </c:pt>
                <c:pt idx="144">
                  <c:v>42422</c:v>
                </c:pt>
                <c:pt idx="145">
                  <c:v>42423</c:v>
                </c:pt>
                <c:pt idx="146">
                  <c:v>42424</c:v>
                </c:pt>
                <c:pt idx="147">
                  <c:v>42425</c:v>
                </c:pt>
                <c:pt idx="148">
                  <c:v>42426</c:v>
                </c:pt>
                <c:pt idx="149">
                  <c:v>42427</c:v>
                </c:pt>
                <c:pt idx="150">
                  <c:v>42428</c:v>
                </c:pt>
                <c:pt idx="151">
                  <c:v>42429</c:v>
                </c:pt>
                <c:pt idx="152">
                  <c:v>42430</c:v>
                </c:pt>
                <c:pt idx="153">
                  <c:v>42431</c:v>
                </c:pt>
                <c:pt idx="154">
                  <c:v>42432</c:v>
                </c:pt>
                <c:pt idx="155">
                  <c:v>42433</c:v>
                </c:pt>
                <c:pt idx="156">
                  <c:v>42434</c:v>
                </c:pt>
                <c:pt idx="157">
                  <c:v>42435</c:v>
                </c:pt>
                <c:pt idx="158">
                  <c:v>42436</c:v>
                </c:pt>
                <c:pt idx="159">
                  <c:v>42437</c:v>
                </c:pt>
                <c:pt idx="160">
                  <c:v>42438</c:v>
                </c:pt>
                <c:pt idx="161">
                  <c:v>42439</c:v>
                </c:pt>
                <c:pt idx="162">
                  <c:v>42440</c:v>
                </c:pt>
                <c:pt idx="163">
                  <c:v>42441</c:v>
                </c:pt>
                <c:pt idx="164">
                  <c:v>42442</c:v>
                </c:pt>
                <c:pt idx="165">
                  <c:v>42443</c:v>
                </c:pt>
                <c:pt idx="166">
                  <c:v>42444</c:v>
                </c:pt>
                <c:pt idx="167">
                  <c:v>42445</c:v>
                </c:pt>
                <c:pt idx="168">
                  <c:v>42446</c:v>
                </c:pt>
                <c:pt idx="169">
                  <c:v>42447</c:v>
                </c:pt>
                <c:pt idx="170">
                  <c:v>42448</c:v>
                </c:pt>
                <c:pt idx="171">
                  <c:v>42449</c:v>
                </c:pt>
                <c:pt idx="172">
                  <c:v>42450</c:v>
                </c:pt>
                <c:pt idx="173">
                  <c:v>42451</c:v>
                </c:pt>
                <c:pt idx="174">
                  <c:v>42452</c:v>
                </c:pt>
                <c:pt idx="175">
                  <c:v>42453</c:v>
                </c:pt>
                <c:pt idx="176">
                  <c:v>42454</c:v>
                </c:pt>
                <c:pt idx="177">
                  <c:v>42455</c:v>
                </c:pt>
                <c:pt idx="178">
                  <c:v>42456</c:v>
                </c:pt>
                <c:pt idx="179">
                  <c:v>42457</c:v>
                </c:pt>
                <c:pt idx="180">
                  <c:v>42458</c:v>
                </c:pt>
                <c:pt idx="181">
                  <c:v>42459</c:v>
                </c:pt>
                <c:pt idx="182">
                  <c:v>42460</c:v>
                </c:pt>
                <c:pt idx="183">
                  <c:v>42461</c:v>
                </c:pt>
                <c:pt idx="184">
                  <c:v>42462</c:v>
                </c:pt>
                <c:pt idx="185">
                  <c:v>42463</c:v>
                </c:pt>
                <c:pt idx="186">
                  <c:v>42464</c:v>
                </c:pt>
                <c:pt idx="187">
                  <c:v>42465</c:v>
                </c:pt>
                <c:pt idx="188">
                  <c:v>42466</c:v>
                </c:pt>
                <c:pt idx="189">
                  <c:v>42467</c:v>
                </c:pt>
                <c:pt idx="190">
                  <c:v>42468</c:v>
                </c:pt>
                <c:pt idx="191">
                  <c:v>42469</c:v>
                </c:pt>
                <c:pt idx="192">
                  <c:v>42470</c:v>
                </c:pt>
                <c:pt idx="193">
                  <c:v>42471</c:v>
                </c:pt>
                <c:pt idx="194">
                  <c:v>42472</c:v>
                </c:pt>
                <c:pt idx="195">
                  <c:v>42473</c:v>
                </c:pt>
                <c:pt idx="196">
                  <c:v>42474</c:v>
                </c:pt>
                <c:pt idx="197">
                  <c:v>42475</c:v>
                </c:pt>
                <c:pt idx="198">
                  <c:v>42476</c:v>
                </c:pt>
                <c:pt idx="199">
                  <c:v>42477</c:v>
                </c:pt>
                <c:pt idx="200">
                  <c:v>42478</c:v>
                </c:pt>
                <c:pt idx="201">
                  <c:v>42479</c:v>
                </c:pt>
                <c:pt idx="202">
                  <c:v>42480</c:v>
                </c:pt>
                <c:pt idx="203">
                  <c:v>42481</c:v>
                </c:pt>
                <c:pt idx="204">
                  <c:v>42482</c:v>
                </c:pt>
                <c:pt idx="205">
                  <c:v>42483</c:v>
                </c:pt>
                <c:pt idx="206">
                  <c:v>42484</c:v>
                </c:pt>
                <c:pt idx="207">
                  <c:v>42485</c:v>
                </c:pt>
                <c:pt idx="208">
                  <c:v>42486</c:v>
                </c:pt>
                <c:pt idx="209">
                  <c:v>42487</c:v>
                </c:pt>
                <c:pt idx="210">
                  <c:v>42488</c:v>
                </c:pt>
                <c:pt idx="211">
                  <c:v>42489</c:v>
                </c:pt>
                <c:pt idx="212">
                  <c:v>42490</c:v>
                </c:pt>
                <c:pt idx="213">
                  <c:v>42491</c:v>
                </c:pt>
                <c:pt idx="214">
                  <c:v>42492</c:v>
                </c:pt>
                <c:pt idx="215">
                  <c:v>42493</c:v>
                </c:pt>
                <c:pt idx="216">
                  <c:v>42494</c:v>
                </c:pt>
                <c:pt idx="217">
                  <c:v>42495</c:v>
                </c:pt>
                <c:pt idx="218">
                  <c:v>42496</c:v>
                </c:pt>
                <c:pt idx="219">
                  <c:v>42497</c:v>
                </c:pt>
                <c:pt idx="220">
                  <c:v>42498</c:v>
                </c:pt>
                <c:pt idx="221">
                  <c:v>42499</c:v>
                </c:pt>
                <c:pt idx="222">
                  <c:v>42500</c:v>
                </c:pt>
                <c:pt idx="223">
                  <c:v>42501</c:v>
                </c:pt>
                <c:pt idx="224">
                  <c:v>42502</c:v>
                </c:pt>
                <c:pt idx="225">
                  <c:v>42503</c:v>
                </c:pt>
                <c:pt idx="226">
                  <c:v>42504</c:v>
                </c:pt>
                <c:pt idx="227">
                  <c:v>42505</c:v>
                </c:pt>
                <c:pt idx="228">
                  <c:v>42506</c:v>
                </c:pt>
                <c:pt idx="229">
                  <c:v>42507</c:v>
                </c:pt>
                <c:pt idx="230">
                  <c:v>42508</c:v>
                </c:pt>
                <c:pt idx="231">
                  <c:v>42509</c:v>
                </c:pt>
                <c:pt idx="232">
                  <c:v>42510</c:v>
                </c:pt>
                <c:pt idx="233">
                  <c:v>42511</c:v>
                </c:pt>
                <c:pt idx="234">
                  <c:v>42512</c:v>
                </c:pt>
                <c:pt idx="235">
                  <c:v>42513</c:v>
                </c:pt>
                <c:pt idx="236">
                  <c:v>42514</c:v>
                </c:pt>
                <c:pt idx="237">
                  <c:v>42515</c:v>
                </c:pt>
                <c:pt idx="238">
                  <c:v>42516</c:v>
                </c:pt>
                <c:pt idx="239">
                  <c:v>42517</c:v>
                </c:pt>
                <c:pt idx="240">
                  <c:v>42518</c:v>
                </c:pt>
                <c:pt idx="241">
                  <c:v>42519</c:v>
                </c:pt>
                <c:pt idx="242">
                  <c:v>42520</c:v>
                </c:pt>
                <c:pt idx="243">
                  <c:v>42521</c:v>
                </c:pt>
                <c:pt idx="244">
                  <c:v>42522</c:v>
                </c:pt>
                <c:pt idx="245">
                  <c:v>42523</c:v>
                </c:pt>
                <c:pt idx="246">
                  <c:v>42524</c:v>
                </c:pt>
                <c:pt idx="247">
                  <c:v>42525</c:v>
                </c:pt>
                <c:pt idx="248">
                  <c:v>42526</c:v>
                </c:pt>
                <c:pt idx="249">
                  <c:v>42527</c:v>
                </c:pt>
                <c:pt idx="250">
                  <c:v>42528</c:v>
                </c:pt>
                <c:pt idx="251">
                  <c:v>42529</c:v>
                </c:pt>
                <c:pt idx="252">
                  <c:v>42530</c:v>
                </c:pt>
                <c:pt idx="253">
                  <c:v>42531</c:v>
                </c:pt>
                <c:pt idx="254">
                  <c:v>42532</c:v>
                </c:pt>
                <c:pt idx="255">
                  <c:v>42533</c:v>
                </c:pt>
                <c:pt idx="256">
                  <c:v>42534</c:v>
                </c:pt>
                <c:pt idx="257">
                  <c:v>42535</c:v>
                </c:pt>
                <c:pt idx="258">
                  <c:v>42536</c:v>
                </c:pt>
                <c:pt idx="259">
                  <c:v>42537</c:v>
                </c:pt>
                <c:pt idx="260">
                  <c:v>42538</c:v>
                </c:pt>
                <c:pt idx="261">
                  <c:v>42539</c:v>
                </c:pt>
                <c:pt idx="262">
                  <c:v>42540</c:v>
                </c:pt>
                <c:pt idx="263">
                  <c:v>42541</c:v>
                </c:pt>
                <c:pt idx="264">
                  <c:v>42542</c:v>
                </c:pt>
                <c:pt idx="265">
                  <c:v>42543</c:v>
                </c:pt>
                <c:pt idx="266">
                  <c:v>42544</c:v>
                </c:pt>
                <c:pt idx="267">
                  <c:v>42545</c:v>
                </c:pt>
                <c:pt idx="268">
                  <c:v>42546</c:v>
                </c:pt>
                <c:pt idx="269">
                  <c:v>42547</c:v>
                </c:pt>
                <c:pt idx="270">
                  <c:v>42548</c:v>
                </c:pt>
                <c:pt idx="271">
                  <c:v>42549</c:v>
                </c:pt>
                <c:pt idx="272">
                  <c:v>42550</c:v>
                </c:pt>
                <c:pt idx="273">
                  <c:v>42551</c:v>
                </c:pt>
                <c:pt idx="274">
                  <c:v>42552</c:v>
                </c:pt>
                <c:pt idx="275">
                  <c:v>42553</c:v>
                </c:pt>
                <c:pt idx="276">
                  <c:v>42554</c:v>
                </c:pt>
                <c:pt idx="277">
                  <c:v>42555</c:v>
                </c:pt>
                <c:pt idx="278">
                  <c:v>42556</c:v>
                </c:pt>
                <c:pt idx="279">
                  <c:v>42557</c:v>
                </c:pt>
                <c:pt idx="280">
                  <c:v>42558</c:v>
                </c:pt>
                <c:pt idx="281">
                  <c:v>42559</c:v>
                </c:pt>
                <c:pt idx="282">
                  <c:v>42560</c:v>
                </c:pt>
                <c:pt idx="283">
                  <c:v>42561</c:v>
                </c:pt>
                <c:pt idx="284">
                  <c:v>42562</c:v>
                </c:pt>
                <c:pt idx="285">
                  <c:v>42563</c:v>
                </c:pt>
                <c:pt idx="286">
                  <c:v>42564</c:v>
                </c:pt>
                <c:pt idx="287">
                  <c:v>42565</c:v>
                </c:pt>
                <c:pt idx="288">
                  <c:v>42566</c:v>
                </c:pt>
                <c:pt idx="289">
                  <c:v>42567</c:v>
                </c:pt>
                <c:pt idx="290">
                  <c:v>42568</c:v>
                </c:pt>
                <c:pt idx="291">
                  <c:v>42569</c:v>
                </c:pt>
                <c:pt idx="292">
                  <c:v>42570</c:v>
                </c:pt>
                <c:pt idx="293">
                  <c:v>42571</c:v>
                </c:pt>
                <c:pt idx="294">
                  <c:v>42572</c:v>
                </c:pt>
                <c:pt idx="295">
                  <c:v>42573</c:v>
                </c:pt>
                <c:pt idx="296">
                  <c:v>42574</c:v>
                </c:pt>
                <c:pt idx="297">
                  <c:v>42575</c:v>
                </c:pt>
                <c:pt idx="298">
                  <c:v>42576</c:v>
                </c:pt>
                <c:pt idx="299">
                  <c:v>42577</c:v>
                </c:pt>
                <c:pt idx="300">
                  <c:v>42578</c:v>
                </c:pt>
                <c:pt idx="301">
                  <c:v>42579</c:v>
                </c:pt>
                <c:pt idx="302">
                  <c:v>42580</c:v>
                </c:pt>
                <c:pt idx="303">
                  <c:v>42581</c:v>
                </c:pt>
                <c:pt idx="304">
                  <c:v>42582</c:v>
                </c:pt>
                <c:pt idx="305">
                  <c:v>42583</c:v>
                </c:pt>
                <c:pt idx="306">
                  <c:v>42584</c:v>
                </c:pt>
                <c:pt idx="307">
                  <c:v>42585</c:v>
                </c:pt>
                <c:pt idx="308">
                  <c:v>42586</c:v>
                </c:pt>
                <c:pt idx="309">
                  <c:v>42587</c:v>
                </c:pt>
                <c:pt idx="310">
                  <c:v>42588</c:v>
                </c:pt>
                <c:pt idx="311">
                  <c:v>42589</c:v>
                </c:pt>
                <c:pt idx="312">
                  <c:v>42590</c:v>
                </c:pt>
                <c:pt idx="313">
                  <c:v>42591</c:v>
                </c:pt>
                <c:pt idx="314">
                  <c:v>42592</c:v>
                </c:pt>
                <c:pt idx="315">
                  <c:v>42593</c:v>
                </c:pt>
                <c:pt idx="316">
                  <c:v>42594</c:v>
                </c:pt>
                <c:pt idx="317">
                  <c:v>42595</c:v>
                </c:pt>
                <c:pt idx="318">
                  <c:v>42596</c:v>
                </c:pt>
                <c:pt idx="319">
                  <c:v>42597</c:v>
                </c:pt>
                <c:pt idx="320">
                  <c:v>42598</c:v>
                </c:pt>
                <c:pt idx="321">
                  <c:v>42599</c:v>
                </c:pt>
                <c:pt idx="322">
                  <c:v>42600</c:v>
                </c:pt>
                <c:pt idx="323">
                  <c:v>42601</c:v>
                </c:pt>
                <c:pt idx="324">
                  <c:v>42602</c:v>
                </c:pt>
                <c:pt idx="325">
                  <c:v>42603</c:v>
                </c:pt>
                <c:pt idx="326">
                  <c:v>42604</c:v>
                </c:pt>
                <c:pt idx="327">
                  <c:v>42605</c:v>
                </c:pt>
                <c:pt idx="328">
                  <c:v>42606</c:v>
                </c:pt>
                <c:pt idx="329">
                  <c:v>42607</c:v>
                </c:pt>
                <c:pt idx="330">
                  <c:v>42608</c:v>
                </c:pt>
                <c:pt idx="331">
                  <c:v>42609</c:v>
                </c:pt>
                <c:pt idx="332">
                  <c:v>42610</c:v>
                </c:pt>
                <c:pt idx="333">
                  <c:v>42611</c:v>
                </c:pt>
                <c:pt idx="334">
                  <c:v>42612</c:v>
                </c:pt>
                <c:pt idx="335">
                  <c:v>42613</c:v>
                </c:pt>
                <c:pt idx="336">
                  <c:v>42614</c:v>
                </c:pt>
                <c:pt idx="337">
                  <c:v>42615</c:v>
                </c:pt>
                <c:pt idx="338">
                  <c:v>42616</c:v>
                </c:pt>
                <c:pt idx="339">
                  <c:v>42617</c:v>
                </c:pt>
                <c:pt idx="340">
                  <c:v>42618</c:v>
                </c:pt>
                <c:pt idx="341">
                  <c:v>42619</c:v>
                </c:pt>
                <c:pt idx="342">
                  <c:v>42620</c:v>
                </c:pt>
                <c:pt idx="343">
                  <c:v>42621</c:v>
                </c:pt>
                <c:pt idx="344">
                  <c:v>42622</c:v>
                </c:pt>
                <c:pt idx="345">
                  <c:v>42623</c:v>
                </c:pt>
                <c:pt idx="346">
                  <c:v>42624</c:v>
                </c:pt>
                <c:pt idx="347">
                  <c:v>42625</c:v>
                </c:pt>
                <c:pt idx="348">
                  <c:v>42626</c:v>
                </c:pt>
                <c:pt idx="349">
                  <c:v>42627</c:v>
                </c:pt>
                <c:pt idx="350">
                  <c:v>42628</c:v>
                </c:pt>
                <c:pt idx="351">
                  <c:v>42629</c:v>
                </c:pt>
                <c:pt idx="352">
                  <c:v>42630</c:v>
                </c:pt>
                <c:pt idx="353">
                  <c:v>42631</c:v>
                </c:pt>
                <c:pt idx="354">
                  <c:v>42632</c:v>
                </c:pt>
                <c:pt idx="355">
                  <c:v>42633</c:v>
                </c:pt>
                <c:pt idx="356">
                  <c:v>42634</c:v>
                </c:pt>
                <c:pt idx="357">
                  <c:v>42635</c:v>
                </c:pt>
                <c:pt idx="358">
                  <c:v>42636</c:v>
                </c:pt>
                <c:pt idx="359">
                  <c:v>42637</c:v>
                </c:pt>
                <c:pt idx="360">
                  <c:v>42638</c:v>
                </c:pt>
                <c:pt idx="361">
                  <c:v>42639</c:v>
                </c:pt>
                <c:pt idx="362">
                  <c:v>42640</c:v>
                </c:pt>
                <c:pt idx="363">
                  <c:v>42641</c:v>
                </c:pt>
                <c:pt idx="364">
                  <c:v>42642</c:v>
                </c:pt>
                <c:pt idx="365">
                  <c:v>42643</c:v>
                </c:pt>
                <c:pt idx="366">
                  <c:v>42644</c:v>
                </c:pt>
                <c:pt idx="367">
                  <c:v>42645</c:v>
                </c:pt>
                <c:pt idx="368">
                  <c:v>42646</c:v>
                </c:pt>
                <c:pt idx="369">
                  <c:v>42647</c:v>
                </c:pt>
                <c:pt idx="370">
                  <c:v>42648</c:v>
                </c:pt>
                <c:pt idx="371">
                  <c:v>42649</c:v>
                </c:pt>
                <c:pt idx="372">
                  <c:v>42650</c:v>
                </c:pt>
                <c:pt idx="373">
                  <c:v>42651</c:v>
                </c:pt>
                <c:pt idx="374">
                  <c:v>42652</c:v>
                </c:pt>
                <c:pt idx="375">
                  <c:v>42653</c:v>
                </c:pt>
                <c:pt idx="376">
                  <c:v>42654</c:v>
                </c:pt>
                <c:pt idx="377">
                  <c:v>42655</c:v>
                </c:pt>
                <c:pt idx="378">
                  <c:v>42656</c:v>
                </c:pt>
                <c:pt idx="379">
                  <c:v>42657</c:v>
                </c:pt>
                <c:pt idx="380">
                  <c:v>42658</c:v>
                </c:pt>
                <c:pt idx="381">
                  <c:v>42659</c:v>
                </c:pt>
                <c:pt idx="382">
                  <c:v>42660</c:v>
                </c:pt>
                <c:pt idx="383">
                  <c:v>42661</c:v>
                </c:pt>
                <c:pt idx="384">
                  <c:v>42662</c:v>
                </c:pt>
                <c:pt idx="385">
                  <c:v>42663</c:v>
                </c:pt>
                <c:pt idx="386">
                  <c:v>42664</c:v>
                </c:pt>
                <c:pt idx="387">
                  <c:v>42665</c:v>
                </c:pt>
                <c:pt idx="388">
                  <c:v>42666</c:v>
                </c:pt>
                <c:pt idx="389">
                  <c:v>42667</c:v>
                </c:pt>
                <c:pt idx="390">
                  <c:v>42668</c:v>
                </c:pt>
                <c:pt idx="391">
                  <c:v>42669</c:v>
                </c:pt>
                <c:pt idx="392">
                  <c:v>42670</c:v>
                </c:pt>
                <c:pt idx="393">
                  <c:v>42671</c:v>
                </c:pt>
                <c:pt idx="394">
                  <c:v>42672</c:v>
                </c:pt>
                <c:pt idx="395">
                  <c:v>42673</c:v>
                </c:pt>
                <c:pt idx="396">
                  <c:v>42674</c:v>
                </c:pt>
                <c:pt idx="397">
                  <c:v>42675</c:v>
                </c:pt>
                <c:pt idx="398">
                  <c:v>42676</c:v>
                </c:pt>
                <c:pt idx="399">
                  <c:v>42677</c:v>
                </c:pt>
                <c:pt idx="400">
                  <c:v>42678</c:v>
                </c:pt>
                <c:pt idx="401">
                  <c:v>42679</c:v>
                </c:pt>
                <c:pt idx="402">
                  <c:v>42680</c:v>
                </c:pt>
                <c:pt idx="403">
                  <c:v>42681</c:v>
                </c:pt>
                <c:pt idx="404">
                  <c:v>42682</c:v>
                </c:pt>
                <c:pt idx="405">
                  <c:v>42683</c:v>
                </c:pt>
                <c:pt idx="406">
                  <c:v>42684</c:v>
                </c:pt>
                <c:pt idx="407">
                  <c:v>42685</c:v>
                </c:pt>
                <c:pt idx="408">
                  <c:v>42686</c:v>
                </c:pt>
                <c:pt idx="409">
                  <c:v>42687</c:v>
                </c:pt>
                <c:pt idx="410">
                  <c:v>42688</c:v>
                </c:pt>
                <c:pt idx="411">
                  <c:v>42689</c:v>
                </c:pt>
                <c:pt idx="412">
                  <c:v>42690</c:v>
                </c:pt>
                <c:pt idx="413">
                  <c:v>42691</c:v>
                </c:pt>
                <c:pt idx="414">
                  <c:v>42692</c:v>
                </c:pt>
                <c:pt idx="415">
                  <c:v>42693</c:v>
                </c:pt>
                <c:pt idx="416">
                  <c:v>42694</c:v>
                </c:pt>
                <c:pt idx="417">
                  <c:v>42695</c:v>
                </c:pt>
                <c:pt idx="418">
                  <c:v>42696</c:v>
                </c:pt>
                <c:pt idx="419">
                  <c:v>42697</c:v>
                </c:pt>
                <c:pt idx="420">
                  <c:v>42698</c:v>
                </c:pt>
                <c:pt idx="421">
                  <c:v>42699</c:v>
                </c:pt>
                <c:pt idx="422">
                  <c:v>42700</c:v>
                </c:pt>
                <c:pt idx="423">
                  <c:v>42701</c:v>
                </c:pt>
                <c:pt idx="424">
                  <c:v>42702</c:v>
                </c:pt>
                <c:pt idx="425">
                  <c:v>42703</c:v>
                </c:pt>
                <c:pt idx="426">
                  <c:v>42704</c:v>
                </c:pt>
                <c:pt idx="427">
                  <c:v>42705</c:v>
                </c:pt>
                <c:pt idx="428">
                  <c:v>42706</c:v>
                </c:pt>
                <c:pt idx="429">
                  <c:v>42707</c:v>
                </c:pt>
                <c:pt idx="430">
                  <c:v>42708</c:v>
                </c:pt>
                <c:pt idx="431">
                  <c:v>42709</c:v>
                </c:pt>
                <c:pt idx="432">
                  <c:v>42710</c:v>
                </c:pt>
                <c:pt idx="433">
                  <c:v>42711</c:v>
                </c:pt>
                <c:pt idx="434">
                  <c:v>42712</c:v>
                </c:pt>
                <c:pt idx="435">
                  <c:v>42713</c:v>
                </c:pt>
                <c:pt idx="436">
                  <c:v>42714</c:v>
                </c:pt>
                <c:pt idx="437">
                  <c:v>42715</c:v>
                </c:pt>
                <c:pt idx="438">
                  <c:v>42716</c:v>
                </c:pt>
                <c:pt idx="439">
                  <c:v>42717</c:v>
                </c:pt>
                <c:pt idx="440">
                  <c:v>42718</c:v>
                </c:pt>
                <c:pt idx="441">
                  <c:v>42719</c:v>
                </c:pt>
                <c:pt idx="442">
                  <c:v>42720</c:v>
                </c:pt>
                <c:pt idx="443">
                  <c:v>42721</c:v>
                </c:pt>
                <c:pt idx="444">
                  <c:v>42722</c:v>
                </c:pt>
                <c:pt idx="445">
                  <c:v>42723</c:v>
                </c:pt>
                <c:pt idx="446">
                  <c:v>42724</c:v>
                </c:pt>
                <c:pt idx="447">
                  <c:v>42725</c:v>
                </c:pt>
                <c:pt idx="448">
                  <c:v>42726</c:v>
                </c:pt>
                <c:pt idx="449">
                  <c:v>42727</c:v>
                </c:pt>
                <c:pt idx="450">
                  <c:v>42728</c:v>
                </c:pt>
                <c:pt idx="451">
                  <c:v>42729</c:v>
                </c:pt>
                <c:pt idx="452">
                  <c:v>42730</c:v>
                </c:pt>
                <c:pt idx="453">
                  <c:v>42731</c:v>
                </c:pt>
                <c:pt idx="454">
                  <c:v>42732</c:v>
                </c:pt>
                <c:pt idx="455">
                  <c:v>42733</c:v>
                </c:pt>
                <c:pt idx="456">
                  <c:v>42734</c:v>
                </c:pt>
                <c:pt idx="457">
                  <c:v>42735</c:v>
                </c:pt>
                <c:pt idx="458">
                  <c:v>42736</c:v>
                </c:pt>
                <c:pt idx="459">
                  <c:v>42737</c:v>
                </c:pt>
                <c:pt idx="460">
                  <c:v>42738</c:v>
                </c:pt>
                <c:pt idx="461">
                  <c:v>42739</c:v>
                </c:pt>
                <c:pt idx="462">
                  <c:v>42740</c:v>
                </c:pt>
                <c:pt idx="463">
                  <c:v>42741</c:v>
                </c:pt>
                <c:pt idx="464">
                  <c:v>42742</c:v>
                </c:pt>
                <c:pt idx="465">
                  <c:v>42743</c:v>
                </c:pt>
                <c:pt idx="466">
                  <c:v>42744</c:v>
                </c:pt>
                <c:pt idx="467">
                  <c:v>42745</c:v>
                </c:pt>
                <c:pt idx="468">
                  <c:v>42746</c:v>
                </c:pt>
                <c:pt idx="469">
                  <c:v>42747</c:v>
                </c:pt>
                <c:pt idx="470">
                  <c:v>42748</c:v>
                </c:pt>
                <c:pt idx="471">
                  <c:v>42749</c:v>
                </c:pt>
                <c:pt idx="472">
                  <c:v>42750</c:v>
                </c:pt>
                <c:pt idx="473">
                  <c:v>42751</c:v>
                </c:pt>
                <c:pt idx="474">
                  <c:v>42752</c:v>
                </c:pt>
                <c:pt idx="475">
                  <c:v>42753</c:v>
                </c:pt>
                <c:pt idx="476">
                  <c:v>42754</c:v>
                </c:pt>
                <c:pt idx="477">
                  <c:v>42755</c:v>
                </c:pt>
                <c:pt idx="478">
                  <c:v>42756</c:v>
                </c:pt>
                <c:pt idx="479">
                  <c:v>42757</c:v>
                </c:pt>
                <c:pt idx="480">
                  <c:v>42758</c:v>
                </c:pt>
                <c:pt idx="481">
                  <c:v>42759</c:v>
                </c:pt>
                <c:pt idx="482">
                  <c:v>42760</c:v>
                </c:pt>
                <c:pt idx="483">
                  <c:v>42761</c:v>
                </c:pt>
                <c:pt idx="484">
                  <c:v>42762</c:v>
                </c:pt>
                <c:pt idx="485">
                  <c:v>42763</c:v>
                </c:pt>
                <c:pt idx="486">
                  <c:v>42764</c:v>
                </c:pt>
                <c:pt idx="487">
                  <c:v>42765</c:v>
                </c:pt>
                <c:pt idx="488">
                  <c:v>42766</c:v>
                </c:pt>
                <c:pt idx="489">
                  <c:v>42767</c:v>
                </c:pt>
                <c:pt idx="490">
                  <c:v>42768</c:v>
                </c:pt>
                <c:pt idx="491">
                  <c:v>42769</c:v>
                </c:pt>
                <c:pt idx="492">
                  <c:v>42770</c:v>
                </c:pt>
                <c:pt idx="493">
                  <c:v>42771</c:v>
                </c:pt>
                <c:pt idx="494">
                  <c:v>42772</c:v>
                </c:pt>
                <c:pt idx="495">
                  <c:v>42773</c:v>
                </c:pt>
                <c:pt idx="496">
                  <c:v>42774</c:v>
                </c:pt>
                <c:pt idx="497">
                  <c:v>42775</c:v>
                </c:pt>
                <c:pt idx="498">
                  <c:v>42776</c:v>
                </c:pt>
                <c:pt idx="499">
                  <c:v>42777</c:v>
                </c:pt>
                <c:pt idx="500">
                  <c:v>42778</c:v>
                </c:pt>
                <c:pt idx="501">
                  <c:v>42779</c:v>
                </c:pt>
                <c:pt idx="502">
                  <c:v>42780</c:v>
                </c:pt>
                <c:pt idx="503">
                  <c:v>42781</c:v>
                </c:pt>
                <c:pt idx="504">
                  <c:v>42782</c:v>
                </c:pt>
                <c:pt idx="505">
                  <c:v>42783</c:v>
                </c:pt>
                <c:pt idx="506">
                  <c:v>42784</c:v>
                </c:pt>
                <c:pt idx="507">
                  <c:v>42785</c:v>
                </c:pt>
                <c:pt idx="508">
                  <c:v>42786</c:v>
                </c:pt>
                <c:pt idx="509">
                  <c:v>42787</c:v>
                </c:pt>
                <c:pt idx="510">
                  <c:v>42788</c:v>
                </c:pt>
                <c:pt idx="511">
                  <c:v>42789</c:v>
                </c:pt>
                <c:pt idx="512">
                  <c:v>42790</c:v>
                </c:pt>
                <c:pt idx="513">
                  <c:v>42791</c:v>
                </c:pt>
                <c:pt idx="514">
                  <c:v>42792</c:v>
                </c:pt>
                <c:pt idx="515">
                  <c:v>42793</c:v>
                </c:pt>
                <c:pt idx="516">
                  <c:v>42794</c:v>
                </c:pt>
                <c:pt idx="517">
                  <c:v>42795</c:v>
                </c:pt>
                <c:pt idx="518">
                  <c:v>42796</c:v>
                </c:pt>
                <c:pt idx="519">
                  <c:v>42797</c:v>
                </c:pt>
                <c:pt idx="520">
                  <c:v>42798</c:v>
                </c:pt>
                <c:pt idx="521">
                  <c:v>42799</c:v>
                </c:pt>
                <c:pt idx="522">
                  <c:v>42800</c:v>
                </c:pt>
                <c:pt idx="523">
                  <c:v>42801</c:v>
                </c:pt>
                <c:pt idx="524">
                  <c:v>42802</c:v>
                </c:pt>
                <c:pt idx="525">
                  <c:v>42803</c:v>
                </c:pt>
                <c:pt idx="526">
                  <c:v>42804</c:v>
                </c:pt>
                <c:pt idx="527">
                  <c:v>42805</c:v>
                </c:pt>
                <c:pt idx="528">
                  <c:v>42806</c:v>
                </c:pt>
                <c:pt idx="529">
                  <c:v>42807</c:v>
                </c:pt>
                <c:pt idx="530">
                  <c:v>42808</c:v>
                </c:pt>
                <c:pt idx="531">
                  <c:v>42809</c:v>
                </c:pt>
                <c:pt idx="532">
                  <c:v>42810</c:v>
                </c:pt>
                <c:pt idx="533">
                  <c:v>42811</c:v>
                </c:pt>
                <c:pt idx="534">
                  <c:v>42812</c:v>
                </c:pt>
                <c:pt idx="535">
                  <c:v>42813</c:v>
                </c:pt>
                <c:pt idx="536">
                  <c:v>42814</c:v>
                </c:pt>
                <c:pt idx="537">
                  <c:v>42815</c:v>
                </c:pt>
                <c:pt idx="538">
                  <c:v>42816</c:v>
                </c:pt>
                <c:pt idx="539">
                  <c:v>42817</c:v>
                </c:pt>
                <c:pt idx="540">
                  <c:v>42818</c:v>
                </c:pt>
                <c:pt idx="541">
                  <c:v>42819</c:v>
                </c:pt>
                <c:pt idx="542">
                  <c:v>42820</c:v>
                </c:pt>
                <c:pt idx="543">
                  <c:v>42821</c:v>
                </c:pt>
                <c:pt idx="544">
                  <c:v>42822</c:v>
                </c:pt>
                <c:pt idx="545">
                  <c:v>42823</c:v>
                </c:pt>
                <c:pt idx="546">
                  <c:v>42824</c:v>
                </c:pt>
                <c:pt idx="547">
                  <c:v>42825</c:v>
                </c:pt>
                <c:pt idx="548">
                  <c:v>42826</c:v>
                </c:pt>
                <c:pt idx="549">
                  <c:v>42827</c:v>
                </c:pt>
                <c:pt idx="550">
                  <c:v>42828</c:v>
                </c:pt>
                <c:pt idx="551">
                  <c:v>42829</c:v>
                </c:pt>
                <c:pt idx="552">
                  <c:v>42830</c:v>
                </c:pt>
                <c:pt idx="553">
                  <c:v>42831</c:v>
                </c:pt>
                <c:pt idx="554">
                  <c:v>42832</c:v>
                </c:pt>
                <c:pt idx="555">
                  <c:v>42833</c:v>
                </c:pt>
                <c:pt idx="556">
                  <c:v>42834</c:v>
                </c:pt>
                <c:pt idx="557">
                  <c:v>42835</c:v>
                </c:pt>
                <c:pt idx="558">
                  <c:v>42836</c:v>
                </c:pt>
                <c:pt idx="559">
                  <c:v>42837</c:v>
                </c:pt>
                <c:pt idx="560">
                  <c:v>42838</c:v>
                </c:pt>
                <c:pt idx="561">
                  <c:v>42839</c:v>
                </c:pt>
                <c:pt idx="562">
                  <c:v>42840</c:v>
                </c:pt>
                <c:pt idx="563">
                  <c:v>42841</c:v>
                </c:pt>
                <c:pt idx="564">
                  <c:v>42842</c:v>
                </c:pt>
                <c:pt idx="565">
                  <c:v>42843</c:v>
                </c:pt>
                <c:pt idx="566">
                  <c:v>42844</c:v>
                </c:pt>
                <c:pt idx="567">
                  <c:v>42845</c:v>
                </c:pt>
                <c:pt idx="568">
                  <c:v>42846</c:v>
                </c:pt>
                <c:pt idx="569">
                  <c:v>42847</c:v>
                </c:pt>
                <c:pt idx="570">
                  <c:v>42848</c:v>
                </c:pt>
                <c:pt idx="571">
                  <c:v>42849</c:v>
                </c:pt>
                <c:pt idx="572">
                  <c:v>42850</c:v>
                </c:pt>
                <c:pt idx="573">
                  <c:v>42851</c:v>
                </c:pt>
                <c:pt idx="574">
                  <c:v>42852</c:v>
                </c:pt>
                <c:pt idx="575">
                  <c:v>42853</c:v>
                </c:pt>
                <c:pt idx="576">
                  <c:v>42854</c:v>
                </c:pt>
                <c:pt idx="577">
                  <c:v>42855</c:v>
                </c:pt>
                <c:pt idx="578">
                  <c:v>42856</c:v>
                </c:pt>
                <c:pt idx="579">
                  <c:v>42857</c:v>
                </c:pt>
                <c:pt idx="580">
                  <c:v>42858</c:v>
                </c:pt>
                <c:pt idx="581">
                  <c:v>42859</c:v>
                </c:pt>
                <c:pt idx="582">
                  <c:v>42860</c:v>
                </c:pt>
                <c:pt idx="583">
                  <c:v>42861</c:v>
                </c:pt>
                <c:pt idx="584">
                  <c:v>42862</c:v>
                </c:pt>
                <c:pt idx="585">
                  <c:v>42863</c:v>
                </c:pt>
                <c:pt idx="586">
                  <c:v>42864</c:v>
                </c:pt>
                <c:pt idx="587">
                  <c:v>42865</c:v>
                </c:pt>
                <c:pt idx="588">
                  <c:v>42866</c:v>
                </c:pt>
                <c:pt idx="589">
                  <c:v>42867</c:v>
                </c:pt>
                <c:pt idx="590">
                  <c:v>42868</c:v>
                </c:pt>
                <c:pt idx="591">
                  <c:v>42869</c:v>
                </c:pt>
                <c:pt idx="592">
                  <c:v>42870</c:v>
                </c:pt>
                <c:pt idx="593">
                  <c:v>42871</c:v>
                </c:pt>
                <c:pt idx="594">
                  <c:v>42872</c:v>
                </c:pt>
                <c:pt idx="595">
                  <c:v>42873</c:v>
                </c:pt>
                <c:pt idx="596">
                  <c:v>42874</c:v>
                </c:pt>
                <c:pt idx="597">
                  <c:v>42875</c:v>
                </c:pt>
                <c:pt idx="598">
                  <c:v>42876</c:v>
                </c:pt>
                <c:pt idx="599">
                  <c:v>42877</c:v>
                </c:pt>
                <c:pt idx="600">
                  <c:v>42878</c:v>
                </c:pt>
                <c:pt idx="601">
                  <c:v>42879</c:v>
                </c:pt>
                <c:pt idx="602">
                  <c:v>42880</c:v>
                </c:pt>
                <c:pt idx="603">
                  <c:v>42881</c:v>
                </c:pt>
                <c:pt idx="604">
                  <c:v>42882</c:v>
                </c:pt>
                <c:pt idx="605">
                  <c:v>42883</c:v>
                </c:pt>
                <c:pt idx="606">
                  <c:v>42884</c:v>
                </c:pt>
                <c:pt idx="607">
                  <c:v>42885</c:v>
                </c:pt>
                <c:pt idx="608">
                  <c:v>42886</c:v>
                </c:pt>
                <c:pt idx="609">
                  <c:v>42887</c:v>
                </c:pt>
                <c:pt idx="610">
                  <c:v>42888</c:v>
                </c:pt>
                <c:pt idx="611">
                  <c:v>42889</c:v>
                </c:pt>
                <c:pt idx="612">
                  <c:v>42890</c:v>
                </c:pt>
                <c:pt idx="613">
                  <c:v>42891</c:v>
                </c:pt>
                <c:pt idx="614">
                  <c:v>42892</c:v>
                </c:pt>
                <c:pt idx="615">
                  <c:v>42893</c:v>
                </c:pt>
                <c:pt idx="616">
                  <c:v>42894</c:v>
                </c:pt>
                <c:pt idx="617">
                  <c:v>42895</c:v>
                </c:pt>
                <c:pt idx="618">
                  <c:v>42896</c:v>
                </c:pt>
                <c:pt idx="619">
                  <c:v>42897</c:v>
                </c:pt>
                <c:pt idx="620">
                  <c:v>42898</c:v>
                </c:pt>
                <c:pt idx="621">
                  <c:v>42899</c:v>
                </c:pt>
                <c:pt idx="622">
                  <c:v>42900</c:v>
                </c:pt>
                <c:pt idx="623">
                  <c:v>42901</c:v>
                </c:pt>
                <c:pt idx="624">
                  <c:v>42902</c:v>
                </c:pt>
                <c:pt idx="625">
                  <c:v>42903</c:v>
                </c:pt>
                <c:pt idx="626">
                  <c:v>42904</c:v>
                </c:pt>
                <c:pt idx="627">
                  <c:v>42905</c:v>
                </c:pt>
                <c:pt idx="628">
                  <c:v>42906</c:v>
                </c:pt>
                <c:pt idx="629">
                  <c:v>42907</c:v>
                </c:pt>
                <c:pt idx="630">
                  <c:v>42908</c:v>
                </c:pt>
                <c:pt idx="631">
                  <c:v>42909</c:v>
                </c:pt>
                <c:pt idx="632">
                  <c:v>42910</c:v>
                </c:pt>
                <c:pt idx="633">
                  <c:v>42911</c:v>
                </c:pt>
                <c:pt idx="634">
                  <c:v>42912</c:v>
                </c:pt>
                <c:pt idx="635">
                  <c:v>42913</c:v>
                </c:pt>
                <c:pt idx="636">
                  <c:v>42914</c:v>
                </c:pt>
                <c:pt idx="637">
                  <c:v>42915</c:v>
                </c:pt>
                <c:pt idx="638">
                  <c:v>42916</c:v>
                </c:pt>
                <c:pt idx="639">
                  <c:v>42917</c:v>
                </c:pt>
                <c:pt idx="640">
                  <c:v>42918</c:v>
                </c:pt>
                <c:pt idx="641">
                  <c:v>42919</c:v>
                </c:pt>
                <c:pt idx="642">
                  <c:v>42920</c:v>
                </c:pt>
                <c:pt idx="643">
                  <c:v>42921</c:v>
                </c:pt>
                <c:pt idx="644">
                  <c:v>42922</c:v>
                </c:pt>
                <c:pt idx="645">
                  <c:v>42923</c:v>
                </c:pt>
                <c:pt idx="646">
                  <c:v>42924</c:v>
                </c:pt>
                <c:pt idx="647">
                  <c:v>42925</c:v>
                </c:pt>
                <c:pt idx="648">
                  <c:v>42926</c:v>
                </c:pt>
                <c:pt idx="649">
                  <c:v>42927</c:v>
                </c:pt>
                <c:pt idx="650">
                  <c:v>42928</c:v>
                </c:pt>
                <c:pt idx="651">
                  <c:v>42929</c:v>
                </c:pt>
                <c:pt idx="652">
                  <c:v>42930</c:v>
                </c:pt>
                <c:pt idx="653">
                  <c:v>42931</c:v>
                </c:pt>
                <c:pt idx="654">
                  <c:v>42932</c:v>
                </c:pt>
                <c:pt idx="655">
                  <c:v>42933</c:v>
                </c:pt>
                <c:pt idx="656">
                  <c:v>42934</c:v>
                </c:pt>
                <c:pt idx="657">
                  <c:v>42935</c:v>
                </c:pt>
                <c:pt idx="658">
                  <c:v>42936</c:v>
                </c:pt>
                <c:pt idx="659">
                  <c:v>42937</c:v>
                </c:pt>
                <c:pt idx="660">
                  <c:v>42938</c:v>
                </c:pt>
                <c:pt idx="661">
                  <c:v>42939</c:v>
                </c:pt>
                <c:pt idx="662">
                  <c:v>42940</c:v>
                </c:pt>
                <c:pt idx="663">
                  <c:v>42941</c:v>
                </c:pt>
                <c:pt idx="664">
                  <c:v>42942</c:v>
                </c:pt>
                <c:pt idx="665">
                  <c:v>42943</c:v>
                </c:pt>
                <c:pt idx="666">
                  <c:v>42944</c:v>
                </c:pt>
                <c:pt idx="667">
                  <c:v>42945</c:v>
                </c:pt>
                <c:pt idx="668">
                  <c:v>42946</c:v>
                </c:pt>
                <c:pt idx="669">
                  <c:v>42947</c:v>
                </c:pt>
                <c:pt idx="670">
                  <c:v>42948</c:v>
                </c:pt>
                <c:pt idx="671">
                  <c:v>42949</c:v>
                </c:pt>
                <c:pt idx="672">
                  <c:v>42950</c:v>
                </c:pt>
                <c:pt idx="673">
                  <c:v>42951</c:v>
                </c:pt>
                <c:pt idx="674">
                  <c:v>42952</c:v>
                </c:pt>
                <c:pt idx="675">
                  <c:v>42953</c:v>
                </c:pt>
                <c:pt idx="676">
                  <c:v>42954</c:v>
                </c:pt>
                <c:pt idx="677">
                  <c:v>42955</c:v>
                </c:pt>
                <c:pt idx="678">
                  <c:v>42956</c:v>
                </c:pt>
                <c:pt idx="679">
                  <c:v>42957</c:v>
                </c:pt>
                <c:pt idx="680">
                  <c:v>42958</c:v>
                </c:pt>
                <c:pt idx="681">
                  <c:v>42959</c:v>
                </c:pt>
                <c:pt idx="682">
                  <c:v>42960</c:v>
                </c:pt>
                <c:pt idx="683">
                  <c:v>42961</c:v>
                </c:pt>
                <c:pt idx="684">
                  <c:v>42962</c:v>
                </c:pt>
                <c:pt idx="685">
                  <c:v>42963</c:v>
                </c:pt>
                <c:pt idx="686">
                  <c:v>42964</c:v>
                </c:pt>
                <c:pt idx="687">
                  <c:v>42965</c:v>
                </c:pt>
                <c:pt idx="688">
                  <c:v>42966</c:v>
                </c:pt>
                <c:pt idx="689">
                  <c:v>42967</c:v>
                </c:pt>
                <c:pt idx="690">
                  <c:v>42968</c:v>
                </c:pt>
                <c:pt idx="691">
                  <c:v>42969</c:v>
                </c:pt>
                <c:pt idx="692">
                  <c:v>42970</c:v>
                </c:pt>
                <c:pt idx="693">
                  <c:v>42971</c:v>
                </c:pt>
                <c:pt idx="694">
                  <c:v>42972</c:v>
                </c:pt>
                <c:pt idx="695">
                  <c:v>42973</c:v>
                </c:pt>
                <c:pt idx="696">
                  <c:v>42974</c:v>
                </c:pt>
                <c:pt idx="697">
                  <c:v>42975</c:v>
                </c:pt>
                <c:pt idx="698">
                  <c:v>42976</c:v>
                </c:pt>
                <c:pt idx="699">
                  <c:v>42977</c:v>
                </c:pt>
                <c:pt idx="700">
                  <c:v>42978</c:v>
                </c:pt>
                <c:pt idx="701">
                  <c:v>42979</c:v>
                </c:pt>
                <c:pt idx="702">
                  <c:v>42980</c:v>
                </c:pt>
                <c:pt idx="703">
                  <c:v>42981</c:v>
                </c:pt>
                <c:pt idx="704">
                  <c:v>42982</c:v>
                </c:pt>
                <c:pt idx="705">
                  <c:v>42983</c:v>
                </c:pt>
                <c:pt idx="706">
                  <c:v>42984</c:v>
                </c:pt>
                <c:pt idx="707">
                  <c:v>42985</c:v>
                </c:pt>
                <c:pt idx="708">
                  <c:v>42986</c:v>
                </c:pt>
                <c:pt idx="709">
                  <c:v>42987</c:v>
                </c:pt>
                <c:pt idx="710">
                  <c:v>42988</c:v>
                </c:pt>
                <c:pt idx="711">
                  <c:v>42989</c:v>
                </c:pt>
                <c:pt idx="712">
                  <c:v>42990</c:v>
                </c:pt>
                <c:pt idx="713">
                  <c:v>42991</c:v>
                </c:pt>
                <c:pt idx="714">
                  <c:v>42992</c:v>
                </c:pt>
                <c:pt idx="715">
                  <c:v>42993</c:v>
                </c:pt>
                <c:pt idx="716">
                  <c:v>42994</c:v>
                </c:pt>
                <c:pt idx="717">
                  <c:v>42995</c:v>
                </c:pt>
                <c:pt idx="718">
                  <c:v>42996</c:v>
                </c:pt>
                <c:pt idx="719">
                  <c:v>42997</c:v>
                </c:pt>
                <c:pt idx="720">
                  <c:v>42998</c:v>
                </c:pt>
                <c:pt idx="721">
                  <c:v>42999</c:v>
                </c:pt>
                <c:pt idx="722">
                  <c:v>43000</c:v>
                </c:pt>
                <c:pt idx="723">
                  <c:v>43001</c:v>
                </c:pt>
                <c:pt idx="724">
                  <c:v>43002</c:v>
                </c:pt>
                <c:pt idx="725">
                  <c:v>43003</c:v>
                </c:pt>
                <c:pt idx="726">
                  <c:v>43004</c:v>
                </c:pt>
                <c:pt idx="727">
                  <c:v>43005</c:v>
                </c:pt>
                <c:pt idx="728">
                  <c:v>43006</c:v>
                </c:pt>
                <c:pt idx="729">
                  <c:v>43007</c:v>
                </c:pt>
                <c:pt idx="730">
                  <c:v>43008</c:v>
                </c:pt>
                <c:pt idx="731">
                  <c:v>43009</c:v>
                </c:pt>
                <c:pt idx="732">
                  <c:v>43010</c:v>
                </c:pt>
                <c:pt idx="733">
                  <c:v>43011</c:v>
                </c:pt>
                <c:pt idx="734">
                  <c:v>43012</c:v>
                </c:pt>
                <c:pt idx="735">
                  <c:v>43013</c:v>
                </c:pt>
                <c:pt idx="736">
                  <c:v>43014</c:v>
                </c:pt>
                <c:pt idx="737">
                  <c:v>43015</c:v>
                </c:pt>
                <c:pt idx="738">
                  <c:v>43016</c:v>
                </c:pt>
                <c:pt idx="739">
                  <c:v>43017</c:v>
                </c:pt>
                <c:pt idx="740">
                  <c:v>43018</c:v>
                </c:pt>
                <c:pt idx="741">
                  <c:v>43019</c:v>
                </c:pt>
                <c:pt idx="742">
                  <c:v>43020</c:v>
                </c:pt>
                <c:pt idx="743">
                  <c:v>43021</c:v>
                </c:pt>
                <c:pt idx="744">
                  <c:v>43022</c:v>
                </c:pt>
                <c:pt idx="745">
                  <c:v>43023</c:v>
                </c:pt>
                <c:pt idx="746">
                  <c:v>43024</c:v>
                </c:pt>
                <c:pt idx="747">
                  <c:v>43025</c:v>
                </c:pt>
                <c:pt idx="748">
                  <c:v>43026</c:v>
                </c:pt>
                <c:pt idx="749">
                  <c:v>43027</c:v>
                </c:pt>
                <c:pt idx="750">
                  <c:v>43028</c:v>
                </c:pt>
                <c:pt idx="751">
                  <c:v>43029</c:v>
                </c:pt>
                <c:pt idx="752">
                  <c:v>43030</c:v>
                </c:pt>
                <c:pt idx="753">
                  <c:v>43031</c:v>
                </c:pt>
                <c:pt idx="754">
                  <c:v>43032</c:v>
                </c:pt>
                <c:pt idx="755">
                  <c:v>43033</c:v>
                </c:pt>
                <c:pt idx="756">
                  <c:v>43034</c:v>
                </c:pt>
                <c:pt idx="757">
                  <c:v>43035</c:v>
                </c:pt>
                <c:pt idx="758">
                  <c:v>43036</c:v>
                </c:pt>
                <c:pt idx="759">
                  <c:v>43037</c:v>
                </c:pt>
                <c:pt idx="760">
                  <c:v>43038</c:v>
                </c:pt>
                <c:pt idx="761">
                  <c:v>43039</c:v>
                </c:pt>
                <c:pt idx="762">
                  <c:v>43040</c:v>
                </c:pt>
                <c:pt idx="763">
                  <c:v>43041</c:v>
                </c:pt>
                <c:pt idx="764">
                  <c:v>43042</c:v>
                </c:pt>
                <c:pt idx="765">
                  <c:v>43043</c:v>
                </c:pt>
                <c:pt idx="766">
                  <c:v>43044</c:v>
                </c:pt>
                <c:pt idx="767">
                  <c:v>43045</c:v>
                </c:pt>
                <c:pt idx="768">
                  <c:v>43046</c:v>
                </c:pt>
                <c:pt idx="769">
                  <c:v>43047</c:v>
                </c:pt>
                <c:pt idx="770">
                  <c:v>43048</c:v>
                </c:pt>
                <c:pt idx="771">
                  <c:v>43049</c:v>
                </c:pt>
                <c:pt idx="772">
                  <c:v>43050</c:v>
                </c:pt>
                <c:pt idx="773">
                  <c:v>43051</c:v>
                </c:pt>
                <c:pt idx="774">
                  <c:v>43052</c:v>
                </c:pt>
                <c:pt idx="775">
                  <c:v>43053</c:v>
                </c:pt>
                <c:pt idx="776">
                  <c:v>43054</c:v>
                </c:pt>
                <c:pt idx="777">
                  <c:v>43055</c:v>
                </c:pt>
                <c:pt idx="778">
                  <c:v>43056</c:v>
                </c:pt>
                <c:pt idx="779">
                  <c:v>43057</c:v>
                </c:pt>
                <c:pt idx="780">
                  <c:v>43058</c:v>
                </c:pt>
                <c:pt idx="781">
                  <c:v>43059</c:v>
                </c:pt>
                <c:pt idx="782">
                  <c:v>43060</c:v>
                </c:pt>
                <c:pt idx="783">
                  <c:v>43061</c:v>
                </c:pt>
                <c:pt idx="784">
                  <c:v>43062</c:v>
                </c:pt>
                <c:pt idx="785">
                  <c:v>43063</c:v>
                </c:pt>
                <c:pt idx="786">
                  <c:v>43064</c:v>
                </c:pt>
                <c:pt idx="787">
                  <c:v>43065</c:v>
                </c:pt>
                <c:pt idx="788">
                  <c:v>43066</c:v>
                </c:pt>
                <c:pt idx="789">
                  <c:v>43067</c:v>
                </c:pt>
                <c:pt idx="790">
                  <c:v>43068</c:v>
                </c:pt>
                <c:pt idx="791">
                  <c:v>43069</c:v>
                </c:pt>
                <c:pt idx="792">
                  <c:v>43070</c:v>
                </c:pt>
                <c:pt idx="793">
                  <c:v>43071</c:v>
                </c:pt>
                <c:pt idx="794">
                  <c:v>43072</c:v>
                </c:pt>
                <c:pt idx="795">
                  <c:v>43073</c:v>
                </c:pt>
                <c:pt idx="796">
                  <c:v>43074</c:v>
                </c:pt>
                <c:pt idx="797">
                  <c:v>43075</c:v>
                </c:pt>
                <c:pt idx="798">
                  <c:v>43076</c:v>
                </c:pt>
                <c:pt idx="799">
                  <c:v>43077</c:v>
                </c:pt>
                <c:pt idx="800">
                  <c:v>43078</c:v>
                </c:pt>
                <c:pt idx="801">
                  <c:v>43079</c:v>
                </c:pt>
                <c:pt idx="802">
                  <c:v>43080</c:v>
                </c:pt>
                <c:pt idx="803">
                  <c:v>43081</c:v>
                </c:pt>
                <c:pt idx="804">
                  <c:v>43082</c:v>
                </c:pt>
                <c:pt idx="805">
                  <c:v>43083</c:v>
                </c:pt>
                <c:pt idx="806">
                  <c:v>43084</c:v>
                </c:pt>
                <c:pt idx="807">
                  <c:v>43085</c:v>
                </c:pt>
                <c:pt idx="808">
                  <c:v>43086</c:v>
                </c:pt>
                <c:pt idx="809">
                  <c:v>43087</c:v>
                </c:pt>
                <c:pt idx="810">
                  <c:v>43088</c:v>
                </c:pt>
                <c:pt idx="811">
                  <c:v>43089</c:v>
                </c:pt>
                <c:pt idx="812">
                  <c:v>43090</c:v>
                </c:pt>
                <c:pt idx="813">
                  <c:v>43091</c:v>
                </c:pt>
                <c:pt idx="814">
                  <c:v>43092</c:v>
                </c:pt>
                <c:pt idx="815">
                  <c:v>43093</c:v>
                </c:pt>
                <c:pt idx="816">
                  <c:v>43094</c:v>
                </c:pt>
                <c:pt idx="817">
                  <c:v>43095</c:v>
                </c:pt>
                <c:pt idx="818">
                  <c:v>43096</c:v>
                </c:pt>
                <c:pt idx="819">
                  <c:v>43097</c:v>
                </c:pt>
                <c:pt idx="820">
                  <c:v>43098</c:v>
                </c:pt>
                <c:pt idx="821">
                  <c:v>43099</c:v>
                </c:pt>
                <c:pt idx="822">
                  <c:v>43100</c:v>
                </c:pt>
                <c:pt idx="823">
                  <c:v>43101</c:v>
                </c:pt>
                <c:pt idx="824">
                  <c:v>43102</c:v>
                </c:pt>
                <c:pt idx="825">
                  <c:v>43103</c:v>
                </c:pt>
                <c:pt idx="826">
                  <c:v>43104</c:v>
                </c:pt>
                <c:pt idx="827">
                  <c:v>43105</c:v>
                </c:pt>
                <c:pt idx="828">
                  <c:v>43106</c:v>
                </c:pt>
                <c:pt idx="829">
                  <c:v>43107</c:v>
                </c:pt>
                <c:pt idx="830">
                  <c:v>43108</c:v>
                </c:pt>
                <c:pt idx="831">
                  <c:v>43109</c:v>
                </c:pt>
                <c:pt idx="832">
                  <c:v>43110</c:v>
                </c:pt>
                <c:pt idx="833">
                  <c:v>43111</c:v>
                </c:pt>
                <c:pt idx="834">
                  <c:v>43112</c:v>
                </c:pt>
                <c:pt idx="835">
                  <c:v>43113</c:v>
                </c:pt>
                <c:pt idx="836">
                  <c:v>43114</c:v>
                </c:pt>
                <c:pt idx="837">
                  <c:v>43115</c:v>
                </c:pt>
                <c:pt idx="838">
                  <c:v>43116</c:v>
                </c:pt>
                <c:pt idx="839">
                  <c:v>43117</c:v>
                </c:pt>
                <c:pt idx="840">
                  <c:v>43118</c:v>
                </c:pt>
                <c:pt idx="841">
                  <c:v>43119</c:v>
                </c:pt>
                <c:pt idx="842">
                  <c:v>43120</c:v>
                </c:pt>
                <c:pt idx="843">
                  <c:v>43121</c:v>
                </c:pt>
                <c:pt idx="844">
                  <c:v>43122</c:v>
                </c:pt>
                <c:pt idx="845">
                  <c:v>43123</c:v>
                </c:pt>
                <c:pt idx="846">
                  <c:v>43124</c:v>
                </c:pt>
                <c:pt idx="847">
                  <c:v>43125</c:v>
                </c:pt>
                <c:pt idx="848">
                  <c:v>43126</c:v>
                </c:pt>
                <c:pt idx="849">
                  <c:v>43127</c:v>
                </c:pt>
                <c:pt idx="850">
                  <c:v>43128</c:v>
                </c:pt>
                <c:pt idx="851">
                  <c:v>43129</c:v>
                </c:pt>
                <c:pt idx="852">
                  <c:v>43130</c:v>
                </c:pt>
                <c:pt idx="853">
                  <c:v>43131</c:v>
                </c:pt>
                <c:pt idx="854">
                  <c:v>43132</c:v>
                </c:pt>
                <c:pt idx="855">
                  <c:v>43133</c:v>
                </c:pt>
                <c:pt idx="856">
                  <c:v>43134</c:v>
                </c:pt>
                <c:pt idx="857">
                  <c:v>43135</c:v>
                </c:pt>
                <c:pt idx="858">
                  <c:v>43136</c:v>
                </c:pt>
                <c:pt idx="859">
                  <c:v>43137</c:v>
                </c:pt>
                <c:pt idx="860">
                  <c:v>43138</c:v>
                </c:pt>
                <c:pt idx="861">
                  <c:v>43139</c:v>
                </c:pt>
                <c:pt idx="862">
                  <c:v>43140</c:v>
                </c:pt>
                <c:pt idx="863">
                  <c:v>43141</c:v>
                </c:pt>
                <c:pt idx="864">
                  <c:v>43142</c:v>
                </c:pt>
                <c:pt idx="865">
                  <c:v>43143</c:v>
                </c:pt>
                <c:pt idx="866">
                  <c:v>43144</c:v>
                </c:pt>
                <c:pt idx="867">
                  <c:v>43145</c:v>
                </c:pt>
                <c:pt idx="868">
                  <c:v>43146</c:v>
                </c:pt>
                <c:pt idx="869">
                  <c:v>43147</c:v>
                </c:pt>
                <c:pt idx="870">
                  <c:v>43148</c:v>
                </c:pt>
                <c:pt idx="871">
                  <c:v>43149</c:v>
                </c:pt>
                <c:pt idx="872">
                  <c:v>43150</c:v>
                </c:pt>
                <c:pt idx="873">
                  <c:v>43151</c:v>
                </c:pt>
                <c:pt idx="874">
                  <c:v>43152</c:v>
                </c:pt>
                <c:pt idx="875">
                  <c:v>43153</c:v>
                </c:pt>
                <c:pt idx="876">
                  <c:v>43154</c:v>
                </c:pt>
                <c:pt idx="877">
                  <c:v>43155</c:v>
                </c:pt>
                <c:pt idx="878">
                  <c:v>43156</c:v>
                </c:pt>
                <c:pt idx="879">
                  <c:v>43157</c:v>
                </c:pt>
                <c:pt idx="880">
                  <c:v>43158</c:v>
                </c:pt>
                <c:pt idx="881">
                  <c:v>43159</c:v>
                </c:pt>
                <c:pt idx="882">
                  <c:v>43160</c:v>
                </c:pt>
                <c:pt idx="883">
                  <c:v>43161</c:v>
                </c:pt>
                <c:pt idx="884">
                  <c:v>43162</c:v>
                </c:pt>
                <c:pt idx="885">
                  <c:v>43163</c:v>
                </c:pt>
                <c:pt idx="886">
                  <c:v>43164</c:v>
                </c:pt>
                <c:pt idx="887">
                  <c:v>43165</c:v>
                </c:pt>
                <c:pt idx="888">
                  <c:v>43166</c:v>
                </c:pt>
                <c:pt idx="889">
                  <c:v>43167</c:v>
                </c:pt>
                <c:pt idx="890">
                  <c:v>43168</c:v>
                </c:pt>
                <c:pt idx="891">
                  <c:v>43169</c:v>
                </c:pt>
                <c:pt idx="892">
                  <c:v>43170</c:v>
                </c:pt>
                <c:pt idx="893">
                  <c:v>43171</c:v>
                </c:pt>
                <c:pt idx="894">
                  <c:v>43172</c:v>
                </c:pt>
                <c:pt idx="895">
                  <c:v>43173</c:v>
                </c:pt>
                <c:pt idx="896">
                  <c:v>43174</c:v>
                </c:pt>
                <c:pt idx="897">
                  <c:v>43175</c:v>
                </c:pt>
                <c:pt idx="898">
                  <c:v>43176</c:v>
                </c:pt>
                <c:pt idx="899">
                  <c:v>43177</c:v>
                </c:pt>
                <c:pt idx="900">
                  <c:v>43178</c:v>
                </c:pt>
                <c:pt idx="901">
                  <c:v>43179</c:v>
                </c:pt>
                <c:pt idx="902">
                  <c:v>43180</c:v>
                </c:pt>
                <c:pt idx="903">
                  <c:v>43181</c:v>
                </c:pt>
                <c:pt idx="904">
                  <c:v>43182</c:v>
                </c:pt>
                <c:pt idx="905">
                  <c:v>43183</c:v>
                </c:pt>
                <c:pt idx="906">
                  <c:v>43184</c:v>
                </c:pt>
                <c:pt idx="907">
                  <c:v>43185</c:v>
                </c:pt>
                <c:pt idx="908">
                  <c:v>43186</c:v>
                </c:pt>
                <c:pt idx="909">
                  <c:v>43187</c:v>
                </c:pt>
                <c:pt idx="910">
                  <c:v>43188</c:v>
                </c:pt>
                <c:pt idx="911">
                  <c:v>43189</c:v>
                </c:pt>
                <c:pt idx="912">
                  <c:v>43190</c:v>
                </c:pt>
                <c:pt idx="913">
                  <c:v>43191</c:v>
                </c:pt>
                <c:pt idx="914">
                  <c:v>43192</c:v>
                </c:pt>
                <c:pt idx="915">
                  <c:v>43193</c:v>
                </c:pt>
                <c:pt idx="916">
                  <c:v>43194</c:v>
                </c:pt>
                <c:pt idx="917">
                  <c:v>43195</c:v>
                </c:pt>
                <c:pt idx="918">
                  <c:v>43196</c:v>
                </c:pt>
                <c:pt idx="919">
                  <c:v>43197</c:v>
                </c:pt>
                <c:pt idx="920">
                  <c:v>43198</c:v>
                </c:pt>
                <c:pt idx="921">
                  <c:v>43199</c:v>
                </c:pt>
                <c:pt idx="922">
                  <c:v>43200</c:v>
                </c:pt>
                <c:pt idx="923">
                  <c:v>43201</c:v>
                </c:pt>
                <c:pt idx="924">
                  <c:v>43202</c:v>
                </c:pt>
                <c:pt idx="925">
                  <c:v>43203</c:v>
                </c:pt>
                <c:pt idx="926">
                  <c:v>43204</c:v>
                </c:pt>
                <c:pt idx="927">
                  <c:v>43205</c:v>
                </c:pt>
                <c:pt idx="928">
                  <c:v>43206</c:v>
                </c:pt>
                <c:pt idx="929">
                  <c:v>43207</c:v>
                </c:pt>
                <c:pt idx="930">
                  <c:v>43208</c:v>
                </c:pt>
                <c:pt idx="931">
                  <c:v>43209</c:v>
                </c:pt>
                <c:pt idx="932">
                  <c:v>43210</c:v>
                </c:pt>
                <c:pt idx="933">
                  <c:v>43211</c:v>
                </c:pt>
                <c:pt idx="934">
                  <c:v>43212</c:v>
                </c:pt>
                <c:pt idx="935">
                  <c:v>43213</c:v>
                </c:pt>
                <c:pt idx="936">
                  <c:v>43214</c:v>
                </c:pt>
                <c:pt idx="937">
                  <c:v>43215</c:v>
                </c:pt>
                <c:pt idx="938">
                  <c:v>43216</c:v>
                </c:pt>
                <c:pt idx="939">
                  <c:v>43217</c:v>
                </c:pt>
                <c:pt idx="940">
                  <c:v>43218</c:v>
                </c:pt>
                <c:pt idx="941">
                  <c:v>43219</c:v>
                </c:pt>
                <c:pt idx="942">
                  <c:v>43220</c:v>
                </c:pt>
                <c:pt idx="943">
                  <c:v>43221</c:v>
                </c:pt>
                <c:pt idx="944">
                  <c:v>43222</c:v>
                </c:pt>
                <c:pt idx="945">
                  <c:v>43223</c:v>
                </c:pt>
                <c:pt idx="946">
                  <c:v>43224</c:v>
                </c:pt>
                <c:pt idx="947">
                  <c:v>43225</c:v>
                </c:pt>
                <c:pt idx="948">
                  <c:v>43226</c:v>
                </c:pt>
                <c:pt idx="949">
                  <c:v>43227</c:v>
                </c:pt>
                <c:pt idx="950">
                  <c:v>43228</c:v>
                </c:pt>
                <c:pt idx="951">
                  <c:v>43229</c:v>
                </c:pt>
                <c:pt idx="952">
                  <c:v>43230</c:v>
                </c:pt>
                <c:pt idx="953">
                  <c:v>43231</c:v>
                </c:pt>
                <c:pt idx="954">
                  <c:v>43232</c:v>
                </c:pt>
                <c:pt idx="955">
                  <c:v>43233</c:v>
                </c:pt>
                <c:pt idx="956">
                  <c:v>43234</c:v>
                </c:pt>
                <c:pt idx="957">
                  <c:v>43235</c:v>
                </c:pt>
                <c:pt idx="958">
                  <c:v>43236</c:v>
                </c:pt>
                <c:pt idx="959">
                  <c:v>43237</c:v>
                </c:pt>
                <c:pt idx="960">
                  <c:v>43238</c:v>
                </c:pt>
                <c:pt idx="961">
                  <c:v>43239</c:v>
                </c:pt>
                <c:pt idx="962">
                  <c:v>43240</c:v>
                </c:pt>
                <c:pt idx="963">
                  <c:v>43241</c:v>
                </c:pt>
                <c:pt idx="964">
                  <c:v>43242</c:v>
                </c:pt>
                <c:pt idx="965">
                  <c:v>43243</c:v>
                </c:pt>
                <c:pt idx="966">
                  <c:v>43244</c:v>
                </c:pt>
                <c:pt idx="967">
                  <c:v>43245</c:v>
                </c:pt>
                <c:pt idx="968">
                  <c:v>43246</c:v>
                </c:pt>
                <c:pt idx="969">
                  <c:v>43247</c:v>
                </c:pt>
                <c:pt idx="970">
                  <c:v>43248</c:v>
                </c:pt>
                <c:pt idx="971">
                  <c:v>43249</c:v>
                </c:pt>
                <c:pt idx="972">
                  <c:v>43250</c:v>
                </c:pt>
                <c:pt idx="973">
                  <c:v>43251</c:v>
                </c:pt>
                <c:pt idx="974">
                  <c:v>43252</c:v>
                </c:pt>
                <c:pt idx="975">
                  <c:v>43253</c:v>
                </c:pt>
                <c:pt idx="976">
                  <c:v>43254</c:v>
                </c:pt>
                <c:pt idx="977">
                  <c:v>43255</c:v>
                </c:pt>
                <c:pt idx="978">
                  <c:v>43256</c:v>
                </c:pt>
                <c:pt idx="979">
                  <c:v>43257</c:v>
                </c:pt>
                <c:pt idx="980">
                  <c:v>43258</c:v>
                </c:pt>
                <c:pt idx="981">
                  <c:v>43259</c:v>
                </c:pt>
                <c:pt idx="982">
                  <c:v>43260</c:v>
                </c:pt>
                <c:pt idx="983">
                  <c:v>43261</c:v>
                </c:pt>
                <c:pt idx="984">
                  <c:v>43262</c:v>
                </c:pt>
                <c:pt idx="985">
                  <c:v>43263</c:v>
                </c:pt>
                <c:pt idx="986">
                  <c:v>43264</c:v>
                </c:pt>
                <c:pt idx="987">
                  <c:v>43265</c:v>
                </c:pt>
                <c:pt idx="988">
                  <c:v>43266</c:v>
                </c:pt>
                <c:pt idx="989">
                  <c:v>43267</c:v>
                </c:pt>
                <c:pt idx="990">
                  <c:v>43268</c:v>
                </c:pt>
                <c:pt idx="991">
                  <c:v>43269</c:v>
                </c:pt>
                <c:pt idx="992">
                  <c:v>43270</c:v>
                </c:pt>
                <c:pt idx="993">
                  <c:v>43271</c:v>
                </c:pt>
                <c:pt idx="994">
                  <c:v>43272</c:v>
                </c:pt>
                <c:pt idx="995">
                  <c:v>43273</c:v>
                </c:pt>
                <c:pt idx="996">
                  <c:v>43274</c:v>
                </c:pt>
                <c:pt idx="997">
                  <c:v>43275</c:v>
                </c:pt>
                <c:pt idx="998">
                  <c:v>43276</c:v>
                </c:pt>
                <c:pt idx="999">
                  <c:v>43277</c:v>
                </c:pt>
                <c:pt idx="1000">
                  <c:v>43278</c:v>
                </c:pt>
                <c:pt idx="1001">
                  <c:v>43279</c:v>
                </c:pt>
                <c:pt idx="1002">
                  <c:v>43280</c:v>
                </c:pt>
                <c:pt idx="1003">
                  <c:v>43281</c:v>
                </c:pt>
                <c:pt idx="1004">
                  <c:v>43282</c:v>
                </c:pt>
                <c:pt idx="1005">
                  <c:v>43283</c:v>
                </c:pt>
                <c:pt idx="1006">
                  <c:v>43284</c:v>
                </c:pt>
                <c:pt idx="1007">
                  <c:v>43285</c:v>
                </c:pt>
                <c:pt idx="1008">
                  <c:v>43286</c:v>
                </c:pt>
                <c:pt idx="1009">
                  <c:v>43287</c:v>
                </c:pt>
                <c:pt idx="1010">
                  <c:v>43288</c:v>
                </c:pt>
                <c:pt idx="1011">
                  <c:v>43289</c:v>
                </c:pt>
                <c:pt idx="1012">
                  <c:v>43290</c:v>
                </c:pt>
                <c:pt idx="1013">
                  <c:v>43291</c:v>
                </c:pt>
                <c:pt idx="1014">
                  <c:v>43292</c:v>
                </c:pt>
                <c:pt idx="1015">
                  <c:v>43293</c:v>
                </c:pt>
                <c:pt idx="1016">
                  <c:v>43294</c:v>
                </c:pt>
                <c:pt idx="1017">
                  <c:v>43295</c:v>
                </c:pt>
                <c:pt idx="1018">
                  <c:v>43296</c:v>
                </c:pt>
                <c:pt idx="1019">
                  <c:v>43297</c:v>
                </c:pt>
                <c:pt idx="1020">
                  <c:v>43298</c:v>
                </c:pt>
                <c:pt idx="1021">
                  <c:v>43299</c:v>
                </c:pt>
                <c:pt idx="1022">
                  <c:v>43300</c:v>
                </c:pt>
                <c:pt idx="1023">
                  <c:v>43301</c:v>
                </c:pt>
                <c:pt idx="1024">
                  <c:v>43302</c:v>
                </c:pt>
                <c:pt idx="1025">
                  <c:v>43303</c:v>
                </c:pt>
                <c:pt idx="1026">
                  <c:v>43304</c:v>
                </c:pt>
                <c:pt idx="1027">
                  <c:v>43305</c:v>
                </c:pt>
                <c:pt idx="1028">
                  <c:v>43306</c:v>
                </c:pt>
                <c:pt idx="1029">
                  <c:v>43307</c:v>
                </c:pt>
                <c:pt idx="1030">
                  <c:v>43308</c:v>
                </c:pt>
                <c:pt idx="1031">
                  <c:v>43309</c:v>
                </c:pt>
                <c:pt idx="1032">
                  <c:v>43310</c:v>
                </c:pt>
                <c:pt idx="1033">
                  <c:v>43311</c:v>
                </c:pt>
                <c:pt idx="1034">
                  <c:v>43312</c:v>
                </c:pt>
                <c:pt idx="1035">
                  <c:v>43313</c:v>
                </c:pt>
                <c:pt idx="1036">
                  <c:v>43314</c:v>
                </c:pt>
                <c:pt idx="1037">
                  <c:v>43315</c:v>
                </c:pt>
                <c:pt idx="1038">
                  <c:v>43316</c:v>
                </c:pt>
                <c:pt idx="1039">
                  <c:v>43317</c:v>
                </c:pt>
                <c:pt idx="1040">
                  <c:v>43318</c:v>
                </c:pt>
                <c:pt idx="1041">
                  <c:v>43319</c:v>
                </c:pt>
                <c:pt idx="1042">
                  <c:v>43320</c:v>
                </c:pt>
                <c:pt idx="1043">
                  <c:v>43321</c:v>
                </c:pt>
                <c:pt idx="1044">
                  <c:v>43322</c:v>
                </c:pt>
                <c:pt idx="1045">
                  <c:v>43323</c:v>
                </c:pt>
                <c:pt idx="1046">
                  <c:v>43324</c:v>
                </c:pt>
                <c:pt idx="1047">
                  <c:v>43325</c:v>
                </c:pt>
                <c:pt idx="1048">
                  <c:v>43326</c:v>
                </c:pt>
                <c:pt idx="1049">
                  <c:v>43327</c:v>
                </c:pt>
                <c:pt idx="1050">
                  <c:v>43328</c:v>
                </c:pt>
                <c:pt idx="1051">
                  <c:v>43329</c:v>
                </c:pt>
                <c:pt idx="1052">
                  <c:v>43330</c:v>
                </c:pt>
                <c:pt idx="1053">
                  <c:v>43331</c:v>
                </c:pt>
                <c:pt idx="1054">
                  <c:v>43332</c:v>
                </c:pt>
                <c:pt idx="1055">
                  <c:v>43333</c:v>
                </c:pt>
                <c:pt idx="1056">
                  <c:v>43334</c:v>
                </c:pt>
                <c:pt idx="1057">
                  <c:v>43335</c:v>
                </c:pt>
                <c:pt idx="1058">
                  <c:v>43336</c:v>
                </c:pt>
                <c:pt idx="1059">
                  <c:v>43337</c:v>
                </c:pt>
                <c:pt idx="1060">
                  <c:v>43338</c:v>
                </c:pt>
                <c:pt idx="1061">
                  <c:v>43339</c:v>
                </c:pt>
                <c:pt idx="1062">
                  <c:v>43340</c:v>
                </c:pt>
                <c:pt idx="1063">
                  <c:v>43341</c:v>
                </c:pt>
                <c:pt idx="1064">
                  <c:v>43342</c:v>
                </c:pt>
                <c:pt idx="1065">
                  <c:v>43343</c:v>
                </c:pt>
                <c:pt idx="1066">
                  <c:v>43344</c:v>
                </c:pt>
                <c:pt idx="1067">
                  <c:v>43345</c:v>
                </c:pt>
                <c:pt idx="1068">
                  <c:v>43346</c:v>
                </c:pt>
                <c:pt idx="1069">
                  <c:v>43347</c:v>
                </c:pt>
                <c:pt idx="1070">
                  <c:v>43348</c:v>
                </c:pt>
                <c:pt idx="1071">
                  <c:v>43349</c:v>
                </c:pt>
                <c:pt idx="1072">
                  <c:v>43350</c:v>
                </c:pt>
                <c:pt idx="1073">
                  <c:v>43351</c:v>
                </c:pt>
                <c:pt idx="1074">
                  <c:v>43352</c:v>
                </c:pt>
                <c:pt idx="1075">
                  <c:v>43353</c:v>
                </c:pt>
                <c:pt idx="1076">
                  <c:v>43354</c:v>
                </c:pt>
                <c:pt idx="1077">
                  <c:v>43355</c:v>
                </c:pt>
                <c:pt idx="1078">
                  <c:v>43356</c:v>
                </c:pt>
                <c:pt idx="1079">
                  <c:v>43357</c:v>
                </c:pt>
                <c:pt idx="1080">
                  <c:v>43358</c:v>
                </c:pt>
                <c:pt idx="1081">
                  <c:v>43359</c:v>
                </c:pt>
                <c:pt idx="1082">
                  <c:v>43360</c:v>
                </c:pt>
                <c:pt idx="1083">
                  <c:v>43361</c:v>
                </c:pt>
                <c:pt idx="1084">
                  <c:v>43362</c:v>
                </c:pt>
                <c:pt idx="1085">
                  <c:v>43363</c:v>
                </c:pt>
                <c:pt idx="1086">
                  <c:v>43364</c:v>
                </c:pt>
                <c:pt idx="1087">
                  <c:v>43365</c:v>
                </c:pt>
                <c:pt idx="1088">
                  <c:v>43366</c:v>
                </c:pt>
                <c:pt idx="1089">
                  <c:v>43367</c:v>
                </c:pt>
                <c:pt idx="1090">
                  <c:v>43368</c:v>
                </c:pt>
                <c:pt idx="1091">
                  <c:v>43369</c:v>
                </c:pt>
                <c:pt idx="1092">
                  <c:v>43370</c:v>
                </c:pt>
                <c:pt idx="1093">
                  <c:v>43371</c:v>
                </c:pt>
                <c:pt idx="1094">
                  <c:v>43372</c:v>
                </c:pt>
                <c:pt idx="1095">
                  <c:v>43373</c:v>
                </c:pt>
                <c:pt idx="1096">
                  <c:v>43374</c:v>
                </c:pt>
                <c:pt idx="1097">
                  <c:v>43375</c:v>
                </c:pt>
                <c:pt idx="1098">
                  <c:v>43376</c:v>
                </c:pt>
                <c:pt idx="1099">
                  <c:v>43377</c:v>
                </c:pt>
                <c:pt idx="1100">
                  <c:v>43378</c:v>
                </c:pt>
                <c:pt idx="1101">
                  <c:v>43379</c:v>
                </c:pt>
                <c:pt idx="1102">
                  <c:v>43380</c:v>
                </c:pt>
                <c:pt idx="1103">
                  <c:v>43381</c:v>
                </c:pt>
                <c:pt idx="1104">
                  <c:v>43382</c:v>
                </c:pt>
                <c:pt idx="1105">
                  <c:v>43383</c:v>
                </c:pt>
                <c:pt idx="1106">
                  <c:v>43384</c:v>
                </c:pt>
                <c:pt idx="1107">
                  <c:v>43385</c:v>
                </c:pt>
                <c:pt idx="1108">
                  <c:v>43386</c:v>
                </c:pt>
                <c:pt idx="1109">
                  <c:v>43387</c:v>
                </c:pt>
                <c:pt idx="1110">
                  <c:v>43388</c:v>
                </c:pt>
                <c:pt idx="1111">
                  <c:v>43389</c:v>
                </c:pt>
                <c:pt idx="1112">
                  <c:v>43390</c:v>
                </c:pt>
                <c:pt idx="1113">
                  <c:v>43391</c:v>
                </c:pt>
                <c:pt idx="1114">
                  <c:v>43392</c:v>
                </c:pt>
                <c:pt idx="1115">
                  <c:v>43393</c:v>
                </c:pt>
                <c:pt idx="1116">
                  <c:v>43394</c:v>
                </c:pt>
                <c:pt idx="1117">
                  <c:v>43395</c:v>
                </c:pt>
                <c:pt idx="1118">
                  <c:v>43396</c:v>
                </c:pt>
                <c:pt idx="1119">
                  <c:v>43397</c:v>
                </c:pt>
                <c:pt idx="1120">
                  <c:v>43398</c:v>
                </c:pt>
                <c:pt idx="1121">
                  <c:v>43399</c:v>
                </c:pt>
                <c:pt idx="1122">
                  <c:v>43400</c:v>
                </c:pt>
                <c:pt idx="1123">
                  <c:v>43401</c:v>
                </c:pt>
                <c:pt idx="1124">
                  <c:v>43402</c:v>
                </c:pt>
                <c:pt idx="1125">
                  <c:v>43403</c:v>
                </c:pt>
                <c:pt idx="1126">
                  <c:v>43404</c:v>
                </c:pt>
                <c:pt idx="1127">
                  <c:v>43405</c:v>
                </c:pt>
              </c:numCache>
            </c:numRef>
          </c:cat>
          <c:val>
            <c:numRef>
              <c:f>'04 Participants Timeline'!$D$3:$D$1130</c:f>
              <c:numCache>
                <c:formatCode>#,##0</c:formatCode>
                <c:ptCount val="1128"/>
                <c:pt idx="0">
                  <c:v>337</c:v>
                </c:pt>
                <c:pt idx="1">
                  <c:v>337</c:v>
                </c:pt>
                <c:pt idx="2">
                  <c:v>337</c:v>
                </c:pt>
                <c:pt idx="3">
                  <c:v>337</c:v>
                </c:pt>
                <c:pt idx="4">
                  <c:v>337</c:v>
                </c:pt>
                <c:pt idx="5">
                  <c:v>337</c:v>
                </c:pt>
                <c:pt idx="6">
                  <c:v>337</c:v>
                </c:pt>
                <c:pt idx="7">
                  <c:v>337</c:v>
                </c:pt>
                <c:pt idx="8">
                  <c:v>337</c:v>
                </c:pt>
                <c:pt idx="9">
                  <c:v>337</c:v>
                </c:pt>
                <c:pt idx="10">
                  <c:v>337</c:v>
                </c:pt>
                <c:pt idx="11">
                  <c:v>337</c:v>
                </c:pt>
                <c:pt idx="12">
                  <c:v>337</c:v>
                </c:pt>
                <c:pt idx="13">
                  <c:v>337</c:v>
                </c:pt>
                <c:pt idx="14">
                  <c:v>337</c:v>
                </c:pt>
                <c:pt idx="15">
                  <c:v>337</c:v>
                </c:pt>
                <c:pt idx="16">
                  <c:v>337</c:v>
                </c:pt>
                <c:pt idx="17">
                  <c:v>337</c:v>
                </c:pt>
                <c:pt idx="18">
                  <c:v>337</c:v>
                </c:pt>
                <c:pt idx="19">
                  <c:v>337</c:v>
                </c:pt>
                <c:pt idx="20">
                  <c:v>337</c:v>
                </c:pt>
                <c:pt idx="21">
                  <c:v>337</c:v>
                </c:pt>
                <c:pt idx="22">
                  <c:v>337</c:v>
                </c:pt>
                <c:pt idx="23">
                  <c:v>337</c:v>
                </c:pt>
                <c:pt idx="24">
                  <c:v>337</c:v>
                </c:pt>
                <c:pt idx="25">
                  <c:v>337</c:v>
                </c:pt>
                <c:pt idx="26">
                  <c:v>338</c:v>
                </c:pt>
                <c:pt idx="27">
                  <c:v>338</c:v>
                </c:pt>
                <c:pt idx="28">
                  <c:v>338</c:v>
                </c:pt>
                <c:pt idx="29">
                  <c:v>338</c:v>
                </c:pt>
                <c:pt idx="30">
                  <c:v>338</c:v>
                </c:pt>
                <c:pt idx="31">
                  <c:v>338</c:v>
                </c:pt>
                <c:pt idx="32">
                  <c:v>338</c:v>
                </c:pt>
                <c:pt idx="33">
                  <c:v>339</c:v>
                </c:pt>
                <c:pt idx="34">
                  <c:v>339</c:v>
                </c:pt>
                <c:pt idx="35">
                  <c:v>339</c:v>
                </c:pt>
                <c:pt idx="36">
                  <c:v>339</c:v>
                </c:pt>
                <c:pt idx="37">
                  <c:v>339</c:v>
                </c:pt>
                <c:pt idx="38">
                  <c:v>339</c:v>
                </c:pt>
                <c:pt idx="39">
                  <c:v>339</c:v>
                </c:pt>
                <c:pt idx="40">
                  <c:v>339</c:v>
                </c:pt>
                <c:pt idx="41">
                  <c:v>339</c:v>
                </c:pt>
                <c:pt idx="42">
                  <c:v>339</c:v>
                </c:pt>
                <c:pt idx="43">
                  <c:v>339</c:v>
                </c:pt>
                <c:pt idx="44">
                  <c:v>339</c:v>
                </c:pt>
                <c:pt idx="45">
                  <c:v>339</c:v>
                </c:pt>
                <c:pt idx="46">
                  <c:v>339</c:v>
                </c:pt>
                <c:pt idx="47">
                  <c:v>339</c:v>
                </c:pt>
                <c:pt idx="48">
                  <c:v>338</c:v>
                </c:pt>
                <c:pt idx="49">
                  <c:v>338</c:v>
                </c:pt>
                <c:pt idx="50">
                  <c:v>338</c:v>
                </c:pt>
                <c:pt idx="51">
                  <c:v>338</c:v>
                </c:pt>
                <c:pt idx="52">
                  <c:v>338</c:v>
                </c:pt>
                <c:pt idx="53">
                  <c:v>338</c:v>
                </c:pt>
                <c:pt idx="54">
                  <c:v>338</c:v>
                </c:pt>
                <c:pt idx="55">
                  <c:v>338</c:v>
                </c:pt>
                <c:pt idx="56">
                  <c:v>338</c:v>
                </c:pt>
                <c:pt idx="57">
                  <c:v>338</c:v>
                </c:pt>
                <c:pt idx="58">
                  <c:v>338</c:v>
                </c:pt>
                <c:pt idx="59">
                  <c:v>338</c:v>
                </c:pt>
                <c:pt idx="60">
                  <c:v>338</c:v>
                </c:pt>
                <c:pt idx="61">
                  <c:v>338</c:v>
                </c:pt>
                <c:pt idx="62">
                  <c:v>338</c:v>
                </c:pt>
                <c:pt idx="63">
                  <c:v>338</c:v>
                </c:pt>
                <c:pt idx="64">
                  <c:v>338</c:v>
                </c:pt>
                <c:pt idx="65">
                  <c:v>338</c:v>
                </c:pt>
                <c:pt idx="66">
                  <c:v>338</c:v>
                </c:pt>
                <c:pt idx="67">
                  <c:v>338</c:v>
                </c:pt>
                <c:pt idx="68">
                  <c:v>339</c:v>
                </c:pt>
                <c:pt idx="69">
                  <c:v>339</c:v>
                </c:pt>
                <c:pt idx="70">
                  <c:v>339</c:v>
                </c:pt>
                <c:pt idx="71">
                  <c:v>339</c:v>
                </c:pt>
                <c:pt idx="72">
                  <c:v>339</c:v>
                </c:pt>
                <c:pt idx="73">
                  <c:v>339</c:v>
                </c:pt>
                <c:pt idx="74">
                  <c:v>339</c:v>
                </c:pt>
                <c:pt idx="75">
                  <c:v>339</c:v>
                </c:pt>
                <c:pt idx="76">
                  <c:v>339</c:v>
                </c:pt>
                <c:pt idx="77">
                  <c:v>339</c:v>
                </c:pt>
                <c:pt idx="78">
                  <c:v>339</c:v>
                </c:pt>
                <c:pt idx="79">
                  <c:v>339</c:v>
                </c:pt>
                <c:pt idx="80">
                  <c:v>339</c:v>
                </c:pt>
                <c:pt idx="81">
                  <c:v>339</c:v>
                </c:pt>
                <c:pt idx="82">
                  <c:v>340</c:v>
                </c:pt>
                <c:pt idx="83">
                  <c:v>340</c:v>
                </c:pt>
                <c:pt idx="84">
                  <c:v>341</c:v>
                </c:pt>
                <c:pt idx="85">
                  <c:v>341</c:v>
                </c:pt>
                <c:pt idx="86">
                  <c:v>341</c:v>
                </c:pt>
                <c:pt idx="87">
                  <c:v>341</c:v>
                </c:pt>
                <c:pt idx="88">
                  <c:v>341</c:v>
                </c:pt>
                <c:pt idx="89">
                  <c:v>341</c:v>
                </c:pt>
                <c:pt idx="90">
                  <c:v>341</c:v>
                </c:pt>
                <c:pt idx="91">
                  <c:v>341</c:v>
                </c:pt>
                <c:pt idx="92">
                  <c:v>341</c:v>
                </c:pt>
                <c:pt idx="93">
                  <c:v>341</c:v>
                </c:pt>
                <c:pt idx="94">
                  <c:v>341</c:v>
                </c:pt>
                <c:pt idx="95">
                  <c:v>341</c:v>
                </c:pt>
                <c:pt idx="96">
                  <c:v>343</c:v>
                </c:pt>
                <c:pt idx="97">
                  <c:v>344</c:v>
                </c:pt>
                <c:pt idx="98">
                  <c:v>344</c:v>
                </c:pt>
                <c:pt idx="99">
                  <c:v>344</c:v>
                </c:pt>
                <c:pt idx="100">
                  <c:v>344</c:v>
                </c:pt>
                <c:pt idx="101">
                  <c:v>344</c:v>
                </c:pt>
                <c:pt idx="102">
                  <c:v>344</c:v>
                </c:pt>
                <c:pt idx="103">
                  <c:v>344</c:v>
                </c:pt>
                <c:pt idx="104">
                  <c:v>344</c:v>
                </c:pt>
                <c:pt idx="105">
                  <c:v>344</c:v>
                </c:pt>
                <c:pt idx="106">
                  <c:v>344</c:v>
                </c:pt>
                <c:pt idx="107">
                  <c:v>345</c:v>
                </c:pt>
                <c:pt idx="108">
                  <c:v>345</c:v>
                </c:pt>
                <c:pt idx="109">
                  <c:v>345</c:v>
                </c:pt>
                <c:pt idx="110">
                  <c:v>346</c:v>
                </c:pt>
                <c:pt idx="111">
                  <c:v>346</c:v>
                </c:pt>
                <c:pt idx="112">
                  <c:v>347</c:v>
                </c:pt>
                <c:pt idx="113">
                  <c:v>347</c:v>
                </c:pt>
                <c:pt idx="114">
                  <c:v>347</c:v>
                </c:pt>
                <c:pt idx="115">
                  <c:v>347</c:v>
                </c:pt>
                <c:pt idx="116">
                  <c:v>347</c:v>
                </c:pt>
                <c:pt idx="117">
                  <c:v>347</c:v>
                </c:pt>
                <c:pt idx="118">
                  <c:v>347</c:v>
                </c:pt>
                <c:pt idx="119">
                  <c:v>347</c:v>
                </c:pt>
                <c:pt idx="120">
                  <c:v>347</c:v>
                </c:pt>
                <c:pt idx="121">
                  <c:v>349</c:v>
                </c:pt>
                <c:pt idx="122">
                  <c:v>349</c:v>
                </c:pt>
                <c:pt idx="123">
                  <c:v>349</c:v>
                </c:pt>
                <c:pt idx="124">
                  <c:v>349</c:v>
                </c:pt>
                <c:pt idx="125">
                  <c:v>349</c:v>
                </c:pt>
                <c:pt idx="126">
                  <c:v>349</c:v>
                </c:pt>
                <c:pt idx="127">
                  <c:v>349</c:v>
                </c:pt>
                <c:pt idx="128">
                  <c:v>349</c:v>
                </c:pt>
                <c:pt idx="129">
                  <c:v>349</c:v>
                </c:pt>
                <c:pt idx="130">
                  <c:v>349</c:v>
                </c:pt>
                <c:pt idx="131">
                  <c:v>349</c:v>
                </c:pt>
                <c:pt idx="132">
                  <c:v>349</c:v>
                </c:pt>
                <c:pt idx="133">
                  <c:v>349</c:v>
                </c:pt>
                <c:pt idx="134">
                  <c:v>350</c:v>
                </c:pt>
                <c:pt idx="135">
                  <c:v>350</c:v>
                </c:pt>
                <c:pt idx="136">
                  <c:v>350</c:v>
                </c:pt>
                <c:pt idx="137">
                  <c:v>350</c:v>
                </c:pt>
                <c:pt idx="138">
                  <c:v>350</c:v>
                </c:pt>
                <c:pt idx="139">
                  <c:v>350</c:v>
                </c:pt>
                <c:pt idx="140">
                  <c:v>350</c:v>
                </c:pt>
                <c:pt idx="141">
                  <c:v>350</c:v>
                </c:pt>
                <c:pt idx="142">
                  <c:v>350</c:v>
                </c:pt>
                <c:pt idx="143">
                  <c:v>350</c:v>
                </c:pt>
                <c:pt idx="144">
                  <c:v>350</c:v>
                </c:pt>
                <c:pt idx="145">
                  <c:v>350</c:v>
                </c:pt>
                <c:pt idx="146">
                  <c:v>350</c:v>
                </c:pt>
                <c:pt idx="147">
                  <c:v>350</c:v>
                </c:pt>
                <c:pt idx="148">
                  <c:v>351</c:v>
                </c:pt>
                <c:pt idx="149">
                  <c:v>351</c:v>
                </c:pt>
                <c:pt idx="150">
                  <c:v>351</c:v>
                </c:pt>
                <c:pt idx="151">
                  <c:v>351</c:v>
                </c:pt>
                <c:pt idx="152">
                  <c:v>351</c:v>
                </c:pt>
                <c:pt idx="153">
                  <c:v>351</c:v>
                </c:pt>
                <c:pt idx="154">
                  <c:v>351</c:v>
                </c:pt>
                <c:pt idx="155">
                  <c:v>351</c:v>
                </c:pt>
                <c:pt idx="156">
                  <c:v>351</c:v>
                </c:pt>
                <c:pt idx="157">
                  <c:v>351</c:v>
                </c:pt>
                <c:pt idx="158">
                  <c:v>351</c:v>
                </c:pt>
                <c:pt idx="159">
                  <c:v>351</c:v>
                </c:pt>
                <c:pt idx="160">
                  <c:v>351</c:v>
                </c:pt>
                <c:pt idx="161">
                  <c:v>351</c:v>
                </c:pt>
                <c:pt idx="162">
                  <c:v>351</c:v>
                </c:pt>
                <c:pt idx="163">
                  <c:v>351</c:v>
                </c:pt>
                <c:pt idx="164">
                  <c:v>351</c:v>
                </c:pt>
                <c:pt idx="165">
                  <c:v>351</c:v>
                </c:pt>
                <c:pt idx="166">
                  <c:v>351</c:v>
                </c:pt>
                <c:pt idx="167">
                  <c:v>351</c:v>
                </c:pt>
                <c:pt idx="168">
                  <c:v>351</c:v>
                </c:pt>
                <c:pt idx="169">
                  <c:v>351</c:v>
                </c:pt>
                <c:pt idx="170">
                  <c:v>351</c:v>
                </c:pt>
                <c:pt idx="171">
                  <c:v>351</c:v>
                </c:pt>
                <c:pt idx="172">
                  <c:v>351</c:v>
                </c:pt>
                <c:pt idx="173">
                  <c:v>351</c:v>
                </c:pt>
                <c:pt idx="174">
                  <c:v>351</c:v>
                </c:pt>
                <c:pt idx="175">
                  <c:v>351</c:v>
                </c:pt>
                <c:pt idx="176">
                  <c:v>351</c:v>
                </c:pt>
                <c:pt idx="177">
                  <c:v>351</c:v>
                </c:pt>
                <c:pt idx="178">
                  <c:v>351</c:v>
                </c:pt>
                <c:pt idx="179">
                  <c:v>351</c:v>
                </c:pt>
                <c:pt idx="180">
                  <c:v>351</c:v>
                </c:pt>
                <c:pt idx="181">
                  <c:v>351</c:v>
                </c:pt>
                <c:pt idx="182">
                  <c:v>351</c:v>
                </c:pt>
                <c:pt idx="183">
                  <c:v>351</c:v>
                </c:pt>
                <c:pt idx="184">
                  <c:v>351</c:v>
                </c:pt>
                <c:pt idx="185">
                  <c:v>351</c:v>
                </c:pt>
                <c:pt idx="186">
                  <c:v>351</c:v>
                </c:pt>
                <c:pt idx="187">
                  <c:v>351</c:v>
                </c:pt>
                <c:pt idx="188">
                  <c:v>351</c:v>
                </c:pt>
                <c:pt idx="189">
                  <c:v>351</c:v>
                </c:pt>
                <c:pt idx="190">
                  <c:v>352</c:v>
                </c:pt>
                <c:pt idx="191">
                  <c:v>352</c:v>
                </c:pt>
                <c:pt idx="192">
                  <c:v>352</c:v>
                </c:pt>
                <c:pt idx="193">
                  <c:v>352</c:v>
                </c:pt>
                <c:pt idx="194">
                  <c:v>352</c:v>
                </c:pt>
                <c:pt idx="195">
                  <c:v>352</c:v>
                </c:pt>
                <c:pt idx="196">
                  <c:v>352</c:v>
                </c:pt>
                <c:pt idx="197">
                  <c:v>352</c:v>
                </c:pt>
                <c:pt idx="198">
                  <c:v>352</c:v>
                </c:pt>
                <c:pt idx="199">
                  <c:v>352</c:v>
                </c:pt>
                <c:pt idx="200">
                  <c:v>352</c:v>
                </c:pt>
                <c:pt idx="201">
                  <c:v>353</c:v>
                </c:pt>
                <c:pt idx="202">
                  <c:v>353</c:v>
                </c:pt>
                <c:pt idx="203">
                  <c:v>353</c:v>
                </c:pt>
                <c:pt idx="204">
                  <c:v>354</c:v>
                </c:pt>
                <c:pt idx="205">
                  <c:v>354</c:v>
                </c:pt>
                <c:pt idx="206">
                  <c:v>354</c:v>
                </c:pt>
                <c:pt idx="207">
                  <c:v>354</c:v>
                </c:pt>
                <c:pt idx="208">
                  <c:v>354</c:v>
                </c:pt>
                <c:pt idx="209">
                  <c:v>354</c:v>
                </c:pt>
                <c:pt idx="210">
                  <c:v>354</c:v>
                </c:pt>
                <c:pt idx="211">
                  <c:v>354</c:v>
                </c:pt>
                <c:pt idx="212">
                  <c:v>355</c:v>
                </c:pt>
                <c:pt idx="213">
                  <c:v>355</c:v>
                </c:pt>
                <c:pt idx="214">
                  <c:v>355</c:v>
                </c:pt>
                <c:pt idx="215">
                  <c:v>355</c:v>
                </c:pt>
                <c:pt idx="216">
                  <c:v>355</c:v>
                </c:pt>
                <c:pt idx="217">
                  <c:v>355</c:v>
                </c:pt>
                <c:pt idx="218">
                  <c:v>355</c:v>
                </c:pt>
                <c:pt idx="219">
                  <c:v>356</c:v>
                </c:pt>
                <c:pt idx="220">
                  <c:v>356</c:v>
                </c:pt>
                <c:pt idx="221">
                  <c:v>356</c:v>
                </c:pt>
                <c:pt idx="222">
                  <c:v>356</c:v>
                </c:pt>
                <c:pt idx="223">
                  <c:v>356</c:v>
                </c:pt>
                <c:pt idx="224">
                  <c:v>356</c:v>
                </c:pt>
                <c:pt idx="225">
                  <c:v>356</c:v>
                </c:pt>
                <c:pt idx="226">
                  <c:v>356</c:v>
                </c:pt>
                <c:pt idx="227">
                  <c:v>356</c:v>
                </c:pt>
                <c:pt idx="228">
                  <c:v>356</c:v>
                </c:pt>
                <c:pt idx="229">
                  <c:v>357</c:v>
                </c:pt>
                <c:pt idx="230">
                  <c:v>357</c:v>
                </c:pt>
                <c:pt idx="231">
                  <c:v>357</c:v>
                </c:pt>
                <c:pt idx="232">
                  <c:v>358</c:v>
                </c:pt>
                <c:pt idx="233">
                  <c:v>358</c:v>
                </c:pt>
                <c:pt idx="234">
                  <c:v>358</c:v>
                </c:pt>
                <c:pt idx="235">
                  <c:v>358</c:v>
                </c:pt>
                <c:pt idx="236">
                  <c:v>358</c:v>
                </c:pt>
                <c:pt idx="237">
                  <c:v>358</c:v>
                </c:pt>
                <c:pt idx="238">
                  <c:v>358</c:v>
                </c:pt>
                <c:pt idx="239">
                  <c:v>358</c:v>
                </c:pt>
                <c:pt idx="240">
                  <c:v>358</c:v>
                </c:pt>
                <c:pt idx="241">
                  <c:v>358</c:v>
                </c:pt>
                <c:pt idx="242">
                  <c:v>358</c:v>
                </c:pt>
                <c:pt idx="243">
                  <c:v>358</c:v>
                </c:pt>
                <c:pt idx="244">
                  <c:v>358</c:v>
                </c:pt>
                <c:pt idx="245">
                  <c:v>359</c:v>
                </c:pt>
                <c:pt idx="246">
                  <c:v>359</c:v>
                </c:pt>
                <c:pt idx="247">
                  <c:v>359</c:v>
                </c:pt>
                <c:pt idx="248">
                  <c:v>359</c:v>
                </c:pt>
                <c:pt idx="249">
                  <c:v>359</c:v>
                </c:pt>
                <c:pt idx="250">
                  <c:v>359</c:v>
                </c:pt>
                <c:pt idx="251">
                  <c:v>359</c:v>
                </c:pt>
                <c:pt idx="252">
                  <c:v>360</c:v>
                </c:pt>
                <c:pt idx="253">
                  <c:v>360</c:v>
                </c:pt>
                <c:pt idx="254">
                  <c:v>360</c:v>
                </c:pt>
                <c:pt idx="255">
                  <c:v>360</c:v>
                </c:pt>
                <c:pt idx="256">
                  <c:v>360</c:v>
                </c:pt>
                <c:pt idx="257">
                  <c:v>360</c:v>
                </c:pt>
                <c:pt idx="258">
                  <c:v>360</c:v>
                </c:pt>
                <c:pt idx="259">
                  <c:v>360</c:v>
                </c:pt>
                <c:pt idx="260">
                  <c:v>360</c:v>
                </c:pt>
                <c:pt idx="261">
                  <c:v>360</c:v>
                </c:pt>
                <c:pt idx="262">
                  <c:v>360</c:v>
                </c:pt>
                <c:pt idx="263">
                  <c:v>360</c:v>
                </c:pt>
                <c:pt idx="264">
                  <c:v>360</c:v>
                </c:pt>
                <c:pt idx="265">
                  <c:v>360</c:v>
                </c:pt>
                <c:pt idx="266">
                  <c:v>360</c:v>
                </c:pt>
                <c:pt idx="267">
                  <c:v>362</c:v>
                </c:pt>
                <c:pt idx="268">
                  <c:v>362</c:v>
                </c:pt>
                <c:pt idx="269">
                  <c:v>362</c:v>
                </c:pt>
                <c:pt idx="270">
                  <c:v>362</c:v>
                </c:pt>
                <c:pt idx="271">
                  <c:v>362</c:v>
                </c:pt>
                <c:pt idx="272">
                  <c:v>363</c:v>
                </c:pt>
                <c:pt idx="273">
                  <c:v>363</c:v>
                </c:pt>
                <c:pt idx="274">
                  <c:v>364</c:v>
                </c:pt>
                <c:pt idx="275">
                  <c:v>364</c:v>
                </c:pt>
                <c:pt idx="276">
                  <c:v>364</c:v>
                </c:pt>
                <c:pt idx="277">
                  <c:v>364</c:v>
                </c:pt>
                <c:pt idx="278">
                  <c:v>364</c:v>
                </c:pt>
                <c:pt idx="279">
                  <c:v>364</c:v>
                </c:pt>
                <c:pt idx="280">
                  <c:v>364</c:v>
                </c:pt>
                <c:pt idx="281">
                  <c:v>366</c:v>
                </c:pt>
                <c:pt idx="282">
                  <c:v>368</c:v>
                </c:pt>
                <c:pt idx="283">
                  <c:v>368</c:v>
                </c:pt>
                <c:pt idx="284">
                  <c:v>368</c:v>
                </c:pt>
                <c:pt idx="285">
                  <c:v>368</c:v>
                </c:pt>
                <c:pt idx="286">
                  <c:v>368</c:v>
                </c:pt>
                <c:pt idx="287">
                  <c:v>368</c:v>
                </c:pt>
                <c:pt idx="288">
                  <c:v>368</c:v>
                </c:pt>
                <c:pt idx="289">
                  <c:v>368</c:v>
                </c:pt>
                <c:pt idx="290">
                  <c:v>368</c:v>
                </c:pt>
                <c:pt idx="291">
                  <c:v>368</c:v>
                </c:pt>
                <c:pt idx="292">
                  <c:v>368</c:v>
                </c:pt>
                <c:pt idx="293">
                  <c:v>368</c:v>
                </c:pt>
                <c:pt idx="294">
                  <c:v>368</c:v>
                </c:pt>
                <c:pt idx="295">
                  <c:v>368</c:v>
                </c:pt>
                <c:pt idx="296">
                  <c:v>368</c:v>
                </c:pt>
                <c:pt idx="297">
                  <c:v>368</c:v>
                </c:pt>
                <c:pt idx="298">
                  <c:v>368</c:v>
                </c:pt>
                <c:pt idx="299">
                  <c:v>368</c:v>
                </c:pt>
                <c:pt idx="300">
                  <c:v>368</c:v>
                </c:pt>
                <c:pt idx="301">
                  <c:v>368</c:v>
                </c:pt>
                <c:pt idx="302">
                  <c:v>368</c:v>
                </c:pt>
                <c:pt idx="303">
                  <c:v>369</c:v>
                </c:pt>
                <c:pt idx="304">
                  <c:v>369</c:v>
                </c:pt>
                <c:pt idx="305">
                  <c:v>369</c:v>
                </c:pt>
                <c:pt idx="306">
                  <c:v>369</c:v>
                </c:pt>
                <c:pt idx="307">
                  <c:v>369</c:v>
                </c:pt>
                <c:pt idx="308">
                  <c:v>369</c:v>
                </c:pt>
                <c:pt idx="309">
                  <c:v>370</c:v>
                </c:pt>
                <c:pt idx="310">
                  <c:v>370</c:v>
                </c:pt>
                <c:pt idx="311">
                  <c:v>370</c:v>
                </c:pt>
                <c:pt idx="312">
                  <c:v>370</c:v>
                </c:pt>
                <c:pt idx="313">
                  <c:v>370</c:v>
                </c:pt>
                <c:pt idx="314">
                  <c:v>370</c:v>
                </c:pt>
                <c:pt idx="315">
                  <c:v>370</c:v>
                </c:pt>
                <c:pt idx="316">
                  <c:v>370</c:v>
                </c:pt>
                <c:pt idx="317">
                  <c:v>370</c:v>
                </c:pt>
                <c:pt idx="318">
                  <c:v>370</c:v>
                </c:pt>
                <c:pt idx="319">
                  <c:v>370</c:v>
                </c:pt>
                <c:pt idx="320">
                  <c:v>372</c:v>
                </c:pt>
                <c:pt idx="321">
                  <c:v>372</c:v>
                </c:pt>
                <c:pt idx="322">
                  <c:v>372</c:v>
                </c:pt>
                <c:pt idx="323">
                  <c:v>372</c:v>
                </c:pt>
                <c:pt idx="324">
                  <c:v>372</c:v>
                </c:pt>
                <c:pt idx="325">
                  <c:v>372</c:v>
                </c:pt>
                <c:pt idx="326">
                  <c:v>372</c:v>
                </c:pt>
                <c:pt idx="327">
                  <c:v>372</c:v>
                </c:pt>
                <c:pt idx="328">
                  <c:v>372</c:v>
                </c:pt>
                <c:pt idx="329">
                  <c:v>372</c:v>
                </c:pt>
                <c:pt idx="330">
                  <c:v>373</c:v>
                </c:pt>
                <c:pt idx="331">
                  <c:v>374</c:v>
                </c:pt>
                <c:pt idx="332">
                  <c:v>374</c:v>
                </c:pt>
                <c:pt idx="333">
                  <c:v>374</c:v>
                </c:pt>
                <c:pt idx="334">
                  <c:v>374</c:v>
                </c:pt>
                <c:pt idx="335">
                  <c:v>374</c:v>
                </c:pt>
                <c:pt idx="336">
                  <c:v>375</c:v>
                </c:pt>
                <c:pt idx="337">
                  <c:v>377</c:v>
                </c:pt>
                <c:pt idx="338">
                  <c:v>377</c:v>
                </c:pt>
                <c:pt idx="339">
                  <c:v>377</c:v>
                </c:pt>
                <c:pt idx="340">
                  <c:v>377</c:v>
                </c:pt>
                <c:pt idx="341">
                  <c:v>377</c:v>
                </c:pt>
                <c:pt idx="342">
                  <c:v>378</c:v>
                </c:pt>
                <c:pt idx="343">
                  <c:v>378</c:v>
                </c:pt>
                <c:pt idx="344">
                  <c:v>379</c:v>
                </c:pt>
                <c:pt idx="345">
                  <c:v>379</c:v>
                </c:pt>
                <c:pt idx="346">
                  <c:v>379</c:v>
                </c:pt>
                <c:pt idx="347">
                  <c:v>379</c:v>
                </c:pt>
                <c:pt idx="348">
                  <c:v>379</c:v>
                </c:pt>
                <c:pt idx="349">
                  <c:v>379</c:v>
                </c:pt>
                <c:pt idx="350">
                  <c:v>379</c:v>
                </c:pt>
                <c:pt idx="351">
                  <c:v>379</c:v>
                </c:pt>
                <c:pt idx="352">
                  <c:v>379</c:v>
                </c:pt>
                <c:pt idx="353">
                  <c:v>379</c:v>
                </c:pt>
                <c:pt idx="354">
                  <c:v>379</c:v>
                </c:pt>
                <c:pt idx="355">
                  <c:v>379</c:v>
                </c:pt>
                <c:pt idx="356">
                  <c:v>379</c:v>
                </c:pt>
                <c:pt idx="357">
                  <c:v>379</c:v>
                </c:pt>
                <c:pt idx="358">
                  <c:v>379</c:v>
                </c:pt>
                <c:pt idx="359">
                  <c:v>379</c:v>
                </c:pt>
                <c:pt idx="360">
                  <c:v>379</c:v>
                </c:pt>
                <c:pt idx="361">
                  <c:v>379</c:v>
                </c:pt>
                <c:pt idx="362">
                  <c:v>379</c:v>
                </c:pt>
                <c:pt idx="363">
                  <c:v>379</c:v>
                </c:pt>
                <c:pt idx="364">
                  <c:v>379</c:v>
                </c:pt>
                <c:pt idx="365">
                  <c:v>381</c:v>
                </c:pt>
                <c:pt idx="366">
                  <c:v>381</c:v>
                </c:pt>
                <c:pt idx="367">
                  <c:v>381</c:v>
                </c:pt>
                <c:pt idx="368">
                  <c:v>381</c:v>
                </c:pt>
                <c:pt idx="369">
                  <c:v>381</c:v>
                </c:pt>
                <c:pt idx="370">
                  <c:v>381</c:v>
                </c:pt>
                <c:pt idx="371">
                  <c:v>382</c:v>
                </c:pt>
                <c:pt idx="372">
                  <c:v>383</c:v>
                </c:pt>
                <c:pt idx="373">
                  <c:v>383</c:v>
                </c:pt>
                <c:pt idx="374">
                  <c:v>383</c:v>
                </c:pt>
                <c:pt idx="375">
                  <c:v>383</c:v>
                </c:pt>
                <c:pt idx="376">
                  <c:v>383</c:v>
                </c:pt>
                <c:pt idx="377">
                  <c:v>383</c:v>
                </c:pt>
                <c:pt idx="378">
                  <c:v>384</c:v>
                </c:pt>
                <c:pt idx="379">
                  <c:v>384</c:v>
                </c:pt>
                <c:pt idx="380">
                  <c:v>384</c:v>
                </c:pt>
                <c:pt idx="381">
                  <c:v>384</c:v>
                </c:pt>
                <c:pt idx="382">
                  <c:v>384</c:v>
                </c:pt>
                <c:pt idx="383">
                  <c:v>384</c:v>
                </c:pt>
                <c:pt idx="384">
                  <c:v>384</c:v>
                </c:pt>
                <c:pt idx="385">
                  <c:v>384</c:v>
                </c:pt>
                <c:pt idx="386">
                  <c:v>384</c:v>
                </c:pt>
                <c:pt idx="387">
                  <c:v>384</c:v>
                </c:pt>
                <c:pt idx="388">
                  <c:v>384</c:v>
                </c:pt>
                <c:pt idx="389">
                  <c:v>384</c:v>
                </c:pt>
                <c:pt idx="390">
                  <c:v>384</c:v>
                </c:pt>
                <c:pt idx="391">
                  <c:v>384</c:v>
                </c:pt>
                <c:pt idx="392">
                  <c:v>384</c:v>
                </c:pt>
                <c:pt idx="393">
                  <c:v>384</c:v>
                </c:pt>
                <c:pt idx="394">
                  <c:v>384</c:v>
                </c:pt>
                <c:pt idx="395">
                  <c:v>384</c:v>
                </c:pt>
                <c:pt idx="396">
                  <c:v>384</c:v>
                </c:pt>
                <c:pt idx="397">
                  <c:v>385</c:v>
                </c:pt>
                <c:pt idx="398">
                  <c:v>385</c:v>
                </c:pt>
                <c:pt idx="399">
                  <c:v>385</c:v>
                </c:pt>
                <c:pt idx="400">
                  <c:v>385</c:v>
                </c:pt>
                <c:pt idx="401">
                  <c:v>385</c:v>
                </c:pt>
                <c:pt idx="402">
                  <c:v>385</c:v>
                </c:pt>
                <c:pt idx="403">
                  <c:v>385</c:v>
                </c:pt>
                <c:pt idx="404">
                  <c:v>385</c:v>
                </c:pt>
                <c:pt idx="405">
                  <c:v>385</c:v>
                </c:pt>
                <c:pt idx="406">
                  <c:v>385</c:v>
                </c:pt>
                <c:pt idx="407">
                  <c:v>385</c:v>
                </c:pt>
                <c:pt idx="408">
                  <c:v>385</c:v>
                </c:pt>
                <c:pt idx="409">
                  <c:v>385</c:v>
                </c:pt>
                <c:pt idx="410">
                  <c:v>385</c:v>
                </c:pt>
                <c:pt idx="411">
                  <c:v>386</c:v>
                </c:pt>
                <c:pt idx="412">
                  <c:v>386</c:v>
                </c:pt>
                <c:pt idx="413">
                  <c:v>386</c:v>
                </c:pt>
                <c:pt idx="414">
                  <c:v>386</c:v>
                </c:pt>
                <c:pt idx="415">
                  <c:v>386</c:v>
                </c:pt>
                <c:pt idx="416">
                  <c:v>386</c:v>
                </c:pt>
                <c:pt idx="417">
                  <c:v>386</c:v>
                </c:pt>
                <c:pt idx="418">
                  <c:v>386</c:v>
                </c:pt>
                <c:pt idx="419">
                  <c:v>386</c:v>
                </c:pt>
                <c:pt idx="420">
                  <c:v>386</c:v>
                </c:pt>
                <c:pt idx="421">
                  <c:v>386</c:v>
                </c:pt>
                <c:pt idx="422">
                  <c:v>386</c:v>
                </c:pt>
                <c:pt idx="423">
                  <c:v>386</c:v>
                </c:pt>
                <c:pt idx="424">
                  <c:v>386</c:v>
                </c:pt>
                <c:pt idx="425">
                  <c:v>386</c:v>
                </c:pt>
                <c:pt idx="426">
                  <c:v>386</c:v>
                </c:pt>
                <c:pt idx="427">
                  <c:v>388</c:v>
                </c:pt>
                <c:pt idx="428">
                  <c:v>388</c:v>
                </c:pt>
                <c:pt idx="429">
                  <c:v>389</c:v>
                </c:pt>
                <c:pt idx="430">
                  <c:v>389</c:v>
                </c:pt>
                <c:pt idx="431">
                  <c:v>389</c:v>
                </c:pt>
                <c:pt idx="432">
                  <c:v>389</c:v>
                </c:pt>
                <c:pt idx="433">
                  <c:v>390</c:v>
                </c:pt>
                <c:pt idx="434">
                  <c:v>390</c:v>
                </c:pt>
                <c:pt idx="435">
                  <c:v>390</c:v>
                </c:pt>
                <c:pt idx="436">
                  <c:v>391</c:v>
                </c:pt>
                <c:pt idx="437">
                  <c:v>391</c:v>
                </c:pt>
                <c:pt idx="438">
                  <c:v>391</c:v>
                </c:pt>
                <c:pt idx="439">
                  <c:v>391</c:v>
                </c:pt>
                <c:pt idx="440">
                  <c:v>391</c:v>
                </c:pt>
                <c:pt idx="441">
                  <c:v>391</c:v>
                </c:pt>
                <c:pt idx="442">
                  <c:v>391</c:v>
                </c:pt>
                <c:pt idx="443">
                  <c:v>391</c:v>
                </c:pt>
                <c:pt idx="444">
                  <c:v>391</c:v>
                </c:pt>
                <c:pt idx="445">
                  <c:v>391</c:v>
                </c:pt>
                <c:pt idx="446">
                  <c:v>391</c:v>
                </c:pt>
                <c:pt idx="447">
                  <c:v>391</c:v>
                </c:pt>
                <c:pt idx="448">
                  <c:v>392</c:v>
                </c:pt>
                <c:pt idx="449">
                  <c:v>392</c:v>
                </c:pt>
                <c:pt idx="450">
                  <c:v>392</c:v>
                </c:pt>
                <c:pt idx="451">
                  <c:v>392</c:v>
                </c:pt>
                <c:pt idx="452">
                  <c:v>392</c:v>
                </c:pt>
                <c:pt idx="453">
                  <c:v>392</c:v>
                </c:pt>
                <c:pt idx="454">
                  <c:v>392</c:v>
                </c:pt>
                <c:pt idx="455">
                  <c:v>392</c:v>
                </c:pt>
                <c:pt idx="456">
                  <c:v>392</c:v>
                </c:pt>
                <c:pt idx="457">
                  <c:v>392</c:v>
                </c:pt>
                <c:pt idx="458">
                  <c:v>392</c:v>
                </c:pt>
                <c:pt idx="459">
                  <c:v>392</c:v>
                </c:pt>
                <c:pt idx="460">
                  <c:v>392</c:v>
                </c:pt>
                <c:pt idx="461">
                  <c:v>394</c:v>
                </c:pt>
                <c:pt idx="462">
                  <c:v>394</c:v>
                </c:pt>
                <c:pt idx="463">
                  <c:v>394</c:v>
                </c:pt>
                <c:pt idx="464">
                  <c:v>394</c:v>
                </c:pt>
                <c:pt idx="465">
                  <c:v>394</c:v>
                </c:pt>
                <c:pt idx="466">
                  <c:v>394</c:v>
                </c:pt>
                <c:pt idx="467">
                  <c:v>394</c:v>
                </c:pt>
                <c:pt idx="468">
                  <c:v>394</c:v>
                </c:pt>
                <c:pt idx="469">
                  <c:v>394</c:v>
                </c:pt>
                <c:pt idx="470">
                  <c:v>395</c:v>
                </c:pt>
                <c:pt idx="471">
                  <c:v>395</c:v>
                </c:pt>
                <c:pt idx="472">
                  <c:v>395</c:v>
                </c:pt>
                <c:pt idx="473">
                  <c:v>395</c:v>
                </c:pt>
                <c:pt idx="474">
                  <c:v>395</c:v>
                </c:pt>
                <c:pt idx="475">
                  <c:v>395</c:v>
                </c:pt>
                <c:pt idx="476">
                  <c:v>395</c:v>
                </c:pt>
                <c:pt idx="477">
                  <c:v>395</c:v>
                </c:pt>
                <c:pt idx="478">
                  <c:v>395</c:v>
                </c:pt>
                <c:pt idx="479">
                  <c:v>395</c:v>
                </c:pt>
                <c:pt idx="480">
                  <c:v>395</c:v>
                </c:pt>
                <c:pt idx="481">
                  <c:v>395</c:v>
                </c:pt>
                <c:pt idx="482">
                  <c:v>395</c:v>
                </c:pt>
                <c:pt idx="483">
                  <c:v>395</c:v>
                </c:pt>
                <c:pt idx="484">
                  <c:v>395</c:v>
                </c:pt>
                <c:pt idx="485">
                  <c:v>396</c:v>
                </c:pt>
                <c:pt idx="486">
                  <c:v>396</c:v>
                </c:pt>
                <c:pt idx="487">
                  <c:v>396</c:v>
                </c:pt>
                <c:pt idx="488">
                  <c:v>396</c:v>
                </c:pt>
                <c:pt idx="489">
                  <c:v>396</c:v>
                </c:pt>
                <c:pt idx="490">
                  <c:v>396</c:v>
                </c:pt>
                <c:pt idx="491">
                  <c:v>396</c:v>
                </c:pt>
                <c:pt idx="492">
                  <c:v>396</c:v>
                </c:pt>
                <c:pt idx="493">
                  <c:v>396</c:v>
                </c:pt>
                <c:pt idx="494">
                  <c:v>396</c:v>
                </c:pt>
                <c:pt idx="495">
                  <c:v>396</c:v>
                </c:pt>
                <c:pt idx="496">
                  <c:v>396</c:v>
                </c:pt>
                <c:pt idx="497">
                  <c:v>396</c:v>
                </c:pt>
                <c:pt idx="498">
                  <c:v>396</c:v>
                </c:pt>
                <c:pt idx="499">
                  <c:v>396</c:v>
                </c:pt>
                <c:pt idx="500">
                  <c:v>396</c:v>
                </c:pt>
                <c:pt idx="501">
                  <c:v>396</c:v>
                </c:pt>
                <c:pt idx="502">
                  <c:v>396</c:v>
                </c:pt>
                <c:pt idx="503">
                  <c:v>396</c:v>
                </c:pt>
                <c:pt idx="504">
                  <c:v>396</c:v>
                </c:pt>
                <c:pt idx="505">
                  <c:v>397</c:v>
                </c:pt>
                <c:pt idx="506">
                  <c:v>398</c:v>
                </c:pt>
                <c:pt idx="507">
                  <c:v>398</c:v>
                </c:pt>
                <c:pt idx="508">
                  <c:v>398</c:v>
                </c:pt>
                <c:pt idx="509">
                  <c:v>398</c:v>
                </c:pt>
                <c:pt idx="510">
                  <c:v>398</c:v>
                </c:pt>
                <c:pt idx="511">
                  <c:v>398</c:v>
                </c:pt>
                <c:pt idx="512">
                  <c:v>398</c:v>
                </c:pt>
                <c:pt idx="513">
                  <c:v>398</c:v>
                </c:pt>
                <c:pt idx="514">
                  <c:v>398</c:v>
                </c:pt>
                <c:pt idx="515">
                  <c:v>398</c:v>
                </c:pt>
                <c:pt idx="516">
                  <c:v>398</c:v>
                </c:pt>
                <c:pt idx="517">
                  <c:v>400</c:v>
                </c:pt>
                <c:pt idx="518">
                  <c:v>401</c:v>
                </c:pt>
                <c:pt idx="519">
                  <c:v>402</c:v>
                </c:pt>
                <c:pt idx="520">
                  <c:v>402</c:v>
                </c:pt>
                <c:pt idx="521">
                  <c:v>402</c:v>
                </c:pt>
                <c:pt idx="522">
                  <c:v>402</c:v>
                </c:pt>
                <c:pt idx="523">
                  <c:v>402</c:v>
                </c:pt>
                <c:pt idx="524">
                  <c:v>402</c:v>
                </c:pt>
                <c:pt idx="525">
                  <c:v>402</c:v>
                </c:pt>
                <c:pt idx="526">
                  <c:v>402</c:v>
                </c:pt>
                <c:pt idx="527">
                  <c:v>402</c:v>
                </c:pt>
                <c:pt idx="528">
                  <c:v>402</c:v>
                </c:pt>
                <c:pt idx="529">
                  <c:v>402</c:v>
                </c:pt>
                <c:pt idx="530">
                  <c:v>402</c:v>
                </c:pt>
                <c:pt idx="531">
                  <c:v>402</c:v>
                </c:pt>
                <c:pt idx="532">
                  <c:v>402</c:v>
                </c:pt>
                <c:pt idx="533">
                  <c:v>402</c:v>
                </c:pt>
                <c:pt idx="534">
                  <c:v>402</c:v>
                </c:pt>
                <c:pt idx="535">
                  <c:v>402</c:v>
                </c:pt>
                <c:pt idx="536">
                  <c:v>402</c:v>
                </c:pt>
                <c:pt idx="537">
                  <c:v>402</c:v>
                </c:pt>
                <c:pt idx="538">
                  <c:v>402</c:v>
                </c:pt>
                <c:pt idx="539">
                  <c:v>402</c:v>
                </c:pt>
                <c:pt idx="540">
                  <c:v>402</c:v>
                </c:pt>
                <c:pt idx="541">
                  <c:v>402</c:v>
                </c:pt>
                <c:pt idx="542">
                  <c:v>402</c:v>
                </c:pt>
                <c:pt idx="543">
                  <c:v>402</c:v>
                </c:pt>
                <c:pt idx="544">
                  <c:v>402</c:v>
                </c:pt>
                <c:pt idx="545">
                  <c:v>402</c:v>
                </c:pt>
                <c:pt idx="546">
                  <c:v>403</c:v>
                </c:pt>
                <c:pt idx="547">
                  <c:v>404</c:v>
                </c:pt>
                <c:pt idx="548">
                  <c:v>404</c:v>
                </c:pt>
                <c:pt idx="549">
                  <c:v>404</c:v>
                </c:pt>
                <c:pt idx="550">
                  <c:v>404</c:v>
                </c:pt>
                <c:pt idx="551">
                  <c:v>405</c:v>
                </c:pt>
                <c:pt idx="552">
                  <c:v>405</c:v>
                </c:pt>
                <c:pt idx="553">
                  <c:v>406</c:v>
                </c:pt>
                <c:pt idx="554">
                  <c:v>406</c:v>
                </c:pt>
                <c:pt idx="555">
                  <c:v>406</c:v>
                </c:pt>
                <c:pt idx="556">
                  <c:v>406</c:v>
                </c:pt>
                <c:pt idx="557">
                  <c:v>406</c:v>
                </c:pt>
                <c:pt idx="558">
                  <c:v>406</c:v>
                </c:pt>
                <c:pt idx="559">
                  <c:v>406</c:v>
                </c:pt>
                <c:pt idx="560">
                  <c:v>406</c:v>
                </c:pt>
                <c:pt idx="561">
                  <c:v>407</c:v>
                </c:pt>
                <c:pt idx="562">
                  <c:v>407</c:v>
                </c:pt>
                <c:pt idx="563">
                  <c:v>407</c:v>
                </c:pt>
                <c:pt idx="564">
                  <c:v>407</c:v>
                </c:pt>
                <c:pt idx="565">
                  <c:v>407</c:v>
                </c:pt>
                <c:pt idx="566">
                  <c:v>407</c:v>
                </c:pt>
                <c:pt idx="567">
                  <c:v>407</c:v>
                </c:pt>
                <c:pt idx="568">
                  <c:v>407</c:v>
                </c:pt>
                <c:pt idx="569">
                  <c:v>408</c:v>
                </c:pt>
                <c:pt idx="570">
                  <c:v>408</c:v>
                </c:pt>
                <c:pt idx="571">
                  <c:v>408</c:v>
                </c:pt>
                <c:pt idx="572">
                  <c:v>409</c:v>
                </c:pt>
                <c:pt idx="573">
                  <c:v>409</c:v>
                </c:pt>
                <c:pt idx="574">
                  <c:v>409</c:v>
                </c:pt>
                <c:pt idx="575">
                  <c:v>409</c:v>
                </c:pt>
                <c:pt idx="576">
                  <c:v>409</c:v>
                </c:pt>
                <c:pt idx="577">
                  <c:v>409</c:v>
                </c:pt>
                <c:pt idx="578">
                  <c:v>409</c:v>
                </c:pt>
                <c:pt idx="579">
                  <c:v>411</c:v>
                </c:pt>
                <c:pt idx="580">
                  <c:v>411</c:v>
                </c:pt>
                <c:pt idx="581">
                  <c:v>411</c:v>
                </c:pt>
                <c:pt idx="582">
                  <c:v>411</c:v>
                </c:pt>
                <c:pt idx="583">
                  <c:v>411</c:v>
                </c:pt>
                <c:pt idx="584">
                  <c:v>411</c:v>
                </c:pt>
                <c:pt idx="585">
                  <c:v>411</c:v>
                </c:pt>
                <c:pt idx="586">
                  <c:v>411</c:v>
                </c:pt>
                <c:pt idx="587">
                  <c:v>411</c:v>
                </c:pt>
                <c:pt idx="588">
                  <c:v>411</c:v>
                </c:pt>
                <c:pt idx="589">
                  <c:v>411</c:v>
                </c:pt>
                <c:pt idx="590">
                  <c:v>411</c:v>
                </c:pt>
                <c:pt idx="591">
                  <c:v>411</c:v>
                </c:pt>
                <c:pt idx="592">
                  <c:v>411</c:v>
                </c:pt>
                <c:pt idx="593">
                  <c:v>412</c:v>
                </c:pt>
                <c:pt idx="594">
                  <c:v>412</c:v>
                </c:pt>
                <c:pt idx="595">
                  <c:v>412</c:v>
                </c:pt>
                <c:pt idx="596">
                  <c:v>413</c:v>
                </c:pt>
                <c:pt idx="597">
                  <c:v>413</c:v>
                </c:pt>
                <c:pt idx="598">
                  <c:v>413</c:v>
                </c:pt>
                <c:pt idx="599">
                  <c:v>413</c:v>
                </c:pt>
                <c:pt idx="600">
                  <c:v>413</c:v>
                </c:pt>
                <c:pt idx="601">
                  <c:v>413</c:v>
                </c:pt>
                <c:pt idx="602">
                  <c:v>413</c:v>
                </c:pt>
                <c:pt idx="603">
                  <c:v>414</c:v>
                </c:pt>
                <c:pt idx="604">
                  <c:v>414</c:v>
                </c:pt>
                <c:pt idx="605">
                  <c:v>414</c:v>
                </c:pt>
                <c:pt idx="606">
                  <c:v>414</c:v>
                </c:pt>
                <c:pt idx="607">
                  <c:v>414</c:v>
                </c:pt>
                <c:pt idx="608">
                  <c:v>414</c:v>
                </c:pt>
                <c:pt idx="609">
                  <c:v>416</c:v>
                </c:pt>
                <c:pt idx="610">
                  <c:v>416</c:v>
                </c:pt>
                <c:pt idx="611">
                  <c:v>416</c:v>
                </c:pt>
                <c:pt idx="612">
                  <c:v>416</c:v>
                </c:pt>
                <c:pt idx="613">
                  <c:v>416</c:v>
                </c:pt>
                <c:pt idx="614">
                  <c:v>416</c:v>
                </c:pt>
                <c:pt idx="615">
                  <c:v>416</c:v>
                </c:pt>
                <c:pt idx="616">
                  <c:v>416</c:v>
                </c:pt>
                <c:pt idx="617">
                  <c:v>416</c:v>
                </c:pt>
                <c:pt idx="618">
                  <c:v>416</c:v>
                </c:pt>
                <c:pt idx="619">
                  <c:v>416</c:v>
                </c:pt>
                <c:pt idx="620">
                  <c:v>416</c:v>
                </c:pt>
                <c:pt idx="621">
                  <c:v>416</c:v>
                </c:pt>
                <c:pt idx="622">
                  <c:v>417</c:v>
                </c:pt>
                <c:pt idx="623">
                  <c:v>418</c:v>
                </c:pt>
                <c:pt idx="624">
                  <c:v>419</c:v>
                </c:pt>
                <c:pt idx="625">
                  <c:v>420</c:v>
                </c:pt>
                <c:pt idx="626">
                  <c:v>420</c:v>
                </c:pt>
                <c:pt idx="627">
                  <c:v>420</c:v>
                </c:pt>
                <c:pt idx="628">
                  <c:v>420</c:v>
                </c:pt>
                <c:pt idx="629">
                  <c:v>420</c:v>
                </c:pt>
                <c:pt idx="630">
                  <c:v>421</c:v>
                </c:pt>
                <c:pt idx="631">
                  <c:v>421</c:v>
                </c:pt>
                <c:pt idx="632">
                  <c:v>422</c:v>
                </c:pt>
                <c:pt idx="633">
                  <c:v>422</c:v>
                </c:pt>
                <c:pt idx="634">
                  <c:v>422</c:v>
                </c:pt>
                <c:pt idx="635">
                  <c:v>422</c:v>
                </c:pt>
                <c:pt idx="636">
                  <c:v>422</c:v>
                </c:pt>
                <c:pt idx="637">
                  <c:v>423</c:v>
                </c:pt>
                <c:pt idx="638">
                  <c:v>423</c:v>
                </c:pt>
                <c:pt idx="639">
                  <c:v>424</c:v>
                </c:pt>
                <c:pt idx="640">
                  <c:v>424</c:v>
                </c:pt>
                <c:pt idx="641">
                  <c:v>424</c:v>
                </c:pt>
                <c:pt idx="642">
                  <c:v>424</c:v>
                </c:pt>
                <c:pt idx="643">
                  <c:v>424</c:v>
                </c:pt>
                <c:pt idx="644">
                  <c:v>424</c:v>
                </c:pt>
                <c:pt idx="645">
                  <c:v>425</c:v>
                </c:pt>
                <c:pt idx="646">
                  <c:v>426</c:v>
                </c:pt>
                <c:pt idx="647">
                  <c:v>426</c:v>
                </c:pt>
                <c:pt idx="648">
                  <c:v>426</c:v>
                </c:pt>
                <c:pt idx="649">
                  <c:v>426</c:v>
                </c:pt>
                <c:pt idx="650">
                  <c:v>426</c:v>
                </c:pt>
                <c:pt idx="651">
                  <c:v>426</c:v>
                </c:pt>
                <c:pt idx="652">
                  <c:v>426</c:v>
                </c:pt>
                <c:pt idx="653">
                  <c:v>428</c:v>
                </c:pt>
                <c:pt idx="654">
                  <c:v>428</c:v>
                </c:pt>
                <c:pt idx="655">
                  <c:v>428</c:v>
                </c:pt>
                <c:pt idx="656">
                  <c:v>428</c:v>
                </c:pt>
                <c:pt idx="657">
                  <c:v>428</c:v>
                </c:pt>
                <c:pt idx="658">
                  <c:v>428</c:v>
                </c:pt>
                <c:pt idx="659">
                  <c:v>428</c:v>
                </c:pt>
                <c:pt idx="660">
                  <c:v>428</c:v>
                </c:pt>
                <c:pt idx="661">
                  <c:v>428</c:v>
                </c:pt>
                <c:pt idx="662">
                  <c:v>428</c:v>
                </c:pt>
                <c:pt idx="663">
                  <c:v>428</c:v>
                </c:pt>
                <c:pt idx="664">
                  <c:v>429</c:v>
                </c:pt>
                <c:pt idx="665">
                  <c:v>430</c:v>
                </c:pt>
                <c:pt idx="666">
                  <c:v>430</c:v>
                </c:pt>
                <c:pt idx="667">
                  <c:v>430</c:v>
                </c:pt>
                <c:pt idx="668">
                  <c:v>430</c:v>
                </c:pt>
                <c:pt idx="669">
                  <c:v>430</c:v>
                </c:pt>
                <c:pt idx="670">
                  <c:v>430</c:v>
                </c:pt>
                <c:pt idx="671">
                  <c:v>433</c:v>
                </c:pt>
                <c:pt idx="672">
                  <c:v>433</c:v>
                </c:pt>
                <c:pt idx="673">
                  <c:v>434</c:v>
                </c:pt>
                <c:pt idx="674">
                  <c:v>434</c:v>
                </c:pt>
                <c:pt idx="675">
                  <c:v>434</c:v>
                </c:pt>
                <c:pt idx="676">
                  <c:v>434</c:v>
                </c:pt>
                <c:pt idx="677">
                  <c:v>434</c:v>
                </c:pt>
                <c:pt idx="678">
                  <c:v>434</c:v>
                </c:pt>
                <c:pt idx="679">
                  <c:v>434</c:v>
                </c:pt>
                <c:pt idx="680">
                  <c:v>434</c:v>
                </c:pt>
                <c:pt idx="681">
                  <c:v>436</c:v>
                </c:pt>
                <c:pt idx="682">
                  <c:v>436</c:v>
                </c:pt>
                <c:pt idx="683">
                  <c:v>436</c:v>
                </c:pt>
                <c:pt idx="684">
                  <c:v>436</c:v>
                </c:pt>
                <c:pt idx="685">
                  <c:v>437</c:v>
                </c:pt>
                <c:pt idx="686">
                  <c:v>437</c:v>
                </c:pt>
                <c:pt idx="687">
                  <c:v>438</c:v>
                </c:pt>
                <c:pt idx="688">
                  <c:v>440</c:v>
                </c:pt>
                <c:pt idx="689">
                  <c:v>440</c:v>
                </c:pt>
                <c:pt idx="690">
                  <c:v>440</c:v>
                </c:pt>
                <c:pt idx="691">
                  <c:v>440</c:v>
                </c:pt>
                <c:pt idx="692">
                  <c:v>440</c:v>
                </c:pt>
                <c:pt idx="693">
                  <c:v>441</c:v>
                </c:pt>
                <c:pt idx="694">
                  <c:v>441</c:v>
                </c:pt>
                <c:pt idx="695">
                  <c:v>442</c:v>
                </c:pt>
                <c:pt idx="696">
                  <c:v>442</c:v>
                </c:pt>
                <c:pt idx="697">
                  <c:v>442</c:v>
                </c:pt>
                <c:pt idx="698">
                  <c:v>443</c:v>
                </c:pt>
                <c:pt idx="699">
                  <c:v>443</c:v>
                </c:pt>
                <c:pt idx="700">
                  <c:v>444</c:v>
                </c:pt>
                <c:pt idx="701">
                  <c:v>446</c:v>
                </c:pt>
                <c:pt idx="702">
                  <c:v>447</c:v>
                </c:pt>
                <c:pt idx="703">
                  <c:v>447</c:v>
                </c:pt>
                <c:pt idx="704">
                  <c:v>447</c:v>
                </c:pt>
                <c:pt idx="705">
                  <c:v>447</c:v>
                </c:pt>
                <c:pt idx="706">
                  <c:v>447</c:v>
                </c:pt>
                <c:pt idx="707">
                  <c:v>447</c:v>
                </c:pt>
                <c:pt idx="708">
                  <c:v>447</c:v>
                </c:pt>
                <c:pt idx="709">
                  <c:v>447</c:v>
                </c:pt>
                <c:pt idx="710">
                  <c:v>447</c:v>
                </c:pt>
                <c:pt idx="711">
                  <c:v>447</c:v>
                </c:pt>
                <c:pt idx="712">
                  <c:v>447</c:v>
                </c:pt>
                <c:pt idx="713">
                  <c:v>447</c:v>
                </c:pt>
                <c:pt idx="714">
                  <c:v>447</c:v>
                </c:pt>
                <c:pt idx="715">
                  <c:v>447</c:v>
                </c:pt>
                <c:pt idx="716">
                  <c:v>448</c:v>
                </c:pt>
                <c:pt idx="717">
                  <c:v>448</c:v>
                </c:pt>
                <c:pt idx="718">
                  <c:v>448</c:v>
                </c:pt>
                <c:pt idx="719">
                  <c:v>448</c:v>
                </c:pt>
                <c:pt idx="720">
                  <c:v>448</c:v>
                </c:pt>
                <c:pt idx="721">
                  <c:v>448</c:v>
                </c:pt>
                <c:pt idx="722">
                  <c:v>448</c:v>
                </c:pt>
                <c:pt idx="723">
                  <c:v>449</c:v>
                </c:pt>
                <c:pt idx="724">
                  <c:v>449</c:v>
                </c:pt>
                <c:pt idx="725">
                  <c:v>449</c:v>
                </c:pt>
                <c:pt idx="726">
                  <c:v>450</c:v>
                </c:pt>
                <c:pt idx="727">
                  <c:v>450</c:v>
                </c:pt>
                <c:pt idx="728">
                  <c:v>450</c:v>
                </c:pt>
                <c:pt idx="729">
                  <c:v>453</c:v>
                </c:pt>
                <c:pt idx="730">
                  <c:v>454</c:v>
                </c:pt>
                <c:pt idx="731">
                  <c:v>454</c:v>
                </c:pt>
                <c:pt idx="732">
                  <c:v>454</c:v>
                </c:pt>
                <c:pt idx="733">
                  <c:v>454</c:v>
                </c:pt>
                <c:pt idx="734">
                  <c:v>454</c:v>
                </c:pt>
                <c:pt idx="735">
                  <c:v>455</c:v>
                </c:pt>
                <c:pt idx="736">
                  <c:v>455</c:v>
                </c:pt>
                <c:pt idx="737">
                  <c:v>456</c:v>
                </c:pt>
                <c:pt idx="738">
                  <c:v>456</c:v>
                </c:pt>
                <c:pt idx="739">
                  <c:v>456</c:v>
                </c:pt>
                <c:pt idx="740">
                  <c:v>456</c:v>
                </c:pt>
                <c:pt idx="741">
                  <c:v>456</c:v>
                </c:pt>
                <c:pt idx="742">
                  <c:v>456</c:v>
                </c:pt>
                <c:pt idx="743">
                  <c:v>456</c:v>
                </c:pt>
                <c:pt idx="744">
                  <c:v>456</c:v>
                </c:pt>
                <c:pt idx="745">
                  <c:v>456</c:v>
                </c:pt>
                <c:pt idx="746">
                  <c:v>456</c:v>
                </c:pt>
                <c:pt idx="747">
                  <c:v>456</c:v>
                </c:pt>
                <c:pt idx="748">
                  <c:v>456</c:v>
                </c:pt>
                <c:pt idx="749">
                  <c:v>456</c:v>
                </c:pt>
                <c:pt idx="750">
                  <c:v>457</c:v>
                </c:pt>
                <c:pt idx="751">
                  <c:v>457</c:v>
                </c:pt>
                <c:pt idx="752">
                  <c:v>457</c:v>
                </c:pt>
                <c:pt idx="753">
                  <c:v>457</c:v>
                </c:pt>
                <c:pt idx="754">
                  <c:v>457</c:v>
                </c:pt>
                <c:pt idx="755">
                  <c:v>457</c:v>
                </c:pt>
                <c:pt idx="756">
                  <c:v>457</c:v>
                </c:pt>
                <c:pt idx="757">
                  <c:v>458</c:v>
                </c:pt>
                <c:pt idx="758">
                  <c:v>458</c:v>
                </c:pt>
                <c:pt idx="759">
                  <c:v>458</c:v>
                </c:pt>
                <c:pt idx="760">
                  <c:v>458</c:v>
                </c:pt>
                <c:pt idx="761">
                  <c:v>458</c:v>
                </c:pt>
                <c:pt idx="762">
                  <c:v>458</c:v>
                </c:pt>
                <c:pt idx="763">
                  <c:v>458</c:v>
                </c:pt>
                <c:pt idx="764">
                  <c:v>459</c:v>
                </c:pt>
                <c:pt idx="765">
                  <c:v>459</c:v>
                </c:pt>
                <c:pt idx="766">
                  <c:v>459</c:v>
                </c:pt>
                <c:pt idx="767">
                  <c:v>459</c:v>
                </c:pt>
                <c:pt idx="768">
                  <c:v>459</c:v>
                </c:pt>
                <c:pt idx="769">
                  <c:v>459</c:v>
                </c:pt>
                <c:pt idx="770">
                  <c:v>459</c:v>
                </c:pt>
                <c:pt idx="771">
                  <c:v>459</c:v>
                </c:pt>
                <c:pt idx="772">
                  <c:v>459</c:v>
                </c:pt>
                <c:pt idx="773">
                  <c:v>459</c:v>
                </c:pt>
                <c:pt idx="774">
                  <c:v>459</c:v>
                </c:pt>
                <c:pt idx="775">
                  <c:v>459</c:v>
                </c:pt>
                <c:pt idx="776">
                  <c:v>459</c:v>
                </c:pt>
                <c:pt idx="777">
                  <c:v>459</c:v>
                </c:pt>
                <c:pt idx="778">
                  <c:v>459</c:v>
                </c:pt>
                <c:pt idx="779">
                  <c:v>459</c:v>
                </c:pt>
                <c:pt idx="780">
                  <c:v>459</c:v>
                </c:pt>
                <c:pt idx="781">
                  <c:v>459</c:v>
                </c:pt>
                <c:pt idx="782">
                  <c:v>460</c:v>
                </c:pt>
                <c:pt idx="783">
                  <c:v>460</c:v>
                </c:pt>
                <c:pt idx="784">
                  <c:v>460</c:v>
                </c:pt>
                <c:pt idx="785">
                  <c:v>460</c:v>
                </c:pt>
                <c:pt idx="786">
                  <c:v>460</c:v>
                </c:pt>
                <c:pt idx="787">
                  <c:v>460</c:v>
                </c:pt>
                <c:pt idx="788">
                  <c:v>460</c:v>
                </c:pt>
                <c:pt idx="789">
                  <c:v>460</c:v>
                </c:pt>
                <c:pt idx="790">
                  <c:v>460</c:v>
                </c:pt>
                <c:pt idx="791">
                  <c:v>460</c:v>
                </c:pt>
                <c:pt idx="792">
                  <c:v>461</c:v>
                </c:pt>
                <c:pt idx="793">
                  <c:v>461</c:v>
                </c:pt>
                <c:pt idx="794">
                  <c:v>461</c:v>
                </c:pt>
                <c:pt idx="795">
                  <c:v>461</c:v>
                </c:pt>
                <c:pt idx="796">
                  <c:v>462</c:v>
                </c:pt>
                <c:pt idx="797">
                  <c:v>464</c:v>
                </c:pt>
                <c:pt idx="798">
                  <c:v>464</c:v>
                </c:pt>
                <c:pt idx="799">
                  <c:v>464</c:v>
                </c:pt>
                <c:pt idx="800">
                  <c:v>464</c:v>
                </c:pt>
                <c:pt idx="801">
                  <c:v>464</c:v>
                </c:pt>
                <c:pt idx="802">
                  <c:v>464</c:v>
                </c:pt>
                <c:pt idx="803">
                  <c:v>464</c:v>
                </c:pt>
                <c:pt idx="804">
                  <c:v>464</c:v>
                </c:pt>
                <c:pt idx="805">
                  <c:v>464</c:v>
                </c:pt>
                <c:pt idx="806">
                  <c:v>466</c:v>
                </c:pt>
                <c:pt idx="807">
                  <c:v>467</c:v>
                </c:pt>
                <c:pt idx="808">
                  <c:v>467</c:v>
                </c:pt>
                <c:pt idx="809">
                  <c:v>467</c:v>
                </c:pt>
                <c:pt idx="810">
                  <c:v>468</c:v>
                </c:pt>
                <c:pt idx="811">
                  <c:v>468</c:v>
                </c:pt>
                <c:pt idx="812">
                  <c:v>468</c:v>
                </c:pt>
                <c:pt idx="813">
                  <c:v>468</c:v>
                </c:pt>
                <c:pt idx="814">
                  <c:v>469</c:v>
                </c:pt>
                <c:pt idx="815">
                  <c:v>469</c:v>
                </c:pt>
                <c:pt idx="816">
                  <c:v>469</c:v>
                </c:pt>
                <c:pt idx="817">
                  <c:v>469</c:v>
                </c:pt>
                <c:pt idx="818">
                  <c:v>469</c:v>
                </c:pt>
                <c:pt idx="819">
                  <c:v>469</c:v>
                </c:pt>
                <c:pt idx="820">
                  <c:v>469</c:v>
                </c:pt>
                <c:pt idx="821">
                  <c:v>469</c:v>
                </c:pt>
                <c:pt idx="822">
                  <c:v>469</c:v>
                </c:pt>
                <c:pt idx="823">
                  <c:v>469</c:v>
                </c:pt>
                <c:pt idx="824">
                  <c:v>469</c:v>
                </c:pt>
                <c:pt idx="825">
                  <c:v>470</c:v>
                </c:pt>
                <c:pt idx="826">
                  <c:v>470</c:v>
                </c:pt>
                <c:pt idx="827">
                  <c:v>470</c:v>
                </c:pt>
                <c:pt idx="828">
                  <c:v>470</c:v>
                </c:pt>
                <c:pt idx="829">
                  <c:v>470</c:v>
                </c:pt>
                <c:pt idx="830">
                  <c:v>470</c:v>
                </c:pt>
                <c:pt idx="831">
                  <c:v>470</c:v>
                </c:pt>
                <c:pt idx="832">
                  <c:v>470</c:v>
                </c:pt>
                <c:pt idx="833">
                  <c:v>470</c:v>
                </c:pt>
                <c:pt idx="834">
                  <c:v>470</c:v>
                </c:pt>
                <c:pt idx="835">
                  <c:v>470</c:v>
                </c:pt>
                <c:pt idx="836">
                  <c:v>470</c:v>
                </c:pt>
                <c:pt idx="837">
                  <c:v>470</c:v>
                </c:pt>
                <c:pt idx="838">
                  <c:v>470</c:v>
                </c:pt>
                <c:pt idx="839">
                  <c:v>470</c:v>
                </c:pt>
                <c:pt idx="840">
                  <c:v>470</c:v>
                </c:pt>
                <c:pt idx="841">
                  <c:v>470</c:v>
                </c:pt>
                <c:pt idx="842">
                  <c:v>470</c:v>
                </c:pt>
                <c:pt idx="843">
                  <c:v>470</c:v>
                </c:pt>
                <c:pt idx="844">
                  <c:v>470</c:v>
                </c:pt>
                <c:pt idx="845">
                  <c:v>470</c:v>
                </c:pt>
                <c:pt idx="846">
                  <c:v>470</c:v>
                </c:pt>
                <c:pt idx="847">
                  <c:v>470</c:v>
                </c:pt>
                <c:pt idx="848">
                  <c:v>470</c:v>
                </c:pt>
                <c:pt idx="849">
                  <c:v>471</c:v>
                </c:pt>
                <c:pt idx="850">
                  <c:v>471</c:v>
                </c:pt>
                <c:pt idx="851">
                  <c:v>471</c:v>
                </c:pt>
                <c:pt idx="852">
                  <c:v>471</c:v>
                </c:pt>
                <c:pt idx="853">
                  <c:v>471</c:v>
                </c:pt>
                <c:pt idx="854">
                  <c:v>471</c:v>
                </c:pt>
                <c:pt idx="855">
                  <c:v>471</c:v>
                </c:pt>
                <c:pt idx="856">
                  <c:v>471</c:v>
                </c:pt>
                <c:pt idx="857">
                  <c:v>471</c:v>
                </c:pt>
                <c:pt idx="858">
                  <c:v>471</c:v>
                </c:pt>
                <c:pt idx="859">
                  <c:v>471</c:v>
                </c:pt>
                <c:pt idx="860">
                  <c:v>471</c:v>
                </c:pt>
                <c:pt idx="861">
                  <c:v>471</c:v>
                </c:pt>
                <c:pt idx="862">
                  <c:v>471</c:v>
                </c:pt>
                <c:pt idx="863">
                  <c:v>471</c:v>
                </c:pt>
                <c:pt idx="864">
                  <c:v>471</c:v>
                </c:pt>
                <c:pt idx="865">
                  <c:v>471</c:v>
                </c:pt>
                <c:pt idx="866">
                  <c:v>471</c:v>
                </c:pt>
                <c:pt idx="867">
                  <c:v>471</c:v>
                </c:pt>
                <c:pt idx="868">
                  <c:v>471</c:v>
                </c:pt>
                <c:pt idx="869">
                  <c:v>472</c:v>
                </c:pt>
                <c:pt idx="870">
                  <c:v>472</c:v>
                </c:pt>
                <c:pt idx="871">
                  <c:v>472</c:v>
                </c:pt>
                <c:pt idx="872">
                  <c:v>472</c:v>
                </c:pt>
                <c:pt idx="873">
                  <c:v>472</c:v>
                </c:pt>
                <c:pt idx="874">
                  <c:v>472</c:v>
                </c:pt>
                <c:pt idx="875">
                  <c:v>472</c:v>
                </c:pt>
                <c:pt idx="876">
                  <c:v>472</c:v>
                </c:pt>
                <c:pt idx="877">
                  <c:v>472</c:v>
                </c:pt>
                <c:pt idx="878">
                  <c:v>472</c:v>
                </c:pt>
                <c:pt idx="879">
                  <c:v>472</c:v>
                </c:pt>
                <c:pt idx="880">
                  <c:v>473</c:v>
                </c:pt>
                <c:pt idx="881">
                  <c:v>473</c:v>
                </c:pt>
                <c:pt idx="882">
                  <c:v>473</c:v>
                </c:pt>
                <c:pt idx="883">
                  <c:v>473</c:v>
                </c:pt>
                <c:pt idx="884">
                  <c:v>473</c:v>
                </c:pt>
                <c:pt idx="885">
                  <c:v>473</c:v>
                </c:pt>
                <c:pt idx="886">
                  <c:v>473</c:v>
                </c:pt>
                <c:pt idx="887">
                  <c:v>473</c:v>
                </c:pt>
                <c:pt idx="888">
                  <c:v>473</c:v>
                </c:pt>
                <c:pt idx="889">
                  <c:v>473</c:v>
                </c:pt>
                <c:pt idx="890">
                  <c:v>473</c:v>
                </c:pt>
                <c:pt idx="891">
                  <c:v>473</c:v>
                </c:pt>
                <c:pt idx="892">
                  <c:v>473</c:v>
                </c:pt>
                <c:pt idx="893">
                  <c:v>473</c:v>
                </c:pt>
                <c:pt idx="894">
                  <c:v>473</c:v>
                </c:pt>
                <c:pt idx="895">
                  <c:v>473</c:v>
                </c:pt>
                <c:pt idx="896">
                  <c:v>473</c:v>
                </c:pt>
                <c:pt idx="897">
                  <c:v>473</c:v>
                </c:pt>
                <c:pt idx="898">
                  <c:v>473</c:v>
                </c:pt>
                <c:pt idx="899">
                  <c:v>473</c:v>
                </c:pt>
                <c:pt idx="900">
                  <c:v>473</c:v>
                </c:pt>
                <c:pt idx="901">
                  <c:v>473</c:v>
                </c:pt>
                <c:pt idx="902">
                  <c:v>473</c:v>
                </c:pt>
                <c:pt idx="903">
                  <c:v>473</c:v>
                </c:pt>
                <c:pt idx="904">
                  <c:v>473</c:v>
                </c:pt>
                <c:pt idx="905">
                  <c:v>473</c:v>
                </c:pt>
                <c:pt idx="906">
                  <c:v>473</c:v>
                </c:pt>
                <c:pt idx="907">
                  <c:v>473</c:v>
                </c:pt>
                <c:pt idx="908">
                  <c:v>473</c:v>
                </c:pt>
                <c:pt idx="909">
                  <c:v>473</c:v>
                </c:pt>
                <c:pt idx="910">
                  <c:v>473</c:v>
                </c:pt>
                <c:pt idx="911">
                  <c:v>473</c:v>
                </c:pt>
                <c:pt idx="912">
                  <c:v>473</c:v>
                </c:pt>
                <c:pt idx="913">
                  <c:v>473</c:v>
                </c:pt>
                <c:pt idx="914">
                  <c:v>473</c:v>
                </c:pt>
                <c:pt idx="915">
                  <c:v>473</c:v>
                </c:pt>
                <c:pt idx="916">
                  <c:v>473</c:v>
                </c:pt>
                <c:pt idx="917">
                  <c:v>473</c:v>
                </c:pt>
                <c:pt idx="918">
                  <c:v>473</c:v>
                </c:pt>
                <c:pt idx="919">
                  <c:v>473</c:v>
                </c:pt>
                <c:pt idx="920">
                  <c:v>473</c:v>
                </c:pt>
                <c:pt idx="921">
                  <c:v>473</c:v>
                </c:pt>
                <c:pt idx="922">
                  <c:v>473</c:v>
                </c:pt>
                <c:pt idx="923">
                  <c:v>473</c:v>
                </c:pt>
                <c:pt idx="924">
                  <c:v>473</c:v>
                </c:pt>
                <c:pt idx="925">
                  <c:v>473</c:v>
                </c:pt>
                <c:pt idx="926">
                  <c:v>473</c:v>
                </c:pt>
                <c:pt idx="927">
                  <c:v>473</c:v>
                </c:pt>
                <c:pt idx="928">
                  <c:v>473</c:v>
                </c:pt>
                <c:pt idx="929">
                  <c:v>473</c:v>
                </c:pt>
                <c:pt idx="930">
                  <c:v>473</c:v>
                </c:pt>
                <c:pt idx="931">
                  <c:v>473</c:v>
                </c:pt>
                <c:pt idx="932">
                  <c:v>473</c:v>
                </c:pt>
                <c:pt idx="933">
                  <c:v>473</c:v>
                </c:pt>
                <c:pt idx="934">
                  <c:v>473</c:v>
                </c:pt>
                <c:pt idx="935">
                  <c:v>473</c:v>
                </c:pt>
                <c:pt idx="936">
                  <c:v>473</c:v>
                </c:pt>
                <c:pt idx="937">
                  <c:v>473</c:v>
                </c:pt>
                <c:pt idx="938">
                  <c:v>473</c:v>
                </c:pt>
                <c:pt idx="939">
                  <c:v>473</c:v>
                </c:pt>
                <c:pt idx="940">
                  <c:v>473</c:v>
                </c:pt>
                <c:pt idx="941">
                  <c:v>473</c:v>
                </c:pt>
                <c:pt idx="942">
                  <c:v>473</c:v>
                </c:pt>
                <c:pt idx="943">
                  <c:v>473</c:v>
                </c:pt>
                <c:pt idx="944">
                  <c:v>473</c:v>
                </c:pt>
                <c:pt idx="945">
                  <c:v>473</c:v>
                </c:pt>
                <c:pt idx="946">
                  <c:v>473</c:v>
                </c:pt>
                <c:pt idx="947">
                  <c:v>473</c:v>
                </c:pt>
                <c:pt idx="948">
                  <c:v>473</c:v>
                </c:pt>
                <c:pt idx="949">
                  <c:v>473</c:v>
                </c:pt>
                <c:pt idx="950">
                  <c:v>473</c:v>
                </c:pt>
                <c:pt idx="951">
                  <c:v>473</c:v>
                </c:pt>
                <c:pt idx="952">
                  <c:v>473</c:v>
                </c:pt>
                <c:pt idx="953">
                  <c:v>473</c:v>
                </c:pt>
                <c:pt idx="954">
                  <c:v>473</c:v>
                </c:pt>
                <c:pt idx="955">
                  <c:v>473</c:v>
                </c:pt>
                <c:pt idx="956">
                  <c:v>473</c:v>
                </c:pt>
                <c:pt idx="957">
                  <c:v>473</c:v>
                </c:pt>
                <c:pt idx="958">
                  <c:v>473</c:v>
                </c:pt>
                <c:pt idx="959">
                  <c:v>473</c:v>
                </c:pt>
                <c:pt idx="960">
                  <c:v>473</c:v>
                </c:pt>
                <c:pt idx="961">
                  <c:v>473</c:v>
                </c:pt>
                <c:pt idx="962">
                  <c:v>473</c:v>
                </c:pt>
                <c:pt idx="963">
                  <c:v>473</c:v>
                </c:pt>
                <c:pt idx="964">
                  <c:v>473</c:v>
                </c:pt>
                <c:pt idx="965">
                  <c:v>473</c:v>
                </c:pt>
                <c:pt idx="966">
                  <c:v>473</c:v>
                </c:pt>
                <c:pt idx="967">
                  <c:v>473</c:v>
                </c:pt>
                <c:pt idx="968">
                  <c:v>473</c:v>
                </c:pt>
                <c:pt idx="969">
                  <c:v>473</c:v>
                </c:pt>
                <c:pt idx="970">
                  <c:v>473</c:v>
                </c:pt>
                <c:pt idx="971">
                  <c:v>473</c:v>
                </c:pt>
                <c:pt idx="972">
                  <c:v>473</c:v>
                </c:pt>
                <c:pt idx="973">
                  <c:v>473</c:v>
                </c:pt>
                <c:pt idx="974">
                  <c:v>473</c:v>
                </c:pt>
                <c:pt idx="975">
                  <c:v>473</c:v>
                </c:pt>
                <c:pt idx="976">
                  <c:v>473</c:v>
                </c:pt>
                <c:pt idx="977">
                  <c:v>473</c:v>
                </c:pt>
                <c:pt idx="978">
                  <c:v>473</c:v>
                </c:pt>
                <c:pt idx="979">
                  <c:v>473</c:v>
                </c:pt>
                <c:pt idx="980">
                  <c:v>473</c:v>
                </c:pt>
                <c:pt idx="981">
                  <c:v>473</c:v>
                </c:pt>
                <c:pt idx="982">
                  <c:v>473</c:v>
                </c:pt>
                <c:pt idx="983">
                  <c:v>473</c:v>
                </c:pt>
                <c:pt idx="984">
                  <c:v>473</c:v>
                </c:pt>
                <c:pt idx="985">
                  <c:v>473</c:v>
                </c:pt>
                <c:pt idx="986">
                  <c:v>473</c:v>
                </c:pt>
                <c:pt idx="987">
                  <c:v>473</c:v>
                </c:pt>
                <c:pt idx="988">
                  <c:v>473</c:v>
                </c:pt>
                <c:pt idx="989">
                  <c:v>473</c:v>
                </c:pt>
                <c:pt idx="990">
                  <c:v>473</c:v>
                </c:pt>
                <c:pt idx="991">
                  <c:v>473</c:v>
                </c:pt>
                <c:pt idx="992">
                  <c:v>473</c:v>
                </c:pt>
                <c:pt idx="993">
                  <c:v>473</c:v>
                </c:pt>
                <c:pt idx="994">
                  <c:v>473</c:v>
                </c:pt>
                <c:pt idx="995">
                  <c:v>473</c:v>
                </c:pt>
                <c:pt idx="996">
                  <c:v>473</c:v>
                </c:pt>
                <c:pt idx="997">
                  <c:v>473</c:v>
                </c:pt>
                <c:pt idx="998">
                  <c:v>473</c:v>
                </c:pt>
                <c:pt idx="999">
                  <c:v>473</c:v>
                </c:pt>
                <c:pt idx="1000">
                  <c:v>473</c:v>
                </c:pt>
                <c:pt idx="1001">
                  <c:v>473</c:v>
                </c:pt>
                <c:pt idx="1002">
                  <c:v>473</c:v>
                </c:pt>
                <c:pt idx="1003">
                  <c:v>473</c:v>
                </c:pt>
                <c:pt idx="1004">
                  <c:v>473</c:v>
                </c:pt>
                <c:pt idx="1005">
                  <c:v>473</c:v>
                </c:pt>
                <c:pt idx="1006">
                  <c:v>473</c:v>
                </c:pt>
                <c:pt idx="1007">
                  <c:v>473</c:v>
                </c:pt>
                <c:pt idx="1008">
                  <c:v>473</c:v>
                </c:pt>
                <c:pt idx="1009">
                  <c:v>473</c:v>
                </c:pt>
                <c:pt idx="1010">
                  <c:v>473</c:v>
                </c:pt>
                <c:pt idx="1011">
                  <c:v>473</c:v>
                </c:pt>
                <c:pt idx="1012">
                  <c:v>473</c:v>
                </c:pt>
                <c:pt idx="1013">
                  <c:v>473</c:v>
                </c:pt>
                <c:pt idx="1014">
                  <c:v>473</c:v>
                </c:pt>
                <c:pt idx="1015">
                  <c:v>473</c:v>
                </c:pt>
                <c:pt idx="1016">
                  <c:v>473</c:v>
                </c:pt>
                <c:pt idx="1017">
                  <c:v>473</c:v>
                </c:pt>
                <c:pt idx="1018">
                  <c:v>473</c:v>
                </c:pt>
                <c:pt idx="1019">
                  <c:v>473</c:v>
                </c:pt>
                <c:pt idx="1020">
                  <c:v>473</c:v>
                </c:pt>
                <c:pt idx="1021">
                  <c:v>473</c:v>
                </c:pt>
                <c:pt idx="1022">
                  <c:v>473</c:v>
                </c:pt>
                <c:pt idx="1023">
                  <c:v>473</c:v>
                </c:pt>
                <c:pt idx="1024">
                  <c:v>473</c:v>
                </c:pt>
                <c:pt idx="1025">
                  <c:v>473</c:v>
                </c:pt>
                <c:pt idx="1026">
                  <c:v>473</c:v>
                </c:pt>
                <c:pt idx="1027">
                  <c:v>473</c:v>
                </c:pt>
                <c:pt idx="1028">
                  <c:v>473</c:v>
                </c:pt>
                <c:pt idx="1029">
                  <c:v>473</c:v>
                </c:pt>
                <c:pt idx="1030">
                  <c:v>473</c:v>
                </c:pt>
                <c:pt idx="1031">
                  <c:v>473</c:v>
                </c:pt>
                <c:pt idx="1032">
                  <c:v>473</c:v>
                </c:pt>
                <c:pt idx="1033">
                  <c:v>473</c:v>
                </c:pt>
                <c:pt idx="1034">
                  <c:v>473</c:v>
                </c:pt>
                <c:pt idx="1035">
                  <c:v>473</c:v>
                </c:pt>
                <c:pt idx="1036">
                  <c:v>473</c:v>
                </c:pt>
                <c:pt idx="1037">
                  <c:v>472</c:v>
                </c:pt>
                <c:pt idx="1038">
                  <c:v>472</c:v>
                </c:pt>
                <c:pt idx="1039">
                  <c:v>472</c:v>
                </c:pt>
                <c:pt idx="1040">
                  <c:v>472</c:v>
                </c:pt>
                <c:pt idx="1041">
                  <c:v>472</c:v>
                </c:pt>
                <c:pt idx="1042">
                  <c:v>472</c:v>
                </c:pt>
                <c:pt idx="1043">
                  <c:v>472</c:v>
                </c:pt>
                <c:pt idx="1044">
                  <c:v>472</c:v>
                </c:pt>
                <c:pt idx="1045">
                  <c:v>472</c:v>
                </c:pt>
                <c:pt idx="1046">
                  <c:v>472</c:v>
                </c:pt>
                <c:pt idx="1047">
                  <c:v>472</c:v>
                </c:pt>
                <c:pt idx="1048">
                  <c:v>473</c:v>
                </c:pt>
                <c:pt idx="1049">
                  <c:v>473</c:v>
                </c:pt>
                <c:pt idx="1050">
                  <c:v>473</c:v>
                </c:pt>
                <c:pt idx="1051">
                  <c:v>473</c:v>
                </c:pt>
                <c:pt idx="1052">
                  <c:v>473</c:v>
                </c:pt>
                <c:pt idx="1053">
                  <c:v>473</c:v>
                </c:pt>
                <c:pt idx="1054">
                  <c:v>473</c:v>
                </c:pt>
                <c:pt idx="1055">
                  <c:v>473</c:v>
                </c:pt>
                <c:pt idx="1056">
                  <c:v>473</c:v>
                </c:pt>
                <c:pt idx="1057">
                  <c:v>473</c:v>
                </c:pt>
                <c:pt idx="1058">
                  <c:v>473</c:v>
                </c:pt>
                <c:pt idx="1059">
                  <c:v>473</c:v>
                </c:pt>
                <c:pt idx="1060">
                  <c:v>473</c:v>
                </c:pt>
                <c:pt idx="1061">
                  <c:v>473</c:v>
                </c:pt>
                <c:pt idx="1062">
                  <c:v>473</c:v>
                </c:pt>
                <c:pt idx="1063">
                  <c:v>473</c:v>
                </c:pt>
                <c:pt idx="1064">
                  <c:v>473</c:v>
                </c:pt>
                <c:pt idx="1065">
                  <c:v>473</c:v>
                </c:pt>
                <c:pt idx="1066">
                  <c:v>473</c:v>
                </c:pt>
                <c:pt idx="1067">
                  <c:v>473</c:v>
                </c:pt>
                <c:pt idx="1068">
                  <c:v>473</c:v>
                </c:pt>
                <c:pt idx="1069">
                  <c:v>473</c:v>
                </c:pt>
                <c:pt idx="1070">
                  <c:v>473</c:v>
                </c:pt>
                <c:pt idx="1071">
                  <c:v>473</c:v>
                </c:pt>
                <c:pt idx="1072">
                  <c:v>473</c:v>
                </c:pt>
                <c:pt idx="1073">
                  <c:v>473</c:v>
                </c:pt>
                <c:pt idx="1074">
                  <c:v>473</c:v>
                </c:pt>
                <c:pt idx="1075">
                  <c:v>473</c:v>
                </c:pt>
                <c:pt idx="1076">
                  <c:v>473</c:v>
                </c:pt>
                <c:pt idx="1077">
                  <c:v>473</c:v>
                </c:pt>
                <c:pt idx="1078">
                  <c:v>473</c:v>
                </c:pt>
                <c:pt idx="1079">
                  <c:v>473</c:v>
                </c:pt>
                <c:pt idx="1080">
                  <c:v>473</c:v>
                </c:pt>
                <c:pt idx="1081">
                  <c:v>473</c:v>
                </c:pt>
                <c:pt idx="1082">
                  <c:v>473</c:v>
                </c:pt>
                <c:pt idx="1083">
                  <c:v>473</c:v>
                </c:pt>
                <c:pt idx="1084">
                  <c:v>473</c:v>
                </c:pt>
                <c:pt idx="1085">
                  <c:v>473</c:v>
                </c:pt>
                <c:pt idx="1086">
                  <c:v>473</c:v>
                </c:pt>
                <c:pt idx="1087">
                  <c:v>473</c:v>
                </c:pt>
                <c:pt idx="1088">
                  <c:v>473</c:v>
                </c:pt>
                <c:pt idx="1089">
                  <c:v>473</c:v>
                </c:pt>
                <c:pt idx="1090">
                  <c:v>473</c:v>
                </c:pt>
                <c:pt idx="1091">
                  <c:v>473</c:v>
                </c:pt>
                <c:pt idx="1092">
                  <c:v>473</c:v>
                </c:pt>
                <c:pt idx="1093">
                  <c:v>473</c:v>
                </c:pt>
                <c:pt idx="1094">
                  <c:v>473</c:v>
                </c:pt>
                <c:pt idx="1095">
                  <c:v>473</c:v>
                </c:pt>
                <c:pt idx="1096">
                  <c:v>473</c:v>
                </c:pt>
                <c:pt idx="1097">
                  <c:v>473</c:v>
                </c:pt>
                <c:pt idx="1098">
                  <c:v>473</c:v>
                </c:pt>
                <c:pt idx="1099">
                  <c:v>473</c:v>
                </c:pt>
                <c:pt idx="1100">
                  <c:v>473</c:v>
                </c:pt>
                <c:pt idx="1101">
                  <c:v>473</c:v>
                </c:pt>
                <c:pt idx="1102">
                  <c:v>473</c:v>
                </c:pt>
                <c:pt idx="1103">
                  <c:v>473</c:v>
                </c:pt>
                <c:pt idx="1104">
                  <c:v>473</c:v>
                </c:pt>
                <c:pt idx="1105">
                  <c:v>473</c:v>
                </c:pt>
                <c:pt idx="1106">
                  <c:v>473</c:v>
                </c:pt>
                <c:pt idx="1107">
                  <c:v>473</c:v>
                </c:pt>
                <c:pt idx="1108">
                  <c:v>473</c:v>
                </c:pt>
                <c:pt idx="1109">
                  <c:v>473</c:v>
                </c:pt>
                <c:pt idx="1110">
                  <c:v>473</c:v>
                </c:pt>
                <c:pt idx="1111">
                  <c:v>473</c:v>
                </c:pt>
                <c:pt idx="1112">
                  <c:v>473</c:v>
                </c:pt>
                <c:pt idx="1113">
                  <c:v>473</c:v>
                </c:pt>
                <c:pt idx="1114">
                  <c:v>473</c:v>
                </c:pt>
                <c:pt idx="1115">
                  <c:v>473</c:v>
                </c:pt>
                <c:pt idx="1116">
                  <c:v>473</c:v>
                </c:pt>
                <c:pt idx="1117">
                  <c:v>473</c:v>
                </c:pt>
                <c:pt idx="1118">
                  <c:v>473</c:v>
                </c:pt>
                <c:pt idx="1119">
                  <c:v>473</c:v>
                </c:pt>
                <c:pt idx="1120">
                  <c:v>473</c:v>
                </c:pt>
                <c:pt idx="1121">
                  <c:v>473</c:v>
                </c:pt>
                <c:pt idx="1122">
                  <c:v>473</c:v>
                </c:pt>
                <c:pt idx="1123">
                  <c:v>473</c:v>
                </c:pt>
                <c:pt idx="1124">
                  <c:v>473</c:v>
                </c:pt>
                <c:pt idx="1125">
                  <c:v>473</c:v>
                </c:pt>
                <c:pt idx="1126">
                  <c:v>473</c:v>
                </c:pt>
                <c:pt idx="1127">
                  <c:v>473</c:v>
                </c:pt>
              </c:numCache>
            </c:numRef>
          </c:val>
          <c:extLst>
            <c:ext xmlns:c16="http://schemas.microsoft.com/office/drawing/2014/chart" uri="{C3380CC4-5D6E-409C-BE32-E72D297353CC}">
              <c16:uniqueId val="{00000002-E42F-442A-8284-84FB82BD8A5A}"/>
            </c:ext>
          </c:extLst>
        </c:ser>
        <c:dLbls>
          <c:showLegendKey val="0"/>
          <c:showVal val="0"/>
          <c:showCatName val="0"/>
          <c:showSerName val="0"/>
          <c:showPercent val="0"/>
          <c:showBubbleSize val="0"/>
        </c:dLbls>
        <c:axId val="277131320"/>
        <c:axId val="277131976"/>
      </c:areaChart>
      <c:dateAx>
        <c:axId val="277131320"/>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7131976"/>
        <c:crosses val="autoZero"/>
        <c:auto val="1"/>
        <c:lblOffset val="100"/>
        <c:baseTimeUnit val="days"/>
      </c:dateAx>
      <c:valAx>
        <c:axId val="277131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 of Accounts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77131320"/>
        <c:crosses val="autoZero"/>
        <c:crossBetween val="midCat"/>
      </c:valAx>
      <c:spPr>
        <a:noFill/>
        <a:ln>
          <a:noFill/>
        </a:ln>
        <a:effectLst/>
      </c:spPr>
    </c:plotArea>
    <c:legend>
      <c:legendPos val="b"/>
      <c:layout>
        <c:manualLayout>
          <c:xMode val="edge"/>
          <c:yMode val="edge"/>
          <c:x val="0.28260863455060242"/>
          <c:y val="0.67624394142956745"/>
          <c:w val="0.66575369417405506"/>
          <c:h val="6.8896447339330966E-2"/>
        </c:manualLayout>
      </c:layout>
      <c:overlay val="0"/>
      <c:spPr>
        <a:solidFill>
          <a:schemeClr val="bg1">
            <a:alpha val="80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'06 Monthly Cons'!$D$7</c:f>
              <c:strCache>
                <c:ptCount val="1"/>
                <c:pt idx="0">
                  <c:v>CPP</c:v>
                </c:pt>
              </c:strCache>
            </c:strRef>
          </c:tx>
          <c:spPr>
            <a:solidFill>
              <a:schemeClr val="accent1"/>
            </a:solidFill>
            <a:ln>
              <a:noFill/>
            </a:ln>
            <a:effectLst/>
          </c:spPr>
          <c:invertIfNegative val="0"/>
          <c:errBars>
            <c:errBarType val="both"/>
            <c:errValType val="cust"/>
            <c:noEndCap val="0"/>
            <c:plus>
              <c:numRef>
                <c:f>'06 Monthly Cons'!$D$16:$D$18</c:f>
                <c:numCache>
                  <c:formatCode>General</c:formatCode>
                  <c:ptCount val="3"/>
                  <c:pt idx="0">
                    <c:v>20.073106085141099</c:v>
                  </c:pt>
                  <c:pt idx="1">
                    <c:v>16.740398741686899</c:v>
                  </c:pt>
                  <c:pt idx="2">
                    <c:v>15.573165005043499</c:v>
                  </c:pt>
                </c:numCache>
              </c:numRef>
            </c:plus>
            <c:minus>
              <c:numRef>
                <c:f>'06 Monthly Cons'!$D$16:$D$18</c:f>
                <c:numCache>
                  <c:formatCode>General</c:formatCode>
                  <c:ptCount val="3"/>
                  <c:pt idx="0">
                    <c:v>20.073106085141099</c:v>
                  </c:pt>
                  <c:pt idx="1">
                    <c:v>16.740398741686899</c:v>
                  </c:pt>
                  <c:pt idx="2">
                    <c:v>15.573165005043499</c:v>
                  </c:pt>
                </c:numCache>
              </c:numRef>
            </c:minus>
            <c:spPr>
              <a:noFill/>
              <a:ln w="9525" cap="flat" cmpd="sng" algn="ctr">
                <a:solidFill>
                  <a:schemeClr val="tx1">
                    <a:lumMod val="50000"/>
                  </a:schemeClr>
                </a:solidFill>
                <a:round/>
              </a:ln>
              <a:effectLst/>
            </c:spPr>
          </c:errBars>
          <c:cat>
            <c:numRef>
              <c:f>'06 Monthly Cons'!$C$8:$C$10</c:f>
              <c:numCache>
                <c:formatCode>General</c:formatCode>
                <c:ptCount val="3"/>
                <c:pt idx="0">
                  <c:v>2016</c:v>
                </c:pt>
                <c:pt idx="1">
                  <c:v>2017</c:v>
                </c:pt>
                <c:pt idx="2">
                  <c:v>2018</c:v>
                </c:pt>
              </c:numCache>
            </c:numRef>
          </c:cat>
          <c:val>
            <c:numRef>
              <c:f>'06 Monthly Cons'!$D$8:$D$10</c:f>
              <c:numCache>
                <c:formatCode>#,##0</c:formatCode>
                <c:ptCount val="3"/>
                <c:pt idx="0">
                  <c:v>825.45370704059201</c:v>
                </c:pt>
                <c:pt idx="1">
                  <c:v>735.58970192917798</c:v>
                </c:pt>
                <c:pt idx="2">
                  <c:v>782.77937631027203</c:v>
                </c:pt>
              </c:numCache>
            </c:numRef>
          </c:val>
          <c:extLst>
            <c:ext xmlns:c16="http://schemas.microsoft.com/office/drawing/2014/chart" uri="{C3380CC4-5D6E-409C-BE32-E72D297353CC}">
              <c16:uniqueId val="{00000000-D662-4E59-8E2B-A1ACEE10A16E}"/>
            </c:ext>
          </c:extLst>
        </c:ser>
        <c:ser>
          <c:idx val="1"/>
          <c:order val="1"/>
          <c:tx>
            <c:strRef>
              <c:f>'06 Monthly Cons'!$E$7</c:f>
              <c:strCache>
                <c:ptCount val="1"/>
                <c:pt idx="0">
                  <c:v>CPP/RT</c:v>
                </c:pt>
              </c:strCache>
            </c:strRef>
          </c:tx>
          <c:spPr>
            <a:solidFill>
              <a:schemeClr val="accent2"/>
            </a:solidFill>
            <a:ln>
              <a:noFill/>
            </a:ln>
            <a:effectLst/>
          </c:spPr>
          <c:invertIfNegative val="0"/>
          <c:errBars>
            <c:errBarType val="both"/>
            <c:errValType val="cust"/>
            <c:noEndCap val="0"/>
            <c:plus>
              <c:numRef>
                <c:f>'06 Monthly Cons'!$E$16:$E$18</c:f>
                <c:numCache>
                  <c:formatCode>General</c:formatCode>
                  <c:ptCount val="3"/>
                  <c:pt idx="0">
                    <c:v>18.9220846942717</c:v>
                  </c:pt>
                  <c:pt idx="1">
                    <c:v>15.5859518385766</c:v>
                  </c:pt>
                  <c:pt idx="2">
                    <c:v>16.185966688027602</c:v>
                  </c:pt>
                </c:numCache>
              </c:numRef>
            </c:plus>
            <c:minus>
              <c:numRef>
                <c:f>'06 Monthly Cons'!$E$16:$E$18</c:f>
                <c:numCache>
                  <c:formatCode>General</c:formatCode>
                  <c:ptCount val="3"/>
                  <c:pt idx="0">
                    <c:v>18.9220846942717</c:v>
                  </c:pt>
                  <c:pt idx="1">
                    <c:v>15.5859518385766</c:v>
                  </c:pt>
                  <c:pt idx="2">
                    <c:v>16.185966688027602</c:v>
                  </c:pt>
                </c:numCache>
              </c:numRef>
            </c:minus>
            <c:spPr>
              <a:noFill/>
              <a:ln w="9525" cap="flat" cmpd="sng" algn="ctr">
                <a:solidFill>
                  <a:schemeClr val="tx2">
                    <a:lumMod val="50000"/>
                  </a:schemeClr>
                </a:solidFill>
                <a:round/>
              </a:ln>
              <a:effectLst/>
            </c:spPr>
          </c:errBars>
          <c:cat>
            <c:numRef>
              <c:f>'06 Monthly Cons'!$C$8:$C$10</c:f>
              <c:numCache>
                <c:formatCode>General</c:formatCode>
                <c:ptCount val="3"/>
                <c:pt idx="0">
                  <c:v>2016</c:v>
                </c:pt>
                <c:pt idx="1">
                  <c:v>2017</c:v>
                </c:pt>
                <c:pt idx="2">
                  <c:v>2018</c:v>
                </c:pt>
              </c:numCache>
            </c:numRef>
          </c:cat>
          <c:val>
            <c:numRef>
              <c:f>'06 Monthly Cons'!$E$8:$E$10</c:f>
              <c:numCache>
                <c:formatCode>#,##0</c:formatCode>
                <c:ptCount val="3"/>
                <c:pt idx="0">
                  <c:v>809.40796625521705</c:v>
                </c:pt>
                <c:pt idx="1">
                  <c:v>721.45032691808694</c:v>
                </c:pt>
                <c:pt idx="2">
                  <c:v>788.028706338559</c:v>
                </c:pt>
              </c:numCache>
            </c:numRef>
          </c:val>
          <c:extLst>
            <c:ext xmlns:c16="http://schemas.microsoft.com/office/drawing/2014/chart" uri="{C3380CC4-5D6E-409C-BE32-E72D297353CC}">
              <c16:uniqueId val="{00000001-D662-4E59-8E2B-A1ACEE10A16E}"/>
            </c:ext>
          </c:extLst>
        </c:ser>
        <c:ser>
          <c:idx val="2"/>
          <c:order val="2"/>
          <c:tx>
            <c:strRef>
              <c:f>'06 Monthly Cons'!$F$7</c:f>
              <c:strCache>
                <c:ptCount val="1"/>
                <c:pt idx="0">
                  <c:v>RCT Control</c:v>
                </c:pt>
              </c:strCache>
            </c:strRef>
          </c:tx>
          <c:spPr>
            <a:solidFill>
              <a:schemeClr val="accent3"/>
            </a:solidFill>
            <a:ln>
              <a:noFill/>
            </a:ln>
            <a:effectLst/>
          </c:spPr>
          <c:invertIfNegative val="0"/>
          <c:errBars>
            <c:errBarType val="both"/>
            <c:errValType val="cust"/>
            <c:noEndCap val="0"/>
            <c:plus>
              <c:numRef>
                <c:f>'06 Monthly Cons'!$F$16:$F$18</c:f>
                <c:numCache>
                  <c:formatCode>General</c:formatCode>
                  <c:ptCount val="3"/>
                  <c:pt idx="0">
                    <c:v>15.860551066429499</c:v>
                  </c:pt>
                  <c:pt idx="1">
                    <c:v>13.2430296335811</c:v>
                  </c:pt>
                  <c:pt idx="2">
                    <c:v>13.9555046056176</c:v>
                  </c:pt>
                </c:numCache>
              </c:numRef>
            </c:plus>
            <c:minus>
              <c:numRef>
                <c:f>'06 Monthly Cons'!$F$16:$F$18</c:f>
                <c:numCache>
                  <c:formatCode>General</c:formatCode>
                  <c:ptCount val="3"/>
                  <c:pt idx="0">
                    <c:v>15.860551066429499</c:v>
                  </c:pt>
                  <c:pt idx="1">
                    <c:v>13.2430296335811</c:v>
                  </c:pt>
                  <c:pt idx="2">
                    <c:v>13.9555046056176</c:v>
                  </c:pt>
                </c:numCache>
              </c:numRef>
            </c:minus>
            <c:spPr>
              <a:noFill/>
              <a:ln w="9525" cap="flat" cmpd="sng" algn="ctr">
                <a:solidFill>
                  <a:schemeClr val="tx2">
                    <a:lumMod val="50000"/>
                  </a:schemeClr>
                </a:solidFill>
                <a:round/>
              </a:ln>
              <a:effectLst/>
            </c:spPr>
          </c:errBars>
          <c:cat>
            <c:numRef>
              <c:f>'06 Monthly Cons'!$C$8:$C$10</c:f>
              <c:numCache>
                <c:formatCode>General</c:formatCode>
                <c:ptCount val="3"/>
                <c:pt idx="0">
                  <c:v>2016</c:v>
                </c:pt>
                <c:pt idx="1">
                  <c:v>2017</c:v>
                </c:pt>
                <c:pt idx="2">
                  <c:v>2018</c:v>
                </c:pt>
              </c:numCache>
            </c:numRef>
          </c:cat>
          <c:val>
            <c:numRef>
              <c:f>'06 Monthly Cons'!$F$8:$F$10</c:f>
              <c:numCache>
                <c:formatCode>#,##0</c:formatCode>
                <c:ptCount val="3"/>
                <c:pt idx="0">
                  <c:v>789.84323429526205</c:v>
                </c:pt>
                <c:pt idx="1">
                  <c:v>715.26164095660602</c:v>
                </c:pt>
                <c:pt idx="2">
                  <c:v>785.34392276486005</c:v>
                </c:pt>
              </c:numCache>
            </c:numRef>
          </c:val>
          <c:extLst>
            <c:ext xmlns:c16="http://schemas.microsoft.com/office/drawing/2014/chart" uri="{C3380CC4-5D6E-409C-BE32-E72D297353CC}">
              <c16:uniqueId val="{00000002-D662-4E59-8E2B-A1ACEE10A16E}"/>
            </c:ext>
          </c:extLst>
        </c:ser>
        <c:ser>
          <c:idx val="3"/>
          <c:order val="3"/>
          <c:tx>
            <c:strRef>
              <c:f>'06 Monthly Cons'!$G$7</c:f>
              <c:strCache>
                <c:ptCount val="1"/>
                <c:pt idx="0">
                  <c:v>RT</c:v>
                </c:pt>
              </c:strCache>
            </c:strRef>
          </c:tx>
          <c:spPr>
            <a:solidFill>
              <a:schemeClr val="accent4"/>
            </a:solidFill>
            <a:ln>
              <a:noFill/>
            </a:ln>
            <a:effectLst/>
          </c:spPr>
          <c:invertIfNegative val="0"/>
          <c:errBars>
            <c:errBarType val="both"/>
            <c:errValType val="cust"/>
            <c:noEndCap val="0"/>
            <c:plus>
              <c:numRef>
                <c:f>'06 Monthly Cons'!$G$16:$G$18</c:f>
                <c:numCache>
                  <c:formatCode>General</c:formatCode>
                  <c:ptCount val="3"/>
                  <c:pt idx="0">
                    <c:v>10.224038654047</c:v>
                  </c:pt>
                  <c:pt idx="1">
                    <c:v>8.3376866868577597</c:v>
                  </c:pt>
                  <c:pt idx="2">
                    <c:v>8.6609762669273902</c:v>
                  </c:pt>
                </c:numCache>
              </c:numRef>
            </c:plus>
            <c:minus>
              <c:numRef>
                <c:f>'06 Monthly Cons'!$G$16:$G$18</c:f>
                <c:numCache>
                  <c:formatCode>General</c:formatCode>
                  <c:ptCount val="3"/>
                  <c:pt idx="0">
                    <c:v>10.224038654047</c:v>
                  </c:pt>
                  <c:pt idx="1">
                    <c:v>8.3376866868577597</c:v>
                  </c:pt>
                  <c:pt idx="2">
                    <c:v>8.6609762669273902</c:v>
                  </c:pt>
                </c:numCache>
              </c:numRef>
            </c:minus>
            <c:spPr>
              <a:noFill/>
              <a:ln w="9525" cap="flat" cmpd="sng" algn="ctr">
                <a:solidFill>
                  <a:schemeClr val="tx2">
                    <a:lumMod val="50000"/>
                  </a:schemeClr>
                </a:solidFill>
                <a:round/>
              </a:ln>
              <a:effectLst/>
            </c:spPr>
          </c:errBars>
          <c:cat>
            <c:numRef>
              <c:f>'06 Monthly Cons'!$C$8:$C$10</c:f>
              <c:numCache>
                <c:formatCode>General</c:formatCode>
                <c:ptCount val="3"/>
                <c:pt idx="0">
                  <c:v>2016</c:v>
                </c:pt>
                <c:pt idx="1">
                  <c:v>2017</c:v>
                </c:pt>
                <c:pt idx="2">
                  <c:v>2018</c:v>
                </c:pt>
              </c:numCache>
            </c:numRef>
          </c:cat>
          <c:val>
            <c:numRef>
              <c:f>'06 Monthly Cons'!$G$8:$G$10</c:f>
              <c:numCache>
                <c:formatCode>#,##0</c:formatCode>
                <c:ptCount val="3"/>
                <c:pt idx="0">
                  <c:v>809.25296094634996</c:v>
                </c:pt>
                <c:pt idx="1">
                  <c:v>725.61510437221</c:v>
                </c:pt>
                <c:pt idx="2">
                  <c:v>799.24432592992105</c:v>
                </c:pt>
              </c:numCache>
            </c:numRef>
          </c:val>
          <c:extLst>
            <c:ext xmlns:c16="http://schemas.microsoft.com/office/drawing/2014/chart" uri="{C3380CC4-5D6E-409C-BE32-E72D297353CC}">
              <c16:uniqueId val="{00000003-D662-4E59-8E2B-A1ACEE10A16E}"/>
            </c:ext>
          </c:extLst>
        </c:ser>
        <c:dLbls>
          <c:showLegendKey val="0"/>
          <c:showVal val="0"/>
          <c:showCatName val="0"/>
          <c:showSerName val="0"/>
          <c:showPercent val="0"/>
          <c:showBubbleSize val="0"/>
        </c:dLbls>
        <c:gapWidth val="219"/>
        <c:overlap val="-27"/>
        <c:axId val="665463568"/>
        <c:axId val="665462256"/>
      </c:barChart>
      <c:catAx>
        <c:axId val="66546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5462256"/>
        <c:crosses val="autoZero"/>
        <c:auto val="1"/>
        <c:lblAlgn val="ctr"/>
        <c:lblOffset val="100"/>
        <c:noMultiLvlLbl val="0"/>
      </c:catAx>
      <c:valAx>
        <c:axId val="66546225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Average Monthly Consumption (kWh)</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5463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4354953203665076E-2"/>
          <c:y val="4.6915061149271235E-2"/>
          <c:w val="0.86661042553271894"/>
          <c:h val="0.75485173395878702"/>
        </c:manualLayout>
      </c:layout>
      <c:scatterChart>
        <c:scatterStyle val="lineMarker"/>
        <c:varyColors val="0"/>
        <c:ser>
          <c:idx val="0"/>
          <c:order val="0"/>
          <c:tx>
            <c:strRef>
              <c:f>'02 Weather Plot'!$F$2</c:f>
              <c:strCache>
                <c:ptCount val="1"/>
                <c:pt idx="0">
                  <c:v>CPP Event</c:v>
                </c:pt>
              </c:strCache>
            </c:strRef>
          </c:tx>
          <c:spPr>
            <a:ln w="25400" cap="rnd">
              <a:noFill/>
              <a:round/>
            </a:ln>
            <a:effectLst/>
          </c:spPr>
          <c:marker>
            <c:symbol val="diamond"/>
            <c:size val="7"/>
            <c:spPr>
              <a:solidFill>
                <a:srgbClr val="FF0000"/>
              </a:solidFill>
              <a:ln w="9525">
                <a:solidFill>
                  <a:schemeClr val="accent1"/>
                </a:solidFill>
              </a:ln>
              <a:effectLst/>
            </c:spPr>
          </c:marker>
          <c:xVal>
            <c:numRef>
              <c:f>'02 Weather Plot'!$G$3:$G$20</c:f>
              <c:numCache>
                <c:formatCode>yyyy\-mm\-dd</c:formatCode>
                <c:ptCount val="18"/>
                <c:pt idx="0">
                  <c:v>43252</c:v>
                </c:pt>
                <c:pt idx="1">
                  <c:v>43269</c:v>
                </c:pt>
                <c:pt idx="2">
                  <c:v>43280</c:v>
                </c:pt>
                <c:pt idx="3">
                  <c:v>43284</c:v>
                </c:pt>
                <c:pt idx="4">
                  <c:v>43285</c:v>
                </c:pt>
                <c:pt idx="5">
                  <c:v>43286</c:v>
                </c:pt>
                <c:pt idx="6">
                  <c:v>43297</c:v>
                </c:pt>
                <c:pt idx="7">
                  <c:v>43298</c:v>
                </c:pt>
                <c:pt idx="8">
                  <c:v>43305</c:v>
                </c:pt>
                <c:pt idx="9">
                  <c:v>43319</c:v>
                </c:pt>
                <c:pt idx="10">
                  <c:v>43327</c:v>
                </c:pt>
                <c:pt idx="11">
                  <c:v>43328</c:v>
                </c:pt>
                <c:pt idx="12">
                  <c:v>43329</c:v>
                </c:pt>
                <c:pt idx="13">
                  <c:v>43332</c:v>
                </c:pt>
                <c:pt idx="14">
                  <c:v>43339</c:v>
                </c:pt>
                <c:pt idx="15">
                  <c:v>43348</c:v>
                </c:pt>
                <c:pt idx="16">
                  <c:v>43349</c:v>
                </c:pt>
                <c:pt idx="17">
                  <c:v>43360</c:v>
                </c:pt>
              </c:numCache>
            </c:numRef>
          </c:xVal>
          <c:yVal>
            <c:numRef>
              <c:f>'02 Weather Plot'!$H$3:$H$20</c:f>
              <c:numCache>
                <c:formatCode>0</c:formatCode>
                <c:ptCount val="18"/>
                <c:pt idx="0">
                  <c:v>22.175833333333301</c:v>
                </c:pt>
                <c:pt idx="1">
                  <c:v>25.40625</c:v>
                </c:pt>
                <c:pt idx="2">
                  <c:v>24.209375000000001</c:v>
                </c:pt>
                <c:pt idx="3">
                  <c:v>23.322500000000002</c:v>
                </c:pt>
                <c:pt idx="4">
                  <c:v>25.73</c:v>
                </c:pt>
                <c:pt idx="5">
                  <c:v>25.1220833333333</c:v>
                </c:pt>
                <c:pt idx="6">
                  <c:v>24.747916666666701</c:v>
                </c:pt>
                <c:pt idx="7">
                  <c:v>20.4597916666667</c:v>
                </c:pt>
                <c:pt idx="8">
                  <c:v>22.0097916666667</c:v>
                </c:pt>
                <c:pt idx="9">
                  <c:v>23.008749999999999</c:v>
                </c:pt>
                <c:pt idx="10">
                  <c:v>23.806249999999999</c:v>
                </c:pt>
                <c:pt idx="11">
                  <c:v>21.633125</c:v>
                </c:pt>
                <c:pt idx="12">
                  <c:v>23.280208333333299</c:v>
                </c:pt>
                <c:pt idx="13">
                  <c:v>20.396875000000001</c:v>
                </c:pt>
                <c:pt idx="14">
                  <c:v>24.128958333333301</c:v>
                </c:pt>
                <c:pt idx="15">
                  <c:v>25.4583333333333</c:v>
                </c:pt>
                <c:pt idx="16">
                  <c:v>20.204166666666701</c:v>
                </c:pt>
                <c:pt idx="17">
                  <c:v>20.966666666666701</c:v>
                </c:pt>
              </c:numCache>
            </c:numRef>
          </c:yVal>
          <c:smooth val="0"/>
          <c:extLst>
            <c:ext xmlns:c16="http://schemas.microsoft.com/office/drawing/2014/chart" uri="{C3380CC4-5D6E-409C-BE32-E72D297353CC}">
              <c16:uniqueId val="{00000000-6205-46B4-84B2-2D9D685A2070}"/>
            </c:ext>
          </c:extLst>
        </c:ser>
        <c:ser>
          <c:idx val="1"/>
          <c:order val="1"/>
          <c:tx>
            <c:strRef>
              <c:f>'02 Weather Plot'!$F$2</c:f>
              <c:strCache>
                <c:ptCount val="1"/>
                <c:pt idx="0">
                  <c:v>CPP Event</c:v>
                </c:pt>
              </c:strCache>
            </c:strRef>
          </c:tx>
          <c:spPr>
            <a:ln w="25400" cap="rnd">
              <a:noFill/>
              <a:round/>
            </a:ln>
            <a:effectLst/>
          </c:spPr>
          <c:marker>
            <c:symbol val="diamond"/>
            <c:size val="6"/>
            <c:spPr>
              <a:solidFill>
                <a:srgbClr val="FF0000"/>
              </a:solidFill>
              <a:ln w="9525">
                <a:solidFill>
                  <a:schemeClr val="tx1"/>
                </a:solidFill>
              </a:ln>
              <a:effectLst/>
            </c:spPr>
          </c:marker>
          <c:xVal>
            <c:numRef>
              <c:f>'02 Weather Plot'!$G$3:$G$20</c:f>
              <c:numCache>
                <c:formatCode>yyyy\-mm\-dd</c:formatCode>
                <c:ptCount val="18"/>
                <c:pt idx="0">
                  <c:v>43252</c:v>
                </c:pt>
                <c:pt idx="1">
                  <c:v>43269</c:v>
                </c:pt>
                <c:pt idx="2">
                  <c:v>43280</c:v>
                </c:pt>
                <c:pt idx="3">
                  <c:v>43284</c:v>
                </c:pt>
                <c:pt idx="4">
                  <c:v>43285</c:v>
                </c:pt>
                <c:pt idx="5">
                  <c:v>43286</c:v>
                </c:pt>
                <c:pt idx="6">
                  <c:v>43297</c:v>
                </c:pt>
                <c:pt idx="7">
                  <c:v>43298</c:v>
                </c:pt>
                <c:pt idx="8">
                  <c:v>43305</c:v>
                </c:pt>
                <c:pt idx="9">
                  <c:v>43319</c:v>
                </c:pt>
                <c:pt idx="10">
                  <c:v>43327</c:v>
                </c:pt>
                <c:pt idx="11">
                  <c:v>43328</c:v>
                </c:pt>
                <c:pt idx="12">
                  <c:v>43329</c:v>
                </c:pt>
                <c:pt idx="13">
                  <c:v>43332</c:v>
                </c:pt>
                <c:pt idx="14">
                  <c:v>43339</c:v>
                </c:pt>
                <c:pt idx="15">
                  <c:v>43348</c:v>
                </c:pt>
                <c:pt idx="16">
                  <c:v>43349</c:v>
                </c:pt>
                <c:pt idx="17">
                  <c:v>43360</c:v>
                </c:pt>
              </c:numCache>
            </c:numRef>
          </c:xVal>
          <c:yVal>
            <c:numRef>
              <c:f>'02 Weather Plot'!$I$3:$I$20</c:f>
              <c:numCache>
                <c:formatCode>0</c:formatCode>
                <c:ptCount val="18"/>
                <c:pt idx="0">
                  <c:v>26.62</c:v>
                </c:pt>
                <c:pt idx="1">
                  <c:v>29.385000000000002</c:v>
                </c:pt>
                <c:pt idx="2">
                  <c:v>29.72</c:v>
                </c:pt>
                <c:pt idx="3">
                  <c:v>30.43</c:v>
                </c:pt>
                <c:pt idx="4">
                  <c:v>31.285</c:v>
                </c:pt>
                <c:pt idx="5">
                  <c:v>30.475000000000001</c:v>
                </c:pt>
                <c:pt idx="6">
                  <c:v>30.555</c:v>
                </c:pt>
                <c:pt idx="7">
                  <c:v>23.114999999999998</c:v>
                </c:pt>
                <c:pt idx="8">
                  <c:v>25.745000000000001</c:v>
                </c:pt>
                <c:pt idx="9">
                  <c:v>26.204999999999998</c:v>
                </c:pt>
                <c:pt idx="10">
                  <c:v>28.16</c:v>
                </c:pt>
                <c:pt idx="11">
                  <c:v>23.79</c:v>
                </c:pt>
                <c:pt idx="12">
                  <c:v>26.545000000000002</c:v>
                </c:pt>
                <c:pt idx="13">
                  <c:v>25.425000000000001</c:v>
                </c:pt>
                <c:pt idx="14">
                  <c:v>28.67</c:v>
                </c:pt>
                <c:pt idx="15">
                  <c:v>31.4</c:v>
                </c:pt>
                <c:pt idx="16">
                  <c:v>24.2</c:v>
                </c:pt>
                <c:pt idx="17">
                  <c:v>25.7</c:v>
                </c:pt>
              </c:numCache>
            </c:numRef>
          </c:yVal>
          <c:smooth val="0"/>
          <c:extLst>
            <c:ext xmlns:c16="http://schemas.microsoft.com/office/drawing/2014/chart" uri="{C3380CC4-5D6E-409C-BE32-E72D297353CC}">
              <c16:uniqueId val="{00000001-6205-46B4-84B2-2D9D685A2070}"/>
            </c:ext>
          </c:extLst>
        </c:ser>
        <c:ser>
          <c:idx val="2"/>
          <c:order val="2"/>
          <c:tx>
            <c:strRef>
              <c:f>'02 Weather Plot'!$B$2</c:f>
              <c:strCache>
                <c:ptCount val="1"/>
                <c:pt idx="0">
                  <c:v>Daily Average Temperature</c:v>
                </c:pt>
              </c:strCache>
            </c:strRef>
          </c:tx>
          <c:spPr>
            <a:ln w="12700" cap="rnd">
              <a:solidFill>
                <a:schemeClr val="accent3"/>
              </a:solidFill>
              <a:round/>
            </a:ln>
            <a:effectLst/>
          </c:spPr>
          <c:marker>
            <c:symbol val="none"/>
          </c:marker>
          <c:xVal>
            <c:numRef>
              <c:f>'02 Weather Plot'!$A$3:$A$186</c:f>
              <c:numCache>
                <c:formatCode>yyyy\-mm\-dd</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'02 Weather Plot'!$B$3:$B$186</c:f>
              <c:numCache>
                <c:formatCode>0</c:formatCode>
                <c:ptCount val="184"/>
                <c:pt idx="0">
                  <c:v>17.4073958333333</c:v>
                </c:pt>
                <c:pt idx="1">
                  <c:v>21.171666666666699</c:v>
                </c:pt>
                <c:pt idx="2">
                  <c:v>17.338333333333299</c:v>
                </c:pt>
                <c:pt idx="3">
                  <c:v>15.6991666666667</c:v>
                </c:pt>
                <c:pt idx="4">
                  <c:v>15.872291666666699</c:v>
                </c:pt>
                <c:pt idx="5">
                  <c:v>15.024374999999999</c:v>
                </c:pt>
                <c:pt idx="6">
                  <c:v>13.4627083333333</c:v>
                </c:pt>
                <c:pt idx="7">
                  <c:v>14.674375</c:v>
                </c:pt>
                <c:pt idx="8">
                  <c:v>17.608333333333299</c:v>
                </c:pt>
                <c:pt idx="9">
                  <c:v>15.642708333333299</c:v>
                </c:pt>
                <c:pt idx="10">
                  <c:v>7.2331250000000002</c:v>
                </c:pt>
                <c:pt idx="11">
                  <c:v>9.6172916666666701</c:v>
                </c:pt>
                <c:pt idx="12">
                  <c:v>13.668333333333299</c:v>
                </c:pt>
                <c:pt idx="13">
                  <c:v>13.869375</c:v>
                </c:pt>
                <c:pt idx="14">
                  <c:v>16.3072916666667</c:v>
                </c:pt>
                <c:pt idx="15">
                  <c:v>16.5997916666667</c:v>
                </c:pt>
                <c:pt idx="16">
                  <c:v>18.896875000000001</c:v>
                </c:pt>
                <c:pt idx="17">
                  <c:v>14.2589583333333</c:v>
                </c:pt>
                <c:pt idx="18">
                  <c:v>16.099374999999998</c:v>
                </c:pt>
                <c:pt idx="19">
                  <c:v>13.268125</c:v>
                </c:pt>
                <c:pt idx="20">
                  <c:v>13.8827083333333</c:v>
                </c:pt>
                <c:pt idx="21">
                  <c:v>14.47125</c:v>
                </c:pt>
                <c:pt idx="22">
                  <c:v>16.675625</c:v>
                </c:pt>
                <c:pt idx="23">
                  <c:v>19.207916666666701</c:v>
                </c:pt>
                <c:pt idx="24">
                  <c:v>21.4933333333333</c:v>
                </c:pt>
                <c:pt idx="25">
                  <c:v>21.1689583333333</c:v>
                </c:pt>
                <c:pt idx="26">
                  <c:v>21.831666666666699</c:v>
                </c:pt>
                <c:pt idx="27">
                  <c:v>24.818750000000001</c:v>
                </c:pt>
                <c:pt idx="28">
                  <c:v>24.294791666666701</c:v>
                </c:pt>
                <c:pt idx="29">
                  <c:v>24.188124999999999</c:v>
                </c:pt>
                <c:pt idx="30">
                  <c:v>24.376666666666701</c:v>
                </c:pt>
                <c:pt idx="31">
                  <c:v>22.175833333333301</c:v>
                </c:pt>
                <c:pt idx="32">
                  <c:v>16.7945833333333</c:v>
                </c:pt>
                <c:pt idx="33">
                  <c:v>18.1079166666667</c:v>
                </c:pt>
                <c:pt idx="34">
                  <c:v>15.604791666666699</c:v>
                </c:pt>
                <c:pt idx="35">
                  <c:v>11.5547916666667</c:v>
                </c:pt>
                <c:pt idx="36">
                  <c:v>12.774374999999999</c:v>
                </c:pt>
                <c:pt idx="37">
                  <c:v>17.286041666666701</c:v>
                </c:pt>
                <c:pt idx="38">
                  <c:v>19.434166666666702</c:v>
                </c:pt>
                <c:pt idx="39">
                  <c:v>17.632291666666699</c:v>
                </c:pt>
                <c:pt idx="40">
                  <c:v>18.951458333333299</c:v>
                </c:pt>
                <c:pt idx="41">
                  <c:v>18.497916666666701</c:v>
                </c:pt>
                <c:pt idx="42">
                  <c:v>19.229791666666699</c:v>
                </c:pt>
                <c:pt idx="43">
                  <c:v>21.1658333333333</c:v>
                </c:pt>
                <c:pt idx="44">
                  <c:v>18.492291666666699</c:v>
                </c:pt>
                <c:pt idx="45">
                  <c:v>18.329166666666701</c:v>
                </c:pt>
                <c:pt idx="46">
                  <c:v>20.376666666666701</c:v>
                </c:pt>
                <c:pt idx="47">
                  <c:v>24.030625000000001</c:v>
                </c:pt>
                <c:pt idx="48">
                  <c:v>25.40625</c:v>
                </c:pt>
                <c:pt idx="49">
                  <c:v>21.1741666666667</c:v>
                </c:pt>
                <c:pt idx="50">
                  <c:v>18.311875000000001</c:v>
                </c:pt>
                <c:pt idx="51">
                  <c:v>18.622499999999999</c:v>
                </c:pt>
                <c:pt idx="52">
                  <c:v>16.5908333333333</c:v>
                </c:pt>
                <c:pt idx="53">
                  <c:v>18.801874999999999</c:v>
                </c:pt>
                <c:pt idx="54">
                  <c:v>18.648541666666699</c:v>
                </c:pt>
                <c:pt idx="55">
                  <c:v>17.553750000000001</c:v>
                </c:pt>
                <c:pt idx="56">
                  <c:v>18.431249999999999</c:v>
                </c:pt>
                <c:pt idx="57">
                  <c:v>19.430208333333301</c:v>
                </c:pt>
                <c:pt idx="58">
                  <c:v>21.463333333333299</c:v>
                </c:pt>
                <c:pt idx="59">
                  <c:v>24.209375000000001</c:v>
                </c:pt>
                <c:pt idx="60">
                  <c:v>26.965416666666702</c:v>
                </c:pt>
                <c:pt idx="61">
                  <c:v>26.7314583333333</c:v>
                </c:pt>
                <c:pt idx="62">
                  <c:v>25.559374999999999</c:v>
                </c:pt>
                <c:pt idx="63">
                  <c:v>23.322500000000002</c:v>
                </c:pt>
                <c:pt idx="64">
                  <c:v>25.73</c:v>
                </c:pt>
                <c:pt idx="65">
                  <c:v>25.1220833333333</c:v>
                </c:pt>
                <c:pt idx="66">
                  <c:v>18.968958333333301</c:v>
                </c:pt>
                <c:pt idx="67">
                  <c:v>18.419166666666701</c:v>
                </c:pt>
                <c:pt idx="68">
                  <c:v>19.612083333333299</c:v>
                </c:pt>
                <c:pt idx="69">
                  <c:v>22.0870833333333</c:v>
                </c:pt>
                <c:pt idx="70">
                  <c:v>22.658958333333299</c:v>
                </c:pt>
                <c:pt idx="71">
                  <c:v>20.423749999999998</c:v>
                </c:pt>
                <c:pt idx="72">
                  <c:v>21.038125000000001</c:v>
                </c:pt>
                <c:pt idx="73">
                  <c:v>23.246666666666702</c:v>
                </c:pt>
                <c:pt idx="74">
                  <c:v>22.884374999999999</c:v>
                </c:pt>
                <c:pt idx="75">
                  <c:v>24.555</c:v>
                </c:pt>
                <c:pt idx="76">
                  <c:v>24.747916666666701</c:v>
                </c:pt>
                <c:pt idx="77">
                  <c:v>20.4597916666667</c:v>
                </c:pt>
                <c:pt idx="78">
                  <c:v>18.398958333333301</c:v>
                </c:pt>
                <c:pt idx="79">
                  <c:v>18.793541666666702</c:v>
                </c:pt>
                <c:pt idx="80">
                  <c:v>21.75375</c:v>
                </c:pt>
                <c:pt idx="81">
                  <c:v>21.893750000000001</c:v>
                </c:pt>
                <c:pt idx="82">
                  <c:v>17.414999999999999</c:v>
                </c:pt>
                <c:pt idx="83">
                  <c:v>22.511875</c:v>
                </c:pt>
                <c:pt idx="84">
                  <c:v>22.0097916666667</c:v>
                </c:pt>
                <c:pt idx="85">
                  <c:v>21.980416666666699</c:v>
                </c:pt>
                <c:pt idx="86">
                  <c:v>20.5847916666667</c:v>
                </c:pt>
                <c:pt idx="87">
                  <c:v>19.135208333333299</c:v>
                </c:pt>
                <c:pt idx="88">
                  <c:v>17.954999999999998</c:v>
                </c:pt>
                <c:pt idx="89">
                  <c:v>18.6502083333333</c:v>
                </c:pt>
                <c:pt idx="90">
                  <c:v>20.161666666666701</c:v>
                </c:pt>
                <c:pt idx="91">
                  <c:v>21.116666666666699</c:v>
                </c:pt>
                <c:pt idx="92">
                  <c:v>21.459375000000001</c:v>
                </c:pt>
                <c:pt idx="93">
                  <c:v>21.341041666666701</c:v>
                </c:pt>
                <c:pt idx="94">
                  <c:v>21.970624999999998</c:v>
                </c:pt>
                <c:pt idx="95">
                  <c:v>22.906874999999999</c:v>
                </c:pt>
                <c:pt idx="96">
                  <c:v>24.5879166666667</c:v>
                </c:pt>
                <c:pt idx="97">
                  <c:v>25.215208333333301</c:v>
                </c:pt>
                <c:pt idx="98">
                  <c:v>23.008749999999999</c:v>
                </c:pt>
                <c:pt idx="99">
                  <c:v>21.359375</c:v>
                </c:pt>
                <c:pt idx="100">
                  <c:v>20.960208333333298</c:v>
                </c:pt>
                <c:pt idx="101">
                  <c:v>20.722916666666698</c:v>
                </c:pt>
                <c:pt idx="102">
                  <c:v>20.38625</c:v>
                </c:pt>
                <c:pt idx="103">
                  <c:v>21.2925</c:v>
                </c:pt>
                <c:pt idx="104">
                  <c:v>21.847083333333298</c:v>
                </c:pt>
                <c:pt idx="105">
                  <c:v>23.057708333333299</c:v>
                </c:pt>
                <c:pt idx="106">
                  <c:v>23.806249999999999</c:v>
                </c:pt>
                <c:pt idx="107">
                  <c:v>21.633125</c:v>
                </c:pt>
                <c:pt idx="108">
                  <c:v>23.280208333333299</c:v>
                </c:pt>
                <c:pt idx="109">
                  <c:v>21.893958333333298</c:v>
                </c:pt>
                <c:pt idx="110">
                  <c:v>20.0497916666667</c:v>
                </c:pt>
                <c:pt idx="111">
                  <c:v>20.396875000000001</c:v>
                </c:pt>
                <c:pt idx="112">
                  <c:v>21.488541666666698</c:v>
                </c:pt>
                <c:pt idx="113">
                  <c:v>17.8341666666667</c:v>
                </c:pt>
                <c:pt idx="114">
                  <c:v>18.9285416666667</c:v>
                </c:pt>
                <c:pt idx="115">
                  <c:v>19.769166666666699</c:v>
                </c:pt>
                <c:pt idx="116">
                  <c:v>21.6145833333333</c:v>
                </c:pt>
                <c:pt idx="117">
                  <c:v>23.38</c:v>
                </c:pt>
                <c:pt idx="118">
                  <c:v>24.128958333333301</c:v>
                </c:pt>
                <c:pt idx="119">
                  <c:v>26.407083333333301</c:v>
                </c:pt>
                <c:pt idx="120">
                  <c:v>22.491666666666699</c:v>
                </c:pt>
                <c:pt idx="121">
                  <c:v>17.611458333333299</c:v>
                </c:pt>
                <c:pt idx="122">
                  <c:v>18.0654166666667</c:v>
                </c:pt>
                <c:pt idx="123">
                  <c:v>21.9791666666667</c:v>
                </c:pt>
                <c:pt idx="124">
                  <c:v>25.141666666666701</c:v>
                </c:pt>
                <c:pt idx="125">
                  <c:v>24.996458333333301</c:v>
                </c:pt>
                <c:pt idx="126">
                  <c:v>23.6666666666667</c:v>
                </c:pt>
                <c:pt idx="127">
                  <c:v>25.4583333333333</c:v>
                </c:pt>
                <c:pt idx="128">
                  <c:v>20.204166666666701</c:v>
                </c:pt>
                <c:pt idx="129">
                  <c:v>17.637499999999999</c:v>
                </c:pt>
                <c:pt idx="130">
                  <c:v>13.8025</c:v>
                </c:pt>
                <c:pt idx="131">
                  <c:v>12.414999999999999</c:v>
                </c:pt>
                <c:pt idx="132">
                  <c:v>13.1275</c:v>
                </c:pt>
                <c:pt idx="133">
                  <c:v>15.6641666666667</c:v>
                </c:pt>
                <c:pt idx="134">
                  <c:v>17.0572916666667</c:v>
                </c:pt>
                <c:pt idx="135">
                  <c:v>19.754166666666698</c:v>
                </c:pt>
                <c:pt idx="136">
                  <c:v>21.879166666666698</c:v>
                </c:pt>
                <c:pt idx="137">
                  <c:v>22.033333333333299</c:v>
                </c:pt>
                <c:pt idx="138">
                  <c:v>22.170833333333299</c:v>
                </c:pt>
                <c:pt idx="139">
                  <c:v>20.966666666666701</c:v>
                </c:pt>
                <c:pt idx="140">
                  <c:v>18.987500000000001</c:v>
                </c:pt>
                <c:pt idx="141">
                  <c:v>16.866666666666699</c:v>
                </c:pt>
                <c:pt idx="142">
                  <c:v>16.870833333333302</c:v>
                </c:pt>
                <c:pt idx="143">
                  <c:v>23.045833333333299</c:v>
                </c:pt>
                <c:pt idx="144">
                  <c:v>11.404166666666701</c:v>
                </c:pt>
                <c:pt idx="145">
                  <c:v>11.920833333333301</c:v>
                </c:pt>
                <c:pt idx="146">
                  <c:v>15.141666666666699</c:v>
                </c:pt>
                <c:pt idx="147">
                  <c:v>19.4002083333333</c:v>
                </c:pt>
                <c:pt idx="148">
                  <c:v>16.5691666666667</c:v>
                </c:pt>
                <c:pt idx="149">
                  <c:v>10.98</c:v>
                </c:pt>
                <c:pt idx="150">
                  <c:v>12.2158333333333</c:v>
                </c:pt>
                <c:pt idx="151">
                  <c:v>10.548541666666701</c:v>
                </c:pt>
                <c:pt idx="152">
                  <c:v>10.096458333333301</c:v>
                </c:pt>
                <c:pt idx="153">
                  <c:v>9.6129166666666706</c:v>
                </c:pt>
                <c:pt idx="154">
                  <c:v>13.7529166666667</c:v>
                </c:pt>
                <c:pt idx="155">
                  <c:v>13.965208333333299</c:v>
                </c:pt>
                <c:pt idx="156">
                  <c:v>14.9920833333333</c:v>
                </c:pt>
                <c:pt idx="157">
                  <c:v>8.6102083333333308</c:v>
                </c:pt>
                <c:pt idx="158">
                  <c:v>16.214166666666699</c:v>
                </c:pt>
                <c:pt idx="159">
                  <c:v>14.192083333333301</c:v>
                </c:pt>
                <c:pt idx="160">
                  <c:v>17.987083333333299</c:v>
                </c:pt>
                <c:pt idx="161">
                  <c:v>21.999166666666699</c:v>
                </c:pt>
                <c:pt idx="162">
                  <c:v>21.475000000000001</c:v>
                </c:pt>
                <c:pt idx="163">
                  <c:v>14.7597916666667</c:v>
                </c:pt>
                <c:pt idx="164">
                  <c:v>6.2660416666666698</c:v>
                </c:pt>
                <c:pt idx="165">
                  <c:v>5.4858333333333302</c:v>
                </c:pt>
                <c:pt idx="166">
                  <c:v>6.7829166666666696</c:v>
                </c:pt>
                <c:pt idx="167">
                  <c:v>7.8141666666666696</c:v>
                </c:pt>
                <c:pt idx="168">
                  <c:v>5.9841666666666704</c:v>
                </c:pt>
                <c:pt idx="169">
                  <c:v>5.5968749999999998</c:v>
                </c:pt>
                <c:pt idx="170">
                  <c:v>4.0681250000000002</c:v>
                </c:pt>
                <c:pt idx="171">
                  <c:v>8.3262499999999999</c:v>
                </c:pt>
                <c:pt idx="172">
                  <c:v>6.6777083333333298</c:v>
                </c:pt>
                <c:pt idx="173">
                  <c:v>2.5506250000000001</c:v>
                </c:pt>
                <c:pt idx="174">
                  <c:v>6.5408333333333299</c:v>
                </c:pt>
                <c:pt idx="175">
                  <c:v>4.9683333333333302</c:v>
                </c:pt>
                <c:pt idx="176">
                  <c:v>3.5454166666666702</c:v>
                </c:pt>
                <c:pt idx="177">
                  <c:v>3.9224999999999999</c:v>
                </c:pt>
                <c:pt idx="178">
                  <c:v>4.8839583333333296</c:v>
                </c:pt>
                <c:pt idx="179">
                  <c:v>3.5408333333333299</c:v>
                </c:pt>
                <c:pt idx="180">
                  <c:v>3.7372916666666698</c:v>
                </c:pt>
                <c:pt idx="181">
                  <c:v>5.1941666666666704</c:v>
                </c:pt>
                <c:pt idx="182">
                  <c:v>5.8235416666666699</c:v>
                </c:pt>
                <c:pt idx="183">
                  <c:v>9.5981249999999996</c:v>
                </c:pt>
              </c:numCache>
            </c:numRef>
          </c:yVal>
          <c:smooth val="0"/>
          <c:extLst>
            <c:ext xmlns:c16="http://schemas.microsoft.com/office/drawing/2014/chart" uri="{C3380CC4-5D6E-409C-BE32-E72D297353CC}">
              <c16:uniqueId val="{00000002-6205-46B4-84B2-2D9D685A2070}"/>
            </c:ext>
          </c:extLst>
        </c:ser>
        <c:ser>
          <c:idx val="3"/>
          <c:order val="3"/>
          <c:tx>
            <c:strRef>
              <c:f>'02 Weather Plot'!$C$2</c:f>
              <c:strCache>
                <c:ptCount val="1"/>
                <c:pt idx="0">
                  <c:v>Daily Peak Temperature</c:v>
                </c:pt>
              </c:strCache>
            </c:strRef>
          </c:tx>
          <c:spPr>
            <a:ln w="12700" cap="rnd">
              <a:solidFill>
                <a:schemeClr val="accent4"/>
              </a:solidFill>
              <a:round/>
            </a:ln>
            <a:effectLst/>
          </c:spPr>
          <c:marker>
            <c:symbol val="none"/>
          </c:marker>
          <c:xVal>
            <c:numRef>
              <c:f>'02 Weather Plot'!$A$3:$A$186</c:f>
              <c:numCache>
                <c:formatCode>yyyy\-mm\-dd</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'02 Weather Plot'!$C$3:$C$186</c:f>
              <c:numCache>
                <c:formatCode>0</c:formatCode>
                <c:ptCount val="184"/>
                <c:pt idx="0">
                  <c:v>24.734999999999999</c:v>
                </c:pt>
                <c:pt idx="1">
                  <c:v>26.17</c:v>
                </c:pt>
                <c:pt idx="2">
                  <c:v>18.61</c:v>
                </c:pt>
                <c:pt idx="3">
                  <c:v>22.32</c:v>
                </c:pt>
                <c:pt idx="4">
                  <c:v>23.51</c:v>
                </c:pt>
                <c:pt idx="5">
                  <c:v>21.54</c:v>
                </c:pt>
                <c:pt idx="6">
                  <c:v>18.495000000000001</c:v>
                </c:pt>
                <c:pt idx="7">
                  <c:v>23.135000000000002</c:v>
                </c:pt>
                <c:pt idx="8">
                  <c:v>25.68</c:v>
                </c:pt>
                <c:pt idx="9">
                  <c:v>18.420000000000002</c:v>
                </c:pt>
                <c:pt idx="10">
                  <c:v>11.505000000000001</c:v>
                </c:pt>
                <c:pt idx="11">
                  <c:v>16.59</c:v>
                </c:pt>
                <c:pt idx="12">
                  <c:v>20.29</c:v>
                </c:pt>
                <c:pt idx="13">
                  <c:v>18.395</c:v>
                </c:pt>
                <c:pt idx="14">
                  <c:v>19.614999999999998</c:v>
                </c:pt>
                <c:pt idx="15">
                  <c:v>24.024999999999999</c:v>
                </c:pt>
                <c:pt idx="16">
                  <c:v>26.344999999999999</c:v>
                </c:pt>
                <c:pt idx="17">
                  <c:v>18.175000000000001</c:v>
                </c:pt>
                <c:pt idx="18">
                  <c:v>21.585000000000001</c:v>
                </c:pt>
                <c:pt idx="19">
                  <c:v>17.43</c:v>
                </c:pt>
                <c:pt idx="20">
                  <c:v>21.47</c:v>
                </c:pt>
                <c:pt idx="21">
                  <c:v>17.579999999999998</c:v>
                </c:pt>
                <c:pt idx="22">
                  <c:v>23.73</c:v>
                </c:pt>
                <c:pt idx="23">
                  <c:v>27.21</c:v>
                </c:pt>
                <c:pt idx="24">
                  <c:v>28.285</c:v>
                </c:pt>
                <c:pt idx="25">
                  <c:v>25.58</c:v>
                </c:pt>
                <c:pt idx="26">
                  <c:v>27.684999999999999</c:v>
                </c:pt>
                <c:pt idx="27">
                  <c:v>31.295000000000002</c:v>
                </c:pt>
                <c:pt idx="28">
                  <c:v>29.52</c:v>
                </c:pt>
                <c:pt idx="29">
                  <c:v>29.07</c:v>
                </c:pt>
                <c:pt idx="30">
                  <c:v>28.754999999999999</c:v>
                </c:pt>
                <c:pt idx="31">
                  <c:v>26.62</c:v>
                </c:pt>
                <c:pt idx="32">
                  <c:v>21.33</c:v>
                </c:pt>
                <c:pt idx="33">
                  <c:v>22.93</c:v>
                </c:pt>
                <c:pt idx="34">
                  <c:v>19.38</c:v>
                </c:pt>
                <c:pt idx="35">
                  <c:v>13.085000000000001</c:v>
                </c:pt>
                <c:pt idx="36">
                  <c:v>18.28</c:v>
                </c:pt>
                <c:pt idx="37">
                  <c:v>23.675000000000001</c:v>
                </c:pt>
                <c:pt idx="38">
                  <c:v>26.34</c:v>
                </c:pt>
                <c:pt idx="39">
                  <c:v>20.254999999999999</c:v>
                </c:pt>
                <c:pt idx="40">
                  <c:v>22.045000000000002</c:v>
                </c:pt>
                <c:pt idx="41">
                  <c:v>24.44</c:v>
                </c:pt>
                <c:pt idx="42">
                  <c:v>25.11</c:v>
                </c:pt>
                <c:pt idx="43">
                  <c:v>26.504999999999999</c:v>
                </c:pt>
                <c:pt idx="44">
                  <c:v>23.26</c:v>
                </c:pt>
                <c:pt idx="45">
                  <c:v>25.11</c:v>
                </c:pt>
                <c:pt idx="46">
                  <c:v>26.23</c:v>
                </c:pt>
                <c:pt idx="47">
                  <c:v>30.484999999999999</c:v>
                </c:pt>
                <c:pt idx="48">
                  <c:v>29.385000000000002</c:v>
                </c:pt>
                <c:pt idx="49">
                  <c:v>25.11</c:v>
                </c:pt>
                <c:pt idx="50">
                  <c:v>21.28</c:v>
                </c:pt>
                <c:pt idx="51">
                  <c:v>24.605</c:v>
                </c:pt>
                <c:pt idx="52">
                  <c:v>21.155000000000001</c:v>
                </c:pt>
                <c:pt idx="53">
                  <c:v>21.95</c:v>
                </c:pt>
                <c:pt idx="54">
                  <c:v>20.535</c:v>
                </c:pt>
                <c:pt idx="55">
                  <c:v>23.06</c:v>
                </c:pt>
                <c:pt idx="56">
                  <c:v>24.754999999999999</c:v>
                </c:pt>
                <c:pt idx="57">
                  <c:v>21.49</c:v>
                </c:pt>
                <c:pt idx="58">
                  <c:v>26.21</c:v>
                </c:pt>
                <c:pt idx="59">
                  <c:v>29.72</c:v>
                </c:pt>
                <c:pt idx="60">
                  <c:v>31.47</c:v>
                </c:pt>
                <c:pt idx="61">
                  <c:v>31.364999999999998</c:v>
                </c:pt>
                <c:pt idx="62">
                  <c:v>28.24</c:v>
                </c:pt>
                <c:pt idx="63">
                  <c:v>30.43</c:v>
                </c:pt>
                <c:pt idx="64">
                  <c:v>31.285</c:v>
                </c:pt>
                <c:pt idx="65">
                  <c:v>30.475000000000001</c:v>
                </c:pt>
                <c:pt idx="66">
                  <c:v>23.155000000000001</c:v>
                </c:pt>
                <c:pt idx="67">
                  <c:v>24.72</c:v>
                </c:pt>
                <c:pt idx="68">
                  <c:v>27.155000000000001</c:v>
                </c:pt>
                <c:pt idx="69">
                  <c:v>29.344999999999999</c:v>
                </c:pt>
                <c:pt idx="70">
                  <c:v>26.58</c:v>
                </c:pt>
                <c:pt idx="71">
                  <c:v>26.29</c:v>
                </c:pt>
                <c:pt idx="72">
                  <c:v>27.585000000000001</c:v>
                </c:pt>
                <c:pt idx="73">
                  <c:v>29.305</c:v>
                </c:pt>
                <c:pt idx="74">
                  <c:v>26.305</c:v>
                </c:pt>
                <c:pt idx="75">
                  <c:v>29.645</c:v>
                </c:pt>
                <c:pt idx="76">
                  <c:v>30.555</c:v>
                </c:pt>
                <c:pt idx="77">
                  <c:v>23.114999999999998</c:v>
                </c:pt>
                <c:pt idx="78">
                  <c:v>23.805</c:v>
                </c:pt>
                <c:pt idx="79">
                  <c:v>25.68</c:v>
                </c:pt>
                <c:pt idx="80">
                  <c:v>26.425000000000001</c:v>
                </c:pt>
                <c:pt idx="81">
                  <c:v>24.225000000000001</c:v>
                </c:pt>
                <c:pt idx="82">
                  <c:v>19.760000000000002</c:v>
                </c:pt>
                <c:pt idx="83">
                  <c:v>27.17</c:v>
                </c:pt>
                <c:pt idx="84">
                  <c:v>25.745000000000001</c:v>
                </c:pt>
                <c:pt idx="85">
                  <c:v>26.66</c:v>
                </c:pt>
                <c:pt idx="86">
                  <c:v>26.34</c:v>
                </c:pt>
                <c:pt idx="87">
                  <c:v>23.87</c:v>
                </c:pt>
                <c:pt idx="88">
                  <c:v>22.34</c:v>
                </c:pt>
                <c:pt idx="89">
                  <c:v>23.77</c:v>
                </c:pt>
                <c:pt idx="90">
                  <c:v>26.254999999999999</c:v>
                </c:pt>
                <c:pt idx="91">
                  <c:v>25.594999999999999</c:v>
                </c:pt>
                <c:pt idx="92">
                  <c:v>22.754999999999999</c:v>
                </c:pt>
                <c:pt idx="93">
                  <c:v>25.74</c:v>
                </c:pt>
                <c:pt idx="94">
                  <c:v>27.094999999999999</c:v>
                </c:pt>
                <c:pt idx="95">
                  <c:v>28.664999999999999</c:v>
                </c:pt>
                <c:pt idx="96">
                  <c:v>30.61</c:v>
                </c:pt>
                <c:pt idx="97">
                  <c:v>29.29</c:v>
                </c:pt>
                <c:pt idx="98">
                  <c:v>26.204999999999998</c:v>
                </c:pt>
                <c:pt idx="99">
                  <c:v>24.234999999999999</c:v>
                </c:pt>
                <c:pt idx="100">
                  <c:v>27</c:v>
                </c:pt>
                <c:pt idx="101">
                  <c:v>26.015000000000001</c:v>
                </c:pt>
                <c:pt idx="102">
                  <c:v>26.844999999999999</c:v>
                </c:pt>
                <c:pt idx="103">
                  <c:v>26.914999999999999</c:v>
                </c:pt>
                <c:pt idx="104">
                  <c:v>27.765000000000001</c:v>
                </c:pt>
                <c:pt idx="105">
                  <c:v>28.715</c:v>
                </c:pt>
                <c:pt idx="106">
                  <c:v>28.16</c:v>
                </c:pt>
                <c:pt idx="107">
                  <c:v>23.79</c:v>
                </c:pt>
                <c:pt idx="108">
                  <c:v>26.545000000000002</c:v>
                </c:pt>
                <c:pt idx="109">
                  <c:v>25.93</c:v>
                </c:pt>
                <c:pt idx="110">
                  <c:v>25.24</c:v>
                </c:pt>
                <c:pt idx="111">
                  <c:v>25.425000000000001</c:v>
                </c:pt>
                <c:pt idx="112">
                  <c:v>24.14</c:v>
                </c:pt>
                <c:pt idx="113">
                  <c:v>20.45</c:v>
                </c:pt>
                <c:pt idx="114">
                  <c:v>25.114999999999998</c:v>
                </c:pt>
                <c:pt idx="115">
                  <c:v>24.795000000000002</c:v>
                </c:pt>
                <c:pt idx="116">
                  <c:v>23.63</c:v>
                </c:pt>
                <c:pt idx="117">
                  <c:v>27.34</c:v>
                </c:pt>
                <c:pt idx="118">
                  <c:v>28.67</c:v>
                </c:pt>
                <c:pt idx="119">
                  <c:v>29.734999999999999</c:v>
                </c:pt>
                <c:pt idx="120">
                  <c:v>25.8</c:v>
                </c:pt>
                <c:pt idx="121">
                  <c:v>21.76</c:v>
                </c:pt>
                <c:pt idx="122">
                  <c:v>24.295000000000002</c:v>
                </c:pt>
                <c:pt idx="123">
                  <c:v>27.8</c:v>
                </c:pt>
                <c:pt idx="124">
                  <c:v>28.86</c:v>
                </c:pt>
                <c:pt idx="125">
                  <c:v>29.055</c:v>
                </c:pt>
                <c:pt idx="126">
                  <c:v>29.7</c:v>
                </c:pt>
                <c:pt idx="127">
                  <c:v>31.4</c:v>
                </c:pt>
                <c:pt idx="128">
                  <c:v>24.2</c:v>
                </c:pt>
                <c:pt idx="129">
                  <c:v>22.195</c:v>
                </c:pt>
                <c:pt idx="130">
                  <c:v>16.59</c:v>
                </c:pt>
                <c:pt idx="131">
                  <c:v>15.09</c:v>
                </c:pt>
                <c:pt idx="132">
                  <c:v>14.04</c:v>
                </c:pt>
                <c:pt idx="133">
                  <c:v>22.045000000000002</c:v>
                </c:pt>
                <c:pt idx="134">
                  <c:v>22.55</c:v>
                </c:pt>
                <c:pt idx="135">
                  <c:v>24.9</c:v>
                </c:pt>
                <c:pt idx="136">
                  <c:v>27.7</c:v>
                </c:pt>
                <c:pt idx="137">
                  <c:v>29.5</c:v>
                </c:pt>
                <c:pt idx="138">
                  <c:v>28.3</c:v>
                </c:pt>
                <c:pt idx="139">
                  <c:v>25.7</c:v>
                </c:pt>
                <c:pt idx="140">
                  <c:v>24.6</c:v>
                </c:pt>
                <c:pt idx="141">
                  <c:v>22.8</c:v>
                </c:pt>
                <c:pt idx="142">
                  <c:v>20.399999999999999</c:v>
                </c:pt>
                <c:pt idx="143">
                  <c:v>28.9</c:v>
                </c:pt>
                <c:pt idx="144">
                  <c:v>15</c:v>
                </c:pt>
                <c:pt idx="145">
                  <c:v>19.7</c:v>
                </c:pt>
                <c:pt idx="146">
                  <c:v>18.7</c:v>
                </c:pt>
                <c:pt idx="147">
                  <c:v>21.245000000000001</c:v>
                </c:pt>
                <c:pt idx="148">
                  <c:v>21.545000000000002</c:v>
                </c:pt>
                <c:pt idx="149">
                  <c:v>16.190000000000001</c:v>
                </c:pt>
                <c:pt idx="150">
                  <c:v>20.545000000000002</c:v>
                </c:pt>
                <c:pt idx="151">
                  <c:v>14.19</c:v>
                </c:pt>
                <c:pt idx="152">
                  <c:v>12.19</c:v>
                </c:pt>
                <c:pt idx="153">
                  <c:v>10.69</c:v>
                </c:pt>
                <c:pt idx="154">
                  <c:v>19.094999999999999</c:v>
                </c:pt>
                <c:pt idx="155">
                  <c:v>20.344999999999999</c:v>
                </c:pt>
                <c:pt idx="156">
                  <c:v>22.245000000000001</c:v>
                </c:pt>
                <c:pt idx="157">
                  <c:v>11.99</c:v>
                </c:pt>
                <c:pt idx="158">
                  <c:v>21.844999999999999</c:v>
                </c:pt>
                <c:pt idx="159">
                  <c:v>15.89</c:v>
                </c:pt>
                <c:pt idx="160">
                  <c:v>25.594999999999999</c:v>
                </c:pt>
                <c:pt idx="161">
                  <c:v>27.035</c:v>
                </c:pt>
                <c:pt idx="162">
                  <c:v>25.594999999999999</c:v>
                </c:pt>
                <c:pt idx="163">
                  <c:v>20.695</c:v>
                </c:pt>
                <c:pt idx="164">
                  <c:v>7.5949999999999998</c:v>
                </c:pt>
                <c:pt idx="165">
                  <c:v>9.2899999999999991</c:v>
                </c:pt>
                <c:pt idx="166">
                  <c:v>13.94</c:v>
                </c:pt>
                <c:pt idx="167">
                  <c:v>10.44</c:v>
                </c:pt>
                <c:pt idx="168">
                  <c:v>10.74</c:v>
                </c:pt>
                <c:pt idx="169">
                  <c:v>8.44</c:v>
                </c:pt>
                <c:pt idx="170">
                  <c:v>7.39</c:v>
                </c:pt>
                <c:pt idx="171">
                  <c:v>14.34</c:v>
                </c:pt>
                <c:pt idx="172">
                  <c:v>9.3450000000000006</c:v>
                </c:pt>
                <c:pt idx="173">
                  <c:v>4.1950000000000003</c:v>
                </c:pt>
                <c:pt idx="174">
                  <c:v>11.59</c:v>
                </c:pt>
                <c:pt idx="175">
                  <c:v>8.74</c:v>
                </c:pt>
                <c:pt idx="176">
                  <c:v>5.84</c:v>
                </c:pt>
                <c:pt idx="177">
                  <c:v>8.89</c:v>
                </c:pt>
                <c:pt idx="178">
                  <c:v>8.2949999999999999</c:v>
                </c:pt>
                <c:pt idx="179">
                  <c:v>4.74</c:v>
                </c:pt>
                <c:pt idx="180">
                  <c:v>5.59</c:v>
                </c:pt>
                <c:pt idx="181">
                  <c:v>8.6549999999999994</c:v>
                </c:pt>
                <c:pt idx="182">
                  <c:v>10.89</c:v>
                </c:pt>
                <c:pt idx="183">
                  <c:v>13.04</c:v>
                </c:pt>
              </c:numCache>
            </c:numRef>
          </c:yVal>
          <c:smooth val="0"/>
          <c:extLst>
            <c:ext xmlns:c16="http://schemas.microsoft.com/office/drawing/2014/chart" uri="{C3380CC4-5D6E-409C-BE32-E72D297353CC}">
              <c16:uniqueId val="{00000003-6205-46B4-84B2-2D9D685A2070}"/>
            </c:ext>
          </c:extLst>
        </c:ser>
        <c:dLbls>
          <c:showLegendKey val="0"/>
          <c:showVal val="0"/>
          <c:showCatName val="0"/>
          <c:showSerName val="0"/>
          <c:showPercent val="0"/>
          <c:showBubbleSize val="0"/>
        </c:dLbls>
        <c:axId val="537442448"/>
        <c:axId val="537443104"/>
      </c:scatterChart>
      <c:valAx>
        <c:axId val="537442448"/>
        <c:scaling>
          <c:orientation val="minMax"/>
          <c:max val="43404"/>
          <c:min val="43221"/>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7443104"/>
        <c:crosses val="autoZero"/>
        <c:crossBetween val="midCat"/>
        <c:majorUnit val="7"/>
      </c:valAx>
      <c:valAx>
        <c:axId val="537443104"/>
        <c:scaling>
          <c:orientation val="minMax"/>
          <c:max val="35"/>
          <c:min val="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7442448"/>
        <c:crosses val="autoZero"/>
        <c:crossBetween val="midCat"/>
      </c:valAx>
      <c:spPr>
        <a:noFill/>
        <a:ln>
          <a:noFill/>
        </a:ln>
        <a:effectLst/>
      </c:spPr>
    </c:plotArea>
    <c:legend>
      <c:legendPos val="b"/>
      <c:legendEntry>
        <c:idx val="1"/>
        <c:delete val="1"/>
      </c:legendEntry>
      <c:layout>
        <c:manualLayout>
          <c:xMode val="edge"/>
          <c:yMode val="edge"/>
          <c:x val="0.28867350749860426"/>
          <c:y val="0.60555942833413701"/>
          <c:w val="0.38272013553318063"/>
          <c:h val="0.17043457991670419"/>
        </c:manualLayout>
      </c:layout>
      <c:overlay val="0"/>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numRef>
              <c:f>'03 Connectivity'!$C$4:$C$21</c:f>
              <c:numCache>
                <c:formatCode>yyyy\-mm\-dd</c:formatCode>
                <c:ptCount val="18"/>
                <c:pt idx="0">
                  <c:v>43252</c:v>
                </c:pt>
                <c:pt idx="1">
                  <c:v>43269</c:v>
                </c:pt>
                <c:pt idx="2">
                  <c:v>43280</c:v>
                </c:pt>
                <c:pt idx="3">
                  <c:v>43284</c:v>
                </c:pt>
                <c:pt idx="4">
                  <c:v>43285</c:v>
                </c:pt>
                <c:pt idx="5">
                  <c:v>43286</c:v>
                </c:pt>
                <c:pt idx="6">
                  <c:v>43297</c:v>
                </c:pt>
                <c:pt idx="7">
                  <c:v>43298</c:v>
                </c:pt>
                <c:pt idx="8">
                  <c:v>43305</c:v>
                </c:pt>
                <c:pt idx="9">
                  <c:v>43319</c:v>
                </c:pt>
                <c:pt idx="10">
                  <c:v>43327</c:v>
                </c:pt>
                <c:pt idx="11">
                  <c:v>43328</c:v>
                </c:pt>
                <c:pt idx="12">
                  <c:v>43329</c:v>
                </c:pt>
                <c:pt idx="13">
                  <c:v>43332</c:v>
                </c:pt>
                <c:pt idx="14">
                  <c:v>43339</c:v>
                </c:pt>
                <c:pt idx="15">
                  <c:v>43348</c:v>
                </c:pt>
                <c:pt idx="16">
                  <c:v>43349</c:v>
                </c:pt>
                <c:pt idx="17">
                  <c:v>43360</c:v>
                </c:pt>
              </c:numCache>
            </c:numRef>
          </c:cat>
          <c:val>
            <c:numRef>
              <c:f>'03 Connectivity'!$D$4:$D$21</c:f>
              <c:numCache>
                <c:formatCode>0%</c:formatCode>
                <c:ptCount val="18"/>
                <c:pt idx="0">
                  <c:v>0.81694915254237299</c:v>
                </c:pt>
                <c:pt idx="1">
                  <c:v>0.822033898305085</c:v>
                </c:pt>
                <c:pt idx="2">
                  <c:v>0.81525423728813595</c:v>
                </c:pt>
                <c:pt idx="3">
                  <c:v>0.82446808510638303</c:v>
                </c:pt>
                <c:pt idx="4">
                  <c:v>0.83156028368794299</c:v>
                </c:pt>
                <c:pt idx="5">
                  <c:v>0.82801418439716301</c:v>
                </c:pt>
                <c:pt idx="6">
                  <c:v>0.84397163120567398</c:v>
                </c:pt>
                <c:pt idx="7">
                  <c:v>0.83333333333333304</c:v>
                </c:pt>
                <c:pt idx="8">
                  <c:v>0.81379310344827605</c:v>
                </c:pt>
                <c:pt idx="9">
                  <c:v>0.79432624113475203</c:v>
                </c:pt>
                <c:pt idx="10">
                  <c:v>0.81560283687943302</c:v>
                </c:pt>
                <c:pt idx="11">
                  <c:v>0.82037996545768599</c:v>
                </c:pt>
                <c:pt idx="12">
                  <c:v>0.810283687943262</c:v>
                </c:pt>
                <c:pt idx="13">
                  <c:v>0.796875</c:v>
                </c:pt>
                <c:pt idx="14">
                  <c:v>0.80496453900709197</c:v>
                </c:pt>
                <c:pt idx="15">
                  <c:v>0.793220338983051</c:v>
                </c:pt>
                <c:pt idx="16">
                  <c:v>0.793220338983051</c:v>
                </c:pt>
                <c:pt idx="17">
                  <c:v>0.793220338983051</c:v>
                </c:pt>
              </c:numCache>
            </c:numRef>
          </c:val>
          <c:extLst>
            <c:ext xmlns:c16="http://schemas.microsoft.com/office/drawing/2014/chart" uri="{C3380CC4-5D6E-409C-BE32-E72D297353CC}">
              <c16:uniqueId val="{00000000-20A2-4FFD-BA35-EA8EBFA6671A}"/>
            </c:ext>
          </c:extLst>
        </c:ser>
        <c:dLbls>
          <c:showLegendKey val="0"/>
          <c:showVal val="0"/>
          <c:showCatName val="0"/>
          <c:showSerName val="0"/>
          <c:showPercent val="0"/>
          <c:showBubbleSize val="0"/>
        </c:dLbls>
        <c:gapWidth val="100"/>
        <c:overlap val="-27"/>
        <c:axId val="510448880"/>
        <c:axId val="510447240"/>
      </c:barChart>
      <c:catAx>
        <c:axId val="510448880"/>
        <c:scaling>
          <c:orientation val="minMax"/>
        </c:scaling>
        <c:delete val="0"/>
        <c:axPos val="b"/>
        <c:numFmt formatCode="yyyy\-mm\-dd"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447240"/>
        <c:crosses val="autoZero"/>
        <c:auto val="0"/>
        <c:lblAlgn val="ctr"/>
        <c:lblOffset val="100"/>
        <c:noMultiLvlLbl val="0"/>
      </c:catAx>
      <c:valAx>
        <c:axId val="510447240"/>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 Participants Connected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44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'04 Connectivity II'!$B$2</c:f>
              <c:strCache>
                <c:ptCount val="1"/>
                <c:pt idx="0">
                  <c:v>% of CPP or CPP/RT Participants</c:v>
                </c:pt>
              </c:strCache>
            </c:strRef>
          </c:tx>
          <c:spPr>
            <a:solidFill>
              <a:schemeClr val="accent1"/>
            </a:solidFill>
            <a:ln>
              <a:noFill/>
            </a:ln>
            <a:effectLst/>
          </c:spPr>
          <c:invertIfNegative val="0"/>
          <c:val>
            <c:numRef>
              <c:f>'04 Connectivity II'!$B$3:$B$20</c:f>
              <c:numCache>
                <c:formatCode>0%</c:formatCode>
                <c:ptCount val="18"/>
                <c:pt idx="0">
                  <c:v>0.14237288135593201</c:v>
                </c:pt>
                <c:pt idx="1">
                  <c:v>5.93220338983051E-2</c:v>
                </c:pt>
                <c:pt idx="2">
                  <c:v>5.7627118644067797E-2</c:v>
                </c:pt>
                <c:pt idx="3">
                  <c:v>4.7457627118644097E-2</c:v>
                </c:pt>
                <c:pt idx="4">
                  <c:v>2.5423728813559299E-2</c:v>
                </c:pt>
                <c:pt idx="5">
                  <c:v>2.7118644067796599E-2</c:v>
                </c:pt>
                <c:pt idx="6">
                  <c:v>1.1864406779661E-2</c:v>
                </c:pt>
                <c:pt idx="7">
                  <c:v>1.01694915254237E-2</c:v>
                </c:pt>
                <c:pt idx="8">
                  <c:v>2.0338983050847501E-2</c:v>
                </c:pt>
                <c:pt idx="9">
                  <c:v>2.5423728813559299E-2</c:v>
                </c:pt>
                <c:pt idx="10">
                  <c:v>1.3559322033898299E-2</c:v>
                </c:pt>
                <c:pt idx="11">
                  <c:v>3.3898305084745801E-3</c:v>
                </c:pt>
                <c:pt idx="12">
                  <c:v>6.7796610169491497E-3</c:v>
                </c:pt>
                <c:pt idx="13">
                  <c:v>8.4745762711864406E-3</c:v>
                </c:pt>
                <c:pt idx="14">
                  <c:v>1.1864406779661E-2</c:v>
                </c:pt>
                <c:pt idx="15">
                  <c:v>1.1864406779661E-2</c:v>
                </c:pt>
                <c:pt idx="16">
                  <c:v>1.6949152542372899E-2</c:v>
                </c:pt>
                <c:pt idx="17">
                  <c:v>3.8983050847457602E-2</c:v>
                </c:pt>
              </c:numCache>
            </c:numRef>
          </c:val>
          <c:extLst>
            <c:ext xmlns:c16="http://schemas.microsoft.com/office/drawing/2014/chart" uri="{C3380CC4-5D6E-409C-BE32-E72D297353CC}">
              <c16:uniqueId val="{00000000-79B9-4406-91A7-CB1C7C1A0728}"/>
            </c:ext>
          </c:extLst>
        </c:ser>
        <c:dLbls>
          <c:showLegendKey val="0"/>
          <c:showVal val="0"/>
          <c:showCatName val="0"/>
          <c:showSerName val="0"/>
          <c:showPercent val="0"/>
          <c:showBubbleSize val="0"/>
        </c:dLbls>
        <c:gapWidth val="150"/>
        <c:overlap val="-27"/>
        <c:axId val="564105752"/>
        <c:axId val="564106080"/>
      </c:barChart>
      <c:catAx>
        <c:axId val="5641057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 of Events Disconnected</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4106080"/>
        <c:crosses val="autoZero"/>
        <c:auto val="1"/>
        <c:lblAlgn val="ctr"/>
        <c:lblOffset val="100"/>
        <c:noMultiLvlLbl val="0"/>
      </c:catAx>
      <c:valAx>
        <c:axId val="564106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Percent of CPP and CPP/RT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4105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5927068852844771E-2"/>
          <c:y val="3.0418247638938668E-2"/>
          <c:w val="0.87157967396600522"/>
          <c:h val="0.86497455275159918"/>
        </c:manualLayout>
      </c:layout>
      <c:scatterChart>
        <c:scatterStyle val="lineMarker"/>
        <c:varyColors val="0"/>
        <c:ser>
          <c:idx val="0"/>
          <c:order val="0"/>
          <c:tx>
            <c:strRef>
              <c:f>'01 Tabular Event Impacts'!$A$8</c:f>
              <c:strCache>
                <c:ptCount val="1"/>
                <c:pt idx="0">
                  <c:v>Average Number Connected</c:v>
                </c:pt>
              </c:strCache>
            </c:strRef>
          </c:tx>
          <c:spPr>
            <a:ln w="25400" cap="rnd">
              <a:noFill/>
              <a:round/>
            </a:ln>
            <a:effectLst/>
          </c:spPr>
          <c:marker>
            <c:symbol val="triangle"/>
            <c:size val="7"/>
            <c:spPr>
              <a:solidFill>
                <a:schemeClr val="accent4"/>
              </a:solidFill>
              <a:ln w="9525">
                <a:solidFill>
                  <a:schemeClr val="accent1"/>
                </a:solidFill>
              </a:ln>
              <a:effectLst/>
            </c:spPr>
          </c:marker>
          <c:errBars>
            <c:errDir val="y"/>
            <c:errBarType val="both"/>
            <c:errValType val="cust"/>
            <c:noEndCap val="0"/>
            <c:plus>
              <c:numRef>
                <c:f>'01 Tabular Event Impacts'!$D$8:$D$25</c:f>
                <c:numCache>
                  <c:formatCode>General</c:formatCode>
                  <c:ptCount val="18"/>
                  <c:pt idx="0">
                    <c:v>6.4619623412359606E-2</c:v>
                  </c:pt>
                  <c:pt idx="1">
                    <c:v>6.0145478583062698E-2</c:v>
                  </c:pt>
                  <c:pt idx="2">
                    <c:v>7.4211815683863105E-2</c:v>
                  </c:pt>
                  <c:pt idx="3">
                    <c:v>8.2616670414941695E-2</c:v>
                  </c:pt>
                  <c:pt idx="4">
                    <c:v>9.3506467454451903E-2</c:v>
                  </c:pt>
                  <c:pt idx="5">
                    <c:v>6.4671256720362905E-2</c:v>
                  </c:pt>
                  <c:pt idx="6">
                    <c:v>5.9722336113472503E-2</c:v>
                  </c:pt>
                  <c:pt idx="7">
                    <c:v>6.2532542643516195E-2</c:v>
                  </c:pt>
                  <c:pt idx="8">
                    <c:v>5.9903595168575699E-2</c:v>
                  </c:pt>
                  <c:pt idx="9">
                    <c:v>6.0958903971566399E-2</c:v>
                  </c:pt>
                  <c:pt idx="10">
                    <c:v>6.8495274108069298E-2</c:v>
                  </c:pt>
                  <c:pt idx="11">
                    <c:v>5.9686061465687702E-2</c:v>
                  </c:pt>
                  <c:pt idx="12">
                    <c:v>5.9123616853819103E-2</c:v>
                  </c:pt>
                  <c:pt idx="13">
                    <c:v>5.9500394896837602E-2</c:v>
                  </c:pt>
                  <c:pt idx="14">
                    <c:v>7.3398733663985402E-2</c:v>
                  </c:pt>
                  <c:pt idx="15">
                    <c:v>7.6061389024430201E-2</c:v>
                  </c:pt>
                  <c:pt idx="16">
                    <c:v>6.7584789868419398E-2</c:v>
                  </c:pt>
                  <c:pt idx="17">
                    <c:v>5.9458772269121003E-2</c:v>
                  </c:pt>
                </c:numCache>
              </c:numRef>
            </c:plus>
            <c:minus>
              <c:numRef>
                <c:f>'01 Tabular Event Impacts'!$D$8:$D$25</c:f>
                <c:numCache>
                  <c:formatCode>General</c:formatCode>
                  <c:ptCount val="18"/>
                  <c:pt idx="0">
                    <c:v>6.4619623412359606E-2</c:v>
                  </c:pt>
                  <c:pt idx="1">
                    <c:v>6.0145478583062698E-2</c:v>
                  </c:pt>
                  <c:pt idx="2">
                    <c:v>7.4211815683863105E-2</c:v>
                  </c:pt>
                  <c:pt idx="3">
                    <c:v>8.2616670414941695E-2</c:v>
                  </c:pt>
                  <c:pt idx="4">
                    <c:v>9.3506467454451903E-2</c:v>
                  </c:pt>
                  <c:pt idx="5">
                    <c:v>6.4671256720362905E-2</c:v>
                  </c:pt>
                  <c:pt idx="6">
                    <c:v>5.9722336113472503E-2</c:v>
                  </c:pt>
                  <c:pt idx="7">
                    <c:v>6.2532542643516195E-2</c:v>
                  </c:pt>
                  <c:pt idx="8">
                    <c:v>5.9903595168575699E-2</c:v>
                  </c:pt>
                  <c:pt idx="9">
                    <c:v>6.0958903971566399E-2</c:v>
                  </c:pt>
                  <c:pt idx="10">
                    <c:v>6.8495274108069298E-2</c:v>
                  </c:pt>
                  <c:pt idx="11">
                    <c:v>5.9686061465687702E-2</c:v>
                  </c:pt>
                  <c:pt idx="12">
                    <c:v>5.9123616853819103E-2</c:v>
                  </c:pt>
                  <c:pt idx="13">
                    <c:v>5.9500394896837602E-2</c:v>
                  </c:pt>
                  <c:pt idx="14">
                    <c:v>7.3398733663985402E-2</c:v>
                  </c:pt>
                  <c:pt idx="15">
                    <c:v>7.6061389024430201E-2</c:v>
                  </c:pt>
                  <c:pt idx="16">
                    <c:v>6.7584789868419398E-2</c:v>
                  </c:pt>
                  <c:pt idx="17">
                    <c:v>5.9458772269121003E-2</c:v>
                  </c:pt>
                </c:numCache>
              </c:numRef>
            </c:minus>
            <c:spPr>
              <a:noFill/>
              <a:ln w="9525" cap="flat" cmpd="sng" algn="ctr">
                <a:solidFill>
                  <a:schemeClr val="tx1">
                    <a:lumMod val="65000"/>
                    <a:lumOff val="35000"/>
                  </a:schemeClr>
                </a:solidFill>
                <a:round/>
              </a:ln>
              <a:effectLst/>
            </c:spPr>
          </c:errBars>
          <c:xVal>
            <c:numRef>
              <c:f>'01 Tabular Event Impacts'!$F$8:$F$25</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Impacts'!$C$8:$C$25</c:f>
              <c:numCache>
                <c:formatCode>General</c:formatCode>
                <c:ptCount val="18"/>
                <c:pt idx="0">
                  <c:v>0.604406360416471</c:v>
                </c:pt>
                <c:pt idx="1">
                  <c:v>0.64559838868261099</c:v>
                </c:pt>
                <c:pt idx="2">
                  <c:v>0.82905064757228097</c:v>
                </c:pt>
                <c:pt idx="3">
                  <c:v>0.90317109609486002</c:v>
                </c:pt>
                <c:pt idx="4">
                  <c:v>1.0010403327614299</c:v>
                </c:pt>
                <c:pt idx="5">
                  <c:v>0.68061324514493504</c:v>
                </c:pt>
                <c:pt idx="6">
                  <c:v>0.64247729145704802</c:v>
                </c:pt>
                <c:pt idx="7">
                  <c:v>0.46886565564920801</c:v>
                </c:pt>
                <c:pt idx="8">
                  <c:v>0.63390573848846099</c:v>
                </c:pt>
                <c:pt idx="9">
                  <c:v>0.65055914541073201</c:v>
                </c:pt>
                <c:pt idx="10">
                  <c:v>0.75978161892715501</c:v>
                </c:pt>
                <c:pt idx="11">
                  <c:v>0.531105107447573</c:v>
                </c:pt>
                <c:pt idx="12">
                  <c:v>0.56055009032331704</c:v>
                </c:pt>
                <c:pt idx="13">
                  <c:v>0.60837218144670402</c:v>
                </c:pt>
                <c:pt idx="14">
                  <c:v>0.81164957784237302</c:v>
                </c:pt>
                <c:pt idx="15">
                  <c:v>0.82701290908347402</c:v>
                </c:pt>
                <c:pt idx="16">
                  <c:v>0.395146984335986</c:v>
                </c:pt>
                <c:pt idx="17">
                  <c:v>0.53734674004552496</c:v>
                </c:pt>
              </c:numCache>
            </c:numRef>
          </c:yVal>
          <c:smooth val="0"/>
          <c:extLst>
            <c:ext xmlns:c16="http://schemas.microsoft.com/office/drawing/2014/chart" uri="{C3380CC4-5D6E-409C-BE32-E72D297353CC}">
              <c16:uniqueId val="{00000000-A8D7-476F-915E-9B397DBA551B}"/>
            </c:ext>
          </c:extLst>
        </c:ser>
        <c:ser>
          <c:idx val="1"/>
          <c:order val="1"/>
          <c:tx>
            <c:strRef>
              <c:f>'01 Tabular Event Impacts'!$A$30</c:f>
              <c:strCache>
                <c:ptCount val="1"/>
                <c:pt idx="0">
                  <c:v>Connected Only</c:v>
                </c:pt>
              </c:strCache>
            </c:strRef>
          </c:tx>
          <c:spPr>
            <a:ln w="25400" cap="rnd">
              <a:noFill/>
              <a:round/>
            </a:ln>
            <a:effectLst/>
          </c:spPr>
          <c:marker>
            <c:symbol val="diamond"/>
            <c:size val="7"/>
            <c:spPr>
              <a:solidFill>
                <a:schemeClr val="accent2"/>
              </a:solidFill>
              <a:ln w="9525">
                <a:solidFill>
                  <a:schemeClr val="accent1"/>
                </a:solidFill>
              </a:ln>
              <a:effectLst/>
            </c:spPr>
          </c:marker>
          <c:errBars>
            <c:errDir val="y"/>
            <c:errBarType val="both"/>
            <c:errValType val="cust"/>
            <c:noEndCap val="0"/>
            <c:plus>
              <c:numRef>
                <c:f>'01 Tabular Event Impacts'!$D$30:$D$47</c:f>
                <c:numCache>
                  <c:formatCode>General</c:formatCode>
                  <c:ptCount val="18"/>
                  <c:pt idx="0">
                    <c:v>6.5772048449953699E-2</c:v>
                  </c:pt>
                  <c:pt idx="1">
                    <c:v>6.15807236260556E-2</c:v>
                  </c:pt>
                  <c:pt idx="2">
                    <c:v>7.6053073947805999E-2</c:v>
                  </c:pt>
                  <c:pt idx="3">
                    <c:v>8.5366421332580003E-2</c:v>
                  </c:pt>
                  <c:pt idx="4">
                    <c:v>9.5958384606224398E-2</c:v>
                  </c:pt>
                  <c:pt idx="5">
                    <c:v>6.6040477320351301E-2</c:v>
                  </c:pt>
                  <c:pt idx="6">
                    <c:v>6.1150729222401799E-2</c:v>
                  </c:pt>
                  <c:pt idx="7">
                    <c:v>6.3937096456001499E-2</c:v>
                  </c:pt>
                  <c:pt idx="8">
                    <c:v>6.12905025007177E-2</c:v>
                  </c:pt>
                  <c:pt idx="9">
                    <c:v>6.23331985621038E-2</c:v>
                  </c:pt>
                  <c:pt idx="10">
                    <c:v>7.0105818511241702E-2</c:v>
                  </c:pt>
                  <c:pt idx="11">
                    <c:v>6.09656981597059E-2</c:v>
                  </c:pt>
                  <c:pt idx="12">
                    <c:v>6.0370772616247799E-2</c:v>
                  </c:pt>
                  <c:pt idx="13">
                    <c:v>6.07633508556501E-2</c:v>
                  </c:pt>
                  <c:pt idx="14">
                    <c:v>7.5585844099427799E-2</c:v>
                  </c:pt>
                  <c:pt idx="15">
                    <c:v>7.8300777959352405E-2</c:v>
                  </c:pt>
                  <c:pt idx="16">
                    <c:v>6.8983859706616496E-2</c:v>
                  </c:pt>
                  <c:pt idx="17">
                    <c:v>6.0609426077927298E-2</c:v>
                  </c:pt>
                </c:numCache>
              </c:numRef>
            </c:plus>
            <c:minus>
              <c:numRef>
                <c:f>'01 Tabular Event Impacts'!$D$30:$D$47</c:f>
                <c:numCache>
                  <c:formatCode>General</c:formatCode>
                  <c:ptCount val="18"/>
                  <c:pt idx="0">
                    <c:v>6.5772048449953699E-2</c:v>
                  </c:pt>
                  <c:pt idx="1">
                    <c:v>6.15807236260556E-2</c:v>
                  </c:pt>
                  <c:pt idx="2">
                    <c:v>7.6053073947805999E-2</c:v>
                  </c:pt>
                  <c:pt idx="3">
                    <c:v>8.5366421332580003E-2</c:v>
                  </c:pt>
                  <c:pt idx="4">
                    <c:v>9.5958384606224398E-2</c:v>
                  </c:pt>
                  <c:pt idx="5">
                    <c:v>6.6040477320351301E-2</c:v>
                  </c:pt>
                  <c:pt idx="6">
                    <c:v>6.1150729222401799E-2</c:v>
                  </c:pt>
                  <c:pt idx="7">
                    <c:v>6.3937096456001499E-2</c:v>
                  </c:pt>
                  <c:pt idx="8">
                    <c:v>6.12905025007177E-2</c:v>
                  </c:pt>
                  <c:pt idx="9">
                    <c:v>6.23331985621038E-2</c:v>
                  </c:pt>
                  <c:pt idx="10">
                    <c:v>7.0105818511241702E-2</c:v>
                  </c:pt>
                  <c:pt idx="11">
                    <c:v>6.09656981597059E-2</c:v>
                  </c:pt>
                  <c:pt idx="12">
                    <c:v>6.0370772616247799E-2</c:v>
                  </c:pt>
                  <c:pt idx="13">
                    <c:v>6.07633508556501E-2</c:v>
                  </c:pt>
                  <c:pt idx="14">
                    <c:v>7.5585844099427799E-2</c:v>
                  </c:pt>
                  <c:pt idx="15">
                    <c:v>7.8300777959352405E-2</c:v>
                  </c:pt>
                  <c:pt idx="16">
                    <c:v>6.8983859706616496E-2</c:v>
                  </c:pt>
                  <c:pt idx="17">
                    <c:v>6.0609426077927298E-2</c:v>
                  </c:pt>
                </c:numCache>
              </c:numRef>
            </c:minus>
            <c:spPr>
              <a:noFill/>
              <a:ln w="9525" cap="flat" cmpd="sng" algn="ctr">
                <a:solidFill>
                  <a:schemeClr val="tx1">
                    <a:lumMod val="65000"/>
                    <a:lumOff val="35000"/>
                  </a:schemeClr>
                </a:solidFill>
                <a:round/>
              </a:ln>
              <a:effectLst/>
            </c:spPr>
          </c:errBars>
          <c:xVal>
            <c:numRef>
              <c:f>'01 Tabular Event Impacts'!$F$30:$F$47</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Impacts'!$C$30:$C$47</c:f>
              <c:numCache>
                <c:formatCode>General</c:formatCode>
                <c:ptCount val="18"/>
                <c:pt idx="0">
                  <c:v>0.67290433292960705</c:v>
                </c:pt>
                <c:pt idx="1">
                  <c:v>0.72380370337255595</c:v>
                </c:pt>
                <c:pt idx="2">
                  <c:v>0.93777611831433405</c:v>
                </c:pt>
                <c:pt idx="3">
                  <c:v>1.02625797306125</c:v>
                </c:pt>
                <c:pt idx="4">
                  <c:v>1.1257939141573801</c:v>
                </c:pt>
                <c:pt idx="5">
                  <c:v>0.75662028582322505</c:v>
                </c:pt>
                <c:pt idx="6">
                  <c:v>0.70904983655847398</c:v>
                </c:pt>
                <c:pt idx="7">
                  <c:v>0.51147631574379904</c:v>
                </c:pt>
                <c:pt idx="8">
                  <c:v>0.71418161631989396</c:v>
                </c:pt>
                <c:pt idx="9">
                  <c:v>0.744651558653326</c:v>
                </c:pt>
                <c:pt idx="10">
                  <c:v>0.85611875442629604</c:v>
                </c:pt>
                <c:pt idx="11">
                  <c:v>0.58909448463527903</c:v>
                </c:pt>
                <c:pt idx="12">
                  <c:v>0.62822430531610696</c:v>
                </c:pt>
                <c:pt idx="13">
                  <c:v>0.69205081609876995</c:v>
                </c:pt>
                <c:pt idx="14">
                  <c:v>0.93260299241533695</c:v>
                </c:pt>
                <c:pt idx="15">
                  <c:v>0.96018630863297005</c:v>
                </c:pt>
                <c:pt idx="16">
                  <c:v>0.43417888308740898</c:v>
                </c:pt>
                <c:pt idx="17">
                  <c:v>0.60737645003533802</c:v>
                </c:pt>
              </c:numCache>
            </c:numRef>
          </c:yVal>
          <c:smooth val="0"/>
          <c:extLst>
            <c:ext xmlns:c16="http://schemas.microsoft.com/office/drawing/2014/chart" uri="{C3380CC4-5D6E-409C-BE32-E72D297353CC}">
              <c16:uniqueId val="{00000001-A8D7-476F-915E-9B397DBA551B}"/>
            </c:ext>
          </c:extLst>
        </c:ser>
        <c:ser>
          <c:idx val="2"/>
          <c:order val="2"/>
          <c:tx>
            <c:strRef>
              <c:f>'01 Tabular Event Impacts'!$A$52</c:f>
              <c:strCache>
                <c:ptCount val="1"/>
                <c:pt idx="0">
                  <c:v>Unconnected</c:v>
                </c:pt>
              </c:strCache>
            </c:strRef>
          </c:tx>
          <c:spPr>
            <a:ln w="25400" cap="rnd">
              <a:noFill/>
              <a:round/>
            </a:ln>
            <a:effectLst/>
          </c:spPr>
          <c:marker>
            <c:symbol val="square"/>
            <c:size val="7"/>
            <c:spPr>
              <a:solidFill>
                <a:schemeClr val="accent3"/>
              </a:solidFill>
              <a:ln w="9525">
                <a:solidFill>
                  <a:schemeClr val="accent1"/>
                </a:solidFill>
              </a:ln>
              <a:effectLst/>
            </c:spPr>
          </c:marker>
          <c:errBars>
            <c:errDir val="y"/>
            <c:errBarType val="both"/>
            <c:errValType val="cust"/>
            <c:noEndCap val="0"/>
            <c:plus>
              <c:numRef>
                <c:f>'01 Tabular Event Impacts'!$D$52:$D$69</c:f>
                <c:numCache>
                  <c:formatCode>General</c:formatCode>
                  <c:ptCount val="18"/>
                  <c:pt idx="0">
                    <c:v>9.4900721672838501E-2</c:v>
                  </c:pt>
                  <c:pt idx="1">
                    <c:v>9.35888383670236E-2</c:v>
                  </c:pt>
                  <c:pt idx="2">
                    <c:v>0.116652342560061</c:v>
                  </c:pt>
                  <c:pt idx="3">
                    <c:v>0.13791580977841</c:v>
                  </c:pt>
                  <c:pt idx="4">
                    <c:v>0.152172303850793</c:v>
                  </c:pt>
                  <c:pt idx="5">
                    <c:v>9.6652321479046704E-2</c:v>
                  </c:pt>
                  <c:pt idx="6">
                    <c:v>9.2752317692433403E-2</c:v>
                  </c:pt>
                  <c:pt idx="7">
                    <c:v>9.8006978145285403E-2</c:v>
                  </c:pt>
                  <c:pt idx="8">
                    <c:v>9.3024588432166697E-2</c:v>
                  </c:pt>
                  <c:pt idx="9">
                    <c:v>9.5046307242000597E-2</c:v>
                  </c:pt>
                  <c:pt idx="10">
                    <c:v>0.1052870899771</c:v>
                  </c:pt>
                  <c:pt idx="11">
                    <c:v>9.23353120323923E-2</c:v>
                  </c:pt>
                  <c:pt idx="12">
                    <c:v>9.1203309571845997E-2</c:v>
                  </c:pt>
                  <c:pt idx="13">
                    <c:v>9.1995377381377003E-2</c:v>
                  </c:pt>
                  <c:pt idx="14">
                    <c:v>0.120011956966748</c:v>
                  </c:pt>
                  <c:pt idx="15">
                    <c:v>0.12501481752540999</c:v>
                  </c:pt>
                  <c:pt idx="16">
                    <c:v>0.10752876560126599</c:v>
                  </c:pt>
                  <c:pt idx="17">
                    <c:v>9.1655149632314206E-2</c:v>
                  </c:pt>
                </c:numCache>
              </c:numRef>
            </c:plus>
            <c:minus>
              <c:numRef>
                <c:f>'01 Tabular Event Impacts'!$D$52:$D$69</c:f>
                <c:numCache>
                  <c:formatCode>General</c:formatCode>
                  <c:ptCount val="18"/>
                  <c:pt idx="0">
                    <c:v>9.4900721672838501E-2</c:v>
                  </c:pt>
                  <c:pt idx="1">
                    <c:v>9.35888383670236E-2</c:v>
                  </c:pt>
                  <c:pt idx="2">
                    <c:v>0.116652342560061</c:v>
                  </c:pt>
                  <c:pt idx="3">
                    <c:v>0.13791580977841</c:v>
                  </c:pt>
                  <c:pt idx="4">
                    <c:v>0.152172303850793</c:v>
                  </c:pt>
                  <c:pt idx="5">
                    <c:v>9.6652321479046704E-2</c:v>
                  </c:pt>
                  <c:pt idx="6">
                    <c:v>9.2752317692433403E-2</c:v>
                  </c:pt>
                  <c:pt idx="7">
                    <c:v>9.8006978145285403E-2</c:v>
                  </c:pt>
                  <c:pt idx="8">
                    <c:v>9.3024588432166697E-2</c:v>
                  </c:pt>
                  <c:pt idx="9">
                    <c:v>9.5046307242000597E-2</c:v>
                  </c:pt>
                  <c:pt idx="10">
                    <c:v>0.1052870899771</c:v>
                  </c:pt>
                  <c:pt idx="11">
                    <c:v>9.23353120323923E-2</c:v>
                  </c:pt>
                  <c:pt idx="12">
                    <c:v>9.1203309571845997E-2</c:v>
                  </c:pt>
                  <c:pt idx="13">
                    <c:v>9.1995377381377003E-2</c:v>
                  </c:pt>
                  <c:pt idx="14">
                    <c:v>0.120011956966748</c:v>
                  </c:pt>
                  <c:pt idx="15">
                    <c:v>0.12501481752540999</c:v>
                  </c:pt>
                  <c:pt idx="16">
                    <c:v>0.10752876560126599</c:v>
                  </c:pt>
                  <c:pt idx="17">
                    <c:v>9.1655149632314206E-2</c:v>
                  </c:pt>
                </c:numCache>
              </c:numRef>
            </c:minus>
            <c:spPr>
              <a:noFill/>
              <a:ln w="9525" cap="flat" cmpd="sng" algn="ctr">
                <a:solidFill>
                  <a:schemeClr val="tx1">
                    <a:lumMod val="65000"/>
                    <a:lumOff val="35000"/>
                  </a:schemeClr>
                </a:solidFill>
                <a:round/>
              </a:ln>
              <a:effectLst/>
            </c:spPr>
          </c:errBars>
          <c:xVal>
            <c:numRef>
              <c:f>'01 Tabular Event Impacts'!$F$52:$F$69</c:f>
              <c:numCache>
                <c:formatCode>General</c:formatCode>
                <c:ptCount val="18"/>
                <c:pt idx="0">
                  <c:v>24.24</c:v>
                </c:pt>
                <c:pt idx="1">
                  <c:v>25.414999999999999</c:v>
                </c:pt>
                <c:pt idx="2">
                  <c:v>28.1</c:v>
                </c:pt>
                <c:pt idx="3">
                  <c:v>30.13</c:v>
                </c:pt>
                <c:pt idx="4">
                  <c:v>30.84</c:v>
                </c:pt>
                <c:pt idx="5">
                  <c:v>25.46</c:v>
                </c:pt>
                <c:pt idx="6">
                  <c:v>25.184999999999999</c:v>
                </c:pt>
                <c:pt idx="7">
                  <c:v>22.105</c:v>
                </c:pt>
                <c:pt idx="8">
                  <c:v>25.265000000000001</c:v>
                </c:pt>
                <c:pt idx="9">
                  <c:v>25.74</c:v>
                </c:pt>
                <c:pt idx="10">
                  <c:v>26.91</c:v>
                </c:pt>
                <c:pt idx="11">
                  <c:v>23.315000000000001</c:v>
                </c:pt>
                <c:pt idx="12">
                  <c:v>23.925000000000001</c:v>
                </c:pt>
                <c:pt idx="13">
                  <c:v>24.92</c:v>
                </c:pt>
                <c:pt idx="14">
                  <c:v>28.67</c:v>
                </c:pt>
                <c:pt idx="15">
                  <c:v>29.1</c:v>
                </c:pt>
                <c:pt idx="16">
                  <c:v>20.9</c:v>
                </c:pt>
                <c:pt idx="17">
                  <c:v>23.6</c:v>
                </c:pt>
              </c:numCache>
            </c:numRef>
          </c:xVal>
          <c:yVal>
            <c:numRef>
              <c:f>'01 Tabular Event Impacts'!$C$52:$C$69</c:f>
              <c:numCache>
                <c:formatCode>General</c:formatCode>
                <c:ptCount val="18"/>
                <c:pt idx="0">
                  <c:v>0.29870244605229102</c:v>
                </c:pt>
                <c:pt idx="1">
                  <c:v>0.28436431606714702</c:v>
                </c:pt>
                <c:pt idx="2">
                  <c:v>0.34926210237111099</c:v>
                </c:pt>
                <c:pt idx="3">
                  <c:v>0.32503576488906999</c:v>
                </c:pt>
                <c:pt idx="4">
                  <c:v>0.38515159934353799</c:v>
                </c:pt>
                <c:pt idx="5">
                  <c:v>0.31468244105461202</c:v>
                </c:pt>
                <c:pt idx="6">
                  <c:v>0.28238034295388198</c:v>
                </c:pt>
                <c:pt idx="7">
                  <c:v>0.255812355176253</c:v>
                </c:pt>
                <c:pt idx="8">
                  <c:v>0.28307042055849602</c:v>
                </c:pt>
                <c:pt idx="9">
                  <c:v>0.28716775633588998</c:v>
                </c:pt>
                <c:pt idx="10">
                  <c:v>0.33367505806556802</c:v>
                </c:pt>
                <c:pt idx="11">
                  <c:v>0.26624977894603602</c:v>
                </c:pt>
                <c:pt idx="12">
                  <c:v>0.27151162068121598</c:v>
                </c:pt>
                <c:pt idx="13">
                  <c:v>0.28009446088859902</c:v>
                </c:pt>
                <c:pt idx="14">
                  <c:v>0.31244184860486901</c:v>
                </c:pt>
                <c:pt idx="15">
                  <c:v>0.31615101572966797</c:v>
                </c:pt>
                <c:pt idx="16">
                  <c:v>0.245418061256758</c:v>
                </c:pt>
                <c:pt idx="17">
                  <c:v>0.26870818041247202</c:v>
                </c:pt>
              </c:numCache>
            </c:numRef>
          </c:yVal>
          <c:smooth val="0"/>
          <c:extLst>
            <c:ext xmlns:c16="http://schemas.microsoft.com/office/drawing/2014/chart" uri="{C3380CC4-5D6E-409C-BE32-E72D297353CC}">
              <c16:uniqueId val="{00000002-A8D7-476F-915E-9B397DBA551B}"/>
            </c:ext>
          </c:extLst>
        </c:ser>
        <c:ser>
          <c:idx val="3"/>
          <c:order val="3"/>
          <c:tx>
            <c:strRef>
              <c:f>'02 Scatter Plot'!$A$3</c:f>
              <c:strCache>
                <c:ptCount val="1"/>
                <c:pt idx="0">
                  <c:v>Ex Ante Average Number Connected</c:v>
                </c:pt>
              </c:strCache>
            </c:strRef>
          </c:tx>
          <c:spPr>
            <a:ln w="12700" cap="rnd">
              <a:solidFill>
                <a:schemeClr val="accent4"/>
              </a:solidFill>
              <a:round/>
            </a:ln>
            <a:effectLst/>
          </c:spPr>
          <c:marker>
            <c:symbol val="none"/>
          </c:marker>
          <c:xVal>
            <c:numRef>
              <c:f>'02 Scatter Plot'!$B$3:$B$27</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Plot'!$D$3:$D$27</c:f>
              <c:numCache>
                <c:formatCode>General</c:formatCode>
                <c:ptCount val="25"/>
                <c:pt idx="0">
                  <c:v>0.35336662426415399</c:v>
                </c:pt>
                <c:pt idx="1">
                  <c:v>0.38139089562606898</c:v>
                </c:pt>
                <c:pt idx="2">
                  <c:v>0.40941516698798402</c:v>
                </c:pt>
                <c:pt idx="3">
                  <c:v>0.43743943834989901</c:v>
                </c:pt>
                <c:pt idx="4">
                  <c:v>0.465463709711814</c:v>
                </c:pt>
                <c:pt idx="5">
                  <c:v>0.49348798107372799</c:v>
                </c:pt>
                <c:pt idx="6">
                  <c:v>0.52151225243564303</c:v>
                </c:pt>
                <c:pt idx="7">
                  <c:v>0.54953652379755802</c:v>
                </c:pt>
                <c:pt idx="8">
                  <c:v>0.57756079515947301</c:v>
                </c:pt>
                <c:pt idx="9">
                  <c:v>0.60558506652138699</c:v>
                </c:pt>
                <c:pt idx="10">
                  <c:v>0.63360933788330198</c:v>
                </c:pt>
                <c:pt idx="11">
                  <c:v>0.66163360924521697</c:v>
                </c:pt>
                <c:pt idx="12">
                  <c:v>0.68965788060713196</c:v>
                </c:pt>
                <c:pt idx="13">
                  <c:v>0.71768215196904594</c:v>
                </c:pt>
                <c:pt idx="14">
                  <c:v>0.74570642333096104</c:v>
                </c:pt>
                <c:pt idx="15">
                  <c:v>0.77373069469287603</c:v>
                </c:pt>
                <c:pt idx="16">
                  <c:v>0.80175496605479102</c:v>
                </c:pt>
                <c:pt idx="17">
                  <c:v>0.82977923741670501</c:v>
                </c:pt>
                <c:pt idx="18">
                  <c:v>0.85780350877861999</c:v>
                </c:pt>
                <c:pt idx="19">
                  <c:v>0.88582778014053498</c:v>
                </c:pt>
                <c:pt idx="20">
                  <c:v>0.91385205150244997</c:v>
                </c:pt>
                <c:pt idx="21">
                  <c:v>0.94187632286436396</c:v>
                </c:pt>
                <c:pt idx="22">
                  <c:v>0.96990059422627894</c:v>
                </c:pt>
                <c:pt idx="23">
                  <c:v>0.99792486558819404</c:v>
                </c:pt>
                <c:pt idx="24">
                  <c:v>1.0259491369501099</c:v>
                </c:pt>
              </c:numCache>
            </c:numRef>
          </c:yVal>
          <c:smooth val="0"/>
          <c:extLst>
            <c:ext xmlns:c16="http://schemas.microsoft.com/office/drawing/2014/chart" uri="{C3380CC4-5D6E-409C-BE32-E72D297353CC}">
              <c16:uniqueId val="{00000003-A8D7-476F-915E-9B397DBA551B}"/>
            </c:ext>
          </c:extLst>
        </c:ser>
        <c:ser>
          <c:idx val="4"/>
          <c:order val="4"/>
          <c:tx>
            <c:strRef>
              <c:f>'02 Scatter Plot'!$A$30</c:f>
              <c:strCache>
                <c:ptCount val="1"/>
                <c:pt idx="0">
                  <c:v>Ex Ante Connected Only</c:v>
                </c:pt>
              </c:strCache>
            </c:strRef>
          </c:tx>
          <c:spPr>
            <a:ln w="12700" cap="rnd">
              <a:solidFill>
                <a:schemeClr val="accent2"/>
              </a:solidFill>
              <a:round/>
            </a:ln>
            <a:effectLst/>
          </c:spPr>
          <c:marker>
            <c:symbol val="none"/>
          </c:marker>
          <c:xVal>
            <c:numRef>
              <c:f>'02 Scatter Plot'!$B$30:$B$54</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Plot'!$D$30:$D$54</c:f>
              <c:numCache>
                <c:formatCode>General</c:formatCode>
                <c:ptCount val="25"/>
                <c:pt idx="0">
                  <c:v>0.37920172378947797</c:v>
                </c:pt>
                <c:pt idx="1">
                  <c:v>0.41239344392375599</c:v>
                </c:pt>
                <c:pt idx="2">
                  <c:v>0.445585164058034</c:v>
                </c:pt>
                <c:pt idx="3">
                  <c:v>0.47877688419231101</c:v>
                </c:pt>
                <c:pt idx="4">
                  <c:v>0.51196860432658897</c:v>
                </c:pt>
                <c:pt idx="5">
                  <c:v>0.54516032446086704</c:v>
                </c:pt>
                <c:pt idx="6">
                  <c:v>0.578352044595144</c:v>
                </c:pt>
                <c:pt idx="7">
                  <c:v>0.61154376472942196</c:v>
                </c:pt>
                <c:pt idx="8">
                  <c:v>0.64473548486369903</c:v>
                </c:pt>
                <c:pt idx="9">
                  <c:v>0.67792720499797698</c:v>
                </c:pt>
                <c:pt idx="10">
                  <c:v>0.71111892513225505</c:v>
                </c:pt>
                <c:pt idx="11">
                  <c:v>0.74431064526653201</c:v>
                </c:pt>
                <c:pt idx="12">
                  <c:v>0.77750236540080997</c:v>
                </c:pt>
                <c:pt idx="13">
                  <c:v>0.81069408553508804</c:v>
                </c:pt>
                <c:pt idx="14">
                  <c:v>0.843885805669365</c:v>
                </c:pt>
                <c:pt idx="15">
                  <c:v>0.87707752580364295</c:v>
                </c:pt>
                <c:pt idx="16">
                  <c:v>0.91026924593792102</c:v>
                </c:pt>
                <c:pt idx="17">
                  <c:v>0.94346096607219798</c:v>
                </c:pt>
                <c:pt idx="18">
                  <c:v>0.97665268620647605</c:v>
                </c:pt>
                <c:pt idx="19">
                  <c:v>1.0098444063407499</c:v>
                </c:pt>
                <c:pt idx="20">
                  <c:v>1.0430361264750301</c:v>
                </c:pt>
                <c:pt idx="21">
                  <c:v>1.07622784660931</c:v>
                </c:pt>
                <c:pt idx="22">
                  <c:v>1.10941956674359</c:v>
                </c:pt>
                <c:pt idx="23">
                  <c:v>1.14261128687786</c:v>
                </c:pt>
                <c:pt idx="24">
                  <c:v>1.1758030070121399</c:v>
                </c:pt>
              </c:numCache>
            </c:numRef>
          </c:yVal>
          <c:smooth val="0"/>
          <c:extLst>
            <c:ext xmlns:c16="http://schemas.microsoft.com/office/drawing/2014/chart" uri="{C3380CC4-5D6E-409C-BE32-E72D297353CC}">
              <c16:uniqueId val="{00000004-A8D7-476F-915E-9B397DBA551B}"/>
            </c:ext>
          </c:extLst>
        </c:ser>
        <c:ser>
          <c:idx val="5"/>
          <c:order val="5"/>
          <c:tx>
            <c:strRef>
              <c:f>'02 Scatter Plot'!$A$57</c:f>
              <c:strCache>
                <c:ptCount val="1"/>
                <c:pt idx="0">
                  <c:v>Ex Ante Unconnected</c:v>
                </c:pt>
              </c:strCache>
            </c:strRef>
          </c:tx>
          <c:spPr>
            <a:ln w="12700" cap="rnd">
              <a:solidFill>
                <a:schemeClr val="accent3"/>
              </a:solidFill>
              <a:round/>
            </a:ln>
            <a:effectLst/>
          </c:spPr>
          <c:marker>
            <c:symbol val="none"/>
          </c:marker>
          <c:xVal>
            <c:numRef>
              <c:f>'02 Scatter Plot'!$B$57:$B$81</c:f>
              <c:numCache>
                <c:formatCode>General</c:formatCode>
                <c:ptCount val="25"/>
                <c:pt idx="0">
                  <c:v>20</c:v>
                </c:pt>
                <c:pt idx="1">
                  <c:v>20.5</c:v>
                </c:pt>
                <c:pt idx="2">
                  <c:v>21</c:v>
                </c:pt>
                <c:pt idx="3">
                  <c:v>21.5</c:v>
                </c:pt>
                <c:pt idx="4">
                  <c:v>22</c:v>
                </c:pt>
                <c:pt idx="5">
                  <c:v>22.5</c:v>
                </c:pt>
                <c:pt idx="6">
                  <c:v>23</c:v>
                </c:pt>
                <c:pt idx="7">
                  <c:v>23.5</c:v>
                </c:pt>
                <c:pt idx="8">
                  <c:v>24</c:v>
                </c:pt>
                <c:pt idx="9">
                  <c:v>24.5</c:v>
                </c:pt>
                <c:pt idx="10">
                  <c:v>25</c:v>
                </c:pt>
                <c:pt idx="11">
                  <c:v>25.5</c:v>
                </c:pt>
                <c:pt idx="12">
                  <c:v>26</c:v>
                </c:pt>
                <c:pt idx="13">
                  <c:v>26.5</c:v>
                </c:pt>
                <c:pt idx="14">
                  <c:v>27</c:v>
                </c:pt>
                <c:pt idx="15">
                  <c:v>27.5</c:v>
                </c:pt>
                <c:pt idx="16">
                  <c:v>28</c:v>
                </c:pt>
                <c:pt idx="17">
                  <c:v>28.5</c:v>
                </c:pt>
                <c:pt idx="18">
                  <c:v>29</c:v>
                </c:pt>
                <c:pt idx="19">
                  <c:v>29.5</c:v>
                </c:pt>
                <c:pt idx="20">
                  <c:v>30</c:v>
                </c:pt>
                <c:pt idx="21">
                  <c:v>30.5</c:v>
                </c:pt>
                <c:pt idx="22">
                  <c:v>31</c:v>
                </c:pt>
                <c:pt idx="23">
                  <c:v>31.5</c:v>
                </c:pt>
                <c:pt idx="24">
                  <c:v>32</c:v>
                </c:pt>
              </c:numCache>
            </c:numRef>
          </c:xVal>
          <c:yVal>
            <c:numRef>
              <c:f>'02 Scatter Plot'!$D$57:$D$81</c:f>
              <c:numCache>
                <c:formatCode>General</c:formatCode>
                <c:ptCount val="25"/>
                <c:pt idx="0">
                  <c:v>0.24041005122289899</c:v>
                </c:pt>
                <c:pt idx="1">
                  <c:v>0.24584113287713699</c:v>
                </c:pt>
                <c:pt idx="2">
                  <c:v>0.25127221453137499</c:v>
                </c:pt>
                <c:pt idx="3">
                  <c:v>0.25670329618561299</c:v>
                </c:pt>
                <c:pt idx="4">
                  <c:v>0.262134377839851</c:v>
                </c:pt>
                <c:pt idx="5">
                  <c:v>0.267565459494089</c:v>
                </c:pt>
                <c:pt idx="6">
                  <c:v>0.272996541148327</c:v>
                </c:pt>
                <c:pt idx="7">
                  <c:v>0.278427622802565</c:v>
                </c:pt>
                <c:pt idx="8">
                  <c:v>0.283858704456802</c:v>
                </c:pt>
                <c:pt idx="9">
                  <c:v>0.28928978611104</c:v>
                </c:pt>
                <c:pt idx="10">
                  <c:v>0.29472086776527801</c:v>
                </c:pt>
                <c:pt idx="11">
                  <c:v>0.30015194941951601</c:v>
                </c:pt>
                <c:pt idx="12">
                  <c:v>0.30558303107375401</c:v>
                </c:pt>
                <c:pt idx="13">
                  <c:v>0.31101411272799201</c:v>
                </c:pt>
                <c:pt idx="14">
                  <c:v>0.31644519438223001</c:v>
                </c:pt>
                <c:pt idx="15">
                  <c:v>0.32187627603646801</c:v>
                </c:pt>
                <c:pt idx="16">
                  <c:v>0.32730735769070601</c:v>
                </c:pt>
                <c:pt idx="17">
                  <c:v>0.33273843934494401</c:v>
                </c:pt>
                <c:pt idx="18">
                  <c:v>0.33816952099918202</c:v>
                </c:pt>
                <c:pt idx="19">
                  <c:v>0.34360060265342002</c:v>
                </c:pt>
                <c:pt idx="20">
                  <c:v>0.34903168430765802</c:v>
                </c:pt>
                <c:pt idx="21">
                  <c:v>0.35446276596189602</c:v>
                </c:pt>
                <c:pt idx="22">
                  <c:v>0.35989384761613402</c:v>
                </c:pt>
                <c:pt idx="23">
                  <c:v>0.36532492927037102</c:v>
                </c:pt>
                <c:pt idx="24">
                  <c:v>0.37075601092460903</c:v>
                </c:pt>
              </c:numCache>
            </c:numRef>
          </c:yVal>
          <c:smooth val="0"/>
          <c:extLst>
            <c:ext xmlns:c16="http://schemas.microsoft.com/office/drawing/2014/chart" uri="{C3380CC4-5D6E-409C-BE32-E72D297353CC}">
              <c16:uniqueId val="{00000005-A8D7-476F-915E-9B397DBA551B}"/>
            </c:ext>
          </c:extLst>
        </c:ser>
        <c:dLbls>
          <c:showLegendKey val="0"/>
          <c:showVal val="0"/>
          <c:showCatName val="0"/>
          <c:showSerName val="0"/>
          <c:showPercent val="0"/>
          <c:showBubbleSize val="0"/>
        </c:dLbls>
        <c:axId val="510324568"/>
        <c:axId val="510324896"/>
      </c:scatterChart>
      <c:valAx>
        <c:axId val="510324568"/>
        <c:scaling>
          <c:orientation val="minMax"/>
          <c:max val="32"/>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Event Temperature (Celsius)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324896"/>
        <c:crosses val="autoZero"/>
        <c:crossBetween val="midCat"/>
      </c:valAx>
      <c:valAx>
        <c:axId val="51032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Average Impact (kW)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10324568"/>
        <c:crosses val="autoZero"/>
        <c:crossBetween val="midCat"/>
      </c:valAx>
      <c:spPr>
        <a:noFill/>
        <a:ln>
          <a:noFill/>
        </a:ln>
        <a:effectLst/>
      </c:spPr>
    </c:plotArea>
    <c:legend>
      <c:legendPos val="b"/>
      <c:layout>
        <c:manualLayout>
          <c:xMode val="edge"/>
          <c:yMode val="edge"/>
          <c:x val="0.11207802231108917"/>
          <c:y val="5.8835684414926669E-2"/>
          <c:w val="0.47334428468571238"/>
          <c:h val="0.21389166749044886"/>
        </c:manualLayout>
      </c:layout>
      <c:overlay val="0"/>
      <c:spPr>
        <a:solidFill>
          <a:schemeClr val="bg1">
            <a:alpha val="50000"/>
          </a:schemeClr>
        </a:solid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'09 Revenue Adequacy Inputs'!$AD$7:$AD$28</c:f>
              <c:strCache>
                <c:ptCount val="22"/>
                <c:pt idx="0">
                  <c:v>Less than -35</c:v>
                </c:pt>
                <c:pt idx="1">
                  <c:v>Between -35 and -32.5</c:v>
                </c:pt>
                <c:pt idx="2">
                  <c:v>Between -32.5 and -30</c:v>
                </c:pt>
                <c:pt idx="3">
                  <c:v>Between -30 and -27.5</c:v>
                </c:pt>
                <c:pt idx="4">
                  <c:v>Between -27.5 and -25</c:v>
                </c:pt>
                <c:pt idx="5">
                  <c:v>Between -25 and -22.5</c:v>
                </c:pt>
                <c:pt idx="6">
                  <c:v>Between -22.5 and -20</c:v>
                </c:pt>
                <c:pt idx="7">
                  <c:v>Between -20 and -17.5</c:v>
                </c:pt>
                <c:pt idx="8">
                  <c:v>Between -17.5 and -15</c:v>
                </c:pt>
                <c:pt idx="9">
                  <c:v>Between -15 and -12.5</c:v>
                </c:pt>
                <c:pt idx="10">
                  <c:v>Between -12.5 and -10</c:v>
                </c:pt>
                <c:pt idx="11">
                  <c:v>Between -10 and -7.5</c:v>
                </c:pt>
                <c:pt idx="12">
                  <c:v>Between -7.5 and -5</c:v>
                </c:pt>
                <c:pt idx="13">
                  <c:v>Between -5 and -2.5</c:v>
                </c:pt>
                <c:pt idx="14">
                  <c:v>Between -2.5 and 0</c:v>
                </c:pt>
                <c:pt idx="15">
                  <c:v>Between 0 and 2.5</c:v>
                </c:pt>
                <c:pt idx="16">
                  <c:v>Between 2.5 and 5</c:v>
                </c:pt>
                <c:pt idx="17">
                  <c:v>Between 5 and 7.5</c:v>
                </c:pt>
                <c:pt idx="18">
                  <c:v>Between 7.5 and 10</c:v>
                </c:pt>
                <c:pt idx="19">
                  <c:v>Between 10 and 12.5</c:v>
                </c:pt>
                <c:pt idx="20">
                  <c:v>Between 12.5 and 15</c:v>
                </c:pt>
                <c:pt idx="21">
                  <c:v>More than 15</c:v>
                </c:pt>
              </c:strCache>
            </c:strRef>
          </c:cat>
          <c:val>
            <c:numRef>
              <c:f>'09 Revenue Adequacy Inputs'!$AF$7:$AF$28</c:f>
              <c:numCache>
                <c:formatCode>General</c:formatCode>
                <c:ptCount val="22"/>
                <c:pt idx="0">
                  <c:v>0</c:v>
                </c:pt>
                <c:pt idx="1">
                  <c:v>0</c:v>
                </c:pt>
                <c:pt idx="2">
                  <c:v>1</c:v>
                </c:pt>
                <c:pt idx="3">
                  <c:v>0</c:v>
                </c:pt>
                <c:pt idx="4">
                  <c:v>0</c:v>
                </c:pt>
                <c:pt idx="5">
                  <c:v>1</c:v>
                </c:pt>
                <c:pt idx="6">
                  <c:v>1</c:v>
                </c:pt>
                <c:pt idx="7">
                  <c:v>3</c:v>
                </c:pt>
                <c:pt idx="8">
                  <c:v>4</c:v>
                </c:pt>
                <c:pt idx="9">
                  <c:v>4</c:v>
                </c:pt>
                <c:pt idx="10">
                  <c:v>11</c:v>
                </c:pt>
                <c:pt idx="11">
                  <c:v>21</c:v>
                </c:pt>
                <c:pt idx="12">
                  <c:v>46</c:v>
                </c:pt>
                <c:pt idx="13">
                  <c:v>52</c:v>
                </c:pt>
                <c:pt idx="14">
                  <c:v>75</c:v>
                </c:pt>
                <c:pt idx="15">
                  <c:v>40</c:v>
                </c:pt>
                <c:pt idx="16">
                  <c:v>22</c:v>
                </c:pt>
                <c:pt idx="17">
                  <c:v>10</c:v>
                </c:pt>
                <c:pt idx="18">
                  <c:v>3</c:v>
                </c:pt>
                <c:pt idx="19">
                  <c:v>0</c:v>
                </c:pt>
                <c:pt idx="20">
                  <c:v>1</c:v>
                </c:pt>
                <c:pt idx="21">
                  <c:v>0</c:v>
                </c:pt>
              </c:numCache>
            </c:numRef>
          </c:val>
          <c:extLst>
            <c:ext xmlns:c16="http://schemas.microsoft.com/office/drawing/2014/chart" uri="{C3380CC4-5D6E-409C-BE32-E72D297353CC}">
              <c16:uniqueId val="{00000000-E7B9-4650-BD20-7A2A975899A2}"/>
            </c:ext>
          </c:extLst>
        </c:ser>
        <c:dLbls>
          <c:showLegendKey val="0"/>
          <c:showVal val="0"/>
          <c:showCatName val="0"/>
          <c:showSerName val="0"/>
          <c:showPercent val="0"/>
          <c:showBubbleSize val="0"/>
        </c:dLbls>
        <c:gapWidth val="50"/>
        <c:overlap val="-27"/>
        <c:axId val="508347952"/>
        <c:axId val="508352544"/>
      </c:barChart>
      <c:catAx>
        <c:axId val="50834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8352544"/>
        <c:crosses val="autoZero"/>
        <c:auto val="1"/>
        <c:lblAlgn val="ctr"/>
        <c:lblOffset val="100"/>
        <c:noMultiLvlLbl val="0"/>
      </c:catAx>
      <c:valAx>
        <c:axId val="508352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8347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'09 Revenue Adequacy Inputs'!$AG$7:$AG$28</c:f>
              <c:strCache>
                <c:ptCount val="22"/>
                <c:pt idx="0">
                  <c:v>0</c:v>
                </c:pt>
                <c:pt idx="1">
                  <c:v>1</c:v>
                </c:pt>
                <c:pt idx="2">
                  <c:v>1</c:v>
                </c:pt>
                <c:pt idx="3">
                  <c:v>0</c:v>
                </c:pt>
                <c:pt idx="4">
                  <c:v>1</c:v>
                </c:pt>
                <c:pt idx="5">
                  <c:v>2</c:v>
                </c:pt>
                <c:pt idx="6">
                  <c:v>2</c:v>
                </c:pt>
                <c:pt idx="7">
                  <c:v>2</c:v>
                </c:pt>
                <c:pt idx="8">
                  <c:v>3</c:v>
                </c:pt>
                <c:pt idx="9">
                  <c:v>8</c:v>
                </c:pt>
                <c:pt idx="10">
                  <c:v>18</c:v>
                </c:pt>
                <c:pt idx="11">
                  <c:v>34</c:v>
                </c:pt>
                <c:pt idx="12">
                  <c:v>31</c:v>
                </c:pt>
                <c:pt idx="13">
                  <c:v>65</c:v>
                </c:pt>
                <c:pt idx="14">
                  <c:v>66</c:v>
                </c:pt>
                <c:pt idx="15">
                  <c:v>42</c:v>
                </c:pt>
                <c:pt idx="16">
                  <c:v>25</c:v>
                </c:pt>
                <c:pt idx="17">
                  <c:v>12</c:v>
                </c:pt>
                <c:pt idx="18">
                  <c:v>3</c:v>
                </c:pt>
                <c:pt idx="19">
                  <c:v>0</c:v>
                </c:pt>
                <c:pt idx="20">
                  <c:v>0</c:v>
                </c:pt>
                <c:pt idx="21">
                  <c:v>0</c:v>
                </c:pt>
              </c:strCache>
            </c:strRef>
          </c:tx>
          <c:spPr>
            <a:solidFill>
              <a:schemeClr val="accent1"/>
            </a:solidFill>
            <a:ln>
              <a:noFill/>
            </a:ln>
            <a:effectLst/>
          </c:spPr>
          <c:invertIfNegative val="0"/>
          <c:cat>
            <c:strRef>
              <c:f>'09 Revenue Adequacy Inputs'!$AD$7:$AD$28</c:f>
              <c:strCache>
                <c:ptCount val="22"/>
                <c:pt idx="0">
                  <c:v>Less than -35</c:v>
                </c:pt>
                <c:pt idx="1">
                  <c:v>Between -35 and -32.5</c:v>
                </c:pt>
                <c:pt idx="2">
                  <c:v>Between -32.5 and -30</c:v>
                </c:pt>
                <c:pt idx="3">
                  <c:v>Between -30 and -27.5</c:v>
                </c:pt>
                <c:pt idx="4">
                  <c:v>Between -27.5 and -25</c:v>
                </c:pt>
                <c:pt idx="5">
                  <c:v>Between -25 and -22.5</c:v>
                </c:pt>
                <c:pt idx="6">
                  <c:v>Between -22.5 and -20</c:v>
                </c:pt>
                <c:pt idx="7">
                  <c:v>Between -20 and -17.5</c:v>
                </c:pt>
                <c:pt idx="8">
                  <c:v>Between -17.5 and -15</c:v>
                </c:pt>
                <c:pt idx="9">
                  <c:v>Between -15 and -12.5</c:v>
                </c:pt>
                <c:pt idx="10">
                  <c:v>Between -12.5 and -10</c:v>
                </c:pt>
                <c:pt idx="11">
                  <c:v>Between -10 and -7.5</c:v>
                </c:pt>
                <c:pt idx="12">
                  <c:v>Between -7.5 and -5</c:v>
                </c:pt>
                <c:pt idx="13">
                  <c:v>Between -5 and -2.5</c:v>
                </c:pt>
                <c:pt idx="14">
                  <c:v>Between -2.5 and 0</c:v>
                </c:pt>
                <c:pt idx="15">
                  <c:v>Between 0 and 2.5</c:v>
                </c:pt>
                <c:pt idx="16">
                  <c:v>Between 2.5 and 5</c:v>
                </c:pt>
                <c:pt idx="17">
                  <c:v>Between 5 and 7.5</c:v>
                </c:pt>
                <c:pt idx="18">
                  <c:v>Between 7.5 and 10</c:v>
                </c:pt>
                <c:pt idx="19">
                  <c:v>Between 10 and 12.5</c:v>
                </c:pt>
                <c:pt idx="20">
                  <c:v>Between 12.5 and 15</c:v>
                </c:pt>
                <c:pt idx="21">
                  <c:v>More than 15</c:v>
                </c:pt>
              </c:strCache>
            </c:strRef>
          </c:cat>
          <c:val>
            <c:numRef>
              <c:f>'09 Revenue Adequacy Inputs'!$AF$7:$AF$28</c:f>
              <c:numCache>
                <c:formatCode>General</c:formatCode>
                <c:ptCount val="22"/>
                <c:pt idx="0">
                  <c:v>0</c:v>
                </c:pt>
                <c:pt idx="1">
                  <c:v>0</c:v>
                </c:pt>
                <c:pt idx="2">
                  <c:v>1</c:v>
                </c:pt>
                <c:pt idx="3">
                  <c:v>0</c:v>
                </c:pt>
                <c:pt idx="4">
                  <c:v>0</c:v>
                </c:pt>
                <c:pt idx="5">
                  <c:v>1</c:v>
                </c:pt>
                <c:pt idx="6">
                  <c:v>1</c:v>
                </c:pt>
                <c:pt idx="7">
                  <c:v>3</c:v>
                </c:pt>
                <c:pt idx="8">
                  <c:v>4</c:v>
                </c:pt>
                <c:pt idx="9">
                  <c:v>4</c:v>
                </c:pt>
                <c:pt idx="10">
                  <c:v>11</c:v>
                </c:pt>
                <c:pt idx="11">
                  <c:v>21</c:v>
                </c:pt>
                <c:pt idx="12">
                  <c:v>46</c:v>
                </c:pt>
                <c:pt idx="13">
                  <c:v>52</c:v>
                </c:pt>
                <c:pt idx="14">
                  <c:v>75</c:v>
                </c:pt>
                <c:pt idx="15">
                  <c:v>40</c:v>
                </c:pt>
                <c:pt idx="16">
                  <c:v>22</c:v>
                </c:pt>
                <c:pt idx="17">
                  <c:v>10</c:v>
                </c:pt>
                <c:pt idx="18">
                  <c:v>3</c:v>
                </c:pt>
                <c:pt idx="19">
                  <c:v>0</c:v>
                </c:pt>
                <c:pt idx="20">
                  <c:v>1</c:v>
                </c:pt>
                <c:pt idx="21">
                  <c:v>0</c:v>
                </c:pt>
              </c:numCache>
            </c:numRef>
          </c:val>
          <c:extLst>
            <c:ext xmlns:c16="http://schemas.microsoft.com/office/drawing/2014/chart" uri="{C3380CC4-5D6E-409C-BE32-E72D297353CC}">
              <c16:uniqueId val="{00000000-C84E-4F0D-9BB1-068E1BDB2921}"/>
            </c:ext>
          </c:extLst>
        </c:ser>
        <c:dLbls>
          <c:showLegendKey val="0"/>
          <c:showVal val="0"/>
          <c:showCatName val="0"/>
          <c:showSerName val="0"/>
          <c:showPercent val="0"/>
          <c:showBubbleSize val="0"/>
        </c:dLbls>
        <c:gapWidth val="50"/>
        <c:overlap val="-27"/>
        <c:axId val="508347952"/>
        <c:axId val="508352544"/>
      </c:barChart>
      <c:catAx>
        <c:axId val="50834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8352544"/>
        <c:crosses val="autoZero"/>
        <c:auto val="1"/>
        <c:lblAlgn val="ctr"/>
        <c:lblOffset val="100"/>
        <c:noMultiLvlLbl val="0"/>
      </c:catAx>
      <c:valAx>
        <c:axId val="508352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a:t>Number of Participants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08347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0.48472</cdr:x>
      <cdr:y>0.02541</cdr:y>
    </cdr:from>
    <cdr:to>
      <cdr:x>0.97066</cdr:x>
      <cdr:y>0.15346</cdr:y>
    </cdr:to>
    <cdr:sp macro="" textlink="">
      <cdr:nvSpPr>
        <cdr:cNvPr id="2" name="TextBox 1">
          <a:extLst xmlns:a="http://schemas.openxmlformats.org/drawingml/2006/main">
            <a:ext uri="{FF2B5EF4-FFF2-40B4-BE49-F238E27FC236}">
              <a16:creationId xmlns:a16="http://schemas.microsoft.com/office/drawing/2014/main" id="{F164D22A-75C4-4CA7-95EF-639715B05B08}"/>
            </a:ext>
          </a:extLst>
        </cdr:cNvPr>
        <cdr:cNvSpPr txBox="1"/>
      </cdr:nvSpPr>
      <cdr:spPr>
        <a:xfrm xmlns:a="http://schemas.openxmlformats.org/drawingml/2006/main">
          <a:off x="2517775" y="79374"/>
          <a:ext cx="2524125" cy="400051"/>
        </a:xfrm>
        <a:prstGeom xmlns:a="http://schemas.openxmlformats.org/drawingml/2006/main" prst="rect">
          <a:avLst/>
        </a:prstGeom>
        <a:solidFill xmlns:a="http://schemas.openxmlformats.org/drawingml/2006/main">
          <a:schemeClr val="bg1">
            <a:alpha val="50000"/>
          </a:schemeClr>
        </a:solidFill>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000" i="1"/>
            <a:t>On</a:t>
          </a:r>
          <a:r>
            <a:rPr lang="en-US" sz="1000" i="1" baseline="0"/>
            <a:t> average 81% of participants were connected for any given event.</a:t>
          </a:r>
          <a:endParaRPr lang="en-US" sz="1000" i="1"/>
        </a:p>
      </cdr:txBody>
    </cdr:sp>
  </cdr:relSizeAnchor>
</c:userShapes>
</file>

<file path=word/theme/theme1.xml><?xml version="1.0" encoding="utf-8"?>
<a:theme xmlns:a="http://schemas.openxmlformats.org/drawingml/2006/main" name="Office Theme">
  <a:themeElements>
    <a:clrScheme name="Navigant 2016 Rev">
      <a:dk1>
        <a:sysClr val="windowText" lastClr="000000"/>
      </a:dk1>
      <a:lt1>
        <a:sysClr val="window" lastClr="FFFFFF"/>
      </a:lt1>
      <a:dk2>
        <a:srgbClr val="555759"/>
      </a:dk2>
      <a:lt2>
        <a:srgbClr val="F2F2F2"/>
      </a:lt2>
      <a:accent1>
        <a:srgbClr val="95D600"/>
      </a:accent1>
      <a:accent2>
        <a:srgbClr val="648C1A"/>
      </a:accent2>
      <a:accent3>
        <a:srgbClr val="0093C9"/>
      </a:accent3>
      <a:accent4>
        <a:srgbClr val="FFB718"/>
      </a:accent4>
      <a:accent5>
        <a:srgbClr val="F07B05"/>
      </a:accent5>
      <a:accent6>
        <a:srgbClr val="AC0040"/>
      </a:accent6>
      <a:hlink>
        <a:srgbClr val="006579"/>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CA314-8AF1-4298-9694-A7F5CA7B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Energy_Report Template_01-27-16.dotx</Template>
  <TotalTime>0</TotalTime>
  <Pages>65</Pages>
  <Words>19867</Words>
  <Characters>113244</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[DOCUMENT TITLE]</vt:lpstr>
    </vt:vector>
  </TitlesOfParts>
  <Company>Navigant Consulting Inc.</Company>
  <LinksUpToDate>false</LinksUpToDate>
  <CharactersWithSpaces>132846</CharactersWithSpaces>
  <SharedDoc>false</SharedDoc>
  <HLinks>
    <vt:vector size="60" baseType="variant">
      <vt:variant>
        <vt:i4>1966139</vt:i4>
      </vt:variant>
      <vt:variant>
        <vt:i4>56</vt:i4>
      </vt:variant>
      <vt:variant>
        <vt:i4>0</vt:i4>
      </vt:variant>
      <vt:variant>
        <vt:i4>5</vt:i4>
      </vt:variant>
      <vt:variant>
        <vt:lpwstr/>
      </vt:variant>
      <vt:variant>
        <vt:lpwstr>_Toc145987735</vt:lpwstr>
      </vt:variant>
      <vt:variant>
        <vt:i4>1966139</vt:i4>
      </vt:variant>
      <vt:variant>
        <vt:i4>50</vt:i4>
      </vt:variant>
      <vt:variant>
        <vt:i4>0</vt:i4>
      </vt:variant>
      <vt:variant>
        <vt:i4>5</vt:i4>
      </vt:variant>
      <vt:variant>
        <vt:lpwstr/>
      </vt:variant>
      <vt:variant>
        <vt:lpwstr>_Toc145987734</vt:lpwstr>
      </vt:variant>
      <vt:variant>
        <vt:i4>1966139</vt:i4>
      </vt:variant>
      <vt:variant>
        <vt:i4>44</vt:i4>
      </vt:variant>
      <vt:variant>
        <vt:i4>0</vt:i4>
      </vt:variant>
      <vt:variant>
        <vt:i4>5</vt:i4>
      </vt:variant>
      <vt:variant>
        <vt:lpwstr/>
      </vt:variant>
      <vt:variant>
        <vt:lpwstr>_Toc145987733</vt:lpwstr>
      </vt:variant>
      <vt:variant>
        <vt:i4>1966139</vt:i4>
      </vt:variant>
      <vt:variant>
        <vt:i4>38</vt:i4>
      </vt:variant>
      <vt:variant>
        <vt:i4>0</vt:i4>
      </vt:variant>
      <vt:variant>
        <vt:i4>5</vt:i4>
      </vt:variant>
      <vt:variant>
        <vt:lpwstr/>
      </vt:variant>
      <vt:variant>
        <vt:lpwstr>_Toc145987732</vt:lpwstr>
      </vt:variant>
      <vt:variant>
        <vt:i4>1966139</vt:i4>
      </vt:variant>
      <vt:variant>
        <vt:i4>32</vt:i4>
      </vt:variant>
      <vt:variant>
        <vt:i4>0</vt:i4>
      </vt:variant>
      <vt:variant>
        <vt:i4>5</vt:i4>
      </vt:variant>
      <vt:variant>
        <vt:lpwstr/>
      </vt:variant>
      <vt:variant>
        <vt:lpwstr>_Toc145987731</vt:lpwstr>
      </vt:variant>
      <vt:variant>
        <vt:i4>1966139</vt:i4>
      </vt:variant>
      <vt:variant>
        <vt:i4>26</vt:i4>
      </vt:variant>
      <vt:variant>
        <vt:i4>0</vt:i4>
      </vt:variant>
      <vt:variant>
        <vt:i4>5</vt:i4>
      </vt:variant>
      <vt:variant>
        <vt:lpwstr/>
      </vt:variant>
      <vt:variant>
        <vt:lpwstr>_Toc145987730</vt:lpwstr>
      </vt:variant>
      <vt:variant>
        <vt:i4>2031675</vt:i4>
      </vt:variant>
      <vt:variant>
        <vt:i4>20</vt:i4>
      </vt:variant>
      <vt:variant>
        <vt:i4>0</vt:i4>
      </vt:variant>
      <vt:variant>
        <vt:i4>5</vt:i4>
      </vt:variant>
      <vt:variant>
        <vt:lpwstr/>
      </vt:variant>
      <vt:variant>
        <vt:lpwstr>_Toc145987729</vt:lpwstr>
      </vt:variant>
      <vt:variant>
        <vt:i4>2031675</vt:i4>
      </vt:variant>
      <vt:variant>
        <vt:i4>14</vt:i4>
      </vt:variant>
      <vt:variant>
        <vt:i4>0</vt:i4>
      </vt:variant>
      <vt:variant>
        <vt:i4>5</vt:i4>
      </vt:variant>
      <vt:variant>
        <vt:lpwstr/>
      </vt:variant>
      <vt:variant>
        <vt:lpwstr>_Toc145987728</vt:lpwstr>
      </vt:variant>
      <vt:variant>
        <vt:i4>2031675</vt:i4>
      </vt:variant>
      <vt:variant>
        <vt:i4>8</vt:i4>
      </vt:variant>
      <vt:variant>
        <vt:i4>0</vt:i4>
      </vt:variant>
      <vt:variant>
        <vt:i4>5</vt:i4>
      </vt:variant>
      <vt:variant>
        <vt:lpwstr/>
      </vt:variant>
      <vt:variant>
        <vt:lpwstr>_Toc145987727</vt:lpwstr>
      </vt:variant>
      <vt:variant>
        <vt:i4>2031675</vt:i4>
      </vt:variant>
      <vt:variant>
        <vt:i4>2</vt:i4>
      </vt:variant>
      <vt:variant>
        <vt:i4>0</vt:i4>
      </vt:variant>
      <vt:variant>
        <vt:i4>5</vt:i4>
      </vt:variant>
      <vt:variant>
        <vt:lpwstr/>
      </vt:variant>
      <vt:variant>
        <vt:lpwstr>_Toc145987726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Peter Steele-Mosey</dc:creator>
  <cp:lastModifiedBy>Peter Steele-Mosey</cp:lastModifiedBy>
  <cp:revision>3</cp:revision>
  <cp:lastPrinted>2012-12-13T16:54:00Z</cp:lastPrinted>
  <dcterms:created xsi:type="dcterms:W3CDTF">2019-05-24T13:09:00Z</dcterms:created>
  <dcterms:modified xsi:type="dcterms:W3CDTF">2019-05-24T13:09:00Z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