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99F" w:rsidRDefault="001B699F">
      <w:pPr>
        <w:rPr>
          <w:rFonts w:ascii="Arial" w:eastAsia="Times New Roman" w:hAnsi="Arial" w:cs="Arial"/>
          <w:sz w:val="24"/>
          <w:szCs w:val="24"/>
        </w:rPr>
      </w:pPr>
    </w:p>
    <w:p w:rsidR="005A539A"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Appendix A</w:t>
      </w:r>
      <w:r w:rsidR="005A539A">
        <w:rPr>
          <w:rFonts w:ascii="Arial" w:eastAsia="Times New Roman" w:hAnsi="Arial" w:cs="Arial"/>
          <w:b/>
          <w:sz w:val="24"/>
          <w:szCs w:val="24"/>
        </w:rPr>
        <w:t xml:space="preserve"> </w:t>
      </w:r>
    </w:p>
    <w:p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rsidR="00CF0A8B" w:rsidRPr="00CF0A8B" w:rsidRDefault="00CF0A8B" w:rsidP="001B699F">
      <w:pPr>
        <w:spacing w:after="0" w:line="276" w:lineRule="auto"/>
        <w:rPr>
          <w:rFonts w:ascii="Arial" w:eastAsia="Times New Roman" w:hAnsi="Arial" w:cs="Arial"/>
          <w:i/>
          <w:sz w:val="24"/>
          <w:szCs w:val="24"/>
        </w:rPr>
      </w:pPr>
    </w:p>
    <w:p w:rsidR="004C4A06" w:rsidRDefault="004C4A06"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Please complete the Table below</w:t>
      </w:r>
      <w:r w:rsidR="0033205D">
        <w:rPr>
          <w:rFonts w:ascii="Arial" w:eastAsia="Times New Roman" w:hAnsi="Arial" w:cs="Arial"/>
          <w:sz w:val="24"/>
          <w:szCs w:val="24"/>
        </w:rPr>
        <w:t xml:space="preserve"> for </w:t>
      </w:r>
      <w:r w:rsidR="00216893">
        <w:rPr>
          <w:rFonts w:ascii="Arial" w:eastAsia="Times New Roman" w:hAnsi="Arial" w:cs="Arial"/>
          <w:sz w:val="24"/>
          <w:szCs w:val="24"/>
        </w:rPr>
        <w:t xml:space="preserve">principal adjustments on the DVA Continuity Schedule for </w:t>
      </w:r>
      <w:r w:rsidR="0033205D">
        <w:rPr>
          <w:rFonts w:ascii="Arial" w:eastAsia="Times New Roman" w:hAnsi="Arial" w:cs="Arial"/>
          <w:sz w:val="24"/>
          <w:szCs w:val="24"/>
        </w:rPr>
        <w:t xml:space="preserve">Account </w:t>
      </w:r>
      <w:r w:rsidR="0033205D" w:rsidRPr="00327C66">
        <w:rPr>
          <w:rFonts w:ascii="Arial" w:eastAsia="Times New Roman" w:hAnsi="Arial" w:cs="Arial"/>
          <w:sz w:val="24"/>
          <w:szCs w:val="24"/>
        </w:rPr>
        <w:t>1588</w:t>
      </w:r>
      <w:r w:rsidRPr="00327C66">
        <w:rPr>
          <w:rFonts w:ascii="Arial" w:eastAsia="Times New Roman" w:hAnsi="Arial" w:cs="Arial"/>
          <w:sz w:val="24"/>
          <w:szCs w:val="24"/>
        </w:rPr>
        <w:t>:</w:t>
      </w:r>
    </w:p>
    <w:p w:rsidR="004C4A06" w:rsidRDefault="004C4A06" w:rsidP="003F450A">
      <w:pPr>
        <w:pStyle w:val="ListParagraph"/>
        <w:spacing w:after="0" w:line="276" w:lineRule="auto"/>
        <w:rPr>
          <w:rFonts w:ascii="Arial" w:eastAsia="Times New Roman" w:hAnsi="Arial" w:cs="Arial"/>
          <w:sz w:val="24"/>
          <w:szCs w:val="24"/>
        </w:rPr>
      </w:pPr>
    </w:p>
    <w:tbl>
      <w:tblPr>
        <w:tblW w:w="9840" w:type="dxa"/>
        <w:tblLook w:val="04A0" w:firstRow="1" w:lastRow="0" w:firstColumn="1" w:lastColumn="0" w:noHBand="0" w:noVBand="1"/>
      </w:tblPr>
      <w:tblGrid>
        <w:gridCol w:w="6120"/>
        <w:gridCol w:w="1940"/>
        <w:gridCol w:w="1780"/>
      </w:tblGrid>
      <w:tr w:rsidR="0045412A" w:rsidRPr="0045412A" w:rsidTr="003F450A">
        <w:trPr>
          <w:trHeight w:val="288"/>
        </w:trPr>
        <w:tc>
          <w:tcPr>
            <w:tcW w:w="6120" w:type="dxa"/>
            <w:tcBorders>
              <w:top w:val="nil"/>
              <w:left w:val="nil"/>
              <w:bottom w:val="nil"/>
              <w:right w:val="nil"/>
            </w:tcBorders>
            <w:shd w:val="clear" w:color="auto" w:fill="auto"/>
            <w:vAlign w:val="bottom"/>
            <w:hideMark/>
          </w:tcPr>
          <w:p w:rsidR="0045412A" w:rsidRPr="0045412A" w:rsidRDefault="0045412A" w:rsidP="0045412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1588 - 2018</w:t>
            </w:r>
          </w:p>
        </w:tc>
        <w:tc>
          <w:tcPr>
            <w:tcW w:w="1940" w:type="dxa"/>
            <w:tcBorders>
              <w:top w:val="nil"/>
              <w:left w:val="nil"/>
              <w:bottom w:val="nil"/>
              <w:right w:val="nil"/>
            </w:tcBorders>
            <w:shd w:val="clear" w:color="auto" w:fill="auto"/>
            <w:vAlign w:val="bottom"/>
            <w:hideMark/>
          </w:tcPr>
          <w:p w:rsidR="0045412A" w:rsidRPr="0045412A" w:rsidRDefault="0045412A" w:rsidP="0045412A">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rsidR="0045412A" w:rsidRPr="0045412A" w:rsidRDefault="0045412A" w:rsidP="0045412A">
            <w:pPr>
              <w:spacing w:after="0" w:line="240" w:lineRule="auto"/>
              <w:jc w:val="center"/>
              <w:rPr>
                <w:rFonts w:ascii="Times New Roman" w:eastAsia="Times New Roman" w:hAnsi="Times New Roman" w:cs="Times New Roman"/>
                <w:sz w:val="20"/>
                <w:szCs w:val="20"/>
              </w:rPr>
            </w:pPr>
          </w:p>
        </w:tc>
      </w:tr>
      <w:tr w:rsidR="0045412A" w:rsidRPr="0045412A" w:rsidTr="003F450A">
        <w:trPr>
          <w:trHeight w:val="288"/>
        </w:trPr>
        <w:tc>
          <w:tcPr>
            <w:tcW w:w="6120" w:type="dxa"/>
            <w:tcBorders>
              <w:top w:val="nil"/>
              <w:left w:val="nil"/>
              <w:bottom w:val="nil"/>
              <w:right w:val="nil"/>
            </w:tcBorders>
            <w:shd w:val="clear" w:color="auto" w:fill="auto"/>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rsidR="0045412A" w:rsidRPr="0045412A" w:rsidRDefault="0045412A" w:rsidP="0045412A">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r>
      <w:tr w:rsidR="0045412A" w:rsidRPr="0045412A" w:rsidTr="003F450A">
        <w:trPr>
          <w:trHeight w:val="1500"/>
        </w:trPr>
        <w:tc>
          <w:tcPr>
            <w:tcW w:w="6120" w:type="dxa"/>
            <w:tcBorders>
              <w:top w:val="nil"/>
              <w:left w:val="nil"/>
              <w:bottom w:val="single" w:sz="4" w:space="0" w:color="auto"/>
              <w:right w:val="single" w:sz="4" w:space="0" w:color="auto"/>
            </w:tcBorders>
            <w:shd w:val="clear" w:color="auto" w:fill="auto"/>
            <w:vAlign w:val="bottom"/>
            <w:hideMark/>
          </w:tcPr>
          <w:p w:rsidR="0045412A" w:rsidRPr="0045412A" w:rsidRDefault="0045412A" w:rsidP="0045412A">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12A" w:rsidRPr="0045412A" w:rsidRDefault="0045412A" w:rsidP="0045412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3F450A" w:rsidRDefault="0045412A" w:rsidP="008A5869">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45412A" w:rsidRPr="0045412A"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CF4EF2" w:rsidP="0045412A">
            <w:pPr>
              <w:spacing w:after="0" w:line="240" w:lineRule="auto"/>
              <w:jc w:val="right"/>
              <w:rPr>
                <w:rFonts w:ascii="Calibri" w:eastAsia="Times New Roman" w:hAnsi="Calibri" w:cs="Calibri"/>
                <w:b/>
                <w:bCs/>
                <w:color w:val="000000"/>
              </w:rPr>
            </w:pPr>
            <w:bookmarkStart w:id="0" w:name="_GoBack"/>
            <w:bookmarkEnd w:id="0"/>
            <w:r w:rsidRPr="00CF4EF2">
              <w:rPr>
                <w:rFonts w:ascii="Calibri" w:eastAsia="Times New Roman" w:hAnsi="Calibri" w:cs="Calibri"/>
                <w:b/>
                <w:bCs/>
                <w:color w:val="000000"/>
                <w:highlight w:val="yellow"/>
              </w:rPr>
              <w:t>G/L</w:t>
            </w:r>
            <w:r>
              <w:rPr>
                <w:rFonts w:ascii="Calibri" w:eastAsia="Times New Roman" w:hAnsi="Calibri" w:cs="Calibri"/>
                <w:b/>
                <w:bCs/>
                <w:color w:val="000000"/>
              </w:rPr>
              <w:t xml:space="preserve"> </w:t>
            </w:r>
            <w:r w:rsidR="0045412A" w:rsidRPr="0045412A">
              <w:rPr>
                <w:rFonts w:ascii="Calibri" w:eastAsia="Times New Roman" w:hAnsi="Calibri" w:cs="Calibri"/>
                <w:b/>
                <w:bCs/>
                <w:color w:val="000000"/>
              </w:rPr>
              <w:t>Balance December 31, 2018</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B06E20">
            <w:pPr>
              <w:spacing w:after="0" w:line="240" w:lineRule="auto"/>
              <w:jc w:val="right"/>
              <w:rPr>
                <w:rFonts w:ascii="Calibri" w:eastAsia="Times New Roman" w:hAnsi="Calibri" w:cs="Calibri"/>
                <w:color w:val="000000"/>
              </w:rPr>
            </w:pPr>
            <w:r w:rsidRPr="00B06E20">
              <w:rPr>
                <w:rFonts w:ascii="Calibri" w:eastAsia="Times New Roman" w:hAnsi="Calibri" w:cs="Calibri"/>
                <w:color w:val="FF0000"/>
              </w:rPr>
              <w:t> </w:t>
            </w:r>
            <w:r w:rsidR="00B06E20" w:rsidRPr="00B06E20">
              <w:rPr>
                <w:rFonts w:ascii="Calibri" w:eastAsia="Times New Roman" w:hAnsi="Calibri" w:cs="Calibri"/>
                <w:color w:val="FF0000"/>
              </w:rPr>
              <w:t>(42,789)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A860E1" w:rsidRPr="0045412A" w:rsidTr="008E6437">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0E1" w:rsidRPr="0045412A" w:rsidRDefault="00A860E1" w:rsidP="00A860E1">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45412A" w:rsidRPr="0045412A"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r>
      <w:tr w:rsidR="0045412A" w:rsidRPr="0045412A"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r>
      <w:tr w:rsidR="0045412A" w:rsidRPr="0045412A"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r>
      <w:tr w:rsidR="0045412A" w:rsidRPr="0045412A"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45412A" w:rsidRDefault="0045412A" w:rsidP="0045412A">
            <w:pPr>
              <w:spacing w:after="0" w:line="240" w:lineRule="auto"/>
              <w:jc w:val="center"/>
              <w:rPr>
                <w:rFonts w:ascii="Times New Roman" w:eastAsia="Times New Roman" w:hAnsi="Times New Roman" w:cs="Times New Roman"/>
                <w:sz w:val="20"/>
                <w:szCs w:val="20"/>
              </w:rPr>
            </w:pPr>
          </w:p>
        </w:tc>
      </w:tr>
      <w:tr w:rsidR="0045412A" w:rsidRPr="0045412A"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45412A" w:rsidRDefault="0045412A" w:rsidP="003F450A">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45412A" w:rsidRDefault="0045412A" w:rsidP="0045412A">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288"/>
        </w:trPr>
        <w:tc>
          <w:tcPr>
            <w:tcW w:w="6120" w:type="dxa"/>
            <w:tcBorders>
              <w:top w:val="single" w:sz="4" w:space="0" w:color="auto"/>
              <w:left w:val="nil"/>
              <w:bottom w:val="single" w:sz="4" w:space="0" w:color="auto"/>
              <w:right w:val="nil"/>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A860E1" w:rsidRPr="0045412A" w:rsidTr="008E6437">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0E1" w:rsidRPr="0045412A" w:rsidRDefault="00A860E1" w:rsidP="00A860E1">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45412A" w:rsidRPr="0045412A"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w:t>
            </w:r>
            <w:r w:rsidR="008E5BF1" w:rsidRPr="003F450A">
              <w:rPr>
                <w:rFonts w:ascii="Calibri" w:eastAsia="Times New Roman" w:hAnsi="Calibri" w:cs="Calibri"/>
                <w:color w:val="000000"/>
              </w:rPr>
              <w:t>R</w:t>
            </w:r>
            <w:r w:rsidRPr="003F450A">
              <w:rPr>
                <w:rFonts w:ascii="Calibri" w:eastAsia="Times New Roman" w:hAnsi="Calibri" w:cs="Calibri"/>
                <w:color w:val="000000"/>
              </w:rPr>
              <w:t>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E5BF1" w:rsidRPr="0045412A" w:rsidTr="003F450A">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8E5BF1" w:rsidRPr="003F450A" w:rsidRDefault="008E5BF1"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BF1" w:rsidRPr="0045412A" w:rsidRDefault="008E5BF1" w:rsidP="0045412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8E5BF1" w:rsidRPr="0045412A" w:rsidRDefault="008E5BF1" w:rsidP="0045412A">
            <w:pPr>
              <w:spacing w:after="0" w:line="240" w:lineRule="auto"/>
              <w:rPr>
                <w:rFonts w:ascii="Calibri" w:eastAsia="Times New Roman" w:hAnsi="Calibri" w:cs="Calibri"/>
                <w:color w:val="000000"/>
              </w:rPr>
            </w:pPr>
          </w:p>
        </w:tc>
      </w:tr>
      <w:tr w:rsidR="0045412A" w:rsidRPr="0045412A"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 xml:space="preserve">Bal. For </w:t>
            </w:r>
            <w:r w:rsidR="008E5BF1" w:rsidRPr="0045412A">
              <w:rPr>
                <w:rFonts w:ascii="Calibri" w:eastAsia="Times New Roman" w:hAnsi="Calibri" w:cs="Calibri"/>
                <w:b/>
                <w:bCs/>
                <w:color w:val="000000"/>
              </w:rPr>
              <w:t>Disposition</w:t>
            </w:r>
            <w:r w:rsidRPr="0045412A">
              <w:rPr>
                <w:rFonts w:ascii="Calibri" w:eastAsia="Times New Roman" w:hAnsi="Calibri" w:cs="Calibri"/>
                <w:b/>
                <w:bCs/>
                <w:color w:val="000000"/>
              </w:rPr>
              <w:t xml:space="preserve"> - 1588 (should match Total Claim column on DVA Continuity Schedule</w:t>
            </w:r>
            <w:r w:rsidR="00CF4EF2">
              <w:rPr>
                <w:rFonts w:ascii="Calibri" w:eastAsia="Times New Roman" w:hAnsi="Calibri" w:cs="Calibri"/>
                <w:b/>
                <w:bCs/>
                <w:color w:val="000000"/>
              </w:rPr>
              <w:t xml:space="preserve"> </w:t>
            </w:r>
            <w:r w:rsidR="00CF4EF2" w:rsidRPr="00CF4EF2">
              <w:rPr>
                <w:rFonts w:ascii="Calibri" w:eastAsia="Times New Roman" w:hAnsi="Calibri" w:cs="Calibri"/>
                <w:b/>
                <w:bCs/>
                <w:color w:val="000000"/>
                <w:highlight w:val="yellow"/>
              </w:rPr>
              <w:t>(before projected interest)</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12A" w:rsidRPr="0045412A" w:rsidRDefault="0045412A" w:rsidP="00B06E20">
            <w:pPr>
              <w:spacing w:after="0" w:line="240" w:lineRule="auto"/>
              <w:jc w:val="right"/>
              <w:rPr>
                <w:rFonts w:ascii="Calibri" w:eastAsia="Times New Roman" w:hAnsi="Calibri" w:cs="Calibri"/>
                <w:color w:val="000000"/>
              </w:rPr>
            </w:pPr>
            <w:r w:rsidRPr="0045412A">
              <w:rPr>
                <w:rFonts w:ascii="Calibri" w:eastAsia="Times New Roman" w:hAnsi="Calibri" w:cs="Calibri"/>
                <w:color w:val="000000"/>
              </w:rPr>
              <w:t> </w:t>
            </w:r>
            <w:r w:rsidR="00B06E20" w:rsidRPr="00B06E20">
              <w:rPr>
                <w:rFonts w:ascii="Calibri" w:eastAsia="Times New Roman" w:hAnsi="Calibri" w:cs="Calibri"/>
                <w:color w:val="FF0000"/>
              </w:rPr>
              <w:t>(42,789)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5412A" w:rsidRPr="0045412A" w:rsidTr="003F450A">
        <w:trPr>
          <w:trHeight w:val="300"/>
        </w:trPr>
        <w:tc>
          <w:tcPr>
            <w:tcW w:w="6120" w:type="dxa"/>
            <w:tcBorders>
              <w:top w:val="single" w:sz="4" w:space="0" w:color="auto"/>
              <w:left w:val="nil"/>
              <w:bottom w:val="nil"/>
              <w:right w:val="nil"/>
            </w:tcBorders>
            <w:shd w:val="clear" w:color="auto" w:fill="auto"/>
            <w:noWrap/>
            <w:vAlign w:val="bottom"/>
            <w:hideMark/>
          </w:tcPr>
          <w:p w:rsidR="0045412A" w:rsidRPr="0045412A" w:rsidRDefault="0045412A" w:rsidP="0045412A">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hideMark/>
          </w:tcPr>
          <w:p w:rsidR="0045412A" w:rsidRPr="0045412A" w:rsidRDefault="0045412A" w:rsidP="0045412A">
            <w:pPr>
              <w:spacing w:after="0" w:line="240" w:lineRule="auto"/>
              <w:rPr>
                <w:rFonts w:ascii="Times New Roman" w:eastAsia="Times New Roman" w:hAnsi="Times New Roman" w:cs="Times New Roman"/>
                <w:sz w:val="20"/>
                <w:szCs w:val="20"/>
              </w:rPr>
            </w:pPr>
          </w:p>
        </w:tc>
      </w:tr>
    </w:tbl>
    <w:p w:rsidR="0033205D" w:rsidRDefault="0033205D" w:rsidP="003F450A">
      <w:pPr>
        <w:pStyle w:val="ListParagraph"/>
        <w:spacing w:after="0" w:line="276" w:lineRule="auto"/>
        <w:rPr>
          <w:rFonts w:ascii="Arial" w:eastAsia="Times New Roman" w:hAnsi="Arial" w:cs="Arial"/>
          <w:sz w:val="24"/>
          <w:szCs w:val="24"/>
        </w:rPr>
      </w:pPr>
    </w:p>
    <w:p w:rsidR="001B699F" w:rsidRDefault="001B699F" w:rsidP="003F450A">
      <w:pPr>
        <w:pStyle w:val="ListParagraph"/>
        <w:numPr>
          <w:ilvl w:val="0"/>
          <w:numId w:val="37"/>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5930BC"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rsidR="005930BC" w:rsidRDefault="005930BC" w:rsidP="0008407E">
      <w:pPr>
        <w:pStyle w:val="ListParagraph"/>
        <w:numPr>
          <w:ilvl w:val="0"/>
          <w:numId w:val="16"/>
        </w:numPr>
        <w:spacing w:after="0" w:line="276" w:lineRule="auto"/>
        <w:rPr>
          <w:rFonts w:ascii="Arial" w:eastAsia="Times New Roman" w:hAnsi="Arial" w:cs="Arial"/>
          <w:sz w:val="24"/>
          <w:szCs w:val="24"/>
        </w:rPr>
      </w:pPr>
      <w:r w:rsidRPr="005930BC">
        <w:rPr>
          <w:rFonts w:ascii="Arial" w:eastAsia="Times New Roman" w:hAnsi="Arial" w:cs="Arial"/>
          <w:sz w:val="24"/>
          <w:szCs w:val="24"/>
        </w:rPr>
        <w:t xml:space="preserve">CT </w:t>
      </w:r>
      <w:r w:rsidR="005705A7">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457E46" w:rsidRDefault="004C4A06" w:rsidP="00457E46">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Was the approach described in response to the above questions used consistently for all years for which variances are proposed for disposition? If not, please discuss.</w:t>
      </w:r>
    </w:p>
    <w:p w:rsidR="00457E46" w:rsidRDefault="00457E46" w:rsidP="00457E46">
      <w:pPr>
        <w:pStyle w:val="ListParagraph"/>
        <w:spacing w:after="0" w:line="276" w:lineRule="auto"/>
        <w:ind w:left="1080"/>
        <w:rPr>
          <w:rFonts w:ascii="Arial" w:eastAsia="Times New Roman" w:hAnsi="Arial" w:cs="Arial"/>
          <w:sz w:val="24"/>
          <w:szCs w:val="24"/>
        </w:rPr>
      </w:pPr>
    </w:p>
    <w:p w:rsidR="00457E46" w:rsidRPr="00457E46" w:rsidRDefault="00457E46" w:rsidP="00457E46">
      <w:pPr>
        <w:pStyle w:val="ListParagraph"/>
        <w:spacing w:after="0" w:line="276" w:lineRule="auto"/>
        <w:ind w:left="709"/>
        <w:rPr>
          <w:rFonts w:ascii="Arial" w:eastAsia="Times New Roman" w:hAnsi="Arial" w:cs="Arial"/>
          <w:sz w:val="24"/>
          <w:szCs w:val="24"/>
        </w:rPr>
      </w:pPr>
      <w:r w:rsidRPr="00457E46">
        <w:rPr>
          <w:rFonts w:ascii="Arial" w:hAnsi="Arial" w:cs="Arial"/>
          <w:color w:val="0070C0"/>
          <w:sz w:val="24"/>
          <w:szCs w:val="24"/>
        </w:rPr>
        <w:t>Renfrew Hydro Inc. (RHI) is an embedded distributor and therefore receives monthly invoices for power consumption from its host distributor Hydro One. RHI also submits the monthly settlement forms to Hydro One.</w:t>
      </w:r>
    </w:p>
    <w:p w:rsidR="00457E46" w:rsidRPr="00457E46" w:rsidRDefault="00457E46" w:rsidP="00457E46">
      <w:pPr>
        <w:pStyle w:val="ListParagraph"/>
        <w:spacing w:line="276" w:lineRule="auto"/>
        <w:ind w:left="709"/>
        <w:rPr>
          <w:rFonts w:ascii="Arial" w:hAnsi="Arial" w:cs="Arial"/>
          <w:color w:val="0070C0"/>
          <w:sz w:val="24"/>
          <w:szCs w:val="24"/>
        </w:rPr>
      </w:pPr>
    </w:p>
    <w:p w:rsidR="00457E46" w:rsidRDefault="00457E46" w:rsidP="00457E46">
      <w:pPr>
        <w:pStyle w:val="ListParagraph"/>
        <w:spacing w:line="276" w:lineRule="auto"/>
        <w:ind w:left="709"/>
        <w:rPr>
          <w:rFonts w:ascii="Arial" w:hAnsi="Arial" w:cs="Arial"/>
          <w:color w:val="0070C0"/>
          <w:sz w:val="24"/>
          <w:szCs w:val="24"/>
        </w:rPr>
      </w:pPr>
      <w:r w:rsidRPr="00457E46">
        <w:rPr>
          <w:rFonts w:ascii="Arial" w:hAnsi="Arial" w:cs="Arial"/>
          <w:color w:val="0070C0"/>
          <w:sz w:val="24"/>
          <w:szCs w:val="24"/>
        </w:rPr>
        <w:t>In booking expense journal entries, RHI confirms that approach (a.) is used to book electricity costs. Charge Type CT 1142</w:t>
      </w:r>
      <w:r>
        <w:rPr>
          <w:rFonts w:ascii="Arial" w:hAnsi="Arial" w:cs="Arial"/>
          <w:color w:val="0070C0"/>
          <w:sz w:val="24"/>
          <w:szCs w:val="24"/>
        </w:rPr>
        <w:t xml:space="preserve"> (OFHP RPP Settlement Amount)</w:t>
      </w:r>
      <w:r w:rsidRPr="00457E46">
        <w:rPr>
          <w:rFonts w:ascii="Arial" w:hAnsi="Arial" w:cs="Arial"/>
          <w:color w:val="0070C0"/>
          <w:sz w:val="24"/>
          <w:szCs w:val="24"/>
        </w:rPr>
        <w:t xml:space="preserve"> is booked into Account 1588 and CT 148 </w:t>
      </w:r>
      <w:r>
        <w:rPr>
          <w:rFonts w:ascii="Arial" w:hAnsi="Arial" w:cs="Arial"/>
          <w:color w:val="0070C0"/>
          <w:sz w:val="24"/>
          <w:szCs w:val="24"/>
        </w:rPr>
        <w:t xml:space="preserve">(Class B-Global Adjustment) </w:t>
      </w:r>
      <w:r w:rsidRPr="00457E46">
        <w:rPr>
          <w:rFonts w:ascii="Arial" w:hAnsi="Arial" w:cs="Arial"/>
          <w:color w:val="0070C0"/>
          <w:sz w:val="24"/>
          <w:szCs w:val="24"/>
        </w:rPr>
        <w:t>is pro-rated based on RPP/non-RPP consumption and booked into Account 1588 and 1589 respectively.</w:t>
      </w:r>
    </w:p>
    <w:p w:rsidR="00925F97" w:rsidRDefault="00925F97" w:rsidP="00457E46">
      <w:pPr>
        <w:pStyle w:val="ListParagraph"/>
        <w:spacing w:line="276" w:lineRule="auto"/>
        <w:ind w:left="709"/>
        <w:rPr>
          <w:rFonts w:ascii="Arial" w:hAnsi="Arial" w:cs="Arial"/>
          <w:color w:val="0070C0"/>
          <w:sz w:val="24"/>
          <w:szCs w:val="24"/>
        </w:rPr>
      </w:pPr>
    </w:p>
    <w:p w:rsidR="00457E46" w:rsidRPr="00925F97" w:rsidRDefault="00925F97" w:rsidP="00925F97">
      <w:pPr>
        <w:pStyle w:val="ListParagraph"/>
        <w:spacing w:line="276" w:lineRule="auto"/>
        <w:ind w:left="709"/>
        <w:rPr>
          <w:rFonts w:ascii="Arial" w:hAnsi="Arial" w:cs="Arial"/>
          <w:color w:val="0070C0"/>
          <w:sz w:val="24"/>
          <w:szCs w:val="24"/>
        </w:rPr>
      </w:pPr>
      <w:r>
        <w:rPr>
          <w:rFonts w:ascii="Arial" w:hAnsi="Arial" w:cs="Arial"/>
          <w:color w:val="0070C0"/>
          <w:sz w:val="24"/>
          <w:szCs w:val="24"/>
        </w:rPr>
        <w:t>RHI confirms the approach described above was used consistently for all years for which variances exist in the total claim column on the Deferral/Variance Continuity Schedule.</w:t>
      </w:r>
    </w:p>
    <w:p w:rsidR="00457E46" w:rsidRPr="00457E46" w:rsidRDefault="00457E46" w:rsidP="00457E46">
      <w:pPr>
        <w:spacing w:after="0" w:line="276" w:lineRule="auto"/>
        <w:rPr>
          <w:rFonts w:ascii="Arial" w:eastAsia="Times New Roman" w:hAnsi="Arial" w:cs="Arial"/>
          <w:sz w:val="24"/>
          <w:szCs w:val="24"/>
        </w:rPr>
      </w:pPr>
    </w:p>
    <w:p w:rsidR="00152EE3" w:rsidRDefault="00152EE3" w:rsidP="00152EE3">
      <w:pPr>
        <w:spacing w:after="0" w:line="276" w:lineRule="auto"/>
        <w:ind w:left="720" w:firstLine="360"/>
        <w:rPr>
          <w:rFonts w:ascii="Arial" w:eastAsia="Times New Roman" w:hAnsi="Arial" w:cs="Arial"/>
          <w:sz w:val="24"/>
          <w:szCs w:val="24"/>
          <w:u w:val="single"/>
        </w:rPr>
      </w:pPr>
    </w:p>
    <w:p w:rsidR="00152EE3" w:rsidRPr="00BE05F6" w:rsidRDefault="00152EE3" w:rsidP="003F450A">
      <w:pPr>
        <w:pStyle w:val="ListParagraph"/>
        <w:numPr>
          <w:ilvl w:val="0"/>
          <w:numId w:val="37"/>
        </w:numPr>
        <w:spacing w:after="0" w:line="276" w:lineRule="auto"/>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152EE3" w:rsidRDefault="00152EE3" w:rsidP="003F450A">
      <w:pPr>
        <w:pStyle w:val="ListParagraph"/>
        <w:numPr>
          <w:ilvl w:val="1"/>
          <w:numId w:val="37"/>
        </w:numPr>
        <w:spacing w:after="0"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925F97" w:rsidRDefault="00925F97" w:rsidP="00925F97">
      <w:pPr>
        <w:pStyle w:val="ListParagraph"/>
        <w:spacing w:after="0" w:line="276" w:lineRule="auto"/>
        <w:ind w:left="1440"/>
        <w:rPr>
          <w:rFonts w:ascii="Arial" w:eastAsia="Times New Roman" w:hAnsi="Arial" w:cs="Arial"/>
          <w:sz w:val="24"/>
          <w:szCs w:val="24"/>
        </w:rPr>
      </w:pPr>
    </w:p>
    <w:p w:rsidR="00925F97" w:rsidRDefault="00925F97" w:rsidP="00925F97">
      <w:pPr>
        <w:spacing w:line="276" w:lineRule="auto"/>
        <w:ind w:left="709"/>
        <w:rPr>
          <w:rFonts w:ascii="Arial" w:eastAsia="Times New Roman" w:hAnsi="Arial" w:cs="Arial"/>
          <w:color w:val="0070C0"/>
          <w:sz w:val="24"/>
          <w:szCs w:val="24"/>
        </w:rPr>
      </w:pPr>
      <w:r>
        <w:rPr>
          <w:rFonts w:ascii="Arial" w:eastAsia="Times New Roman" w:hAnsi="Arial" w:cs="Arial"/>
          <w:color w:val="0070C0"/>
          <w:sz w:val="24"/>
          <w:szCs w:val="24"/>
        </w:rPr>
        <w:t xml:space="preserve">When completing the monthly submissions for IESO settlements, RHI uses a top down approach. RHI starts by collecting the current month’s wholesale metering data from our third-party meter management vendor, Utilismart. The embedded generation is then added to calculate the total load (kWh) purchased. The current month’s Class A customer volumes are removed and can be determined directly </w:t>
      </w:r>
      <w:r>
        <w:rPr>
          <w:rFonts w:ascii="Arial" w:eastAsia="Times New Roman" w:hAnsi="Arial" w:cs="Arial"/>
          <w:color w:val="0070C0"/>
          <w:sz w:val="24"/>
          <w:szCs w:val="24"/>
        </w:rPr>
        <w:lastRenderedPageBreak/>
        <w:t>from the meter management data. The remaining balance is the consumption for Class B customers. The split between RPP and non-RPP consumption of Class B customers must be estimated. The current month’s billing data is used to estimate the split. It is an estimate because the current month’s billing data is based on the prior month’s consumption. Actual volumes between RPP and non-RPP are not available at the time the settlement is due. RHI uses these estimated RPP volumes to calculate the RPP related GA costs. The first estimate of the GA is used for this initial calculation, but once the actual GA rate is known, an adjustment is made to true-up in the following month.</w:t>
      </w:r>
    </w:p>
    <w:p w:rsidR="00925F97" w:rsidRDefault="00925F97" w:rsidP="00925F97">
      <w:pPr>
        <w:pStyle w:val="ListParagraph"/>
        <w:spacing w:after="0" w:line="276" w:lineRule="auto"/>
        <w:ind w:left="1440"/>
        <w:rPr>
          <w:rFonts w:ascii="Arial" w:eastAsia="Times New Roman" w:hAnsi="Arial" w:cs="Arial"/>
          <w:sz w:val="24"/>
          <w:szCs w:val="24"/>
        </w:rPr>
      </w:pPr>
    </w:p>
    <w:p w:rsidR="00152EE3" w:rsidRDefault="00152EE3" w:rsidP="003F450A">
      <w:pPr>
        <w:pStyle w:val="ListParagraph"/>
        <w:numPr>
          <w:ilvl w:val="1"/>
          <w:numId w:val="37"/>
        </w:numPr>
        <w:spacing w:after="0"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925F97" w:rsidRDefault="00925F97" w:rsidP="00925F97">
      <w:pPr>
        <w:pStyle w:val="ListParagraph"/>
        <w:spacing w:after="0" w:line="276" w:lineRule="auto"/>
        <w:ind w:left="1440"/>
        <w:rPr>
          <w:rFonts w:ascii="Arial" w:eastAsia="Times New Roman" w:hAnsi="Arial" w:cs="Arial"/>
          <w:sz w:val="24"/>
          <w:szCs w:val="24"/>
        </w:rPr>
      </w:pPr>
    </w:p>
    <w:p w:rsidR="00925F97" w:rsidRPr="00583512" w:rsidRDefault="00925F97" w:rsidP="00925F97">
      <w:pPr>
        <w:spacing w:line="276" w:lineRule="auto"/>
        <w:ind w:left="709"/>
        <w:rPr>
          <w:rFonts w:ascii="Arial" w:eastAsia="Times New Roman" w:hAnsi="Arial" w:cs="Arial"/>
          <w:color w:val="0070C0"/>
          <w:sz w:val="24"/>
          <w:szCs w:val="24"/>
        </w:rPr>
      </w:pPr>
      <w:r w:rsidRPr="00583512">
        <w:rPr>
          <w:rFonts w:ascii="Arial" w:eastAsia="Times New Roman" w:hAnsi="Arial" w:cs="Arial"/>
          <w:color w:val="0070C0"/>
          <w:sz w:val="24"/>
          <w:szCs w:val="24"/>
        </w:rPr>
        <w:t>RHI trues up the difference between the GA first estimate and actual GA the following month, once the final rate is known.</w:t>
      </w:r>
      <w:r>
        <w:rPr>
          <w:rFonts w:ascii="Arial" w:eastAsia="Times New Roman" w:hAnsi="Arial" w:cs="Arial"/>
          <w:color w:val="0070C0"/>
          <w:sz w:val="24"/>
          <w:szCs w:val="24"/>
        </w:rPr>
        <w:t xml:space="preserve"> RHI also calculates a true up on the estimated RPP volumes every quarter using actual volumes obtained from the CIS billing data. RHI is able to use actual TOU and Tier volumes for this true up.</w:t>
      </w:r>
    </w:p>
    <w:p w:rsidR="00925F97" w:rsidRDefault="00925F97" w:rsidP="00925F97">
      <w:pPr>
        <w:pStyle w:val="ListParagraph"/>
        <w:spacing w:after="0" w:line="276" w:lineRule="auto"/>
        <w:ind w:left="1440"/>
        <w:rPr>
          <w:rFonts w:ascii="Arial" w:eastAsia="Times New Roman" w:hAnsi="Arial" w:cs="Arial"/>
          <w:sz w:val="24"/>
          <w:szCs w:val="24"/>
        </w:rPr>
      </w:pPr>
    </w:p>
    <w:p w:rsidR="00152EE3" w:rsidRDefault="00152EE3" w:rsidP="003F450A">
      <w:pPr>
        <w:pStyle w:val="ListParagraph"/>
        <w:numPr>
          <w:ilvl w:val="1"/>
          <w:numId w:val="37"/>
        </w:numPr>
        <w:spacing w:after="0"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w:t>
      </w:r>
      <w:r w:rsidR="004C4A06">
        <w:rPr>
          <w:rFonts w:ascii="Arial" w:eastAsia="Times New Roman" w:hAnsi="Arial" w:cs="Arial"/>
          <w:sz w:val="24"/>
          <w:szCs w:val="24"/>
        </w:rPr>
        <w:t>2018</w:t>
      </w:r>
      <w:r>
        <w:rPr>
          <w:rFonts w:ascii="Arial" w:eastAsia="Times New Roman" w:hAnsi="Arial" w:cs="Arial"/>
          <w:sz w:val="24"/>
          <w:szCs w:val="24"/>
        </w:rPr>
        <w:t xml:space="preserve">? </w:t>
      </w:r>
    </w:p>
    <w:p w:rsidR="00925F97" w:rsidRDefault="00925F97" w:rsidP="00925F97">
      <w:pPr>
        <w:pStyle w:val="ListParagraph"/>
        <w:spacing w:after="0" w:line="276" w:lineRule="auto"/>
        <w:ind w:left="1440"/>
        <w:rPr>
          <w:rFonts w:ascii="Arial" w:eastAsia="Times New Roman" w:hAnsi="Arial" w:cs="Arial"/>
          <w:sz w:val="24"/>
          <w:szCs w:val="24"/>
        </w:rPr>
      </w:pPr>
    </w:p>
    <w:p w:rsidR="00925F97" w:rsidRPr="001B2483" w:rsidRDefault="00925F97" w:rsidP="00925F97">
      <w:pPr>
        <w:spacing w:line="276" w:lineRule="auto"/>
        <w:ind w:left="709"/>
        <w:rPr>
          <w:rFonts w:ascii="Arial" w:eastAsia="Times New Roman" w:hAnsi="Arial" w:cs="Arial"/>
          <w:color w:val="0070C0"/>
          <w:sz w:val="24"/>
          <w:szCs w:val="24"/>
        </w:rPr>
      </w:pPr>
      <w:r w:rsidRPr="001B2483">
        <w:rPr>
          <w:rFonts w:ascii="Arial" w:eastAsia="Times New Roman" w:hAnsi="Arial" w:cs="Arial"/>
          <w:color w:val="0070C0"/>
          <w:sz w:val="24"/>
          <w:szCs w:val="24"/>
        </w:rPr>
        <w:t xml:space="preserve">RHI confirms CT1142 has been trued </w:t>
      </w:r>
      <w:r>
        <w:rPr>
          <w:rFonts w:ascii="Arial" w:eastAsia="Times New Roman" w:hAnsi="Arial" w:cs="Arial"/>
          <w:color w:val="0070C0"/>
          <w:sz w:val="24"/>
          <w:szCs w:val="24"/>
        </w:rPr>
        <w:t>up with the IESO for all of 2018</w:t>
      </w:r>
      <w:r w:rsidRPr="001B2483">
        <w:rPr>
          <w:rFonts w:ascii="Arial" w:eastAsia="Times New Roman" w:hAnsi="Arial" w:cs="Arial"/>
          <w:color w:val="0070C0"/>
          <w:sz w:val="24"/>
          <w:szCs w:val="24"/>
        </w:rPr>
        <w:t>.</w:t>
      </w:r>
    </w:p>
    <w:p w:rsidR="00925F97" w:rsidRDefault="00925F97" w:rsidP="00925F97">
      <w:pPr>
        <w:pStyle w:val="ListParagraph"/>
        <w:spacing w:after="0" w:line="276" w:lineRule="auto"/>
        <w:ind w:left="1440"/>
        <w:rPr>
          <w:rFonts w:ascii="Arial" w:eastAsia="Times New Roman" w:hAnsi="Arial" w:cs="Arial"/>
          <w:sz w:val="24"/>
          <w:szCs w:val="24"/>
        </w:rPr>
      </w:pPr>
    </w:p>
    <w:p w:rsidR="00152EE3" w:rsidRDefault="00152EE3" w:rsidP="003F450A">
      <w:pPr>
        <w:pStyle w:val="ListParagraph"/>
        <w:numPr>
          <w:ilvl w:val="1"/>
          <w:numId w:val="37"/>
        </w:numPr>
        <w:spacing w:after="0" w:line="276" w:lineRule="auto"/>
        <w:rPr>
          <w:rFonts w:ascii="Arial" w:eastAsia="Times New Roman" w:hAnsi="Arial" w:cs="Arial"/>
          <w:sz w:val="24"/>
          <w:szCs w:val="24"/>
        </w:rPr>
      </w:pPr>
      <w:r>
        <w:rPr>
          <w:rFonts w:ascii="Arial" w:eastAsia="Times New Roman" w:hAnsi="Arial" w:cs="Arial"/>
          <w:sz w:val="24"/>
          <w:szCs w:val="24"/>
        </w:rPr>
        <w:t xml:space="preserve">Which months from </w:t>
      </w:r>
      <w:r w:rsidR="004C4A06">
        <w:rPr>
          <w:rFonts w:ascii="Arial" w:eastAsia="Times New Roman" w:hAnsi="Arial" w:cs="Arial"/>
          <w:sz w:val="24"/>
          <w:szCs w:val="24"/>
        </w:rPr>
        <w:t xml:space="preserve">2018 </w:t>
      </w:r>
      <w:r>
        <w:rPr>
          <w:rFonts w:ascii="Arial" w:eastAsia="Times New Roman" w:hAnsi="Arial" w:cs="Arial"/>
          <w:sz w:val="24"/>
          <w:szCs w:val="24"/>
        </w:rPr>
        <w:t xml:space="preserve">were trued up in </w:t>
      </w:r>
      <w:r w:rsidR="004C4A06">
        <w:rPr>
          <w:rFonts w:ascii="Arial" w:eastAsia="Times New Roman" w:hAnsi="Arial" w:cs="Arial"/>
          <w:sz w:val="24"/>
          <w:szCs w:val="24"/>
        </w:rPr>
        <w:t>2019</w:t>
      </w:r>
      <w:r>
        <w:rPr>
          <w:rFonts w:ascii="Arial" w:eastAsia="Times New Roman" w:hAnsi="Arial" w:cs="Arial"/>
          <w:sz w:val="24"/>
          <w:szCs w:val="24"/>
        </w:rPr>
        <w:t>?</w:t>
      </w:r>
    </w:p>
    <w:p w:rsidR="006D0131" w:rsidRDefault="006D0131" w:rsidP="00925F97">
      <w:pPr>
        <w:pStyle w:val="ListParagraph"/>
        <w:spacing w:after="0" w:line="276" w:lineRule="auto"/>
        <w:ind w:left="1440"/>
        <w:rPr>
          <w:rFonts w:ascii="Arial" w:eastAsia="Times New Roman" w:hAnsi="Arial" w:cs="Arial"/>
          <w:sz w:val="24"/>
          <w:szCs w:val="24"/>
        </w:rPr>
      </w:pPr>
    </w:p>
    <w:p w:rsidR="00925F97" w:rsidRPr="006D0131" w:rsidRDefault="006D0131" w:rsidP="006D0131">
      <w:pPr>
        <w:spacing w:line="276" w:lineRule="auto"/>
        <w:ind w:left="709"/>
        <w:rPr>
          <w:rFonts w:ascii="Arial" w:eastAsia="Times New Roman" w:hAnsi="Arial" w:cs="Arial"/>
          <w:color w:val="0070C0"/>
          <w:sz w:val="24"/>
          <w:szCs w:val="24"/>
        </w:rPr>
      </w:pPr>
      <w:r w:rsidRPr="006D0131">
        <w:rPr>
          <w:rFonts w:ascii="Arial" w:eastAsia="Times New Roman" w:hAnsi="Arial" w:cs="Arial"/>
          <w:color w:val="0070C0"/>
          <w:sz w:val="24"/>
          <w:szCs w:val="24"/>
        </w:rPr>
        <w:t>RHI trued up September, October, and December 2018 in 2019.</w:t>
      </w:r>
    </w:p>
    <w:p w:rsidR="006D0131" w:rsidRDefault="006D0131" w:rsidP="00925F97">
      <w:pPr>
        <w:pStyle w:val="ListParagraph"/>
        <w:spacing w:after="0" w:line="276" w:lineRule="auto"/>
        <w:ind w:left="1440"/>
        <w:rPr>
          <w:rFonts w:ascii="Arial" w:eastAsia="Times New Roman" w:hAnsi="Arial" w:cs="Arial"/>
          <w:sz w:val="24"/>
          <w:szCs w:val="24"/>
        </w:rPr>
      </w:pPr>
    </w:p>
    <w:p w:rsidR="00663F6F" w:rsidRDefault="00663F6F" w:rsidP="003F450A">
      <w:pPr>
        <w:pStyle w:val="ListParagraph"/>
        <w:numPr>
          <w:ilvl w:val="2"/>
          <w:numId w:val="37"/>
        </w:numPr>
        <w:spacing w:after="0" w:line="276" w:lineRule="auto"/>
        <w:rPr>
          <w:rFonts w:ascii="Arial" w:eastAsia="Times New Roman" w:hAnsi="Arial" w:cs="Arial"/>
          <w:sz w:val="24"/>
          <w:szCs w:val="24"/>
        </w:rPr>
      </w:pPr>
      <w:r>
        <w:rPr>
          <w:rFonts w:ascii="Arial" w:eastAsia="Times New Roman" w:hAnsi="Arial" w:cs="Arial"/>
          <w:sz w:val="24"/>
          <w:szCs w:val="24"/>
        </w:rPr>
        <w:t xml:space="preserve">Were these true ups recorded in the 2018 or 2019 balance in the </w:t>
      </w:r>
      <w:r w:rsidR="007E47B5">
        <w:rPr>
          <w:rFonts w:ascii="Arial" w:eastAsia="Times New Roman" w:hAnsi="Arial" w:cs="Arial"/>
          <w:sz w:val="24"/>
          <w:szCs w:val="24"/>
        </w:rPr>
        <w:t>General Ledger</w:t>
      </w:r>
      <w:r>
        <w:rPr>
          <w:rFonts w:ascii="Arial" w:eastAsia="Times New Roman" w:hAnsi="Arial" w:cs="Arial"/>
          <w:sz w:val="24"/>
          <w:szCs w:val="24"/>
        </w:rPr>
        <w:t>?</w:t>
      </w:r>
    </w:p>
    <w:p w:rsidR="006D0131" w:rsidRPr="006D0131" w:rsidRDefault="006D0131" w:rsidP="006D0131">
      <w:pPr>
        <w:spacing w:line="276" w:lineRule="auto"/>
        <w:ind w:left="709"/>
        <w:rPr>
          <w:rFonts w:ascii="Arial" w:eastAsia="Times New Roman" w:hAnsi="Arial" w:cs="Arial"/>
          <w:color w:val="0070C0"/>
          <w:sz w:val="24"/>
          <w:szCs w:val="24"/>
        </w:rPr>
      </w:pPr>
      <w:r w:rsidRPr="006D0131">
        <w:rPr>
          <w:rFonts w:ascii="Arial" w:eastAsia="Times New Roman" w:hAnsi="Arial" w:cs="Arial"/>
          <w:color w:val="0070C0"/>
          <w:sz w:val="24"/>
          <w:szCs w:val="24"/>
        </w:rPr>
        <w:t>The 2018 true ups performed in 2019 were recorded in the 2018 General Ledger before the year end was finalized.</w:t>
      </w:r>
    </w:p>
    <w:p w:rsidR="00152EE3" w:rsidRDefault="00152EE3" w:rsidP="003F450A">
      <w:pPr>
        <w:pStyle w:val="ListParagraph"/>
        <w:numPr>
          <w:ilvl w:val="1"/>
          <w:numId w:val="37"/>
        </w:numPr>
        <w:spacing w:after="0" w:line="276" w:lineRule="auto"/>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w:t>
      </w:r>
      <w:r w:rsidR="004C4A06">
        <w:rPr>
          <w:rFonts w:ascii="Arial" w:eastAsia="Times New Roman" w:hAnsi="Arial" w:cs="Arial"/>
          <w:sz w:val="24"/>
          <w:szCs w:val="24"/>
        </w:rPr>
        <w:t xml:space="preserve">2018 </w:t>
      </w:r>
      <w:r>
        <w:rPr>
          <w:rFonts w:ascii="Arial" w:eastAsia="Times New Roman" w:hAnsi="Arial" w:cs="Arial"/>
          <w:sz w:val="24"/>
          <w:szCs w:val="24"/>
        </w:rPr>
        <w:t>related true-up been reflected in the applicant’s DVA Continuity Schedule in this proceeding?</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Pr="006D0131" w:rsidRDefault="006D0131" w:rsidP="006D0131">
      <w:pPr>
        <w:spacing w:line="276" w:lineRule="auto"/>
        <w:ind w:left="709"/>
        <w:rPr>
          <w:rFonts w:ascii="Arial" w:eastAsia="Times New Roman" w:hAnsi="Arial" w:cs="Arial"/>
          <w:color w:val="0070C0"/>
          <w:sz w:val="24"/>
          <w:szCs w:val="24"/>
        </w:rPr>
      </w:pPr>
      <w:r w:rsidRPr="006D0131">
        <w:rPr>
          <w:rFonts w:ascii="Arial" w:eastAsia="Times New Roman" w:hAnsi="Arial" w:cs="Arial"/>
          <w:color w:val="0070C0"/>
          <w:sz w:val="24"/>
          <w:szCs w:val="24"/>
        </w:rPr>
        <w:t>RHI confirms that all of the 2018 related true-ups have been reflected in the DVA Continuity Schedule submitted in this proceeding.</w:t>
      </w:r>
    </w:p>
    <w:p w:rsidR="00325817" w:rsidRDefault="00325817" w:rsidP="00152EE3">
      <w:pPr>
        <w:spacing w:after="0" w:line="276" w:lineRule="auto"/>
        <w:rPr>
          <w:rFonts w:ascii="Arial" w:eastAsia="Times New Roman" w:hAnsi="Arial" w:cs="Arial"/>
          <w:sz w:val="24"/>
          <w:szCs w:val="24"/>
        </w:rPr>
      </w:pPr>
    </w:p>
    <w:p w:rsidR="00152EE3" w:rsidRPr="00BE05F6" w:rsidRDefault="00152EE3" w:rsidP="003F450A">
      <w:pPr>
        <w:pStyle w:val="ListParagraph"/>
        <w:numPr>
          <w:ilvl w:val="0"/>
          <w:numId w:val="37"/>
        </w:numPr>
        <w:spacing w:after="0" w:line="276" w:lineRule="auto"/>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5A539A" w:rsidRDefault="00152EE3" w:rsidP="0008407E">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r w:rsidR="005A539A" w:rsidRPr="005A539A">
        <w:rPr>
          <w:rFonts w:ascii="Arial" w:eastAsia="Times New Roman" w:hAnsi="Arial" w:cs="Arial"/>
          <w:sz w:val="24"/>
          <w:szCs w:val="24"/>
        </w:rPr>
        <w:t>.</w:t>
      </w:r>
    </w:p>
    <w:p w:rsidR="006D0131" w:rsidRDefault="006D0131" w:rsidP="006D0131">
      <w:pPr>
        <w:pStyle w:val="ListParagraph"/>
        <w:spacing w:line="276" w:lineRule="auto"/>
        <w:ind w:left="1440"/>
        <w:rPr>
          <w:rFonts w:ascii="Arial" w:eastAsia="Times New Roman" w:hAnsi="Arial" w:cs="Arial"/>
          <w:color w:val="0070C0"/>
          <w:sz w:val="24"/>
          <w:szCs w:val="24"/>
        </w:rPr>
      </w:pPr>
    </w:p>
    <w:p w:rsidR="006D0131" w:rsidRPr="006D0131" w:rsidRDefault="006D0131" w:rsidP="006D0131">
      <w:pPr>
        <w:pStyle w:val="ListParagraph"/>
        <w:spacing w:line="276" w:lineRule="auto"/>
        <w:ind w:left="1440"/>
        <w:rPr>
          <w:rFonts w:ascii="Arial" w:eastAsia="Times New Roman" w:hAnsi="Arial" w:cs="Arial"/>
          <w:color w:val="0070C0"/>
          <w:sz w:val="24"/>
          <w:szCs w:val="24"/>
        </w:rPr>
      </w:pPr>
      <w:r w:rsidRPr="006D0131">
        <w:rPr>
          <w:rFonts w:ascii="Arial" w:eastAsia="Times New Roman" w:hAnsi="Arial" w:cs="Arial"/>
          <w:color w:val="0070C0"/>
          <w:sz w:val="24"/>
          <w:szCs w:val="24"/>
        </w:rPr>
        <w:t>RHI uses actual monthly volumes obtained from the billing data within our CIS Northstar software to determine the RPP and Non-RPP kWhs. The Global Adjustment charges (CT 148) are then allocated proportionally between account 1588 and 1589.</w:t>
      </w:r>
    </w:p>
    <w:p w:rsidR="006D0131" w:rsidRDefault="006D0131" w:rsidP="006D0131">
      <w:pPr>
        <w:pStyle w:val="ListParagraph"/>
        <w:spacing w:after="0" w:line="276" w:lineRule="auto"/>
        <w:ind w:left="1440"/>
        <w:rPr>
          <w:rFonts w:ascii="Arial" w:eastAsia="Times New Roman" w:hAnsi="Arial" w:cs="Arial"/>
          <w:sz w:val="24"/>
          <w:szCs w:val="24"/>
        </w:rPr>
      </w:pPr>
    </w:p>
    <w:p w:rsidR="00152EE3" w:rsidRDefault="00152EE3" w:rsidP="0008407E">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Pr="005E3A1E" w:rsidRDefault="006D0131" w:rsidP="006D0131">
      <w:pPr>
        <w:spacing w:line="276" w:lineRule="auto"/>
        <w:ind w:left="1440"/>
        <w:rPr>
          <w:rFonts w:ascii="Arial" w:eastAsia="Times New Roman" w:hAnsi="Arial" w:cs="Arial"/>
          <w:color w:val="0070C0"/>
          <w:sz w:val="24"/>
          <w:szCs w:val="24"/>
        </w:rPr>
      </w:pPr>
      <w:r w:rsidRPr="005E3A1E">
        <w:rPr>
          <w:rFonts w:ascii="Arial" w:eastAsia="Times New Roman" w:hAnsi="Arial" w:cs="Arial"/>
          <w:color w:val="0070C0"/>
          <w:sz w:val="24"/>
          <w:szCs w:val="24"/>
        </w:rPr>
        <w:t xml:space="preserve">RHI does not find it necessary to true up the GA related </w:t>
      </w:r>
      <w:r>
        <w:rPr>
          <w:rFonts w:ascii="Arial" w:eastAsia="Times New Roman" w:hAnsi="Arial" w:cs="Arial"/>
          <w:color w:val="0070C0"/>
          <w:sz w:val="24"/>
          <w:szCs w:val="24"/>
        </w:rPr>
        <w:t>expenses</w:t>
      </w:r>
      <w:r w:rsidRPr="005E3A1E">
        <w:rPr>
          <w:rFonts w:ascii="Arial" w:eastAsia="Times New Roman" w:hAnsi="Arial" w:cs="Arial"/>
          <w:color w:val="0070C0"/>
          <w:sz w:val="24"/>
          <w:szCs w:val="24"/>
        </w:rPr>
        <w:t xml:space="preserve"> because actual volumes</w:t>
      </w:r>
      <w:r>
        <w:rPr>
          <w:rFonts w:ascii="Arial" w:eastAsia="Times New Roman" w:hAnsi="Arial" w:cs="Arial"/>
          <w:color w:val="0070C0"/>
          <w:sz w:val="24"/>
          <w:szCs w:val="24"/>
        </w:rPr>
        <w:t xml:space="preserve"> (from billing data)</w:t>
      </w:r>
      <w:r w:rsidRPr="005E3A1E">
        <w:rPr>
          <w:rFonts w:ascii="Arial" w:eastAsia="Times New Roman" w:hAnsi="Arial" w:cs="Arial"/>
          <w:color w:val="0070C0"/>
          <w:sz w:val="24"/>
          <w:szCs w:val="24"/>
        </w:rPr>
        <w:t xml:space="preserve"> are used to determine the split when posting the GA costs between RPP and non-RPP. RHI does use the OEB GA model to ensure the GA variance each month is reasonable.</w:t>
      </w:r>
      <w:r>
        <w:rPr>
          <w:rFonts w:ascii="Arial" w:eastAsia="Times New Roman" w:hAnsi="Arial" w:cs="Arial"/>
          <w:color w:val="0070C0"/>
          <w:sz w:val="24"/>
          <w:szCs w:val="24"/>
        </w:rPr>
        <w:t xml:space="preserve"> RHI also tracks all consumption each month split between RPP, non-RPP, and Class A from the billing stats and compares the total to wholesale purchases to ensure there are no material differences.</w:t>
      </w:r>
    </w:p>
    <w:p w:rsidR="006D0131" w:rsidRPr="005A539A" w:rsidRDefault="006D0131" w:rsidP="006D0131">
      <w:pPr>
        <w:pStyle w:val="ListParagraph"/>
        <w:spacing w:after="0" w:line="276" w:lineRule="auto"/>
        <w:ind w:left="1440"/>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 xml:space="preserve">What data is used to determine the non-RPP kWh volume that is multiplied with the actual GA per kWh rate (based on CT 148) for recording as </w:t>
      </w:r>
      <w:r w:rsidR="0008407E">
        <w:rPr>
          <w:rFonts w:ascii="Arial" w:eastAsia="Times New Roman" w:hAnsi="Arial" w:cs="Arial"/>
          <w:sz w:val="24"/>
          <w:szCs w:val="24"/>
        </w:rPr>
        <w:t xml:space="preserve">the initial GA </w:t>
      </w:r>
      <w:r>
        <w:rPr>
          <w:rFonts w:ascii="Arial" w:eastAsia="Times New Roman" w:hAnsi="Arial" w:cs="Arial"/>
          <w:sz w:val="24"/>
          <w:szCs w:val="24"/>
        </w:rPr>
        <w:t>expense in Account 1589?</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Pr="00D601F8" w:rsidRDefault="006D0131" w:rsidP="006D0131">
      <w:pPr>
        <w:spacing w:line="276" w:lineRule="auto"/>
        <w:ind w:left="1440"/>
        <w:rPr>
          <w:rFonts w:ascii="Arial" w:eastAsia="Times New Roman" w:hAnsi="Arial" w:cs="Arial"/>
          <w:color w:val="0070C0"/>
          <w:sz w:val="24"/>
          <w:szCs w:val="24"/>
        </w:rPr>
      </w:pPr>
      <w:r w:rsidRPr="00D601F8">
        <w:rPr>
          <w:rFonts w:ascii="Arial" w:eastAsia="Times New Roman" w:hAnsi="Arial" w:cs="Arial"/>
          <w:color w:val="0070C0"/>
          <w:sz w:val="24"/>
          <w:szCs w:val="24"/>
        </w:rPr>
        <w:t>As mentioned in (</w:t>
      </w:r>
      <w:r>
        <w:rPr>
          <w:rFonts w:ascii="Arial" w:eastAsia="Times New Roman" w:hAnsi="Arial" w:cs="Arial"/>
          <w:color w:val="0070C0"/>
          <w:sz w:val="24"/>
          <w:szCs w:val="24"/>
        </w:rPr>
        <w:t>a) and (</w:t>
      </w:r>
      <w:r w:rsidRPr="00D601F8">
        <w:rPr>
          <w:rFonts w:ascii="Arial" w:eastAsia="Times New Roman" w:hAnsi="Arial" w:cs="Arial"/>
          <w:color w:val="0070C0"/>
          <w:sz w:val="24"/>
          <w:szCs w:val="24"/>
        </w:rPr>
        <w:t xml:space="preserve">b) RHI uses actual volumes from </w:t>
      </w:r>
      <w:r>
        <w:rPr>
          <w:rFonts w:ascii="Arial" w:eastAsia="Times New Roman" w:hAnsi="Arial" w:cs="Arial"/>
          <w:color w:val="0070C0"/>
          <w:sz w:val="24"/>
          <w:szCs w:val="24"/>
        </w:rPr>
        <w:t xml:space="preserve">the </w:t>
      </w:r>
      <w:r w:rsidRPr="00D601F8">
        <w:rPr>
          <w:rFonts w:ascii="Arial" w:eastAsia="Times New Roman" w:hAnsi="Arial" w:cs="Arial"/>
          <w:color w:val="0070C0"/>
          <w:sz w:val="24"/>
          <w:szCs w:val="24"/>
        </w:rPr>
        <w:t xml:space="preserve">billing data </w:t>
      </w:r>
      <w:r>
        <w:rPr>
          <w:rFonts w:ascii="Arial" w:eastAsia="Times New Roman" w:hAnsi="Arial" w:cs="Arial"/>
          <w:color w:val="0070C0"/>
          <w:sz w:val="24"/>
          <w:szCs w:val="24"/>
        </w:rPr>
        <w:t xml:space="preserve">of the applicable consumption month </w:t>
      </w:r>
      <w:r w:rsidRPr="00D601F8">
        <w:rPr>
          <w:rFonts w:ascii="Arial" w:eastAsia="Times New Roman" w:hAnsi="Arial" w:cs="Arial"/>
          <w:color w:val="0070C0"/>
          <w:sz w:val="24"/>
          <w:szCs w:val="24"/>
        </w:rPr>
        <w:t>to determine the non-RPP kWh volumes. These volumes are use</w:t>
      </w:r>
      <w:r>
        <w:rPr>
          <w:rFonts w:ascii="Arial" w:eastAsia="Times New Roman" w:hAnsi="Arial" w:cs="Arial"/>
          <w:color w:val="0070C0"/>
          <w:sz w:val="24"/>
          <w:szCs w:val="24"/>
        </w:rPr>
        <w:t>d</w:t>
      </w:r>
      <w:r w:rsidRPr="00D601F8">
        <w:rPr>
          <w:rFonts w:ascii="Arial" w:eastAsia="Times New Roman" w:hAnsi="Arial" w:cs="Arial"/>
          <w:color w:val="0070C0"/>
          <w:sz w:val="24"/>
          <w:szCs w:val="24"/>
        </w:rPr>
        <w:t xml:space="preserve"> and multiplied with actual GA per kWh rate to record the GA expense proportionally between account 1588 and 1589.</w:t>
      </w:r>
    </w:p>
    <w:p w:rsidR="006D0131" w:rsidRPr="00BE05F6" w:rsidRDefault="006D0131" w:rsidP="006D0131">
      <w:pPr>
        <w:pStyle w:val="ListParagraph"/>
        <w:spacing w:after="0" w:line="276" w:lineRule="auto"/>
        <w:ind w:left="1440"/>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 xml:space="preserve">Does the utility true up the initial recording of CT 148 in Accounts 1588 and 1589 based on estimated </w:t>
      </w:r>
      <w:r w:rsidR="0008407E">
        <w:rPr>
          <w:rFonts w:ascii="Arial" w:eastAsia="Times New Roman" w:hAnsi="Arial" w:cs="Arial"/>
          <w:sz w:val="24"/>
          <w:szCs w:val="24"/>
        </w:rPr>
        <w:t xml:space="preserve">RPP/non-RPP consumption </w:t>
      </w:r>
      <w:r>
        <w:rPr>
          <w:rFonts w:ascii="Arial" w:eastAsia="Times New Roman" w:hAnsi="Arial" w:cs="Arial"/>
          <w:sz w:val="24"/>
          <w:szCs w:val="24"/>
        </w:rPr>
        <w:t xml:space="preserve">proportions to actuals based on actual </w:t>
      </w:r>
      <w:r w:rsidR="0008407E">
        <w:rPr>
          <w:rFonts w:ascii="Arial" w:eastAsia="Times New Roman" w:hAnsi="Arial" w:cs="Arial"/>
          <w:sz w:val="24"/>
          <w:szCs w:val="24"/>
        </w:rPr>
        <w:t xml:space="preserve">RPP-non-RPP </w:t>
      </w:r>
      <w:r>
        <w:rPr>
          <w:rFonts w:ascii="Arial" w:eastAsia="Times New Roman" w:hAnsi="Arial" w:cs="Arial"/>
          <w:sz w:val="24"/>
          <w:szCs w:val="24"/>
        </w:rPr>
        <w:t>consumption proportions?</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Pr="00D601F8" w:rsidRDefault="006D0131" w:rsidP="006D0131">
      <w:pPr>
        <w:spacing w:line="276" w:lineRule="auto"/>
        <w:ind w:left="1440"/>
        <w:rPr>
          <w:rFonts w:ascii="Arial" w:eastAsia="Times New Roman" w:hAnsi="Arial" w:cs="Arial"/>
          <w:color w:val="0070C0"/>
          <w:sz w:val="24"/>
          <w:szCs w:val="24"/>
        </w:rPr>
      </w:pPr>
      <w:r w:rsidRPr="00D601F8">
        <w:rPr>
          <w:rFonts w:ascii="Arial" w:eastAsia="Times New Roman" w:hAnsi="Arial" w:cs="Arial"/>
          <w:color w:val="0070C0"/>
          <w:sz w:val="24"/>
          <w:szCs w:val="24"/>
        </w:rPr>
        <w:t>RHI uses actual consumption data to calculate GA (CT 148) costs between 1588 and 1589 and therefore does not require true ups.</w:t>
      </w:r>
    </w:p>
    <w:p w:rsidR="006D0131" w:rsidRDefault="006D0131" w:rsidP="006D0131">
      <w:pPr>
        <w:pStyle w:val="ListParagraph"/>
        <w:spacing w:after="0" w:line="276" w:lineRule="auto"/>
        <w:ind w:left="1440"/>
        <w:rPr>
          <w:rFonts w:ascii="Arial" w:eastAsia="Times New Roman" w:hAnsi="Arial" w:cs="Arial"/>
          <w:sz w:val="24"/>
          <w:szCs w:val="24"/>
        </w:rPr>
      </w:pPr>
    </w:p>
    <w:p w:rsidR="00663F6F"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 xml:space="preserve">Please indicate which months from </w:t>
      </w:r>
      <w:r w:rsidR="0033205D">
        <w:rPr>
          <w:rFonts w:ascii="Arial" w:eastAsia="Times New Roman" w:hAnsi="Arial" w:cs="Arial"/>
          <w:sz w:val="24"/>
          <w:szCs w:val="24"/>
        </w:rPr>
        <w:t xml:space="preserve">2018 </w:t>
      </w:r>
      <w:r>
        <w:rPr>
          <w:rFonts w:ascii="Arial" w:eastAsia="Times New Roman" w:hAnsi="Arial" w:cs="Arial"/>
          <w:sz w:val="24"/>
          <w:szCs w:val="24"/>
        </w:rPr>
        <w:t>w</w:t>
      </w:r>
      <w:r w:rsidR="00325817">
        <w:rPr>
          <w:rFonts w:ascii="Arial" w:eastAsia="Times New Roman" w:hAnsi="Arial" w:cs="Arial"/>
          <w:sz w:val="24"/>
          <w:szCs w:val="24"/>
        </w:rPr>
        <w:t>ere</w:t>
      </w:r>
      <w:r>
        <w:rPr>
          <w:rFonts w:ascii="Arial" w:eastAsia="Times New Roman" w:hAnsi="Arial" w:cs="Arial"/>
          <w:sz w:val="24"/>
          <w:szCs w:val="24"/>
        </w:rPr>
        <w:t xml:space="preserve"> trued up in </w:t>
      </w:r>
      <w:r w:rsidR="0033205D">
        <w:rPr>
          <w:rFonts w:ascii="Arial" w:eastAsia="Times New Roman" w:hAnsi="Arial" w:cs="Arial"/>
          <w:sz w:val="24"/>
          <w:szCs w:val="24"/>
        </w:rPr>
        <w:t xml:space="preserve">2019 </w:t>
      </w:r>
      <w:r>
        <w:rPr>
          <w:rFonts w:ascii="Arial" w:eastAsia="Times New Roman" w:hAnsi="Arial" w:cs="Arial"/>
          <w:sz w:val="24"/>
          <w:szCs w:val="24"/>
        </w:rPr>
        <w:t>for CT 148 proportions between RPP and non-</w:t>
      </w:r>
      <w:r w:rsidR="003623EF">
        <w:rPr>
          <w:rFonts w:ascii="Arial" w:eastAsia="Times New Roman" w:hAnsi="Arial" w:cs="Arial"/>
          <w:sz w:val="24"/>
          <w:szCs w:val="24"/>
        </w:rPr>
        <w:t>RPP.</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Default="006D0131" w:rsidP="006D0131">
      <w:pPr>
        <w:spacing w:line="276" w:lineRule="auto"/>
        <w:ind w:left="1440"/>
        <w:rPr>
          <w:rFonts w:ascii="Arial" w:eastAsia="Times New Roman" w:hAnsi="Arial" w:cs="Arial"/>
          <w:color w:val="0070C0"/>
          <w:sz w:val="24"/>
          <w:szCs w:val="24"/>
        </w:rPr>
      </w:pPr>
      <w:r>
        <w:rPr>
          <w:rFonts w:ascii="Arial" w:eastAsia="Times New Roman" w:hAnsi="Arial" w:cs="Arial"/>
          <w:color w:val="0070C0"/>
          <w:sz w:val="24"/>
          <w:szCs w:val="24"/>
        </w:rPr>
        <w:t>RHI did not require a 2018 true up in 2019</w:t>
      </w:r>
      <w:r w:rsidRPr="00D601F8">
        <w:rPr>
          <w:rFonts w:ascii="Arial" w:eastAsia="Times New Roman" w:hAnsi="Arial" w:cs="Arial"/>
          <w:color w:val="0070C0"/>
          <w:sz w:val="24"/>
          <w:szCs w:val="24"/>
        </w:rPr>
        <w:t xml:space="preserve"> for CT 148 as explained in (a-d).</w:t>
      </w:r>
    </w:p>
    <w:p w:rsidR="00152EE3" w:rsidRDefault="00663F6F" w:rsidP="003F450A">
      <w:pPr>
        <w:pStyle w:val="ListParagraph"/>
        <w:numPr>
          <w:ilvl w:val="2"/>
          <w:numId w:val="22"/>
        </w:numPr>
        <w:spacing w:after="0" w:line="276" w:lineRule="auto"/>
        <w:rPr>
          <w:rFonts w:ascii="Arial" w:eastAsia="Times New Roman" w:hAnsi="Arial" w:cs="Arial"/>
          <w:sz w:val="24"/>
          <w:szCs w:val="24"/>
        </w:rPr>
      </w:pPr>
      <w:r>
        <w:rPr>
          <w:rFonts w:ascii="Arial" w:eastAsia="Times New Roman" w:hAnsi="Arial" w:cs="Arial"/>
          <w:sz w:val="24"/>
          <w:szCs w:val="24"/>
        </w:rPr>
        <w:t xml:space="preserve">Were these true ups recorded in the 2018 or 2019 balance in the </w:t>
      </w:r>
      <w:r w:rsidR="007E47B5">
        <w:rPr>
          <w:rFonts w:ascii="Arial" w:eastAsia="Times New Roman" w:hAnsi="Arial" w:cs="Arial"/>
          <w:sz w:val="24"/>
          <w:szCs w:val="24"/>
        </w:rPr>
        <w:t>General Ledger</w:t>
      </w:r>
      <w:r>
        <w:rPr>
          <w:rFonts w:ascii="Arial" w:eastAsia="Times New Roman" w:hAnsi="Arial" w:cs="Arial"/>
          <w:sz w:val="24"/>
          <w:szCs w:val="24"/>
        </w:rPr>
        <w:t xml:space="preserve">? </w:t>
      </w:r>
    </w:p>
    <w:p w:rsidR="006D0131" w:rsidRDefault="006D0131" w:rsidP="006D0131">
      <w:pPr>
        <w:pStyle w:val="ListParagraph"/>
        <w:spacing w:after="0" w:line="276" w:lineRule="auto"/>
        <w:ind w:left="2520"/>
        <w:rPr>
          <w:rFonts w:ascii="Arial" w:eastAsia="Times New Roman" w:hAnsi="Arial" w:cs="Arial"/>
          <w:sz w:val="24"/>
          <w:szCs w:val="24"/>
        </w:rPr>
      </w:pPr>
    </w:p>
    <w:p w:rsidR="006D0131" w:rsidRPr="00780241" w:rsidRDefault="006D0131" w:rsidP="006D0131">
      <w:pPr>
        <w:spacing w:line="276" w:lineRule="auto"/>
        <w:ind w:left="1440"/>
        <w:rPr>
          <w:rFonts w:ascii="Arial" w:eastAsia="Times New Roman" w:hAnsi="Arial" w:cs="Arial"/>
          <w:color w:val="0070C0"/>
          <w:sz w:val="24"/>
          <w:szCs w:val="24"/>
        </w:rPr>
      </w:pPr>
      <w:r>
        <w:rPr>
          <w:rFonts w:ascii="Arial" w:eastAsia="Times New Roman" w:hAnsi="Arial" w:cs="Arial"/>
          <w:color w:val="0070C0"/>
          <w:sz w:val="24"/>
          <w:szCs w:val="24"/>
        </w:rPr>
        <w:tab/>
        <w:t xml:space="preserve">N/A </w:t>
      </w:r>
      <w:r w:rsidR="003623EF">
        <w:rPr>
          <w:rFonts w:ascii="Arial" w:eastAsia="Times New Roman" w:hAnsi="Arial" w:cs="Arial"/>
          <w:color w:val="0070C0"/>
          <w:sz w:val="24"/>
          <w:szCs w:val="24"/>
        </w:rPr>
        <w:t xml:space="preserve">- </w:t>
      </w:r>
      <w:r w:rsidR="003623EF" w:rsidRPr="00780241">
        <w:rPr>
          <w:rFonts w:ascii="Arial" w:eastAsia="Times New Roman" w:hAnsi="Arial" w:cs="Arial"/>
          <w:color w:val="0070C0"/>
          <w:sz w:val="24"/>
          <w:szCs w:val="24"/>
        </w:rPr>
        <w:t>(</w:t>
      </w:r>
      <w:r w:rsidRPr="00780241">
        <w:rPr>
          <w:rFonts w:ascii="Arial" w:eastAsia="Times New Roman" w:hAnsi="Arial" w:cs="Arial"/>
          <w:color w:val="0070C0"/>
          <w:sz w:val="24"/>
          <w:szCs w:val="24"/>
        </w:rPr>
        <w:t>see above).</w:t>
      </w:r>
    </w:p>
    <w:p w:rsidR="006D0131" w:rsidRPr="003F450A" w:rsidRDefault="006D0131" w:rsidP="006D0131">
      <w:pPr>
        <w:pStyle w:val="ListParagraph"/>
        <w:spacing w:after="0" w:line="276" w:lineRule="auto"/>
        <w:ind w:left="2520"/>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 xml:space="preserve">Are all true-ups for </w:t>
      </w:r>
      <w:r w:rsidR="0033205D">
        <w:rPr>
          <w:rFonts w:ascii="Arial" w:eastAsia="Times New Roman" w:hAnsi="Arial" w:cs="Arial"/>
          <w:sz w:val="24"/>
          <w:szCs w:val="24"/>
        </w:rPr>
        <w:t xml:space="preserve">2018 </w:t>
      </w:r>
      <w:r>
        <w:rPr>
          <w:rFonts w:ascii="Arial" w:eastAsia="Times New Roman" w:hAnsi="Arial" w:cs="Arial"/>
          <w:sz w:val="24"/>
          <w:szCs w:val="24"/>
        </w:rPr>
        <w:t>consumption reflected in the DVA Continuity Schedule</w:t>
      </w:r>
      <w:r w:rsidR="00663F6F">
        <w:rPr>
          <w:rFonts w:ascii="Arial" w:eastAsia="Times New Roman" w:hAnsi="Arial" w:cs="Arial"/>
          <w:sz w:val="24"/>
          <w:szCs w:val="24"/>
        </w:rPr>
        <w:t>?</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Pr="00780241" w:rsidRDefault="006D0131" w:rsidP="006D0131">
      <w:pPr>
        <w:spacing w:line="276" w:lineRule="auto"/>
        <w:ind w:left="1440"/>
        <w:rPr>
          <w:rFonts w:ascii="Arial" w:eastAsia="Times New Roman" w:hAnsi="Arial" w:cs="Arial"/>
          <w:color w:val="0070C0"/>
          <w:sz w:val="24"/>
          <w:szCs w:val="24"/>
        </w:rPr>
      </w:pPr>
      <w:r w:rsidRPr="00780241">
        <w:rPr>
          <w:rFonts w:ascii="Arial" w:eastAsia="Times New Roman" w:hAnsi="Arial" w:cs="Arial"/>
          <w:color w:val="0070C0"/>
          <w:sz w:val="24"/>
          <w:szCs w:val="24"/>
        </w:rPr>
        <w:t>RHI confirms no true up for CT 148 was necessary (see above).</w:t>
      </w:r>
    </w:p>
    <w:p w:rsidR="00152EE3" w:rsidRPr="00BE05F6" w:rsidRDefault="00152EE3" w:rsidP="00BE05F6">
      <w:pPr>
        <w:pStyle w:val="ListParagraph"/>
        <w:spacing w:after="0" w:line="276" w:lineRule="auto"/>
        <w:ind w:left="1440"/>
        <w:rPr>
          <w:rFonts w:ascii="Arial" w:eastAsia="Times New Roman" w:hAnsi="Arial" w:cs="Arial"/>
          <w:sz w:val="24"/>
          <w:szCs w:val="24"/>
        </w:rPr>
      </w:pPr>
    </w:p>
    <w:p w:rsidR="005705A7" w:rsidRDefault="005705A7" w:rsidP="003F450A">
      <w:pPr>
        <w:pStyle w:val="ListParagraph"/>
        <w:numPr>
          <w:ilvl w:val="0"/>
          <w:numId w:val="37"/>
        </w:numPr>
        <w:spacing w:after="0"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5705A7" w:rsidRDefault="005705A7" w:rsidP="00550838">
      <w:pPr>
        <w:spacing w:after="0" w:line="276" w:lineRule="auto"/>
        <w:ind w:left="720"/>
        <w:rPr>
          <w:rFonts w:ascii="Arial" w:eastAsia="Times New Roman" w:hAnsi="Arial" w:cs="Arial"/>
          <w:sz w:val="24"/>
          <w:szCs w:val="24"/>
        </w:rPr>
      </w:pPr>
    </w:p>
    <w:p w:rsidR="00550838" w:rsidRPr="00550838" w:rsidRDefault="00550838" w:rsidP="00550838">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w:t>
      </w:r>
      <w:r w:rsidR="00A235E0">
        <w:rPr>
          <w:rFonts w:ascii="Arial" w:eastAsia="Times New Roman" w:hAnsi="Arial" w:cs="Arial"/>
          <w:sz w:val="24"/>
          <w:szCs w:val="24"/>
          <w:u w:val="single"/>
        </w:rPr>
        <w:t>s</w:t>
      </w:r>
      <w:r>
        <w:rPr>
          <w:rFonts w:ascii="Arial" w:eastAsia="Times New Roman" w:hAnsi="Arial" w:cs="Arial"/>
          <w:sz w:val="24"/>
          <w:szCs w:val="24"/>
          <w:u w:val="single"/>
        </w:rPr>
        <w:t xml:space="preserve"> 1588</w:t>
      </w:r>
      <w:r w:rsidR="00A235E0">
        <w:rPr>
          <w:rFonts w:ascii="Arial" w:eastAsia="Times New Roman" w:hAnsi="Arial" w:cs="Arial"/>
          <w:sz w:val="24"/>
          <w:szCs w:val="24"/>
          <w:u w:val="single"/>
        </w:rPr>
        <w:t xml:space="preserve"> and 1589</w:t>
      </w:r>
    </w:p>
    <w:p w:rsidR="0000233E"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Did the applicant have principal adjustments</w:t>
      </w:r>
      <w:r w:rsidR="00A235E0">
        <w:rPr>
          <w:rFonts w:ascii="Arial" w:eastAsia="Times New Roman" w:hAnsi="Arial" w:cs="Arial"/>
          <w:sz w:val="24"/>
          <w:szCs w:val="24"/>
        </w:rPr>
        <w:t xml:space="preserve"> </w:t>
      </w:r>
      <w:r>
        <w:rPr>
          <w:rFonts w:ascii="Arial" w:eastAsia="Times New Roman" w:hAnsi="Arial" w:cs="Arial"/>
          <w:sz w:val="24"/>
          <w:szCs w:val="24"/>
        </w:rPr>
        <w:t xml:space="preserve">in its </w:t>
      </w:r>
      <w:r w:rsidR="0033205D">
        <w:rPr>
          <w:rFonts w:ascii="Arial" w:eastAsia="Times New Roman" w:hAnsi="Arial" w:cs="Arial"/>
          <w:sz w:val="24"/>
          <w:szCs w:val="24"/>
        </w:rPr>
        <w:t xml:space="preserve">2019 </w:t>
      </w:r>
      <w:r>
        <w:rPr>
          <w:rFonts w:ascii="Arial" w:eastAsia="Times New Roman" w:hAnsi="Arial" w:cs="Arial"/>
          <w:sz w:val="24"/>
          <w:szCs w:val="24"/>
        </w:rPr>
        <w:t xml:space="preserve">rate proceeding which </w:t>
      </w:r>
      <w:r w:rsidR="00550838">
        <w:rPr>
          <w:rFonts w:ascii="Arial" w:eastAsia="Times New Roman" w:hAnsi="Arial" w:cs="Arial"/>
          <w:sz w:val="24"/>
          <w:szCs w:val="24"/>
        </w:rPr>
        <w:t>were</w:t>
      </w:r>
      <w:r>
        <w:rPr>
          <w:rFonts w:ascii="Arial" w:eastAsia="Times New Roman" w:hAnsi="Arial" w:cs="Arial"/>
          <w:sz w:val="24"/>
          <w:szCs w:val="24"/>
        </w:rPr>
        <w:t xml:space="preserve"> approved for disposition?</w:t>
      </w:r>
    </w:p>
    <w:p w:rsidR="006D0131" w:rsidRDefault="006D0131" w:rsidP="006D0131">
      <w:pPr>
        <w:pStyle w:val="ListParagraph"/>
        <w:spacing w:after="0" w:line="276" w:lineRule="auto"/>
        <w:ind w:left="1440"/>
        <w:rPr>
          <w:rFonts w:ascii="Arial" w:eastAsia="Times New Roman" w:hAnsi="Arial" w:cs="Arial"/>
          <w:sz w:val="24"/>
          <w:szCs w:val="24"/>
        </w:rPr>
      </w:pPr>
    </w:p>
    <w:p w:rsidR="006D0131" w:rsidRDefault="006D0131" w:rsidP="006D0131">
      <w:pPr>
        <w:pStyle w:val="ListParagraph"/>
        <w:spacing w:after="0" w:line="276" w:lineRule="auto"/>
        <w:ind w:left="1440"/>
        <w:rPr>
          <w:rFonts w:ascii="Arial" w:eastAsia="Times New Roman" w:hAnsi="Arial" w:cs="Arial"/>
          <w:color w:val="0070C0"/>
          <w:sz w:val="24"/>
          <w:szCs w:val="24"/>
        </w:rPr>
      </w:pPr>
      <w:r w:rsidRPr="00780241">
        <w:rPr>
          <w:rFonts w:ascii="Arial" w:eastAsia="Times New Roman" w:hAnsi="Arial" w:cs="Arial"/>
          <w:color w:val="0070C0"/>
          <w:sz w:val="24"/>
          <w:szCs w:val="24"/>
        </w:rPr>
        <w:t>RHI confirms there were no p</w:t>
      </w:r>
      <w:r>
        <w:rPr>
          <w:rFonts w:ascii="Arial" w:eastAsia="Times New Roman" w:hAnsi="Arial" w:cs="Arial"/>
          <w:color w:val="0070C0"/>
          <w:sz w:val="24"/>
          <w:szCs w:val="24"/>
        </w:rPr>
        <w:t>rincipal adjustments in its 2019</w:t>
      </w:r>
      <w:r w:rsidRPr="00780241">
        <w:rPr>
          <w:rFonts w:ascii="Arial" w:eastAsia="Times New Roman" w:hAnsi="Arial" w:cs="Arial"/>
          <w:color w:val="0070C0"/>
          <w:sz w:val="24"/>
          <w:szCs w:val="24"/>
        </w:rPr>
        <w:t xml:space="preserve"> rate proceeding which were approved for disposition</w:t>
      </w:r>
      <w:r>
        <w:rPr>
          <w:rFonts w:ascii="Arial" w:eastAsia="Times New Roman" w:hAnsi="Arial" w:cs="Arial"/>
          <w:color w:val="0070C0"/>
          <w:sz w:val="24"/>
          <w:szCs w:val="24"/>
        </w:rPr>
        <w:t>.</w:t>
      </w:r>
    </w:p>
    <w:p w:rsidR="006D0131" w:rsidRDefault="006D0131" w:rsidP="006D0131">
      <w:pPr>
        <w:pStyle w:val="ListParagraph"/>
        <w:spacing w:after="0" w:line="276" w:lineRule="auto"/>
        <w:ind w:left="1440"/>
        <w:rPr>
          <w:rFonts w:ascii="Arial" w:eastAsia="Times New Roman" w:hAnsi="Arial" w:cs="Arial"/>
          <w:sz w:val="24"/>
          <w:szCs w:val="24"/>
        </w:rPr>
      </w:pPr>
    </w:p>
    <w:p w:rsidR="0000233E" w:rsidRDefault="00663F6F"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If yes, p</w:t>
      </w:r>
      <w:r w:rsidR="0000233E">
        <w:rPr>
          <w:rFonts w:ascii="Arial" w:eastAsia="Times New Roman" w:hAnsi="Arial" w:cs="Arial"/>
          <w:sz w:val="24"/>
          <w:szCs w:val="24"/>
        </w:rPr>
        <w:t xml:space="preserve">lease provide a break-down of the total amount of principal adjustments that were approved (e.g. </w:t>
      </w:r>
      <w:r w:rsidR="00A235E0">
        <w:rPr>
          <w:rFonts w:ascii="Arial" w:eastAsia="Times New Roman" w:hAnsi="Arial" w:cs="Arial"/>
          <w:sz w:val="24"/>
          <w:szCs w:val="24"/>
        </w:rPr>
        <w:t xml:space="preserve">true-up of unbilled, </w:t>
      </w:r>
      <w:r w:rsidR="0000233E">
        <w:rPr>
          <w:rFonts w:ascii="Arial" w:eastAsia="Times New Roman" w:hAnsi="Arial" w:cs="Arial"/>
          <w:sz w:val="24"/>
          <w:szCs w:val="24"/>
        </w:rPr>
        <w:t>true up of CT 1142, true up of CT 148 etc.)</w:t>
      </w:r>
      <w:r>
        <w:rPr>
          <w:rFonts w:ascii="Arial" w:eastAsia="Times New Roman" w:hAnsi="Arial" w:cs="Arial"/>
          <w:sz w:val="24"/>
          <w:szCs w:val="24"/>
        </w:rPr>
        <w:t xml:space="preserve"> for each of Accounts 1588 and 1589</w:t>
      </w:r>
      <w:r w:rsidR="0000233E">
        <w:rPr>
          <w:rFonts w:ascii="Arial" w:eastAsia="Times New Roman" w:hAnsi="Arial" w:cs="Arial"/>
          <w:sz w:val="24"/>
          <w:szCs w:val="24"/>
        </w:rPr>
        <w:t>.</w:t>
      </w:r>
    </w:p>
    <w:p w:rsidR="006D0131" w:rsidRPr="006D0131" w:rsidRDefault="006D0131" w:rsidP="006D0131">
      <w:pPr>
        <w:pStyle w:val="ListParagraph"/>
        <w:rPr>
          <w:rFonts w:ascii="Arial" w:eastAsia="Times New Roman" w:hAnsi="Arial" w:cs="Arial"/>
          <w:sz w:val="24"/>
          <w:szCs w:val="24"/>
        </w:rPr>
      </w:pPr>
    </w:p>
    <w:p w:rsidR="006D0131" w:rsidRPr="00780241" w:rsidRDefault="006D0131" w:rsidP="006D0131">
      <w:pPr>
        <w:spacing w:line="276" w:lineRule="auto"/>
        <w:ind w:left="1440"/>
        <w:rPr>
          <w:rFonts w:ascii="Arial" w:eastAsia="Times New Roman" w:hAnsi="Arial" w:cs="Arial"/>
          <w:color w:val="0070C0"/>
          <w:sz w:val="24"/>
          <w:szCs w:val="24"/>
        </w:rPr>
      </w:pPr>
      <w:r w:rsidRPr="00780241">
        <w:rPr>
          <w:rFonts w:ascii="Arial" w:eastAsia="Times New Roman" w:hAnsi="Arial" w:cs="Arial"/>
          <w:color w:val="0070C0"/>
          <w:sz w:val="24"/>
          <w:szCs w:val="24"/>
        </w:rPr>
        <w:t xml:space="preserve">RHI confirms no principal adjustments were included. </w:t>
      </w:r>
    </w:p>
    <w:p w:rsidR="006D0131" w:rsidRDefault="006D0131" w:rsidP="006D0131">
      <w:pPr>
        <w:pStyle w:val="ListParagraph"/>
        <w:spacing w:after="0" w:line="276" w:lineRule="auto"/>
        <w:ind w:left="1440"/>
        <w:rPr>
          <w:rFonts w:ascii="Arial" w:eastAsia="Times New Roman" w:hAnsi="Arial" w:cs="Arial"/>
          <w:sz w:val="24"/>
          <w:szCs w:val="24"/>
        </w:rPr>
      </w:pPr>
    </w:p>
    <w:p w:rsidR="00FC5136" w:rsidRPr="003F450A" w:rsidRDefault="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 xml:space="preserve">reversed the adjustment approved in </w:t>
      </w:r>
      <w:r w:rsidR="00FC5136">
        <w:rPr>
          <w:rFonts w:ascii="Arial" w:eastAsia="Times New Roman" w:hAnsi="Arial" w:cs="Arial"/>
          <w:sz w:val="24"/>
          <w:szCs w:val="24"/>
        </w:rPr>
        <w:t xml:space="preserve">2019 rates </w:t>
      </w:r>
      <w:r w:rsidR="00550838">
        <w:rPr>
          <w:rFonts w:ascii="Arial" w:eastAsia="Times New Roman" w:hAnsi="Arial" w:cs="Arial"/>
          <w:sz w:val="24"/>
          <w:szCs w:val="24"/>
        </w:rPr>
        <w:t>in its current proposed amount for disposition?</w:t>
      </w:r>
      <w:r w:rsidR="00FC5136">
        <w:rPr>
          <w:rFonts w:ascii="Arial" w:eastAsia="Times New Roman" w:hAnsi="Arial" w:cs="Arial"/>
          <w:sz w:val="24"/>
          <w:szCs w:val="24"/>
        </w:rPr>
        <w:t xml:space="preserve"> </w:t>
      </w:r>
    </w:p>
    <w:p w:rsidR="006D0131" w:rsidRDefault="00FC5136" w:rsidP="003F450A">
      <w:pPr>
        <w:pStyle w:val="ListParagraph"/>
        <w:spacing w:after="0" w:line="276" w:lineRule="auto"/>
        <w:ind w:left="1440"/>
        <w:rPr>
          <w:rFonts w:ascii="Arial" w:eastAsia="Times New Roman" w:hAnsi="Arial" w:cs="Arial"/>
          <w:sz w:val="24"/>
          <w:szCs w:val="24"/>
        </w:rPr>
      </w:pPr>
      <w:r w:rsidRPr="003F450A">
        <w:rPr>
          <w:rFonts w:ascii="Arial" w:eastAsia="Times New Roman" w:hAnsi="Arial" w:cs="Arial"/>
          <w:b/>
          <w:i/>
          <w:sz w:val="24"/>
          <w:szCs w:val="24"/>
        </w:rPr>
        <w:t>NB</w:t>
      </w:r>
      <w:r>
        <w:rPr>
          <w:rFonts w:ascii="Arial" w:eastAsia="Times New Roman" w:hAnsi="Arial" w:cs="Arial"/>
          <w:sz w:val="24"/>
          <w:szCs w:val="24"/>
        </w:rPr>
        <w:t>: only the principal adjustments amounts that were disposed in the previous proceeding should be reversed in this proceeding. For example, if no amount related to unbilled to billed adjustment for 201</w:t>
      </w:r>
      <w:r w:rsidR="00663F6F">
        <w:rPr>
          <w:rFonts w:ascii="Arial" w:eastAsia="Times New Roman" w:hAnsi="Arial" w:cs="Arial"/>
          <w:sz w:val="24"/>
          <w:szCs w:val="24"/>
        </w:rPr>
        <w:t>8</w:t>
      </w:r>
      <w:r>
        <w:rPr>
          <w:rFonts w:ascii="Arial" w:eastAsia="Times New Roman" w:hAnsi="Arial" w:cs="Arial"/>
          <w:sz w:val="24"/>
          <w:szCs w:val="24"/>
        </w:rPr>
        <w:t xml:space="preserve"> consumption was included in 2019 proceeding, this amount should </w:t>
      </w:r>
      <w:r w:rsidRPr="003F450A">
        <w:rPr>
          <w:rFonts w:ascii="Arial" w:eastAsia="Times New Roman" w:hAnsi="Arial" w:cs="Arial"/>
          <w:sz w:val="24"/>
          <w:szCs w:val="24"/>
          <w:u w:val="single"/>
        </w:rPr>
        <w:t>not</w:t>
      </w:r>
      <w:r>
        <w:rPr>
          <w:rFonts w:ascii="Arial" w:eastAsia="Times New Roman" w:hAnsi="Arial" w:cs="Arial"/>
          <w:sz w:val="24"/>
          <w:szCs w:val="24"/>
        </w:rPr>
        <w:t xml:space="preserve"> be included as a “reversal” from previous year.</w:t>
      </w:r>
    </w:p>
    <w:p w:rsidR="006D0131" w:rsidRDefault="006D0131" w:rsidP="003F450A">
      <w:pPr>
        <w:pStyle w:val="ListParagraph"/>
        <w:spacing w:after="0" w:line="276" w:lineRule="auto"/>
        <w:ind w:left="1440"/>
        <w:rPr>
          <w:rFonts w:ascii="Arial" w:eastAsia="Times New Roman" w:hAnsi="Arial" w:cs="Arial"/>
          <w:sz w:val="24"/>
          <w:szCs w:val="24"/>
        </w:rPr>
      </w:pPr>
    </w:p>
    <w:p w:rsidR="006D0131" w:rsidRDefault="006D0131" w:rsidP="003F450A">
      <w:pPr>
        <w:pStyle w:val="ListParagraph"/>
        <w:spacing w:after="0" w:line="276" w:lineRule="auto"/>
        <w:ind w:left="1440"/>
        <w:rPr>
          <w:rFonts w:ascii="Arial" w:eastAsia="Times New Roman" w:hAnsi="Arial" w:cs="Arial"/>
          <w:color w:val="0070C0"/>
          <w:sz w:val="24"/>
          <w:szCs w:val="24"/>
        </w:rPr>
      </w:pPr>
      <w:r w:rsidRPr="00780241">
        <w:rPr>
          <w:rFonts w:ascii="Arial" w:eastAsia="Times New Roman" w:hAnsi="Arial" w:cs="Arial"/>
          <w:color w:val="0070C0"/>
          <w:sz w:val="24"/>
          <w:szCs w:val="24"/>
        </w:rPr>
        <w:t xml:space="preserve">RHI confirms </w:t>
      </w:r>
      <w:r>
        <w:rPr>
          <w:rFonts w:ascii="Arial" w:eastAsia="Times New Roman" w:hAnsi="Arial" w:cs="Arial"/>
          <w:color w:val="0070C0"/>
          <w:sz w:val="24"/>
          <w:szCs w:val="24"/>
        </w:rPr>
        <w:t>there were no adjustm</w:t>
      </w:r>
      <w:r w:rsidR="002E4D42">
        <w:rPr>
          <w:rFonts w:ascii="Arial" w:eastAsia="Times New Roman" w:hAnsi="Arial" w:cs="Arial"/>
          <w:color w:val="0070C0"/>
          <w:sz w:val="24"/>
          <w:szCs w:val="24"/>
        </w:rPr>
        <w:t>ents approved in 2019 rates</w:t>
      </w:r>
      <w:r>
        <w:rPr>
          <w:rFonts w:ascii="Arial" w:eastAsia="Times New Roman" w:hAnsi="Arial" w:cs="Arial"/>
          <w:color w:val="0070C0"/>
          <w:sz w:val="24"/>
          <w:szCs w:val="24"/>
        </w:rPr>
        <w:t xml:space="preserve"> that required a reversal.</w:t>
      </w:r>
    </w:p>
    <w:p w:rsidR="006D0131" w:rsidRDefault="006D0131" w:rsidP="003F450A">
      <w:pPr>
        <w:pStyle w:val="ListParagraph"/>
        <w:spacing w:after="0" w:line="276" w:lineRule="auto"/>
        <w:ind w:left="1440"/>
        <w:rPr>
          <w:rFonts w:ascii="Arial" w:eastAsia="Times New Roman" w:hAnsi="Arial" w:cs="Arial"/>
          <w:sz w:val="24"/>
          <w:szCs w:val="24"/>
        </w:rPr>
      </w:pPr>
    </w:p>
    <w:p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w:t>
      </w:r>
      <w:r w:rsidR="003F006A">
        <w:rPr>
          <w:rFonts w:ascii="Arial" w:eastAsia="Times New Roman" w:hAnsi="Arial" w:cs="Arial"/>
          <w:sz w:val="24"/>
          <w:szCs w:val="24"/>
        </w:rPr>
        <w:t>the allocation of charge type 148 has been trued up to actual proportion of RPP/non-RPP consumption in the GL.</w:t>
      </w:r>
    </w:p>
    <w:p w:rsidR="002E4D42" w:rsidRDefault="002E4D42" w:rsidP="002E4D42">
      <w:pPr>
        <w:pStyle w:val="ListParagraph"/>
        <w:spacing w:after="0" w:line="276" w:lineRule="auto"/>
        <w:ind w:left="1440"/>
        <w:rPr>
          <w:rFonts w:ascii="Arial" w:eastAsia="Times New Roman" w:hAnsi="Arial" w:cs="Arial"/>
          <w:sz w:val="24"/>
          <w:szCs w:val="24"/>
        </w:rPr>
      </w:pPr>
    </w:p>
    <w:p w:rsidR="002E4D42" w:rsidRPr="002E4D42" w:rsidRDefault="002E4D42" w:rsidP="002E4D42">
      <w:pPr>
        <w:pStyle w:val="ListParagraph"/>
        <w:spacing w:after="0" w:line="276" w:lineRule="auto"/>
        <w:ind w:left="1440"/>
        <w:rPr>
          <w:rFonts w:ascii="Arial" w:eastAsia="Times New Roman" w:hAnsi="Arial" w:cs="Arial"/>
          <w:color w:val="0070C0"/>
          <w:sz w:val="24"/>
          <w:szCs w:val="24"/>
        </w:rPr>
      </w:pPr>
      <w:r w:rsidRPr="002E4D42">
        <w:rPr>
          <w:rFonts w:ascii="Arial" w:eastAsia="Times New Roman" w:hAnsi="Arial" w:cs="Arial"/>
          <w:color w:val="0070C0"/>
          <w:sz w:val="24"/>
          <w:szCs w:val="24"/>
        </w:rPr>
        <w:t>RHI confirms that the allocation of charge type 148 has been posted to the GL based on the actual proportion of RPP/non-RPP.</w:t>
      </w:r>
    </w:p>
    <w:sectPr w:rsidR="002E4D42" w:rsidRPr="002E4D42" w:rsidSect="00CD3323">
      <w:headerReference w:type="default" r:id="rId8"/>
      <w:footerReference w:type="default" r:id="rId9"/>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EF" w:rsidRDefault="003623EF" w:rsidP="00FB1EDF">
      <w:pPr>
        <w:spacing w:after="0" w:line="240" w:lineRule="auto"/>
      </w:pPr>
      <w:r>
        <w:separator/>
      </w:r>
    </w:p>
  </w:endnote>
  <w:endnote w:type="continuationSeparator" w:id="0">
    <w:p w:rsidR="003623EF" w:rsidRDefault="003623EF"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45821"/>
      <w:docPartObj>
        <w:docPartGallery w:val="Page Numbers (Bottom of Page)"/>
        <w:docPartUnique/>
      </w:docPartObj>
    </w:sdtPr>
    <w:sdtEndPr>
      <w:rPr>
        <w:noProof/>
      </w:rPr>
    </w:sdtEndPr>
    <w:sdtContent>
      <w:p w:rsidR="003623EF" w:rsidRDefault="003623EF">
        <w:pPr>
          <w:pStyle w:val="Footer"/>
          <w:jc w:val="center"/>
        </w:pPr>
        <w:r>
          <w:fldChar w:fldCharType="begin"/>
        </w:r>
        <w:r>
          <w:instrText xml:space="preserve"> PAGE   \* MERGEFORMAT </w:instrText>
        </w:r>
        <w:r>
          <w:fldChar w:fldCharType="separate"/>
        </w:r>
        <w:r w:rsidR="00CF4EF2">
          <w:rPr>
            <w:noProof/>
          </w:rPr>
          <w:t>- 6 -</w:t>
        </w:r>
        <w:r>
          <w:rPr>
            <w:noProof/>
          </w:rPr>
          <w:fldChar w:fldCharType="end"/>
        </w:r>
      </w:p>
    </w:sdtContent>
  </w:sdt>
  <w:p w:rsidR="003623EF" w:rsidRDefault="003623EF">
    <w:pPr>
      <w:pStyle w:val="Footer"/>
    </w:pPr>
    <w:r>
      <w:t>July 15,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EF" w:rsidRDefault="003623EF" w:rsidP="00FB1EDF">
      <w:pPr>
        <w:spacing w:after="0" w:line="240" w:lineRule="auto"/>
      </w:pPr>
      <w:r>
        <w:separator/>
      </w:r>
    </w:p>
  </w:footnote>
  <w:footnote w:type="continuationSeparator" w:id="0">
    <w:p w:rsidR="003623EF" w:rsidRDefault="003623EF" w:rsidP="00FB1EDF">
      <w:pPr>
        <w:spacing w:after="0" w:line="240" w:lineRule="auto"/>
      </w:pPr>
      <w:r>
        <w:continuationSeparator/>
      </w:r>
    </w:p>
  </w:footnote>
  <w:footnote w:id="1">
    <w:p w:rsidR="003623EF" w:rsidRPr="00CF0A8B" w:rsidRDefault="003623EF"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In all references in the questions relating to amounts booked to accounts 1588 and 1589, amounts are not booked directly to accounts USoA 1588 and 1589 relating to power purchase transactions, but are rather booked to the cost of power USoA 4705 Power Purchased, and 4707, Charges – Global Adjustment, respectively. However, accounts 1588 and 1589 are impacted the same way as account 4705 and 4707 are for cost of power transactions.</w:t>
      </w:r>
    </w:p>
    <w:p w:rsidR="003623EF" w:rsidRDefault="003623E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3EF" w:rsidRDefault="003623EF"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lang w:val="en-CA" w:eastAsia="en-CA"/>
      </w:rPr>
      <mc:AlternateContent>
        <mc:Choice Requires="wps">
          <w:drawing>
            <wp:anchor distT="0" distB="0" distL="118745" distR="118745" simplePos="0" relativeHeight="251659264" behindDoc="1" locked="0" layoutInCell="1" allowOverlap="0" wp14:anchorId="5D1E9591" wp14:editId="795CBBF5">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623EF" w:rsidRPr="005456CD" w:rsidRDefault="003623EF"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1E9591"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3623EF" w:rsidRPr="005456CD" w:rsidRDefault="003623EF"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lang w:val="en-CA" w:eastAsia="en-CA"/>
      </w:rPr>
      <w:drawing>
        <wp:inline distT="0" distB="0" distL="0" distR="0" wp14:anchorId="75A38F80" wp14:editId="1EC5181D">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rsidR="003623EF" w:rsidRDefault="003623EF" w:rsidP="005456CD">
    <w:pPr>
      <w:pStyle w:val="Header"/>
      <w:tabs>
        <w:tab w:val="clear" w:pos="9360"/>
        <w:tab w:val="right" w:pos="9630"/>
      </w:tabs>
      <w:ind w:right="-3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5121CB"/>
    <w:multiLevelType w:val="hybridMultilevel"/>
    <w:tmpl w:val="634AAC2A"/>
    <w:lvl w:ilvl="0" w:tplc="38E0798A">
      <w:start w:val="9"/>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16936"/>
    <w:multiLevelType w:val="hybridMultilevel"/>
    <w:tmpl w:val="0450C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635E5"/>
    <w:multiLevelType w:val="hybridMultilevel"/>
    <w:tmpl w:val="BA921F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14A25"/>
    <w:multiLevelType w:val="hybridMultilevel"/>
    <w:tmpl w:val="45BA6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B45F7"/>
    <w:multiLevelType w:val="hybridMultilevel"/>
    <w:tmpl w:val="CA887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723051"/>
    <w:multiLevelType w:val="hybridMultilevel"/>
    <w:tmpl w:val="33800D7A"/>
    <w:lvl w:ilvl="0" w:tplc="B990496E">
      <w:start w:val="201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FD1432"/>
    <w:multiLevelType w:val="hybridMultilevel"/>
    <w:tmpl w:val="D8CE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363B7"/>
    <w:multiLevelType w:val="hybridMultilevel"/>
    <w:tmpl w:val="DDBC1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C5FE3"/>
    <w:multiLevelType w:val="hybridMultilevel"/>
    <w:tmpl w:val="88A2402A"/>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0218C4"/>
    <w:multiLevelType w:val="hybridMultilevel"/>
    <w:tmpl w:val="8FBA7C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A50C0D"/>
    <w:multiLevelType w:val="hybridMultilevel"/>
    <w:tmpl w:val="BDC004E8"/>
    <w:lvl w:ilvl="0" w:tplc="B990496E">
      <w:start w:val="2016"/>
      <w:numFmt w:val="bullet"/>
      <w:lvlText w:val="•"/>
      <w:lvlJc w:val="left"/>
      <w:pPr>
        <w:ind w:left="434" w:hanging="360"/>
      </w:pPr>
      <w:rPr>
        <w:rFonts w:ascii="Arial" w:eastAsia="Times New Roman" w:hAnsi="Arial" w:cs="Arial" w:hint="default"/>
      </w:rPr>
    </w:lvl>
    <w:lvl w:ilvl="1" w:tplc="04090003">
      <w:start w:val="1"/>
      <w:numFmt w:val="bullet"/>
      <w:lvlText w:val="o"/>
      <w:lvlJc w:val="left"/>
      <w:pPr>
        <w:ind w:left="1154" w:hanging="360"/>
      </w:pPr>
      <w:rPr>
        <w:rFonts w:ascii="Courier New" w:hAnsi="Courier New" w:cs="Courier New" w:hint="default"/>
      </w:rPr>
    </w:lvl>
    <w:lvl w:ilvl="2" w:tplc="B990496E">
      <w:start w:val="2016"/>
      <w:numFmt w:val="bullet"/>
      <w:lvlText w:val="•"/>
      <w:lvlJc w:val="left"/>
      <w:pPr>
        <w:ind w:left="1874" w:hanging="360"/>
      </w:pPr>
      <w:rPr>
        <w:rFonts w:ascii="Arial" w:eastAsia="Times New Roman" w:hAnsi="Arial" w:cs="Arial" w:hint="default"/>
      </w:rPr>
    </w:lvl>
    <w:lvl w:ilvl="3" w:tplc="0409000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2"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987C38"/>
    <w:multiLevelType w:val="hybridMultilevel"/>
    <w:tmpl w:val="A39E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E3057"/>
    <w:multiLevelType w:val="hybridMultilevel"/>
    <w:tmpl w:val="891C5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9A3C4C"/>
    <w:multiLevelType w:val="hybridMultilevel"/>
    <w:tmpl w:val="8A46361A"/>
    <w:lvl w:ilvl="0" w:tplc="B990496E">
      <w:start w:val="2016"/>
      <w:numFmt w:val="bullet"/>
      <w:lvlText w:val="•"/>
      <w:lvlJc w:val="left"/>
      <w:pPr>
        <w:ind w:left="1080" w:hanging="360"/>
      </w:pPr>
      <w:rPr>
        <w:rFonts w:ascii="Arial" w:eastAsia="Times New Roman" w:hAnsi="Arial" w:cs="Aria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5832D9"/>
    <w:multiLevelType w:val="hybridMultilevel"/>
    <w:tmpl w:val="D8D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4B0DFC"/>
    <w:multiLevelType w:val="hybridMultilevel"/>
    <w:tmpl w:val="75969F04"/>
    <w:lvl w:ilvl="0" w:tplc="2CA4F4A4">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06884"/>
    <w:multiLevelType w:val="hybridMultilevel"/>
    <w:tmpl w:val="D8B8CA94"/>
    <w:lvl w:ilvl="0" w:tplc="B990496E">
      <w:start w:val="2016"/>
      <w:numFmt w:val="bullet"/>
      <w:lvlText w:val="•"/>
      <w:lvlJc w:val="left"/>
      <w:pPr>
        <w:ind w:left="434" w:hanging="360"/>
      </w:pPr>
      <w:rPr>
        <w:rFonts w:ascii="Arial" w:eastAsia="Times New Roman" w:hAnsi="Arial" w:cs="Arial" w:hint="default"/>
      </w:rPr>
    </w:lvl>
    <w:lvl w:ilvl="1" w:tplc="04090003">
      <w:start w:val="1"/>
      <w:numFmt w:val="bullet"/>
      <w:lvlText w:val="o"/>
      <w:lvlJc w:val="left"/>
      <w:pPr>
        <w:ind w:left="1154" w:hanging="360"/>
      </w:pPr>
      <w:rPr>
        <w:rFonts w:ascii="Courier New" w:hAnsi="Courier New" w:cs="Courier New" w:hint="default"/>
      </w:rPr>
    </w:lvl>
    <w:lvl w:ilvl="2" w:tplc="04090001">
      <w:start w:val="1"/>
      <w:numFmt w:val="bullet"/>
      <w:lvlText w:val=""/>
      <w:lvlJc w:val="left"/>
      <w:pPr>
        <w:ind w:left="1874" w:hanging="360"/>
      </w:pPr>
      <w:rPr>
        <w:rFonts w:ascii="Symbol" w:hAnsi="Symbol"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33" w15:restartNumberingAfterBreak="0">
    <w:nsid w:val="7BD26F92"/>
    <w:multiLevelType w:val="hybridMultilevel"/>
    <w:tmpl w:val="F3EA0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6C2A78"/>
    <w:multiLevelType w:val="hybridMultilevel"/>
    <w:tmpl w:val="CDEC6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FBA4EE6"/>
    <w:multiLevelType w:val="hybridMultilevel"/>
    <w:tmpl w:val="29FC1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10"/>
  </w:num>
  <w:num w:numId="4">
    <w:abstractNumId w:val="0"/>
  </w:num>
  <w:num w:numId="5">
    <w:abstractNumId w:val="34"/>
  </w:num>
  <w:num w:numId="6">
    <w:abstractNumId w:val="30"/>
  </w:num>
  <w:num w:numId="7">
    <w:abstractNumId w:val="31"/>
  </w:num>
  <w:num w:numId="8">
    <w:abstractNumId w:val="4"/>
  </w:num>
  <w:num w:numId="9">
    <w:abstractNumId w:val="1"/>
  </w:num>
  <w:num w:numId="10">
    <w:abstractNumId w:val="32"/>
  </w:num>
  <w:num w:numId="11">
    <w:abstractNumId w:val="27"/>
  </w:num>
  <w:num w:numId="12">
    <w:abstractNumId w:val="7"/>
  </w:num>
  <w:num w:numId="13">
    <w:abstractNumId w:val="16"/>
  </w:num>
  <w:num w:numId="14">
    <w:abstractNumId w:val="12"/>
  </w:num>
  <w:num w:numId="15">
    <w:abstractNumId w:val="14"/>
  </w:num>
  <w:num w:numId="16">
    <w:abstractNumId w:val="17"/>
  </w:num>
  <w:num w:numId="17">
    <w:abstractNumId w:val="35"/>
  </w:num>
  <w:num w:numId="18">
    <w:abstractNumId w:val="23"/>
  </w:num>
  <w:num w:numId="19">
    <w:abstractNumId w:val="3"/>
  </w:num>
  <w:num w:numId="20">
    <w:abstractNumId w:val="28"/>
  </w:num>
  <w:num w:numId="21">
    <w:abstractNumId w:val="18"/>
  </w:num>
  <w:num w:numId="22">
    <w:abstractNumId w:val="22"/>
  </w:num>
  <w:num w:numId="23">
    <w:abstractNumId w:val="25"/>
  </w:num>
  <w:num w:numId="24">
    <w:abstractNumId w:val="37"/>
  </w:num>
  <w:num w:numId="25">
    <w:abstractNumId w:val="2"/>
  </w:num>
  <w:num w:numId="26">
    <w:abstractNumId w:val="5"/>
  </w:num>
  <w:num w:numId="27">
    <w:abstractNumId w:val="9"/>
  </w:num>
  <w:num w:numId="28">
    <w:abstractNumId w:val="11"/>
  </w:num>
  <w:num w:numId="29">
    <w:abstractNumId w:val="36"/>
  </w:num>
  <w:num w:numId="30">
    <w:abstractNumId w:val="21"/>
  </w:num>
  <w:num w:numId="31">
    <w:abstractNumId w:val="6"/>
  </w:num>
  <w:num w:numId="32">
    <w:abstractNumId w:val="20"/>
  </w:num>
  <w:num w:numId="33">
    <w:abstractNumId w:val="33"/>
  </w:num>
  <w:num w:numId="34">
    <w:abstractNumId w:val="8"/>
  </w:num>
  <w:num w:numId="35">
    <w:abstractNumId w:val="26"/>
  </w:num>
  <w:num w:numId="36">
    <w:abstractNumId w:val="29"/>
  </w:num>
  <w:num w:numId="37">
    <w:abstractNumId w:val="15"/>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306EA"/>
    <w:rsid w:val="00030926"/>
    <w:rsid w:val="0006442D"/>
    <w:rsid w:val="00073734"/>
    <w:rsid w:val="0008407E"/>
    <w:rsid w:val="00090D35"/>
    <w:rsid w:val="000F1FA6"/>
    <w:rsid w:val="000F4CBF"/>
    <w:rsid w:val="00114C8C"/>
    <w:rsid w:val="0011626B"/>
    <w:rsid w:val="00152EE3"/>
    <w:rsid w:val="001907F4"/>
    <w:rsid w:val="001A2777"/>
    <w:rsid w:val="001B699F"/>
    <w:rsid w:val="001B6B60"/>
    <w:rsid w:val="001C3862"/>
    <w:rsid w:val="001C667F"/>
    <w:rsid w:val="001E3FF0"/>
    <w:rsid w:val="001F7E13"/>
    <w:rsid w:val="00202194"/>
    <w:rsid w:val="002112C8"/>
    <w:rsid w:val="00211EB2"/>
    <w:rsid w:val="00216893"/>
    <w:rsid w:val="0023632F"/>
    <w:rsid w:val="00246022"/>
    <w:rsid w:val="002651E6"/>
    <w:rsid w:val="0026559C"/>
    <w:rsid w:val="00266953"/>
    <w:rsid w:val="00271F50"/>
    <w:rsid w:val="002749FC"/>
    <w:rsid w:val="00276481"/>
    <w:rsid w:val="002867FC"/>
    <w:rsid w:val="00292776"/>
    <w:rsid w:val="00293665"/>
    <w:rsid w:val="002A2870"/>
    <w:rsid w:val="002A3B55"/>
    <w:rsid w:val="002A51FD"/>
    <w:rsid w:val="002A6944"/>
    <w:rsid w:val="002A7B3A"/>
    <w:rsid w:val="002C1702"/>
    <w:rsid w:val="002D1AEC"/>
    <w:rsid w:val="002D6097"/>
    <w:rsid w:val="002E4D42"/>
    <w:rsid w:val="002F25DB"/>
    <w:rsid w:val="00310B54"/>
    <w:rsid w:val="00314304"/>
    <w:rsid w:val="00325817"/>
    <w:rsid w:val="00327BF7"/>
    <w:rsid w:val="00327C66"/>
    <w:rsid w:val="0033205D"/>
    <w:rsid w:val="00333867"/>
    <w:rsid w:val="00347ED2"/>
    <w:rsid w:val="0035377E"/>
    <w:rsid w:val="003623EF"/>
    <w:rsid w:val="0036499B"/>
    <w:rsid w:val="0037069F"/>
    <w:rsid w:val="0039570B"/>
    <w:rsid w:val="00396EAB"/>
    <w:rsid w:val="003B782E"/>
    <w:rsid w:val="003C03E1"/>
    <w:rsid w:val="003F006A"/>
    <w:rsid w:val="003F450A"/>
    <w:rsid w:val="0040026A"/>
    <w:rsid w:val="00405880"/>
    <w:rsid w:val="00421DF5"/>
    <w:rsid w:val="00444539"/>
    <w:rsid w:val="004511EA"/>
    <w:rsid w:val="0045412A"/>
    <w:rsid w:val="00457E46"/>
    <w:rsid w:val="004A201E"/>
    <w:rsid w:val="004B4ED4"/>
    <w:rsid w:val="004C1548"/>
    <w:rsid w:val="004C4A06"/>
    <w:rsid w:val="004D6721"/>
    <w:rsid w:val="004D7863"/>
    <w:rsid w:val="004E085B"/>
    <w:rsid w:val="004E0B59"/>
    <w:rsid w:val="004F6549"/>
    <w:rsid w:val="00507BCB"/>
    <w:rsid w:val="00541FF6"/>
    <w:rsid w:val="00543367"/>
    <w:rsid w:val="005456CD"/>
    <w:rsid w:val="00550838"/>
    <w:rsid w:val="0055276E"/>
    <w:rsid w:val="00557597"/>
    <w:rsid w:val="005705A7"/>
    <w:rsid w:val="00581014"/>
    <w:rsid w:val="005930BC"/>
    <w:rsid w:val="005A539A"/>
    <w:rsid w:val="005B3F63"/>
    <w:rsid w:val="005C3530"/>
    <w:rsid w:val="005C5C30"/>
    <w:rsid w:val="005E2329"/>
    <w:rsid w:val="005F2202"/>
    <w:rsid w:val="005F6E91"/>
    <w:rsid w:val="0060473C"/>
    <w:rsid w:val="00626313"/>
    <w:rsid w:val="006517EE"/>
    <w:rsid w:val="00663F6F"/>
    <w:rsid w:val="00672B15"/>
    <w:rsid w:val="00672DA9"/>
    <w:rsid w:val="00673822"/>
    <w:rsid w:val="00692A13"/>
    <w:rsid w:val="006D0131"/>
    <w:rsid w:val="006D70F3"/>
    <w:rsid w:val="006E4BA8"/>
    <w:rsid w:val="006F0C27"/>
    <w:rsid w:val="006F7AE9"/>
    <w:rsid w:val="00720F6F"/>
    <w:rsid w:val="007438AA"/>
    <w:rsid w:val="00750AEC"/>
    <w:rsid w:val="00765A71"/>
    <w:rsid w:val="00770282"/>
    <w:rsid w:val="00772AB6"/>
    <w:rsid w:val="00793CAF"/>
    <w:rsid w:val="007A430A"/>
    <w:rsid w:val="007B60EB"/>
    <w:rsid w:val="007E08D0"/>
    <w:rsid w:val="007E47B5"/>
    <w:rsid w:val="007E605A"/>
    <w:rsid w:val="007F6A11"/>
    <w:rsid w:val="0080470B"/>
    <w:rsid w:val="00824039"/>
    <w:rsid w:val="00824A1B"/>
    <w:rsid w:val="00826AFB"/>
    <w:rsid w:val="00833ACC"/>
    <w:rsid w:val="00836730"/>
    <w:rsid w:val="00836DA3"/>
    <w:rsid w:val="0084493C"/>
    <w:rsid w:val="00871839"/>
    <w:rsid w:val="00884379"/>
    <w:rsid w:val="008A5869"/>
    <w:rsid w:val="008C00DC"/>
    <w:rsid w:val="008C5180"/>
    <w:rsid w:val="008E1DBC"/>
    <w:rsid w:val="008E5BF1"/>
    <w:rsid w:val="008E6437"/>
    <w:rsid w:val="008F3984"/>
    <w:rsid w:val="008F3AD5"/>
    <w:rsid w:val="008F5ED8"/>
    <w:rsid w:val="00913173"/>
    <w:rsid w:val="00925F97"/>
    <w:rsid w:val="00940EFA"/>
    <w:rsid w:val="00944E1E"/>
    <w:rsid w:val="009567D1"/>
    <w:rsid w:val="009612D2"/>
    <w:rsid w:val="00964D5F"/>
    <w:rsid w:val="00984E8D"/>
    <w:rsid w:val="009A65B2"/>
    <w:rsid w:val="009B1C17"/>
    <w:rsid w:val="009C2D09"/>
    <w:rsid w:val="009C7A95"/>
    <w:rsid w:val="009E514A"/>
    <w:rsid w:val="009F2692"/>
    <w:rsid w:val="009F503B"/>
    <w:rsid w:val="00A235E0"/>
    <w:rsid w:val="00A2493C"/>
    <w:rsid w:val="00A30887"/>
    <w:rsid w:val="00A439ED"/>
    <w:rsid w:val="00A518BE"/>
    <w:rsid w:val="00A64342"/>
    <w:rsid w:val="00A72E28"/>
    <w:rsid w:val="00A731F4"/>
    <w:rsid w:val="00A80A88"/>
    <w:rsid w:val="00A83C63"/>
    <w:rsid w:val="00A860E1"/>
    <w:rsid w:val="00AB0C10"/>
    <w:rsid w:val="00AB4246"/>
    <w:rsid w:val="00AB5B4F"/>
    <w:rsid w:val="00AC10D8"/>
    <w:rsid w:val="00AD1336"/>
    <w:rsid w:val="00B01993"/>
    <w:rsid w:val="00B06E20"/>
    <w:rsid w:val="00B2433F"/>
    <w:rsid w:val="00B33C67"/>
    <w:rsid w:val="00B57122"/>
    <w:rsid w:val="00B85E1B"/>
    <w:rsid w:val="00B96E3C"/>
    <w:rsid w:val="00BB490C"/>
    <w:rsid w:val="00BD3E2A"/>
    <w:rsid w:val="00BD560C"/>
    <w:rsid w:val="00BE05F6"/>
    <w:rsid w:val="00BE1799"/>
    <w:rsid w:val="00BE461F"/>
    <w:rsid w:val="00BF62EA"/>
    <w:rsid w:val="00C02631"/>
    <w:rsid w:val="00C14E2A"/>
    <w:rsid w:val="00C21A49"/>
    <w:rsid w:val="00C34327"/>
    <w:rsid w:val="00C4500B"/>
    <w:rsid w:val="00C55824"/>
    <w:rsid w:val="00C572AF"/>
    <w:rsid w:val="00C60F56"/>
    <w:rsid w:val="00C760B1"/>
    <w:rsid w:val="00CA3F28"/>
    <w:rsid w:val="00CC4F9F"/>
    <w:rsid w:val="00CD1581"/>
    <w:rsid w:val="00CD3323"/>
    <w:rsid w:val="00CD355D"/>
    <w:rsid w:val="00CF0A8B"/>
    <w:rsid w:val="00CF4EF2"/>
    <w:rsid w:val="00D2748F"/>
    <w:rsid w:val="00D37D63"/>
    <w:rsid w:val="00D44D3A"/>
    <w:rsid w:val="00D47152"/>
    <w:rsid w:val="00D53929"/>
    <w:rsid w:val="00D91953"/>
    <w:rsid w:val="00DC0975"/>
    <w:rsid w:val="00E045FA"/>
    <w:rsid w:val="00E75A80"/>
    <w:rsid w:val="00E76559"/>
    <w:rsid w:val="00E82C05"/>
    <w:rsid w:val="00EA40B8"/>
    <w:rsid w:val="00EA613B"/>
    <w:rsid w:val="00ED1D67"/>
    <w:rsid w:val="00EF651D"/>
    <w:rsid w:val="00F13C09"/>
    <w:rsid w:val="00F27D1C"/>
    <w:rsid w:val="00F303D6"/>
    <w:rsid w:val="00F52EFB"/>
    <w:rsid w:val="00F56332"/>
    <w:rsid w:val="00F746F3"/>
    <w:rsid w:val="00F81E3A"/>
    <w:rsid w:val="00F92686"/>
    <w:rsid w:val="00F95226"/>
    <w:rsid w:val="00F96BD9"/>
    <w:rsid w:val="00FA7A12"/>
    <w:rsid w:val="00FB1EDF"/>
    <w:rsid w:val="00FC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3E370C3-125D-481A-B1E2-989F94BD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 w:type="table" w:styleId="TableGrid">
    <w:name w:val="Table Grid"/>
    <w:basedOn w:val="TableNormal"/>
    <w:uiPriority w:val="39"/>
    <w:rsid w:val="00AB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798838192">
          <w:marLeft w:val="360"/>
          <w:marRight w:val="0"/>
          <w:marTop w:val="2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sChild>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80378872">
          <w:marLeft w:val="374"/>
          <w:marRight w:val="0"/>
          <w:marTop w:val="200"/>
          <w:marBottom w:val="0"/>
          <w:divBdr>
            <w:top w:val="none" w:sz="0" w:space="0" w:color="auto"/>
            <w:left w:val="none" w:sz="0" w:space="0" w:color="auto"/>
            <w:bottom w:val="none" w:sz="0" w:space="0" w:color="auto"/>
            <w:right w:val="none" w:sz="0" w:space="0" w:color="auto"/>
          </w:divBdr>
        </w:div>
        <w:div w:id="305429547">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275063543">
          <w:marLeft w:val="1080"/>
          <w:marRight w:val="0"/>
          <w:marTop w:val="100"/>
          <w:marBottom w:val="0"/>
          <w:divBdr>
            <w:top w:val="none" w:sz="0" w:space="0" w:color="auto"/>
            <w:left w:val="none" w:sz="0" w:space="0" w:color="auto"/>
            <w:bottom w:val="none" w:sz="0" w:space="0" w:color="auto"/>
            <w:right w:val="none" w:sz="0" w:space="0" w:color="auto"/>
          </w:divBdr>
        </w:div>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671831504">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1031762401">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sChild>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5174767">
          <w:marLeft w:val="374"/>
          <w:marRight w:val="0"/>
          <w:marTop w:val="2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925770385">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sChild>
    </w:div>
    <w:div w:id="1752577208">
      <w:bodyDiv w:val="1"/>
      <w:marLeft w:val="0"/>
      <w:marRight w:val="0"/>
      <w:marTop w:val="0"/>
      <w:marBottom w:val="0"/>
      <w:divBdr>
        <w:top w:val="none" w:sz="0" w:space="0" w:color="auto"/>
        <w:left w:val="none" w:sz="0" w:space="0" w:color="auto"/>
        <w:bottom w:val="none" w:sz="0" w:space="0" w:color="auto"/>
        <w:right w:val="none" w:sz="0" w:space="0" w:color="auto"/>
      </w:divBdr>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053625816">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FEA2-C805-4FBB-91AA-6098BA68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June Colman</dc:creator>
  <cp:keywords/>
  <dc:description/>
  <cp:lastModifiedBy>Cindy Marshall</cp:lastModifiedBy>
  <cp:revision>4</cp:revision>
  <cp:lastPrinted>2018-07-12T16:30:00Z</cp:lastPrinted>
  <dcterms:created xsi:type="dcterms:W3CDTF">2019-08-01T01:07:00Z</dcterms:created>
  <dcterms:modified xsi:type="dcterms:W3CDTF">2019-08-08T20:29:00Z</dcterms:modified>
</cp:coreProperties>
</file>