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6A3D4" w14:textId="77777777" w:rsidR="00AA609D" w:rsidRPr="00814111" w:rsidRDefault="00AA609D">
      <w:pPr>
        <w:rPr>
          <w:rFonts w:cs="Arial"/>
          <w:szCs w:val="22"/>
        </w:rPr>
      </w:pPr>
      <w:bookmarkStart w:id="0" w:name="_GoBack"/>
      <w:bookmarkEnd w:id="0"/>
    </w:p>
    <w:p w14:paraId="4067C140" w14:textId="77777777" w:rsidR="00227A35" w:rsidRPr="00814111" w:rsidRDefault="00227A35">
      <w:pPr>
        <w:rPr>
          <w:rFonts w:cs="Arial"/>
          <w:szCs w:val="22"/>
        </w:rPr>
      </w:pPr>
    </w:p>
    <w:p w14:paraId="60956643" w14:textId="77777777" w:rsidR="00E84937" w:rsidRPr="00560BFC" w:rsidRDefault="00E84937" w:rsidP="00E84937">
      <w:pPr>
        <w:autoSpaceDE w:val="0"/>
        <w:autoSpaceDN w:val="0"/>
        <w:adjustRightInd w:val="0"/>
        <w:spacing w:after="0" w:line="240" w:lineRule="auto"/>
        <w:ind w:left="1440" w:right="1440"/>
        <w:jc w:val="center"/>
        <w:outlineLvl w:val="0"/>
        <w:rPr>
          <w:rFonts w:cs="Arial"/>
          <w:b/>
          <w:bCs/>
          <w:sz w:val="28"/>
        </w:rPr>
      </w:pPr>
      <w:r w:rsidRPr="00560BFC">
        <w:rPr>
          <w:rFonts w:cs="Arial"/>
          <w:b/>
          <w:bCs/>
          <w:sz w:val="28"/>
        </w:rPr>
        <w:t>ONTARIO ENERGY BOARD</w:t>
      </w:r>
    </w:p>
    <w:p w14:paraId="5E80F6F9" w14:textId="77777777" w:rsidR="00E84937" w:rsidRPr="00560BFC" w:rsidRDefault="00E84937" w:rsidP="00E84937">
      <w:pPr>
        <w:autoSpaceDE w:val="0"/>
        <w:autoSpaceDN w:val="0"/>
        <w:adjustRightInd w:val="0"/>
        <w:spacing w:after="0" w:line="240" w:lineRule="auto"/>
        <w:ind w:left="2160" w:right="1440"/>
        <w:jc w:val="center"/>
        <w:rPr>
          <w:rFonts w:cs="Arial"/>
          <w:b/>
          <w:bCs/>
          <w:sz w:val="28"/>
        </w:rPr>
      </w:pPr>
    </w:p>
    <w:p w14:paraId="39B7EBEC" w14:textId="77777777" w:rsidR="005D1CCE" w:rsidRPr="00F2621A" w:rsidRDefault="005D1CCE" w:rsidP="00B406FB">
      <w:pPr>
        <w:autoSpaceDE w:val="0"/>
        <w:autoSpaceDN w:val="0"/>
        <w:adjustRightInd w:val="0"/>
        <w:spacing w:after="0" w:line="240" w:lineRule="auto"/>
        <w:ind w:left="1800" w:right="1800"/>
        <w:jc w:val="both"/>
        <w:rPr>
          <w:rFonts w:cs="Arial"/>
          <w:b/>
          <w:bCs/>
          <w:lang w:val="en-US"/>
        </w:rPr>
      </w:pPr>
      <w:r w:rsidRPr="00F2621A">
        <w:rPr>
          <w:rFonts w:cs="Arial"/>
          <w:b/>
          <w:bCs/>
          <w:lang w:val="en-US"/>
        </w:rPr>
        <w:t xml:space="preserve">IN THE MATTER OF </w:t>
      </w:r>
      <w:r w:rsidRPr="00F2621A">
        <w:rPr>
          <w:rFonts w:cs="Arial"/>
          <w:bCs/>
          <w:lang w:val="en-US"/>
        </w:rPr>
        <w:t xml:space="preserve">the </w:t>
      </w:r>
      <w:r w:rsidRPr="00F2621A">
        <w:rPr>
          <w:rFonts w:cs="Arial"/>
          <w:bCs/>
          <w:i/>
          <w:lang w:val="en-US"/>
        </w:rPr>
        <w:t>Ontario Energy Board Act, 1998</w:t>
      </w:r>
      <w:r w:rsidRPr="00F2621A">
        <w:rPr>
          <w:rFonts w:cs="Arial"/>
          <w:bCs/>
          <w:lang w:val="en-US"/>
        </w:rPr>
        <w:t>, S.O. 1998, c. 15, Sched. B, as amended;</w:t>
      </w:r>
      <w:r w:rsidRPr="00F2621A">
        <w:rPr>
          <w:rFonts w:cs="Arial"/>
          <w:b/>
          <w:bCs/>
          <w:lang w:val="en-US"/>
        </w:rPr>
        <w:t xml:space="preserve"> </w:t>
      </w:r>
    </w:p>
    <w:p w14:paraId="5FE28D81" w14:textId="77777777" w:rsidR="005D1CCE" w:rsidRPr="00F2621A" w:rsidRDefault="005D1CCE" w:rsidP="00B406FB">
      <w:pPr>
        <w:autoSpaceDE w:val="0"/>
        <w:autoSpaceDN w:val="0"/>
        <w:adjustRightInd w:val="0"/>
        <w:spacing w:after="0" w:line="240" w:lineRule="auto"/>
        <w:ind w:left="1800" w:right="1800"/>
        <w:jc w:val="both"/>
        <w:rPr>
          <w:rFonts w:cs="Arial"/>
          <w:b/>
          <w:bCs/>
          <w:lang w:val="en-US"/>
        </w:rPr>
      </w:pPr>
    </w:p>
    <w:p w14:paraId="115B86BA" w14:textId="07F0F093" w:rsidR="005D1CCE" w:rsidRPr="00F2621A" w:rsidRDefault="005D1CCE" w:rsidP="00B406FB">
      <w:pPr>
        <w:autoSpaceDE w:val="0"/>
        <w:autoSpaceDN w:val="0"/>
        <w:adjustRightInd w:val="0"/>
        <w:spacing w:after="0" w:line="240" w:lineRule="auto"/>
        <w:ind w:left="1800" w:right="1800"/>
        <w:jc w:val="both"/>
        <w:rPr>
          <w:rFonts w:cs="Arial"/>
          <w:bCs/>
          <w:lang w:val="en-US"/>
        </w:rPr>
      </w:pPr>
      <w:r w:rsidRPr="00F2621A">
        <w:rPr>
          <w:rFonts w:cs="Arial"/>
          <w:b/>
          <w:bCs/>
          <w:lang w:val="en-US"/>
        </w:rPr>
        <w:t>AND IN THE MATTER OF</w:t>
      </w:r>
      <w:r w:rsidRPr="00F2621A">
        <w:rPr>
          <w:rFonts w:cs="Arial"/>
          <w:bCs/>
          <w:lang w:val="en-US"/>
        </w:rPr>
        <w:t xml:space="preserve"> an application </w:t>
      </w:r>
      <w:r>
        <w:rPr>
          <w:rFonts w:cs="Arial"/>
          <w:bCs/>
          <w:lang w:val="en-US"/>
        </w:rPr>
        <w:t>b</w:t>
      </w:r>
      <w:r w:rsidRPr="00F2621A">
        <w:rPr>
          <w:rFonts w:cs="Arial"/>
          <w:bCs/>
          <w:lang w:val="en-US"/>
        </w:rPr>
        <w:t xml:space="preserve">y </w:t>
      </w:r>
      <w:r>
        <w:rPr>
          <w:rFonts w:cs="Arial"/>
          <w:bCs/>
          <w:lang w:val="en-US"/>
        </w:rPr>
        <w:t xml:space="preserve">Toronto Hydro-Electric System </w:t>
      </w:r>
      <w:r w:rsidR="000741C9">
        <w:rPr>
          <w:rFonts w:cs="Arial"/>
          <w:bCs/>
          <w:lang w:val="en-US"/>
        </w:rPr>
        <w:t>Limited</w:t>
      </w:r>
      <w:r w:rsidRPr="00F2621A">
        <w:rPr>
          <w:rFonts w:cs="Arial"/>
          <w:bCs/>
          <w:lang w:val="en-US"/>
        </w:rPr>
        <w:t xml:space="preserve"> for an order or orders approving or fixing just and reasonable distribution rates and other charges, effective January 1, 2020 to December 31, 2024.</w:t>
      </w:r>
    </w:p>
    <w:p w14:paraId="7E005FDD" w14:textId="77777777" w:rsidR="00E84937" w:rsidRPr="00560BFC" w:rsidRDefault="00E84937" w:rsidP="00E84937">
      <w:pPr>
        <w:jc w:val="center"/>
        <w:rPr>
          <w:rFonts w:cs="Arial"/>
          <w:b/>
          <w:sz w:val="28"/>
        </w:rPr>
      </w:pPr>
    </w:p>
    <w:p w14:paraId="6F6AAB9A" w14:textId="6E8329B9" w:rsidR="00E84937" w:rsidRPr="00223E2F" w:rsidRDefault="00E84937" w:rsidP="00E84937">
      <w:pPr>
        <w:jc w:val="center"/>
        <w:outlineLvl w:val="0"/>
        <w:rPr>
          <w:rFonts w:cs="Arial"/>
          <w:b/>
        </w:rPr>
      </w:pPr>
      <w:r w:rsidRPr="00223E2F">
        <w:rPr>
          <w:rFonts w:cs="Arial"/>
          <w:b/>
        </w:rPr>
        <w:t>EB-</w:t>
      </w:r>
      <w:r>
        <w:rPr>
          <w:rFonts w:cs="Arial"/>
          <w:b/>
        </w:rPr>
        <w:t>2018-</w:t>
      </w:r>
      <w:r w:rsidR="005D1CCE">
        <w:rPr>
          <w:rFonts w:cs="Arial"/>
          <w:b/>
        </w:rPr>
        <w:t>0165</w:t>
      </w:r>
    </w:p>
    <w:p w14:paraId="6A462FB3" w14:textId="77777777" w:rsidR="00E84937" w:rsidRPr="00560BFC" w:rsidRDefault="00E84937" w:rsidP="00E84937">
      <w:pPr>
        <w:rPr>
          <w:rFonts w:cs="Arial"/>
          <w:b/>
        </w:rPr>
      </w:pPr>
    </w:p>
    <w:p w14:paraId="21A0D081" w14:textId="62FE135A" w:rsidR="00E84937" w:rsidRDefault="00E84937" w:rsidP="00E84937">
      <w:pPr>
        <w:jc w:val="center"/>
        <w:rPr>
          <w:rFonts w:cs="Arial"/>
          <w:b/>
        </w:rPr>
      </w:pPr>
      <w:r>
        <w:rPr>
          <w:rFonts w:cs="Arial"/>
          <w:b/>
          <w:caps/>
        </w:rPr>
        <w:t>SUBMISSIONS OF</w:t>
      </w:r>
    </w:p>
    <w:p w14:paraId="316B9C9C" w14:textId="7057A5ED" w:rsidR="00E84937" w:rsidRPr="00560BFC" w:rsidRDefault="005D1CCE" w:rsidP="00E84937">
      <w:pPr>
        <w:jc w:val="center"/>
        <w:rPr>
          <w:rFonts w:cs="Arial"/>
          <w:b/>
        </w:rPr>
      </w:pPr>
      <w:r>
        <w:rPr>
          <w:rFonts w:cs="Arial"/>
          <w:b/>
        </w:rPr>
        <w:t>DISTRIBUTED RESOURCE COALITION (DRC)</w:t>
      </w:r>
    </w:p>
    <w:p w14:paraId="0863EBE9" w14:textId="77777777" w:rsidR="00E84937" w:rsidRDefault="00E84937" w:rsidP="00E84937">
      <w:pPr>
        <w:jc w:val="center"/>
        <w:rPr>
          <w:rFonts w:cs="Arial"/>
          <w:b/>
        </w:rPr>
      </w:pPr>
    </w:p>
    <w:p w14:paraId="62C1A715" w14:textId="77777777" w:rsidR="00E84937" w:rsidRDefault="00E84937" w:rsidP="00E84937">
      <w:pPr>
        <w:rPr>
          <w:rFonts w:cs="Arial"/>
          <w:b/>
        </w:rPr>
      </w:pPr>
    </w:p>
    <w:p w14:paraId="3A33CB70" w14:textId="77777777" w:rsidR="00E84937" w:rsidRDefault="00E84937" w:rsidP="00E84937">
      <w:pPr>
        <w:jc w:val="center"/>
        <w:rPr>
          <w:rFonts w:cs="Arial"/>
          <w:b/>
        </w:rPr>
      </w:pPr>
    </w:p>
    <w:p w14:paraId="7010565C" w14:textId="77777777" w:rsidR="00E84937" w:rsidRDefault="00E84937" w:rsidP="00E84937">
      <w:pPr>
        <w:jc w:val="center"/>
        <w:rPr>
          <w:rFonts w:cs="Arial"/>
          <w:b/>
        </w:rPr>
      </w:pPr>
    </w:p>
    <w:p w14:paraId="2DC4D856" w14:textId="77777777" w:rsidR="005D1CCE" w:rsidRDefault="005D1CCE" w:rsidP="00E84937">
      <w:pPr>
        <w:jc w:val="center"/>
        <w:rPr>
          <w:rFonts w:cs="Arial"/>
          <w:b/>
        </w:rPr>
      </w:pPr>
    </w:p>
    <w:p w14:paraId="2D59C9A8" w14:textId="5162FBDB" w:rsidR="00E84937" w:rsidRPr="00E84937" w:rsidRDefault="005D1CCE" w:rsidP="00E84937">
      <w:pPr>
        <w:jc w:val="center"/>
        <w:rPr>
          <w:rFonts w:cs="Arial"/>
          <w:b/>
        </w:rPr>
      </w:pPr>
      <w:r>
        <w:rPr>
          <w:rFonts w:cs="Arial"/>
          <w:b/>
        </w:rPr>
        <w:t xml:space="preserve">August </w:t>
      </w:r>
      <w:r w:rsidR="009E183F">
        <w:rPr>
          <w:rFonts w:cs="Arial"/>
          <w:b/>
        </w:rPr>
        <w:t>28</w:t>
      </w:r>
      <w:r>
        <w:rPr>
          <w:rFonts w:cs="Arial"/>
          <w:b/>
        </w:rPr>
        <w:t>, 2019</w:t>
      </w:r>
      <w:r w:rsidR="00E84937" w:rsidRPr="004A432A">
        <w:rPr>
          <w:rFonts w:cs="Arial"/>
          <w:b/>
        </w:rPr>
        <w:br w:type="page"/>
      </w:r>
    </w:p>
    <w:p w14:paraId="237107DB" w14:textId="445ECD73" w:rsidR="00177BD6" w:rsidRPr="00814111" w:rsidRDefault="005539BB" w:rsidP="0016639B">
      <w:pPr>
        <w:pStyle w:val="Heading1"/>
        <w:rPr>
          <w:rFonts w:cs="Arial"/>
          <w:szCs w:val="22"/>
          <w:lang w:eastAsia="en-CA"/>
        </w:rPr>
      </w:pPr>
      <w:r w:rsidRPr="00814111">
        <w:rPr>
          <w:rFonts w:cs="Arial"/>
          <w:szCs w:val="22"/>
          <w:lang w:eastAsia="en-CA"/>
        </w:rPr>
        <w:lastRenderedPageBreak/>
        <w:t>INTRODUCTION AND OVERVIEW</w:t>
      </w:r>
      <w:r w:rsidR="00DB2A91">
        <w:rPr>
          <w:rFonts w:cs="Arial"/>
          <w:szCs w:val="22"/>
          <w:lang w:eastAsia="en-CA"/>
        </w:rPr>
        <w:tab/>
      </w:r>
      <w:r w:rsidR="00DB2A91">
        <w:rPr>
          <w:rFonts w:cs="Arial"/>
          <w:szCs w:val="22"/>
          <w:lang w:eastAsia="en-CA"/>
        </w:rPr>
        <w:tab/>
      </w:r>
    </w:p>
    <w:p w14:paraId="5F4B22CD" w14:textId="79227472" w:rsidR="00822428" w:rsidRDefault="00822428" w:rsidP="00982380">
      <w:pPr>
        <w:pStyle w:val="ListParagraph"/>
        <w:numPr>
          <w:ilvl w:val="0"/>
          <w:numId w:val="4"/>
        </w:numPr>
        <w:rPr>
          <w:lang w:val="en-CA" w:eastAsia="en-CA"/>
        </w:rPr>
      </w:pPr>
      <w:r>
        <w:rPr>
          <w:lang w:val="en-CA" w:eastAsia="en-CA"/>
        </w:rPr>
        <w:t>We are counsel to the Distributed Resource Coalition (</w:t>
      </w:r>
      <w:r>
        <w:rPr>
          <w:b/>
          <w:lang w:val="en-CA" w:eastAsia="en-CA"/>
        </w:rPr>
        <w:t>DRC</w:t>
      </w:r>
      <w:r>
        <w:rPr>
          <w:lang w:val="en-CA" w:eastAsia="en-CA"/>
        </w:rPr>
        <w:t xml:space="preserve">) in the Ontario Energy Board </w:t>
      </w:r>
      <w:r w:rsidR="001F5961">
        <w:rPr>
          <w:lang w:val="en-CA" w:eastAsia="en-CA"/>
        </w:rPr>
        <w:t xml:space="preserve">(the </w:t>
      </w:r>
      <w:r w:rsidR="001F5961" w:rsidRPr="001F5961">
        <w:rPr>
          <w:b/>
          <w:lang w:val="en-CA" w:eastAsia="en-CA"/>
        </w:rPr>
        <w:t>Board</w:t>
      </w:r>
      <w:r w:rsidR="001F5961">
        <w:rPr>
          <w:lang w:val="en-CA" w:eastAsia="en-CA"/>
        </w:rPr>
        <w:t xml:space="preserve">) </w:t>
      </w:r>
      <w:r w:rsidRPr="001F5961">
        <w:rPr>
          <w:lang w:val="en-CA" w:eastAsia="en-CA"/>
        </w:rPr>
        <w:t>EB</w:t>
      </w:r>
      <w:r>
        <w:rPr>
          <w:lang w:val="en-CA" w:eastAsia="en-CA"/>
        </w:rPr>
        <w:t>-2018-0165 proceeding to review Toronto Hydro</w:t>
      </w:r>
      <w:r w:rsidR="00F13ECE">
        <w:rPr>
          <w:lang w:val="en-CA" w:eastAsia="en-CA"/>
        </w:rPr>
        <w:t>-</w:t>
      </w:r>
      <w:r>
        <w:rPr>
          <w:lang w:val="en-CA" w:eastAsia="en-CA"/>
        </w:rPr>
        <w:t>Electric System Limited’s (</w:t>
      </w:r>
      <w:r>
        <w:rPr>
          <w:b/>
          <w:lang w:val="en-CA" w:eastAsia="en-CA"/>
        </w:rPr>
        <w:t>Toronto Hydro</w:t>
      </w:r>
      <w:r>
        <w:rPr>
          <w:lang w:val="en-CA" w:eastAsia="en-CA"/>
        </w:rPr>
        <w:t xml:space="preserve">’s) application pursuant to section 78 of the </w:t>
      </w:r>
      <w:r>
        <w:rPr>
          <w:i/>
          <w:lang w:val="en-CA" w:eastAsia="en-CA"/>
        </w:rPr>
        <w:t>Ontario Energy Board Act</w:t>
      </w:r>
      <w:r w:rsidR="00F13ECE">
        <w:rPr>
          <w:lang w:val="en-CA" w:eastAsia="en-CA"/>
        </w:rPr>
        <w:t>,</w:t>
      </w:r>
      <w:r>
        <w:rPr>
          <w:i/>
          <w:lang w:val="en-CA" w:eastAsia="en-CA"/>
        </w:rPr>
        <w:t xml:space="preserve"> 1998</w:t>
      </w:r>
      <w:r>
        <w:rPr>
          <w:lang w:val="en-CA" w:eastAsia="en-CA"/>
        </w:rPr>
        <w:t>, as amended, for approval of its proposed (i) electricity distribution rates and other charges effective January 1, 2020 and (ii) Custom Price Cap Index</w:t>
      </w:r>
      <w:r w:rsidR="001A325A">
        <w:rPr>
          <w:lang w:val="en-CA" w:eastAsia="en-CA"/>
        </w:rPr>
        <w:t xml:space="preserve"> (</w:t>
      </w:r>
      <w:r w:rsidR="001A325A">
        <w:rPr>
          <w:b/>
          <w:lang w:val="en-CA" w:eastAsia="en-CA"/>
        </w:rPr>
        <w:t>CPCI</w:t>
      </w:r>
      <w:r w:rsidR="001A325A">
        <w:rPr>
          <w:lang w:val="en-CA" w:eastAsia="en-CA"/>
        </w:rPr>
        <w:t>)</w:t>
      </w:r>
      <w:r>
        <w:rPr>
          <w:lang w:val="en-CA" w:eastAsia="en-CA"/>
        </w:rPr>
        <w:t xml:space="preserve"> framework to set distribution rates effective for the </w:t>
      </w:r>
      <w:r w:rsidR="00955843">
        <w:rPr>
          <w:lang w:val="en-CA" w:eastAsia="en-CA"/>
        </w:rPr>
        <w:t xml:space="preserve">five year </w:t>
      </w:r>
      <w:r>
        <w:rPr>
          <w:lang w:val="en-CA" w:eastAsia="en-CA"/>
        </w:rPr>
        <w:t xml:space="preserve">period </w:t>
      </w:r>
      <w:r w:rsidR="00955843">
        <w:rPr>
          <w:lang w:val="en-CA" w:eastAsia="en-CA"/>
        </w:rPr>
        <w:t xml:space="preserve">from </w:t>
      </w:r>
      <w:r>
        <w:rPr>
          <w:lang w:val="en-CA" w:eastAsia="en-CA"/>
        </w:rPr>
        <w:t xml:space="preserve">January 1, 2021 to December 31, 2024 (collectively, the </w:t>
      </w:r>
      <w:r>
        <w:rPr>
          <w:b/>
          <w:lang w:val="en-CA" w:eastAsia="en-CA"/>
        </w:rPr>
        <w:t>Application</w:t>
      </w:r>
      <w:r>
        <w:rPr>
          <w:lang w:val="en-CA" w:eastAsia="en-CA"/>
        </w:rPr>
        <w:t xml:space="preserve">). </w:t>
      </w:r>
    </w:p>
    <w:p w14:paraId="64A9ED1A" w14:textId="0ADE593E" w:rsidR="00933E09" w:rsidRDefault="00227979" w:rsidP="00982380">
      <w:pPr>
        <w:pStyle w:val="ListParagraph"/>
        <w:numPr>
          <w:ilvl w:val="0"/>
          <w:numId w:val="4"/>
        </w:numPr>
        <w:rPr>
          <w:lang w:val="en-CA" w:eastAsia="en-CA"/>
        </w:rPr>
      </w:pPr>
      <w:r>
        <w:rPr>
          <w:lang w:val="en-CA" w:eastAsia="en-CA"/>
        </w:rPr>
        <w:t xml:space="preserve">This is the first major </w:t>
      </w:r>
      <w:r w:rsidR="000F27B7">
        <w:rPr>
          <w:lang w:val="en-CA" w:eastAsia="en-CA"/>
        </w:rPr>
        <w:t xml:space="preserve">custom incentive </w:t>
      </w:r>
      <w:r w:rsidR="009A3C7B">
        <w:rPr>
          <w:lang w:val="en-CA" w:eastAsia="en-CA"/>
        </w:rPr>
        <w:t>rate a</w:t>
      </w:r>
      <w:r>
        <w:rPr>
          <w:lang w:val="en-CA" w:eastAsia="en-CA"/>
        </w:rPr>
        <w:t>pplication</w:t>
      </w:r>
      <w:r w:rsidR="000F27B7">
        <w:rPr>
          <w:lang w:val="en-CA" w:eastAsia="en-CA"/>
        </w:rPr>
        <w:t xml:space="preserve"> that the Board is being asked to consider </w:t>
      </w:r>
      <w:r w:rsidR="009B0F27">
        <w:rPr>
          <w:lang w:val="en-CA" w:eastAsia="en-CA"/>
        </w:rPr>
        <w:t xml:space="preserve">in an electricity distribution context that </w:t>
      </w:r>
      <w:r w:rsidR="00964EAF">
        <w:rPr>
          <w:lang w:val="en-CA" w:eastAsia="en-CA"/>
        </w:rPr>
        <w:t>has changed</w:t>
      </w:r>
      <w:r w:rsidR="008E3F88">
        <w:rPr>
          <w:lang w:val="en-CA" w:eastAsia="en-CA"/>
        </w:rPr>
        <w:t xml:space="preserve"> significantly</w:t>
      </w:r>
      <w:r w:rsidR="00D74878">
        <w:rPr>
          <w:rStyle w:val="FootnoteReference"/>
          <w:lang w:val="en-CA" w:eastAsia="en-CA"/>
        </w:rPr>
        <w:footnoteReference w:id="2"/>
      </w:r>
      <w:r w:rsidR="000757E5">
        <w:rPr>
          <w:lang w:val="en-CA" w:eastAsia="en-CA"/>
        </w:rPr>
        <w:t xml:space="preserve"> - </w:t>
      </w:r>
      <w:r w:rsidR="00964EAF">
        <w:rPr>
          <w:lang w:val="en-CA" w:eastAsia="en-CA"/>
        </w:rPr>
        <w:t xml:space="preserve">and continues to </w:t>
      </w:r>
      <w:r w:rsidR="00C408A5">
        <w:rPr>
          <w:lang w:val="en-CA" w:eastAsia="en-CA"/>
        </w:rPr>
        <w:t>fundamentally</w:t>
      </w:r>
      <w:r w:rsidR="005F64F9">
        <w:rPr>
          <w:rStyle w:val="FootnoteReference"/>
          <w:lang w:val="en-CA" w:eastAsia="en-CA"/>
        </w:rPr>
        <w:footnoteReference w:id="3"/>
      </w:r>
      <w:r w:rsidR="00964EAF">
        <w:rPr>
          <w:lang w:val="en-CA" w:eastAsia="en-CA"/>
        </w:rPr>
        <w:t xml:space="preserve"> change</w:t>
      </w:r>
      <w:r w:rsidR="000757E5">
        <w:rPr>
          <w:lang w:val="en-CA" w:eastAsia="en-CA"/>
        </w:rPr>
        <w:t xml:space="preserve"> -</w:t>
      </w:r>
      <w:r w:rsidR="00964EAF">
        <w:rPr>
          <w:lang w:val="en-CA" w:eastAsia="en-CA"/>
        </w:rPr>
        <w:t xml:space="preserve"> as a result of </w:t>
      </w:r>
      <w:r w:rsidR="00612F4F">
        <w:rPr>
          <w:lang w:val="en-CA" w:eastAsia="en-CA"/>
        </w:rPr>
        <w:t xml:space="preserve">the use and integration of </w:t>
      </w:r>
      <w:r w:rsidR="00955843">
        <w:rPr>
          <w:lang w:val="en-CA" w:eastAsia="en-CA"/>
        </w:rPr>
        <w:t>distributed</w:t>
      </w:r>
      <w:r w:rsidR="00612F4F">
        <w:rPr>
          <w:lang w:val="en-CA" w:eastAsia="en-CA"/>
        </w:rPr>
        <w:t xml:space="preserve"> energy resources</w:t>
      </w:r>
      <w:r w:rsidR="00E40F9E">
        <w:rPr>
          <w:lang w:val="en-CA" w:eastAsia="en-CA"/>
        </w:rPr>
        <w:t xml:space="preserve"> </w:t>
      </w:r>
      <w:r w:rsidR="00FC5A94">
        <w:rPr>
          <w:lang w:val="en-CA" w:eastAsia="en-CA"/>
        </w:rPr>
        <w:t>including electric vehicles and energy storage</w:t>
      </w:r>
      <w:r w:rsidR="009512B1">
        <w:rPr>
          <w:lang w:val="en-CA" w:eastAsia="en-CA"/>
        </w:rPr>
        <w:t xml:space="preserve"> (</w:t>
      </w:r>
      <w:r w:rsidR="009512B1" w:rsidRPr="009512B1">
        <w:rPr>
          <w:b/>
          <w:bCs/>
          <w:lang w:val="en-CA" w:eastAsia="en-CA"/>
        </w:rPr>
        <w:t>DERs</w:t>
      </w:r>
      <w:r w:rsidR="009512B1">
        <w:rPr>
          <w:lang w:val="en-CA" w:eastAsia="en-CA"/>
        </w:rPr>
        <w:t>)</w:t>
      </w:r>
      <w:r w:rsidR="00C843D3">
        <w:rPr>
          <w:lang w:val="en-CA" w:eastAsia="en-CA"/>
        </w:rPr>
        <w:t xml:space="preserve"> into the distribution grid.  </w:t>
      </w:r>
      <w:r w:rsidR="00CD462A">
        <w:rPr>
          <w:lang w:val="en-CA" w:eastAsia="en-CA"/>
        </w:rPr>
        <w:t xml:space="preserve">It is the first major </w:t>
      </w:r>
      <w:r w:rsidR="007B2D06">
        <w:rPr>
          <w:lang w:val="en-CA" w:eastAsia="en-CA"/>
        </w:rPr>
        <w:t>a</w:t>
      </w:r>
      <w:r w:rsidR="00CD462A">
        <w:rPr>
          <w:lang w:val="en-CA" w:eastAsia="en-CA"/>
        </w:rPr>
        <w:t>pplication that require</w:t>
      </w:r>
      <w:r w:rsidR="006F2F57">
        <w:rPr>
          <w:lang w:val="en-CA" w:eastAsia="en-CA"/>
        </w:rPr>
        <w:t>s</w:t>
      </w:r>
      <w:r w:rsidR="00CD462A">
        <w:rPr>
          <w:lang w:val="en-CA" w:eastAsia="en-CA"/>
        </w:rPr>
        <w:t xml:space="preserve"> the Board</w:t>
      </w:r>
      <w:r w:rsidR="00776418">
        <w:rPr>
          <w:lang w:val="en-CA" w:eastAsia="en-CA"/>
        </w:rPr>
        <w:t xml:space="preserve"> to </w:t>
      </w:r>
      <w:r w:rsidR="00F06C62">
        <w:rPr>
          <w:lang w:val="en-CA" w:eastAsia="en-CA"/>
        </w:rPr>
        <w:t xml:space="preserve">consider </w:t>
      </w:r>
      <w:r w:rsidR="00240770">
        <w:rPr>
          <w:lang w:val="en-CA" w:eastAsia="en-CA"/>
        </w:rPr>
        <w:t xml:space="preserve">the </w:t>
      </w:r>
      <w:r w:rsidR="00F07B5B">
        <w:rPr>
          <w:lang w:val="en-CA" w:eastAsia="en-CA"/>
        </w:rPr>
        <w:t xml:space="preserve">potential </w:t>
      </w:r>
      <w:r w:rsidR="009D00C4">
        <w:rPr>
          <w:lang w:val="en-CA" w:eastAsia="en-CA"/>
        </w:rPr>
        <w:t>capital</w:t>
      </w:r>
      <w:r w:rsidR="00A20E37">
        <w:rPr>
          <w:lang w:val="en-CA" w:eastAsia="en-CA"/>
        </w:rPr>
        <w:t xml:space="preserve">, </w:t>
      </w:r>
      <w:r w:rsidR="009D00C4">
        <w:rPr>
          <w:lang w:val="en-CA" w:eastAsia="en-CA"/>
        </w:rPr>
        <w:t>operational</w:t>
      </w:r>
      <w:r w:rsidR="00A20E37">
        <w:rPr>
          <w:lang w:val="en-CA" w:eastAsia="en-CA"/>
        </w:rPr>
        <w:t xml:space="preserve">, </w:t>
      </w:r>
      <w:r w:rsidR="00020C9D">
        <w:rPr>
          <w:lang w:val="en-CA" w:eastAsia="en-CA"/>
        </w:rPr>
        <w:t xml:space="preserve">load, </w:t>
      </w:r>
      <w:proofErr w:type="spellStart"/>
      <w:r w:rsidR="007725E7">
        <w:rPr>
          <w:lang w:val="en-CA" w:eastAsia="en-CA"/>
        </w:rPr>
        <w:t>relaibility</w:t>
      </w:r>
      <w:proofErr w:type="spellEnd"/>
      <w:r w:rsidR="007725E7">
        <w:rPr>
          <w:lang w:val="en-CA" w:eastAsia="en-CA"/>
        </w:rPr>
        <w:t xml:space="preserve">, </w:t>
      </w:r>
      <w:r w:rsidR="00A20E37">
        <w:rPr>
          <w:lang w:val="en-CA" w:eastAsia="en-CA"/>
        </w:rPr>
        <w:t xml:space="preserve">and </w:t>
      </w:r>
      <w:r w:rsidR="00561F91">
        <w:rPr>
          <w:lang w:val="en-CA" w:eastAsia="en-CA"/>
        </w:rPr>
        <w:t>productivity</w:t>
      </w:r>
      <w:r w:rsidR="00240770">
        <w:rPr>
          <w:lang w:val="en-CA" w:eastAsia="en-CA"/>
        </w:rPr>
        <w:t xml:space="preserve"> </w:t>
      </w:r>
      <w:r w:rsidR="005923BB">
        <w:rPr>
          <w:lang w:val="en-CA" w:eastAsia="en-CA"/>
        </w:rPr>
        <w:t>impacts</w:t>
      </w:r>
      <w:r w:rsidR="00240770">
        <w:rPr>
          <w:lang w:val="en-CA" w:eastAsia="en-CA"/>
        </w:rPr>
        <w:t xml:space="preserve"> of </w:t>
      </w:r>
      <w:r w:rsidR="005923BB">
        <w:rPr>
          <w:lang w:val="en-CA" w:eastAsia="en-CA"/>
        </w:rPr>
        <w:t xml:space="preserve">bi-directional </w:t>
      </w:r>
      <w:r w:rsidR="0044527E">
        <w:rPr>
          <w:lang w:val="en-CA" w:eastAsia="en-CA"/>
        </w:rPr>
        <w:t xml:space="preserve">electricity </w:t>
      </w:r>
      <w:r w:rsidR="005923BB">
        <w:rPr>
          <w:lang w:val="en-CA" w:eastAsia="en-CA"/>
        </w:rPr>
        <w:t xml:space="preserve">flow on the distribution grid </w:t>
      </w:r>
      <w:r w:rsidR="0044527E">
        <w:rPr>
          <w:lang w:val="en-CA" w:eastAsia="en-CA"/>
        </w:rPr>
        <w:t xml:space="preserve">over the next </w:t>
      </w:r>
      <w:r w:rsidR="00AD08E0">
        <w:rPr>
          <w:lang w:val="en-CA" w:eastAsia="en-CA"/>
        </w:rPr>
        <w:t>f</w:t>
      </w:r>
      <w:r w:rsidR="008914E6">
        <w:rPr>
          <w:lang w:val="en-CA" w:eastAsia="en-CA"/>
        </w:rPr>
        <w:t>ive</w:t>
      </w:r>
      <w:r w:rsidR="00AD08E0">
        <w:rPr>
          <w:lang w:val="en-CA" w:eastAsia="en-CA"/>
        </w:rPr>
        <w:t xml:space="preserve"> (5) years </w:t>
      </w:r>
      <w:r w:rsidR="006F2F57">
        <w:rPr>
          <w:lang w:val="en-CA" w:eastAsia="en-CA"/>
        </w:rPr>
        <w:t>and</w:t>
      </w:r>
      <w:r w:rsidR="00561F91">
        <w:rPr>
          <w:lang w:val="en-CA" w:eastAsia="en-CA"/>
        </w:rPr>
        <w:t xml:space="preserve"> </w:t>
      </w:r>
      <w:r w:rsidR="00076ADB">
        <w:rPr>
          <w:lang w:val="en-CA" w:eastAsia="en-CA"/>
        </w:rPr>
        <w:t>arrive at</w:t>
      </w:r>
      <w:r w:rsidR="003E005B">
        <w:rPr>
          <w:lang w:val="en-CA" w:eastAsia="en-CA"/>
        </w:rPr>
        <w:t xml:space="preserve"> </w:t>
      </w:r>
      <w:r w:rsidR="0005158D">
        <w:rPr>
          <w:lang w:val="en-CA" w:eastAsia="en-CA"/>
        </w:rPr>
        <w:t xml:space="preserve">just and reasonable rates for </w:t>
      </w:r>
      <w:r w:rsidR="008914E6">
        <w:rPr>
          <w:lang w:val="en-CA" w:eastAsia="en-CA"/>
        </w:rPr>
        <w:t xml:space="preserve">all </w:t>
      </w:r>
      <w:r w:rsidR="005F2D6F">
        <w:rPr>
          <w:lang w:val="en-CA" w:eastAsia="en-CA"/>
        </w:rPr>
        <w:t xml:space="preserve">Toronto Hydro </w:t>
      </w:r>
      <w:r w:rsidR="0005158D">
        <w:rPr>
          <w:lang w:val="en-CA" w:eastAsia="en-CA"/>
        </w:rPr>
        <w:t>customers</w:t>
      </w:r>
      <w:r w:rsidR="006F2F57">
        <w:rPr>
          <w:lang w:val="en-CA" w:eastAsia="en-CA"/>
        </w:rPr>
        <w:t xml:space="preserve"> during this dynamic period of change.</w:t>
      </w:r>
      <w:r w:rsidR="003E005B">
        <w:rPr>
          <w:lang w:val="en-CA" w:eastAsia="en-CA"/>
        </w:rPr>
        <w:t xml:space="preserve"> </w:t>
      </w:r>
    </w:p>
    <w:p w14:paraId="7CD3F488" w14:textId="4ED5C3DA" w:rsidR="00227979" w:rsidRDefault="00E66345" w:rsidP="00982380">
      <w:pPr>
        <w:pStyle w:val="ListParagraph"/>
        <w:numPr>
          <w:ilvl w:val="0"/>
          <w:numId w:val="4"/>
        </w:numPr>
        <w:rPr>
          <w:lang w:val="en-CA" w:eastAsia="en-CA"/>
        </w:rPr>
      </w:pPr>
      <w:r>
        <w:rPr>
          <w:lang w:val="en-CA" w:eastAsia="en-CA"/>
        </w:rPr>
        <w:t xml:space="preserve">Virtually all external experts </w:t>
      </w:r>
      <w:r w:rsidR="006F2F57">
        <w:rPr>
          <w:lang w:val="en-CA" w:eastAsia="en-CA"/>
        </w:rPr>
        <w:t>providing</w:t>
      </w:r>
      <w:r w:rsidR="00A75FD0">
        <w:rPr>
          <w:lang w:val="en-CA" w:eastAsia="en-CA"/>
        </w:rPr>
        <w:t xml:space="preserve"> evidence </w:t>
      </w:r>
      <w:r w:rsidR="006F2F57">
        <w:rPr>
          <w:lang w:val="en-CA" w:eastAsia="en-CA"/>
        </w:rPr>
        <w:t>to</w:t>
      </w:r>
      <w:r>
        <w:rPr>
          <w:lang w:val="en-CA" w:eastAsia="en-CA"/>
        </w:rPr>
        <w:t xml:space="preserve"> the Board in the Application</w:t>
      </w:r>
      <w:r w:rsidR="005427BD">
        <w:rPr>
          <w:lang w:val="en-CA" w:eastAsia="en-CA"/>
        </w:rPr>
        <w:t xml:space="preserve"> </w:t>
      </w:r>
      <w:r w:rsidR="006F2F57">
        <w:rPr>
          <w:lang w:val="en-CA" w:eastAsia="en-CA"/>
        </w:rPr>
        <w:t>confirm</w:t>
      </w:r>
      <w:r w:rsidR="005427BD">
        <w:rPr>
          <w:lang w:val="en-CA" w:eastAsia="en-CA"/>
        </w:rPr>
        <w:t xml:space="preserve"> that DERs are a </w:t>
      </w:r>
      <w:r w:rsidR="00911EDE">
        <w:rPr>
          <w:lang w:val="en-CA" w:eastAsia="en-CA"/>
        </w:rPr>
        <w:t xml:space="preserve">new and </w:t>
      </w:r>
      <w:r w:rsidR="00F22001">
        <w:rPr>
          <w:lang w:val="en-CA" w:eastAsia="en-CA"/>
        </w:rPr>
        <w:t xml:space="preserve">relevant </w:t>
      </w:r>
      <w:r w:rsidR="006F2F57">
        <w:rPr>
          <w:lang w:val="en-CA" w:eastAsia="en-CA"/>
        </w:rPr>
        <w:t>consideration that</w:t>
      </w:r>
      <w:r w:rsidR="00F22001">
        <w:rPr>
          <w:lang w:val="en-CA" w:eastAsia="en-CA"/>
        </w:rPr>
        <w:t xml:space="preserve"> impact</w:t>
      </w:r>
      <w:r w:rsidR="006F2F57">
        <w:rPr>
          <w:lang w:val="en-CA" w:eastAsia="en-CA"/>
        </w:rPr>
        <w:t>s</w:t>
      </w:r>
      <w:r w:rsidR="00F22001">
        <w:rPr>
          <w:lang w:val="en-CA" w:eastAsia="en-CA"/>
        </w:rPr>
        <w:t xml:space="preserve"> each and all of </w:t>
      </w:r>
      <w:r w:rsidR="007C3E78">
        <w:rPr>
          <w:lang w:val="en-CA" w:eastAsia="en-CA"/>
        </w:rPr>
        <w:t>electricity supply and demand,</w:t>
      </w:r>
      <w:r w:rsidR="00A96519">
        <w:rPr>
          <w:rStyle w:val="FootnoteReference"/>
          <w:lang w:val="en-CA" w:eastAsia="en-CA"/>
        </w:rPr>
        <w:footnoteReference w:id="4"/>
      </w:r>
      <w:r w:rsidR="007C3E78">
        <w:rPr>
          <w:lang w:val="en-CA" w:eastAsia="en-CA"/>
        </w:rPr>
        <w:t xml:space="preserve"> customer preferences,</w:t>
      </w:r>
      <w:r w:rsidR="00F644B2">
        <w:rPr>
          <w:rStyle w:val="FootnoteReference"/>
          <w:lang w:val="en-CA" w:eastAsia="en-CA"/>
        </w:rPr>
        <w:footnoteReference w:id="5"/>
      </w:r>
      <w:r w:rsidR="007C3E78">
        <w:rPr>
          <w:lang w:val="en-CA" w:eastAsia="en-CA"/>
        </w:rPr>
        <w:t xml:space="preserve"> productivity,</w:t>
      </w:r>
      <w:r w:rsidR="00F644B2">
        <w:rPr>
          <w:rStyle w:val="FootnoteReference"/>
          <w:lang w:val="en-CA" w:eastAsia="en-CA"/>
        </w:rPr>
        <w:footnoteReference w:id="6"/>
      </w:r>
      <w:r w:rsidR="007C3E78">
        <w:rPr>
          <w:lang w:val="en-CA" w:eastAsia="en-CA"/>
        </w:rPr>
        <w:t xml:space="preserve"> </w:t>
      </w:r>
      <w:r w:rsidR="0025233A">
        <w:rPr>
          <w:lang w:val="en-CA" w:eastAsia="en-CA"/>
        </w:rPr>
        <w:t>reliability</w:t>
      </w:r>
      <w:r w:rsidR="00565E94">
        <w:rPr>
          <w:lang w:val="en-CA" w:eastAsia="en-CA"/>
        </w:rPr>
        <w:t xml:space="preserve">, and </w:t>
      </w:r>
      <w:r w:rsidR="007C3E78">
        <w:rPr>
          <w:lang w:val="en-CA" w:eastAsia="en-CA"/>
        </w:rPr>
        <w:t xml:space="preserve">capital expenditures </w:t>
      </w:r>
      <w:r w:rsidR="0025233A">
        <w:rPr>
          <w:lang w:val="en-CA" w:eastAsia="en-CA"/>
        </w:rPr>
        <w:t xml:space="preserve">relevant to </w:t>
      </w:r>
      <w:r w:rsidR="00933E09">
        <w:rPr>
          <w:lang w:val="en-CA" w:eastAsia="en-CA"/>
        </w:rPr>
        <w:t>Toronto Hydro Rates.</w:t>
      </w:r>
      <w:r w:rsidR="00933E09">
        <w:rPr>
          <w:rStyle w:val="FootnoteReference"/>
          <w:lang w:val="en-CA" w:eastAsia="en-CA"/>
        </w:rPr>
        <w:footnoteReference w:id="7"/>
      </w:r>
      <w:r w:rsidR="004A0407">
        <w:rPr>
          <w:lang w:val="en-CA" w:eastAsia="en-CA"/>
        </w:rPr>
        <w:t xml:space="preserve"> Toronto Hydro’s own Chief Financial Officer also confirm</w:t>
      </w:r>
      <w:r w:rsidR="00804B4A">
        <w:rPr>
          <w:lang w:val="en-CA" w:eastAsia="en-CA"/>
        </w:rPr>
        <w:t>ed</w:t>
      </w:r>
      <w:r w:rsidR="004A0407">
        <w:rPr>
          <w:lang w:val="en-CA" w:eastAsia="en-CA"/>
        </w:rPr>
        <w:t xml:space="preserve"> that</w:t>
      </w:r>
      <w:r w:rsidR="008C3A8B">
        <w:rPr>
          <w:lang w:val="en-CA" w:eastAsia="en-CA"/>
        </w:rPr>
        <w:t xml:space="preserve"> </w:t>
      </w:r>
      <w:r w:rsidR="00F63201">
        <w:rPr>
          <w:lang w:val="en-CA" w:eastAsia="en-CA"/>
        </w:rPr>
        <w:t>electric vehicle ad</w:t>
      </w:r>
      <w:r w:rsidR="00110F54">
        <w:rPr>
          <w:lang w:val="en-CA" w:eastAsia="en-CA"/>
        </w:rPr>
        <w:t>o</w:t>
      </w:r>
      <w:r w:rsidR="00F63201">
        <w:rPr>
          <w:lang w:val="en-CA" w:eastAsia="en-CA"/>
        </w:rPr>
        <w:t xml:space="preserve">ption </w:t>
      </w:r>
      <w:r w:rsidR="00110F54">
        <w:rPr>
          <w:lang w:val="en-CA" w:eastAsia="en-CA"/>
        </w:rPr>
        <w:t>is a material</w:t>
      </w:r>
      <w:r w:rsidR="007725E7">
        <w:rPr>
          <w:lang w:val="en-CA" w:eastAsia="en-CA"/>
        </w:rPr>
        <w:t>,</w:t>
      </w:r>
      <w:r w:rsidR="00110F54">
        <w:rPr>
          <w:lang w:val="en-CA" w:eastAsia="en-CA"/>
        </w:rPr>
        <w:t xml:space="preserve"> </w:t>
      </w:r>
      <w:r w:rsidR="00F3618C">
        <w:rPr>
          <w:lang w:val="en-CA" w:eastAsia="en-CA"/>
        </w:rPr>
        <w:t>and therefore relevant</w:t>
      </w:r>
      <w:r w:rsidR="007725E7">
        <w:rPr>
          <w:lang w:val="en-CA" w:eastAsia="en-CA"/>
        </w:rPr>
        <w:t>,</w:t>
      </w:r>
      <w:r w:rsidR="00F3618C">
        <w:rPr>
          <w:lang w:val="en-CA" w:eastAsia="en-CA"/>
        </w:rPr>
        <w:t xml:space="preserve"> </w:t>
      </w:r>
      <w:r w:rsidR="00110F54">
        <w:rPr>
          <w:lang w:val="en-CA" w:eastAsia="en-CA"/>
        </w:rPr>
        <w:t xml:space="preserve">risk </w:t>
      </w:r>
      <w:r w:rsidR="00056331">
        <w:rPr>
          <w:lang w:val="en-CA" w:eastAsia="en-CA"/>
        </w:rPr>
        <w:t xml:space="preserve">to asset management and operations that Toronto Hydro identifies in its </w:t>
      </w:r>
      <w:r w:rsidR="00373DA0">
        <w:rPr>
          <w:lang w:val="en-CA" w:eastAsia="en-CA"/>
        </w:rPr>
        <w:t>audited financial statements.</w:t>
      </w:r>
      <w:r w:rsidR="00373DA0">
        <w:rPr>
          <w:rStyle w:val="FootnoteReference"/>
          <w:lang w:val="en-CA" w:eastAsia="en-CA"/>
        </w:rPr>
        <w:footnoteReference w:id="8"/>
      </w:r>
    </w:p>
    <w:p w14:paraId="6A3720D2" w14:textId="00CE8432" w:rsidR="00372BE2" w:rsidRDefault="00822428" w:rsidP="00822428">
      <w:pPr>
        <w:pStyle w:val="ListParagraph"/>
        <w:numPr>
          <w:ilvl w:val="0"/>
          <w:numId w:val="4"/>
        </w:numPr>
        <w:rPr>
          <w:bCs/>
          <w:lang w:eastAsia="en-CA"/>
        </w:rPr>
      </w:pPr>
      <w:r>
        <w:rPr>
          <w:lang w:val="en-CA" w:eastAsia="en-CA"/>
        </w:rPr>
        <w:lastRenderedPageBreak/>
        <w:t>DRC</w:t>
      </w:r>
      <w:r w:rsidRPr="00822428">
        <w:rPr>
          <w:bCs/>
          <w:lang w:eastAsia="en-CA"/>
        </w:rPr>
        <w:t xml:space="preserve"> </w:t>
      </w:r>
      <w:r w:rsidR="0034634D">
        <w:rPr>
          <w:bCs/>
          <w:lang w:eastAsia="en-CA"/>
        </w:rPr>
        <w:t>includes</w:t>
      </w:r>
      <w:r w:rsidRPr="00822428">
        <w:rPr>
          <w:bCs/>
          <w:lang w:eastAsia="en-CA"/>
        </w:rPr>
        <w:t xml:space="preserve"> end-use residential c</w:t>
      </w:r>
      <w:r w:rsidR="00520FEB">
        <w:rPr>
          <w:bCs/>
          <w:lang w:eastAsia="en-CA"/>
        </w:rPr>
        <w:t xml:space="preserve">onsumers with DERs that may act as producer-consumers </w:t>
      </w:r>
      <w:r w:rsidR="007F6795">
        <w:rPr>
          <w:bCs/>
          <w:lang w:eastAsia="en-CA"/>
        </w:rPr>
        <w:t xml:space="preserve">or “prosumers” in a bi-directional electricity grid.  </w:t>
      </w:r>
      <w:r w:rsidR="00133ECC">
        <w:rPr>
          <w:bCs/>
          <w:lang w:eastAsia="en-CA"/>
        </w:rPr>
        <w:t xml:space="preserve">It is the only </w:t>
      </w:r>
      <w:r w:rsidR="006A6FFD">
        <w:rPr>
          <w:bCs/>
          <w:lang w:eastAsia="en-CA"/>
        </w:rPr>
        <w:t>i</w:t>
      </w:r>
      <w:r w:rsidR="00133ECC">
        <w:rPr>
          <w:bCs/>
          <w:lang w:eastAsia="en-CA"/>
        </w:rPr>
        <w:t>ntervenor before the Board in this Application</w:t>
      </w:r>
      <w:r w:rsidR="00A76370">
        <w:rPr>
          <w:bCs/>
          <w:lang w:eastAsia="en-CA"/>
        </w:rPr>
        <w:t xml:space="preserve"> that is focussed on the n</w:t>
      </w:r>
      <w:r w:rsidR="00892F3B">
        <w:rPr>
          <w:bCs/>
          <w:lang w:eastAsia="en-CA"/>
        </w:rPr>
        <w:t>ew context of electricity distribution that is</w:t>
      </w:r>
      <w:r w:rsidR="00020C9D">
        <w:rPr>
          <w:bCs/>
          <w:lang w:eastAsia="en-CA"/>
        </w:rPr>
        <w:t>,</w:t>
      </w:r>
      <w:r w:rsidR="00892F3B">
        <w:rPr>
          <w:bCs/>
          <w:lang w:eastAsia="en-CA"/>
        </w:rPr>
        <w:t xml:space="preserve"> and will be</w:t>
      </w:r>
      <w:r w:rsidR="00020C9D">
        <w:rPr>
          <w:bCs/>
          <w:lang w:eastAsia="en-CA"/>
        </w:rPr>
        <w:t>,</w:t>
      </w:r>
      <w:r w:rsidR="00892F3B">
        <w:rPr>
          <w:bCs/>
          <w:lang w:eastAsia="en-CA"/>
        </w:rPr>
        <w:t xml:space="preserve"> </w:t>
      </w:r>
      <w:r w:rsidR="00020C9D">
        <w:rPr>
          <w:bCs/>
          <w:lang w:eastAsia="en-CA"/>
        </w:rPr>
        <w:t>significantly</w:t>
      </w:r>
      <w:r w:rsidR="00892F3B">
        <w:rPr>
          <w:bCs/>
          <w:lang w:eastAsia="en-CA"/>
        </w:rPr>
        <w:t xml:space="preserve"> impacted by DERs.</w:t>
      </w:r>
    </w:p>
    <w:p w14:paraId="1D1A8791" w14:textId="47FFD876" w:rsidR="00A4089D" w:rsidRDefault="007F6795" w:rsidP="00A4089D">
      <w:pPr>
        <w:pStyle w:val="ListParagraph"/>
        <w:numPr>
          <w:ilvl w:val="0"/>
          <w:numId w:val="4"/>
        </w:numPr>
        <w:rPr>
          <w:bCs/>
          <w:lang w:eastAsia="en-CA"/>
        </w:rPr>
      </w:pPr>
      <w:r>
        <w:rPr>
          <w:bCs/>
          <w:lang w:eastAsia="en-CA"/>
        </w:rPr>
        <w:t xml:space="preserve">DRC’s </w:t>
      </w:r>
      <w:r w:rsidR="004F07CA">
        <w:rPr>
          <w:bCs/>
          <w:lang w:eastAsia="en-CA"/>
        </w:rPr>
        <w:t xml:space="preserve">commissioned </w:t>
      </w:r>
      <w:r w:rsidR="00C368A1">
        <w:rPr>
          <w:bCs/>
          <w:lang w:eastAsia="en-CA"/>
        </w:rPr>
        <w:t xml:space="preserve">expert </w:t>
      </w:r>
      <w:r>
        <w:rPr>
          <w:bCs/>
          <w:lang w:eastAsia="en-CA"/>
        </w:rPr>
        <w:t xml:space="preserve">evidence </w:t>
      </w:r>
      <w:r w:rsidR="004F07CA">
        <w:rPr>
          <w:bCs/>
          <w:lang w:eastAsia="en-CA"/>
        </w:rPr>
        <w:t>of Dr. Petrunic</w:t>
      </w:r>
      <w:r w:rsidR="00FB7425">
        <w:rPr>
          <w:rStyle w:val="FootnoteReference"/>
          <w:bCs/>
          <w:lang w:eastAsia="en-CA"/>
        </w:rPr>
        <w:footnoteReference w:id="9"/>
      </w:r>
      <w:r w:rsidR="00FB7425">
        <w:rPr>
          <w:bCs/>
          <w:lang w:eastAsia="en-CA"/>
        </w:rPr>
        <w:t xml:space="preserve"> </w:t>
      </w:r>
      <w:r w:rsidR="00372BE2">
        <w:rPr>
          <w:bCs/>
          <w:lang w:eastAsia="en-CA"/>
        </w:rPr>
        <w:t xml:space="preserve">and </w:t>
      </w:r>
      <w:r w:rsidR="00402410">
        <w:rPr>
          <w:bCs/>
          <w:lang w:eastAsia="en-CA"/>
        </w:rPr>
        <w:t xml:space="preserve">the following </w:t>
      </w:r>
      <w:r>
        <w:rPr>
          <w:bCs/>
          <w:lang w:eastAsia="en-CA"/>
        </w:rPr>
        <w:t xml:space="preserve">submissions </w:t>
      </w:r>
      <w:r w:rsidR="00A4089D">
        <w:rPr>
          <w:bCs/>
          <w:lang w:eastAsia="en-CA"/>
        </w:rPr>
        <w:t>on</w:t>
      </w:r>
      <w:r>
        <w:rPr>
          <w:bCs/>
          <w:lang w:eastAsia="en-CA"/>
        </w:rPr>
        <w:t xml:space="preserve"> the Application are intended to assist the Board</w:t>
      </w:r>
      <w:r w:rsidR="004619EC">
        <w:rPr>
          <w:bCs/>
          <w:lang w:eastAsia="en-CA"/>
        </w:rPr>
        <w:t xml:space="preserve"> </w:t>
      </w:r>
      <w:r w:rsidR="00372BE2">
        <w:rPr>
          <w:bCs/>
          <w:lang w:eastAsia="en-CA"/>
        </w:rPr>
        <w:t xml:space="preserve">in understanding the new and evolving </w:t>
      </w:r>
      <w:r w:rsidR="004619EC">
        <w:rPr>
          <w:bCs/>
          <w:lang w:eastAsia="en-CA"/>
        </w:rPr>
        <w:t xml:space="preserve">impact of DERs </w:t>
      </w:r>
      <w:r w:rsidR="00E43407">
        <w:rPr>
          <w:bCs/>
          <w:lang w:eastAsia="en-CA"/>
        </w:rPr>
        <w:t>on traditional rate</w:t>
      </w:r>
      <w:r w:rsidR="001D43DD">
        <w:rPr>
          <w:bCs/>
          <w:lang w:eastAsia="en-CA"/>
        </w:rPr>
        <w:t xml:space="preserve"> </w:t>
      </w:r>
      <w:r w:rsidR="00D72114">
        <w:rPr>
          <w:bCs/>
          <w:lang w:eastAsia="en-CA"/>
        </w:rPr>
        <w:t>parameters</w:t>
      </w:r>
      <w:r w:rsidR="00160FF7">
        <w:rPr>
          <w:bCs/>
          <w:lang w:eastAsia="en-CA"/>
        </w:rPr>
        <w:t xml:space="preserve">. </w:t>
      </w:r>
      <w:r w:rsidR="00D40DBB">
        <w:rPr>
          <w:bCs/>
          <w:lang w:eastAsia="en-CA"/>
        </w:rPr>
        <w:t xml:space="preserve">DRC </w:t>
      </w:r>
      <w:r w:rsidR="00160FF7">
        <w:rPr>
          <w:bCs/>
          <w:lang w:eastAsia="en-CA"/>
        </w:rPr>
        <w:t>makes these submissions for the purpose of assisting the Board in</w:t>
      </w:r>
      <w:r w:rsidR="00A4089D">
        <w:rPr>
          <w:bCs/>
          <w:lang w:eastAsia="en-CA"/>
        </w:rPr>
        <w:t>:</w:t>
      </w:r>
      <w:r w:rsidR="004619EC">
        <w:rPr>
          <w:bCs/>
          <w:lang w:eastAsia="en-CA"/>
        </w:rPr>
        <w:t xml:space="preserve"> </w:t>
      </w:r>
      <w:r w:rsidR="00822428" w:rsidRPr="00822428">
        <w:rPr>
          <w:bCs/>
          <w:lang w:eastAsia="en-CA"/>
        </w:rPr>
        <w:t xml:space="preserve">(i) optimizing </w:t>
      </w:r>
      <w:r w:rsidR="005E294B">
        <w:rPr>
          <w:bCs/>
          <w:lang w:eastAsia="en-CA"/>
        </w:rPr>
        <w:t xml:space="preserve">proposed and </w:t>
      </w:r>
      <w:r w:rsidR="00822428" w:rsidRPr="00822428">
        <w:rPr>
          <w:bCs/>
          <w:lang w:eastAsia="en-CA"/>
        </w:rPr>
        <w:t xml:space="preserve">existing </w:t>
      </w:r>
      <w:r w:rsidR="005E294B">
        <w:rPr>
          <w:bCs/>
          <w:lang w:eastAsia="en-CA"/>
        </w:rPr>
        <w:t xml:space="preserve">distribution system </w:t>
      </w:r>
      <w:r w:rsidR="00822428" w:rsidRPr="00822428">
        <w:rPr>
          <w:bCs/>
          <w:lang w:eastAsia="en-CA"/>
        </w:rPr>
        <w:t>assets</w:t>
      </w:r>
      <w:r w:rsidR="004873D2">
        <w:rPr>
          <w:bCs/>
          <w:lang w:eastAsia="en-CA"/>
        </w:rPr>
        <w:t xml:space="preserve"> </w:t>
      </w:r>
      <w:r w:rsidR="00D217AD">
        <w:rPr>
          <w:bCs/>
          <w:lang w:eastAsia="en-CA"/>
        </w:rPr>
        <w:t xml:space="preserve">and investments </w:t>
      </w:r>
      <w:r w:rsidR="004873D2">
        <w:rPr>
          <w:bCs/>
          <w:lang w:eastAsia="en-CA"/>
        </w:rPr>
        <w:t>for the long term benefit of all customers</w:t>
      </w:r>
      <w:r w:rsidR="00822428" w:rsidRPr="00822428">
        <w:rPr>
          <w:bCs/>
          <w:lang w:eastAsia="en-CA"/>
        </w:rPr>
        <w:t xml:space="preserve">, (ii) efficiently facilitating the integration and connection of existing and innovative </w:t>
      </w:r>
      <w:r w:rsidR="00D67573">
        <w:rPr>
          <w:bCs/>
          <w:lang w:eastAsia="en-CA"/>
        </w:rPr>
        <w:t>DERs</w:t>
      </w:r>
      <w:r w:rsidR="00822428" w:rsidRPr="00822428">
        <w:rPr>
          <w:bCs/>
          <w:lang w:eastAsia="en-CA"/>
        </w:rPr>
        <w:t xml:space="preserve"> to achieve </w:t>
      </w:r>
      <w:r w:rsidR="00505191">
        <w:rPr>
          <w:bCs/>
          <w:lang w:eastAsia="en-CA"/>
        </w:rPr>
        <w:t xml:space="preserve">long term </w:t>
      </w:r>
      <w:r w:rsidR="00822428" w:rsidRPr="00822428">
        <w:rPr>
          <w:bCs/>
          <w:lang w:eastAsia="en-CA"/>
        </w:rPr>
        <w:t xml:space="preserve">customer and grid </w:t>
      </w:r>
      <w:r w:rsidR="00944CC5">
        <w:rPr>
          <w:bCs/>
          <w:lang w:eastAsia="en-CA"/>
        </w:rPr>
        <w:t>efficiencies</w:t>
      </w:r>
      <w:r w:rsidR="00822428" w:rsidRPr="00822428">
        <w:rPr>
          <w:bCs/>
          <w:lang w:eastAsia="en-CA"/>
        </w:rPr>
        <w:t xml:space="preserve">, and (iii) </w:t>
      </w:r>
      <w:r w:rsidR="00D67573">
        <w:rPr>
          <w:bCs/>
          <w:lang w:eastAsia="en-CA"/>
        </w:rPr>
        <w:t>better understanding</w:t>
      </w:r>
      <w:r w:rsidR="00822428" w:rsidRPr="00822428">
        <w:rPr>
          <w:bCs/>
          <w:lang w:eastAsia="en-CA"/>
        </w:rPr>
        <w:t xml:space="preserve"> direct customer needs</w:t>
      </w:r>
      <w:r w:rsidR="00482F32">
        <w:rPr>
          <w:bCs/>
          <w:lang w:eastAsia="en-CA"/>
        </w:rPr>
        <w:t>, preferences, and</w:t>
      </w:r>
      <w:r w:rsidR="00822428" w:rsidRPr="00822428">
        <w:rPr>
          <w:bCs/>
          <w:lang w:eastAsia="en-CA"/>
        </w:rPr>
        <w:t xml:space="preserve"> opportunities relating to DERs. </w:t>
      </w:r>
    </w:p>
    <w:p w14:paraId="7FD644C7" w14:textId="5A9F6971" w:rsidR="00CE49AF" w:rsidRDefault="00652B11" w:rsidP="00A4089D">
      <w:pPr>
        <w:pStyle w:val="ListParagraph"/>
        <w:numPr>
          <w:ilvl w:val="0"/>
          <w:numId w:val="4"/>
        </w:numPr>
        <w:rPr>
          <w:bCs/>
          <w:lang w:eastAsia="en-CA"/>
        </w:rPr>
      </w:pPr>
      <w:r>
        <w:rPr>
          <w:bCs/>
          <w:lang w:eastAsia="en-CA"/>
        </w:rPr>
        <w:t xml:space="preserve">DRC’s submissions are </w:t>
      </w:r>
      <w:r w:rsidR="00CE49AF">
        <w:rPr>
          <w:bCs/>
          <w:lang w:eastAsia="en-CA"/>
        </w:rPr>
        <w:t>largely focused on Issue 3 (Rate Base and Capital Plan), particularly Issue 3.2,</w:t>
      </w:r>
      <w:r w:rsidR="00CE49AF">
        <w:rPr>
          <w:rStyle w:val="FootnoteReference"/>
          <w:bCs/>
          <w:lang w:eastAsia="en-CA"/>
        </w:rPr>
        <w:footnoteReference w:id="10"/>
      </w:r>
      <w:r w:rsidR="00CE49AF">
        <w:rPr>
          <w:bCs/>
          <w:lang w:eastAsia="en-CA"/>
        </w:rPr>
        <w:t xml:space="preserve"> and Issue 4 (Load and Other Revenue Forecast), particularly Issue 4.1.</w:t>
      </w:r>
      <w:r w:rsidR="00CE49AF">
        <w:rPr>
          <w:rStyle w:val="FootnoteReference"/>
          <w:bCs/>
          <w:lang w:eastAsia="en-CA"/>
        </w:rPr>
        <w:footnoteReference w:id="11"/>
      </w:r>
    </w:p>
    <w:p w14:paraId="2CC86BD4" w14:textId="2046A817" w:rsidR="00652B11" w:rsidRDefault="00CE49AF" w:rsidP="00CE49AF">
      <w:pPr>
        <w:pStyle w:val="ListParagraph"/>
        <w:numPr>
          <w:ilvl w:val="0"/>
          <w:numId w:val="0"/>
        </w:numPr>
        <w:ind w:left="567"/>
        <w:rPr>
          <w:bCs/>
          <w:lang w:eastAsia="en-CA"/>
        </w:rPr>
      </w:pPr>
      <w:r>
        <w:rPr>
          <w:bCs/>
          <w:lang w:eastAsia="en-CA"/>
        </w:rPr>
        <w:t xml:space="preserve">They are </w:t>
      </w:r>
      <w:r w:rsidR="00652B11">
        <w:rPr>
          <w:bCs/>
          <w:lang w:eastAsia="en-CA"/>
        </w:rPr>
        <w:t>organized as follows</w:t>
      </w:r>
      <w:r w:rsidR="008114B8">
        <w:rPr>
          <w:bCs/>
          <w:lang w:eastAsia="en-CA"/>
        </w:rPr>
        <w:t>:</w:t>
      </w:r>
    </w:p>
    <w:p w14:paraId="0EA69FE4" w14:textId="035F5516" w:rsidR="00D35D1A" w:rsidRPr="000B6239" w:rsidRDefault="00D35D1A" w:rsidP="000B6239">
      <w:pPr>
        <w:pStyle w:val="NoSpacing"/>
        <w:ind w:left="567"/>
        <w:rPr>
          <w:b/>
          <w:lang w:eastAsia="en-CA"/>
        </w:rPr>
      </w:pPr>
      <w:r w:rsidRPr="000B6239">
        <w:rPr>
          <w:b/>
          <w:lang w:eastAsia="en-CA"/>
        </w:rPr>
        <w:t>I</w:t>
      </w:r>
      <w:r w:rsidR="00513729" w:rsidRPr="000B6239">
        <w:rPr>
          <w:b/>
          <w:lang w:eastAsia="en-CA"/>
        </w:rPr>
        <w:t xml:space="preserve">. </w:t>
      </w:r>
      <w:r w:rsidR="000B6239">
        <w:rPr>
          <w:b/>
          <w:lang w:eastAsia="en-CA"/>
        </w:rPr>
        <w:t xml:space="preserve">  </w:t>
      </w:r>
      <w:r w:rsidR="00BB0B19" w:rsidRPr="000B6239">
        <w:rPr>
          <w:b/>
          <w:lang w:eastAsia="en-CA"/>
        </w:rPr>
        <w:t xml:space="preserve">The </w:t>
      </w:r>
      <w:r w:rsidR="00077423" w:rsidRPr="000B6239">
        <w:rPr>
          <w:b/>
          <w:lang w:eastAsia="en-CA"/>
        </w:rPr>
        <w:t>rapidly</w:t>
      </w:r>
      <w:r w:rsidR="00954ECB" w:rsidRPr="000B6239">
        <w:rPr>
          <w:b/>
          <w:lang w:eastAsia="en-CA"/>
        </w:rPr>
        <w:t>,</w:t>
      </w:r>
      <w:r w:rsidR="00077423" w:rsidRPr="000B6239">
        <w:rPr>
          <w:b/>
          <w:lang w:eastAsia="en-CA"/>
        </w:rPr>
        <w:t xml:space="preserve"> changing electricity distribution context</w:t>
      </w:r>
      <w:r w:rsidR="00954ECB" w:rsidRPr="000B6239">
        <w:rPr>
          <w:b/>
          <w:lang w:eastAsia="en-CA"/>
        </w:rPr>
        <w:t xml:space="preserve"> </w:t>
      </w:r>
      <w:r w:rsidRPr="000B6239">
        <w:rPr>
          <w:b/>
          <w:lang w:eastAsia="en-CA"/>
        </w:rPr>
        <w:t>associated with</w:t>
      </w:r>
      <w:r w:rsidR="00954ECB" w:rsidRPr="000B6239">
        <w:rPr>
          <w:b/>
          <w:lang w:eastAsia="en-CA"/>
        </w:rPr>
        <w:t xml:space="preserve"> DERs</w:t>
      </w:r>
      <w:r w:rsidR="00077423" w:rsidRPr="000B6239">
        <w:rPr>
          <w:b/>
          <w:lang w:eastAsia="en-CA"/>
        </w:rPr>
        <w:t>.</w:t>
      </w:r>
    </w:p>
    <w:p w14:paraId="2C334F9A" w14:textId="7B4FD0BB" w:rsidR="00BB0B19" w:rsidRPr="000B6239" w:rsidRDefault="00D35D1A" w:rsidP="000B6239">
      <w:pPr>
        <w:pStyle w:val="NoSpacing"/>
        <w:ind w:left="567"/>
        <w:rPr>
          <w:b/>
          <w:bCs/>
          <w:lang w:eastAsia="en-CA"/>
        </w:rPr>
      </w:pPr>
      <w:r w:rsidRPr="000B6239">
        <w:rPr>
          <w:b/>
          <w:bCs/>
          <w:lang w:eastAsia="en-CA"/>
        </w:rPr>
        <w:t>II.</w:t>
      </w:r>
      <w:r w:rsidR="00A96519" w:rsidRPr="000B6239">
        <w:rPr>
          <w:b/>
          <w:bCs/>
          <w:lang w:eastAsia="en-CA"/>
        </w:rPr>
        <w:t xml:space="preserve"> </w:t>
      </w:r>
      <w:r w:rsidR="000B6239">
        <w:rPr>
          <w:b/>
          <w:bCs/>
          <w:lang w:eastAsia="en-CA"/>
        </w:rPr>
        <w:t xml:space="preserve"> </w:t>
      </w:r>
      <w:r w:rsidRPr="000B6239">
        <w:rPr>
          <w:b/>
          <w:bCs/>
          <w:lang w:eastAsia="en-CA"/>
        </w:rPr>
        <w:t>Potential DER related load growth and productivity enhancements</w:t>
      </w:r>
      <w:r w:rsidR="00077423" w:rsidRPr="000B6239">
        <w:rPr>
          <w:b/>
          <w:bCs/>
          <w:lang w:eastAsia="en-CA"/>
        </w:rPr>
        <w:t xml:space="preserve"> </w:t>
      </w:r>
    </w:p>
    <w:p w14:paraId="00500040" w14:textId="54D9C17C" w:rsidR="00B70ECC" w:rsidRDefault="000B6239" w:rsidP="000B6239">
      <w:pPr>
        <w:pStyle w:val="NoSpacing"/>
        <w:ind w:left="567"/>
        <w:rPr>
          <w:rFonts w:eastAsiaTheme="majorEastAsia" w:cstheme="majorBidi"/>
          <w:b/>
          <w:color w:val="000000" w:themeColor="text1"/>
          <w:szCs w:val="26"/>
          <w:lang w:eastAsia="en-CA"/>
        </w:rPr>
      </w:pPr>
      <w:r>
        <w:rPr>
          <w:rFonts w:eastAsiaTheme="majorEastAsia" w:cstheme="majorBidi"/>
          <w:b/>
          <w:color w:val="000000" w:themeColor="text1"/>
          <w:szCs w:val="26"/>
          <w:lang w:eastAsia="en-CA"/>
        </w:rPr>
        <w:t xml:space="preserve">III. </w:t>
      </w:r>
      <w:r w:rsidR="00BB0B19" w:rsidRPr="000B6239">
        <w:rPr>
          <w:rFonts w:eastAsiaTheme="majorEastAsia" w:cstheme="majorBidi"/>
          <w:b/>
          <w:color w:val="000000" w:themeColor="text1"/>
          <w:szCs w:val="26"/>
          <w:lang w:eastAsia="en-CA"/>
        </w:rPr>
        <w:t xml:space="preserve">DRC position on specific DER-related capital and operations expenditures that </w:t>
      </w:r>
      <w:r>
        <w:rPr>
          <w:rFonts w:eastAsiaTheme="majorEastAsia" w:cstheme="majorBidi"/>
          <w:b/>
          <w:color w:val="000000" w:themeColor="text1"/>
          <w:szCs w:val="26"/>
          <w:lang w:eastAsia="en-CA"/>
        </w:rPr>
        <w:t xml:space="preserve">                                          </w:t>
      </w:r>
      <w:r w:rsidR="00BB0B19" w:rsidRPr="000B6239">
        <w:rPr>
          <w:rFonts w:eastAsiaTheme="majorEastAsia" w:cstheme="majorBidi"/>
          <w:b/>
          <w:color w:val="000000" w:themeColor="text1"/>
          <w:szCs w:val="26"/>
          <w:lang w:eastAsia="en-CA"/>
        </w:rPr>
        <w:t>may result in long term productivity benefits for all Toronto Hydro customers.</w:t>
      </w:r>
    </w:p>
    <w:p w14:paraId="40E0A74F" w14:textId="77777777" w:rsidR="000B6239" w:rsidRDefault="000B6239" w:rsidP="000B6239">
      <w:pPr>
        <w:pStyle w:val="NoSpacing"/>
        <w:rPr>
          <w:lang w:eastAsia="en-CA"/>
        </w:rPr>
      </w:pPr>
    </w:p>
    <w:p w14:paraId="2E7056AA" w14:textId="5FA78128" w:rsidR="00D35D1A" w:rsidRDefault="000B6239" w:rsidP="000B6239">
      <w:pPr>
        <w:pStyle w:val="ListParagraph"/>
        <w:numPr>
          <w:ilvl w:val="0"/>
          <w:numId w:val="4"/>
        </w:numPr>
        <w:rPr>
          <w:lang w:eastAsia="en-CA"/>
        </w:rPr>
      </w:pPr>
      <w:r>
        <w:rPr>
          <w:lang w:eastAsia="en-CA"/>
        </w:rPr>
        <w:t>Generally, DRC submits that: (i) DERs and EV related DER growth and integration are resulting in fundamental changes to the distribution grid that will impact electricity supply and demand, customer preferences, capital expenditures, operations and maintenance load and productivity during rate period,  (ii)  DER related growth and capital investments may result in productivity enhancements; but further monitoring</w:t>
      </w:r>
      <w:r w:rsidR="00402410">
        <w:rPr>
          <w:lang w:eastAsia="en-CA"/>
        </w:rPr>
        <w:t>, tracking</w:t>
      </w:r>
      <w:r>
        <w:rPr>
          <w:lang w:eastAsia="en-CA"/>
        </w:rPr>
        <w:t xml:space="preserve"> and reporting</w:t>
      </w:r>
      <w:r w:rsidR="00402410">
        <w:rPr>
          <w:lang w:eastAsia="en-CA"/>
        </w:rPr>
        <w:t xml:space="preserve"> of relevant information</w:t>
      </w:r>
      <w:r>
        <w:rPr>
          <w:lang w:eastAsia="en-CA"/>
        </w:rPr>
        <w:t xml:space="preserve"> is required, and  (iii)  a </w:t>
      </w:r>
      <w:r w:rsidR="00402410">
        <w:rPr>
          <w:lang w:eastAsia="en-CA"/>
        </w:rPr>
        <w:t xml:space="preserve">limited </w:t>
      </w:r>
      <w:r>
        <w:rPr>
          <w:lang w:eastAsia="en-CA"/>
        </w:rPr>
        <w:t xml:space="preserve">number of Toronto Hydro's </w:t>
      </w:r>
      <w:r w:rsidR="00402410">
        <w:rPr>
          <w:lang w:eastAsia="en-CA"/>
        </w:rPr>
        <w:t xml:space="preserve">proposed </w:t>
      </w:r>
      <w:r>
        <w:rPr>
          <w:lang w:eastAsia="en-CA"/>
        </w:rPr>
        <w:t xml:space="preserve">DER – related investments may be beneficial to customers. </w:t>
      </w:r>
      <w:r w:rsidR="00B54ACB">
        <w:rPr>
          <w:lang w:eastAsia="en-CA"/>
        </w:rPr>
        <w:t xml:space="preserve"> </w:t>
      </w:r>
    </w:p>
    <w:p w14:paraId="1AD1381C" w14:textId="48FD4AE7" w:rsidR="00287A7D" w:rsidRPr="00D35D1A" w:rsidRDefault="00BC1D62" w:rsidP="00D35D1A">
      <w:pPr>
        <w:pStyle w:val="ListParagraph"/>
        <w:numPr>
          <w:ilvl w:val="0"/>
          <w:numId w:val="4"/>
        </w:numPr>
        <w:rPr>
          <w:lang w:eastAsia="en-CA"/>
        </w:rPr>
      </w:pPr>
      <w:r>
        <w:rPr>
          <w:lang w:eastAsia="en-CA"/>
        </w:rPr>
        <w:lastRenderedPageBreak/>
        <w:t>DRC respectfully requests that the Board:</w:t>
      </w:r>
    </w:p>
    <w:p w14:paraId="02FF350A" w14:textId="5B66DFAA" w:rsidR="00D8747F" w:rsidRPr="00D8747F" w:rsidRDefault="00D8747F" w:rsidP="00DA16CE">
      <w:pPr>
        <w:pStyle w:val="ListParagraph"/>
        <w:numPr>
          <w:ilvl w:val="1"/>
          <w:numId w:val="8"/>
        </w:numPr>
        <w:rPr>
          <w:lang w:val="en-CA" w:eastAsia="en-CA"/>
        </w:rPr>
      </w:pPr>
      <w:r>
        <w:rPr>
          <w:lang w:val="en-CA" w:eastAsia="en-CA"/>
        </w:rPr>
        <w:t>Include a consideration of the material and relevant</w:t>
      </w:r>
      <w:r w:rsidR="00D41878">
        <w:rPr>
          <w:lang w:val="en-CA" w:eastAsia="en-CA"/>
        </w:rPr>
        <w:t xml:space="preserve"> evidence on the</w:t>
      </w:r>
      <w:r>
        <w:rPr>
          <w:lang w:val="en-CA" w:eastAsia="en-CA"/>
        </w:rPr>
        <w:t xml:space="preserve"> DER context in its decision on the Application.</w:t>
      </w:r>
    </w:p>
    <w:p w14:paraId="5B179DDA" w14:textId="636B16A1" w:rsidR="00BC1D62" w:rsidRPr="00EA6211" w:rsidRDefault="00BB0D02" w:rsidP="00DA16CE">
      <w:pPr>
        <w:pStyle w:val="ListParagraph"/>
        <w:numPr>
          <w:ilvl w:val="1"/>
          <w:numId w:val="8"/>
        </w:numPr>
        <w:rPr>
          <w:lang w:val="en-CA" w:eastAsia="en-CA"/>
        </w:rPr>
      </w:pPr>
      <w:r>
        <w:rPr>
          <w:lang w:eastAsia="en-CA"/>
        </w:rPr>
        <w:t xml:space="preserve">Require Toronto Hydro to </w:t>
      </w:r>
      <w:r w:rsidR="00D7291A">
        <w:rPr>
          <w:lang w:eastAsia="en-CA"/>
        </w:rPr>
        <w:t>transparently</w:t>
      </w:r>
      <w:r>
        <w:rPr>
          <w:lang w:eastAsia="en-CA"/>
        </w:rPr>
        <w:t xml:space="preserve"> track </w:t>
      </w:r>
      <w:r w:rsidR="002D4791">
        <w:rPr>
          <w:lang w:eastAsia="en-CA"/>
        </w:rPr>
        <w:t>and report upon</w:t>
      </w:r>
      <w:r w:rsidR="00D41878">
        <w:rPr>
          <w:lang w:eastAsia="en-CA"/>
        </w:rPr>
        <w:t xml:space="preserve"> its</w:t>
      </w:r>
      <w:r w:rsidR="002D4791">
        <w:rPr>
          <w:lang w:eastAsia="en-CA"/>
        </w:rPr>
        <w:t xml:space="preserve"> capital expenses, operating expenses</w:t>
      </w:r>
      <w:r w:rsidR="00DE3701">
        <w:rPr>
          <w:lang w:eastAsia="en-CA"/>
        </w:rPr>
        <w:t>,</w:t>
      </w:r>
      <w:r w:rsidR="002D4791">
        <w:rPr>
          <w:lang w:eastAsia="en-CA"/>
        </w:rPr>
        <w:t xml:space="preserve"> and </w:t>
      </w:r>
      <w:r w:rsidR="001A2BB3">
        <w:rPr>
          <w:lang w:eastAsia="en-CA"/>
        </w:rPr>
        <w:t xml:space="preserve">actual or estimated savings associated with </w:t>
      </w:r>
      <w:r w:rsidR="0009416F">
        <w:rPr>
          <w:lang w:eastAsia="en-CA"/>
        </w:rPr>
        <w:t xml:space="preserve">its </w:t>
      </w:r>
      <w:r w:rsidR="001A2BB3">
        <w:rPr>
          <w:lang w:eastAsia="en-CA"/>
        </w:rPr>
        <w:t>DER related grid modernization</w:t>
      </w:r>
      <w:r w:rsidR="0009416F">
        <w:rPr>
          <w:lang w:eastAsia="en-CA"/>
        </w:rPr>
        <w:t xml:space="preserve">, EV customer integration </w:t>
      </w:r>
      <w:r w:rsidR="004511BE">
        <w:rPr>
          <w:lang w:eastAsia="en-CA"/>
        </w:rPr>
        <w:t>(</w:t>
      </w:r>
      <w:r w:rsidR="00D838B8">
        <w:rPr>
          <w:lang w:eastAsia="en-CA"/>
        </w:rPr>
        <w:t>including</w:t>
      </w:r>
      <w:r w:rsidR="004511BE">
        <w:rPr>
          <w:lang w:eastAsia="en-CA"/>
        </w:rPr>
        <w:t xml:space="preserve"> the TTC electric bus fleet)</w:t>
      </w:r>
      <w:r w:rsidR="00DE3701">
        <w:rPr>
          <w:lang w:eastAsia="en-CA"/>
        </w:rPr>
        <w:t>,</w:t>
      </w:r>
      <w:r w:rsidR="00D41878">
        <w:rPr>
          <w:lang w:eastAsia="en-CA"/>
        </w:rPr>
        <w:t xml:space="preserve"> and the</w:t>
      </w:r>
      <w:r w:rsidR="00DE3701">
        <w:rPr>
          <w:lang w:eastAsia="en-CA"/>
        </w:rPr>
        <w:t xml:space="preserve"> Toronto Hydro vehicle fleet</w:t>
      </w:r>
      <w:r w:rsidR="00D41878">
        <w:rPr>
          <w:lang w:eastAsia="en-CA"/>
        </w:rPr>
        <w:t>,</w:t>
      </w:r>
      <w:r w:rsidR="004511BE">
        <w:rPr>
          <w:lang w:eastAsia="en-CA"/>
        </w:rPr>
        <w:t xml:space="preserve"> </w:t>
      </w:r>
      <w:r w:rsidR="00080761">
        <w:rPr>
          <w:lang w:eastAsia="en-CA"/>
        </w:rPr>
        <w:t xml:space="preserve">in a manner similar to that </w:t>
      </w:r>
      <w:r w:rsidR="005F0049">
        <w:rPr>
          <w:lang w:eastAsia="en-CA"/>
        </w:rPr>
        <w:t>required by the US utilities referred to in the evidence of Mr. Lowry at Exhibit L1</w:t>
      </w:r>
      <w:r w:rsidR="00D41878">
        <w:rPr>
          <w:lang w:eastAsia="en-CA"/>
        </w:rPr>
        <w:t>, T</w:t>
      </w:r>
      <w:r w:rsidR="00B132A6">
        <w:rPr>
          <w:lang w:eastAsia="en-CA"/>
        </w:rPr>
        <w:t>ab 1, Schedule 2, Attachment A at p.19 of 83.</w:t>
      </w:r>
    </w:p>
    <w:p w14:paraId="2D735B6E" w14:textId="77946B8C" w:rsidR="00EA6211" w:rsidRPr="00AD4BE5" w:rsidRDefault="009E294E" w:rsidP="00DA16CE">
      <w:pPr>
        <w:pStyle w:val="ListParagraph"/>
        <w:numPr>
          <w:ilvl w:val="1"/>
          <w:numId w:val="8"/>
        </w:numPr>
        <w:rPr>
          <w:lang w:val="en-CA" w:eastAsia="en-CA"/>
        </w:rPr>
      </w:pPr>
      <w:r>
        <w:rPr>
          <w:lang w:eastAsia="en-CA"/>
        </w:rPr>
        <w:t>Re</w:t>
      </w:r>
      <w:r w:rsidR="003F2210">
        <w:rPr>
          <w:lang w:eastAsia="en-CA"/>
        </w:rPr>
        <w:t>quire Toronto Hydro to re</w:t>
      </w:r>
      <w:r>
        <w:rPr>
          <w:lang w:eastAsia="en-CA"/>
        </w:rPr>
        <w:t>port and track</w:t>
      </w:r>
      <w:r w:rsidR="00D41878">
        <w:rPr>
          <w:lang w:eastAsia="en-CA"/>
        </w:rPr>
        <w:t xml:space="preserve"> its</w:t>
      </w:r>
      <w:r>
        <w:rPr>
          <w:lang w:eastAsia="en-CA"/>
        </w:rPr>
        <w:t xml:space="preserve"> capital</w:t>
      </w:r>
      <w:r w:rsidR="00D41878">
        <w:rPr>
          <w:lang w:eastAsia="en-CA"/>
        </w:rPr>
        <w:t>,</w:t>
      </w:r>
      <w:r>
        <w:rPr>
          <w:lang w:eastAsia="en-CA"/>
        </w:rPr>
        <w:t xml:space="preserve"> and operations and maintenance costs associated with EV deployment in a manner similar to National Grid as per the evidence of Dr. Lowry</w:t>
      </w:r>
      <w:r w:rsidR="00A57AA3">
        <w:rPr>
          <w:lang w:eastAsia="en-CA"/>
        </w:rPr>
        <w:t xml:space="preserve"> (</w:t>
      </w:r>
      <w:r w:rsidR="00D41878">
        <w:rPr>
          <w:lang w:eastAsia="en-CA"/>
        </w:rPr>
        <w:t>Hearing Transcripts, Volume 10, 77:17-28)</w:t>
      </w:r>
      <w:r w:rsidR="00A57AA3">
        <w:rPr>
          <w:lang w:eastAsia="en-CA"/>
        </w:rPr>
        <w:t>)</w:t>
      </w:r>
      <w:r w:rsidR="00247D64">
        <w:rPr>
          <w:lang w:eastAsia="en-CA"/>
        </w:rPr>
        <w:t xml:space="preserve"> and </w:t>
      </w:r>
      <w:r w:rsidR="00D85F73">
        <w:rPr>
          <w:lang w:eastAsia="en-CA"/>
        </w:rPr>
        <w:t xml:space="preserve">associated with and its own vehicle fleet </w:t>
      </w:r>
      <w:r w:rsidR="00247D64">
        <w:rPr>
          <w:lang w:eastAsia="en-CA"/>
        </w:rPr>
        <w:t>as requested</w:t>
      </w:r>
      <w:r w:rsidR="00D85F73">
        <w:rPr>
          <w:lang w:eastAsia="en-CA"/>
        </w:rPr>
        <w:t xml:space="preserve"> by Dr. Petrunic (</w:t>
      </w:r>
      <w:r w:rsidR="00D41878">
        <w:rPr>
          <w:lang w:eastAsia="en-CA"/>
        </w:rPr>
        <w:t xml:space="preserve">Hearing Transcripts, </w:t>
      </w:r>
      <w:r w:rsidR="0002041E">
        <w:rPr>
          <w:lang w:eastAsia="en-CA"/>
        </w:rPr>
        <w:t>Volume 11:, page 8</w:t>
      </w:r>
      <w:r w:rsidR="005208AE">
        <w:rPr>
          <w:lang w:eastAsia="en-CA"/>
        </w:rPr>
        <w:t>6-</w:t>
      </w:r>
      <w:r w:rsidR="003A3AA9">
        <w:rPr>
          <w:lang w:eastAsia="en-CA"/>
        </w:rPr>
        <w:t>8</w:t>
      </w:r>
      <w:r w:rsidR="00D41878">
        <w:rPr>
          <w:lang w:eastAsia="en-CA"/>
        </w:rPr>
        <w:t>8</w:t>
      </w:r>
      <w:r w:rsidR="00006E89">
        <w:rPr>
          <w:lang w:eastAsia="en-CA"/>
        </w:rPr>
        <w:t>)</w:t>
      </w:r>
      <w:r w:rsidR="00422E6F">
        <w:rPr>
          <w:lang w:eastAsia="en-CA"/>
        </w:rPr>
        <w:t>;</w:t>
      </w:r>
    </w:p>
    <w:p w14:paraId="326C9BED" w14:textId="4BFFB744" w:rsidR="00AD4BE5" w:rsidRPr="00006E89" w:rsidRDefault="00C06151" w:rsidP="00DA16CE">
      <w:pPr>
        <w:pStyle w:val="ListParagraph"/>
        <w:numPr>
          <w:ilvl w:val="1"/>
          <w:numId w:val="8"/>
        </w:numPr>
        <w:rPr>
          <w:lang w:val="en-CA" w:eastAsia="en-CA"/>
        </w:rPr>
      </w:pPr>
      <w:r>
        <w:rPr>
          <w:lang w:eastAsia="en-CA"/>
        </w:rPr>
        <w:t xml:space="preserve">Require Toronto Hydro to track and report on the load impacts of the </w:t>
      </w:r>
      <w:r w:rsidR="00D41878">
        <w:rPr>
          <w:lang w:eastAsia="en-CA"/>
        </w:rPr>
        <w:t>City of Toronto/</w:t>
      </w:r>
      <w:r w:rsidR="00A35326">
        <w:rPr>
          <w:lang w:eastAsia="en-CA"/>
        </w:rPr>
        <w:t>Toronto Transit Commission bus electrification</w:t>
      </w:r>
      <w:r w:rsidR="00EA2330">
        <w:rPr>
          <w:lang w:eastAsia="en-CA"/>
        </w:rPr>
        <w:t xml:space="preserve"> initiative, including the </w:t>
      </w:r>
      <w:r w:rsidR="00062291">
        <w:rPr>
          <w:lang w:eastAsia="en-CA"/>
        </w:rPr>
        <w:t xml:space="preserve">TTC </w:t>
      </w:r>
      <w:r w:rsidR="00EA2330">
        <w:rPr>
          <w:lang w:eastAsia="en-CA"/>
        </w:rPr>
        <w:t xml:space="preserve">Arrow </w:t>
      </w:r>
      <w:r w:rsidR="00892797">
        <w:rPr>
          <w:lang w:eastAsia="en-CA"/>
        </w:rPr>
        <w:t xml:space="preserve">Garage </w:t>
      </w:r>
      <w:r w:rsidR="00793BF6">
        <w:rPr>
          <w:lang w:eastAsia="en-CA"/>
        </w:rPr>
        <w:t>and related electricity s</w:t>
      </w:r>
      <w:r w:rsidR="00892797">
        <w:rPr>
          <w:lang w:eastAsia="en-CA"/>
        </w:rPr>
        <w:t xml:space="preserve">torage </w:t>
      </w:r>
      <w:r w:rsidR="00793BF6">
        <w:rPr>
          <w:lang w:eastAsia="en-CA"/>
        </w:rPr>
        <w:t>f</w:t>
      </w:r>
      <w:r w:rsidR="00892797">
        <w:rPr>
          <w:lang w:eastAsia="en-CA"/>
        </w:rPr>
        <w:t>acilit</w:t>
      </w:r>
      <w:r w:rsidR="00793BF6">
        <w:rPr>
          <w:lang w:eastAsia="en-CA"/>
        </w:rPr>
        <w:t>ies</w:t>
      </w:r>
      <w:r w:rsidR="00EA2330">
        <w:rPr>
          <w:lang w:eastAsia="en-CA"/>
        </w:rPr>
        <w:t xml:space="preserve"> </w:t>
      </w:r>
      <w:r w:rsidR="00892797">
        <w:rPr>
          <w:lang w:eastAsia="en-CA"/>
        </w:rPr>
        <w:t>in each year over the 2020-2024 rate period</w:t>
      </w:r>
      <w:r w:rsidR="00A44CCE">
        <w:rPr>
          <w:lang w:eastAsia="en-CA"/>
        </w:rPr>
        <w:t xml:space="preserve"> (</w:t>
      </w:r>
      <w:r w:rsidR="00D41878">
        <w:rPr>
          <w:lang w:eastAsia="en-CA"/>
        </w:rPr>
        <w:t xml:space="preserve">Hearing Transcripts, Volume 11, </w:t>
      </w:r>
      <w:r w:rsidR="00A44CCE">
        <w:rPr>
          <w:lang w:eastAsia="en-CA"/>
        </w:rPr>
        <w:t>90-92)</w:t>
      </w:r>
      <w:r w:rsidR="00892797">
        <w:rPr>
          <w:lang w:eastAsia="en-CA"/>
        </w:rPr>
        <w:t>.</w:t>
      </w:r>
      <w:r w:rsidR="00EA2330">
        <w:rPr>
          <w:lang w:eastAsia="en-CA"/>
        </w:rPr>
        <w:t xml:space="preserve"> </w:t>
      </w:r>
    </w:p>
    <w:p w14:paraId="71C0CC4F" w14:textId="6011324F" w:rsidR="008E58B3" w:rsidRPr="00D41878" w:rsidRDefault="00006E89" w:rsidP="00D41878">
      <w:pPr>
        <w:pStyle w:val="ListParagraph"/>
        <w:numPr>
          <w:ilvl w:val="1"/>
          <w:numId w:val="8"/>
        </w:numPr>
        <w:rPr>
          <w:lang w:val="en-CA" w:eastAsia="en-CA"/>
        </w:rPr>
      </w:pPr>
      <w:r>
        <w:rPr>
          <w:lang w:eastAsia="en-CA"/>
        </w:rPr>
        <w:t xml:space="preserve">Request that Toronto Hydro </w:t>
      </w:r>
      <w:r w:rsidR="0063306E">
        <w:rPr>
          <w:lang w:eastAsia="en-CA"/>
        </w:rPr>
        <w:t>consider customer and stakeholder research and outreach</w:t>
      </w:r>
      <w:r w:rsidR="00BC4C0F">
        <w:rPr>
          <w:lang w:eastAsia="en-CA"/>
        </w:rPr>
        <w:t xml:space="preserve">, potentially in coordination with </w:t>
      </w:r>
      <w:r w:rsidR="00D173A8">
        <w:rPr>
          <w:lang w:eastAsia="en-CA"/>
        </w:rPr>
        <w:t>relevant transportation ministries</w:t>
      </w:r>
      <w:r w:rsidR="00D03B0A">
        <w:rPr>
          <w:lang w:eastAsia="en-CA"/>
        </w:rPr>
        <w:t>, agencies,</w:t>
      </w:r>
      <w:r w:rsidR="00E045E3">
        <w:rPr>
          <w:lang w:eastAsia="en-CA"/>
        </w:rPr>
        <w:t xml:space="preserve"> and the Toronto Transit Commission</w:t>
      </w:r>
      <w:r w:rsidR="00D173A8">
        <w:rPr>
          <w:lang w:eastAsia="en-CA"/>
        </w:rPr>
        <w:t xml:space="preserve">, to ascertain the existing number of EV DER customers and the growth rate of such customers in its service territory; </w:t>
      </w:r>
    </w:p>
    <w:p w14:paraId="0EC3E8DA" w14:textId="40195293" w:rsidR="00D41878" w:rsidRPr="00DD4219" w:rsidRDefault="00D41878" w:rsidP="00D41878">
      <w:pPr>
        <w:pStyle w:val="ListParagraph"/>
        <w:numPr>
          <w:ilvl w:val="1"/>
          <w:numId w:val="8"/>
        </w:numPr>
        <w:rPr>
          <w:lang w:val="en-CA" w:eastAsia="en-CA"/>
        </w:rPr>
      </w:pPr>
      <w:r>
        <w:rPr>
          <w:lang w:eastAsia="en-CA"/>
        </w:rPr>
        <w:t>Consider the customer benefits and potential pro</w:t>
      </w:r>
      <w:r w:rsidR="00DD4219">
        <w:rPr>
          <w:lang w:eastAsia="en-CA"/>
        </w:rPr>
        <w:t>ductivity gains associated with</w:t>
      </w:r>
      <w:r>
        <w:rPr>
          <w:lang w:eastAsia="en-CA"/>
        </w:rPr>
        <w:t xml:space="preserve"> Toronto Hydro Capital Plan DER-related investments including Area Conversions, Energy Storage Systems, Stations Expansions, and Control Operations </w:t>
      </w:r>
      <w:r w:rsidR="00DD4219">
        <w:rPr>
          <w:lang w:eastAsia="en-CA"/>
        </w:rPr>
        <w:t>Reinforcements</w:t>
      </w:r>
      <w:r>
        <w:rPr>
          <w:lang w:eastAsia="en-CA"/>
        </w:rPr>
        <w:t>.</w:t>
      </w:r>
    </w:p>
    <w:p w14:paraId="2681A493" w14:textId="569366B4" w:rsidR="00DD4219" w:rsidRPr="008E58B3" w:rsidRDefault="00DD4219" w:rsidP="00D41878">
      <w:pPr>
        <w:pStyle w:val="ListParagraph"/>
        <w:numPr>
          <w:ilvl w:val="1"/>
          <w:numId w:val="8"/>
        </w:numPr>
        <w:rPr>
          <w:lang w:val="en-CA" w:eastAsia="en-CA"/>
        </w:rPr>
      </w:pPr>
      <w:r>
        <w:rPr>
          <w:lang w:eastAsia="en-CA"/>
        </w:rPr>
        <w:lastRenderedPageBreak/>
        <w:t xml:space="preserve">Require Toronto Hydro to support all vehicle fleet capital and operations costs with detailed financial information on capital, fuel, and maintenance costs, and consider available electric vehicle incentives; and </w:t>
      </w:r>
    </w:p>
    <w:p w14:paraId="582723B8" w14:textId="77777777" w:rsidR="00D35D1A" w:rsidRPr="00500615" w:rsidRDefault="00422E6F" w:rsidP="00DA16CE">
      <w:pPr>
        <w:pStyle w:val="ListParagraph"/>
        <w:numPr>
          <w:ilvl w:val="1"/>
          <w:numId w:val="8"/>
        </w:numPr>
        <w:rPr>
          <w:lang w:val="en-CA" w:eastAsia="en-CA"/>
        </w:rPr>
      </w:pPr>
      <w:r>
        <w:rPr>
          <w:lang w:eastAsia="en-CA"/>
        </w:rPr>
        <w:t xml:space="preserve">Consider exempting </w:t>
      </w:r>
      <w:r w:rsidR="00A46DB0">
        <w:rPr>
          <w:lang w:eastAsia="en-CA"/>
        </w:rPr>
        <w:t xml:space="preserve">certain </w:t>
      </w:r>
      <w:r w:rsidR="00BC78C4">
        <w:rPr>
          <w:lang w:eastAsia="en-CA"/>
        </w:rPr>
        <w:t>DER capital investments</w:t>
      </w:r>
      <w:r w:rsidR="00A46DB0">
        <w:rPr>
          <w:lang w:eastAsia="en-CA"/>
        </w:rPr>
        <w:t xml:space="preserve"> from the stretch factor that the Board arrives at in relation to the proposed C-factor</w:t>
      </w:r>
      <w:r w:rsidR="00624F40">
        <w:rPr>
          <w:lang w:eastAsia="en-CA"/>
        </w:rPr>
        <w:t xml:space="preserve">, </w:t>
      </w:r>
      <w:r w:rsidR="00A46DB0">
        <w:rPr>
          <w:lang w:eastAsia="en-CA"/>
        </w:rPr>
        <w:t xml:space="preserve">potentially </w:t>
      </w:r>
      <w:r w:rsidR="00234E87">
        <w:rPr>
          <w:lang w:eastAsia="en-CA"/>
        </w:rPr>
        <w:t xml:space="preserve">including the secondary control centre, </w:t>
      </w:r>
      <w:r w:rsidR="00982C53">
        <w:rPr>
          <w:lang w:eastAsia="en-CA"/>
        </w:rPr>
        <w:t>if</w:t>
      </w:r>
      <w:r w:rsidR="00BC78C4">
        <w:rPr>
          <w:lang w:eastAsia="en-CA"/>
        </w:rPr>
        <w:t xml:space="preserve"> </w:t>
      </w:r>
      <w:r w:rsidR="00380B6B">
        <w:rPr>
          <w:lang w:eastAsia="en-CA"/>
        </w:rPr>
        <w:t>such capital investment are</w:t>
      </w:r>
      <w:r w:rsidR="00BC78C4">
        <w:rPr>
          <w:lang w:eastAsia="en-CA"/>
        </w:rPr>
        <w:t xml:space="preserve"> </w:t>
      </w:r>
      <w:r w:rsidR="00380B6B">
        <w:rPr>
          <w:lang w:eastAsia="en-CA"/>
        </w:rPr>
        <w:t xml:space="preserve">demonstrated to be net productivity enhancing </w:t>
      </w:r>
      <w:r w:rsidR="00BC78C4">
        <w:rPr>
          <w:lang w:eastAsia="en-CA"/>
        </w:rPr>
        <w:t xml:space="preserve">in Toronto Hydro’s annual reports during the </w:t>
      </w:r>
      <w:r w:rsidR="00D83DD1">
        <w:rPr>
          <w:lang w:eastAsia="en-CA"/>
        </w:rPr>
        <w:t>2020-2024 rate period</w:t>
      </w:r>
      <w:r w:rsidR="00624F40">
        <w:rPr>
          <w:lang w:eastAsia="en-CA"/>
        </w:rPr>
        <w:t>;</w:t>
      </w:r>
    </w:p>
    <w:p w14:paraId="79C81684" w14:textId="7D4CF29C" w:rsidR="00500615" w:rsidRPr="00E12557" w:rsidRDefault="00500615" w:rsidP="00E12557">
      <w:pPr>
        <w:ind w:left="567" w:hanging="567"/>
        <w:rPr>
          <w:b/>
          <w:i/>
          <w:lang w:eastAsia="en-CA"/>
        </w:rPr>
      </w:pPr>
      <w:r w:rsidRPr="00E12557">
        <w:rPr>
          <w:b/>
          <w:i/>
          <w:lang w:eastAsia="en-CA"/>
        </w:rPr>
        <w:t>The rapidly changing electricity distribution context associated with DERs.</w:t>
      </w:r>
    </w:p>
    <w:p w14:paraId="5DC7E342" w14:textId="77777777" w:rsidR="00E12557" w:rsidRDefault="00500615" w:rsidP="00E12557">
      <w:pPr>
        <w:pStyle w:val="ListParagraph"/>
        <w:numPr>
          <w:ilvl w:val="0"/>
          <w:numId w:val="14"/>
        </w:numPr>
        <w:rPr>
          <w:lang w:eastAsia="en-CA"/>
        </w:rPr>
      </w:pPr>
      <w:r w:rsidRPr="00500615">
        <w:rPr>
          <w:lang w:eastAsia="en-CA"/>
        </w:rPr>
        <w:t>DRC submits that gro</w:t>
      </w:r>
      <w:r>
        <w:rPr>
          <w:lang w:eastAsia="en-CA"/>
        </w:rPr>
        <w:t>wth and integration of DERs, including electric mobility                                            DERs, resulting from the</w:t>
      </w:r>
      <w:r w:rsidR="00DA16CE">
        <w:rPr>
          <w:lang w:eastAsia="en-CA"/>
        </w:rPr>
        <w:t xml:space="preserve"> electrification of transportation are fundamentally changing the distribution of electricity. Specifically each and all of electricity supply and demand, customer preferences, capital expenditures operations and maintenance, and load are being materially impacted by DERs.</w:t>
      </w:r>
    </w:p>
    <w:p w14:paraId="3BD84F3E" w14:textId="77777777" w:rsidR="00267F70" w:rsidRDefault="00E67FC9" w:rsidP="00267F70">
      <w:pPr>
        <w:pStyle w:val="ListParagraph"/>
        <w:numPr>
          <w:ilvl w:val="0"/>
          <w:numId w:val="14"/>
        </w:numPr>
        <w:rPr>
          <w:lang w:eastAsia="en-CA"/>
        </w:rPr>
      </w:pPr>
      <w:r w:rsidRPr="00E12557">
        <w:rPr>
          <w:lang w:eastAsia="en-CA"/>
        </w:rPr>
        <w:t>The Independent Electricity System Operator (</w:t>
      </w:r>
      <w:r w:rsidRPr="00E12557">
        <w:rPr>
          <w:b/>
          <w:lang w:eastAsia="en-CA"/>
        </w:rPr>
        <w:t>IESO</w:t>
      </w:r>
      <w:r w:rsidRPr="00E12557">
        <w:rPr>
          <w:lang w:eastAsia="en-CA"/>
        </w:rPr>
        <w:t>) defines DERs as “electricity-producing resources or controllable loads that are directly connected to a local distribution system or connected to a host facility within the local distribution system.”</w:t>
      </w:r>
      <w:r>
        <w:rPr>
          <w:rStyle w:val="FootnoteReference"/>
          <w:lang w:val="en-CA" w:eastAsia="en-CA"/>
        </w:rPr>
        <w:footnoteReference w:id="12"/>
      </w:r>
      <w:r w:rsidRPr="00E12557">
        <w:rPr>
          <w:lang w:eastAsia="en-CA"/>
        </w:rPr>
        <w:t xml:space="preserve"> DERs may include solar panels, combined heat and power plan</w:t>
      </w:r>
      <w:r w:rsidR="004E7E29" w:rsidRPr="00E12557">
        <w:rPr>
          <w:lang w:eastAsia="en-CA"/>
        </w:rPr>
        <w:t>t</w:t>
      </w:r>
      <w:r w:rsidRPr="00E12557">
        <w:rPr>
          <w:lang w:eastAsia="en-CA"/>
        </w:rPr>
        <w:t xml:space="preserve">s, electricity storage, small natural gas-fuelled generators, electric vehicles, and controllable loads (such as </w:t>
      </w:r>
      <w:r w:rsidR="001F5961" w:rsidRPr="00E12557">
        <w:rPr>
          <w:lang w:eastAsia="en-CA"/>
        </w:rPr>
        <w:t>H</w:t>
      </w:r>
      <w:r w:rsidRPr="00E12557">
        <w:rPr>
          <w:lang w:eastAsia="en-CA"/>
        </w:rPr>
        <w:t>VAC systems and electric water heaters).</w:t>
      </w:r>
      <w:r>
        <w:rPr>
          <w:rStyle w:val="FootnoteReference"/>
          <w:lang w:val="en-CA" w:eastAsia="en-CA"/>
        </w:rPr>
        <w:footnoteReference w:id="13"/>
      </w:r>
      <w:r w:rsidR="00B8703F" w:rsidRPr="00E12557">
        <w:rPr>
          <w:lang w:eastAsia="en-CA"/>
        </w:rPr>
        <w:t xml:space="preserve"> </w:t>
      </w:r>
    </w:p>
    <w:p w14:paraId="4658A60F" w14:textId="07FACEB3" w:rsidR="00501D2C" w:rsidRDefault="00501D2C" w:rsidP="00267F70">
      <w:pPr>
        <w:pStyle w:val="ListParagraph"/>
        <w:numPr>
          <w:ilvl w:val="0"/>
          <w:numId w:val="14"/>
        </w:numPr>
        <w:rPr>
          <w:lang w:eastAsia="en-CA"/>
        </w:rPr>
      </w:pPr>
      <w:r>
        <w:rPr>
          <w:lang w:eastAsia="en-CA"/>
        </w:rPr>
        <w:t xml:space="preserve">London Economics International </w:t>
      </w:r>
      <w:r w:rsidR="005B62B5">
        <w:rPr>
          <w:lang w:eastAsia="en-CA"/>
        </w:rPr>
        <w:t xml:space="preserve">confirmed the significant </w:t>
      </w:r>
      <w:proofErr w:type="spellStart"/>
      <w:r w:rsidR="005B62B5">
        <w:rPr>
          <w:lang w:eastAsia="en-CA"/>
        </w:rPr>
        <w:t>intergration</w:t>
      </w:r>
      <w:proofErr w:type="spellEnd"/>
      <w:r w:rsidR="005B62B5">
        <w:rPr>
          <w:lang w:eastAsia="en-CA"/>
        </w:rPr>
        <w:t xml:space="preserve"> of nearly 800 MW of DERs in Ontario finding that: </w:t>
      </w:r>
      <w:r w:rsidR="00B8703F" w:rsidRPr="00267F70">
        <w:rPr>
          <w:lang w:val="en-CA" w:eastAsia="en-CA"/>
        </w:rPr>
        <w:t>(see Figure 1</w:t>
      </w:r>
      <w:r w:rsidR="00B8703F">
        <w:rPr>
          <w:rStyle w:val="FootnoteReference"/>
          <w:lang w:val="en-CA" w:eastAsia="en-CA"/>
        </w:rPr>
        <w:footnoteReference w:id="14"/>
      </w:r>
      <w:r w:rsidR="00B8703F" w:rsidRPr="00267F70">
        <w:rPr>
          <w:lang w:val="en-CA" w:eastAsia="en-CA"/>
        </w:rPr>
        <w:t>)</w:t>
      </w:r>
      <w:r w:rsidR="008B5D50" w:rsidRPr="00267F70">
        <w:rPr>
          <w:lang w:val="en-CA" w:eastAsia="en-CA"/>
        </w:rPr>
        <w:t xml:space="preserve"> </w:t>
      </w:r>
    </w:p>
    <w:p w14:paraId="51E76663" w14:textId="67A5191D" w:rsidR="00501D2C" w:rsidRDefault="00501D2C" w:rsidP="005B62B5">
      <w:pPr>
        <w:pStyle w:val="ListParagraph"/>
        <w:numPr>
          <w:ilvl w:val="0"/>
          <w:numId w:val="12"/>
        </w:numPr>
        <w:rPr>
          <w:lang w:eastAsia="en-CA"/>
        </w:rPr>
      </w:pPr>
      <w:r>
        <w:rPr>
          <w:lang w:eastAsia="en-CA"/>
        </w:rPr>
        <w:lastRenderedPageBreak/>
        <w:t>Ontario has seen</w:t>
      </w:r>
      <w:r w:rsidR="005B62B5">
        <w:rPr>
          <w:lang w:eastAsia="en-CA"/>
        </w:rPr>
        <w:t xml:space="preserve"> very</w:t>
      </w:r>
      <w:r>
        <w:rPr>
          <w:lang w:eastAsia="en-CA"/>
        </w:rPr>
        <w:t xml:space="preserve"> significant DER growth, which has impacted distributor operations across the province with respect to monitoring and control of energy delivery and management;</w:t>
      </w:r>
    </w:p>
    <w:p w14:paraId="354FD51C" w14:textId="77777777" w:rsidR="00501D2C" w:rsidRDefault="00501D2C" w:rsidP="005B62B5">
      <w:pPr>
        <w:pStyle w:val="ListParagraph"/>
        <w:numPr>
          <w:ilvl w:val="0"/>
          <w:numId w:val="12"/>
        </w:numPr>
        <w:rPr>
          <w:lang w:eastAsia="en-CA"/>
        </w:rPr>
      </w:pPr>
      <w:r>
        <w:rPr>
          <w:lang w:eastAsia="en-CA"/>
        </w:rPr>
        <w:t>Growth of DERs has given distributors some of the reliability responsibilities traditionally reserved for transmission utilities;</w:t>
      </w:r>
    </w:p>
    <w:p w14:paraId="4B7B67B6" w14:textId="22C04A16" w:rsidR="00501D2C" w:rsidRDefault="00501D2C" w:rsidP="005B62B5">
      <w:pPr>
        <w:pStyle w:val="ListParagraph"/>
        <w:numPr>
          <w:ilvl w:val="0"/>
          <w:numId w:val="12"/>
        </w:numPr>
        <w:rPr>
          <w:lang w:eastAsia="en-CA"/>
        </w:rPr>
      </w:pPr>
      <w:r>
        <w:rPr>
          <w:lang w:eastAsia="en-CA"/>
        </w:rPr>
        <w:t xml:space="preserve">Electricity distribution grids are undergoing fundamental changes as a result of advancement of DERs, smart grids, and integration of </w:t>
      </w:r>
      <w:proofErr w:type="spellStart"/>
      <w:r>
        <w:rPr>
          <w:lang w:eastAsia="en-CA"/>
        </w:rPr>
        <w:t>EVs</w:t>
      </w:r>
      <w:proofErr w:type="spellEnd"/>
      <w:r>
        <w:rPr>
          <w:lang w:eastAsia="en-CA"/>
        </w:rPr>
        <w:t>;</w:t>
      </w:r>
      <w:r w:rsidR="008B5D50">
        <w:rPr>
          <w:lang w:eastAsia="en-CA"/>
        </w:rPr>
        <w:t xml:space="preserve"> and</w:t>
      </w:r>
    </w:p>
    <w:p w14:paraId="4042073A" w14:textId="77777777" w:rsidR="00C24024" w:rsidRDefault="00501D2C" w:rsidP="005B62B5">
      <w:pPr>
        <w:pStyle w:val="ListParagraph"/>
        <w:numPr>
          <w:ilvl w:val="0"/>
          <w:numId w:val="12"/>
        </w:numPr>
        <w:rPr>
          <w:lang w:eastAsia="en-CA"/>
        </w:rPr>
      </w:pPr>
      <w:r>
        <w:rPr>
          <w:lang w:eastAsia="en-CA"/>
        </w:rPr>
        <w:t>Growth in small scale generation and other DERs means that distributors at times need to manage bi-directional flow of electricity between the utility and consumers.</w:t>
      </w:r>
      <w:r>
        <w:rPr>
          <w:rStyle w:val="FootnoteReference"/>
          <w:lang w:eastAsia="en-CA"/>
        </w:rPr>
        <w:footnoteReference w:id="15"/>
      </w:r>
    </w:p>
    <w:p w14:paraId="43C14AF9" w14:textId="4A651692" w:rsidR="005B62B5" w:rsidRDefault="00A52AB7" w:rsidP="00C24024">
      <w:pPr>
        <w:pStyle w:val="ListParagraph"/>
        <w:numPr>
          <w:ilvl w:val="0"/>
          <w:numId w:val="15"/>
        </w:numPr>
        <w:rPr>
          <w:lang w:eastAsia="en-CA"/>
        </w:rPr>
      </w:pPr>
      <w:r>
        <w:rPr>
          <w:b/>
          <w:bCs/>
          <w:lang w:eastAsia="en-CA"/>
        </w:rPr>
        <w:t xml:space="preserve">Supply and Demand. </w:t>
      </w:r>
      <w:r w:rsidR="005B62B5">
        <w:rPr>
          <w:lang w:eastAsia="en-CA"/>
        </w:rPr>
        <w:t>Mr. Taki confirmed that DER are in fact changing Toronto Hydro's traditional supply and     demand parameters and playing an important role in related services</w:t>
      </w:r>
      <w:r w:rsidR="0052472F">
        <w:rPr>
          <w:lang w:eastAsia="en-CA"/>
        </w:rPr>
        <w:t>.</w:t>
      </w:r>
    </w:p>
    <w:p w14:paraId="598CF4C0" w14:textId="012C204D" w:rsidR="0052472F" w:rsidRDefault="0052472F" w:rsidP="0052472F">
      <w:pPr>
        <w:ind w:left="560"/>
        <w:rPr>
          <w:lang w:eastAsia="en-CA"/>
        </w:rPr>
      </w:pPr>
      <w:r>
        <w:rPr>
          <w:lang w:eastAsia="en-CA"/>
        </w:rPr>
        <w:t>"Ms. DEMARCO: Yes, no problem. Your evidence appears to confirm that innovation, including distributed energy resources, are changing Toronto Hydro's traditional supply and demand parameters. Is that correct?" Mr. TAKI: Yes."</w:t>
      </w:r>
      <w:r>
        <w:rPr>
          <w:rStyle w:val="FootnoteReference"/>
          <w:lang w:eastAsia="en-CA"/>
        </w:rPr>
        <w:footnoteReference w:id="16"/>
      </w:r>
    </w:p>
    <w:p w14:paraId="679C3C0E" w14:textId="77777777" w:rsidR="00FF4D04" w:rsidRPr="00501D2C" w:rsidRDefault="00FF4D04" w:rsidP="0052472F">
      <w:pPr>
        <w:ind w:left="560"/>
        <w:rPr>
          <w:lang w:eastAsia="en-CA"/>
        </w:rPr>
      </w:pPr>
    </w:p>
    <w:p w14:paraId="468C9F92" w14:textId="588C1613" w:rsidR="00B8703F" w:rsidRPr="00B8703F" w:rsidRDefault="00B8703F" w:rsidP="00B8703F">
      <w:pPr>
        <w:pStyle w:val="ListParagraph"/>
        <w:numPr>
          <w:ilvl w:val="0"/>
          <w:numId w:val="0"/>
        </w:numPr>
        <w:ind w:left="567"/>
        <w:rPr>
          <w:lang w:val="en-CA" w:eastAsia="en-CA"/>
        </w:rPr>
      </w:pPr>
      <w:r w:rsidRPr="00B8703F">
        <w:rPr>
          <w:noProof/>
        </w:rPr>
        <w:lastRenderedPageBreak/>
        <w:drawing>
          <wp:inline distT="0" distB="0" distL="0" distR="0" wp14:anchorId="1137AE92" wp14:editId="0B551C37">
            <wp:extent cx="5468400" cy="26136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68400" cy="2613600"/>
                    </a:xfrm>
                    <a:prstGeom prst="rect">
                      <a:avLst/>
                    </a:prstGeom>
                  </pic:spPr>
                </pic:pic>
              </a:graphicData>
            </a:graphic>
          </wp:inline>
        </w:drawing>
      </w:r>
    </w:p>
    <w:p w14:paraId="6FB8DA1F" w14:textId="19FD7AF4" w:rsidR="00FF4D04" w:rsidRDefault="00A52AB7" w:rsidP="00DA16CE">
      <w:pPr>
        <w:pStyle w:val="ListParagraph"/>
        <w:numPr>
          <w:ilvl w:val="0"/>
          <w:numId w:val="8"/>
        </w:numPr>
        <w:rPr>
          <w:lang w:val="en-CA" w:eastAsia="en-CA"/>
        </w:rPr>
      </w:pPr>
      <w:r>
        <w:rPr>
          <w:b/>
          <w:bCs/>
          <w:lang w:val="en-CA" w:eastAsia="en-CA"/>
        </w:rPr>
        <w:t xml:space="preserve">Customer Needs and Preferences. </w:t>
      </w:r>
      <w:r w:rsidR="00FF4D04">
        <w:rPr>
          <w:lang w:val="en-CA" w:eastAsia="en-CA"/>
        </w:rPr>
        <w:t xml:space="preserve">Mr. </w:t>
      </w:r>
      <w:proofErr w:type="spellStart"/>
      <w:r w:rsidR="00FF4D04">
        <w:rPr>
          <w:lang w:val="en-CA" w:eastAsia="en-CA"/>
        </w:rPr>
        <w:t>Lyberogiannis</w:t>
      </w:r>
      <w:proofErr w:type="spellEnd"/>
      <w:r w:rsidR="00FF4D04">
        <w:rPr>
          <w:lang w:val="en-CA" w:eastAsia="en-CA"/>
        </w:rPr>
        <w:t xml:space="preserve">  confirmed that DERs including energy storage are also driving beneficial system service investments at low or no cost to customers and over 8000 inquiries.</w:t>
      </w:r>
      <w:r w:rsidR="00FF4D04">
        <w:rPr>
          <w:rStyle w:val="FootnoteReference"/>
          <w:lang w:val="en-CA" w:eastAsia="en-CA"/>
        </w:rPr>
        <w:footnoteReference w:id="17"/>
      </w:r>
    </w:p>
    <w:p w14:paraId="0C253F26" w14:textId="01F560D4" w:rsidR="00B57D06" w:rsidRDefault="00B57D06" w:rsidP="00DA16CE">
      <w:pPr>
        <w:pStyle w:val="ListParagraph"/>
        <w:numPr>
          <w:ilvl w:val="0"/>
          <w:numId w:val="8"/>
        </w:numPr>
        <w:rPr>
          <w:lang w:val="en-CA" w:eastAsia="en-CA"/>
        </w:rPr>
      </w:pPr>
      <w:r>
        <w:rPr>
          <w:lang w:val="en-CA" w:eastAsia="en-CA"/>
        </w:rPr>
        <w:t>Mr. Lyle confirmed that large customers found the following two DER issues to be a top priority outcome from Toronto Hydro: "enhancing the electrical system to enable the mass adoption of electric vehicles and the redemption of GHGs"</w:t>
      </w:r>
    </w:p>
    <w:p w14:paraId="7B9A6EEF" w14:textId="753D50F7" w:rsidR="00B57D06" w:rsidRDefault="00B57D06" w:rsidP="00B57D06">
      <w:pPr>
        <w:pStyle w:val="ListParagraph"/>
        <w:numPr>
          <w:ilvl w:val="0"/>
          <w:numId w:val="0"/>
        </w:numPr>
        <w:ind w:left="1287"/>
        <w:rPr>
          <w:lang w:val="en-CA" w:eastAsia="en-CA"/>
        </w:rPr>
      </w:pPr>
      <w:r>
        <w:rPr>
          <w:lang w:val="en-CA" w:eastAsia="en-CA"/>
        </w:rPr>
        <w:t>"priority behind the meter electricity solutions and services, energy storage for quality distributed generation".</w:t>
      </w:r>
      <w:r>
        <w:rPr>
          <w:rStyle w:val="FootnoteReference"/>
          <w:lang w:val="en-CA" w:eastAsia="en-CA"/>
        </w:rPr>
        <w:footnoteReference w:id="18"/>
      </w:r>
    </w:p>
    <w:p w14:paraId="2AD69257" w14:textId="7B8558B1" w:rsidR="002262FB" w:rsidRDefault="002262FB" w:rsidP="002262FB">
      <w:pPr>
        <w:pStyle w:val="ListParagraph"/>
        <w:numPr>
          <w:ilvl w:val="0"/>
          <w:numId w:val="8"/>
        </w:numPr>
        <w:rPr>
          <w:lang w:val="en-CA" w:eastAsia="en-CA"/>
        </w:rPr>
      </w:pPr>
      <w:r>
        <w:rPr>
          <w:lang w:val="en-CA" w:eastAsia="en-CA"/>
        </w:rPr>
        <w:t>Mr. Lyle's surveys also found that about 90% of customers surveyed followed behind the meter DERs and the capital expenditures associated with them to be "important, very important or extremely important". And a further 55% of customers found electric vehicles to be important, very important, or extremely important.</w:t>
      </w:r>
      <w:r>
        <w:rPr>
          <w:rStyle w:val="FootnoteReference"/>
          <w:lang w:val="en-CA" w:eastAsia="en-CA"/>
        </w:rPr>
        <w:footnoteReference w:id="19"/>
      </w:r>
    </w:p>
    <w:p w14:paraId="10BC3EC4" w14:textId="3006A003" w:rsidR="00ED7544" w:rsidRDefault="003A67B6" w:rsidP="0031205E">
      <w:pPr>
        <w:pStyle w:val="ListParagraph"/>
        <w:numPr>
          <w:ilvl w:val="0"/>
          <w:numId w:val="8"/>
        </w:numPr>
        <w:rPr>
          <w:lang w:val="en-CA" w:eastAsia="en-CA"/>
        </w:rPr>
      </w:pPr>
      <w:r>
        <w:rPr>
          <w:b/>
          <w:bCs/>
          <w:lang w:val="en-CA" w:eastAsia="en-CA"/>
        </w:rPr>
        <w:t xml:space="preserve">Demand and Load Growth. </w:t>
      </w:r>
      <w:r w:rsidR="0031205E">
        <w:rPr>
          <w:lang w:val="en-CA" w:eastAsia="en-CA"/>
        </w:rPr>
        <w:t>Toronto Hydro confirmed that there are a number of additional policy initiatives that may further increase and accelera</w:t>
      </w:r>
      <w:r w:rsidR="00ED7544">
        <w:rPr>
          <w:lang w:val="en-CA" w:eastAsia="en-CA"/>
        </w:rPr>
        <w:t xml:space="preserve">te the penetration </w:t>
      </w:r>
      <w:r w:rsidR="00ED7544">
        <w:rPr>
          <w:lang w:val="en-CA" w:eastAsia="en-CA"/>
        </w:rPr>
        <w:lastRenderedPageBreak/>
        <w:t xml:space="preserve">of electric </w:t>
      </w:r>
      <w:r w:rsidR="0031205E">
        <w:rPr>
          <w:lang w:val="en-CA" w:eastAsia="en-CA"/>
        </w:rPr>
        <w:t>mobility DERs and related impacts on the distribution system. These include</w:t>
      </w:r>
      <w:r w:rsidR="00DD62E6">
        <w:rPr>
          <w:lang w:val="en-CA" w:eastAsia="en-CA"/>
        </w:rPr>
        <w:t>:</w:t>
      </w:r>
      <w:r w:rsidR="00ED7544">
        <w:rPr>
          <w:lang w:val="en-CA" w:eastAsia="en-CA"/>
        </w:rPr>
        <w:t xml:space="preserve">  </w:t>
      </w:r>
    </w:p>
    <w:p w14:paraId="0F087F82" w14:textId="77777777" w:rsidR="00ED7544" w:rsidRDefault="00ED7544" w:rsidP="00ED7544">
      <w:pPr>
        <w:pStyle w:val="ListParagraph"/>
        <w:numPr>
          <w:ilvl w:val="1"/>
          <w:numId w:val="8"/>
        </w:numPr>
        <w:rPr>
          <w:lang w:val="en-CA" w:eastAsia="en-CA"/>
        </w:rPr>
      </w:pPr>
      <w:r>
        <w:rPr>
          <w:lang w:val="en-CA" w:eastAsia="en-CA"/>
        </w:rPr>
        <w:t>The 2019 federal budget that provides a significant $5000 incentive for electric vehicles and further incentives for electrification of vehicle fleets for a period of 3 years, as well as incentives to vehicle dealers;</w:t>
      </w:r>
    </w:p>
    <w:p w14:paraId="0FEA85C6" w14:textId="77777777" w:rsidR="00ED7544" w:rsidRDefault="00ED7544" w:rsidP="00ED7544">
      <w:pPr>
        <w:pStyle w:val="ListParagraph"/>
        <w:numPr>
          <w:ilvl w:val="1"/>
          <w:numId w:val="8"/>
        </w:numPr>
        <w:rPr>
          <w:lang w:val="en-CA" w:eastAsia="en-CA"/>
        </w:rPr>
      </w:pPr>
      <w:r>
        <w:rPr>
          <w:lang w:val="en-CA" w:eastAsia="en-CA"/>
        </w:rPr>
        <w:t>The Ontario Government's Environment Plan that includes low carbon vehicles as part of the planned GHG reduction;</w:t>
      </w:r>
    </w:p>
    <w:p w14:paraId="58ABC2FB" w14:textId="1F2AD8C9" w:rsidR="00FF4BFC" w:rsidRDefault="00ED7544" w:rsidP="00ED7544">
      <w:pPr>
        <w:pStyle w:val="ListParagraph"/>
        <w:numPr>
          <w:ilvl w:val="1"/>
          <w:numId w:val="8"/>
        </w:numPr>
        <w:rPr>
          <w:lang w:val="en-CA" w:eastAsia="en-CA"/>
        </w:rPr>
      </w:pPr>
      <w:r>
        <w:rPr>
          <w:lang w:val="en-CA" w:eastAsia="en-CA"/>
        </w:rPr>
        <w:t>The City of Toronto's green fleet initiative that contemplates integrating over</w:t>
      </w:r>
      <w:r w:rsidR="00FF4BFC">
        <w:rPr>
          <w:lang w:val="en-CA" w:eastAsia="en-CA"/>
        </w:rPr>
        <w:t xml:space="preserve"> 10,000 electric vehicles;</w:t>
      </w:r>
    </w:p>
    <w:p w14:paraId="49CB6997" w14:textId="77777777" w:rsidR="00FF4BFC" w:rsidRDefault="00FF4BFC" w:rsidP="00ED7544">
      <w:pPr>
        <w:pStyle w:val="ListParagraph"/>
        <w:numPr>
          <w:ilvl w:val="1"/>
          <w:numId w:val="8"/>
        </w:numPr>
        <w:rPr>
          <w:lang w:val="en-CA" w:eastAsia="en-CA"/>
        </w:rPr>
      </w:pPr>
      <w:r>
        <w:rPr>
          <w:lang w:val="en-CA" w:eastAsia="en-CA"/>
        </w:rPr>
        <w:t>The TTC's purchase and delivery of 60 electric buses in 2019;</w:t>
      </w:r>
    </w:p>
    <w:p w14:paraId="6883CDE9" w14:textId="77777777" w:rsidR="00FF4BFC" w:rsidRDefault="00FF4BFC" w:rsidP="00ED7544">
      <w:pPr>
        <w:pStyle w:val="ListParagraph"/>
        <w:numPr>
          <w:ilvl w:val="1"/>
          <w:numId w:val="8"/>
        </w:numPr>
        <w:rPr>
          <w:lang w:val="en-CA" w:eastAsia="en-CA"/>
        </w:rPr>
      </w:pPr>
      <w:r>
        <w:rPr>
          <w:lang w:val="en-CA" w:eastAsia="en-CA"/>
        </w:rPr>
        <w:t>The Board Advisory Committee on Innovation recommendation of November 2018, which include enhancing customer choice and solutions through DERs</w:t>
      </w:r>
    </w:p>
    <w:p w14:paraId="3176327C" w14:textId="017B3618" w:rsidR="0031205E" w:rsidRPr="0031205E" w:rsidRDefault="00FF4BFC" w:rsidP="00ED7544">
      <w:pPr>
        <w:pStyle w:val="ListParagraph"/>
        <w:numPr>
          <w:ilvl w:val="1"/>
          <w:numId w:val="8"/>
        </w:numPr>
        <w:rPr>
          <w:lang w:val="en-CA" w:eastAsia="en-CA"/>
        </w:rPr>
      </w:pPr>
      <w:r>
        <w:rPr>
          <w:lang w:val="en-CA" w:eastAsia="en-CA"/>
        </w:rPr>
        <w:t>And Toronto Hydro's on vehicle fleet electrification initiatives.</w:t>
      </w:r>
      <w:r>
        <w:rPr>
          <w:rStyle w:val="FootnoteReference"/>
          <w:lang w:val="en-CA" w:eastAsia="en-CA"/>
        </w:rPr>
        <w:footnoteReference w:id="20"/>
      </w:r>
      <w:r w:rsidR="00ED7544">
        <w:rPr>
          <w:lang w:val="en-CA" w:eastAsia="en-CA"/>
        </w:rPr>
        <w:t xml:space="preserve">                                                                        </w:t>
      </w:r>
    </w:p>
    <w:p w14:paraId="57CE9CBC" w14:textId="1FE3EA1C" w:rsidR="002262FB" w:rsidRPr="00B57D06" w:rsidRDefault="003436A0" w:rsidP="002262FB">
      <w:pPr>
        <w:pStyle w:val="ListParagraph"/>
        <w:numPr>
          <w:ilvl w:val="0"/>
          <w:numId w:val="8"/>
        </w:numPr>
        <w:rPr>
          <w:lang w:val="en-CA" w:eastAsia="en-CA"/>
        </w:rPr>
      </w:pPr>
      <w:r>
        <w:rPr>
          <w:b/>
          <w:bCs/>
          <w:lang w:val="en-CA" w:eastAsia="en-CA"/>
        </w:rPr>
        <w:t xml:space="preserve">Customer and System Benefits. </w:t>
      </w:r>
      <w:r w:rsidR="002262FB" w:rsidRPr="00B57D06">
        <w:rPr>
          <w:lang w:val="en-CA" w:eastAsia="en-CA"/>
        </w:rPr>
        <w:t xml:space="preserve">There are moreover several well-reported benefits of DERs. Toronto Hydro cited several benefits of energy storage identified by the Electric Power Research Institute in a 2010 report in support of its Energy Storage Systems program proposal (the </w:t>
      </w:r>
      <w:r w:rsidR="002262FB" w:rsidRPr="00B57D06">
        <w:rPr>
          <w:b/>
          <w:lang w:val="en-CA" w:eastAsia="en-CA"/>
        </w:rPr>
        <w:t>EPRI Benefits</w:t>
      </w:r>
      <w:r w:rsidR="002262FB" w:rsidRPr="00B57D06">
        <w:rPr>
          <w:lang w:val="en-CA" w:eastAsia="en-CA"/>
        </w:rPr>
        <w:t>).</w:t>
      </w:r>
      <w:r w:rsidR="002262FB">
        <w:rPr>
          <w:rStyle w:val="FootnoteReference"/>
          <w:lang w:val="en-CA" w:eastAsia="en-CA"/>
        </w:rPr>
        <w:footnoteReference w:id="21"/>
      </w:r>
      <w:r w:rsidR="002262FB" w:rsidRPr="00B57D06">
        <w:rPr>
          <w:lang w:val="en-CA" w:eastAsia="en-CA"/>
        </w:rPr>
        <w:t xml:space="preserve"> DRC submits that the EPRI Benefits may apply to all DERs, including and especially energy storage facilitated by </w:t>
      </w:r>
      <w:proofErr w:type="spellStart"/>
      <w:r w:rsidR="002262FB" w:rsidRPr="00B57D06">
        <w:rPr>
          <w:lang w:val="en-CA" w:eastAsia="en-CA"/>
        </w:rPr>
        <w:t>EVs</w:t>
      </w:r>
      <w:proofErr w:type="spellEnd"/>
      <w:r w:rsidR="002262FB" w:rsidRPr="00B57D06">
        <w:rPr>
          <w:lang w:val="en-CA" w:eastAsia="en-CA"/>
        </w:rPr>
        <w:t xml:space="preserve"> (commonly known as “vehicle to grid”), and are not restricted to the traditional energy storage context. They include: (i) economic benefits (optimized generator operation, deferred generation capacity investments, reduced ancillary service cost, reduced congestion cost, deferred transmission capacity investments, reduced electricity losses, reduced electricity costs); (ii) reliability benefits (reduced sustained outages, reduced momentary outages, reduced sags and swells); and (iii) environmental benefits (reduced CO</w:t>
      </w:r>
      <w:r w:rsidR="002262FB" w:rsidRPr="00B57D06">
        <w:rPr>
          <w:vertAlign w:val="subscript"/>
          <w:lang w:val="en-CA" w:eastAsia="en-CA"/>
        </w:rPr>
        <w:t>2</w:t>
      </w:r>
      <w:r w:rsidR="002262FB" w:rsidRPr="00B57D06">
        <w:rPr>
          <w:lang w:val="en-CA" w:eastAsia="en-CA"/>
        </w:rPr>
        <w:t xml:space="preserve"> emissions, reduced </w:t>
      </w:r>
      <w:proofErr w:type="spellStart"/>
      <w:r w:rsidR="002262FB" w:rsidRPr="00B57D06">
        <w:rPr>
          <w:lang w:val="en-CA" w:eastAsia="en-CA"/>
        </w:rPr>
        <w:t>SO</w:t>
      </w:r>
      <w:r w:rsidR="002262FB" w:rsidRPr="00B57D06">
        <w:rPr>
          <w:vertAlign w:val="subscript"/>
          <w:lang w:val="en-CA" w:eastAsia="en-CA"/>
        </w:rPr>
        <w:t>x</w:t>
      </w:r>
      <w:proofErr w:type="spellEnd"/>
      <w:r w:rsidR="002262FB" w:rsidRPr="00B57D06">
        <w:rPr>
          <w:lang w:val="en-CA" w:eastAsia="en-CA"/>
        </w:rPr>
        <w:t xml:space="preserve">, </w:t>
      </w:r>
      <w:proofErr w:type="spellStart"/>
      <w:r w:rsidR="002262FB" w:rsidRPr="00B57D06">
        <w:rPr>
          <w:lang w:val="en-CA" w:eastAsia="en-CA"/>
        </w:rPr>
        <w:t>NO</w:t>
      </w:r>
      <w:r w:rsidR="002262FB" w:rsidRPr="00B57D06">
        <w:rPr>
          <w:vertAlign w:val="subscript"/>
          <w:lang w:val="en-CA" w:eastAsia="en-CA"/>
        </w:rPr>
        <w:t>x</w:t>
      </w:r>
      <w:proofErr w:type="spellEnd"/>
      <w:r w:rsidR="002262FB" w:rsidRPr="00B57D06">
        <w:rPr>
          <w:lang w:val="en-CA" w:eastAsia="en-CA"/>
        </w:rPr>
        <w:t>, and PM-10 emissions).</w:t>
      </w:r>
      <w:r w:rsidR="002262FB">
        <w:rPr>
          <w:rStyle w:val="FootnoteReference"/>
          <w:lang w:val="en-CA" w:eastAsia="en-CA"/>
        </w:rPr>
        <w:footnoteReference w:id="22"/>
      </w:r>
      <w:r w:rsidR="002262FB" w:rsidRPr="00B57D06">
        <w:rPr>
          <w:lang w:val="en-CA" w:eastAsia="en-CA"/>
        </w:rPr>
        <w:t xml:space="preserve"> </w:t>
      </w:r>
    </w:p>
    <w:p w14:paraId="52531497" w14:textId="665E4F22" w:rsidR="00B8703F" w:rsidRPr="00BB37A8" w:rsidRDefault="00501D2C" w:rsidP="00BB37A8">
      <w:pPr>
        <w:pStyle w:val="ListParagraph"/>
        <w:numPr>
          <w:ilvl w:val="0"/>
          <w:numId w:val="8"/>
        </w:numPr>
        <w:rPr>
          <w:lang w:val="en-CA" w:eastAsia="en-CA"/>
        </w:rPr>
      </w:pPr>
      <w:r w:rsidRPr="00BB37A8">
        <w:rPr>
          <w:lang w:val="en-CA" w:eastAsia="en-CA"/>
        </w:rPr>
        <w:lastRenderedPageBreak/>
        <w:t>DERs, including utility remuneration for DERs, the appropriate response to DERs, and the rules and technical requirements governing DER connections are also the subject of at least three ongoing Board consultations (EB-2018-0287, EB-2018-0288, and EB-2019-0207</w:t>
      </w:r>
      <w:r w:rsidR="00590C90" w:rsidRPr="00BB37A8">
        <w:rPr>
          <w:lang w:val="en-CA" w:eastAsia="en-CA"/>
        </w:rPr>
        <w:t>, respectively</w:t>
      </w:r>
      <w:r w:rsidRPr="00BB37A8">
        <w:rPr>
          <w:lang w:val="en-CA" w:eastAsia="en-CA"/>
        </w:rPr>
        <w:t>).</w:t>
      </w:r>
    </w:p>
    <w:p w14:paraId="1B09119E" w14:textId="4B47901A" w:rsidR="009F7142" w:rsidRPr="009F7142" w:rsidRDefault="00C76FA4" w:rsidP="00DA16CE">
      <w:pPr>
        <w:pStyle w:val="ListParagraph"/>
        <w:numPr>
          <w:ilvl w:val="0"/>
          <w:numId w:val="8"/>
        </w:numPr>
        <w:rPr>
          <w:lang w:eastAsia="en-CA"/>
        </w:rPr>
      </w:pPr>
      <w:r>
        <w:rPr>
          <w:lang w:eastAsia="en-CA"/>
        </w:rPr>
        <w:t>Further, t</w:t>
      </w:r>
      <w:r w:rsidR="009F7142" w:rsidRPr="009F7142">
        <w:rPr>
          <w:lang w:eastAsia="en-CA"/>
        </w:rPr>
        <w:t xml:space="preserve">he Central Toronto Area Integrated Regional Resource Plan (the </w:t>
      </w:r>
      <w:r w:rsidR="009F7142" w:rsidRPr="009F7142">
        <w:rPr>
          <w:b/>
          <w:lang w:eastAsia="en-CA"/>
        </w:rPr>
        <w:t>IRRP</w:t>
      </w:r>
      <w:r w:rsidR="009F7142" w:rsidRPr="009F7142">
        <w:rPr>
          <w:lang w:eastAsia="en-CA"/>
        </w:rPr>
        <w:t>) prepared by the IESO on behalf of the Central Toronto Area Working Group (which includes T</w:t>
      </w:r>
      <w:r w:rsidR="004200CD">
        <w:rPr>
          <w:lang w:eastAsia="en-CA"/>
        </w:rPr>
        <w:t>oronto Hydro</w:t>
      </w:r>
      <w:r w:rsidR="009F7142" w:rsidRPr="009F7142">
        <w:rPr>
          <w:lang w:eastAsia="en-CA"/>
        </w:rPr>
        <w:t xml:space="preserve">) </w:t>
      </w:r>
      <w:r>
        <w:rPr>
          <w:lang w:eastAsia="en-CA"/>
        </w:rPr>
        <w:t>identified long-term needs for electricity planning.</w:t>
      </w:r>
    </w:p>
    <w:p w14:paraId="45F5A6AD" w14:textId="3AE9DBA7" w:rsidR="009F7142" w:rsidRPr="009F7142" w:rsidRDefault="009F7142" w:rsidP="00DA16CE">
      <w:pPr>
        <w:pStyle w:val="ListParagraph"/>
        <w:numPr>
          <w:ilvl w:val="1"/>
          <w:numId w:val="8"/>
        </w:numPr>
        <w:rPr>
          <w:lang w:eastAsia="en-CA"/>
        </w:rPr>
      </w:pPr>
      <w:r w:rsidRPr="009F7142">
        <w:rPr>
          <w:lang w:eastAsia="en-CA"/>
        </w:rPr>
        <w:t>Recent trends (including policy changes supporting distributed generation) are changing the landscape for regional electricity planning. "Traditional", wire-based approaches to electricity planning may not be the best fit for all communities</w:t>
      </w:r>
      <w:r w:rsidR="004200CD">
        <w:rPr>
          <w:lang w:eastAsia="en-CA"/>
        </w:rPr>
        <w:t>.</w:t>
      </w:r>
      <w:r w:rsidR="004200CD">
        <w:rPr>
          <w:rStyle w:val="FootnoteReference"/>
          <w:lang w:eastAsia="en-CA"/>
        </w:rPr>
        <w:footnoteReference w:id="23"/>
      </w:r>
    </w:p>
    <w:p w14:paraId="7C08113D" w14:textId="488ECD85" w:rsidR="009F7142" w:rsidRPr="009F7142" w:rsidRDefault="009F7142" w:rsidP="00DA16CE">
      <w:pPr>
        <w:pStyle w:val="ListParagraph"/>
        <w:numPr>
          <w:ilvl w:val="1"/>
          <w:numId w:val="8"/>
        </w:numPr>
        <w:rPr>
          <w:lang w:eastAsia="en-CA"/>
        </w:rPr>
      </w:pPr>
      <w:r w:rsidRPr="009F7142">
        <w:rPr>
          <w:lang w:eastAsia="en-CA"/>
        </w:rPr>
        <w:t xml:space="preserve">The "community self-sufficiency" approach to regional electricity planning places emphasis on meeting community needs largely with local, distributed resources, which include, </w:t>
      </w:r>
      <w:r w:rsidRPr="009F7142">
        <w:rPr>
          <w:i/>
          <w:lang w:eastAsia="en-CA"/>
        </w:rPr>
        <w:t>inter alia</w:t>
      </w:r>
      <w:r w:rsidRPr="009F7142">
        <w:rPr>
          <w:lang w:eastAsia="en-CA"/>
        </w:rPr>
        <w:t>, demand response, distributed generation and storage, smart grid technologies, and EVs</w:t>
      </w:r>
      <w:r w:rsidR="004200CD">
        <w:rPr>
          <w:lang w:eastAsia="en-CA"/>
        </w:rPr>
        <w:t>.</w:t>
      </w:r>
      <w:r w:rsidR="004200CD">
        <w:rPr>
          <w:rStyle w:val="FootnoteReference"/>
          <w:lang w:eastAsia="en-CA"/>
        </w:rPr>
        <w:footnoteReference w:id="24"/>
      </w:r>
    </w:p>
    <w:p w14:paraId="5C8A3B8F" w14:textId="7B70FD7A" w:rsidR="009F7142" w:rsidRPr="009F7142" w:rsidRDefault="009F7142" w:rsidP="00DA16CE">
      <w:pPr>
        <w:pStyle w:val="ListParagraph"/>
        <w:numPr>
          <w:ilvl w:val="1"/>
          <w:numId w:val="8"/>
        </w:numPr>
        <w:rPr>
          <w:lang w:eastAsia="en-CA"/>
        </w:rPr>
      </w:pPr>
      <w:r w:rsidRPr="009F7142">
        <w:rPr>
          <w:lang w:eastAsia="en-CA"/>
        </w:rPr>
        <w:t xml:space="preserve">Integrated energy planning at the community level provides an opportunity for broader consideration of land-use, development and growth, infrastructure requirements, and technology solutions that include, </w:t>
      </w:r>
      <w:r w:rsidRPr="009F7142">
        <w:rPr>
          <w:i/>
          <w:lang w:eastAsia="en-CA"/>
        </w:rPr>
        <w:t>inter alia</w:t>
      </w:r>
      <w:r w:rsidRPr="009F7142">
        <w:rPr>
          <w:lang w:eastAsia="en-CA"/>
        </w:rPr>
        <w:t>, energy storage technologies, battery EV storage capabilities (especially for load intensification cluster applications), micro-grid and micro-generation capabilities</w:t>
      </w:r>
      <w:r w:rsidR="004200CD">
        <w:rPr>
          <w:lang w:eastAsia="en-CA"/>
        </w:rPr>
        <w:t>.</w:t>
      </w:r>
      <w:r w:rsidR="004200CD">
        <w:rPr>
          <w:rStyle w:val="FootnoteReference"/>
          <w:lang w:eastAsia="en-CA"/>
        </w:rPr>
        <w:footnoteReference w:id="25"/>
      </w:r>
    </w:p>
    <w:p w14:paraId="3E1BB417" w14:textId="5F053B36" w:rsidR="009F7142" w:rsidRPr="009F7142" w:rsidRDefault="009F7142" w:rsidP="00DA16CE">
      <w:pPr>
        <w:pStyle w:val="ListParagraph"/>
        <w:numPr>
          <w:ilvl w:val="1"/>
          <w:numId w:val="8"/>
        </w:numPr>
        <w:rPr>
          <w:lang w:eastAsia="en-CA"/>
        </w:rPr>
      </w:pPr>
      <w:r w:rsidRPr="009F7142">
        <w:rPr>
          <w:lang w:eastAsia="en-CA"/>
        </w:rPr>
        <w:t>There is a strong community interest in the "community self-sufficiency" approach to planning</w:t>
      </w:r>
      <w:r w:rsidR="004200CD">
        <w:rPr>
          <w:lang w:eastAsia="en-CA"/>
        </w:rPr>
        <w:t>.</w:t>
      </w:r>
      <w:r w:rsidR="004200CD">
        <w:rPr>
          <w:rStyle w:val="FootnoteReference"/>
          <w:lang w:eastAsia="en-CA"/>
        </w:rPr>
        <w:footnoteReference w:id="26"/>
      </w:r>
    </w:p>
    <w:p w14:paraId="112D25DA" w14:textId="52230CF3" w:rsidR="00E7015B" w:rsidRPr="0016097A" w:rsidRDefault="00E7015B" w:rsidP="00E7015B">
      <w:pPr>
        <w:rPr>
          <w:lang w:eastAsia="en-CA"/>
        </w:rPr>
      </w:pPr>
      <w:r>
        <w:t xml:space="preserve"> </w:t>
      </w:r>
      <w:r w:rsidR="003436A0">
        <w:rPr>
          <w:b/>
          <w:bCs/>
        </w:rPr>
        <w:t xml:space="preserve">Load Growth. </w:t>
      </w:r>
      <w:r>
        <w:rPr>
          <w:lang w:eastAsia="en-CA"/>
        </w:rPr>
        <w:t xml:space="preserve">Electric mobility related DERs are also expected to have a very significant impact on load growth over the rate period and out to 2030. In fact, Mr. </w:t>
      </w:r>
      <w:proofErr w:type="spellStart"/>
      <w:r>
        <w:rPr>
          <w:lang w:eastAsia="en-CA"/>
        </w:rPr>
        <w:t>Lyberogiannis</w:t>
      </w:r>
      <w:proofErr w:type="spellEnd"/>
      <w:r>
        <w:rPr>
          <w:lang w:eastAsia="en-CA"/>
        </w:rPr>
        <w:t xml:space="preserve"> confirmed </w:t>
      </w:r>
      <w:r>
        <w:rPr>
          <w:lang w:eastAsia="en-CA"/>
        </w:rPr>
        <w:lastRenderedPageBreak/>
        <w:t>that electrified vehicles and electrified transit are the highest categories of load growth from 2027 to 2030 in Undertaking J.4.4</w:t>
      </w:r>
      <w:r w:rsidR="00CF3651">
        <w:rPr>
          <w:lang w:eastAsia="en-CA"/>
        </w:rPr>
        <w:t>:</w:t>
      </w:r>
      <w:r>
        <w:rPr>
          <w:lang w:eastAsia="en-CA"/>
        </w:rPr>
        <w:t xml:space="preserve"> </w:t>
      </w:r>
    </w:p>
    <w:p w14:paraId="0C11CC3A" w14:textId="23E5860A" w:rsidR="00E7015B" w:rsidRPr="0016097A" w:rsidRDefault="00E7015B" w:rsidP="00E7015B">
      <w:pPr>
        <w:ind w:firstLine="567"/>
        <w:rPr>
          <w:lang w:eastAsia="en-CA"/>
        </w:rPr>
      </w:pPr>
      <w:r>
        <w:rPr>
          <w:lang w:eastAsia="en-CA"/>
        </w:rPr>
        <w:t>“</w:t>
      </w:r>
      <w:r w:rsidRPr="0016097A">
        <w:rPr>
          <w:lang w:eastAsia="en-CA"/>
        </w:rPr>
        <w:t xml:space="preserve">MS. DEMARCO: Okay. So I was going to walk you through it. Certainly these charts appear to indicate a very significant increase in </w:t>
      </w:r>
      <w:proofErr w:type="spellStart"/>
      <w:r w:rsidRPr="0016097A">
        <w:rPr>
          <w:lang w:eastAsia="en-CA"/>
        </w:rPr>
        <w:t>EVs</w:t>
      </w:r>
      <w:proofErr w:type="spellEnd"/>
      <w:r w:rsidRPr="0016097A">
        <w:rPr>
          <w:lang w:eastAsia="en-CA"/>
        </w:rPr>
        <w:t xml:space="preserve"> that are going into your load forecast over time. In fact, let's just take Rexdale. In 2041, it is one of the -- it is in fact the highest, no second-highest. It and transit are the second -- are the two highest categories of demand. Is that fair? </w:t>
      </w:r>
    </w:p>
    <w:p w14:paraId="377ABD1C" w14:textId="77777777" w:rsidR="00F235B2" w:rsidRDefault="00E7015B" w:rsidP="00E7015B">
      <w:pPr>
        <w:rPr>
          <w:lang w:eastAsia="en-CA"/>
        </w:rPr>
      </w:pPr>
      <w:r w:rsidRPr="0016097A">
        <w:rPr>
          <w:lang w:eastAsia="en-CA"/>
        </w:rPr>
        <w:t xml:space="preserve">MR. </w:t>
      </w:r>
      <w:proofErr w:type="spellStart"/>
      <w:r w:rsidRPr="0016097A">
        <w:rPr>
          <w:lang w:eastAsia="en-CA"/>
        </w:rPr>
        <w:t>LYBEROGIANNIS</w:t>
      </w:r>
      <w:proofErr w:type="spellEnd"/>
      <w:r w:rsidRPr="0016097A">
        <w:rPr>
          <w:lang w:eastAsia="en-CA"/>
        </w:rPr>
        <w:t xml:space="preserve">: What this is showing is that in 2041 on the particular bus, the BY bus, transit would be of the specific load drivers that are identified, transit would be the largest, followed by electric vehicles. MS. DEMARCO: Instead of asking you to do this on the record now, can I ask you to undertake and just confirm in that in virtually all instances, EV and transit are some of the highest categories of the demand at virtually all of the stations?  </w:t>
      </w:r>
    </w:p>
    <w:p w14:paraId="1DB7CDA4" w14:textId="5CDA22ED" w:rsidR="00B504E6" w:rsidRDefault="00E7015B" w:rsidP="00E7015B">
      <w:pPr>
        <w:rPr>
          <w:lang w:eastAsia="en-CA"/>
        </w:rPr>
      </w:pPr>
      <w:r w:rsidRPr="0016097A">
        <w:rPr>
          <w:lang w:eastAsia="en-CA"/>
        </w:rPr>
        <w:t xml:space="preserve">MR. </w:t>
      </w:r>
      <w:proofErr w:type="spellStart"/>
      <w:r w:rsidRPr="0016097A">
        <w:rPr>
          <w:lang w:eastAsia="en-CA"/>
        </w:rPr>
        <w:t>LYBEROGIANNIS</w:t>
      </w:r>
      <w:proofErr w:type="spellEnd"/>
      <w:r w:rsidRPr="0016097A">
        <w:rPr>
          <w:lang w:eastAsia="en-CA"/>
        </w:rPr>
        <w:t xml:space="preserve">: In 2041? </w:t>
      </w:r>
    </w:p>
    <w:p w14:paraId="030E7639" w14:textId="77777777" w:rsidR="00F235B2" w:rsidRDefault="00E7015B" w:rsidP="00E7015B">
      <w:pPr>
        <w:rPr>
          <w:lang w:eastAsia="en-CA"/>
        </w:rPr>
      </w:pPr>
      <w:r w:rsidRPr="0016097A">
        <w:rPr>
          <w:lang w:eastAsia="en-CA"/>
        </w:rPr>
        <w:t>MS. DEMARCO: Yes, over the course of that period.</w:t>
      </w:r>
    </w:p>
    <w:p w14:paraId="21D4911B" w14:textId="2765AF9A" w:rsidR="00E7015B" w:rsidRDefault="00E7015B" w:rsidP="00E7015B">
      <w:pPr>
        <w:rPr>
          <w:lang w:eastAsia="en-CA"/>
        </w:rPr>
      </w:pPr>
      <w:r w:rsidRPr="0016097A">
        <w:rPr>
          <w:lang w:eastAsia="en-CA"/>
        </w:rPr>
        <w:t xml:space="preserve">MR. </w:t>
      </w:r>
      <w:proofErr w:type="spellStart"/>
      <w:r w:rsidRPr="0016097A">
        <w:rPr>
          <w:lang w:eastAsia="en-CA"/>
        </w:rPr>
        <w:t>LYBEROGIANNIS</w:t>
      </w:r>
      <w:proofErr w:type="spellEnd"/>
      <w:r w:rsidRPr="0016097A">
        <w:rPr>
          <w:lang w:eastAsia="en-CA"/>
        </w:rPr>
        <w:t>: I can review it and provide you a response to that.MS. DEMARCO: Thank you. Those are my questions.</w:t>
      </w:r>
    </w:p>
    <w:p w14:paraId="1FD240A2" w14:textId="6A9E036E" w:rsidR="00E7015B" w:rsidRPr="0016097A" w:rsidRDefault="00E7015B" w:rsidP="00E7015B">
      <w:pPr>
        <w:rPr>
          <w:lang w:eastAsia="en-CA"/>
        </w:rPr>
      </w:pPr>
      <w:r w:rsidRPr="0016097A">
        <w:rPr>
          <w:lang w:eastAsia="en-CA"/>
        </w:rPr>
        <w:t>MR. MILLAR: So that will be J4.4.</w:t>
      </w:r>
      <w:r>
        <w:rPr>
          <w:lang w:eastAsia="en-CA"/>
        </w:rPr>
        <w:t>”</w:t>
      </w:r>
      <w:r>
        <w:rPr>
          <w:rStyle w:val="FootnoteReference"/>
          <w:lang w:eastAsia="en-CA"/>
        </w:rPr>
        <w:footnoteReference w:id="27"/>
      </w:r>
    </w:p>
    <w:p w14:paraId="60065B4B" w14:textId="77777777" w:rsidR="00E7015B" w:rsidRPr="0016097A" w:rsidRDefault="00E7015B" w:rsidP="00E7015B">
      <w:pPr>
        <w:rPr>
          <w:lang w:eastAsia="en-CA"/>
        </w:rPr>
      </w:pPr>
      <w:r w:rsidRPr="0016097A">
        <w:rPr>
          <w:lang w:eastAsia="en-CA"/>
        </w:rPr>
        <w:t>UNDERTAKING NO. J4.4</w:t>
      </w:r>
      <w:r>
        <w:rPr>
          <w:lang w:eastAsia="en-CA"/>
        </w:rPr>
        <w:t xml:space="preserve"> provides that</w:t>
      </w:r>
      <w:r w:rsidRPr="0016097A">
        <w:rPr>
          <w:lang w:eastAsia="en-CA"/>
        </w:rPr>
        <w:t>:</w:t>
      </w:r>
    </w:p>
    <w:p w14:paraId="19738755" w14:textId="77777777" w:rsidR="00621D6A" w:rsidRDefault="00E7015B" w:rsidP="00E7015B">
      <w:pPr>
        <w:rPr>
          <w:lang w:eastAsia="en-CA"/>
        </w:rPr>
      </w:pPr>
      <w:r w:rsidRPr="0016097A">
        <w:rPr>
          <w:lang w:eastAsia="en-CA"/>
        </w:rPr>
        <w:lastRenderedPageBreak/>
        <w:t xml:space="preserve">Reference(s): Exhibit No. K3.4, Pages 310-349, JTC4.24, Appendix A.  To undertake and confirm in that in virtually all instances, EV and transit are some of the highest categories of the demand at virtually all of the stations </w:t>
      </w:r>
    </w:p>
    <w:p w14:paraId="057A5CB9" w14:textId="233A9504" w:rsidR="00E7015B" w:rsidRDefault="00E7015B" w:rsidP="00E7015B">
      <w:pPr>
        <w:rPr>
          <w:lang w:eastAsia="en-CA"/>
        </w:rPr>
      </w:pPr>
      <w:r w:rsidRPr="0016097A">
        <w:rPr>
          <w:lang w:eastAsia="en-CA"/>
        </w:rPr>
        <w:t>RESPONSE: From 2027 to 2030, the EV category or Transit category are the largest contributors</w:t>
      </w:r>
      <w:r>
        <w:rPr>
          <w:lang w:eastAsia="en-CA"/>
        </w:rPr>
        <w:t>.</w:t>
      </w:r>
    </w:p>
    <w:p w14:paraId="3028A453" w14:textId="6477E00B" w:rsidR="000C4344" w:rsidRPr="00B504E6" w:rsidRDefault="00E7015B" w:rsidP="00B504E6">
      <w:r>
        <w:t xml:space="preserve">Further Mr. </w:t>
      </w:r>
      <w:proofErr w:type="spellStart"/>
      <w:r>
        <w:t>Lyberogiannis</w:t>
      </w:r>
      <w:proofErr w:type="spellEnd"/>
      <w:r>
        <w:t xml:space="preserve"> also confirmed that those elements of load growth do not simply start in 2027, they simply were not broken down until then</w:t>
      </w:r>
      <w:r w:rsidR="00CF3651">
        <w:t>.</w:t>
      </w:r>
      <w:r>
        <w:rPr>
          <w:rStyle w:val="FootnoteReference"/>
        </w:rPr>
        <w:footnoteReference w:id="28"/>
      </w:r>
      <w:r w:rsidR="009F7142" w:rsidRPr="00B504E6">
        <w:rPr>
          <w:lang w:eastAsia="en-CA"/>
        </w:rPr>
        <w:t xml:space="preserve"> </w:t>
      </w:r>
    </w:p>
    <w:p w14:paraId="1A0F3A4D" w14:textId="20EE336A" w:rsidR="006D18A1" w:rsidRDefault="00F2281E" w:rsidP="006D18A1">
      <w:pPr>
        <w:pStyle w:val="Heading3"/>
        <w:rPr>
          <w:lang w:eastAsia="en-CA"/>
        </w:rPr>
      </w:pPr>
      <w:r>
        <w:rPr>
          <w:lang w:eastAsia="en-CA"/>
        </w:rPr>
        <w:t>CUTRIC Evidence</w:t>
      </w:r>
      <w:r w:rsidR="006D18A1" w:rsidRPr="006D18A1">
        <w:rPr>
          <w:lang w:eastAsia="en-CA"/>
        </w:rPr>
        <w:t>: key findings and recommendations</w:t>
      </w:r>
    </w:p>
    <w:p w14:paraId="2A20B6DF" w14:textId="441458F6" w:rsidR="00F63C8E" w:rsidRDefault="00F63C8E" w:rsidP="00DA16CE">
      <w:pPr>
        <w:pStyle w:val="ListParagraph"/>
        <w:numPr>
          <w:ilvl w:val="0"/>
          <w:numId w:val="8"/>
        </w:numPr>
        <w:rPr>
          <w:lang w:eastAsia="en-CA"/>
        </w:rPr>
      </w:pPr>
      <w:r>
        <w:rPr>
          <w:lang w:eastAsia="en-CA"/>
        </w:rPr>
        <w:t xml:space="preserve">DRC commissioned expert evidence prepared by Dr. Josipa Petrunic, Executive Director and CEO of the </w:t>
      </w:r>
      <w:r w:rsidRPr="007A0908">
        <w:rPr>
          <w:lang w:eastAsia="en-CA"/>
        </w:rPr>
        <w:t>Canadian Urban Transit Research &amp; Innovation Consortium</w:t>
      </w:r>
      <w:r>
        <w:rPr>
          <w:lang w:eastAsia="en-CA"/>
        </w:rPr>
        <w:t xml:space="preserve"> (</w:t>
      </w:r>
      <w:r>
        <w:rPr>
          <w:b/>
          <w:lang w:eastAsia="en-CA"/>
        </w:rPr>
        <w:t>CUTRIC</w:t>
      </w:r>
      <w:r>
        <w:rPr>
          <w:lang w:eastAsia="en-CA"/>
        </w:rPr>
        <w:t xml:space="preserve">), to assist the Board in this proceeding. Dr. Petrunic’s report titled “Electrified Transportation Systems in the Context of Utility Planning: Light-Duty and Heavy-Duty Applications” was filed on March 20, 2019 as Exhibit M2 (the </w:t>
      </w:r>
      <w:r>
        <w:rPr>
          <w:b/>
          <w:lang w:eastAsia="en-CA"/>
        </w:rPr>
        <w:t>CUTRIC Evidence</w:t>
      </w:r>
      <w:r>
        <w:rPr>
          <w:lang w:eastAsia="en-CA"/>
        </w:rPr>
        <w:t xml:space="preserve">). DRC commissioned the CUTRIC Evidence in order to facilitate consideration of </w:t>
      </w:r>
      <w:proofErr w:type="spellStart"/>
      <w:r>
        <w:rPr>
          <w:lang w:eastAsia="en-CA"/>
        </w:rPr>
        <w:t>EVs</w:t>
      </w:r>
      <w:proofErr w:type="spellEnd"/>
      <w:r>
        <w:rPr>
          <w:lang w:eastAsia="en-CA"/>
        </w:rPr>
        <w:t xml:space="preserve"> and related DERs as valid investments to assist in ensuring distribution system efficiency and reliability. DRC received and responded to interrogatories on the expert evidence and Dr. Petrunic </w:t>
      </w:r>
      <w:r w:rsidRPr="00D85428">
        <w:rPr>
          <w:lang w:eastAsia="en-CA"/>
        </w:rPr>
        <w:t>was qualified as an expert witness and made available for direct and cross</w:t>
      </w:r>
      <w:r>
        <w:rPr>
          <w:lang w:eastAsia="en-CA"/>
        </w:rPr>
        <w:t xml:space="preserve"> </w:t>
      </w:r>
      <w:r w:rsidRPr="00D85428">
        <w:rPr>
          <w:lang w:eastAsia="en-CA"/>
        </w:rPr>
        <w:t>examination during the oral hearing phase of the proceeding on July 16, 2019.</w:t>
      </w:r>
      <w:r>
        <w:rPr>
          <w:lang w:eastAsia="en-CA"/>
        </w:rPr>
        <w:t xml:space="preserve">  We ask that the Board afford full weight to Dr.Petrunic’s evidence given the depth and breadth or her recognized expertise, experience, and publications.  This request is supported by the demonstrated independence of both Dr. Petrunic and CUTRIC, which has an extremely and </w:t>
      </w:r>
      <w:r>
        <w:rPr>
          <w:lang w:eastAsia="en-CA"/>
        </w:rPr>
        <w:lastRenderedPageBreak/>
        <w:t>intentionally broad and representative membership and a governance regime that is designed to ensure objectivity in its detailed research and analysis.</w:t>
      </w:r>
    </w:p>
    <w:p w14:paraId="678270F8" w14:textId="4715CB2F" w:rsidR="00F2281E" w:rsidRDefault="00F2281E" w:rsidP="00DA16CE">
      <w:pPr>
        <w:pStyle w:val="ListParagraph"/>
        <w:numPr>
          <w:ilvl w:val="0"/>
          <w:numId w:val="8"/>
        </w:numPr>
        <w:rPr>
          <w:lang w:eastAsia="en-CA"/>
        </w:rPr>
      </w:pPr>
      <w:r w:rsidRPr="00F2281E">
        <w:rPr>
          <w:lang w:eastAsia="en-CA"/>
        </w:rPr>
        <w:t xml:space="preserve">The CUTRIC </w:t>
      </w:r>
      <w:r>
        <w:rPr>
          <w:lang w:eastAsia="en-CA"/>
        </w:rPr>
        <w:t>E</w:t>
      </w:r>
      <w:r w:rsidRPr="00F2281E">
        <w:rPr>
          <w:lang w:eastAsia="en-CA"/>
        </w:rPr>
        <w:t xml:space="preserve">vidence examines the customer efficiencies that may be effected through progressive integration of </w:t>
      </w:r>
      <w:proofErr w:type="spellStart"/>
      <w:r w:rsidRPr="00F2281E">
        <w:rPr>
          <w:lang w:eastAsia="en-CA"/>
        </w:rPr>
        <w:t>EVs</w:t>
      </w:r>
      <w:proofErr w:type="spellEnd"/>
      <w:r w:rsidRPr="00F2281E">
        <w:rPr>
          <w:lang w:eastAsia="en-CA"/>
        </w:rPr>
        <w:t xml:space="preserve"> (including </w:t>
      </w:r>
      <w:r>
        <w:rPr>
          <w:lang w:eastAsia="en-CA"/>
        </w:rPr>
        <w:t>battery electric buse</w:t>
      </w:r>
      <w:r w:rsidRPr="00F2281E">
        <w:rPr>
          <w:lang w:eastAsia="en-CA"/>
        </w:rPr>
        <w:t>s</w:t>
      </w:r>
      <w:r>
        <w:rPr>
          <w:lang w:eastAsia="en-CA"/>
        </w:rPr>
        <w:t xml:space="preserve"> (</w:t>
      </w:r>
      <w:r>
        <w:rPr>
          <w:b/>
          <w:lang w:eastAsia="en-CA"/>
        </w:rPr>
        <w:t>BEBs</w:t>
      </w:r>
      <w:r>
        <w:rPr>
          <w:lang w:eastAsia="en-CA"/>
        </w:rPr>
        <w:t>)</w:t>
      </w:r>
      <w:r w:rsidRPr="00F2281E">
        <w:rPr>
          <w:lang w:eastAsia="en-CA"/>
        </w:rPr>
        <w:t xml:space="preserve">) and related </w:t>
      </w:r>
      <w:r>
        <w:rPr>
          <w:lang w:eastAsia="en-CA"/>
        </w:rPr>
        <w:t>DERs</w:t>
      </w:r>
      <w:r w:rsidRPr="00F2281E">
        <w:rPr>
          <w:lang w:eastAsia="en-CA"/>
        </w:rPr>
        <w:t xml:space="preserve"> into electricity distribution systems. </w:t>
      </w:r>
      <w:r>
        <w:rPr>
          <w:lang w:eastAsia="en-CA"/>
        </w:rPr>
        <w:t>CUTRIC</w:t>
      </w:r>
      <w:r w:rsidRPr="00F2281E">
        <w:rPr>
          <w:lang w:eastAsia="en-CA"/>
        </w:rPr>
        <w:t xml:space="preserve"> </w:t>
      </w:r>
      <w:proofErr w:type="spellStart"/>
      <w:r w:rsidRPr="00F2281E">
        <w:rPr>
          <w:lang w:eastAsia="en-CA"/>
        </w:rPr>
        <w:t>model</w:t>
      </w:r>
      <w:r>
        <w:rPr>
          <w:lang w:eastAsia="en-CA"/>
        </w:rPr>
        <w:t>led</w:t>
      </w:r>
      <w:proofErr w:type="spellEnd"/>
      <w:r w:rsidRPr="00F2281E">
        <w:rPr>
          <w:lang w:eastAsia="en-CA"/>
        </w:rPr>
        <w:t xml:space="preserve"> and examine</w:t>
      </w:r>
      <w:r>
        <w:rPr>
          <w:lang w:eastAsia="en-CA"/>
        </w:rPr>
        <w:t>d</w:t>
      </w:r>
      <w:r w:rsidRPr="00F2281E">
        <w:rPr>
          <w:lang w:eastAsia="en-CA"/>
        </w:rPr>
        <w:t xml:space="preserve"> case studies considering </w:t>
      </w:r>
      <w:proofErr w:type="spellStart"/>
      <w:r w:rsidRPr="00F2281E">
        <w:rPr>
          <w:lang w:eastAsia="en-CA"/>
        </w:rPr>
        <w:t>EVs</w:t>
      </w:r>
      <w:proofErr w:type="spellEnd"/>
      <w:r w:rsidRPr="00F2281E">
        <w:rPr>
          <w:lang w:eastAsia="en-CA"/>
        </w:rPr>
        <w:t>, charging infrastructure, BEBs, and potential EV-related energy storage</w:t>
      </w:r>
      <w:r>
        <w:rPr>
          <w:lang w:eastAsia="en-CA"/>
        </w:rPr>
        <w:t xml:space="preserve"> and </w:t>
      </w:r>
      <w:r w:rsidRPr="00F2281E">
        <w:rPr>
          <w:lang w:eastAsia="en-CA"/>
        </w:rPr>
        <w:t>conclude</w:t>
      </w:r>
      <w:r>
        <w:rPr>
          <w:lang w:eastAsia="en-CA"/>
        </w:rPr>
        <w:t>d</w:t>
      </w:r>
      <w:r w:rsidRPr="00F2281E">
        <w:rPr>
          <w:lang w:eastAsia="en-CA"/>
        </w:rPr>
        <w:t xml:space="preserve"> that there are a number of distribution and other customer efficiencies that are likely to result from </w:t>
      </w:r>
      <w:proofErr w:type="spellStart"/>
      <w:r w:rsidRPr="00F2281E">
        <w:rPr>
          <w:lang w:eastAsia="en-CA"/>
        </w:rPr>
        <w:t>EVs</w:t>
      </w:r>
      <w:proofErr w:type="spellEnd"/>
      <w:r w:rsidRPr="00F2281E">
        <w:rPr>
          <w:lang w:eastAsia="en-CA"/>
        </w:rPr>
        <w:t xml:space="preserve"> and EV-related DERs during the five year 2020</w:t>
      </w:r>
      <w:r>
        <w:rPr>
          <w:lang w:eastAsia="en-CA"/>
        </w:rPr>
        <w:t xml:space="preserve"> to </w:t>
      </w:r>
      <w:r w:rsidRPr="00F2281E">
        <w:rPr>
          <w:lang w:eastAsia="en-CA"/>
        </w:rPr>
        <w:t xml:space="preserve">2024 rate period that is the subject of the proceeding. </w:t>
      </w:r>
    </w:p>
    <w:p w14:paraId="1B0A47AF" w14:textId="2ADD2FB9" w:rsidR="00F2281E" w:rsidRPr="00F2281E" w:rsidRDefault="00F2281E" w:rsidP="00DA16CE">
      <w:pPr>
        <w:pStyle w:val="ListParagraph"/>
        <w:numPr>
          <w:ilvl w:val="0"/>
          <w:numId w:val="8"/>
        </w:numPr>
        <w:rPr>
          <w:lang w:eastAsia="en-CA"/>
        </w:rPr>
      </w:pPr>
      <w:r>
        <w:rPr>
          <w:lang w:eastAsia="en-CA"/>
        </w:rPr>
        <w:t>CUTRIC also noted that</w:t>
      </w:r>
      <w:r w:rsidRPr="00F2281E">
        <w:rPr>
          <w:lang w:eastAsia="en-CA"/>
        </w:rPr>
        <w:t xml:space="preserve"> the integration of </w:t>
      </w:r>
      <w:proofErr w:type="spellStart"/>
      <w:r w:rsidRPr="00F2281E">
        <w:rPr>
          <w:lang w:eastAsia="en-CA"/>
        </w:rPr>
        <w:t>EVs</w:t>
      </w:r>
      <w:proofErr w:type="spellEnd"/>
      <w:r w:rsidRPr="00F2281E">
        <w:rPr>
          <w:lang w:eastAsia="en-CA"/>
        </w:rPr>
        <w:t xml:space="preserve"> and related DERs may reasonably assist in: optimizing the distribution network and facilitating reliability; helping Toronto Hydro achieve OM&amp;A savings; and the development of new EV and BEB rates and tariffs that may contribute to revenues. </w:t>
      </w:r>
    </w:p>
    <w:p w14:paraId="47C18422" w14:textId="77777777" w:rsidR="00F2281E" w:rsidRDefault="00F2281E" w:rsidP="00DA16CE">
      <w:pPr>
        <w:pStyle w:val="ListParagraph"/>
        <w:numPr>
          <w:ilvl w:val="0"/>
          <w:numId w:val="8"/>
        </w:numPr>
        <w:rPr>
          <w:lang w:val="en-CA" w:eastAsia="en-CA"/>
        </w:rPr>
      </w:pPr>
      <w:r w:rsidRPr="00F2281E">
        <w:rPr>
          <w:lang w:val="en-CA" w:eastAsia="en-CA"/>
        </w:rPr>
        <w:t xml:space="preserve">In summary, </w:t>
      </w:r>
      <w:r>
        <w:rPr>
          <w:lang w:val="en-CA" w:eastAsia="en-CA"/>
        </w:rPr>
        <w:t>the CUTRIC Evidence recommends that,</w:t>
      </w:r>
      <w:r w:rsidRPr="00F2281E">
        <w:rPr>
          <w:lang w:val="en-CA" w:eastAsia="en-CA"/>
        </w:rPr>
        <w:t xml:space="preserve"> in light of the overall customer efficiencies and general trends in EV integration, the Board</w:t>
      </w:r>
      <w:r>
        <w:rPr>
          <w:lang w:val="en-CA" w:eastAsia="en-CA"/>
        </w:rPr>
        <w:t xml:space="preserve"> should</w:t>
      </w:r>
      <w:r w:rsidRPr="00F2281E">
        <w:rPr>
          <w:lang w:val="en-CA" w:eastAsia="en-CA"/>
        </w:rPr>
        <w:t xml:space="preserve"> allow distributors including Toronto Hydro to actively consider cost effective EV, and EV-related DER strategic initiatives as a valid Distribution System Plan (</w:t>
      </w:r>
      <w:r w:rsidRPr="00F2281E">
        <w:rPr>
          <w:b/>
          <w:lang w:val="en-CA" w:eastAsia="en-CA"/>
        </w:rPr>
        <w:t>DSP</w:t>
      </w:r>
      <w:r w:rsidRPr="00F2281E">
        <w:rPr>
          <w:lang w:val="en-CA" w:eastAsia="en-CA"/>
        </w:rPr>
        <w:t>) investments to enhance distribution efficiency and customer savings during the 2020</w:t>
      </w:r>
      <w:r>
        <w:rPr>
          <w:lang w:val="en-CA" w:eastAsia="en-CA"/>
        </w:rPr>
        <w:t xml:space="preserve"> to </w:t>
      </w:r>
      <w:r w:rsidRPr="00F2281E">
        <w:rPr>
          <w:lang w:val="en-CA" w:eastAsia="en-CA"/>
        </w:rPr>
        <w:t xml:space="preserve">2024 period. </w:t>
      </w:r>
    </w:p>
    <w:p w14:paraId="05485A1D" w14:textId="77777777" w:rsidR="00F2281E" w:rsidRDefault="00F2281E" w:rsidP="00DA16CE">
      <w:pPr>
        <w:pStyle w:val="ListParagraph"/>
        <w:numPr>
          <w:ilvl w:val="0"/>
          <w:numId w:val="8"/>
        </w:numPr>
        <w:rPr>
          <w:lang w:val="en-CA" w:eastAsia="en-CA"/>
        </w:rPr>
      </w:pPr>
      <w:r w:rsidRPr="00F2281E">
        <w:rPr>
          <w:lang w:val="en-CA" w:eastAsia="en-CA"/>
        </w:rPr>
        <w:t xml:space="preserve">The CUTRIC </w:t>
      </w:r>
      <w:r>
        <w:rPr>
          <w:lang w:val="en-CA" w:eastAsia="en-CA"/>
        </w:rPr>
        <w:t>E</w:t>
      </w:r>
      <w:r w:rsidRPr="00F2281E">
        <w:rPr>
          <w:lang w:val="en-CA" w:eastAsia="en-CA"/>
        </w:rPr>
        <w:t>vidence takes no position on the ownership structure or investment model.</w:t>
      </w:r>
      <w:r>
        <w:rPr>
          <w:lang w:val="en-CA" w:eastAsia="en-CA"/>
        </w:rPr>
        <w:t xml:space="preserve"> It </w:t>
      </w:r>
      <w:r w:rsidRPr="00F2281E">
        <w:rPr>
          <w:lang w:val="en-CA" w:eastAsia="en-CA"/>
        </w:rPr>
        <w:t>highlights the distribution and other customer efficiencies that are likely to result from known and anticipated EV and EV DER initiatives.</w:t>
      </w:r>
      <w:r>
        <w:rPr>
          <w:lang w:val="en-CA" w:eastAsia="en-CA"/>
        </w:rPr>
        <w:t xml:space="preserve"> The CUTRIC Evidence also</w:t>
      </w:r>
      <w:r w:rsidRPr="00F2281E">
        <w:rPr>
          <w:lang w:val="en-CA" w:eastAsia="en-CA"/>
        </w:rPr>
        <w:t xml:space="preserve"> takes no position on whether Toronto Hydro </w:t>
      </w:r>
      <w:r w:rsidRPr="00F2281E">
        <w:rPr>
          <w:i/>
          <w:lang w:val="en-CA" w:eastAsia="en-CA"/>
        </w:rPr>
        <w:t>should</w:t>
      </w:r>
      <w:r w:rsidRPr="00F2281E">
        <w:rPr>
          <w:lang w:val="en-CA" w:eastAsia="en-CA"/>
        </w:rPr>
        <w:t xml:space="preserve"> include capital and OM&amp;A costs of EV charging infrastructure in its 2020-2024 revenue requirement to be funded by ratepayers. </w:t>
      </w:r>
    </w:p>
    <w:p w14:paraId="58FA3FB5" w14:textId="6580CD9D" w:rsidR="006D18A1" w:rsidRDefault="00F2281E" w:rsidP="00DA16CE">
      <w:pPr>
        <w:pStyle w:val="ListParagraph"/>
        <w:numPr>
          <w:ilvl w:val="0"/>
          <w:numId w:val="8"/>
        </w:numPr>
        <w:rPr>
          <w:lang w:val="en-CA" w:eastAsia="en-CA"/>
        </w:rPr>
      </w:pPr>
      <w:r>
        <w:rPr>
          <w:lang w:val="en-CA" w:eastAsia="en-CA"/>
        </w:rPr>
        <w:t xml:space="preserve">The </w:t>
      </w:r>
      <w:r w:rsidRPr="00F2281E">
        <w:rPr>
          <w:lang w:val="en-CA" w:eastAsia="en-CA"/>
        </w:rPr>
        <w:t>CUTRIC</w:t>
      </w:r>
      <w:r>
        <w:rPr>
          <w:lang w:val="en-CA" w:eastAsia="en-CA"/>
        </w:rPr>
        <w:t xml:space="preserve"> Evidence </w:t>
      </w:r>
      <w:r w:rsidRPr="00F2281E">
        <w:rPr>
          <w:lang w:val="en-CA" w:eastAsia="en-CA"/>
        </w:rPr>
        <w:t xml:space="preserve">does, however, support the view that Toronto Hydro </w:t>
      </w:r>
      <w:r w:rsidRPr="00F2281E">
        <w:rPr>
          <w:i/>
          <w:lang w:val="en-CA" w:eastAsia="en-CA"/>
        </w:rPr>
        <w:t>should</w:t>
      </w:r>
      <w:r w:rsidRPr="00F2281E">
        <w:rPr>
          <w:lang w:val="en-CA" w:eastAsia="en-CA"/>
        </w:rPr>
        <w:t xml:space="preserve"> </w:t>
      </w:r>
      <w:r w:rsidRPr="00F2281E">
        <w:rPr>
          <w:i/>
          <w:lang w:val="en-CA" w:eastAsia="en-CA"/>
        </w:rPr>
        <w:t xml:space="preserve">not be precluded from </w:t>
      </w:r>
      <w:r w:rsidRPr="00F2281E">
        <w:rPr>
          <w:lang w:val="en-CA" w:eastAsia="en-CA"/>
        </w:rPr>
        <w:t>including, cost effective and efficient capital and OM&amp;A costs of EV charging infrastructure in its 2020</w:t>
      </w:r>
      <w:r>
        <w:rPr>
          <w:lang w:val="en-CA" w:eastAsia="en-CA"/>
        </w:rPr>
        <w:t xml:space="preserve"> to </w:t>
      </w:r>
      <w:r w:rsidRPr="00F2281E">
        <w:rPr>
          <w:lang w:val="en-CA" w:eastAsia="en-CA"/>
        </w:rPr>
        <w:t xml:space="preserve">2024 revenue requirement. The Board may wish to clarify same and direct Toronto Hydro to report on its integration of </w:t>
      </w:r>
      <w:proofErr w:type="spellStart"/>
      <w:r w:rsidRPr="00F2281E">
        <w:rPr>
          <w:lang w:val="en-CA" w:eastAsia="en-CA"/>
        </w:rPr>
        <w:t>EVs</w:t>
      </w:r>
      <w:proofErr w:type="spellEnd"/>
      <w:r w:rsidRPr="00F2281E">
        <w:rPr>
          <w:lang w:val="en-CA" w:eastAsia="en-CA"/>
        </w:rPr>
        <w:t xml:space="preserve"> and EV DERs into the distribution system and the DSP, its EV customer specific </w:t>
      </w:r>
      <w:r w:rsidRPr="00F2281E">
        <w:rPr>
          <w:lang w:val="en-CA" w:eastAsia="en-CA"/>
        </w:rPr>
        <w:lastRenderedPageBreak/>
        <w:t xml:space="preserve">stakeholder consultations, and the outcome of any EV and EV-related DER initiatives as part of the Board’s annual reviews and/or Toronto Hydro’s 2025 rebasing. </w:t>
      </w:r>
      <w:r>
        <w:rPr>
          <w:lang w:val="en-CA" w:eastAsia="en-CA"/>
        </w:rPr>
        <w:t>The CUTRIC Evidence supports DRC’s submission that</w:t>
      </w:r>
      <w:r w:rsidRPr="00F2281E">
        <w:rPr>
          <w:lang w:val="en-CA" w:eastAsia="en-CA"/>
        </w:rPr>
        <w:t xml:space="preserve"> failure to reasonably address current and projected EV and EV-related DER realities may result in inefficiencies, distribution system gaps, and potentially stranded assets</w:t>
      </w:r>
      <w:r>
        <w:rPr>
          <w:lang w:val="en-CA" w:eastAsia="en-CA"/>
        </w:rPr>
        <w:t>.</w:t>
      </w:r>
    </w:p>
    <w:p w14:paraId="63A6AC9A" w14:textId="668CE31D" w:rsidR="00E7015B" w:rsidRPr="00E7015B" w:rsidRDefault="00E7015B" w:rsidP="00E7015B">
      <w:pPr>
        <w:rPr>
          <w:lang w:eastAsia="en-CA"/>
        </w:rPr>
      </w:pPr>
      <w:r>
        <w:rPr>
          <w:lang w:eastAsia="en-CA"/>
        </w:rPr>
        <w:t>In summary on this point, DERs currently are having and will continue to have a significant impact on virtually all material rate parameters. The changing DER context shared therefore, be actively considered by the Board in setting just and reasonable rates for Toronto Hydro.</w:t>
      </w:r>
    </w:p>
    <w:p w14:paraId="4804B5B4" w14:textId="68B9E0A5" w:rsidR="00B73414" w:rsidRPr="006D18A1" w:rsidRDefault="008324CB" w:rsidP="00D9358B">
      <w:pPr>
        <w:pStyle w:val="Heading2"/>
        <w:rPr>
          <w:lang w:eastAsia="en-CA"/>
        </w:rPr>
      </w:pPr>
      <w:r>
        <w:rPr>
          <w:lang w:eastAsia="en-CA"/>
        </w:rPr>
        <w:t xml:space="preserve">Potential </w:t>
      </w:r>
      <w:r w:rsidR="007305AB">
        <w:rPr>
          <w:lang w:eastAsia="en-CA"/>
        </w:rPr>
        <w:t>DER related load growth and productivity enhancements</w:t>
      </w:r>
    </w:p>
    <w:p w14:paraId="47218F0C" w14:textId="37694BAC" w:rsidR="00E3576D" w:rsidRPr="003C199B" w:rsidRDefault="00BE5130" w:rsidP="00DA16CE">
      <w:pPr>
        <w:pStyle w:val="ListParagraph"/>
        <w:numPr>
          <w:ilvl w:val="0"/>
          <w:numId w:val="8"/>
        </w:numPr>
        <w:rPr>
          <w:lang w:val="en-CA" w:eastAsia="en-CA"/>
        </w:rPr>
      </w:pPr>
      <w:r>
        <w:rPr>
          <w:lang w:val="en-CA" w:eastAsia="en-CA"/>
        </w:rPr>
        <w:t>While the Toronto Hydro evidence references DERs, it does not expressively quantify the potential of its DER capital investments to enhance both load growth and productivity</w:t>
      </w:r>
      <w:r w:rsidR="00E3576D" w:rsidRPr="003C199B">
        <w:rPr>
          <w:lang w:val="en-CA" w:eastAsia="en-CA"/>
        </w:rPr>
        <w:t xml:space="preserve">. </w:t>
      </w:r>
      <w:r w:rsidR="00F52E04">
        <w:rPr>
          <w:lang w:val="en-CA" w:eastAsia="en-CA"/>
        </w:rPr>
        <w:t>Toronto Hydro recognize</w:t>
      </w:r>
      <w:r>
        <w:rPr>
          <w:lang w:val="en-CA" w:eastAsia="en-CA"/>
        </w:rPr>
        <w:t>s</w:t>
      </w:r>
      <w:r w:rsidR="00F52E04">
        <w:rPr>
          <w:lang w:val="en-CA" w:eastAsia="en-CA"/>
        </w:rPr>
        <w:t xml:space="preserve"> its</w:t>
      </w:r>
      <w:r>
        <w:rPr>
          <w:lang w:val="en-CA" w:eastAsia="en-CA"/>
        </w:rPr>
        <w:t xml:space="preserve"> role in its service territory a</w:t>
      </w:r>
      <w:r w:rsidR="00F52E04">
        <w:rPr>
          <w:lang w:val="en-CA" w:eastAsia="en-CA"/>
        </w:rPr>
        <w:t>s evolving as new</w:t>
      </w:r>
      <w:r>
        <w:rPr>
          <w:lang w:val="en-CA" w:eastAsia="en-CA"/>
        </w:rPr>
        <w:t xml:space="preserve"> DER technologies emerge, and</w:t>
      </w:r>
      <w:r w:rsidR="00E3576D" w:rsidRPr="003C199B">
        <w:rPr>
          <w:lang w:eastAsia="en-CA"/>
        </w:rPr>
        <w:t xml:space="preserve"> are changing Toronto Hydro’s traditional supply and demand parameters.</w:t>
      </w:r>
      <w:r w:rsidR="00E3576D" w:rsidRPr="003C199B">
        <w:rPr>
          <w:vertAlign w:val="superscript"/>
          <w:lang w:eastAsia="en-CA"/>
        </w:rPr>
        <w:footnoteReference w:id="29"/>
      </w:r>
      <w:r w:rsidR="00E3576D" w:rsidRPr="003C199B">
        <w:rPr>
          <w:lang w:eastAsia="en-CA"/>
        </w:rPr>
        <w:t xml:space="preserve"> Toronto Hydro states: </w:t>
      </w:r>
    </w:p>
    <w:p w14:paraId="6D798963" w14:textId="77777777" w:rsidR="00E3576D" w:rsidRPr="00E3576D" w:rsidRDefault="00E3576D" w:rsidP="00E3576D">
      <w:pPr>
        <w:pStyle w:val="Quotations"/>
      </w:pPr>
      <w:r w:rsidRPr="00E45079">
        <w:t xml:space="preserve">Technology and innovation are driving a more dynamic system that is </w:t>
      </w:r>
      <w:r w:rsidRPr="00E3576D">
        <w:t xml:space="preserve">transitioning away from usual patterns of supply and demand towards more complex interactions and inputs in electricity generated and consumed. The role of the utility continues to evolve to support the new smart grid ecosystem, comprising renewable and other distributed energy resources, </w:t>
      </w:r>
      <w:proofErr w:type="spellStart"/>
      <w:r w:rsidRPr="00E3576D">
        <w:t>microgrids</w:t>
      </w:r>
      <w:proofErr w:type="spellEnd"/>
      <w:r w:rsidRPr="00E3576D">
        <w:t>, electric vehicles, and growing interest in energy storage for power quality, off-peak storage, and grid resilience.</w:t>
      </w:r>
      <w:r w:rsidRPr="00E3576D">
        <w:rPr>
          <w:vertAlign w:val="superscript"/>
        </w:rPr>
        <w:footnoteReference w:id="30"/>
      </w:r>
    </w:p>
    <w:p w14:paraId="46843112" w14:textId="7F7EB309" w:rsidR="005332A3" w:rsidRDefault="005332A3" w:rsidP="00DA16CE">
      <w:pPr>
        <w:pStyle w:val="ListParagraph"/>
        <w:numPr>
          <w:ilvl w:val="0"/>
          <w:numId w:val="8"/>
        </w:numPr>
        <w:rPr>
          <w:lang w:eastAsia="en-CA"/>
        </w:rPr>
      </w:pPr>
      <w:r w:rsidRPr="00E3576D">
        <w:rPr>
          <w:lang w:val="en-CA" w:eastAsia="en-CA"/>
        </w:rPr>
        <w:t>Toronto Hydro further appears to recognize that the adoption of electric vehicles is a material operations</w:t>
      </w:r>
      <w:r w:rsidRPr="00E45079">
        <w:rPr>
          <w:lang w:eastAsia="en-CA"/>
        </w:rPr>
        <w:t xml:space="preserve"> and asset management risk to its business. Specifically, in its Financial Report for the year-ended December 31, 2018, Toronto Hydro notes that “it must make upgrades to keep pace with urban intensification and electrification and ensure good stewardship of the distribution system.”</w:t>
      </w:r>
      <w:r w:rsidRPr="00E45079">
        <w:rPr>
          <w:vertAlign w:val="superscript"/>
          <w:lang w:eastAsia="en-CA"/>
        </w:rPr>
        <w:footnoteReference w:id="31"/>
      </w:r>
      <w:r>
        <w:rPr>
          <w:lang w:eastAsia="en-CA"/>
        </w:rPr>
        <w:t xml:space="preserve"> </w:t>
      </w:r>
      <w:r w:rsidRPr="00E45079">
        <w:rPr>
          <w:lang w:eastAsia="en-CA"/>
        </w:rPr>
        <w:t xml:space="preserve">Toronto Hydro explicitly recognizes that, as adoption of </w:t>
      </w:r>
      <w:proofErr w:type="spellStart"/>
      <w:r w:rsidRPr="00E45079">
        <w:rPr>
          <w:lang w:eastAsia="en-CA"/>
        </w:rPr>
        <w:t>EVs</w:t>
      </w:r>
      <w:proofErr w:type="spellEnd"/>
      <w:r w:rsidRPr="00E45079">
        <w:rPr>
          <w:lang w:eastAsia="en-CA"/>
        </w:rPr>
        <w:t xml:space="preserve"> and fuel-switching potentially increases, the pressure on its system will only increase and may drive a need for incremental </w:t>
      </w:r>
      <w:r w:rsidRPr="00E45079">
        <w:rPr>
          <w:lang w:eastAsia="en-CA"/>
        </w:rPr>
        <w:lastRenderedPageBreak/>
        <w:t>capital expenditures for system upgrades so that the grid can handle increased loads.</w:t>
      </w:r>
      <w:r w:rsidR="00BE5130">
        <w:rPr>
          <w:lang w:eastAsia="en-CA"/>
        </w:rPr>
        <w:t xml:space="preserve"> DRC submits that proactive and efficient DER related capital and operations expenses may therefore be prudent.</w:t>
      </w:r>
    </w:p>
    <w:p w14:paraId="3E14FEEA" w14:textId="42972ED8" w:rsidR="005332A3" w:rsidRDefault="005332A3" w:rsidP="00DA16CE">
      <w:pPr>
        <w:pStyle w:val="ListParagraph"/>
        <w:numPr>
          <w:ilvl w:val="0"/>
          <w:numId w:val="8"/>
        </w:numPr>
        <w:rPr>
          <w:lang w:eastAsia="en-CA"/>
        </w:rPr>
      </w:pPr>
      <w:r w:rsidRPr="00E45079">
        <w:rPr>
          <w:lang w:eastAsia="en-CA"/>
        </w:rPr>
        <w:t xml:space="preserve">Toronto Hydro </w:t>
      </w:r>
      <w:r w:rsidR="00BE5130">
        <w:rPr>
          <w:lang w:eastAsia="en-CA"/>
        </w:rPr>
        <w:t>is</w:t>
      </w:r>
      <w:r>
        <w:rPr>
          <w:lang w:eastAsia="en-CA"/>
        </w:rPr>
        <w:t xml:space="preserve"> </w:t>
      </w:r>
      <w:r w:rsidRPr="00E45079">
        <w:rPr>
          <w:lang w:eastAsia="en-CA"/>
        </w:rPr>
        <w:t xml:space="preserve">part of the Electric Vehicle Work Group, which collaborated with the City of Toronto’s Environment and Energy Division (collectively, </w:t>
      </w:r>
      <w:r w:rsidRPr="00EC47F0">
        <w:rPr>
          <w:b/>
          <w:bCs/>
          <w:lang w:eastAsia="en-CA"/>
        </w:rPr>
        <w:t>TransformTO</w:t>
      </w:r>
      <w:r w:rsidRPr="00E45079">
        <w:rPr>
          <w:lang w:eastAsia="en-CA"/>
        </w:rPr>
        <w:t xml:space="preserve">) to develop the Electric Mobility Strategy Framework (the </w:t>
      </w:r>
      <w:r w:rsidRPr="00EC47F0">
        <w:rPr>
          <w:b/>
          <w:bCs/>
          <w:lang w:eastAsia="en-CA"/>
        </w:rPr>
        <w:t>Framework</w:t>
      </w:r>
      <w:r w:rsidRPr="00E45079">
        <w:rPr>
          <w:lang w:eastAsia="en-CA"/>
        </w:rPr>
        <w:t>).</w:t>
      </w:r>
      <w:r w:rsidRPr="00E45079">
        <w:rPr>
          <w:vertAlign w:val="superscript"/>
          <w:lang w:eastAsia="en-CA"/>
        </w:rPr>
        <w:footnoteReference w:id="32"/>
      </w:r>
      <w:r w:rsidRPr="00E45079">
        <w:rPr>
          <w:lang w:eastAsia="en-CA"/>
        </w:rPr>
        <w:t xml:space="preserve"> The Framework includes several objectives, including establishing a robust network of EV charging infrastructure that supports the City of Toronto’s targets for the conversion of the City’s vehicle stock and advances Transform TO’s guiding principles.</w:t>
      </w:r>
      <w:r w:rsidRPr="00E45079">
        <w:rPr>
          <w:vertAlign w:val="superscript"/>
          <w:lang w:eastAsia="en-CA"/>
        </w:rPr>
        <w:footnoteReference w:id="33"/>
      </w:r>
      <w:r w:rsidRPr="00E45079">
        <w:rPr>
          <w:lang w:eastAsia="en-CA"/>
        </w:rPr>
        <w:t xml:space="preserve"> Those targets include:</w:t>
      </w:r>
      <w:r>
        <w:rPr>
          <w:lang w:eastAsia="en-CA"/>
        </w:rPr>
        <w:t xml:space="preserve"> (i) a</w:t>
      </w:r>
      <w:r w:rsidRPr="00E45079">
        <w:rPr>
          <w:lang w:eastAsia="en-CA"/>
        </w:rPr>
        <w:t>ll electric buses by 2040</w:t>
      </w:r>
      <w:r>
        <w:rPr>
          <w:lang w:eastAsia="en-CA"/>
        </w:rPr>
        <w:t>; (ii) a</w:t>
      </w:r>
      <w:r w:rsidRPr="00E45079">
        <w:rPr>
          <w:lang w:eastAsia="en-CA"/>
        </w:rPr>
        <w:t>ll new personal and light duty vehicles are electric by 2030; and</w:t>
      </w:r>
      <w:r>
        <w:rPr>
          <w:lang w:eastAsia="en-CA"/>
        </w:rPr>
        <w:t xml:space="preserve"> (iii) a</w:t>
      </w:r>
      <w:r w:rsidRPr="00E45079">
        <w:rPr>
          <w:lang w:eastAsia="en-CA"/>
        </w:rPr>
        <w:t>ll City-owned vehicles are electric by 2042.</w:t>
      </w:r>
      <w:r w:rsidRPr="00E45079">
        <w:rPr>
          <w:vertAlign w:val="superscript"/>
          <w:lang w:eastAsia="en-CA"/>
        </w:rPr>
        <w:footnoteReference w:id="34"/>
      </w:r>
    </w:p>
    <w:p w14:paraId="009ED2E0" w14:textId="59ACF5BD" w:rsidR="00302A54" w:rsidRDefault="00302A54" w:rsidP="00DA16CE">
      <w:pPr>
        <w:pStyle w:val="ListParagraph"/>
        <w:numPr>
          <w:ilvl w:val="0"/>
          <w:numId w:val="8"/>
        </w:numPr>
        <w:rPr>
          <w:lang w:eastAsia="en-CA"/>
        </w:rPr>
      </w:pPr>
      <w:r>
        <w:rPr>
          <w:lang w:eastAsia="en-CA"/>
        </w:rPr>
        <w:t xml:space="preserve">Yet </w:t>
      </w:r>
      <w:r w:rsidR="00BE5130">
        <w:rPr>
          <w:lang w:eastAsia="en-CA"/>
        </w:rPr>
        <w:t>there does not appear to be any quantification</w:t>
      </w:r>
      <w:r w:rsidR="008577A7">
        <w:rPr>
          <w:rStyle w:val="FootnoteReference"/>
          <w:lang w:eastAsia="en-CA"/>
        </w:rPr>
        <w:footnoteReference w:id="35"/>
      </w:r>
      <w:r>
        <w:rPr>
          <w:lang w:eastAsia="en-CA"/>
        </w:rPr>
        <w:t xml:space="preserve"> </w:t>
      </w:r>
      <w:r w:rsidR="00BE5130">
        <w:rPr>
          <w:lang w:eastAsia="en-CA"/>
        </w:rPr>
        <w:t xml:space="preserve">of the impact of DERs on </w:t>
      </w:r>
      <w:r>
        <w:rPr>
          <w:lang w:eastAsia="en-CA"/>
        </w:rPr>
        <w:t>load</w:t>
      </w:r>
      <w:r w:rsidR="00BE5130">
        <w:rPr>
          <w:lang w:eastAsia="en-CA"/>
        </w:rPr>
        <w:t xml:space="preserve"> </w:t>
      </w:r>
      <w:r>
        <w:rPr>
          <w:lang w:eastAsia="en-CA"/>
        </w:rPr>
        <w:t>forecasting</w:t>
      </w:r>
      <w:r w:rsidR="0094669C">
        <w:rPr>
          <w:lang w:eastAsia="en-CA"/>
        </w:rPr>
        <w:t>, capital, operations and productivity.</w:t>
      </w:r>
    </w:p>
    <w:p w14:paraId="149F45FE" w14:textId="263E83A6" w:rsidR="00FE0651" w:rsidRDefault="00A540D9" w:rsidP="00DA16CE">
      <w:pPr>
        <w:pStyle w:val="ListParagraph"/>
        <w:numPr>
          <w:ilvl w:val="0"/>
          <w:numId w:val="8"/>
        </w:numPr>
        <w:rPr>
          <w:lang w:eastAsia="en-CA"/>
        </w:rPr>
      </w:pPr>
      <w:r>
        <w:rPr>
          <w:lang w:eastAsia="en-CA"/>
        </w:rPr>
        <w:t>Toronto Hydro's updated load forecast at</w:t>
      </w:r>
      <w:r w:rsidR="004374AC">
        <w:rPr>
          <w:lang w:eastAsia="en-CA"/>
        </w:rPr>
        <w:t xml:space="preserve"> </w:t>
      </w:r>
      <w:r w:rsidR="001460B4">
        <w:rPr>
          <w:lang w:eastAsia="en-CA"/>
        </w:rPr>
        <w:t>Exhibit U, Tab 3, Schedule 1</w:t>
      </w:r>
      <w:r w:rsidR="004374AC">
        <w:rPr>
          <w:lang w:eastAsia="en-CA"/>
        </w:rPr>
        <w:t xml:space="preserve"> </w:t>
      </w:r>
      <w:r w:rsidR="00890650">
        <w:rPr>
          <w:lang w:eastAsia="en-CA"/>
        </w:rPr>
        <w:t xml:space="preserve">does not </w:t>
      </w:r>
      <w:r>
        <w:rPr>
          <w:lang w:eastAsia="en-CA"/>
        </w:rPr>
        <w:t>incorporate</w:t>
      </w:r>
      <w:r w:rsidR="00890650">
        <w:rPr>
          <w:lang w:eastAsia="en-CA"/>
        </w:rPr>
        <w:t xml:space="preserve"> EV or distributed generation (</w:t>
      </w:r>
      <w:r w:rsidR="00890650">
        <w:rPr>
          <w:b/>
          <w:lang w:eastAsia="en-CA"/>
        </w:rPr>
        <w:t>DG</w:t>
      </w:r>
      <w:r w:rsidR="00890650">
        <w:rPr>
          <w:lang w:eastAsia="en-CA"/>
        </w:rPr>
        <w:t xml:space="preserve">) </w:t>
      </w:r>
      <w:r>
        <w:rPr>
          <w:lang w:eastAsia="en-CA"/>
        </w:rPr>
        <w:t>estimates despite its evidence</w:t>
      </w:r>
      <w:r w:rsidR="00890650">
        <w:rPr>
          <w:lang w:eastAsia="en-CA"/>
        </w:rPr>
        <w:t>.</w:t>
      </w:r>
      <w:r w:rsidR="00890650">
        <w:rPr>
          <w:rStyle w:val="FootnoteReference"/>
          <w:lang w:eastAsia="en-CA"/>
        </w:rPr>
        <w:footnoteReference w:id="36"/>
      </w:r>
      <w:r w:rsidR="00890650">
        <w:rPr>
          <w:lang w:eastAsia="en-CA"/>
        </w:rPr>
        <w:t xml:space="preserve"> </w:t>
      </w:r>
    </w:p>
    <w:p w14:paraId="1179B185" w14:textId="7137A52D" w:rsidR="00E3576D" w:rsidRPr="001460B4" w:rsidRDefault="00E3576D" w:rsidP="00DA16CE">
      <w:pPr>
        <w:pStyle w:val="ListParagraph"/>
        <w:numPr>
          <w:ilvl w:val="0"/>
          <w:numId w:val="8"/>
        </w:numPr>
        <w:rPr>
          <w:lang w:eastAsia="en-CA"/>
        </w:rPr>
      </w:pPr>
      <w:r w:rsidRPr="00E3576D">
        <w:rPr>
          <w:lang w:eastAsia="en-CA"/>
        </w:rPr>
        <w:t xml:space="preserve">In 2017 alone, Toronto Hydro responded to over 8,000 inquiries from </w:t>
      </w:r>
      <w:r w:rsidR="00A540D9">
        <w:rPr>
          <w:lang w:eastAsia="en-CA"/>
        </w:rPr>
        <w:t xml:space="preserve">DER </w:t>
      </w:r>
      <w:r w:rsidRPr="00E3576D">
        <w:rPr>
          <w:lang w:eastAsia="en-CA"/>
        </w:rPr>
        <w:t>customers</w:t>
      </w:r>
      <w:r w:rsidR="00A540D9">
        <w:rPr>
          <w:lang w:eastAsia="en-CA"/>
        </w:rPr>
        <w:t>.</w:t>
      </w:r>
      <w:r w:rsidRPr="00E45079">
        <w:rPr>
          <w:lang w:eastAsia="en-CA"/>
        </w:rPr>
        <w:t xml:space="preserve"> Distributed generation connections in Toronto are expected to reach 800 MW by the end of 2024</w:t>
      </w:r>
      <w:r w:rsidR="00FE0651">
        <w:rPr>
          <w:lang w:eastAsia="en-CA"/>
        </w:rPr>
        <w:t>,</w:t>
      </w:r>
      <w:r w:rsidR="00FE0651" w:rsidRPr="00E45079">
        <w:rPr>
          <w:vertAlign w:val="superscript"/>
          <w:lang w:eastAsia="en-CA"/>
        </w:rPr>
        <w:footnoteReference w:id="37"/>
      </w:r>
      <w:r w:rsidR="00FE0651">
        <w:rPr>
          <w:lang w:eastAsia="en-CA"/>
        </w:rPr>
        <w:t xml:space="preserve"> even while excluding</w:t>
      </w:r>
      <w:r w:rsidRPr="00E45079">
        <w:rPr>
          <w:lang w:eastAsia="en-CA"/>
        </w:rPr>
        <w:t xml:space="preserve"> energy storage facilitated by EVs</w:t>
      </w:r>
      <w:r>
        <w:rPr>
          <w:lang w:eastAsia="en-CA"/>
        </w:rPr>
        <w:t>.</w:t>
      </w:r>
      <w:r w:rsidRPr="00E45079">
        <w:rPr>
          <w:vertAlign w:val="superscript"/>
          <w:lang w:eastAsia="en-CA"/>
        </w:rPr>
        <w:footnoteReference w:id="38"/>
      </w:r>
    </w:p>
    <w:p w14:paraId="2924954E" w14:textId="6F034743" w:rsidR="008F4513" w:rsidRDefault="008F4513" w:rsidP="00DA16CE">
      <w:pPr>
        <w:pStyle w:val="ListParagraph"/>
        <w:numPr>
          <w:ilvl w:val="0"/>
          <w:numId w:val="8"/>
        </w:numPr>
        <w:rPr>
          <w:lang w:eastAsia="en-CA"/>
        </w:rPr>
      </w:pPr>
      <w:r>
        <w:rPr>
          <w:lang w:eastAsia="en-CA"/>
        </w:rPr>
        <w:t xml:space="preserve">Further, Toronto Hydro confirmed that from 2027 to 2030, the EV </w:t>
      </w:r>
      <w:r w:rsidR="00254B48">
        <w:rPr>
          <w:lang w:eastAsia="en-CA"/>
        </w:rPr>
        <w:t xml:space="preserve"> and electrified tran</w:t>
      </w:r>
      <w:r w:rsidR="004B4F2B">
        <w:rPr>
          <w:lang w:eastAsia="en-CA"/>
        </w:rPr>
        <w:t xml:space="preserve">sit growth </w:t>
      </w:r>
      <w:r>
        <w:rPr>
          <w:lang w:eastAsia="en-CA"/>
        </w:rPr>
        <w:t>are the largest load drivers.</w:t>
      </w:r>
      <w:r>
        <w:rPr>
          <w:rStyle w:val="FootnoteReference"/>
          <w:lang w:eastAsia="en-CA"/>
        </w:rPr>
        <w:footnoteReference w:id="39"/>
      </w:r>
      <w:r>
        <w:rPr>
          <w:lang w:eastAsia="en-CA"/>
        </w:rPr>
        <w:t xml:space="preserve"> </w:t>
      </w:r>
    </w:p>
    <w:p w14:paraId="3FF376FF" w14:textId="0D2F5ED7" w:rsidR="0023544D" w:rsidRDefault="004B4F2B" w:rsidP="004B4F2B">
      <w:pPr>
        <w:pStyle w:val="ListParagraph"/>
        <w:numPr>
          <w:ilvl w:val="0"/>
          <w:numId w:val="8"/>
        </w:numPr>
      </w:pPr>
      <w:r>
        <w:rPr>
          <w:lang w:eastAsia="en-CA"/>
        </w:rPr>
        <w:lastRenderedPageBreak/>
        <w:t xml:space="preserve">It is therefore difficult to reconcile how DERs are "immaterial" to load growth during the rate period, in the face of this evidence or any quantification to asses Toronto Hydro's determination of immateriality. </w:t>
      </w:r>
    </w:p>
    <w:p w14:paraId="3F089AEF" w14:textId="320CDB0A" w:rsidR="00404D93" w:rsidRDefault="00404D93" w:rsidP="004B4F2B">
      <w:pPr>
        <w:pStyle w:val="ListParagraph"/>
        <w:numPr>
          <w:ilvl w:val="0"/>
          <w:numId w:val="8"/>
        </w:numPr>
      </w:pPr>
      <w:r>
        <w:rPr>
          <w:lang w:eastAsia="en-CA"/>
        </w:rPr>
        <w:t>Dr. Lowry indicates information on DER and electric</w:t>
      </w:r>
      <w:r w:rsidR="00916BB5">
        <w:rPr>
          <w:lang w:eastAsia="en-CA"/>
        </w:rPr>
        <w:t xml:space="preserve"> mobility related impacts of DERs on load growth and productivity has been determined to be material on this and other jurisdictions.</w:t>
      </w:r>
      <w:r w:rsidR="00916BB5">
        <w:rPr>
          <w:rStyle w:val="FootnoteReference"/>
          <w:lang w:eastAsia="en-CA"/>
        </w:rPr>
        <w:footnoteReference w:id="40"/>
      </w:r>
    </w:p>
    <w:p w14:paraId="145C7F86" w14:textId="7937AE49" w:rsidR="00916BB5" w:rsidRDefault="00916BB5" w:rsidP="004B4F2B">
      <w:pPr>
        <w:pStyle w:val="ListParagraph"/>
        <w:numPr>
          <w:ilvl w:val="0"/>
          <w:numId w:val="8"/>
        </w:numPr>
      </w:pPr>
      <w:r>
        <w:rPr>
          <w:lang w:eastAsia="en-CA"/>
        </w:rPr>
        <w:t>Further, Dr. Lowry indicates such information in DERs may assist the board in considering capital expenditures that may raise costs in the short term but result in greater efficiency in the longer term.</w:t>
      </w:r>
      <w:r>
        <w:rPr>
          <w:rStyle w:val="FootnoteReference"/>
          <w:lang w:eastAsia="en-CA"/>
        </w:rPr>
        <w:footnoteReference w:id="41"/>
      </w:r>
    </w:p>
    <w:p w14:paraId="0057A87D" w14:textId="30AA27E6" w:rsidR="00916BB5" w:rsidRDefault="00916BB5" w:rsidP="004B4F2B">
      <w:pPr>
        <w:pStyle w:val="ListParagraph"/>
        <w:numPr>
          <w:ilvl w:val="0"/>
          <w:numId w:val="8"/>
        </w:numPr>
      </w:pPr>
      <w:r>
        <w:rPr>
          <w:lang w:eastAsia="en-CA"/>
        </w:rPr>
        <w:t>In the absence of DER related load, expense</w:t>
      </w:r>
      <w:r w:rsidR="00696997">
        <w:rPr>
          <w:lang w:eastAsia="en-CA"/>
        </w:rPr>
        <w:t xml:space="preserve"> and productivity data, or a related material, Dr. Lowry indicates that the productivity measures may be skewed – particularly if the regulator does not take into account the new things the grid can do.</w:t>
      </w:r>
      <w:r w:rsidR="00696997">
        <w:rPr>
          <w:rStyle w:val="FootnoteReference"/>
          <w:lang w:eastAsia="en-CA"/>
        </w:rPr>
        <w:footnoteReference w:id="42"/>
      </w:r>
    </w:p>
    <w:p w14:paraId="3C4DF552" w14:textId="5E0B2321" w:rsidR="00696997" w:rsidRDefault="00696997" w:rsidP="004B4F2B">
      <w:pPr>
        <w:pStyle w:val="ListParagraph"/>
        <w:numPr>
          <w:ilvl w:val="0"/>
          <w:numId w:val="8"/>
        </w:numPr>
      </w:pPr>
      <w:r>
        <w:rPr>
          <w:lang w:eastAsia="en-CA"/>
        </w:rPr>
        <w:t>Dr. Petrunic therefore repeatedly encouraged the Board to require further electric mobility and other DER related reporting and tracking throughout the rate period.</w:t>
      </w:r>
      <w:r>
        <w:rPr>
          <w:rStyle w:val="FootnoteReference"/>
          <w:lang w:eastAsia="en-CA"/>
        </w:rPr>
        <w:footnoteReference w:id="43"/>
      </w:r>
    </w:p>
    <w:p w14:paraId="1A5D01E7" w14:textId="57BDF881" w:rsidR="00D0694E" w:rsidRDefault="00D0694E" w:rsidP="004B4F2B">
      <w:pPr>
        <w:pStyle w:val="ListParagraph"/>
        <w:numPr>
          <w:ilvl w:val="0"/>
          <w:numId w:val="8"/>
        </w:numPr>
      </w:pPr>
      <w:r>
        <w:rPr>
          <w:lang w:eastAsia="en-CA"/>
        </w:rPr>
        <w:t>Specifically Dr. Petrunic recommended and DRC hereby requests that the Board request Toronto Hydro to do the following:</w:t>
      </w:r>
    </w:p>
    <w:p w14:paraId="2937DFDB" w14:textId="60594304" w:rsidR="0066351B" w:rsidRDefault="0066351B" w:rsidP="0066351B">
      <w:pPr>
        <w:pStyle w:val="ListParagraph"/>
        <w:numPr>
          <w:ilvl w:val="3"/>
          <w:numId w:val="13"/>
        </w:numPr>
      </w:pPr>
      <w:r>
        <w:t>Transparently track and report upon capital expenses, operating expenses, and actual or estimated savings associated with its DER related grid modernization, EV customer integration (including the TTC electric bus fleet), Toronto Hydro vehicle fleet that are now and will continue to be incurred by Toronto Hydro in a manner similar to that required by the US utilities referred to in the evidence of Mr. Lowry at Exhibit L1, tab 1</w:t>
      </w:r>
      <w:r w:rsidR="00A56B5B">
        <w:t>, Schedule 2,</w:t>
      </w:r>
      <w:r w:rsidR="00E754D7">
        <w:t xml:space="preserve"> Attachment A at p. 19 of 83.</w:t>
      </w:r>
    </w:p>
    <w:p w14:paraId="13B9F784" w14:textId="3CE770FC" w:rsidR="00E754D7" w:rsidRDefault="00E754D7" w:rsidP="0066351B">
      <w:pPr>
        <w:pStyle w:val="ListParagraph"/>
        <w:numPr>
          <w:ilvl w:val="3"/>
          <w:numId w:val="13"/>
        </w:numPr>
      </w:pPr>
      <w:r>
        <w:t xml:space="preserve">Report and track capital and operations and maintenance costs associated with EV deployment in a manner similar to National Grid </w:t>
      </w:r>
      <w:r>
        <w:lastRenderedPageBreak/>
        <w:t>as per the evidence of Dr. Lowry (V10, p77line 17-28) and associated with and Toronto Hydro's own vehicle fleet as requested by Dr. Petrunic (Hearing Transcripts, Volume 11: 86-88)</w:t>
      </w:r>
    </w:p>
    <w:p w14:paraId="61776841" w14:textId="40DFED5E" w:rsidR="00E754D7" w:rsidRDefault="00E754D7" w:rsidP="0066351B">
      <w:pPr>
        <w:pStyle w:val="ListParagraph"/>
        <w:numPr>
          <w:ilvl w:val="3"/>
          <w:numId w:val="13"/>
        </w:numPr>
      </w:pPr>
      <w:r>
        <w:t>Track and report on the load impacts of the City of Toronto/ Toronto transit Commission bus electrification initiative, including the TTC Arrow Garage and related electricity storage facilities in each year over the 2020-2024 rate period (Hearing Transcripts, Volume 11, 90-92).</w:t>
      </w:r>
    </w:p>
    <w:p w14:paraId="15E6588E" w14:textId="29359DF8" w:rsidR="00E754D7" w:rsidRDefault="00E754D7" w:rsidP="0066351B">
      <w:pPr>
        <w:pStyle w:val="ListParagraph"/>
        <w:numPr>
          <w:ilvl w:val="3"/>
          <w:numId w:val="13"/>
        </w:numPr>
      </w:pPr>
      <w:r>
        <w:t>Consider customer and stakeholder research and outreach (potentially in coordination with relevant transportation ministries, agencies, and the Toronto Transit Commission,)</w:t>
      </w:r>
      <w:r w:rsidR="003D4707">
        <w:t xml:space="preserve"> in order to ascertain the existing number of EV DER customers and the growth rate of such customers in its service territory.</w:t>
      </w:r>
    </w:p>
    <w:p w14:paraId="7BB604A1" w14:textId="4DDA3671" w:rsidR="0028415E" w:rsidRPr="0028415E" w:rsidRDefault="00FF3A2A" w:rsidP="00F2612D">
      <w:pPr>
        <w:pStyle w:val="Heading2"/>
        <w:rPr>
          <w:lang w:eastAsia="en-CA"/>
        </w:rPr>
      </w:pPr>
      <w:r>
        <w:rPr>
          <w:lang w:eastAsia="en-CA"/>
        </w:rPr>
        <w:t xml:space="preserve">DRC position on </w:t>
      </w:r>
      <w:r w:rsidR="00411294">
        <w:rPr>
          <w:lang w:eastAsia="en-CA"/>
        </w:rPr>
        <w:t xml:space="preserve">specific </w:t>
      </w:r>
      <w:r w:rsidR="0023606F">
        <w:rPr>
          <w:lang w:eastAsia="en-CA"/>
        </w:rPr>
        <w:t>DER-</w:t>
      </w:r>
      <w:r w:rsidR="00411294">
        <w:rPr>
          <w:lang w:eastAsia="en-CA"/>
        </w:rPr>
        <w:t xml:space="preserve">related </w:t>
      </w:r>
      <w:r w:rsidR="00557374">
        <w:rPr>
          <w:lang w:eastAsia="en-CA"/>
        </w:rPr>
        <w:t>capital and and operations expenditures that may result in long term</w:t>
      </w:r>
      <w:r w:rsidR="00DF15F6">
        <w:rPr>
          <w:lang w:eastAsia="en-CA"/>
        </w:rPr>
        <w:t xml:space="preserve"> productivity benefits for all Toronto Hydro customers</w:t>
      </w:r>
      <w:r w:rsidR="0023606F">
        <w:rPr>
          <w:lang w:eastAsia="en-CA"/>
        </w:rPr>
        <w:t>.</w:t>
      </w:r>
    </w:p>
    <w:p w14:paraId="05E4610B" w14:textId="5812F384" w:rsidR="00A20BB7" w:rsidRDefault="00A20BB7" w:rsidP="00DA16CE">
      <w:pPr>
        <w:pStyle w:val="ListParagraph"/>
        <w:numPr>
          <w:ilvl w:val="0"/>
          <w:numId w:val="8"/>
        </w:numPr>
        <w:rPr>
          <w:lang w:eastAsia="en-CA"/>
        </w:rPr>
      </w:pPr>
      <w:r>
        <w:rPr>
          <w:lang w:eastAsia="en-CA"/>
        </w:rPr>
        <w:t>Toronto Hydro’s capital</w:t>
      </w:r>
      <w:r w:rsidR="006F0863">
        <w:rPr>
          <w:lang w:eastAsia="en-CA"/>
        </w:rPr>
        <w:t xml:space="preserve"> expenditure</w:t>
      </w:r>
      <w:r>
        <w:rPr>
          <w:lang w:eastAsia="en-CA"/>
        </w:rPr>
        <w:t xml:space="preserve"> plan</w:t>
      </w:r>
      <w:r w:rsidR="006F0863">
        <w:rPr>
          <w:lang w:eastAsia="en-CA"/>
        </w:rPr>
        <w:t xml:space="preserve"> (the </w:t>
      </w:r>
      <w:r w:rsidR="006F0863">
        <w:rPr>
          <w:b/>
          <w:lang w:eastAsia="en-CA"/>
        </w:rPr>
        <w:t>Capital Plan</w:t>
      </w:r>
      <w:r w:rsidR="006F0863">
        <w:rPr>
          <w:lang w:eastAsia="en-CA"/>
        </w:rPr>
        <w:t>)</w:t>
      </w:r>
      <w:r>
        <w:rPr>
          <w:lang w:eastAsia="en-CA"/>
        </w:rPr>
        <w:t xml:space="preserve"> is set out in the DSP</w:t>
      </w:r>
      <w:r>
        <w:rPr>
          <w:rStyle w:val="FootnoteReference"/>
          <w:lang w:eastAsia="en-CA"/>
        </w:rPr>
        <w:footnoteReference w:id="44"/>
      </w:r>
      <w:r>
        <w:rPr>
          <w:lang w:eastAsia="en-CA"/>
        </w:rPr>
        <w:t xml:space="preserve"> and is organized into 20 programs addressing distribution needs, continuing needed repairs and replacements, and enhancing the functionality of the system.</w:t>
      </w:r>
      <w:r>
        <w:rPr>
          <w:rStyle w:val="FootnoteReference"/>
          <w:lang w:eastAsia="en-CA"/>
        </w:rPr>
        <w:footnoteReference w:id="45"/>
      </w:r>
      <w:r>
        <w:rPr>
          <w:lang w:eastAsia="en-CA"/>
        </w:rPr>
        <w:t xml:space="preserve"> </w:t>
      </w:r>
      <w:r w:rsidR="001B3F17">
        <w:rPr>
          <w:lang w:eastAsia="en-CA"/>
        </w:rPr>
        <w:t>It proposes $2.83 billion</w:t>
      </w:r>
      <w:r w:rsidR="002839F0">
        <w:rPr>
          <w:lang w:eastAsia="en-CA"/>
        </w:rPr>
        <w:t xml:space="preserve"> in capital expenditures over the 2020 to 2024 period. </w:t>
      </w:r>
      <w:r>
        <w:rPr>
          <w:lang w:eastAsia="en-CA"/>
        </w:rPr>
        <w:t>DRC</w:t>
      </w:r>
      <w:r w:rsidR="001B3F17">
        <w:rPr>
          <w:lang w:eastAsia="en-CA"/>
        </w:rPr>
        <w:t xml:space="preserve"> is of the view that a number of proposed expenditures related to certain DERs may result in shorter term costs that lead to longer term productivity and customer benefits. We have specifically </w:t>
      </w:r>
      <w:r>
        <w:rPr>
          <w:lang w:eastAsia="en-CA"/>
        </w:rPr>
        <w:t>Toronto Hydro’s</w:t>
      </w:r>
      <w:r w:rsidR="006F0863">
        <w:rPr>
          <w:lang w:eastAsia="en-CA"/>
        </w:rPr>
        <w:t xml:space="preserve"> Capital Plan</w:t>
      </w:r>
      <w:r>
        <w:rPr>
          <w:lang w:eastAsia="en-CA"/>
        </w:rPr>
        <w:t xml:space="preserve"> in relation to </w:t>
      </w:r>
      <w:r w:rsidR="001B3F17">
        <w:rPr>
          <w:lang w:eastAsia="en-CA"/>
        </w:rPr>
        <w:t xml:space="preserve">the following </w:t>
      </w:r>
      <w:r>
        <w:rPr>
          <w:lang w:eastAsia="en-CA"/>
        </w:rPr>
        <w:t>the 2020 to 2024 period:</w:t>
      </w:r>
    </w:p>
    <w:p w14:paraId="5631C8AC" w14:textId="7DC1F963" w:rsidR="00A20BB7" w:rsidRDefault="00A20BB7" w:rsidP="00DA16CE">
      <w:pPr>
        <w:pStyle w:val="ListParagraph"/>
        <w:numPr>
          <w:ilvl w:val="1"/>
          <w:numId w:val="8"/>
        </w:numPr>
        <w:rPr>
          <w:lang w:eastAsia="en-CA"/>
        </w:rPr>
      </w:pPr>
      <w:r>
        <w:rPr>
          <w:lang w:eastAsia="en-CA"/>
        </w:rPr>
        <w:t>E6.1 – Area Conversions</w:t>
      </w:r>
      <w:r w:rsidR="006F0863">
        <w:rPr>
          <w:lang w:eastAsia="en-CA"/>
        </w:rPr>
        <w:t xml:space="preserve"> (a component of System Renewal Investments)</w:t>
      </w:r>
      <w:r>
        <w:rPr>
          <w:lang w:eastAsia="en-CA"/>
        </w:rPr>
        <w:t>;</w:t>
      </w:r>
    </w:p>
    <w:p w14:paraId="72FE4BEA" w14:textId="40037FE3" w:rsidR="00A20BB7" w:rsidRDefault="00A20BB7" w:rsidP="00DA16CE">
      <w:pPr>
        <w:pStyle w:val="ListParagraph"/>
        <w:numPr>
          <w:ilvl w:val="1"/>
          <w:numId w:val="8"/>
        </w:numPr>
        <w:rPr>
          <w:lang w:eastAsia="en-CA"/>
        </w:rPr>
      </w:pPr>
      <w:r>
        <w:rPr>
          <w:lang w:eastAsia="en-CA"/>
        </w:rPr>
        <w:t>E7.2 – Energy Storage Systems</w:t>
      </w:r>
      <w:r w:rsidR="006F0863">
        <w:rPr>
          <w:lang w:eastAsia="en-CA"/>
        </w:rPr>
        <w:t xml:space="preserve"> (a component of System Service Investments)</w:t>
      </w:r>
      <w:r>
        <w:rPr>
          <w:lang w:eastAsia="en-CA"/>
        </w:rPr>
        <w:t>;</w:t>
      </w:r>
    </w:p>
    <w:p w14:paraId="2898C3F1" w14:textId="6D55624B" w:rsidR="000D52CC" w:rsidRDefault="000D52CC" w:rsidP="00DA16CE">
      <w:pPr>
        <w:pStyle w:val="ListParagraph"/>
        <w:numPr>
          <w:ilvl w:val="1"/>
          <w:numId w:val="8"/>
        </w:numPr>
        <w:rPr>
          <w:lang w:eastAsia="en-CA"/>
        </w:rPr>
      </w:pPr>
      <w:r>
        <w:rPr>
          <w:lang w:eastAsia="en-CA"/>
        </w:rPr>
        <w:t>E7.4 – Stations Expansion (a component of System Service Investments);</w:t>
      </w:r>
    </w:p>
    <w:p w14:paraId="75262985" w14:textId="7D39AC6D" w:rsidR="00A20BB7" w:rsidRDefault="006F0863" w:rsidP="00DA16CE">
      <w:pPr>
        <w:pStyle w:val="ListParagraph"/>
        <w:numPr>
          <w:ilvl w:val="1"/>
          <w:numId w:val="8"/>
        </w:numPr>
        <w:rPr>
          <w:lang w:eastAsia="en-CA"/>
        </w:rPr>
      </w:pPr>
      <w:r>
        <w:rPr>
          <w:lang w:eastAsia="en-CA"/>
        </w:rPr>
        <w:lastRenderedPageBreak/>
        <w:t xml:space="preserve">E8.1 – </w:t>
      </w:r>
      <w:r w:rsidR="00A20BB7">
        <w:rPr>
          <w:lang w:eastAsia="en-CA"/>
        </w:rPr>
        <w:t>Control Operations and R</w:t>
      </w:r>
      <w:r>
        <w:rPr>
          <w:lang w:eastAsia="en-CA"/>
        </w:rPr>
        <w:t>einforcement (a component of General Plant Investments); and</w:t>
      </w:r>
    </w:p>
    <w:p w14:paraId="13770EF9" w14:textId="430ACEEB" w:rsidR="006F0863" w:rsidRDefault="00A20BB7" w:rsidP="00DA16CE">
      <w:pPr>
        <w:pStyle w:val="ListParagraph"/>
        <w:numPr>
          <w:ilvl w:val="1"/>
          <w:numId w:val="8"/>
        </w:numPr>
        <w:rPr>
          <w:lang w:eastAsia="en-CA"/>
        </w:rPr>
      </w:pPr>
      <w:r>
        <w:rPr>
          <w:lang w:eastAsia="en-CA"/>
        </w:rPr>
        <w:t>E8.3 – Fleet and Equipment Services</w:t>
      </w:r>
      <w:r w:rsidR="006F0863">
        <w:rPr>
          <w:lang w:eastAsia="en-CA"/>
        </w:rPr>
        <w:t xml:space="preserve"> (a component of General Plant Investments).</w:t>
      </w:r>
    </w:p>
    <w:p w14:paraId="10B0E8F0" w14:textId="4FC1ADE9" w:rsidR="0042221E" w:rsidRDefault="00F434C6" w:rsidP="00DA16CE">
      <w:pPr>
        <w:pStyle w:val="ListParagraph"/>
        <w:numPr>
          <w:ilvl w:val="0"/>
          <w:numId w:val="8"/>
        </w:numPr>
        <w:rPr>
          <w:lang w:eastAsia="en-CA"/>
        </w:rPr>
      </w:pPr>
      <w:r>
        <w:rPr>
          <w:lang w:eastAsia="en-CA"/>
        </w:rPr>
        <w:t xml:space="preserve">Contrary to Board Staff submissions and the existing guidance on electric mobility DERs, DRC submits that the Board should prudently consider electrified transportation DERs as valued </w:t>
      </w:r>
      <w:r w:rsidR="00D92A4F">
        <w:rPr>
          <w:lang w:eastAsia="en-CA"/>
        </w:rPr>
        <w:t>distribution investments where they are economic, prudent and facilitate long term customer efficiency.</w:t>
      </w:r>
      <w:r>
        <w:rPr>
          <w:lang w:eastAsia="en-CA"/>
        </w:rPr>
        <w:t xml:space="preserve"> </w:t>
      </w:r>
      <w:r w:rsidR="0042221E">
        <w:rPr>
          <w:lang w:eastAsia="en-CA"/>
        </w:rPr>
        <w:t xml:space="preserve">DRC </w:t>
      </w:r>
      <w:r w:rsidR="00D92A4F">
        <w:rPr>
          <w:lang w:eastAsia="en-CA"/>
        </w:rPr>
        <w:t xml:space="preserve">respectfully </w:t>
      </w:r>
      <w:r w:rsidR="0042221E">
        <w:rPr>
          <w:lang w:eastAsia="en-CA"/>
        </w:rPr>
        <w:t xml:space="preserve">submits that the Board’s should facilitate consideration </w:t>
      </w:r>
      <w:proofErr w:type="spellStart"/>
      <w:r w:rsidR="0042221E">
        <w:rPr>
          <w:lang w:eastAsia="en-CA"/>
        </w:rPr>
        <w:t>EVs</w:t>
      </w:r>
      <w:proofErr w:type="spellEnd"/>
      <w:r w:rsidR="0042221E">
        <w:rPr>
          <w:lang w:eastAsia="en-CA"/>
        </w:rPr>
        <w:t xml:space="preserve"> and related DERs as valid investments to assist in ensuring distribution system efficiency and reliability.</w:t>
      </w:r>
    </w:p>
    <w:p w14:paraId="48F7428E" w14:textId="79616164" w:rsidR="00F2612D" w:rsidRPr="000D52CC" w:rsidRDefault="00F2612D" w:rsidP="00DA16CE">
      <w:pPr>
        <w:pStyle w:val="Heading3"/>
        <w:numPr>
          <w:ilvl w:val="0"/>
          <w:numId w:val="7"/>
        </w:numPr>
        <w:rPr>
          <w:b w:val="0"/>
          <w:lang w:eastAsia="en-CA"/>
        </w:rPr>
      </w:pPr>
      <w:r>
        <w:rPr>
          <w:lang w:eastAsia="en-CA"/>
        </w:rPr>
        <w:t>E6.1 – Area Conversions</w:t>
      </w:r>
    </w:p>
    <w:p w14:paraId="2BF9D143" w14:textId="7081F9AC" w:rsidR="00F2612D" w:rsidRDefault="00286F84" w:rsidP="00DA16CE">
      <w:pPr>
        <w:pStyle w:val="ListParagraph"/>
        <w:numPr>
          <w:ilvl w:val="0"/>
          <w:numId w:val="8"/>
        </w:numPr>
        <w:rPr>
          <w:lang w:eastAsia="en-CA"/>
        </w:rPr>
      </w:pPr>
      <w:r>
        <w:rPr>
          <w:lang w:eastAsia="en-CA"/>
        </w:rPr>
        <w:t>DRC s</w:t>
      </w:r>
      <w:r w:rsidR="00765488">
        <w:rPr>
          <w:lang w:eastAsia="en-CA"/>
        </w:rPr>
        <w:t>upports Toronto Hydro’s proposed Area Conversions program on the basis of the improvements it will make to distribution system designs in certain areas, including high growth, high density areas, to facilitate DER and EV-related DER integration and connection.</w:t>
      </w:r>
    </w:p>
    <w:p w14:paraId="4112141B" w14:textId="5439A7E6" w:rsidR="00FB4AA1" w:rsidRDefault="00286F84" w:rsidP="00DA16CE">
      <w:pPr>
        <w:pStyle w:val="ListParagraph"/>
        <w:numPr>
          <w:ilvl w:val="0"/>
          <w:numId w:val="8"/>
        </w:numPr>
        <w:rPr>
          <w:lang w:eastAsia="en-CA"/>
        </w:rPr>
      </w:pPr>
      <w:r>
        <w:rPr>
          <w:lang w:eastAsia="en-CA"/>
        </w:rPr>
        <w:t xml:space="preserve">The Area Conversions program funds the replacement of 4.16kV distribution system designs with updated standard 13.8 kV and 27.6 kV </w:t>
      </w:r>
      <w:r w:rsidR="000E233A">
        <w:rPr>
          <w:lang w:eastAsia="en-CA"/>
        </w:rPr>
        <w:t>The program is intended to address below-average customer reliability outcomes</w:t>
      </w:r>
      <w:r w:rsidR="008A202D">
        <w:rPr>
          <w:lang w:eastAsia="en-CA"/>
        </w:rPr>
        <w:t xml:space="preserve"> and</w:t>
      </w:r>
      <w:r w:rsidR="000E233A">
        <w:rPr>
          <w:lang w:eastAsia="en-CA"/>
        </w:rPr>
        <w:t xml:space="preserve"> mitigate public and employee safety risks and other operational and customer service deficiencies posed by legacy and aging assets.</w:t>
      </w:r>
      <w:r w:rsidR="008A202D">
        <w:rPr>
          <w:rStyle w:val="FootnoteReference"/>
          <w:lang w:eastAsia="en-CA"/>
        </w:rPr>
        <w:footnoteReference w:id="46"/>
      </w:r>
    </w:p>
    <w:p w14:paraId="7DDBE426" w14:textId="4DF1695A" w:rsidR="00286F84" w:rsidRDefault="003B0AFF" w:rsidP="00DA16CE">
      <w:pPr>
        <w:pStyle w:val="ListParagraph"/>
        <w:numPr>
          <w:ilvl w:val="0"/>
          <w:numId w:val="8"/>
        </w:numPr>
        <w:rPr>
          <w:lang w:eastAsia="en-CA"/>
        </w:rPr>
      </w:pPr>
      <w:r>
        <w:rPr>
          <w:lang w:eastAsia="en-CA"/>
        </w:rPr>
        <w:t xml:space="preserve">Toronto Hydro states that the program contributes to its customer service performance and customer satisfaction by, </w:t>
      </w:r>
      <w:r>
        <w:rPr>
          <w:i/>
          <w:lang w:eastAsia="en-CA"/>
        </w:rPr>
        <w:t>inter alia</w:t>
      </w:r>
      <w:r>
        <w:rPr>
          <w:lang w:eastAsia="en-CA"/>
        </w:rPr>
        <w:t>, “improving the speed and cost-efficiency of customer grid access (including generation and EV access) in high-growth areas of downtown Toronto by converting approximately 2,600 poles […] to more efficient and flexible higher voltage standards.”</w:t>
      </w:r>
      <w:r>
        <w:rPr>
          <w:rStyle w:val="FootnoteReference"/>
          <w:lang w:eastAsia="en-CA"/>
        </w:rPr>
        <w:footnoteReference w:id="47"/>
      </w:r>
      <w:r>
        <w:rPr>
          <w:lang w:eastAsia="en-CA"/>
        </w:rPr>
        <w:t xml:space="preserve"> The program will therefore enhance Toronto Hydro’s ability to connect EV charging stations</w:t>
      </w:r>
      <w:r w:rsidR="00765488">
        <w:rPr>
          <w:lang w:eastAsia="en-CA"/>
        </w:rPr>
        <w:t xml:space="preserve"> and renewable </w:t>
      </w:r>
      <w:r w:rsidR="00765488">
        <w:rPr>
          <w:lang w:eastAsia="en-CA"/>
        </w:rPr>
        <w:lastRenderedPageBreak/>
        <w:t>generation connections</w:t>
      </w:r>
      <w:r>
        <w:rPr>
          <w:lang w:eastAsia="en-CA"/>
        </w:rPr>
        <w:t xml:space="preserve"> in high-growth areas of downtown Toronto where, to-date, legacy distribution assets have remained in use.</w:t>
      </w:r>
    </w:p>
    <w:p w14:paraId="3DC6E101" w14:textId="42EAFDBE" w:rsidR="003B0AFF" w:rsidRDefault="003B0AFF" w:rsidP="00DA16CE">
      <w:pPr>
        <w:pStyle w:val="ListParagraph"/>
        <w:numPr>
          <w:ilvl w:val="0"/>
          <w:numId w:val="8"/>
        </w:numPr>
        <w:rPr>
          <w:lang w:eastAsia="en-CA"/>
        </w:rPr>
      </w:pPr>
      <w:r>
        <w:rPr>
          <w:lang w:eastAsia="en-CA"/>
        </w:rPr>
        <w:t>DRC supports the Area Conversion program to the extent that it will improve Toronto Hydro’s ability to connect EV charging stations</w:t>
      </w:r>
      <w:r w:rsidR="00D92A4F">
        <w:rPr>
          <w:lang w:eastAsia="en-CA"/>
        </w:rPr>
        <w:t xml:space="preserve"> and electrified fleets</w:t>
      </w:r>
      <w:r>
        <w:rPr>
          <w:lang w:eastAsia="en-CA"/>
        </w:rPr>
        <w:t xml:space="preserve"> to the distribution system, and do so at lower overall customer and developer costs. </w:t>
      </w:r>
    </w:p>
    <w:p w14:paraId="0D7D5696" w14:textId="64CF2307" w:rsidR="00F2612D" w:rsidRPr="00F2612D" w:rsidRDefault="00F2612D" w:rsidP="00F2612D">
      <w:pPr>
        <w:pStyle w:val="Heading3"/>
        <w:rPr>
          <w:lang w:eastAsia="en-CA"/>
        </w:rPr>
      </w:pPr>
      <w:r>
        <w:rPr>
          <w:lang w:eastAsia="en-CA"/>
        </w:rPr>
        <w:t>E7.2 – Energy Storage Systems</w:t>
      </w:r>
    </w:p>
    <w:p w14:paraId="5897149B" w14:textId="4C153E09" w:rsidR="002E3302" w:rsidRDefault="002E3302" w:rsidP="00DA16CE">
      <w:pPr>
        <w:pStyle w:val="ListParagraph"/>
        <w:numPr>
          <w:ilvl w:val="0"/>
          <w:numId w:val="8"/>
        </w:numPr>
        <w:rPr>
          <w:lang w:eastAsia="en-CA"/>
        </w:rPr>
      </w:pPr>
      <w:r>
        <w:rPr>
          <w:lang w:eastAsia="en-CA"/>
        </w:rPr>
        <w:t>DRC supports each and all of Toronto Hydro’s Energy Storage Systems (</w:t>
      </w:r>
      <w:r>
        <w:rPr>
          <w:b/>
          <w:lang w:eastAsia="en-CA"/>
        </w:rPr>
        <w:t>ESS</w:t>
      </w:r>
      <w:r>
        <w:rPr>
          <w:lang w:eastAsia="en-CA"/>
        </w:rPr>
        <w:t>) program investment segments</w:t>
      </w:r>
      <w:r w:rsidR="00D92A4F">
        <w:rPr>
          <w:lang w:eastAsia="en-CA"/>
        </w:rPr>
        <w:t xml:space="preserve"> on the understanding that further tracking and reporting on their performance outcomes will be undertaken and filed by Toronto Hydro</w:t>
      </w:r>
      <w:r>
        <w:rPr>
          <w:lang w:eastAsia="en-CA"/>
        </w:rPr>
        <w:t xml:space="preserve">: (i) grid performance ESS; (ii) renewable enabling ESS; and (iii) customer-specific ESS. </w:t>
      </w:r>
    </w:p>
    <w:p w14:paraId="70014796" w14:textId="1A078C08" w:rsidR="007E46C5" w:rsidRDefault="00CB47E0" w:rsidP="00DA16CE">
      <w:pPr>
        <w:pStyle w:val="ListParagraph"/>
        <w:numPr>
          <w:ilvl w:val="0"/>
          <w:numId w:val="8"/>
        </w:numPr>
        <w:rPr>
          <w:lang w:eastAsia="en-CA"/>
        </w:rPr>
      </w:pPr>
      <w:r>
        <w:rPr>
          <w:lang w:eastAsia="en-CA"/>
        </w:rPr>
        <w:t>First, g</w:t>
      </w:r>
      <w:r w:rsidR="00270B1F">
        <w:rPr>
          <w:lang w:eastAsia="en-CA"/>
        </w:rPr>
        <w:t>rid performance ESS benefits multiple customers and assists in remediating power quality problems, improving reliability, and increasing feeder capacity at peak.</w:t>
      </w:r>
      <w:r w:rsidR="00270B1F">
        <w:rPr>
          <w:rStyle w:val="FootnoteReference"/>
          <w:lang w:eastAsia="en-CA"/>
        </w:rPr>
        <w:footnoteReference w:id="48"/>
      </w:r>
      <w:r w:rsidR="00270B1F">
        <w:rPr>
          <w:lang w:eastAsia="en-CA"/>
        </w:rPr>
        <w:t xml:space="preserve"> </w:t>
      </w:r>
      <w:r w:rsidR="00D92A4F">
        <w:rPr>
          <w:lang w:eastAsia="en-CA"/>
        </w:rPr>
        <w:t xml:space="preserve">The evidence of the TTC's intended use of its electrified buses in outage situations (Hearing Transcripts, Volume 3, 155:11-28) supports the potential use of DERs to enhance reliability. </w:t>
      </w:r>
      <w:r>
        <w:rPr>
          <w:lang w:eastAsia="en-CA"/>
        </w:rPr>
        <w:t>Second, r</w:t>
      </w:r>
      <w:r w:rsidR="00270B1F">
        <w:rPr>
          <w:lang w:eastAsia="en-CA"/>
        </w:rPr>
        <w:t>enewable enabling ESS support</w:t>
      </w:r>
      <w:r w:rsidR="004F0885">
        <w:rPr>
          <w:lang w:eastAsia="en-CA"/>
        </w:rPr>
        <w:t>s</w:t>
      </w:r>
      <w:r w:rsidR="00270B1F">
        <w:rPr>
          <w:lang w:eastAsia="en-CA"/>
        </w:rPr>
        <w:t xml:space="preserve"> the growth of distributed renewable generation</w:t>
      </w:r>
      <w:r w:rsidR="004F0885">
        <w:rPr>
          <w:lang w:eastAsia="en-CA"/>
        </w:rPr>
        <w:t xml:space="preserve"> and may offset generation and transmission investments and produce environmental benefits.</w:t>
      </w:r>
      <w:r>
        <w:rPr>
          <w:rStyle w:val="FootnoteReference"/>
          <w:lang w:eastAsia="en-CA"/>
        </w:rPr>
        <w:footnoteReference w:id="49"/>
      </w:r>
      <w:r>
        <w:rPr>
          <w:lang w:eastAsia="en-CA"/>
        </w:rPr>
        <w:t xml:space="preserve"> While the Capital Plan does not put forward any EV ESS, Toronto Hydro notes that renewable enabling ESS </w:t>
      </w:r>
      <w:r w:rsidR="00D92A4F">
        <w:rPr>
          <w:lang w:eastAsia="en-CA"/>
        </w:rPr>
        <w:t xml:space="preserve">may also, “cost effectively enable </w:t>
      </w:r>
      <w:proofErr w:type="spellStart"/>
      <w:r w:rsidR="00D92A4F">
        <w:rPr>
          <w:lang w:eastAsia="en-CA"/>
        </w:rPr>
        <w:t>EVs</w:t>
      </w:r>
      <w:proofErr w:type="spellEnd"/>
      <w:r>
        <w:rPr>
          <w:lang w:eastAsia="en-CA"/>
        </w:rPr>
        <w:t xml:space="preserve"> to connect to the distribution system by addressing localized system constraints.</w:t>
      </w:r>
      <w:r>
        <w:rPr>
          <w:rStyle w:val="FootnoteReference"/>
          <w:lang w:eastAsia="en-CA"/>
        </w:rPr>
        <w:footnoteReference w:id="50"/>
      </w:r>
      <w:r>
        <w:rPr>
          <w:lang w:eastAsia="en-CA"/>
        </w:rPr>
        <w:t xml:space="preserve"> Third, </w:t>
      </w:r>
      <w:r w:rsidR="00D92A4F">
        <w:rPr>
          <w:lang w:eastAsia="en-CA"/>
        </w:rPr>
        <w:t xml:space="preserve">the </w:t>
      </w:r>
      <w:r>
        <w:rPr>
          <w:lang w:eastAsia="en-CA"/>
        </w:rPr>
        <w:t>customer-spe</w:t>
      </w:r>
      <w:r w:rsidR="00D92A4F">
        <w:rPr>
          <w:lang w:eastAsia="en-CA"/>
        </w:rPr>
        <w:t xml:space="preserve">cific ESS do not appear to add to rate base or the revenue requirements </w:t>
      </w:r>
      <w:r w:rsidR="00176CBB">
        <w:rPr>
          <w:lang w:eastAsia="en-CA"/>
        </w:rPr>
        <w:t xml:space="preserve">. During the 2018 to 2024 period, these include the </w:t>
      </w:r>
      <w:proofErr w:type="spellStart"/>
      <w:r w:rsidR="00176CBB">
        <w:rPr>
          <w:lang w:eastAsia="en-CA"/>
        </w:rPr>
        <w:t>Metrolinx</w:t>
      </w:r>
      <w:proofErr w:type="spellEnd"/>
      <w:r w:rsidR="00176CBB">
        <w:rPr>
          <w:lang w:eastAsia="en-CA"/>
        </w:rPr>
        <w:t xml:space="preserve"> Eglinton Crosstown Light Rail Transit ESS, the </w:t>
      </w:r>
      <w:proofErr w:type="spellStart"/>
      <w:r w:rsidR="00176CBB">
        <w:rPr>
          <w:lang w:eastAsia="en-CA"/>
        </w:rPr>
        <w:t>Metrolinx</w:t>
      </w:r>
      <w:proofErr w:type="spellEnd"/>
      <w:r w:rsidR="00176CBB">
        <w:rPr>
          <w:lang w:eastAsia="en-CA"/>
        </w:rPr>
        <w:t xml:space="preserve"> Finch West Light Rail Transit ESS, the Toronto Transit Commission (</w:t>
      </w:r>
      <w:r w:rsidR="00176CBB">
        <w:rPr>
          <w:b/>
          <w:lang w:eastAsia="en-CA"/>
        </w:rPr>
        <w:t>TTC</w:t>
      </w:r>
      <w:r w:rsidR="00176CBB">
        <w:rPr>
          <w:lang w:eastAsia="en-CA"/>
        </w:rPr>
        <w:t xml:space="preserve">) Arrow Road Garage ESS, and the </w:t>
      </w:r>
      <w:proofErr w:type="spellStart"/>
      <w:r w:rsidR="00176CBB">
        <w:rPr>
          <w:lang w:eastAsia="en-CA"/>
        </w:rPr>
        <w:t>Metrolinx</w:t>
      </w:r>
      <w:proofErr w:type="spellEnd"/>
      <w:r w:rsidR="00176CBB">
        <w:rPr>
          <w:lang w:eastAsia="en-CA"/>
        </w:rPr>
        <w:t xml:space="preserve"> </w:t>
      </w:r>
      <w:proofErr w:type="spellStart"/>
      <w:r w:rsidR="00176CBB">
        <w:rPr>
          <w:lang w:eastAsia="en-CA"/>
        </w:rPr>
        <w:t>Willowbrook</w:t>
      </w:r>
      <w:proofErr w:type="spellEnd"/>
      <w:r w:rsidR="00176CBB">
        <w:rPr>
          <w:lang w:eastAsia="en-CA"/>
        </w:rPr>
        <w:t xml:space="preserve"> Yard ESS. Each of these is within </w:t>
      </w:r>
      <w:r w:rsidR="00176CBB">
        <w:rPr>
          <w:lang w:eastAsia="en-CA"/>
        </w:rPr>
        <w:lastRenderedPageBreak/>
        <w:t>the sphere of transit electrification, and the TTC Arrow Road Garage ESS project explicitly supports the TTC’s initiative to electrify its bus fleet.</w:t>
      </w:r>
      <w:r w:rsidR="00176CBB">
        <w:rPr>
          <w:rStyle w:val="FootnoteReference"/>
          <w:lang w:eastAsia="en-CA"/>
        </w:rPr>
        <w:footnoteReference w:id="51"/>
      </w:r>
      <w:r w:rsidR="00176CBB">
        <w:rPr>
          <w:lang w:eastAsia="en-CA"/>
        </w:rPr>
        <w:t xml:space="preserve"> </w:t>
      </w:r>
    </w:p>
    <w:p w14:paraId="6188D09A" w14:textId="1AC6E5B4" w:rsidR="00AF6D91" w:rsidRDefault="00AF6D91" w:rsidP="00DA16CE">
      <w:pPr>
        <w:pStyle w:val="ListParagraph"/>
        <w:numPr>
          <w:ilvl w:val="0"/>
          <w:numId w:val="8"/>
        </w:numPr>
        <w:rPr>
          <w:lang w:eastAsia="en-CA"/>
        </w:rPr>
      </w:pPr>
      <w:r>
        <w:rPr>
          <w:lang w:eastAsia="en-CA"/>
        </w:rPr>
        <w:t xml:space="preserve">Board Staff </w:t>
      </w:r>
      <w:r w:rsidR="008671CB">
        <w:rPr>
          <w:lang w:eastAsia="en-CA"/>
        </w:rPr>
        <w:t xml:space="preserve">reports this </w:t>
      </w:r>
      <w:proofErr w:type="spellStart"/>
      <w:r w:rsidR="008671CB">
        <w:rPr>
          <w:lang w:eastAsia="en-CA"/>
        </w:rPr>
        <w:t>asse</w:t>
      </w:r>
      <w:r w:rsidR="00D41878">
        <w:rPr>
          <w:lang w:eastAsia="en-CA"/>
        </w:rPr>
        <w:t>sment</w:t>
      </w:r>
      <w:proofErr w:type="spellEnd"/>
      <w:r>
        <w:rPr>
          <w:lang w:eastAsia="en-CA"/>
        </w:rPr>
        <w:t xml:space="preserve"> that using storage as an alternative to convention</w:t>
      </w:r>
      <w:r w:rsidR="00843939">
        <w:rPr>
          <w:lang w:eastAsia="en-CA"/>
        </w:rPr>
        <w:t>al</w:t>
      </w:r>
      <w:r>
        <w:rPr>
          <w:lang w:eastAsia="en-CA"/>
        </w:rPr>
        <w:t xml:space="preserve"> assets to provide distribution service, where it is the lower cost solution over the long term, is consistent with the general expectations articulated by the Board.</w:t>
      </w:r>
      <w:r>
        <w:rPr>
          <w:rStyle w:val="FootnoteReference"/>
          <w:lang w:eastAsia="en-CA"/>
        </w:rPr>
        <w:footnoteReference w:id="52"/>
      </w:r>
      <w:r>
        <w:rPr>
          <w:lang w:eastAsia="en-CA"/>
        </w:rPr>
        <w:t xml:space="preserve"> </w:t>
      </w:r>
      <w:r w:rsidR="00845034">
        <w:rPr>
          <w:lang w:eastAsia="en-CA"/>
        </w:rPr>
        <w:t xml:space="preserve">Board Staff </w:t>
      </w:r>
      <w:r w:rsidR="008671CB">
        <w:rPr>
          <w:lang w:eastAsia="en-CA"/>
        </w:rPr>
        <w:t>and DRC are also aligned in the view that</w:t>
      </w:r>
      <w:r w:rsidR="00845034">
        <w:rPr>
          <w:lang w:eastAsia="en-CA"/>
        </w:rPr>
        <w:t xml:space="preserve"> Toronto Hydro’s grid enhancement and renewable enabling ESS projects are, conceptually, reasonable applications of storage for the distribution system that should be eligible for cost recovery.</w:t>
      </w:r>
      <w:r w:rsidR="00845034">
        <w:rPr>
          <w:rStyle w:val="FootnoteReference"/>
          <w:lang w:eastAsia="en-CA"/>
        </w:rPr>
        <w:footnoteReference w:id="53"/>
      </w:r>
      <w:r w:rsidR="00845034">
        <w:rPr>
          <w:lang w:eastAsia="en-CA"/>
        </w:rPr>
        <w:t xml:space="preserve"> </w:t>
      </w:r>
      <w:r w:rsidR="008671CB">
        <w:rPr>
          <w:lang w:eastAsia="en-CA"/>
        </w:rPr>
        <w:t>Consistent with</w:t>
      </w:r>
      <w:r w:rsidR="00845034">
        <w:rPr>
          <w:lang w:eastAsia="en-CA"/>
        </w:rPr>
        <w:t xml:space="preserve"> Board Staff, DRC </w:t>
      </w:r>
      <w:r w:rsidR="008671CB">
        <w:rPr>
          <w:lang w:eastAsia="en-CA"/>
        </w:rPr>
        <w:t>respectfully requests that the Board require</w:t>
      </w:r>
      <w:r w:rsidR="00845034">
        <w:rPr>
          <w:lang w:eastAsia="en-CA"/>
        </w:rPr>
        <w:t xml:space="preserve"> Toronto Hydro to undertake</w:t>
      </w:r>
      <w:r w:rsidR="008671CB">
        <w:rPr>
          <w:lang w:eastAsia="en-CA"/>
        </w:rPr>
        <w:t xml:space="preserve"> tracking and reporting to</w:t>
      </w:r>
      <w:r w:rsidR="00D41878">
        <w:rPr>
          <w:lang w:eastAsia="en-CA"/>
        </w:rPr>
        <w:t xml:space="preserve"> enable</w:t>
      </w:r>
      <w:r w:rsidR="008671CB">
        <w:rPr>
          <w:lang w:eastAsia="en-CA"/>
        </w:rPr>
        <w:t xml:space="preserve"> </w:t>
      </w:r>
      <w:r w:rsidR="00845034">
        <w:rPr>
          <w:lang w:eastAsia="en-CA"/>
        </w:rPr>
        <w:t xml:space="preserve"> more rigorous cost-benefit assessment, including some estimation or quantification of the value of deferring other distribution system investment where applicable, to support future proposals for energy storage projects.</w:t>
      </w:r>
      <w:r w:rsidR="00845034">
        <w:rPr>
          <w:rStyle w:val="FootnoteReference"/>
          <w:lang w:eastAsia="en-CA"/>
        </w:rPr>
        <w:footnoteReference w:id="54"/>
      </w:r>
      <w:r w:rsidR="00845034">
        <w:rPr>
          <w:lang w:eastAsia="en-CA"/>
        </w:rPr>
        <w:t xml:space="preserve"> </w:t>
      </w:r>
    </w:p>
    <w:p w14:paraId="00B3FAD5" w14:textId="7917921A" w:rsidR="000F12EA" w:rsidRDefault="008671CB" w:rsidP="00DA16CE">
      <w:pPr>
        <w:pStyle w:val="ListParagraph"/>
        <w:numPr>
          <w:ilvl w:val="0"/>
          <w:numId w:val="8"/>
        </w:numPr>
        <w:rPr>
          <w:lang w:eastAsia="en-CA"/>
        </w:rPr>
      </w:pPr>
      <w:r>
        <w:rPr>
          <w:lang w:eastAsia="en-CA"/>
        </w:rPr>
        <w:t xml:space="preserve">In contrast to </w:t>
      </w:r>
      <w:r w:rsidR="000F12EA">
        <w:rPr>
          <w:lang w:eastAsia="en-CA"/>
        </w:rPr>
        <w:t>Board Staff</w:t>
      </w:r>
      <w:r>
        <w:rPr>
          <w:lang w:eastAsia="en-CA"/>
        </w:rPr>
        <w:t>, DRC submits</w:t>
      </w:r>
      <w:r w:rsidR="000F12EA">
        <w:rPr>
          <w:lang w:eastAsia="en-CA"/>
        </w:rPr>
        <w:t xml:space="preserve"> that Toronto Hydro’s customer-specific ESS </w:t>
      </w:r>
      <w:r>
        <w:rPr>
          <w:lang w:eastAsia="en-CA"/>
        </w:rPr>
        <w:t>may in fact constitute “distribution activities</w:t>
      </w:r>
      <w:r w:rsidR="000F12EA">
        <w:rPr>
          <w:lang w:eastAsia="en-CA"/>
        </w:rPr>
        <w:t>” because the storage systems</w:t>
      </w:r>
      <w:r>
        <w:rPr>
          <w:lang w:eastAsia="en-CA"/>
        </w:rPr>
        <w:t xml:space="preserve"> particularly those for electrified public transit</w:t>
      </w:r>
      <w:r w:rsidR="000F12EA">
        <w:rPr>
          <w:lang w:eastAsia="en-CA"/>
        </w:rPr>
        <w:t xml:space="preserve"> do  meet criteria established by the Board for categorizing distribution system assets and the proposed services are </w:t>
      </w:r>
      <w:r>
        <w:rPr>
          <w:lang w:eastAsia="en-CA"/>
        </w:rPr>
        <w:t>services</w:t>
      </w:r>
      <w:r w:rsidR="000F12EA">
        <w:rPr>
          <w:lang w:eastAsia="en-CA"/>
        </w:rPr>
        <w:t xml:space="preserve"> that distributors are required</w:t>
      </w:r>
      <w:r>
        <w:rPr>
          <w:lang w:eastAsia="en-CA"/>
        </w:rPr>
        <w:t xml:space="preserve"> and should </w:t>
      </w:r>
      <w:r w:rsidR="000F12EA">
        <w:rPr>
          <w:lang w:eastAsia="en-CA"/>
        </w:rPr>
        <w:t>deliver</w:t>
      </w:r>
      <w:r w:rsidR="000F12EA">
        <w:rPr>
          <w:rStyle w:val="FootnoteReference"/>
          <w:lang w:eastAsia="en-CA"/>
        </w:rPr>
        <w:footnoteReference w:id="55"/>
      </w:r>
      <w:r>
        <w:rPr>
          <w:lang w:eastAsia="en-CA"/>
        </w:rPr>
        <w:t>,</w:t>
      </w:r>
      <w:r w:rsidRPr="008671CB">
        <w:rPr>
          <w:lang w:eastAsia="en-CA"/>
        </w:rPr>
        <w:t xml:space="preserve"> </w:t>
      </w:r>
      <w:r>
        <w:rPr>
          <w:lang w:eastAsia="en-CA"/>
        </w:rPr>
        <w:t>in the public interest.</w:t>
      </w:r>
      <w:r w:rsidR="000F12EA">
        <w:rPr>
          <w:rStyle w:val="FootnoteReference"/>
          <w:lang w:eastAsia="en-CA"/>
        </w:rPr>
        <w:footnoteReference w:id="56"/>
      </w:r>
      <w:r w:rsidR="000F12EA">
        <w:rPr>
          <w:lang w:eastAsia="en-CA"/>
        </w:rPr>
        <w:t xml:space="preserve"> </w:t>
      </w:r>
    </w:p>
    <w:p w14:paraId="5FC71609" w14:textId="5F331D88" w:rsidR="00F2281E" w:rsidRDefault="003949BF" w:rsidP="00DA16CE">
      <w:pPr>
        <w:pStyle w:val="ListParagraph"/>
        <w:numPr>
          <w:ilvl w:val="0"/>
          <w:numId w:val="8"/>
        </w:numPr>
        <w:rPr>
          <w:lang w:eastAsia="en-CA"/>
        </w:rPr>
      </w:pPr>
      <w:r>
        <w:rPr>
          <w:lang w:eastAsia="en-CA"/>
        </w:rPr>
        <w:t>DRC</w:t>
      </w:r>
      <w:r w:rsidR="007B11F5">
        <w:rPr>
          <w:lang w:eastAsia="en-CA"/>
        </w:rPr>
        <w:t xml:space="preserve"> </w:t>
      </w:r>
      <w:r>
        <w:rPr>
          <w:lang w:eastAsia="en-CA"/>
        </w:rPr>
        <w:t>takes no</w:t>
      </w:r>
      <w:r w:rsidR="008671CB">
        <w:rPr>
          <w:lang w:eastAsia="en-CA"/>
        </w:rPr>
        <w:t xml:space="preserve"> general</w:t>
      </w:r>
      <w:r>
        <w:rPr>
          <w:lang w:eastAsia="en-CA"/>
        </w:rPr>
        <w:t xml:space="preserve"> position</w:t>
      </w:r>
      <w:r w:rsidR="007B11F5">
        <w:rPr>
          <w:lang w:eastAsia="en-CA"/>
        </w:rPr>
        <w:t xml:space="preserve"> at this time</w:t>
      </w:r>
      <w:r>
        <w:rPr>
          <w:lang w:eastAsia="en-CA"/>
        </w:rPr>
        <w:t xml:space="preserve"> on whether EV charging services </w:t>
      </w:r>
      <w:r w:rsidR="00601E31">
        <w:rPr>
          <w:lang w:eastAsia="en-CA"/>
        </w:rPr>
        <w:t>are</w:t>
      </w:r>
      <w:r>
        <w:rPr>
          <w:lang w:eastAsia="en-CA"/>
        </w:rPr>
        <w:t xml:space="preserve"> “distribution activit</w:t>
      </w:r>
      <w:r w:rsidR="00601E31">
        <w:rPr>
          <w:lang w:eastAsia="en-CA"/>
        </w:rPr>
        <w:t>ies</w:t>
      </w:r>
      <w:r>
        <w:rPr>
          <w:lang w:eastAsia="en-CA"/>
        </w:rPr>
        <w:t xml:space="preserve">” </w:t>
      </w:r>
      <w:r w:rsidR="008671CB">
        <w:rPr>
          <w:lang w:eastAsia="en-CA"/>
        </w:rPr>
        <w:t>, but notes that the BCUC has recently supported utility involvement in such services.</w:t>
      </w:r>
      <w:r w:rsidR="00D206AB">
        <w:rPr>
          <w:rStyle w:val="FootnoteReference"/>
          <w:lang w:eastAsia="en-CA"/>
        </w:rPr>
        <w:footnoteReference w:id="57"/>
      </w:r>
      <w:r w:rsidR="008671CB">
        <w:rPr>
          <w:lang w:eastAsia="en-CA"/>
        </w:rPr>
        <w:t xml:space="preserve"> </w:t>
      </w:r>
      <w:r w:rsidR="00F2281E">
        <w:rPr>
          <w:lang w:eastAsia="en-CA"/>
        </w:rPr>
        <w:t xml:space="preserve">DRC also takes no position at this time on whether DER and EV </w:t>
      </w:r>
      <w:r w:rsidR="00F2281E" w:rsidRPr="00F2281E">
        <w:rPr>
          <w:lang w:eastAsia="en-CA"/>
        </w:rPr>
        <w:t xml:space="preserve">infrastructure </w:t>
      </w:r>
      <w:r w:rsidR="00F2281E">
        <w:rPr>
          <w:lang w:eastAsia="en-CA"/>
        </w:rPr>
        <w:t xml:space="preserve">should be </w:t>
      </w:r>
      <w:r w:rsidR="00F2281E" w:rsidRPr="00F2281E">
        <w:rPr>
          <w:lang w:eastAsia="en-CA"/>
        </w:rPr>
        <w:t xml:space="preserve">directly owned by </w:t>
      </w:r>
      <w:r w:rsidR="00F2281E">
        <w:rPr>
          <w:lang w:eastAsia="en-CA"/>
        </w:rPr>
        <w:t>a</w:t>
      </w:r>
      <w:r w:rsidR="00F2281E" w:rsidRPr="00F2281E">
        <w:rPr>
          <w:lang w:eastAsia="en-CA"/>
        </w:rPr>
        <w:t xml:space="preserve"> utility, a competitive </w:t>
      </w:r>
      <w:r w:rsidR="00F2281E" w:rsidRPr="00F2281E">
        <w:rPr>
          <w:lang w:eastAsia="en-CA"/>
        </w:rPr>
        <w:lastRenderedPageBreak/>
        <w:t xml:space="preserve">affiliate, or an arm’s length entity. </w:t>
      </w:r>
      <w:r w:rsidR="00D206AB">
        <w:rPr>
          <w:lang w:eastAsia="en-CA"/>
        </w:rPr>
        <w:t xml:space="preserve">However </w:t>
      </w:r>
      <w:r w:rsidR="00F2281E" w:rsidRPr="00F2281E">
        <w:rPr>
          <w:lang w:eastAsia="en-CA"/>
        </w:rPr>
        <w:t>DRC hopes to ensure that efficient EV and EV-related DERs are not precluded from consideration as efficient options for Toronto Hydro</w:t>
      </w:r>
      <w:r w:rsidR="00D206AB">
        <w:rPr>
          <w:lang w:eastAsia="en-CA"/>
        </w:rPr>
        <w:t xml:space="preserve"> and its customers</w:t>
      </w:r>
      <w:r w:rsidR="00F2281E" w:rsidRPr="00F2281E">
        <w:rPr>
          <w:lang w:eastAsia="en-CA"/>
        </w:rPr>
        <w:t xml:space="preserve"> in optimizing the distribution system.</w:t>
      </w:r>
      <w:r w:rsidR="00F2281E" w:rsidRPr="00F2281E">
        <w:rPr>
          <w:vertAlign w:val="superscript"/>
          <w:lang w:eastAsia="en-CA"/>
        </w:rPr>
        <w:footnoteReference w:id="58"/>
      </w:r>
    </w:p>
    <w:p w14:paraId="7BFCBA32" w14:textId="5953B1F1" w:rsidR="00D206AB" w:rsidRDefault="00D206AB" w:rsidP="009328E0">
      <w:pPr>
        <w:pStyle w:val="ListParagraph"/>
        <w:numPr>
          <w:ilvl w:val="0"/>
          <w:numId w:val="8"/>
        </w:numPr>
        <w:rPr>
          <w:lang w:eastAsia="en-CA"/>
        </w:rPr>
      </w:pPr>
      <w:r>
        <w:rPr>
          <w:lang w:eastAsia="en-CA"/>
        </w:rPr>
        <w:t>While the Board appear to be here active DER policy proceedings (EB-2018-0287/0288; 2019-0207), these are not conducive to considering specific Toronto Hydro DER investments that may be beneficial to rate payers over the 2020-2024 period.</w:t>
      </w:r>
    </w:p>
    <w:p w14:paraId="27098CA4" w14:textId="5C043EFA" w:rsidR="000D52CC" w:rsidRPr="00D206AB" w:rsidRDefault="00D206AB" w:rsidP="00D206AB">
      <w:pPr>
        <w:ind w:left="567"/>
        <w:rPr>
          <w:b/>
          <w:lang w:eastAsia="en-CA"/>
        </w:rPr>
      </w:pPr>
      <w:r w:rsidRPr="00D206AB">
        <w:rPr>
          <w:b/>
          <w:lang w:eastAsia="en-CA"/>
        </w:rPr>
        <w:t xml:space="preserve">C. </w:t>
      </w:r>
      <w:r w:rsidR="000D52CC" w:rsidRPr="00D206AB">
        <w:rPr>
          <w:b/>
          <w:lang w:eastAsia="en-CA"/>
        </w:rPr>
        <w:t>E7.4 – Stations Expansion</w:t>
      </w:r>
      <w:r w:rsidR="0042221E" w:rsidRPr="00D206AB">
        <w:rPr>
          <w:b/>
          <w:lang w:eastAsia="en-CA"/>
        </w:rPr>
        <w:t xml:space="preserve"> </w:t>
      </w:r>
    </w:p>
    <w:p w14:paraId="0052FBBB" w14:textId="3AF9156C" w:rsidR="00DA3940" w:rsidRDefault="00DA3940" w:rsidP="00DA16CE">
      <w:pPr>
        <w:pStyle w:val="ListParagraph"/>
        <w:numPr>
          <w:ilvl w:val="0"/>
          <w:numId w:val="8"/>
        </w:numPr>
        <w:rPr>
          <w:lang w:eastAsia="en-CA"/>
        </w:rPr>
      </w:pPr>
      <w:r>
        <w:rPr>
          <w:lang w:eastAsia="en-CA"/>
        </w:rPr>
        <w:t>DRC supports the Local DR segment of Toronto Hydro’s Stations expansion program, which includes non-wires investments to manage local capacity constraints while deferring larger, traditional wires investments.</w:t>
      </w:r>
      <w:r>
        <w:rPr>
          <w:rStyle w:val="FootnoteReference"/>
          <w:lang w:eastAsia="en-CA"/>
        </w:rPr>
        <w:footnoteReference w:id="59"/>
      </w:r>
      <w:r>
        <w:rPr>
          <w:lang w:eastAsia="en-CA"/>
        </w:rPr>
        <w:t xml:space="preserve"> </w:t>
      </w:r>
    </w:p>
    <w:p w14:paraId="1BFCD8BE" w14:textId="37B28DCC" w:rsidR="001862DC" w:rsidRDefault="003129D3" w:rsidP="00DA16CE">
      <w:pPr>
        <w:pStyle w:val="ListParagraph"/>
        <w:numPr>
          <w:ilvl w:val="0"/>
          <w:numId w:val="8"/>
        </w:numPr>
        <w:rPr>
          <w:lang w:eastAsia="en-CA"/>
        </w:rPr>
      </w:pPr>
      <w:r>
        <w:rPr>
          <w:lang w:eastAsia="en-CA"/>
        </w:rPr>
        <w:t>The next phase of local DR is expected to reduce peak load by about 10 MW over the 2020 to 2024 period, supporting the deferral of capital investments of approximately $135 million by five to six years.</w:t>
      </w:r>
      <w:r>
        <w:rPr>
          <w:rStyle w:val="FootnoteReference"/>
          <w:lang w:eastAsia="en-CA"/>
        </w:rPr>
        <w:footnoteReference w:id="60"/>
      </w:r>
      <w:r>
        <w:rPr>
          <w:lang w:eastAsia="en-CA"/>
        </w:rPr>
        <w:t xml:space="preserve"> DRC submits that Toronto Hydro’s</w:t>
      </w:r>
      <w:r w:rsidR="00794876">
        <w:rPr>
          <w:lang w:eastAsia="en-CA"/>
        </w:rPr>
        <w:t xml:space="preserve"> information and </w:t>
      </w:r>
      <w:r>
        <w:rPr>
          <w:lang w:eastAsia="en-CA"/>
        </w:rPr>
        <w:t xml:space="preserve"> financial </w:t>
      </w:r>
      <w:proofErr w:type="spellStart"/>
      <w:r>
        <w:rPr>
          <w:lang w:eastAsia="en-CA"/>
        </w:rPr>
        <w:t>modelling</w:t>
      </w:r>
      <w:proofErr w:type="spellEnd"/>
      <w:r>
        <w:rPr>
          <w:lang w:eastAsia="en-CA"/>
        </w:rPr>
        <w:t xml:space="preserve"> of the deferred investments in this case is helpful in assessing the relative merits of a project </w:t>
      </w:r>
      <w:r w:rsidR="00737D41">
        <w:rPr>
          <w:lang w:eastAsia="en-CA"/>
        </w:rPr>
        <w:t xml:space="preserve">that </w:t>
      </w:r>
      <w:r>
        <w:rPr>
          <w:lang w:eastAsia="en-CA"/>
        </w:rPr>
        <w:t>realizes the benefits of DERs in relation to the distribution system</w:t>
      </w:r>
      <w:r w:rsidR="00DA3940">
        <w:rPr>
          <w:lang w:eastAsia="en-CA"/>
        </w:rPr>
        <w:t xml:space="preserve"> and should be extended to other areas of the Capital Plan where innovative strategies can assist in </w:t>
      </w:r>
      <w:r w:rsidR="00DA3940" w:rsidRPr="00DA3940">
        <w:rPr>
          <w:lang w:eastAsia="en-CA"/>
        </w:rPr>
        <w:t>optimizing existing energy assets</w:t>
      </w:r>
      <w:r w:rsidR="00DA3940">
        <w:rPr>
          <w:lang w:eastAsia="en-CA"/>
        </w:rPr>
        <w:t xml:space="preserve"> and</w:t>
      </w:r>
      <w:r w:rsidR="00DA3940" w:rsidRPr="00DA3940">
        <w:rPr>
          <w:lang w:eastAsia="en-CA"/>
        </w:rPr>
        <w:t xml:space="preserve"> efficiently facilitating the integration and connection of </w:t>
      </w:r>
      <w:r w:rsidR="00DA3940">
        <w:rPr>
          <w:lang w:eastAsia="en-CA"/>
        </w:rPr>
        <w:t xml:space="preserve">DERs </w:t>
      </w:r>
      <w:r w:rsidR="00DA3940" w:rsidRPr="00DA3940">
        <w:rPr>
          <w:lang w:eastAsia="en-CA"/>
        </w:rPr>
        <w:t>to achieve customer and grid solutions</w:t>
      </w:r>
      <w:r w:rsidR="00794876">
        <w:rPr>
          <w:lang w:eastAsia="en-CA"/>
        </w:rPr>
        <w:t>, as recommended by Dr. Petrunic.</w:t>
      </w:r>
    </w:p>
    <w:p w14:paraId="73EBA57F" w14:textId="6C4826E8" w:rsidR="00E77303" w:rsidRPr="00AF6D91" w:rsidRDefault="00E77303" w:rsidP="00B41269">
      <w:pPr>
        <w:pStyle w:val="Heading3"/>
        <w:rPr>
          <w:lang w:eastAsia="en-CA"/>
        </w:rPr>
      </w:pPr>
      <w:r w:rsidRPr="00E77303">
        <w:rPr>
          <w:lang w:eastAsia="en-CA"/>
        </w:rPr>
        <w:lastRenderedPageBreak/>
        <w:t xml:space="preserve">E8.1 – Control Operations and Reinforcement </w:t>
      </w:r>
    </w:p>
    <w:p w14:paraId="5DAA06C6" w14:textId="477264D9" w:rsidR="00C52237" w:rsidRDefault="00D34B88" w:rsidP="00DA16CE">
      <w:pPr>
        <w:pStyle w:val="ListParagraph"/>
        <w:numPr>
          <w:ilvl w:val="0"/>
          <w:numId w:val="8"/>
        </w:numPr>
        <w:rPr>
          <w:lang w:eastAsia="en-CA"/>
        </w:rPr>
      </w:pPr>
      <w:bookmarkStart w:id="1" w:name="_Ref17529147"/>
      <w:r>
        <w:rPr>
          <w:lang w:eastAsia="en-CA"/>
        </w:rPr>
        <w:t>DRC</w:t>
      </w:r>
      <w:bookmarkEnd w:id="1"/>
      <w:r>
        <w:rPr>
          <w:lang w:eastAsia="en-CA"/>
        </w:rPr>
        <w:t xml:space="preserve"> </w:t>
      </w:r>
      <w:r w:rsidR="00256EAD">
        <w:rPr>
          <w:lang w:eastAsia="en-CA"/>
        </w:rPr>
        <w:t xml:space="preserve">supports Toronto Hydro’s dual control centre proposal, which will facilitate the utility’s capacity to manage bi-directional flow of electricity, which will </w:t>
      </w:r>
      <w:r w:rsidR="008629DC">
        <w:rPr>
          <w:lang w:eastAsia="en-CA"/>
        </w:rPr>
        <w:t>enable several DER and EV-related DER efficiencies.</w:t>
      </w:r>
    </w:p>
    <w:p w14:paraId="746954C0" w14:textId="0D895931" w:rsidR="00FA0A7A" w:rsidRPr="00E77303" w:rsidRDefault="00840F76" w:rsidP="00DA16CE">
      <w:pPr>
        <w:pStyle w:val="ListParagraph"/>
        <w:numPr>
          <w:ilvl w:val="0"/>
          <w:numId w:val="8"/>
        </w:numPr>
        <w:rPr>
          <w:lang w:eastAsia="en-CA"/>
        </w:rPr>
      </w:pPr>
      <w:r>
        <w:rPr>
          <w:lang w:eastAsia="en-CA"/>
        </w:rPr>
        <w:t>Toronto Hydro states that its Control Operations Reinforcement program will increase its operational resiliency and improve its ability to safely operate the distribution grid with a dual control centre.</w:t>
      </w:r>
      <w:r w:rsidR="007D3DBA">
        <w:rPr>
          <w:rStyle w:val="FootnoteReference"/>
          <w:lang w:eastAsia="en-CA"/>
        </w:rPr>
        <w:footnoteReference w:id="61"/>
      </w:r>
      <w:r>
        <w:rPr>
          <w:lang w:eastAsia="en-CA"/>
        </w:rPr>
        <w:t xml:space="preserve"> Toronto Hydro retained </w:t>
      </w:r>
      <w:r w:rsidR="00501D2C">
        <w:rPr>
          <w:lang w:eastAsia="en-CA"/>
        </w:rPr>
        <w:t>LEI</w:t>
      </w:r>
      <w:r>
        <w:rPr>
          <w:lang w:eastAsia="en-CA"/>
        </w:rPr>
        <w:t xml:space="preserve"> to review comparator utilities with fully functional dual control </w:t>
      </w:r>
      <w:proofErr w:type="spellStart"/>
      <w:r>
        <w:rPr>
          <w:lang w:eastAsia="en-CA"/>
        </w:rPr>
        <w:t>centres</w:t>
      </w:r>
      <w:proofErr w:type="spellEnd"/>
      <w:r>
        <w:rPr>
          <w:lang w:eastAsia="en-CA"/>
        </w:rPr>
        <w:t xml:space="preserve"> and assess whether the investment is economically justifiable.</w:t>
      </w:r>
      <w:r>
        <w:rPr>
          <w:rStyle w:val="FootnoteReference"/>
          <w:lang w:eastAsia="en-CA"/>
        </w:rPr>
        <w:footnoteReference w:id="62"/>
      </w:r>
      <w:r w:rsidR="00B8703F">
        <w:rPr>
          <w:lang w:eastAsia="en-CA"/>
        </w:rPr>
        <w:t xml:space="preserve"> LEI determined, </w:t>
      </w:r>
      <w:r w:rsidR="00B8703F">
        <w:rPr>
          <w:i/>
          <w:lang w:eastAsia="en-CA"/>
        </w:rPr>
        <w:t>inter alia</w:t>
      </w:r>
      <w:r w:rsidR="00B8703F">
        <w:rPr>
          <w:lang w:eastAsia="en-CA"/>
        </w:rPr>
        <w:t>, that the impact of DERs on the role of distribution utilities is one of the justifications for the dual control centre proposal.</w:t>
      </w:r>
      <w:r w:rsidR="00B8703F">
        <w:rPr>
          <w:rStyle w:val="FootnoteReference"/>
          <w:lang w:eastAsia="en-CA"/>
        </w:rPr>
        <w:footnoteReference w:id="63"/>
      </w:r>
      <w:r w:rsidR="00B8703F">
        <w:rPr>
          <w:lang w:eastAsia="en-CA"/>
        </w:rPr>
        <w:t xml:space="preserve"> </w:t>
      </w:r>
      <w:r w:rsidR="001460B4">
        <w:rPr>
          <w:lang w:eastAsia="en-CA"/>
        </w:rPr>
        <w:t>Toronto Hydro acknowledges that the fundamental change in control centre operations as a result of the new smart grid ecosystem is a shift towards the management of bi-directional power flow. This impacts the complexity and volume of control centre actions in several ways</w:t>
      </w:r>
      <w:r w:rsidR="003A14E1">
        <w:rPr>
          <w:lang w:eastAsia="en-CA"/>
        </w:rPr>
        <w:t>.</w:t>
      </w:r>
      <w:r w:rsidR="003A14E1">
        <w:rPr>
          <w:rStyle w:val="FootnoteReference"/>
          <w:lang w:eastAsia="en-CA"/>
        </w:rPr>
        <w:footnoteReference w:id="64"/>
      </w:r>
      <w:r w:rsidR="001460B4">
        <w:rPr>
          <w:lang w:eastAsia="en-CA"/>
        </w:rPr>
        <w:t xml:space="preserve"> </w:t>
      </w:r>
    </w:p>
    <w:p w14:paraId="6BF5C9A3" w14:textId="77D15D67" w:rsidR="00E77303" w:rsidRDefault="00B41269" w:rsidP="00B41269">
      <w:pPr>
        <w:pStyle w:val="Heading3"/>
        <w:rPr>
          <w:lang w:eastAsia="en-CA"/>
        </w:rPr>
      </w:pPr>
      <w:r>
        <w:rPr>
          <w:lang w:eastAsia="en-CA"/>
        </w:rPr>
        <w:t xml:space="preserve">E8.3 – Fleet and Equipment Services </w:t>
      </w:r>
      <w:r w:rsidR="00E77303">
        <w:rPr>
          <w:lang w:eastAsia="en-CA"/>
        </w:rPr>
        <w:t>Fleet.</w:t>
      </w:r>
    </w:p>
    <w:p w14:paraId="79365FE5" w14:textId="3A98BCF4" w:rsidR="008629DC" w:rsidRDefault="008629DC" w:rsidP="00DA16CE">
      <w:pPr>
        <w:pStyle w:val="ListParagraph"/>
        <w:numPr>
          <w:ilvl w:val="0"/>
          <w:numId w:val="8"/>
        </w:numPr>
        <w:rPr>
          <w:lang w:eastAsia="en-CA"/>
        </w:rPr>
      </w:pPr>
      <w:r>
        <w:rPr>
          <w:lang w:eastAsia="en-CA"/>
        </w:rPr>
        <w:t xml:space="preserve">Toronto Hydro’s existing light-duty vehicle fleet has nine </w:t>
      </w:r>
      <w:proofErr w:type="spellStart"/>
      <w:r>
        <w:rPr>
          <w:lang w:eastAsia="en-CA"/>
        </w:rPr>
        <w:t>EVs</w:t>
      </w:r>
      <w:proofErr w:type="spellEnd"/>
      <w:r>
        <w:rPr>
          <w:lang w:eastAsia="en-CA"/>
        </w:rPr>
        <w:t>, 41 hybrid electric vehicles, and 153 non-EV/non-hybrid vehicles.</w:t>
      </w:r>
      <w:r>
        <w:rPr>
          <w:rStyle w:val="FootnoteReference"/>
          <w:lang w:eastAsia="en-CA"/>
        </w:rPr>
        <w:footnoteReference w:id="65"/>
      </w:r>
      <w:r>
        <w:rPr>
          <w:lang w:eastAsia="en-CA"/>
        </w:rPr>
        <w:t xml:space="preserve"> Its existing heavy-duty vehicle fleet has 0 </w:t>
      </w:r>
      <w:proofErr w:type="spellStart"/>
      <w:r>
        <w:rPr>
          <w:lang w:eastAsia="en-CA"/>
        </w:rPr>
        <w:t>EVs</w:t>
      </w:r>
      <w:proofErr w:type="spellEnd"/>
      <w:r>
        <w:rPr>
          <w:lang w:eastAsia="en-CA"/>
        </w:rPr>
        <w:t>, 3 hybrid electric vehicles, and 226 non-EV/non-hybrid vehicles.</w:t>
      </w:r>
      <w:r>
        <w:rPr>
          <w:rStyle w:val="FootnoteReference"/>
          <w:lang w:eastAsia="en-CA"/>
        </w:rPr>
        <w:footnoteReference w:id="66"/>
      </w:r>
      <w:r>
        <w:rPr>
          <w:lang w:eastAsia="en-CA"/>
        </w:rPr>
        <w:t xml:space="preserve"> Toronto Hydro was unable to provide a comparison of the differences between the fuel costs for </w:t>
      </w:r>
      <w:proofErr w:type="spellStart"/>
      <w:r>
        <w:rPr>
          <w:lang w:eastAsia="en-CA"/>
        </w:rPr>
        <w:t>EVs</w:t>
      </w:r>
      <w:proofErr w:type="spellEnd"/>
      <w:r>
        <w:rPr>
          <w:lang w:eastAsia="en-CA"/>
        </w:rPr>
        <w:t xml:space="preserve"> versus </w:t>
      </w:r>
      <w:proofErr w:type="spellStart"/>
      <w:r>
        <w:rPr>
          <w:lang w:eastAsia="en-CA"/>
        </w:rPr>
        <w:t>non-EVs</w:t>
      </w:r>
      <w:proofErr w:type="spellEnd"/>
      <w:r>
        <w:rPr>
          <w:lang w:eastAsia="en-CA"/>
        </w:rPr>
        <w:t xml:space="preserve"> </w:t>
      </w:r>
      <w:r w:rsidR="00794876">
        <w:rPr>
          <w:lang w:eastAsia="en-CA"/>
        </w:rPr>
        <w:t>indicating that</w:t>
      </w:r>
      <w:r>
        <w:rPr>
          <w:lang w:eastAsia="en-CA"/>
        </w:rPr>
        <w:t xml:space="preserve"> “EV fuel costs are not tracked separately from non-EV […] fuel costs.”</w:t>
      </w:r>
      <w:r>
        <w:rPr>
          <w:rStyle w:val="FootnoteReference"/>
          <w:lang w:eastAsia="en-CA"/>
        </w:rPr>
        <w:footnoteReference w:id="67"/>
      </w:r>
      <w:r w:rsidR="00794876">
        <w:rPr>
          <w:lang w:eastAsia="en-CA"/>
        </w:rPr>
        <w:t xml:space="preserve"> DRC respectfully submits that any and all fleet investments should be supported by a break down of fuel, capital, and operating costs and the related legacy costs associated with internal combustion engine fleet </w:t>
      </w:r>
      <w:r w:rsidR="00794876">
        <w:rPr>
          <w:lang w:eastAsia="en-CA"/>
        </w:rPr>
        <w:lastRenderedPageBreak/>
        <w:t xml:space="preserve">vehicles should not be </w:t>
      </w:r>
      <w:r w:rsidR="00A603E0">
        <w:rPr>
          <w:lang w:eastAsia="en-CA"/>
        </w:rPr>
        <w:t xml:space="preserve">supported and included in the revenue requirements absent such information. </w:t>
      </w:r>
    </w:p>
    <w:p w14:paraId="4FD46381" w14:textId="57DD701A" w:rsidR="00E37B8B" w:rsidRDefault="00E37B8B" w:rsidP="00DA16CE">
      <w:pPr>
        <w:pStyle w:val="ListParagraph"/>
        <w:numPr>
          <w:ilvl w:val="0"/>
          <w:numId w:val="8"/>
        </w:numPr>
        <w:rPr>
          <w:lang w:val="en-CA" w:eastAsia="en-CA"/>
        </w:rPr>
      </w:pPr>
      <w:r>
        <w:rPr>
          <w:lang w:val="en-CA" w:eastAsia="en-CA"/>
        </w:rPr>
        <w:t xml:space="preserve">In addition to a purchase incentive for </w:t>
      </w:r>
      <w:proofErr w:type="spellStart"/>
      <w:r>
        <w:rPr>
          <w:lang w:val="en-CA" w:eastAsia="en-CA"/>
        </w:rPr>
        <w:t>EVs</w:t>
      </w:r>
      <w:proofErr w:type="spellEnd"/>
      <w:r>
        <w:rPr>
          <w:lang w:val="en-CA" w:eastAsia="en-CA"/>
        </w:rPr>
        <w:t xml:space="preserve"> of $</w:t>
      </w:r>
      <w:proofErr w:type="spellStart"/>
      <w:r>
        <w:rPr>
          <w:lang w:val="en-CA" w:eastAsia="en-CA"/>
        </w:rPr>
        <w:t>5,000,the</w:t>
      </w:r>
      <w:proofErr w:type="spellEnd"/>
      <w:r>
        <w:rPr>
          <w:lang w:val="en-CA" w:eastAsia="en-CA"/>
        </w:rPr>
        <w:t xml:space="preserve"> 2019 federal budget provides for a series of financial incentives directed at electrification of light-duty, medium-duty, and heavy-duty vehicle fleets. Capital costs for eligible ZEVs will be deductible up to a limit of $55,000 plus sales tax, which is higher than the current capital cost limit of $30,000 plus sales tax.</w:t>
      </w:r>
      <w:r>
        <w:rPr>
          <w:rStyle w:val="FootnoteReference"/>
          <w:lang w:val="en-CA" w:eastAsia="en-CA"/>
        </w:rPr>
        <w:footnoteReference w:id="68"/>
      </w:r>
      <w:r>
        <w:rPr>
          <w:lang w:val="en-CA" w:eastAsia="en-CA"/>
        </w:rPr>
        <w:t xml:space="preserve"> Toronto Hydro indicated in an undertaking response to DRC that “closer to the time of procurement, and based on a number of factors such as availability, cost and business needs, the utility may consider [ZEVs].”</w:t>
      </w:r>
      <w:r>
        <w:rPr>
          <w:rStyle w:val="FootnoteReference"/>
          <w:lang w:val="en-CA" w:eastAsia="en-CA"/>
        </w:rPr>
        <w:footnoteReference w:id="69"/>
      </w:r>
      <w:r>
        <w:rPr>
          <w:lang w:val="en-CA" w:eastAsia="en-CA"/>
        </w:rPr>
        <w:t xml:space="preserve"> It further indicated that, “at this time, Toronto Hydr</w:t>
      </w:r>
      <w:r w:rsidR="00892351">
        <w:rPr>
          <w:lang w:val="en-CA" w:eastAsia="en-CA"/>
        </w:rPr>
        <w:t>o</w:t>
      </w:r>
      <w:r>
        <w:rPr>
          <w:lang w:val="en-CA" w:eastAsia="en-CA"/>
        </w:rPr>
        <w:t xml:space="preserve"> </w:t>
      </w:r>
      <w:r w:rsidR="00892351">
        <w:rPr>
          <w:lang w:val="en-CA" w:eastAsia="en-CA"/>
        </w:rPr>
        <w:t>d</w:t>
      </w:r>
      <w:r>
        <w:rPr>
          <w:lang w:val="en-CA" w:eastAsia="en-CA"/>
        </w:rPr>
        <w:t>oes not have the information to determine whether or not it qualifies for the [2019 federal budget] incentives.”</w:t>
      </w:r>
      <w:r>
        <w:rPr>
          <w:rStyle w:val="FootnoteReference"/>
          <w:lang w:val="en-CA" w:eastAsia="en-CA"/>
        </w:rPr>
        <w:footnoteReference w:id="70"/>
      </w:r>
      <w:r w:rsidR="00A603E0">
        <w:rPr>
          <w:lang w:val="en-CA" w:eastAsia="en-CA"/>
        </w:rPr>
        <w:t xml:space="preserve"> The Board should therefore consider the available EV incentives its consideration of Toronto Hydro's proposal fleet capital and operating budget.</w:t>
      </w:r>
    </w:p>
    <w:p w14:paraId="62760527" w14:textId="77777777" w:rsidR="00AE0E06" w:rsidRPr="00814111" w:rsidRDefault="00AE0E06" w:rsidP="008629DC">
      <w:pPr>
        <w:pStyle w:val="Quotations"/>
        <w:keepNext/>
        <w:ind w:left="0"/>
        <w:rPr>
          <w:rFonts w:cs="Arial"/>
          <w:b/>
          <w:i/>
          <w:sz w:val="22"/>
          <w:szCs w:val="22"/>
          <w:shd w:val="clear" w:color="auto" w:fill="FFFFFF"/>
        </w:rPr>
      </w:pPr>
    </w:p>
    <w:p w14:paraId="64B0986F" w14:textId="76EF5778" w:rsidR="00D410F5" w:rsidRPr="00814111" w:rsidRDefault="006862B4" w:rsidP="006862B4">
      <w:pPr>
        <w:keepNext/>
        <w:keepLines/>
        <w:autoSpaceDE w:val="0"/>
        <w:autoSpaceDN w:val="0"/>
        <w:adjustRightInd w:val="0"/>
        <w:spacing w:after="0"/>
        <w:ind w:left="4962"/>
        <w:rPr>
          <w:rFonts w:cs="Arial"/>
          <w:szCs w:val="22"/>
          <w:lang w:eastAsia="en-CA"/>
        </w:rPr>
      </w:pPr>
      <w:r w:rsidRPr="00814111">
        <w:rPr>
          <w:rFonts w:cs="Arial"/>
          <w:szCs w:val="22"/>
          <w:lang w:eastAsia="en-CA"/>
        </w:rPr>
        <w:t xml:space="preserve">ALL OF WHICH IS RESPECTFULLY </w:t>
      </w:r>
      <w:r w:rsidR="00D410F5" w:rsidRPr="00814111">
        <w:rPr>
          <w:rFonts w:cs="Arial"/>
          <w:szCs w:val="22"/>
          <w:lang w:eastAsia="en-CA"/>
        </w:rPr>
        <w:t>SUBMITTED THIS</w:t>
      </w:r>
      <w:r w:rsidR="008A1344" w:rsidRPr="00814111">
        <w:rPr>
          <w:rFonts w:cs="Arial"/>
          <w:szCs w:val="22"/>
          <w:lang w:eastAsia="en-CA"/>
        </w:rPr>
        <w:t xml:space="preserve"> </w:t>
      </w:r>
      <w:r w:rsidR="009E183F">
        <w:rPr>
          <w:rFonts w:cs="Arial"/>
          <w:szCs w:val="22"/>
          <w:lang w:eastAsia="en-CA"/>
        </w:rPr>
        <w:t>28</w:t>
      </w:r>
      <w:r w:rsidR="009E183F" w:rsidRPr="009E183F">
        <w:rPr>
          <w:rFonts w:cs="Arial"/>
          <w:szCs w:val="22"/>
          <w:vertAlign w:val="superscript"/>
          <w:lang w:eastAsia="en-CA"/>
        </w:rPr>
        <w:t>th</w:t>
      </w:r>
      <w:r w:rsidR="005F2A89">
        <w:rPr>
          <w:rFonts w:cs="Arial"/>
          <w:szCs w:val="22"/>
          <w:lang w:eastAsia="en-CA"/>
        </w:rPr>
        <w:t xml:space="preserve"> day of August, 2019</w:t>
      </w:r>
      <w:r w:rsidR="00317B95">
        <w:rPr>
          <w:rFonts w:cs="Arial"/>
          <w:szCs w:val="22"/>
          <w:lang w:eastAsia="en-CA"/>
        </w:rPr>
        <w:t>.</w:t>
      </w:r>
    </w:p>
    <w:tbl>
      <w:tblPr>
        <w:tblW w:w="0" w:type="auto"/>
        <w:tblLayout w:type="fixed"/>
        <w:tblLook w:val="0000" w:firstRow="0" w:lastRow="0" w:firstColumn="0" w:lastColumn="0" w:noHBand="0" w:noVBand="0"/>
      </w:tblPr>
      <w:tblGrid>
        <w:gridCol w:w="4248"/>
        <w:gridCol w:w="720"/>
        <w:gridCol w:w="4590"/>
      </w:tblGrid>
      <w:tr w:rsidR="00D410F5" w:rsidRPr="00814111" w14:paraId="345DE311" w14:textId="77777777" w:rsidTr="00D77E83">
        <w:trPr>
          <w:cantSplit/>
        </w:trPr>
        <w:tc>
          <w:tcPr>
            <w:tcW w:w="4248" w:type="dxa"/>
            <w:tcBorders>
              <w:top w:val="nil"/>
            </w:tcBorders>
          </w:tcPr>
          <w:p w14:paraId="65D4D069" w14:textId="77777777" w:rsidR="00D410F5" w:rsidRPr="00814111" w:rsidRDefault="00D410F5" w:rsidP="00D77E83">
            <w:pPr>
              <w:pStyle w:val="SigningLine"/>
              <w:keepNext/>
              <w:keepLines/>
              <w:ind w:firstLine="4189"/>
              <w:rPr>
                <w:rFonts w:ascii="Arial" w:hAnsi="Arial" w:cs="Arial"/>
                <w:szCs w:val="22"/>
              </w:rPr>
            </w:pPr>
          </w:p>
        </w:tc>
        <w:tc>
          <w:tcPr>
            <w:tcW w:w="720" w:type="dxa"/>
          </w:tcPr>
          <w:p w14:paraId="304C302D" w14:textId="77777777" w:rsidR="00D410F5" w:rsidRPr="00814111" w:rsidRDefault="00D410F5" w:rsidP="00D77E83">
            <w:pPr>
              <w:pStyle w:val="SigningLine"/>
              <w:keepNext/>
              <w:keepLines/>
              <w:ind w:firstLine="4189"/>
              <w:jc w:val="center"/>
              <w:rPr>
                <w:rFonts w:ascii="Arial" w:hAnsi="Arial" w:cs="Arial"/>
                <w:szCs w:val="22"/>
              </w:rPr>
            </w:pPr>
          </w:p>
        </w:tc>
        <w:tc>
          <w:tcPr>
            <w:tcW w:w="4590" w:type="dxa"/>
            <w:tcBorders>
              <w:bottom w:val="single" w:sz="4" w:space="0" w:color="auto"/>
            </w:tcBorders>
            <w:vAlign w:val="center"/>
          </w:tcPr>
          <w:p w14:paraId="75E0F4A1" w14:textId="77777777" w:rsidR="00D410F5" w:rsidRPr="00814111" w:rsidRDefault="001F23FB" w:rsidP="00D77E83">
            <w:pPr>
              <w:pStyle w:val="ORPlain"/>
              <w:rPr>
                <w:rFonts w:ascii="Arial" w:hAnsi="Arial" w:cs="Arial"/>
                <w:b/>
                <w:i/>
                <w:szCs w:val="22"/>
              </w:rPr>
            </w:pPr>
            <w:r>
              <w:rPr>
                <w:rFonts w:ascii="Arial" w:hAnsi="Arial" w:cs="Arial"/>
                <w:b/>
                <w:i/>
                <w:noProof/>
                <w:szCs w:val="22"/>
                <w:lang w:val="en-US"/>
              </w:rPr>
              <w:drawing>
                <wp:anchor distT="0" distB="0" distL="114300" distR="114300" simplePos="0" relativeHeight="251658240" behindDoc="1" locked="0" layoutInCell="1" allowOverlap="1" wp14:anchorId="150B156D" wp14:editId="6541BA2E">
                  <wp:simplePos x="0" y="0"/>
                  <wp:positionH relativeFrom="column">
                    <wp:posOffset>-3810</wp:posOffset>
                  </wp:positionH>
                  <wp:positionV relativeFrom="paragraph">
                    <wp:posOffset>-6985</wp:posOffset>
                  </wp:positionV>
                  <wp:extent cx="2314800" cy="93600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sa DeMarco electronic signature.jpg"/>
                          <pic:cNvPicPr/>
                        </pic:nvPicPr>
                        <pic:blipFill>
                          <a:blip r:embed="rId9"/>
                          <a:stretch>
                            <a:fillRect/>
                          </a:stretch>
                        </pic:blipFill>
                        <pic:spPr>
                          <a:xfrm>
                            <a:off x="0" y="0"/>
                            <a:ext cx="2314800" cy="936000"/>
                          </a:xfrm>
                          <a:prstGeom prst="rect">
                            <a:avLst/>
                          </a:prstGeom>
                        </pic:spPr>
                      </pic:pic>
                    </a:graphicData>
                  </a:graphic>
                  <wp14:sizeRelH relativeFrom="margin">
                    <wp14:pctWidth>0</wp14:pctWidth>
                  </wp14:sizeRelH>
                  <wp14:sizeRelV relativeFrom="margin">
                    <wp14:pctHeight>0</wp14:pctHeight>
                  </wp14:sizeRelV>
                </wp:anchor>
              </w:drawing>
            </w:r>
          </w:p>
          <w:p w14:paraId="5215ACDD" w14:textId="77777777" w:rsidR="001F23FB" w:rsidRDefault="001F23FB" w:rsidP="00D77E83">
            <w:pPr>
              <w:pStyle w:val="ORPlain"/>
              <w:rPr>
                <w:rFonts w:ascii="Arial" w:hAnsi="Arial" w:cs="Arial"/>
                <w:b/>
                <w:i/>
                <w:szCs w:val="22"/>
              </w:rPr>
            </w:pPr>
          </w:p>
          <w:p w14:paraId="2495752D" w14:textId="77777777" w:rsidR="001F23FB" w:rsidRDefault="001F23FB" w:rsidP="00D77E83">
            <w:pPr>
              <w:pStyle w:val="ORPlain"/>
              <w:rPr>
                <w:rFonts w:ascii="Arial" w:hAnsi="Arial" w:cs="Arial"/>
                <w:b/>
                <w:i/>
                <w:szCs w:val="22"/>
              </w:rPr>
            </w:pPr>
          </w:p>
          <w:p w14:paraId="14BCFF7D" w14:textId="77777777" w:rsidR="001F23FB" w:rsidRPr="00814111" w:rsidRDefault="001F23FB" w:rsidP="00D77E83">
            <w:pPr>
              <w:pStyle w:val="ORPlain"/>
              <w:rPr>
                <w:rFonts w:ascii="Arial" w:hAnsi="Arial" w:cs="Arial"/>
                <w:b/>
                <w:i/>
                <w:szCs w:val="22"/>
              </w:rPr>
            </w:pPr>
          </w:p>
          <w:p w14:paraId="31A22478" w14:textId="77777777" w:rsidR="001778B7" w:rsidRPr="00814111" w:rsidRDefault="001778B7" w:rsidP="00D77E83">
            <w:pPr>
              <w:pStyle w:val="ORPlain"/>
              <w:rPr>
                <w:rFonts w:ascii="Arial" w:hAnsi="Arial" w:cs="Arial"/>
                <w:b/>
                <w:i/>
                <w:szCs w:val="22"/>
              </w:rPr>
            </w:pPr>
          </w:p>
        </w:tc>
      </w:tr>
      <w:tr w:rsidR="00D410F5" w:rsidRPr="00814111" w14:paraId="75981E1F" w14:textId="77777777" w:rsidTr="00D77E83">
        <w:trPr>
          <w:cantSplit/>
          <w:trHeight w:val="90"/>
        </w:trPr>
        <w:tc>
          <w:tcPr>
            <w:tcW w:w="4248" w:type="dxa"/>
            <w:tcBorders>
              <w:top w:val="nil"/>
            </w:tcBorders>
          </w:tcPr>
          <w:p w14:paraId="10DCC3FE" w14:textId="77777777" w:rsidR="00D410F5" w:rsidRPr="00814111" w:rsidRDefault="00D410F5" w:rsidP="00D77E83">
            <w:pPr>
              <w:pStyle w:val="SigningLine"/>
              <w:keepNext/>
              <w:keepLines/>
              <w:rPr>
                <w:rFonts w:ascii="Arial" w:hAnsi="Arial" w:cs="Arial"/>
                <w:szCs w:val="22"/>
              </w:rPr>
            </w:pPr>
          </w:p>
        </w:tc>
        <w:tc>
          <w:tcPr>
            <w:tcW w:w="720" w:type="dxa"/>
          </w:tcPr>
          <w:p w14:paraId="00579F53" w14:textId="77777777" w:rsidR="00D410F5" w:rsidRPr="00814111" w:rsidRDefault="00D410F5" w:rsidP="00D77E83">
            <w:pPr>
              <w:pStyle w:val="SigningLine"/>
              <w:keepNext/>
              <w:keepLines/>
              <w:jc w:val="center"/>
              <w:rPr>
                <w:rFonts w:ascii="Arial" w:hAnsi="Arial" w:cs="Arial"/>
                <w:color w:val="000000" w:themeColor="text1"/>
                <w:szCs w:val="22"/>
              </w:rPr>
            </w:pPr>
          </w:p>
        </w:tc>
        <w:tc>
          <w:tcPr>
            <w:tcW w:w="4590" w:type="dxa"/>
          </w:tcPr>
          <w:p w14:paraId="3C87E189" w14:textId="77777777" w:rsidR="00D410F5" w:rsidRPr="00814111" w:rsidRDefault="00D410F5" w:rsidP="00D77E83">
            <w:pPr>
              <w:pStyle w:val="SigningLine"/>
              <w:keepNext/>
              <w:keepLines/>
              <w:rPr>
                <w:rStyle w:val="Prompt"/>
                <w:rFonts w:ascii="Arial" w:hAnsi="Arial" w:cs="Arial"/>
                <w:color w:val="000000" w:themeColor="text1"/>
                <w:szCs w:val="22"/>
              </w:rPr>
            </w:pPr>
            <w:r w:rsidRPr="00814111">
              <w:rPr>
                <w:rStyle w:val="Prompt"/>
                <w:rFonts w:ascii="Arial" w:hAnsi="Arial" w:cs="Arial"/>
                <w:color w:val="000000" w:themeColor="text1"/>
                <w:szCs w:val="22"/>
              </w:rPr>
              <w:t>Lisa (Elisabeth) DeMarco</w:t>
            </w:r>
          </w:p>
          <w:p w14:paraId="43E408F5" w14:textId="77777777" w:rsidR="00D410F5" w:rsidRPr="00814111" w:rsidRDefault="00D410F5" w:rsidP="00D77E83">
            <w:pPr>
              <w:pStyle w:val="SigningLine"/>
              <w:keepNext/>
              <w:keepLines/>
              <w:rPr>
                <w:rStyle w:val="Prompt"/>
                <w:rFonts w:ascii="Arial" w:hAnsi="Arial" w:cs="Arial"/>
                <w:color w:val="000000" w:themeColor="text1"/>
                <w:szCs w:val="22"/>
              </w:rPr>
            </w:pPr>
            <w:r w:rsidRPr="00814111">
              <w:rPr>
                <w:rStyle w:val="Prompt"/>
                <w:rFonts w:ascii="Arial" w:hAnsi="Arial" w:cs="Arial"/>
                <w:color w:val="000000" w:themeColor="text1"/>
                <w:szCs w:val="22"/>
              </w:rPr>
              <w:t>DeMarco Allan LLP</w:t>
            </w:r>
          </w:p>
          <w:p w14:paraId="1E386C1C" w14:textId="4E334F7B" w:rsidR="00D410F5" w:rsidRPr="00814111" w:rsidRDefault="005F2A89" w:rsidP="00D77E83">
            <w:pPr>
              <w:pStyle w:val="SigningLine"/>
              <w:keepNext/>
              <w:keepLines/>
              <w:rPr>
                <w:rStyle w:val="Prompt"/>
                <w:rFonts w:ascii="Arial" w:hAnsi="Arial" w:cs="Arial"/>
                <w:color w:val="000000" w:themeColor="text1"/>
                <w:szCs w:val="22"/>
              </w:rPr>
            </w:pPr>
            <w:r>
              <w:rPr>
                <w:rStyle w:val="Prompt"/>
                <w:rFonts w:ascii="Arial" w:hAnsi="Arial" w:cs="Arial"/>
                <w:color w:val="000000" w:themeColor="text1"/>
                <w:szCs w:val="22"/>
              </w:rPr>
              <w:t>Counsel for Distributed Resource Coalition</w:t>
            </w:r>
          </w:p>
        </w:tc>
      </w:tr>
    </w:tbl>
    <w:p w14:paraId="67C8950E" w14:textId="5D771C6F" w:rsidR="00D410F5" w:rsidRDefault="00D410F5" w:rsidP="00D410F5">
      <w:pPr>
        <w:rPr>
          <w:rFonts w:cs="Arial"/>
          <w:szCs w:val="22"/>
          <w:lang w:eastAsia="en-CA"/>
        </w:rPr>
      </w:pPr>
    </w:p>
    <w:tbl>
      <w:tblPr>
        <w:tblW w:w="0" w:type="auto"/>
        <w:tblLayout w:type="fixed"/>
        <w:tblLook w:val="0000" w:firstRow="0" w:lastRow="0" w:firstColumn="0" w:lastColumn="0" w:noHBand="0" w:noVBand="0"/>
      </w:tblPr>
      <w:tblGrid>
        <w:gridCol w:w="4248"/>
        <w:gridCol w:w="720"/>
        <w:gridCol w:w="4590"/>
      </w:tblGrid>
      <w:tr w:rsidR="005F2A89" w:rsidRPr="00814111" w14:paraId="6A17E6B1" w14:textId="77777777" w:rsidTr="000F12EA">
        <w:trPr>
          <w:cantSplit/>
        </w:trPr>
        <w:tc>
          <w:tcPr>
            <w:tcW w:w="4248" w:type="dxa"/>
            <w:tcBorders>
              <w:top w:val="nil"/>
            </w:tcBorders>
          </w:tcPr>
          <w:p w14:paraId="0D2E103E" w14:textId="77777777" w:rsidR="005F2A89" w:rsidRPr="00814111" w:rsidRDefault="005F2A89" w:rsidP="000F12EA">
            <w:pPr>
              <w:pStyle w:val="SigningLine"/>
              <w:keepNext/>
              <w:keepLines/>
              <w:ind w:firstLine="4189"/>
              <w:rPr>
                <w:rFonts w:ascii="Arial" w:hAnsi="Arial" w:cs="Arial"/>
                <w:szCs w:val="22"/>
              </w:rPr>
            </w:pPr>
          </w:p>
        </w:tc>
        <w:tc>
          <w:tcPr>
            <w:tcW w:w="720" w:type="dxa"/>
          </w:tcPr>
          <w:p w14:paraId="3B31C65B" w14:textId="77777777" w:rsidR="005F2A89" w:rsidRPr="00814111" w:rsidRDefault="005F2A89" w:rsidP="000F12EA">
            <w:pPr>
              <w:pStyle w:val="SigningLine"/>
              <w:keepNext/>
              <w:keepLines/>
              <w:ind w:firstLine="4189"/>
              <w:jc w:val="center"/>
              <w:rPr>
                <w:rFonts w:ascii="Arial" w:hAnsi="Arial" w:cs="Arial"/>
                <w:szCs w:val="22"/>
              </w:rPr>
            </w:pPr>
          </w:p>
        </w:tc>
        <w:tc>
          <w:tcPr>
            <w:tcW w:w="4590" w:type="dxa"/>
            <w:tcBorders>
              <w:bottom w:val="single" w:sz="4" w:space="0" w:color="auto"/>
            </w:tcBorders>
            <w:vAlign w:val="center"/>
          </w:tcPr>
          <w:p w14:paraId="7F9374DC" w14:textId="106631A5" w:rsidR="005F2A89" w:rsidRPr="00814111" w:rsidRDefault="005F2A89" w:rsidP="000F12EA">
            <w:pPr>
              <w:pStyle w:val="ORPlain"/>
              <w:rPr>
                <w:rFonts w:ascii="Arial" w:hAnsi="Arial" w:cs="Arial"/>
                <w:b/>
                <w:i/>
                <w:szCs w:val="22"/>
              </w:rPr>
            </w:pPr>
          </w:p>
          <w:p w14:paraId="56F71A06" w14:textId="77777777" w:rsidR="005F2A89" w:rsidRDefault="005F2A89" w:rsidP="000F12EA">
            <w:pPr>
              <w:pStyle w:val="ORPlain"/>
              <w:rPr>
                <w:rFonts w:ascii="Arial" w:hAnsi="Arial" w:cs="Arial"/>
                <w:b/>
                <w:i/>
                <w:szCs w:val="22"/>
              </w:rPr>
            </w:pPr>
          </w:p>
          <w:p w14:paraId="60AE4CFE" w14:textId="2D1CCEA4" w:rsidR="005F2A89" w:rsidRDefault="005F2A89" w:rsidP="000F12EA">
            <w:pPr>
              <w:pStyle w:val="ORPlain"/>
              <w:rPr>
                <w:rFonts w:ascii="Arial" w:hAnsi="Arial" w:cs="Arial"/>
                <w:b/>
                <w:i/>
                <w:szCs w:val="22"/>
              </w:rPr>
            </w:pPr>
          </w:p>
          <w:p w14:paraId="19CC8CEF" w14:textId="77777777" w:rsidR="005F2A89" w:rsidRPr="00814111" w:rsidRDefault="005F2A89" w:rsidP="000F12EA">
            <w:pPr>
              <w:pStyle w:val="ORPlain"/>
              <w:rPr>
                <w:rFonts w:ascii="Arial" w:hAnsi="Arial" w:cs="Arial"/>
                <w:b/>
                <w:i/>
                <w:szCs w:val="22"/>
              </w:rPr>
            </w:pPr>
          </w:p>
          <w:p w14:paraId="57476C70" w14:textId="77777777" w:rsidR="005F2A89" w:rsidRPr="00814111" w:rsidRDefault="005F2A89" w:rsidP="000F12EA">
            <w:pPr>
              <w:pStyle w:val="ORPlain"/>
              <w:rPr>
                <w:rFonts w:ascii="Arial" w:hAnsi="Arial" w:cs="Arial"/>
                <w:b/>
                <w:i/>
                <w:szCs w:val="22"/>
              </w:rPr>
            </w:pPr>
          </w:p>
        </w:tc>
      </w:tr>
      <w:tr w:rsidR="005F2A89" w:rsidRPr="00814111" w14:paraId="04EE4445" w14:textId="77777777" w:rsidTr="008629DC">
        <w:trPr>
          <w:cantSplit/>
          <w:trHeight w:val="75"/>
        </w:trPr>
        <w:tc>
          <w:tcPr>
            <w:tcW w:w="4248" w:type="dxa"/>
            <w:tcBorders>
              <w:top w:val="nil"/>
            </w:tcBorders>
          </w:tcPr>
          <w:p w14:paraId="31FA049F" w14:textId="77777777" w:rsidR="005F2A89" w:rsidRPr="00814111" w:rsidRDefault="005F2A89" w:rsidP="000F12EA">
            <w:pPr>
              <w:pStyle w:val="SigningLine"/>
              <w:keepNext/>
              <w:keepLines/>
              <w:rPr>
                <w:rFonts w:ascii="Arial" w:hAnsi="Arial" w:cs="Arial"/>
                <w:szCs w:val="22"/>
              </w:rPr>
            </w:pPr>
          </w:p>
        </w:tc>
        <w:tc>
          <w:tcPr>
            <w:tcW w:w="720" w:type="dxa"/>
          </w:tcPr>
          <w:p w14:paraId="5F9005F3" w14:textId="77777777" w:rsidR="005F2A89" w:rsidRPr="00814111" w:rsidRDefault="005F2A89" w:rsidP="000F12EA">
            <w:pPr>
              <w:pStyle w:val="SigningLine"/>
              <w:keepNext/>
              <w:keepLines/>
              <w:jc w:val="center"/>
              <w:rPr>
                <w:rFonts w:ascii="Arial" w:hAnsi="Arial" w:cs="Arial"/>
                <w:color w:val="000000" w:themeColor="text1"/>
                <w:szCs w:val="22"/>
              </w:rPr>
            </w:pPr>
          </w:p>
        </w:tc>
        <w:tc>
          <w:tcPr>
            <w:tcW w:w="4590" w:type="dxa"/>
          </w:tcPr>
          <w:p w14:paraId="33413257" w14:textId="21FE2004" w:rsidR="005F2A89" w:rsidRPr="00814111" w:rsidRDefault="005F2A89" w:rsidP="000F12EA">
            <w:pPr>
              <w:pStyle w:val="SigningLine"/>
              <w:keepNext/>
              <w:keepLines/>
              <w:rPr>
                <w:rStyle w:val="Prompt"/>
                <w:rFonts w:ascii="Arial" w:hAnsi="Arial" w:cs="Arial"/>
                <w:color w:val="000000" w:themeColor="text1"/>
                <w:szCs w:val="22"/>
              </w:rPr>
            </w:pPr>
            <w:r>
              <w:rPr>
                <w:rFonts w:ascii="Arial" w:hAnsi="Arial" w:cs="Arial"/>
                <w:b/>
                <w:i/>
                <w:noProof/>
                <w:szCs w:val="22"/>
                <w:lang w:val="en-US"/>
              </w:rPr>
              <w:drawing>
                <wp:anchor distT="0" distB="0" distL="114300" distR="114300" simplePos="0" relativeHeight="251659264" behindDoc="1" locked="0" layoutInCell="1" allowOverlap="1" wp14:anchorId="4EAE9455" wp14:editId="025E16C9">
                  <wp:simplePos x="0" y="0"/>
                  <wp:positionH relativeFrom="column">
                    <wp:posOffset>3175</wp:posOffset>
                  </wp:positionH>
                  <wp:positionV relativeFrom="paragraph">
                    <wp:posOffset>-778544</wp:posOffset>
                  </wp:positionV>
                  <wp:extent cx="2133600" cy="9499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nathan signature.png"/>
                          <pic:cNvPicPr/>
                        </pic:nvPicPr>
                        <pic:blipFill>
                          <a:blip r:embed="rId10"/>
                          <a:stretch>
                            <a:fillRect/>
                          </a:stretch>
                        </pic:blipFill>
                        <pic:spPr>
                          <a:xfrm>
                            <a:off x="0" y="0"/>
                            <a:ext cx="2133600" cy="949960"/>
                          </a:xfrm>
                          <a:prstGeom prst="rect">
                            <a:avLst/>
                          </a:prstGeom>
                        </pic:spPr>
                      </pic:pic>
                    </a:graphicData>
                  </a:graphic>
                  <wp14:sizeRelH relativeFrom="margin">
                    <wp14:pctWidth>0</wp14:pctWidth>
                  </wp14:sizeRelH>
                  <wp14:sizeRelV relativeFrom="margin">
                    <wp14:pctHeight>0</wp14:pctHeight>
                  </wp14:sizeRelV>
                </wp:anchor>
              </w:drawing>
            </w:r>
            <w:r>
              <w:rPr>
                <w:rStyle w:val="Prompt"/>
                <w:rFonts w:ascii="Arial" w:hAnsi="Arial" w:cs="Arial"/>
                <w:color w:val="000000" w:themeColor="text1"/>
                <w:szCs w:val="22"/>
              </w:rPr>
              <w:t>Jonathan McGillivray</w:t>
            </w:r>
          </w:p>
          <w:p w14:paraId="6734FF22" w14:textId="77777777" w:rsidR="005F2A89" w:rsidRPr="00814111" w:rsidRDefault="005F2A89" w:rsidP="000F12EA">
            <w:pPr>
              <w:pStyle w:val="SigningLine"/>
              <w:keepNext/>
              <w:keepLines/>
              <w:rPr>
                <w:rStyle w:val="Prompt"/>
                <w:rFonts w:ascii="Arial" w:hAnsi="Arial" w:cs="Arial"/>
                <w:color w:val="000000" w:themeColor="text1"/>
                <w:szCs w:val="22"/>
              </w:rPr>
            </w:pPr>
            <w:r w:rsidRPr="00814111">
              <w:rPr>
                <w:rStyle w:val="Prompt"/>
                <w:rFonts w:ascii="Arial" w:hAnsi="Arial" w:cs="Arial"/>
                <w:color w:val="000000" w:themeColor="text1"/>
                <w:szCs w:val="22"/>
              </w:rPr>
              <w:t>DeMarco Allan LLP</w:t>
            </w:r>
          </w:p>
          <w:p w14:paraId="772C98C9" w14:textId="0B993A82" w:rsidR="005F2A89" w:rsidRPr="00814111" w:rsidRDefault="005F2A89" w:rsidP="000F12EA">
            <w:pPr>
              <w:pStyle w:val="SigningLine"/>
              <w:keepNext/>
              <w:keepLines/>
              <w:rPr>
                <w:rStyle w:val="Prompt"/>
                <w:rFonts w:ascii="Arial" w:hAnsi="Arial" w:cs="Arial"/>
                <w:color w:val="000000" w:themeColor="text1"/>
                <w:szCs w:val="22"/>
              </w:rPr>
            </w:pPr>
            <w:r>
              <w:rPr>
                <w:rStyle w:val="Prompt"/>
                <w:rFonts w:ascii="Arial" w:hAnsi="Arial" w:cs="Arial"/>
                <w:color w:val="000000" w:themeColor="text1"/>
                <w:szCs w:val="22"/>
              </w:rPr>
              <w:t>Counsel for Distributed Resource Coalition</w:t>
            </w:r>
          </w:p>
        </w:tc>
      </w:tr>
    </w:tbl>
    <w:p w14:paraId="3D8AB427" w14:textId="77777777" w:rsidR="005F2A89" w:rsidRDefault="005F2A89" w:rsidP="00D410F5">
      <w:pPr>
        <w:rPr>
          <w:rFonts w:cs="Arial"/>
          <w:szCs w:val="22"/>
          <w:lang w:eastAsia="en-CA"/>
        </w:rPr>
      </w:pPr>
    </w:p>
    <w:p w14:paraId="0B467567" w14:textId="172D2E66" w:rsidR="00A12D3F" w:rsidRPr="00A12D3F" w:rsidRDefault="00A12D3F" w:rsidP="00A12D3F">
      <w:pPr>
        <w:tabs>
          <w:tab w:val="left" w:pos="3140"/>
        </w:tabs>
        <w:rPr>
          <w:rFonts w:cs="Arial"/>
          <w:szCs w:val="22"/>
          <w:lang w:eastAsia="en-CA"/>
        </w:rPr>
      </w:pPr>
      <w:r>
        <w:rPr>
          <w:rFonts w:cs="Arial"/>
          <w:szCs w:val="22"/>
          <w:lang w:eastAsia="en-CA"/>
        </w:rPr>
        <w:tab/>
      </w:r>
    </w:p>
    <w:sectPr w:rsidR="00A12D3F" w:rsidRPr="00A12D3F" w:rsidSect="00FB4E79">
      <w:headerReference w:type="default" r:id="rId11"/>
      <w:pgSz w:w="12240" w:h="15840"/>
      <w:pgMar w:top="1440" w:right="1440" w:bottom="1440" w:left="1440" w:header="703"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999AE" w14:textId="77777777" w:rsidR="00802733" w:rsidRDefault="00802733" w:rsidP="00382F37">
      <w:pPr>
        <w:spacing w:after="0" w:line="240" w:lineRule="auto"/>
      </w:pPr>
      <w:r>
        <w:separator/>
      </w:r>
    </w:p>
  </w:endnote>
  <w:endnote w:type="continuationSeparator" w:id="0">
    <w:p w14:paraId="087098E5" w14:textId="77777777" w:rsidR="00802733" w:rsidRDefault="00802733" w:rsidP="00382F37">
      <w:pPr>
        <w:spacing w:after="0" w:line="240" w:lineRule="auto"/>
      </w:pPr>
      <w:r>
        <w:continuationSeparator/>
      </w:r>
    </w:p>
  </w:endnote>
  <w:endnote w:type="continuationNotice" w:id="1">
    <w:p w14:paraId="1D80C8A9" w14:textId="77777777" w:rsidR="00802733" w:rsidRDefault="008027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4639B" w14:textId="77777777" w:rsidR="00802733" w:rsidRDefault="00802733" w:rsidP="00382F37">
      <w:pPr>
        <w:spacing w:after="0" w:line="240" w:lineRule="auto"/>
      </w:pPr>
      <w:r>
        <w:separator/>
      </w:r>
    </w:p>
  </w:footnote>
  <w:footnote w:type="continuationSeparator" w:id="0">
    <w:p w14:paraId="529E58DE" w14:textId="77777777" w:rsidR="00802733" w:rsidRDefault="00802733" w:rsidP="00382F37">
      <w:pPr>
        <w:spacing w:after="0" w:line="240" w:lineRule="auto"/>
      </w:pPr>
      <w:r>
        <w:continuationSeparator/>
      </w:r>
    </w:p>
  </w:footnote>
  <w:footnote w:type="continuationNotice" w:id="1">
    <w:p w14:paraId="3F29DBE5" w14:textId="77777777" w:rsidR="00802733" w:rsidRDefault="00802733">
      <w:pPr>
        <w:spacing w:after="0" w:line="240" w:lineRule="auto"/>
      </w:pPr>
    </w:p>
  </w:footnote>
  <w:footnote w:id="2">
    <w:p w14:paraId="10AEB8DE" w14:textId="096C81AD" w:rsidR="00D74878" w:rsidRPr="00D74878" w:rsidRDefault="00D74878">
      <w:pPr>
        <w:pStyle w:val="FootnoteText"/>
        <w:rPr>
          <w:lang w:val="en-US"/>
        </w:rPr>
      </w:pPr>
      <w:r>
        <w:rPr>
          <w:rStyle w:val="FootnoteReference"/>
        </w:rPr>
        <w:footnoteRef/>
      </w:r>
      <w:r>
        <w:t xml:space="preserve"> </w:t>
      </w:r>
      <w:r w:rsidR="00181B73" w:rsidRPr="000D3424">
        <w:rPr>
          <w:szCs w:val="18"/>
        </w:rPr>
        <w:t>Hearing Transcripts, Volume 3, 15</w:t>
      </w:r>
      <w:r w:rsidR="005D03A1">
        <w:rPr>
          <w:szCs w:val="18"/>
        </w:rPr>
        <w:t>0-</w:t>
      </w:r>
      <w:r w:rsidR="00181B73" w:rsidRPr="000D3424">
        <w:rPr>
          <w:szCs w:val="18"/>
        </w:rPr>
        <w:t>15</w:t>
      </w:r>
      <w:r w:rsidR="005D03A1">
        <w:rPr>
          <w:szCs w:val="18"/>
        </w:rPr>
        <w:t>4</w:t>
      </w:r>
    </w:p>
  </w:footnote>
  <w:footnote w:id="3">
    <w:p w14:paraId="0BA80E39" w14:textId="038846AD" w:rsidR="005F64F9" w:rsidRPr="005F64F9" w:rsidRDefault="005F64F9">
      <w:pPr>
        <w:pStyle w:val="FootnoteText"/>
        <w:rPr>
          <w:lang w:val="en-US"/>
        </w:rPr>
      </w:pPr>
      <w:r>
        <w:rPr>
          <w:rStyle w:val="FootnoteReference"/>
        </w:rPr>
        <w:footnoteRef/>
      </w:r>
      <w:r>
        <w:t xml:space="preserve"> </w:t>
      </w:r>
      <w:r w:rsidRPr="000D3424">
        <w:rPr>
          <w:szCs w:val="18"/>
        </w:rPr>
        <w:t>Hearing Transcripts, Volume 3, 15</w:t>
      </w:r>
      <w:r w:rsidR="00696814">
        <w:rPr>
          <w:szCs w:val="18"/>
        </w:rPr>
        <w:t>7</w:t>
      </w:r>
      <w:r w:rsidRPr="000D3424">
        <w:rPr>
          <w:szCs w:val="18"/>
        </w:rPr>
        <w:t>:</w:t>
      </w:r>
      <w:r w:rsidR="00D65914">
        <w:rPr>
          <w:lang w:eastAsia="en-CA"/>
        </w:rPr>
        <w:t>8-28</w:t>
      </w:r>
    </w:p>
  </w:footnote>
  <w:footnote w:id="4">
    <w:p w14:paraId="584749C8" w14:textId="2E7B2CB4" w:rsidR="00A96519" w:rsidRDefault="00A96519">
      <w:pPr>
        <w:pStyle w:val="FootnoteText"/>
      </w:pPr>
      <w:r>
        <w:rPr>
          <w:rStyle w:val="FootnoteReference"/>
        </w:rPr>
        <w:footnoteRef/>
      </w:r>
      <w:r>
        <w:t xml:space="preserve"> </w:t>
      </w:r>
      <w:r w:rsidR="006F2F57">
        <w:t>Mr. Taki (</w:t>
      </w:r>
      <w:r w:rsidR="00F644B2">
        <w:t xml:space="preserve">referencing </w:t>
      </w:r>
      <w:r w:rsidR="006F2F57">
        <w:t>London Economics, Hearing Transcripts, Volume 3, 153:1-5)</w:t>
      </w:r>
    </w:p>
  </w:footnote>
  <w:footnote w:id="5">
    <w:p w14:paraId="22CC0AB9" w14:textId="560D2A2B" w:rsidR="00F644B2" w:rsidRDefault="00F644B2">
      <w:pPr>
        <w:pStyle w:val="FootnoteText"/>
      </w:pPr>
      <w:r>
        <w:rPr>
          <w:rStyle w:val="FootnoteReference"/>
        </w:rPr>
        <w:footnoteRef/>
      </w:r>
      <w:r>
        <w:t xml:space="preserve"> Mr. Lyle, Hearing Transcripts, Volume 8, 13:8 to 24:19</w:t>
      </w:r>
    </w:p>
  </w:footnote>
  <w:footnote w:id="6">
    <w:p w14:paraId="6E83638D" w14:textId="3C1770F3" w:rsidR="00F644B2" w:rsidRDefault="00F644B2">
      <w:pPr>
        <w:pStyle w:val="FootnoteText"/>
      </w:pPr>
      <w:r>
        <w:rPr>
          <w:rStyle w:val="FootnoteReference"/>
        </w:rPr>
        <w:footnoteRef/>
      </w:r>
      <w:r>
        <w:t xml:space="preserve"> Dr. Lowry</w:t>
      </w:r>
      <w:r w:rsidR="00FE4589">
        <w:t>, Volume 10, 71-84</w:t>
      </w:r>
    </w:p>
  </w:footnote>
  <w:footnote w:id="7">
    <w:p w14:paraId="5845032D" w14:textId="150863D8" w:rsidR="00933E09" w:rsidRPr="00933E09" w:rsidRDefault="00933E09">
      <w:pPr>
        <w:pStyle w:val="FootnoteText"/>
        <w:rPr>
          <w:lang w:val="en-US"/>
        </w:rPr>
      </w:pPr>
      <w:r>
        <w:rPr>
          <w:rStyle w:val="FootnoteReference"/>
        </w:rPr>
        <w:footnoteRef/>
      </w:r>
      <w:r>
        <w:t xml:space="preserve"> </w:t>
      </w:r>
      <w:r w:rsidR="00C12A6A">
        <w:rPr>
          <w:lang w:val="en-US"/>
        </w:rPr>
        <w:t xml:space="preserve">Mr. Lyle, </w:t>
      </w:r>
      <w:r w:rsidR="00A1069E">
        <w:rPr>
          <w:lang w:val="en-US"/>
        </w:rPr>
        <w:t xml:space="preserve">Dr. Lowry, Mr. Goulding </w:t>
      </w:r>
      <w:r w:rsidR="00093C11">
        <w:rPr>
          <w:lang w:val="en-US"/>
        </w:rPr>
        <w:t>, Dr. Petrunic (Exhibit M2, Hearing Transcripts</w:t>
      </w:r>
      <w:r w:rsidR="006D7058">
        <w:rPr>
          <w:lang w:val="en-US"/>
        </w:rPr>
        <w:t>, Volume 11: 39-</w:t>
      </w:r>
      <w:r w:rsidR="004D5C9B">
        <w:rPr>
          <w:lang w:val="en-US"/>
        </w:rPr>
        <w:t>100</w:t>
      </w:r>
      <w:r w:rsidR="00497216">
        <w:rPr>
          <w:lang w:val="en-US"/>
        </w:rPr>
        <w:t>, DRC Responses to Interrogatories</w:t>
      </w:r>
      <w:r w:rsidR="00525626">
        <w:rPr>
          <w:lang w:val="en-US"/>
        </w:rPr>
        <w:t>)</w:t>
      </w:r>
      <w:r w:rsidR="00E641A5">
        <w:rPr>
          <w:lang w:val="en-US"/>
        </w:rPr>
        <w:t xml:space="preserve">; Mr. </w:t>
      </w:r>
      <w:r w:rsidR="00E641A5">
        <w:rPr>
          <w:lang w:val="en-US"/>
        </w:rPr>
        <w:t>L</w:t>
      </w:r>
      <w:r w:rsidR="002E2FD2">
        <w:rPr>
          <w:lang w:val="en-US"/>
        </w:rPr>
        <w:t>yberogiannis at</w:t>
      </w:r>
      <w:r w:rsidR="0004719E">
        <w:rPr>
          <w:lang w:val="en-US"/>
        </w:rPr>
        <w:t xml:space="preserve"> Undertaking J</w:t>
      </w:r>
      <w:r w:rsidR="00DE1ADC">
        <w:rPr>
          <w:lang w:val="en-US"/>
        </w:rPr>
        <w:t>.</w:t>
      </w:r>
      <w:r w:rsidR="0004719E">
        <w:rPr>
          <w:lang w:val="en-US"/>
        </w:rPr>
        <w:t>4.4</w:t>
      </w:r>
      <w:r w:rsidR="00DE1ADC">
        <w:rPr>
          <w:lang w:val="en-US"/>
        </w:rPr>
        <w:t xml:space="preserve"> confirming that</w:t>
      </w:r>
      <w:r w:rsidR="00497216">
        <w:rPr>
          <w:lang w:val="en-US"/>
        </w:rPr>
        <w:t xml:space="preserve"> </w:t>
      </w:r>
      <w:r w:rsidR="00DA3A78">
        <w:rPr>
          <w:lang w:val="en-US"/>
        </w:rPr>
        <w:t xml:space="preserve">electrified vehicles </w:t>
      </w:r>
      <w:r w:rsidR="0023120F">
        <w:rPr>
          <w:lang w:val="en-US"/>
        </w:rPr>
        <w:t xml:space="preserve">and electrified transit </w:t>
      </w:r>
      <w:r w:rsidR="00DA3A78">
        <w:rPr>
          <w:lang w:eastAsia="en-CA"/>
        </w:rPr>
        <w:t xml:space="preserve">are the largest contributors to </w:t>
      </w:r>
      <w:r w:rsidR="00DC411B">
        <w:rPr>
          <w:lang w:eastAsia="en-CA"/>
        </w:rPr>
        <w:t>demand from 2027-2030</w:t>
      </w:r>
      <w:r w:rsidR="00016B94">
        <w:rPr>
          <w:lang w:eastAsia="en-CA"/>
        </w:rPr>
        <w:t>; Exhibit No. K3.4, Pages 310-349, JTC4.24, Appendix A</w:t>
      </w:r>
    </w:p>
  </w:footnote>
  <w:footnote w:id="8">
    <w:p w14:paraId="0E9D9667" w14:textId="5E19CA82" w:rsidR="00373DA0" w:rsidRPr="00373DA0" w:rsidRDefault="00373DA0">
      <w:pPr>
        <w:pStyle w:val="FootnoteText"/>
        <w:rPr>
          <w:lang w:val="en-US"/>
        </w:rPr>
      </w:pPr>
      <w:r>
        <w:rPr>
          <w:rStyle w:val="FootnoteReference"/>
        </w:rPr>
        <w:footnoteRef/>
      </w:r>
      <w:r>
        <w:t xml:space="preserve"> </w:t>
      </w:r>
      <w:r w:rsidR="00C322C2">
        <w:t xml:space="preserve">Ms. </w:t>
      </w:r>
      <w:r w:rsidR="00C322C2">
        <w:t xml:space="preserve">Cipolla, Hearing Transcripts, </w:t>
      </w:r>
      <w:r w:rsidR="00925E95">
        <w:rPr>
          <w:lang w:val="en-US"/>
        </w:rPr>
        <w:t>Volume 3, 162;</w:t>
      </w:r>
      <w:r w:rsidR="00C322C2">
        <w:rPr>
          <w:lang w:val="en-US"/>
        </w:rPr>
        <w:t>1-27</w:t>
      </w:r>
    </w:p>
  </w:footnote>
  <w:footnote w:id="9">
    <w:p w14:paraId="68EF5043" w14:textId="1C010A9B" w:rsidR="00FB7425" w:rsidRPr="00FB7425" w:rsidRDefault="00FB7425">
      <w:pPr>
        <w:pStyle w:val="FootnoteText"/>
        <w:rPr>
          <w:lang w:val="en-US"/>
        </w:rPr>
      </w:pPr>
      <w:r>
        <w:rPr>
          <w:rStyle w:val="FootnoteReference"/>
        </w:rPr>
        <w:footnoteRef/>
      </w:r>
      <w:r>
        <w:t xml:space="preserve"> </w:t>
      </w:r>
      <w:r>
        <w:rPr>
          <w:lang w:val="en-US"/>
        </w:rPr>
        <w:t>Exhibit M2</w:t>
      </w:r>
    </w:p>
  </w:footnote>
  <w:footnote w:id="10">
    <w:p w14:paraId="31AD97A9" w14:textId="409621E7" w:rsidR="00CE49AF" w:rsidRDefault="00CE49AF">
      <w:pPr>
        <w:pStyle w:val="FootnoteText"/>
      </w:pPr>
      <w:r>
        <w:rPr>
          <w:rStyle w:val="FootnoteReference"/>
        </w:rPr>
        <w:footnoteRef/>
      </w:r>
      <w:r>
        <w:t xml:space="preserve"> </w:t>
      </w:r>
      <w:r w:rsidRPr="00CE49AF">
        <w:rPr>
          <w:b/>
        </w:rPr>
        <w:t>Issue 3.2</w:t>
      </w:r>
      <w:r>
        <w:t>: Is the level of proposed 2020-2024 capital expenditures and capital in-service additions arising from the distribution system plan appropriate and is the rationale for planning and pacing choices, including trade-offs between capital and operating costs, appropriate and adequately explained?</w:t>
      </w:r>
    </w:p>
  </w:footnote>
  <w:footnote w:id="11">
    <w:p w14:paraId="309CFBAE" w14:textId="04DDA65E" w:rsidR="00CE49AF" w:rsidRDefault="00CE49AF">
      <w:pPr>
        <w:pStyle w:val="FootnoteText"/>
      </w:pPr>
      <w:r>
        <w:rPr>
          <w:rStyle w:val="FootnoteReference"/>
        </w:rPr>
        <w:footnoteRef/>
      </w:r>
      <w:r>
        <w:t xml:space="preserve"> </w:t>
      </w:r>
      <w:r w:rsidRPr="00CE49AF">
        <w:rPr>
          <w:b/>
        </w:rPr>
        <w:t>Issue 4.1</w:t>
      </w:r>
      <w:r>
        <w:t>: Is Toronto Hydro's load forecast reasonable?</w:t>
      </w:r>
    </w:p>
  </w:footnote>
  <w:footnote w:id="12">
    <w:p w14:paraId="64D92612" w14:textId="15D1D702" w:rsidR="009C3558" w:rsidRDefault="009C3558">
      <w:pPr>
        <w:pStyle w:val="FootnoteText"/>
      </w:pPr>
      <w:r>
        <w:rPr>
          <w:rStyle w:val="FootnoteReference"/>
        </w:rPr>
        <w:footnoteRef/>
      </w:r>
      <w:r>
        <w:t xml:space="preserve"> Exhibit K3.4 (DRC Compendium for Panel 1), Tab 3, p. 018 (IESO, Ontario’s Power System, Distributed Energy Resources). During the oral hearing phase of the proceeding, Mr. Taki agreed that DERs can be defined in this matter and was comfortable proceeding with further questions on the basis of this definition (Hearing Transcripts, Volume 3, 152:5-7).</w:t>
      </w:r>
    </w:p>
  </w:footnote>
  <w:footnote w:id="13">
    <w:p w14:paraId="078601FF" w14:textId="4DCB4B65" w:rsidR="009C3558" w:rsidRPr="00E67FC9" w:rsidRDefault="009C3558">
      <w:pPr>
        <w:pStyle w:val="FootnoteText"/>
      </w:pPr>
      <w:r>
        <w:rPr>
          <w:rStyle w:val="FootnoteReference"/>
        </w:rPr>
        <w:footnoteRef/>
      </w:r>
      <w:r>
        <w:t xml:space="preserve"> Exhibit K3.4 (DRC Compendium for Panel 1), Tab 3, p. 018 (IESO, Ontario’s Power System, Distributed Energy Resources).</w:t>
      </w:r>
    </w:p>
  </w:footnote>
  <w:footnote w:id="14">
    <w:p w14:paraId="543660FC" w14:textId="1AE38152" w:rsidR="009C3558" w:rsidRDefault="009C3558">
      <w:pPr>
        <w:pStyle w:val="FootnoteText"/>
      </w:pPr>
      <w:r>
        <w:rPr>
          <w:rStyle w:val="FootnoteReference"/>
        </w:rPr>
        <w:footnoteRef/>
      </w:r>
      <w:r>
        <w:t xml:space="preserve"> Figure 1: Exhibit 2B, Section E8.1, Appendix A, pp. 15.</w:t>
      </w:r>
    </w:p>
  </w:footnote>
  <w:footnote w:id="15">
    <w:p w14:paraId="47844FAF" w14:textId="77777777" w:rsidR="009C3558" w:rsidRDefault="009C3558" w:rsidP="00501D2C">
      <w:pPr>
        <w:pStyle w:val="FootnoteText"/>
      </w:pPr>
      <w:r>
        <w:rPr>
          <w:rStyle w:val="FootnoteReference"/>
        </w:rPr>
        <w:footnoteRef/>
      </w:r>
      <w:r>
        <w:t xml:space="preserve"> Exhibit 2B, Section E8.1, Appendix A, pp. 15-16.</w:t>
      </w:r>
    </w:p>
  </w:footnote>
  <w:footnote w:id="16">
    <w:p w14:paraId="14DFD489" w14:textId="06975AD5" w:rsidR="0052472F" w:rsidRDefault="0052472F">
      <w:pPr>
        <w:pStyle w:val="FootnoteText"/>
      </w:pPr>
      <w:r>
        <w:rPr>
          <w:rStyle w:val="FootnoteReference"/>
        </w:rPr>
        <w:footnoteRef/>
      </w:r>
      <w:r>
        <w:t xml:space="preserve"> Hearing Transcripts, Volume 3, 153: 1-23</w:t>
      </w:r>
    </w:p>
  </w:footnote>
  <w:footnote w:id="17">
    <w:p w14:paraId="0081B7B5" w14:textId="236C487A" w:rsidR="00FF4D04" w:rsidRDefault="00FF4D04">
      <w:pPr>
        <w:pStyle w:val="FootnoteText"/>
      </w:pPr>
      <w:r>
        <w:rPr>
          <w:rStyle w:val="FootnoteReference"/>
        </w:rPr>
        <w:footnoteRef/>
      </w:r>
      <w:r>
        <w:t xml:space="preserve"> Hearing Transcripts</w:t>
      </w:r>
      <w:r w:rsidR="00B57D06">
        <w:t>, Volume 3, 153:19 – 154:6</w:t>
      </w:r>
    </w:p>
  </w:footnote>
  <w:footnote w:id="18">
    <w:p w14:paraId="7668947E" w14:textId="738154A9" w:rsidR="00B57D06" w:rsidRDefault="00B57D06">
      <w:pPr>
        <w:pStyle w:val="FootnoteText"/>
      </w:pPr>
      <w:r>
        <w:rPr>
          <w:rStyle w:val="FootnoteReference"/>
        </w:rPr>
        <w:footnoteRef/>
      </w:r>
      <w:r>
        <w:t xml:space="preserve"> Hearing Transcripts, Volume 8, 13:8-28</w:t>
      </w:r>
    </w:p>
  </w:footnote>
  <w:footnote w:id="19">
    <w:p w14:paraId="45A884F2" w14:textId="2F88D773" w:rsidR="002262FB" w:rsidRDefault="002262FB">
      <w:pPr>
        <w:pStyle w:val="FootnoteText"/>
      </w:pPr>
      <w:r>
        <w:rPr>
          <w:rStyle w:val="FootnoteReference"/>
        </w:rPr>
        <w:footnoteRef/>
      </w:r>
      <w:r>
        <w:t xml:space="preserve"> Hearing Transcripts, Volume 8, 14:15</w:t>
      </w:r>
    </w:p>
  </w:footnote>
  <w:footnote w:id="20">
    <w:p w14:paraId="6ED6F3BF" w14:textId="2CCAEC73" w:rsidR="00FF4BFC" w:rsidRDefault="00FF4BFC">
      <w:pPr>
        <w:pStyle w:val="FootnoteText"/>
      </w:pPr>
      <w:r>
        <w:rPr>
          <w:rStyle w:val="FootnoteReference"/>
        </w:rPr>
        <w:footnoteRef/>
      </w:r>
      <w:r>
        <w:t xml:space="preserve"> Hearing Transcripts, Volume 3, 160-176</w:t>
      </w:r>
    </w:p>
  </w:footnote>
  <w:footnote w:id="21">
    <w:p w14:paraId="2C5FC95E" w14:textId="77777777" w:rsidR="002262FB" w:rsidRDefault="002262FB" w:rsidP="002262FB">
      <w:pPr>
        <w:pStyle w:val="FootnoteText"/>
      </w:pPr>
      <w:r>
        <w:rPr>
          <w:rStyle w:val="FootnoteReference"/>
        </w:rPr>
        <w:footnoteRef/>
      </w:r>
      <w:r>
        <w:t xml:space="preserve"> Exhibit 2B, Section E7.2, Appendix A.</w:t>
      </w:r>
    </w:p>
  </w:footnote>
  <w:footnote w:id="22">
    <w:p w14:paraId="71BCE94C" w14:textId="77777777" w:rsidR="002262FB" w:rsidRDefault="002262FB" w:rsidP="002262FB">
      <w:pPr>
        <w:pStyle w:val="FootnoteText"/>
      </w:pPr>
      <w:r>
        <w:rPr>
          <w:rStyle w:val="FootnoteReference"/>
        </w:rPr>
        <w:footnoteRef/>
      </w:r>
      <w:r>
        <w:t xml:space="preserve"> Exhibit 2B, Section E7.2, Appendix A (Table 21).</w:t>
      </w:r>
    </w:p>
  </w:footnote>
  <w:footnote w:id="23">
    <w:p w14:paraId="7BD2BD06" w14:textId="33153317" w:rsidR="004200CD" w:rsidRDefault="004200CD">
      <w:pPr>
        <w:pStyle w:val="FootnoteText"/>
      </w:pPr>
      <w:r>
        <w:rPr>
          <w:rStyle w:val="FootnoteReference"/>
        </w:rPr>
        <w:footnoteRef/>
      </w:r>
      <w:r>
        <w:t xml:space="preserve"> </w:t>
      </w:r>
      <w:r w:rsidR="001F0864">
        <w:t xml:space="preserve">Exhibit 2B, Section B, Appendix E, </w:t>
      </w:r>
      <w:r>
        <w:t>p. 85.</w:t>
      </w:r>
    </w:p>
  </w:footnote>
  <w:footnote w:id="24">
    <w:p w14:paraId="23D5A236" w14:textId="36755423" w:rsidR="004200CD" w:rsidRDefault="004200CD" w:rsidP="004200CD">
      <w:pPr>
        <w:pStyle w:val="FootnoteText"/>
      </w:pPr>
      <w:r>
        <w:rPr>
          <w:rStyle w:val="FootnoteReference"/>
        </w:rPr>
        <w:footnoteRef/>
      </w:r>
      <w:r>
        <w:t xml:space="preserve"> </w:t>
      </w:r>
      <w:r w:rsidR="001F0864">
        <w:rPr>
          <w:i/>
        </w:rPr>
        <w:t>Ibid.</w:t>
      </w:r>
      <w:r w:rsidR="001F0864">
        <w:t xml:space="preserve">, </w:t>
      </w:r>
      <w:r>
        <w:t>p. 86.</w:t>
      </w:r>
    </w:p>
  </w:footnote>
  <w:footnote w:id="25">
    <w:p w14:paraId="4FE5644A" w14:textId="445E18E4" w:rsidR="004200CD" w:rsidRDefault="004200CD" w:rsidP="004200CD">
      <w:pPr>
        <w:pStyle w:val="FootnoteText"/>
      </w:pPr>
      <w:r>
        <w:rPr>
          <w:rStyle w:val="FootnoteReference"/>
        </w:rPr>
        <w:footnoteRef/>
      </w:r>
      <w:r>
        <w:t xml:space="preserve"> </w:t>
      </w:r>
      <w:r w:rsidR="001F0864">
        <w:rPr>
          <w:i/>
        </w:rPr>
        <w:t>Ibid.</w:t>
      </w:r>
      <w:r w:rsidR="001F0864">
        <w:t xml:space="preserve">, </w:t>
      </w:r>
      <w:r>
        <w:t>p. 90.</w:t>
      </w:r>
    </w:p>
  </w:footnote>
  <w:footnote w:id="26">
    <w:p w14:paraId="74AF504F" w14:textId="019CF29E" w:rsidR="004200CD" w:rsidRDefault="004200CD" w:rsidP="004200CD">
      <w:pPr>
        <w:pStyle w:val="FootnoteText"/>
      </w:pPr>
      <w:r>
        <w:rPr>
          <w:rStyle w:val="FootnoteReference"/>
        </w:rPr>
        <w:footnoteRef/>
      </w:r>
      <w:r>
        <w:t xml:space="preserve"> </w:t>
      </w:r>
      <w:r w:rsidR="001F0864">
        <w:rPr>
          <w:i/>
        </w:rPr>
        <w:t>Ibid.</w:t>
      </w:r>
      <w:r w:rsidR="001F0864">
        <w:t xml:space="preserve">, </w:t>
      </w:r>
      <w:r>
        <w:t>p. 89.</w:t>
      </w:r>
    </w:p>
  </w:footnote>
  <w:footnote w:id="27">
    <w:p w14:paraId="3FD6C381" w14:textId="77777777" w:rsidR="00E7015B" w:rsidRPr="00932CFF" w:rsidRDefault="00E7015B" w:rsidP="00E7015B">
      <w:pPr>
        <w:pStyle w:val="FootnoteText"/>
        <w:rPr>
          <w:lang w:val="en-US"/>
        </w:rPr>
      </w:pPr>
      <w:r>
        <w:rPr>
          <w:rStyle w:val="FootnoteReference"/>
        </w:rPr>
        <w:footnoteRef/>
      </w:r>
      <w:r>
        <w:t xml:space="preserve"> </w:t>
      </w:r>
      <w:r>
        <w:rPr>
          <w:lang w:val="en-US"/>
        </w:rPr>
        <w:t>Hearing Transcripts Volume 3, 31:27 to 32:27</w:t>
      </w:r>
    </w:p>
  </w:footnote>
  <w:footnote w:id="28">
    <w:p w14:paraId="2D170D7F" w14:textId="77777777" w:rsidR="00E7015B" w:rsidRDefault="00E7015B" w:rsidP="00E7015B">
      <w:r>
        <w:rPr>
          <w:rStyle w:val="FootnoteReference"/>
        </w:rPr>
        <w:footnoteRef/>
      </w:r>
      <w:r>
        <w:t xml:space="preserve"> </w:t>
      </w:r>
      <w:r>
        <w:rPr>
          <w:lang w:eastAsia="en-CA"/>
        </w:rPr>
        <w:t xml:space="preserve">Hearing </w:t>
      </w:r>
      <w:r w:rsidRPr="0016097A">
        <w:rPr>
          <w:lang w:eastAsia="en-CA"/>
        </w:rPr>
        <w:t>Transcript</w:t>
      </w:r>
      <w:r>
        <w:rPr>
          <w:lang w:eastAsia="en-CA"/>
        </w:rPr>
        <w:t>s,</w:t>
      </w:r>
      <w:r w:rsidRPr="0016097A">
        <w:rPr>
          <w:lang w:eastAsia="en-CA"/>
        </w:rPr>
        <w:t xml:space="preserve"> Volume </w:t>
      </w:r>
      <w:r>
        <w:rPr>
          <w:lang w:eastAsia="en-CA"/>
        </w:rPr>
        <w:t>4</w:t>
      </w:r>
      <w:r w:rsidRPr="0016097A">
        <w:rPr>
          <w:lang w:eastAsia="en-CA"/>
        </w:rPr>
        <w:t>,</w:t>
      </w:r>
      <w:r>
        <w:rPr>
          <w:lang w:eastAsia="en-CA"/>
        </w:rPr>
        <w:t xml:space="preserve"> </w:t>
      </w:r>
      <w:r w:rsidRPr="0016097A">
        <w:rPr>
          <w:lang w:eastAsia="en-CA"/>
        </w:rPr>
        <w:t>31</w:t>
      </w:r>
      <w:r>
        <w:rPr>
          <w:lang w:eastAsia="en-CA"/>
        </w:rPr>
        <w:t>:18-22</w:t>
      </w:r>
    </w:p>
    <w:p w14:paraId="686D8E9C" w14:textId="77777777" w:rsidR="00E7015B" w:rsidRPr="000E4218" w:rsidRDefault="00E7015B" w:rsidP="00E7015B">
      <w:pPr>
        <w:pStyle w:val="FootnoteText"/>
        <w:rPr>
          <w:lang w:val="en-US"/>
        </w:rPr>
      </w:pPr>
    </w:p>
  </w:footnote>
  <w:footnote w:id="29">
    <w:p w14:paraId="6A9894DF" w14:textId="77777777" w:rsidR="009C3558" w:rsidRPr="000D3424" w:rsidRDefault="009C3558" w:rsidP="00E3576D">
      <w:pPr>
        <w:pStyle w:val="FootnoteText"/>
        <w:rPr>
          <w:szCs w:val="18"/>
        </w:rPr>
      </w:pPr>
      <w:r w:rsidRPr="000D3424">
        <w:rPr>
          <w:rStyle w:val="FootnoteReference"/>
          <w:szCs w:val="18"/>
        </w:rPr>
        <w:footnoteRef/>
      </w:r>
      <w:r w:rsidRPr="000D3424">
        <w:rPr>
          <w:szCs w:val="18"/>
        </w:rPr>
        <w:t xml:space="preserve"> Hearing Transcripts, Volume 3, 152:22-153:17</w:t>
      </w:r>
    </w:p>
  </w:footnote>
  <w:footnote w:id="30">
    <w:p w14:paraId="7A941D3A" w14:textId="77777777" w:rsidR="009C3558" w:rsidRPr="000D3424" w:rsidRDefault="009C3558" w:rsidP="00E3576D">
      <w:pPr>
        <w:pStyle w:val="FootnoteText"/>
        <w:rPr>
          <w:szCs w:val="18"/>
        </w:rPr>
      </w:pPr>
      <w:r w:rsidRPr="000D3424">
        <w:rPr>
          <w:rStyle w:val="FootnoteReference"/>
          <w:szCs w:val="18"/>
        </w:rPr>
        <w:footnoteRef/>
      </w:r>
      <w:r w:rsidRPr="000D3424">
        <w:rPr>
          <w:szCs w:val="18"/>
        </w:rPr>
        <w:t xml:space="preserve"> Exhibit 1B, Tab 1, Schedule 1, p. 17. </w:t>
      </w:r>
    </w:p>
  </w:footnote>
  <w:footnote w:id="31">
    <w:p w14:paraId="456959ED" w14:textId="77777777" w:rsidR="005332A3" w:rsidRPr="000D3424" w:rsidRDefault="005332A3" w:rsidP="005332A3">
      <w:pPr>
        <w:pStyle w:val="FootnoteText"/>
        <w:rPr>
          <w:szCs w:val="18"/>
        </w:rPr>
      </w:pPr>
      <w:r w:rsidRPr="000D3424">
        <w:rPr>
          <w:rStyle w:val="FootnoteReference"/>
          <w:szCs w:val="18"/>
        </w:rPr>
        <w:footnoteRef/>
      </w:r>
      <w:r w:rsidRPr="000D3424">
        <w:rPr>
          <w:szCs w:val="18"/>
        </w:rPr>
        <w:t xml:space="preserve"> Exhibit U, Tab 1C, Schedule 4 (Financial Report), p. 28; Exhibit U, Tab 1C, Schedule 5 (Annual Information Form), p. 34; Hearing Transcripts, Volume 3, 161:10-162:27.</w:t>
      </w:r>
    </w:p>
  </w:footnote>
  <w:footnote w:id="32">
    <w:p w14:paraId="75ABA872" w14:textId="77777777" w:rsidR="005332A3" w:rsidRPr="000D3424" w:rsidRDefault="005332A3" w:rsidP="005332A3">
      <w:pPr>
        <w:pStyle w:val="FootnoteText"/>
        <w:rPr>
          <w:szCs w:val="18"/>
        </w:rPr>
      </w:pPr>
      <w:r w:rsidRPr="000D3424">
        <w:rPr>
          <w:rStyle w:val="FootnoteReference"/>
          <w:szCs w:val="18"/>
        </w:rPr>
        <w:footnoteRef/>
      </w:r>
      <w:r w:rsidRPr="000D3424">
        <w:rPr>
          <w:szCs w:val="18"/>
        </w:rPr>
        <w:t xml:space="preserve"> Exhibit K3.4 (DRC Compendium for Panel 1), Tab 1, p. 011; Hearing Transcripts, Volume 4, 4:8.</w:t>
      </w:r>
    </w:p>
  </w:footnote>
  <w:footnote w:id="33">
    <w:p w14:paraId="556A04F7" w14:textId="77777777" w:rsidR="005332A3" w:rsidRPr="000D3424" w:rsidRDefault="005332A3" w:rsidP="005332A3">
      <w:pPr>
        <w:pStyle w:val="FootnoteText"/>
        <w:rPr>
          <w:szCs w:val="18"/>
        </w:rPr>
      </w:pPr>
      <w:r w:rsidRPr="000D3424">
        <w:rPr>
          <w:rStyle w:val="FootnoteReference"/>
          <w:szCs w:val="18"/>
        </w:rPr>
        <w:footnoteRef/>
      </w:r>
      <w:r w:rsidRPr="000D3424">
        <w:rPr>
          <w:szCs w:val="18"/>
        </w:rPr>
        <w:t xml:space="preserve"> Exhibit K3.4 (DRC Compendium for Panel 1), Tab 1, p. 006.</w:t>
      </w:r>
    </w:p>
  </w:footnote>
  <w:footnote w:id="34">
    <w:p w14:paraId="5F4D52C4" w14:textId="77777777" w:rsidR="005332A3" w:rsidRPr="000D3424" w:rsidRDefault="005332A3" w:rsidP="005332A3">
      <w:pPr>
        <w:pStyle w:val="FootnoteText"/>
        <w:rPr>
          <w:szCs w:val="18"/>
        </w:rPr>
      </w:pPr>
      <w:r w:rsidRPr="000D3424">
        <w:rPr>
          <w:rStyle w:val="FootnoteReference"/>
          <w:szCs w:val="18"/>
        </w:rPr>
        <w:footnoteRef/>
      </w:r>
      <w:r w:rsidRPr="000D3424">
        <w:rPr>
          <w:szCs w:val="18"/>
        </w:rPr>
        <w:t xml:space="preserve"> Exhibit K3.4 (DRC Compendium for Panel 1), Tab 1, p. 007.</w:t>
      </w:r>
    </w:p>
  </w:footnote>
  <w:footnote w:id="35">
    <w:p w14:paraId="6A9E4601" w14:textId="2B47984A" w:rsidR="009C3558" w:rsidRDefault="009C3558">
      <w:pPr>
        <w:pStyle w:val="FootnoteText"/>
      </w:pPr>
      <w:r>
        <w:rPr>
          <w:rStyle w:val="FootnoteReference"/>
        </w:rPr>
        <w:footnoteRef/>
      </w:r>
      <w:r>
        <w:t xml:space="preserve"> Hearing Transcripts, Volume 4, 10:14-15.</w:t>
      </w:r>
    </w:p>
  </w:footnote>
  <w:footnote w:id="36">
    <w:p w14:paraId="41317904" w14:textId="651FBF72" w:rsidR="00890650" w:rsidRDefault="00890650" w:rsidP="00890650">
      <w:pPr>
        <w:pStyle w:val="FootnoteText"/>
      </w:pPr>
      <w:r>
        <w:rPr>
          <w:rStyle w:val="FootnoteReference"/>
        </w:rPr>
        <w:footnoteRef/>
      </w:r>
      <w:r>
        <w:t xml:space="preserve"> Exhibit 3, Tab 1, Schedule 1, p. 11.</w:t>
      </w:r>
    </w:p>
  </w:footnote>
  <w:footnote w:id="37">
    <w:p w14:paraId="7E638BE0" w14:textId="77777777" w:rsidR="00FE0651" w:rsidRPr="000D3424" w:rsidRDefault="00FE0651" w:rsidP="00FE0651">
      <w:pPr>
        <w:pStyle w:val="FootnoteText"/>
        <w:rPr>
          <w:szCs w:val="18"/>
        </w:rPr>
      </w:pPr>
      <w:r w:rsidRPr="000D3424">
        <w:rPr>
          <w:rStyle w:val="FootnoteReference"/>
          <w:szCs w:val="18"/>
        </w:rPr>
        <w:footnoteRef/>
      </w:r>
      <w:r w:rsidRPr="000D3424">
        <w:rPr>
          <w:szCs w:val="18"/>
        </w:rPr>
        <w:t xml:space="preserve"> Exhibit 2B, Section E8.1.3.3, p. 12; Hearing Transcripts, Volume 3, 154:2-13.</w:t>
      </w:r>
    </w:p>
  </w:footnote>
  <w:footnote w:id="38">
    <w:p w14:paraId="29E5E369" w14:textId="1A3B7206" w:rsidR="009C3558" w:rsidRPr="000D3424" w:rsidRDefault="009C3558" w:rsidP="00E3576D">
      <w:pPr>
        <w:pStyle w:val="FootnoteText"/>
        <w:rPr>
          <w:szCs w:val="18"/>
        </w:rPr>
      </w:pPr>
      <w:r w:rsidRPr="000D3424">
        <w:rPr>
          <w:rStyle w:val="FootnoteReference"/>
          <w:szCs w:val="18"/>
        </w:rPr>
        <w:footnoteRef/>
      </w:r>
      <w:r w:rsidRPr="000D3424">
        <w:rPr>
          <w:szCs w:val="18"/>
        </w:rPr>
        <w:t xml:space="preserve"> Technical Conference Undertaking </w:t>
      </w:r>
      <w:r>
        <w:rPr>
          <w:szCs w:val="18"/>
        </w:rPr>
        <w:t xml:space="preserve">Response </w:t>
      </w:r>
      <w:r w:rsidRPr="000D3424">
        <w:rPr>
          <w:szCs w:val="18"/>
        </w:rPr>
        <w:t>JTC2.30.</w:t>
      </w:r>
    </w:p>
  </w:footnote>
  <w:footnote w:id="39">
    <w:p w14:paraId="324DB281" w14:textId="77777777" w:rsidR="008F4513" w:rsidRDefault="008F4513" w:rsidP="008F4513">
      <w:pPr>
        <w:pStyle w:val="FootnoteText"/>
      </w:pPr>
      <w:r>
        <w:rPr>
          <w:rStyle w:val="FootnoteReference"/>
        </w:rPr>
        <w:footnoteRef/>
      </w:r>
      <w:r>
        <w:t xml:space="preserve"> Oral Hearing Undertaking Response J4.4.</w:t>
      </w:r>
    </w:p>
  </w:footnote>
  <w:footnote w:id="40">
    <w:p w14:paraId="323BEA7F" w14:textId="3FBEC370" w:rsidR="00916BB5" w:rsidRDefault="00916BB5">
      <w:pPr>
        <w:pStyle w:val="FootnoteText"/>
      </w:pPr>
      <w:r>
        <w:rPr>
          <w:rStyle w:val="FootnoteReference"/>
        </w:rPr>
        <w:footnoteRef/>
      </w:r>
      <w:r>
        <w:t xml:space="preserve"> Hearing Transcripts, Volume 10, 80:24-88:11</w:t>
      </w:r>
    </w:p>
  </w:footnote>
  <w:footnote w:id="41">
    <w:p w14:paraId="6826147A" w14:textId="17B470CA" w:rsidR="00916BB5" w:rsidRDefault="00916BB5">
      <w:pPr>
        <w:pStyle w:val="FootnoteText"/>
      </w:pPr>
      <w:r>
        <w:rPr>
          <w:rStyle w:val="FootnoteReference"/>
        </w:rPr>
        <w:footnoteRef/>
      </w:r>
      <w:r>
        <w:t xml:space="preserve"> Hearing Transcripts, Volume 10, 76:15-28,77,79:4-26</w:t>
      </w:r>
    </w:p>
  </w:footnote>
  <w:footnote w:id="42">
    <w:p w14:paraId="0AC96F6F" w14:textId="7DF85E7E" w:rsidR="00696997" w:rsidRDefault="00696997">
      <w:pPr>
        <w:pStyle w:val="FootnoteText"/>
      </w:pPr>
      <w:r>
        <w:rPr>
          <w:rStyle w:val="FootnoteReference"/>
        </w:rPr>
        <w:footnoteRef/>
      </w:r>
      <w:r>
        <w:t xml:space="preserve"> Hearing Transcripts, Volume 10, 80:24 to 88:11</w:t>
      </w:r>
    </w:p>
  </w:footnote>
  <w:footnote w:id="43">
    <w:p w14:paraId="6C4F84C6" w14:textId="2C6C8F04" w:rsidR="00696997" w:rsidRDefault="00696997">
      <w:pPr>
        <w:pStyle w:val="FootnoteText"/>
      </w:pPr>
      <w:r>
        <w:rPr>
          <w:rStyle w:val="FootnoteReference"/>
        </w:rPr>
        <w:footnoteRef/>
      </w:r>
      <w:r>
        <w:t xml:space="preserve"> Hearing Transcripts, Volume 11</w:t>
      </w:r>
    </w:p>
  </w:footnote>
  <w:footnote w:id="44">
    <w:p w14:paraId="736CE600" w14:textId="0964B54B" w:rsidR="009C3558" w:rsidRDefault="009C3558">
      <w:pPr>
        <w:pStyle w:val="FootnoteText"/>
      </w:pPr>
      <w:r>
        <w:rPr>
          <w:rStyle w:val="FootnoteReference"/>
        </w:rPr>
        <w:footnoteRef/>
      </w:r>
      <w:r>
        <w:t xml:space="preserve"> Exhibit 2B, Section E. </w:t>
      </w:r>
    </w:p>
  </w:footnote>
  <w:footnote w:id="45">
    <w:p w14:paraId="4329EA4C" w14:textId="78F3BD3A" w:rsidR="009C3558" w:rsidRDefault="009C3558">
      <w:pPr>
        <w:pStyle w:val="FootnoteText"/>
      </w:pPr>
      <w:r>
        <w:rPr>
          <w:rStyle w:val="FootnoteReference"/>
        </w:rPr>
        <w:footnoteRef/>
      </w:r>
      <w:r>
        <w:t xml:space="preserve"> Exhibit 1B, Tab 1, Schedule 1, p. 29.</w:t>
      </w:r>
    </w:p>
  </w:footnote>
  <w:footnote w:id="46">
    <w:p w14:paraId="1B2AAF88" w14:textId="77777777" w:rsidR="009C3558" w:rsidRDefault="009C3558" w:rsidP="008A202D">
      <w:pPr>
        <w:pStyle w:val="FootnoteText"/>
      </w:pPr>
      <w:r>
        <w:rPr>
          <w:rStyle w:val="FootnoteReference"/>
        </w:rPr>
        <w:footnoteRef/>
      </w:r>
      <w:r>
        <w:t xml:space="preserve"> Exhibit 2B, Section E6.1, p. 1.</w:t>
      </w:r>
    </w:p>
  </w:footnote>
  <w:footnote w:id="47">
    <w:p w14:paraId="670F9B43" w14:textId="3DB13DBF" w:rsidR="009C3558" w:rsidRDefault="009C3558">
      <w:pPr>
        <w:pStyle w:val="FootnoteText"/>
      </w:pPr>
      <w:r>
        <w:rPr>
          <w:rStyle w:val="FootnoteReference"/>
        </w:rPr>
        <w:footnoteRef/>
      </w:r>
      <w:r>
        <w:t xml:space="preserve"> Exhibit 2B, Section E6.1.2, p. 3 (Table 2). </w:t>
      </w:r>
    </w:p>
  </w:footnote>
  <w:footnote w:id="48">
    <w:p w14:paraId="42136A9D" w14:textId="17789DB6" w:rsidR="009C3558" w:rsidRDefault="009C3558">
      <w:pPr>
        <w:pStyle w:val="FootnoteText"/>
      </w:pPr>
      <w:r>
        <w:rPr>
          <w:rStyle w:val="FootnoteReference"/>
        </w:rPr>
        <w:footnoteRef/>
      </w:r>
      <w:r>
        <w:t xml:space="preserve"> Exhibit 2B, Section E7.2, p. 2.</w:t>
      </w:r>
    </w:p>
  </w:footnote>
  <w:footnote w:id="49">
    <w:p w14:paraId="6208C5A2" w14:textId="4F0C5825" w:rsidR="009C3558" w:rsidRDefault="009C3558" w:rsidP="00CB47E0">
      <w:pPr>
        <w:pStyle w:val="FootnoteText"/>
      </w:pPr>
      <w:r>
        <w:rPr>
          <w:rStyle w:val="FootnoteReference"/>
        </w:rPr>
        <w:footnoteRef/>
      </w:r>
      <w:r>
        <w:t xml:space="preserve"> Exhibit 2B, Section E7.2, p. 3.</w:t>
      </w:r>
    </w:p>
  </w:footnote>
  <w:footnote w:id="50">
    <w:p w14:paraId="2E7C8387" w14:textId="1618A35D" w:rsidR="009C3558" w:rsidRDefault="009C3558">
      <w:pPr>
        <w:pStyle w:val="FootnoteText"/>
      </w:pPr>
      <w:r>
        <w:rPr>
          <w:rStyle w:val="FootnoteReference"/>
        </w:rPr>
        <w:footnoteRef/>
      </w:r>
      <w:r>
        <w:t xml:space="preserve"> Exhibit 2B, Section E7.2, pp. 2, 4, 32. See also </w:t>
      </w:r>
      <w:r w:rsidRPr="000D3424">
        <w:rPr>
          <w:szCs w:val="18"/>
        </w:rPr>
        <w:t>Hearing Transcripts, Volume 3, 153:13-25.</w:t>
      </w:r>
    </w:p>
  </w:footnote>
  <w:footnote w:id="51">
    <w:p w14:paraId="4D44979D" w14:textId="7562D33E" w:rsidR="009C3558" w:rsidRDefault="009C3558">
      <w:pPr>
        <w:pStyle w:val="FootnoteText"/>
      </w:pPr>
      <w:r>
        <w:rPr>
          <w:rStyle w:val="FootnoteReference"/>
        </w:rPr>
        <w:footnoteRef/>
      </w:r>
      <w:r>
        <w:t xml:space="preserve"> See Exhibit K3.4 (DRC Compendium for Panel 1), Tab 2, p. 014.</w:t>
      </w:r>
    </w:p>
  </w:footnote>
  <w:footnote w:id="52">
    <w:p w14:paraId="3DD5390F" w14:textId="3FD0039A" w:rsidR="009C3558" w:rsidRDefault="009C3558">
      <w:pPr>
        <w:pStyle w:val="FootnoteText"/>
      </w:pPr>
      <w:r>
        <w:rPr>
          <w:rStyle w:val="FootnoteReference"/>
        </w:rPr>
        <w:footnoteRef/>
      </w:r>
      <w:r>
        <w:t xml:space="preserve"> Ontario Energy Board Staff Submission (August 21, 2019), p. 85.</w:t>
      </w:r>
    </w:p>
  </w:footnote>
  <w:footnote w:id="53">
    <w:p w14:paraId="42034DB2" w14:textId="48994D10" w:rsidR="009C3558" w:rsidRDefault="009C3558">
      <w:pPr>
        <w:pStyle w:val="FootnoteText"/>
      </w:pPr>
      <w:r>
        <w:rPr>
          <w:rStyle w:val="FootnoteReference"/>
        </w:rPr>
        <w:footnoteRef/>
      </w:r>
      <w:r>
        <w:t xml:space="preserve"> </w:t>
      </w:r>
      <w:r w:rsidRPr="00845034">
        <w:rPr>
          <w:i/>
        </w:rPr>
        <w:t>Ibid.</w:t>
      </w:r>
      <w:r>
        <w:t xml:space="preserve"> </w:t>
      </w:r>
    </w:p>
  </w:footnote>
  <w:footnote w:id="54">
    <w:p w14:paraId="06704A70" w14:textId="747C6F83" w:rsidR="009C3558" w:rsidRPr="00845034" w:rsidRDefault="009C3558">
      <w:pPr>
        <w:pStyle w:val="FootnoteText"/>
      </w:pPr>
      <w:r>
        <w:rPr>
          <w:rStyle w:val="FootnoteReference"/>
        </w:rPr>
        <w:footnoteRef/>
      </w:r>
      <w:r>
        <w:t xml:space="preserve"> </w:t>
      </w:r>
      <w:r>
        <w:rPr>
          <w:i/>
        </w:rPr>
        <w:t>Ibid</w:t>
      </w:r>
      <w:r>
        <w:t>., p. 86.</w:t>
      </w:r>
    </w:p>
  </w:footnote>
  <w:footnote w:id="55">
    <w:p w14:paraId="4B87C1F8" w14:textId="5D00F8ED" w:rsidR="009C3558" w:rsidRPr="00F30AC4" w:rsidRDefault="009C3558">
      <w:pPr>
        <w:pStyle w:val="FootnoteText"/>
      </w:pPr>
      <w:r>
        <w:rPr>
          <w:rStyle w:val="FootnoteReference"/>
        </w:rPr>
        <w:footnoteRef/>
      </w:r>
      <w:r>
        <w:t xml:space="preserve"> </w:t>
      </w:r>
      <w:r>
        <w:rPr>
          <w:i/>
        </w:rPr>
        <w:t>Ibid.</w:t>
      </w:r>
      <w:r>
        <w:t xml:space="preserve">, p. 87. See, for context, </w:t>
      </w:r>
      <w:r>
        <w:rPr>
          <w:i/>
        </w:rPr>
        <w:t>Ontario Energy Board Act, 1998</w:t>
      </w:r>
      <w:r>
        <w:t xml:space="preserve">, SO 1998, c 15, Sched B, s 71. </w:t>
      </w:r>
    </w:p>
  </w:footnote>
  <w:footnote w:id="56">
    <w:p w14:paraId="0F9515B1" w14:textId="3C30D377" w:rsidR="009C3558" w:rsidRPr="003949BF" w:rsidRDefault="009C3558">
      <w:pPr>
        <w:pStyle w:val="FootnoteText"/>
      </w:pPr>
      <w:r>
        <w:rPr>
          <w:rStyle w:val="FootnoteReference"/>
        </w:rPr>
        <w:footnoteRef/>
      </w:r>
      <w:r>
        <w:t xml:space="preserve"> </w:t>
      </w:r>
      <w:r>
        <w:rPr>
          <w:i/>
        </w:rPr>
        <w:t>Ibid.</w:t>
      </w:r>
      <w:r>
        <w:t>, p. 91. Board Staff further submits that this is consistent with the July 7, 2016 Board Staff Bulletin, which sets out Board Staff’s view that “the ownership or operation of an EV charging station, and the selling of EV charging services from that facility, do not constitute distribution or retailing.” [</w:t>
      </w:r>
      <w:r w:rsidRPr="003949BF">
        <w:rPr>
          <w:lang w:val="en-US"/>
        </w:rPr>
        <w:t>OEB Staff Bulletin on Electric Vehicle Charging</w:t>
      </w:r>
      <w:r>
        <w:rPr>
          <w:lang w:val="en-US"/>
        </w:rPr>
        <w:t xml:space="preserve"> (</w:t>
      </w:r>
      <w:r w:rsidRPr="003949BF">
        <w:rPr>
          <w:lang w:val="en-US"/>
        </w:rPr>
        <w:t>July 7, 2016</w:t>
      </w:r>
      <w:r>
        <w:rPr>
          <w:lang w:val="en-US"/>
        </w:rPr>
        <w:t>),</w:t>
      </w:r>
      <w:r w:rsidRPr="003949BF">
        <w:rPr>
          <w:lang w:val="en-US"/>
        </w:rPr>
        <w:t xml:space="preserve"> p. 2</w:t>
      </w:r>
      <w:r>
        <w:rPr>
          <w:lang w:val="en-US"/>
        </w:rPr>
        <w:t>.]</w:t>
      </w:r>
      <w:r w:rsidRPr="003949BF">
        <w:rPr>
          <w:lang w:val="en-US"/>
        </w:rPr>
        <w:t xml:space="preserve">  </w:t>
      </w:r>
    </w:p>
  </w:footnote>
  <w:footnote w:id="57">
    <w:p w14:paraId="74641494" w14:textId="77777777" w:rsidR="00D206AB" w:rsidRDefault="00D206AB" w:rsidP="00D206AB">
      <w:pPr>
        <w:pStyle w:val="FootnoteText"/>
      </w:pPr>
      <w:r>
        <w:rPr>
          <w:rStyle w:val="FootnoteReference"/>
        </w:rPr>
        <w:footnoteRef/>
      </w:r>
      <w:r>
        <w:t xml:space="preserve"> BCUC </w:t>
      </w:r>
      <w:r w:rsidRPr="009B4087">
        <w:t>Project No. 1598941</w:t>
      </w:r>
      <w:r>
        <w:t xml:space="preserve">. The BCUC’s Phase One and Phase Two reports are available online at: </w:t>
      </w:r>
      <w:hyperlink r:id="rId1" w:history="1">
        <w:r w:rsidRPr="004A326A">
          <w:rPr>
            <w:rStyle w:val="Hyperlink"/>
          </w:rPr>
          <w:t>https://www.bcuc.com/ApplicationView.aspx?ApplicationId=653</w:t>
        </w:r>
      </w:hyperlink>
      <w:r>
        <w:t xml:space="preserve">. </w:t>
      </w:r>
    </w:p>
    <w:p w14:paraId="2F3696C4" w14:textId="026FE0F8" w:rsidR="00D206AB" w:rsidRDefault="00D206AB">
      <w:pPr>
        <w:pStyle w:val="FootnoteText"/>
      </w:pPr>
    </w:p>
  </w:footnote>
  <w:footnote w:id="58">
    <w:p w14:paraId="23AD2D18" w14:textId="77777777" w:rsidR="00F2281E" w:rsidRPr="009D6AB7" w:rsidRDefault="00F2281E" w:rsidP="00F2281E">
      <w:pPr>
        <w:pStyle w:val="FootnoteText"/>
        <w:rPr>
          <w:rFonts w:cs="Arial"/>
        </w:rPr>
      </w:pPr>
      <w:r w:rsidRPr="009D6AB7">
        <w:rPr>
          <w:rStyle w:val="FootnoteReference"/>
          <w:rFonts w:cs="Arial"/>
        </w:rPr>
        <w:footnoteRef/>
      </w:r>
      <w:r w:rsidRPr="009D6AB7">
        <w:rPr>
          <w:rFonts w:cs="Arial"/>
        </w:rPr>
        <w:t xml:space="preserve"> This clarification appears to be necessary in light of: (i) the discriminatory effect that would result from excluding only EV and EV</w:t>
      </w:r>
      <w:r>
        <w:rPr>
          <w:rFonts w:cs="Arial"/>
        </w:rPr>
        <w:t>-</w:t>
      </w:r>
      <w:r w:rsidRPr="009D6AB7">
        <w:rPr>
          <w:rFonts w:cs="Arial"/>
        </w:rPr>
        <w:t>related DERs from the breadth of DERs that may validly be considered to assist in grid optimization</w:t>
      </w:r>
      <w:r>
        <w:rPr>
          <w:rFonts w:cs="Arial"/>
        </w:rPr>
        <w:t>;</w:t>
      </w:r>
      <w:r w:rsidRPr="009D6AB7">
        <w:rPr>
          <w:rFonts w:cs="Arial"/>
        </w:rPr>
        <w:t xml:space="preserve"> (ii) historical Board decisions (EB-2010-0142, EB-2011-0123) related to EV DER pilots; and (iii) the Board Staff’s July 7, 2016 Bulletin providing that a distribution license is not required for owning and operating an EV charging station. </w:t>
      </w:r>
    </w:p>
  </w:footnote>
  <w:footnote w:id="59">
    <w:p w14:paraId="697EB694" w14:textId="06351B2D" w:rsidR="00DA3940" w:rsidRDefault="00DA3940">
      <w:pPr>
        <w:pStyle w:val="FootnoteText"/>
      </w:pPr>
      <w:r>
        <w:rPr>
          <w:rStyle w:val="FootnoteReference"/>
        </w:rPr>
        <w:footnoteRef/>
      </w:r>
      <w:r>
        <w:t xml:space="preserve"> Exhibit 2B, Section E7.4, p. 2.</w:t>
      </w:r>
    </w:p>
  </w:footnote>
  <w:footnote w:id="60">
    <w:p w14:paraId="2E228E12" w14:textId="36AC70AD" w:rsidR="003129D3" w:rsidRDefault="003129D3">
      <w:pPr>
        <w:pStyle w:val="FootnoteText"/>
      </w:pPr>
      <w:r>
        <w:rPr>
          <w:rStyle w:val="FootnoteReference"/>
        </w:rPr>
        <w:footnoteRef/>
      </w:r>
      <w:r>
        <w:t xml:space="preserve"> See Oral Hearing Undertaking Response J4.1 and the additional references therein.</w:t>
      </w:r>
    </w:p>
  </w:footnote>
  <w:footnote w:id="61">
    <w:p w14:paraId="50A6C99D" w14:textId="213566B8" w:rsidR="009C3558" w:rsidRDefault="009C3558" w:rsidP="007D3DBA">
      <w:pPr>
        <w:pStyle w:val="FootnoteText"/>
      </w:pPr>
      <w:r>
        <w:rPr>
          <w:rStyle w:val="FootnoteReference"/>
        </w:rPr>
        <w:footnoteRef/>
      </w:r>
      <w:r>
        <w:t xml:space="preserve"> Exhibit 2B, Section E8.1, p. 1.</w:t>
      </w:r>
    </w:p>
  </w:footnote>
  <w:footnote w:id="62">
    <w:p w14:paraId="438DCA49" w14:textId="67DB820C" w:rsidR="009C3558" w:rsidRDefault="009C3558">
      <w:pPr>
        <w:pStyle w:val="FootnoteText"/>
      </w:pPr>
      <w:r>
        <w:rPr>
          <w:rStyle w:val="FootnoteReference"/>
        </w:rPr>
        <w:footnoteRef/>
      </w:r>
      <w:r>
        <w:t xml:space="preserve"> Exhibit 2B, Section E8.1, p. 3.</w:t>
      </w:r>
    </w:p>
  </w:footnote>
  <w:footnote w:id="63">
    <w:p w14:paraId="3A743777" w14:textId="7C2752A3" w:rsidR="009C3558" w:rsidRDefault="009C3558">
      <w:pPr>
        <w:pStyle w:val="FootnoteText"/>
      </w:pPr>
      <w:r>
        <w:rPr>
          <w:rStyle w:val="FootnoteReference"/>
        </w:rPr>
        <w:footnoteRef/>
      </w:r>
      <w:r>
        <w:t xml:space="preserve"> Exhibit 2B, Section E8.1, Appendix A, pp. 15-16.</w:t>
      </w:r>
    </w:p>
  </w:footnote>
  <w:footnote w:id="64">
    <w:p w14:paraId="6FFD5E04" w14:textId="660CA3B5" w:rsidR="003A14E1" w:rsidRDefault="003A14E1" w:rsidP="003A14E1">
      <w:pPr>
        <w:pStyle w:val="FootnoteText"/>
      </w:pPr>
      <w:r>
        <w:rPr>
          <w:rStyle w:val="FootnoteReference"/>
        </w:rPr>
        <w:footnoteRef/>
      </w:r>
      <w:r>
        <w:t xml:space="preserve"> Interrogatory Response 2B-DRC-11.</w:t>
      </w:r>
    </w:p>
  </w:footnote>
  <w:footnote w:id="65">
    <w:p w14:paraId="3609CB54" w14:textId="77777777" w:rsidR="008629DC" w:rsidRDefault="008629DC" w:rsidP="008629DC">
      <w:pPr>
        <w:pStyle w:val="FootnoteText"/>
      </w:pPr>
      <w:r>
        <w:rPr>
          <w:rStyle w:val="FootnoteReference"/>
        </w:rPr>
        <w:footnoteRef/>
      </w:r>
      <w:r>
        <w:t xml:space="preserve"> Oral Hearing Undertaking Response J5.10.</w:t>
      </w:r>
    </w:p>
  </w:footnote>
  <w:footnote w:id="66">
    <w:p w14:paraId="30CA338D" w14:textId="77777777" w:rsidR="008629DC" w:rsidRPr="005A4311" w:rsidRDefault="008629DC" w:rsidP="008629DC">
      <w:pPr>
        <w:pStyle w:val="FootnoteText"/>
      </w:pPr>
      <w:r>
        <w:rPr>
          <w:rStyle w:val="FootnoteReference"/>
        </w:rPr>
        <w:footnoteRef/>
      </w:r>
      <w:r>
        <w:t xml:space="preserve"> </w:t>
      </w:r>
      <w:r>
        <w:rPr>
          <w:i/>
        </w:rPr>
        <w:t>Ibid</w:t>
      </w:r>
      <w:r>
        <w:t xml:space="preserve">. </w:t>
      </w:r>
    </w:p>
  </w:footnote>
  <w:footnote w:id="67">
    <w:p w14:paraId="5828807D" w14:textId="77777777" w:rsidR="008629DC" w:rsidRDefault="008629DC" w:rsidP="008629DC">
      <w:pPr>
        <w:pStyle w:val="FootnoteText"/>
      </w:pPr>
      <w:r>
        <w:rPr>
          <w:rStyle w:val="FootnoteReference"/>
        </w:rPr>
        <w:footnoteRef/>
      </w:r>
      <w:r>
        <w:t xml:space="preserve"> Oral Hearing Undertaking Response J5.12.</w:t>
      </w:r>
    </w:p>
  </w:footnote>
  <w:footnote w:id="68">
    <w:p w14:paraId="143A7F6E" w14:textId="77777777" w:rsidR="009C3558" w:rsidRDefault="009C3558" w:rsidP="00E37B8B">
      <w:pPr>
        <w:pStyle w:val="FootnoteText"/>
      </w:pPr>
      <w:r>
        <w:rPr>
          <w:rStyle w:val="FootnoteReference"/>
        </w:rPr>
        <w:footnoteRef/>
      </w:r>
      <w:r>
        <w:t xml:space="preserve"> Exhibit K5.4 (DRC Compendium for Panel 2), Tab 3, p. 014.</w:t>
      </w:r>
    </w:p>
  </w:footnote>
  <w:footnote w:id="69">
    <w:p w14:paraId="3299D407" w14:textId="77777777" w:rsidR="009C3558" w:rsidRDefault="009C3558" w:rsidP="00E37B8B">
      <w:pPr>
        <w:pStyle w:val="FootnoteText"/>
      </w:pPr>
      <w:r>
        <w:rPr>
          <w:rStyle w:val="FootnoteReference"/>
        </w:rPr>
        <w:footnoteRef/>
      </w:r>
      <w:r>
        <w:t xml:space="preserve"> Oral Hearing Undertaking Response J5.9. </w:t>
      </w:r>
    </w:p>
  </w:footnote>
  <w:footnote w:id="70">
    <w:p w14:paraId="46C0F409" w14:textId="3E2857CF" w:rsidR="009C3558" w:rsidRDefault="009C3558">
      <w:pPr>
        <w:pStyle w:val="FootnoteText"/>
      </w:pPr>
      <w:r>
        <w:rPr>
          <w:rStyle w:val="FootnoteReference"/>
        </w:rPr>
        <w:footnoteRef/>
      </w:r>
      <w:r>
        <w:t xml:space="preserve"> </w:t>
      </w:r>
      <w:r>
        <w:rPr>
          <w:i/>
        </w:rPr>
        <w:t>Ibid</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628BB" w14:textId="574075C3" w:rsidR="009C3558" w:rsidRPr="003828F5" w:rsidRDefault="00F04D3E" w:rsidP="000E241C">
    <w:pPr>
      <w:pStyle w:val="Header"/>
      <w:jc w:val="right"/>
      <w:rPr>
        <w:rFonts w:cs="Arial"/>
        <w:szCs w:val="22"/>
        <w:lang w:val="en-US"/>
      </w:rPr>
    </w:pPr>
    <w:sdt>
      <w:sdtPr>
        <w:rPr>
          <w:rFonts w:cs="Arial"/>
          <w:szCs w:val="22"/>
          <w:lang w:val="en-US"/>
        </w:rPr>
        <w:id w:val="813841825"/>
        <w:docPartObj>
          <w:docPartGallery w:val="Watermarks"/>
          <w:docPartUnique/>
        </w:docPartObj>
      </w:sdtPr>
      <w:sdtEndPr/>
      <w:sdtContent/>
    </w:sdt>
    <w:r w:rsidR="009C3558" w:rsidRPr="003828F5">
      <w:rPr>
        <w:rFonts w:eastAsia="Calibri" w:cs="Arial"/>
        <w:szCs w:val="22"/>
        <w:lang w:val="en-US"/>
      </w:rPr>
      <w:t>EB</w:t>
    </w:r>
    <w:r w:rsidR="009C3558" w:rsidRPr="003828F5">
      <w:rPr>
        <w:rFonts w:cs="Arial"/>
        <w:szCs w:val="22"/>
        <w:lang w:val="en-US"/>
      </w:rPr>
      <w:t>-</w:t>
    </w:r>
    <w:r w:rsidR="009C3558">
      <w:rPr>
        <w:rFonts w:cs="Arial"/>
        <w:szCs w:val="22"/>
        <w:lang w:val="en-US"/>
      </w:rPr>
      <w:t>2018-0165</w:t>
    </w:r>
  </w:p>
  <w:p w14:paraId="432568F9" w14:textId="070DBFEE" w:rsidR="009C3558" w:rsidRDefault="009C3558" w:rsidP="00A06655">
    <w:pPr>
      <w:pStyle w:val="Header"/>
      <w:jc w:val="right"/>
      <w:rPr>
        <w:rFonts w:eastAsia="Calibri" w:cs="Arial"/>
        <w:szCs w:val="22"/>
        <w:lang w:val="en-US"/>
      </w:rPr>
    </w:pPr>
    <w:r>
      <w:rPr>
        <w:rFonts w:eastAsia="Calibri" w:cs="Arial"/>
        <w:szCs w:val="22"/>
        <w:lang w:val="en-US"/>
      </w:rPr>
      <w:t>Submissions of DRC</w:t>
    </w:r>
  </w:p>
  <w:p w14:paraId="0D38E689" w14:textId="44D6ECC0" w:rsidR="009C3558" w:rsidRDefault="009C3558" w:rsidP="00A06655">
    <w:pPr>
      <w:pStyle w:val="Header"/>
      <w:jc w:val="right"/>
      <w:rPr>
        <w:rFonts w:cs="Arial"/>
        <w:szCs w:val="22"/>
        <w:lang w:val="en-US"/>
      </w:rPr>
    </w:pPr>
    <w:r>
      <w:rPr>
        <w:rFonts w:cs="Arial"/>
        <w:szCs w:val="22"/>
        <w:lang w:val="en-US"/>
      </w:rPr>
      <w:t>August 28, 2019</w:t>
    </w:r>
  </w:p>
  <w:p w14:paraId="5AF0D396" w14:textId="7A172536" w:rsidR="009C3558" w:rsidRDefault="009C3558" w:rsidP="007C0257">
    <w:pPr>
      <w:pStyle w:val="Header"/>
      <w:pBdr>
        <w:bottom w:val="single" w:sz="6" w:space="1" w:color="auto"/>
      </w:pBdr>
      <w:spacing w:line="480" w:lineRule="auto"/>
      <w:jc w:val="right"/>
      <w:rPr>
        <w:rFonts w:cs="Arial"/>
        <w:szCs w:val="22"/>
        <w:lang w:val="en-US"/>
      </w:rPr>
    </w:pPr>
    <w:r w:rsidRPr="003828F5">
      <w:rPr>
        <w:rFonts w:eastAsia="Calibri" w:cs="Arial"/>
        <w:szCs w:val="22"/>
        <w:lang w:val="en-US"/>
      </w:rPr>
      <w:t>Page</w:t>
    </w:r>
    <w:r w:rsidRPr="003828F5">
      <w:rPr>
        <w:rFonts w:cs="Arial"/>
        <w:szCs w:val="22"/>
        <w:lang w:val="en-US"/>
      </w:rPr>
      <w:t xml:space="preserve"> </w:t>
    </w:r>
    <w:r w:rsidRPr="003828F5">
      <w:rPr>
        <w:rFonts w:cs="Arial"/>
        <w:szCs w:val="22"/>
        <w:lang w:val="en-US"/>
      </w:rPr>
      <w:fldChar w:fldCharType="begin"/>
    </w:r>
    <w:r w:rsidRPr="003828F5">
      <w:rPr>
        <w:rFonts w:cs="Arial"/>
        <w:szCs w:val="22"/>
        <w:lang w:val="en-US"/>
      </w:rPr>
      <w:instrText xml:space="preserve"> </w:instrText>
    </w:r>
    <w:r w:rsidRPr="003828F5">
      <w:rPr>
        <w:rFonts w:eastAsia="Calibri" w:cs="Arial"/>
        <w:szCs w:val="22"/>
        <w:lang w:val="en-US"/>
      </w:rPr>
      <w:instrText>PAGE</w:instrText>
    </w:r>
    <w:r w:rsidRPr="003828F5">
      <w:rPr>
        <w:rFonts w:cs="Arial"/>
        <w:szCs w:val="22"/>
        <w:lang w:val="en-US"/>
      </w:rPr>
      <w:instrText xml:space="preserve">   \* </w:instrText>
    </w:r>
    <w:r w:rsidRPr="003828F5">
      <w:rPr>
        <w:rFonts w:eastAsia="Calibri" w:cs="Arial"/>
        <w:szCs w:val="22"/>
        <w:lang w:val="en-US"/>
      </w:rPr>
      <w:instrText>MERGEFORMAT</w:instrText>
    </w:r>
    <w:r w:rsidRPr="003828F5">
      <w:rPr>
        <w:rFonts w:cs="Arial"/>
        <w:szCs w:val="22"/>
        <w:lang w:val="en-US"/>
      </w:rPr>
      <w:instrText xml:space="preserve"> </w:instrText>
    </w:r>
    <w:r w:rsidRPr="003828F5">
      <w:rPr>
        <w:rFonts w:cs="Arial"/>
        <w:szCs w:val="22"/>
        <w:lang w:val="en-US"/>
      </w:rPr>
      <w:fldChar w:fldCharType="separate"/>
    </w:r>
    <w:r w:rsidR="00EF58BD" w:rsidRPr="00EF58BD">
      <w:rPr>
        <w:rFonts w:cs="Arial"/>
        <w:noProof/>
        <w:szCs w:val="22"/>
        <w:lang w:val="en-US"/>
      </w:rPr>
      <w:t>23</w:t>
    </w:r>
    <w:r w:rsidRPr="003828F5">
      <w:rPr>
        <w:rFonts w:cs="Arial"/>
        <w:szCs w:val="22"/>
        <w:lang w:val="en-US"/>
      </w:rPr>
      <w:fldChar w:fldCharType="end"/>
    </w:r>
    <w:r w:rsidRPr="003828F5">
      <w:rPr>
        <w:rFonts w:cs="Arial"/>
        <w:szCs w:val="22"/>
        <w:lang w:val="en-US"/>
      </w:rPr>
      <w:t xml:space="preserve"> </w:t>
    </w:r>
    <w:r w:rsidRPr="003828F5">
      <w:rPr>
        <w:rFonts w:eastAsia="Calibri" w:cs="Arial"/>
        <w:szCs w:val="22"/>
        <w:lang w:val="en-US"/>
      </w:rPr>
      <w:t>of</w:t>
    </w:r>
    <w:r w:rsidRPr="003828F5">
      <w:rPr>
        <w:rFonts w:cs="Arial"/>
        <w:szCs w:val="22"/>
        <w:lang w:val="en-US"/>
      </w:rPr>
      <w:t xml:space="preserve"> </w:t>
    </w:r>
    <w:r w:rsidR="00DB2A91">
      <w:rPr>
        <w:rFonts w:cs="Arial"/>
        <w:szCs w:val="22"/>
        <w:lang w:val="en-US"/>
      </w:rPr>
      <w:t>23</w:t>
    </w:r>
  </w:p>
  <w:p w14:paraId="63F1F5B6" w14:textId="77777777" w:rsidR="009C3558" w:rsidRPr="003828F5" w:rsidRDefault="009C3558" w:rsidP="007C0257">
    <w:pPr>
      <w:pStyle w:val="Header"/>
      <w:spacing w:line="480" w:lineRule="auto"/>
      <w:rPr>
        <w:rFonts w:cs="Arial"/>
        <w:szCs w:val="2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F06B6"/>
    <w:multiLevelType w:val="hybridMultilevel"/>
    <w:tmpl w:val="3D2E9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051E07"/>
    <w:multiLevelType w:val="hybridMultilevel"/>
    <w:tmpl w:val="11F08816"/>
    <w:lvl w:ilvl="0" w:tplc="04090013">
      <w:start w:val="1"/>
      <w:numFmt w:val="upperRoman"/>
      <w:lvlText w:val="%1."/>
      <w:lvlJc w:val="right"/>
      <w:pPr>
        <w:ind w:left="1287" w:hanging="360"/>
      </w:pPr>
    </w:lvl>
    <w:lvl w:ilvl="1" w:tplc="7FFA1ABE">
      <w:start w:val="1"/>
      <w:numFmt w:val="upperRoman"/>
      <w:lvlText w:val="%2."/>
      <w:lvlJc w:val="left"/>
      <w:pPr>
        <w:ind w:left="2367" w:hanging="72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1C313966"/>
    <w:multiLevelType w:val="hybridMultilevel"/>
    <w:tmpl w:val="11F08816"/>
    <w:lvl w:ilvl="0" w:tplc="04090013">
      <w:start w:val="1"/>
      <w:numFmt w:val="upperRoman"/>
      <w:lvlText w:val="%1."/>
      <w:lvlJc w:val="right"/>
      <w:pPr>
        <w:ind w:left="927" w:hanging="360"/>
      </w:pPr>
    </w:lvl>
    <w:lvl w:ilvl="1" w:tplc="7FFA1ABE">
      <w:start w:val="1"/>
      <w:numFmt w:val="upperRoman"/>
      <w:lvlText w:val="%2."/>
      <w:lvlJc w:val="left"/>
      <w:pPr>
        <w:ind w:left="2007" w:hanging="72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258A6A67"/>
    <w:multiLevelType w:val="hybridMultilevel"/>
    <w:tmpl w:val="99EC7778"/>
    <w:lvl w:ilvl="0" w:tplc="BC7EE8A2">
      <w:start w:val="1"/>
      <w:numFmt w:val="bullet"/>
      <w:lvlText w:val=""/>
      <w:lvlJc w:val="left"/>
      <w:pPr>
        <w:ind w:left="242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2627A"/>
    <w:multiLevelType w:val="hybridMultilevel"/>
    <w:tmpl w:val="5FE8A27E"/>
    <w:lvl w:ilvl="0" w:tplc="04090013">
      <w:start w:val="1"/>
      <w:numFmt w:val="upp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35B9416E"/>
    <w:multiLevelType w:val="hybridMultilevel"/>
    <w:tmpl w:val="8CCA8BE4"/>
    <w:lvl w:ilvl="0" w:tplc="3C20E5AE">
      <w:start w:val="1"/>
      <w:numFmt w:val="upperLetter"/>
      <w:pStyle w:val="Heading3"/>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2A7663"/>
    <w:multiLevelType w:val="hybridMultilevel"/>
    <w:tmpl w:val="2070EA9A"/>
    <w:lvl w:ilvl="0" w:tplc="0409000F">
      <w:start w:val="1"/>
      <w:numFmt w:val="decimal"/>
      <w:lvlText w:val="%1."/>
      <w:lvlJc w:val="left"/>
      <w:pPr>
        <w:ind w:left="1287" w:hanging="720"/>
      </w:pPr>
      <w:rPr>
        <w:rFont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54C4638"/>
    <w:multiLevelType w:val="hybridMultilevel"/>
    <w:tmpl w:val="30F0B682"/>
    <w:lvl w:ilvl="0" w:tplc="D4181A9E">
      <w:start w:val="1"/>
      <w:numFmt w:val="decimal"/>
      <w:lvlText w:val="%1."/>
      <w:lvlJc w:val="left"/>
      <w:pPr>
        <w:ind w:left="567" w:hanging="567"/>
      </w:pPr>
      <w:rPr>
        <w:rFonts w:ascii="Arial" w:hAnsi="Arial" w:cs="Arial" w:hint="default"/>
        <w:b w:val="0"/>
        <w:strike w:val="0"/>
        <w:sz w:val="22"/>
        <w:szCs w:val="22"/>
      </w:rPr>
    </w:lvl>
    <w:lvl w:ilvl="1" w:tplc="357E86B2">
      <w:start w:val="1"/>
      <w:numFmt w:val="lowerLetter"/>
      <w:lvlText w:val="(%2)"/>
      <w:lvlJc w:val="left"/>
      <w:pPr>
        <w:ind w:left="927" w:hanging="360"/>
      </w:pPr>
      <w:rPr>
        <w:rFonts w:hint="default"/>
        <w:b w:val="0"/>
      </w:rPr>
    </w:lvl>
    <w:lvl w:ilvl="2" w:tplc="4404DF0E">
      <w:start w:val="1"/>
      <w:numFmt w:val="lowerRoman"/>
      <w:lvlText w:val="%3."/>
      <w:lvlJc w:val="left"/>
      <w:pPr>
        <w:ind w:left="2340" w:hanging="720"/>
      </w:pPr>
      <w:rPr>
        <w:rFonts w:ascii="Arial" w:eastAsiaTheme="minorHAnsi" w:hAnsi="Arial" w:cs="Times New Roman"/>
      </w:rPr>
    </w:lvl>
    <w:lvl w:ilvl="3" w:tplc="9EE2EEE0">
      <w:start w:val="3"/>
      <w:numFmt w:val="upperLetter"/>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79C3F4F"/>
    <w:multiLevelType w:val="multilevel"/>
    <w:tmpl w:val="B532AF64"/>
    <w:lvl w:ilvl="0">
      <w:start w:val="1"/>
      <w:numFmt w:val="decimal"/>
      <w:lvlRestart w:val="0"/>
      <w:pStyle w:val="ORGenL1"/>
      <w:lvlText w:val="%1."/>
      <w:lvlJc w:val="left"/>
      <w:pPr>
        <w:tabs>
          <w:tab w:val="num" w:pos="720"/>
        </w:tabs>
        <w:ind w:left="720" w:hanging="720"/>
      </w:pPr>
      <w:rPr>
        <w:b w:val="0"/>
      </w:rPr>
    </w:lvl>
    <w:lvl w:ilvl="1">
      <w:start w:val="1"/>
      <w:numFmt w:val="lowerLetter"/>
      <w:pStyle w:val="ORGenL2"/>
      <w:lvlText w:val="(%2)"/>
      <w:lvlJc w:val="left"/>
      <w:pPr>
        <w:tabs>
          <w:tab w:val="num" w:pos="1440"/>
        </w:tabs>
        <w:ind w:left="1440" w:hanging="720"/>
      </w:pPr>
    </w:lvl>
    <w:lvl w:ilvl="2">
      <w:start w:val="1"/>
      <w:numFmt w:val="lowerRoman"/>
      <w:pStyle w:val="ORGenL3"/>
      <w:lvlText w:val="(%3)"/>
      <w:lvlJc w:val="right"/>
      <w:pPr>
        <w:tabs>
          <w:tab w:val="num" w:pos="2160"/>
        </w:tabs>
        <w:ind w:left="2160" w:hanging="432"/>
      </w:pPr>
    </w:lvl>
    <w:lvl w:ilvl="3">
      <w:start w:val="1"/>
      <w:numFmt w:val="decimal"/>
      <w:pStyle w:val="ORGenL4"/>
      <w:lvlText w:val="(%4)"/>
      <w:lvlJc w:val="left"/>
      <w:pPr>
        <w:tabs>
          <w:tab w:val="num" w:pos="2880"/>
        </w:tabs>
        <w:ind w:left="2880" w:hanging="720"/>
      </w:pPr>
    </w:lvl>
    <w:lvl w:ilvl="4">
      <w:start w:val="1"/>
      <w:numFmt w:val="upperLetter"/>
      <w:pStyle w:val="ORGenL5"/>
      <w:lvlText w:val="(%5)"/>
      <w:lvlJc w:val="left"/>
      <w:pPr>
        <w:tabs>
          <w:tab w:val="num" w:pos="3600"/>
        </w:tabs>
        <w:ind w:left="3600" w:hanging="720"/>
      </w:pPr>
    </w:lvl>
    <w:lvl w:ilvl="5">
      <w:start w:val="1"/>
      <w:numFmt w:val="upperRoman"/>
      <w:pStyle w:val="ORGenL6"/>
      <w:lvlText w:val="(%6)"/>
      <w:lvlJc w:val="left"/>
      <w:pPr>
        <w:tabs>
          <w:tab w:val="num" w:pos="4320"/>
        </w:tabs>
        <w:ind w:left="4320" w:hanging="720"/>
      </w:pPr>
    </w:lvl>
    <w:lvl w:ilvl="6">
      <w:start w:val="1"/>
      <w:numFmt w:val="decimal"/>
      <w:pStyle w:val="ORGenL7"/>
      <w:lvlText w:val="%7)"/>
      <w:lvlJc w:val="left"/>
      <w:pPr>
        <w:tabs>
          <w:tab w:val="num" w:pos="5040"/>
        </w:tabs>
        <w:ind w:left="5040" w:hanging="720"/>
      </w:pPr>
    </w:lvl>
    <w:lvl w:ilvl="7">
      <w:start w:val="1"/>
      <w:numFmt w:val="lowerLetter"/>
      <w:pStyle w:val="ORGenL8"/>
      <w:lvlText w:val="%8)"/>
      <w:lvlJc w:val="left"/>
      <w:pPr>
        <w:tabs>
          <w:tab w:val="num" w:pos="5760"/>
        </w:tabs>
        <w:ind w:left="5760" w:hanging="720"/>
      </w:pPr>
    </w:lvl>
    <w:lvl w:ilvl="8">
      <w:start w:val="1"/>
      <w:numFmt w:val="lowerRoman"/>
      <w:pStyle w:val="ORGenL9"/>
      <w:lvlText w:val="%9)"/>
      <w:lvlJc w:val="left"/>
      <w:pPr>
        <w:tabs>
          <w:tab w:val="num" w:pos="6480"/>
        </w:tabs>
        <w:ind w:left="6480" w:hanging="720"/>
      </w:pPr>
    </w:lvl>
  </w:abstractNum>
  <w:abstractNum w:abstractNumId="9" w15:restartNumberingAfterBreak="0">
    <w:nsid w:val="5A01252C"/>
    <w:multiLevelType w:val="hybridMultilevel"/>
    <w:tmpl w:val="3F7ABDAC"/>
    <w:lvl w:ilvl="0" w:tplc="24CCF504">
      <w:start w:val="1"/>
      <w:numFmt w:val="upperRoman"/>
      <w:pStyle w:val="Heading2"/>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A3134C"/>
    <w:multiLevelType w:val="hybridMultilevel"/>
    <w:tmpl w:val="0C6291E2"/>
    <w:lvl w:ilvl="0" w:tplc="711A8D1E">
      <w:start w:val="1"/>
      <w:numFmt w:val="decimal"/>
      <w:pStyle w:val="ListParagraph"/>
      <w:lvlText w:val="%1."/>
      <w:lvlJc w:val="left"/>
      <w:pPr>
        <w:ind w:left="567" w:hanging="567"/>
      </w:pPr>
      <w:rPr>
        <w:rFonts w:hint="default"/>
      </w:rPr>
    </w:lvl>
    <w:lvl w:ilvl="1" w:tplc="FEB29E74">
      <w:start w:val="1"/>
      <w:numFmt w:val="lowerLetter"/>
      <w:lvlText w:val="(%2)"/>
      <w:lvlJc w:val="left"/>
      <w:pPr>
        <w:ind w:left="1134" w:hanging="567"/>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CD2789"/>
    <w:multiLevelType w:val="singleLevel"/>
    <w:tmpl w:val="345C1B18"/>
    <w:name w:val="OR BulletList"/>
    <w:lvl w:ilvl="0">
      <w:start w:val="1"/>
      <w:numFmt w:val="bullet"/>
      <w:pStyle w:val="ORSubHeading"/>
      <w:lvlText w:val=""/>
      <w:lvlJc w:val="left"/>
      <w:pPr>
        <w:tabs>
          <w:tab w:val="num" w:pos="1440"/>
        </w:tabs>
        <w:ind w:left="1440" w:hanging="720"/>
      </w:pPr>
      <w:rPr>
        <w:rFonts w:ascii="Symbol" w:hAnsi="Symbol" w:cs="Symbol" w:hint="default"/>
        <w:b w:val="0"/>
        <w:bCs w:val="0"/>
        <w:i w:val="0"/>
        <w:iCs w:val="0"/>
        <w:sz w:val="24"/>
        <w:szCs w:val="24"/>
      </w:rPr>
    </w:lvl>
  </w:abstractNum>
  <w:abstractNum w:abstractNumId="12" w15:restartNumberingAfterBreak="0">
    <w:nsid w:val="778F72E1"/>
    <w:multiLevelType w:val="hybridMultilevel"/>
    <w:tmpl w:val="E2DEF0CE"/>
    <w:lvl w:ilvl="0" w:tplc="04090019">
      <w:start w:val="1"/>
      <w:numFmt w:val="lowerLetter"/>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3" w15:restartNumberingAfterBreak="0">
    <w:nsid w:val="7ED57A94"/>
    <w:multiLevelType w:val="hybridMultilevel"/>
    <w:tmpl w:val="92B6E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10"/>
  </w:num>
  <w:num w:numId="4">
    <w:abstractNumId w:val="7"/>
  </w:num>
  <w:num w:numId="5">
    <w:abstractNumId w:val="9"/>
  </w:num>
  <w:num w:numId="6">
    <w:abstractNumId w:val="5"/>
  </w:num>
  <w:num w:numId="7">
    <w:abstractNumId w:val="5"/>
    <w:lvlOverride w:ilvl="0">
      <w:startOverride w:val="1"/>
    </w:lvlOverride>
  </w:num>
  <w:num w:numId="8">
    <w:abstractNumId w:val="6"/>
  </w:num>
  <w:num w:numId="9">
    <w:abstractNumId w:val="1"/>
  </w:num>
  <w:num w:numId="10">
    <w:abstractNumId w:val="4"/>
  </w:num>
  <w:num w:numId="11">
    <w:abstractNumId w:val="2"/>
  </w:num>
  <w:num w:numId="12">
    <w:abstractNumId w:val="12"/>
  </w:num>
  <w:num w:numId="13">
    <w:abstractNumId w:val="3"/>
  </w:num>
  <w:num w:numId="14">
    <w:abstractNumId w:val="0"/>
  </w:num>
  <w:num w:numId="15">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3"/>
  <w:hideSpellingErrors/>
  <w:hideGrammaticalErrors/>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ctiveWritingStyle w:appName="MSWord" w:lang="en-CA" w:vendorID="64" w:dllVersion="6" w:nlCheck="1" w:checkStyle="0"/>
  <w:activeWritingStyle w:appName="MSWord" w:lang="en-US" w:vendorID="64" w:dllVersion="6" w:nlCheck="1" w:checkStyle="0"/>
  <w:activeWritingStyle w:appName="MSWord" w:lang="en-CA" w:vendorID="64" w:dllVersion="4096" w:nlCheck="1" w:checkStyle="0"/>
  <w:activeWritingStyle w:appName="MSWord" w:lang="en-US" w:vendorID="64" w:dllVersion="4096" w:nlCheck="1" w:checkStyle="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A35"/>
    <w:rsid w:val="00000683"/>
    <w:rsid w:val="000006B3"/>
    <w:rsid w:val="000006D1"/>
    <w:rsid w:val="00001847"/>
    <w:rsid w:val="00001F59"/>
    <w:rsid w:val="00004134"/>
    <w:rsid w:val="0000428A"/>
    <w:rsid w:val="00004773"/>
    <w:rsid w:val="00004B57"/>
    <w:rsid w:val="00004E09"/>
    <w:rsid w:val="00004F55"/>
    <w:rsid w:val="00005E82"/>
    <w:rsid w:val="00006B2C"/>
    <w:rsid w:val="00006E89"/>
    <w:rsid w:val="00010189"/>
    <w:rsid w:val="0001044B"/>
    <w:rsid w:val="00010456"/>
    <w:rsid w:val="000116CA"/>
    <w:rsid w:val="00012E0B"/>
    <w:rsid w:val="000133AE"/>
    <w:rsid w:val="00013D6E"/>
    <w:rsid w:val="00014597"/>
    <w:rsid w:val="00016B94"/>
    <w:rsid w:val="00016DE5"/>
    <w:rsid w:val="00016F62"/>
    <w:rsid w:val="000170BD"/>
    <w:rsid w:val="000171D1"/>
    <w:rsid w:val="00017539"/>
    <w:rsid w:val="0002041E"/>
    <w:rsid w:val="0002075B"/>
    <w:rsid w:val="0002080A"/>
    <w:rsid w:val="00020943"/>
    <w:rsid w:val="00020C9D"/>
    <w:rsid w:val="00024B79"/>
    <w:rsid w:val="00024DAB"/>
    <w:rsid w:val="00025085"/>
    <w:rsid w:val="000255A7"/>
    <w:rsid w:val="00025E26"/>
    <w:rsid w:val="00025F99"/>
    <w:rsid w:val="00026B7B"/>
    <w:rsid w:val="00026CBC"/>
    <w:rsid w:val="00027BE9"/>
    <w:rsid w:val="00030E0D"/>
    <w:rsid w:val="000322C1"/>
    <w:rsid w:val="00034AEB"/>
    <w:rsid w:val="0003556A"/>
    <w:rsid w:val="00036A83"/>
    <w:rsid w:val="00036FAC"/>
    <w:rsid w:val="000423D7"/>
    <w:rsid w:val="000435FE"/>
    <w:rsid w:val="00044757"/>
    <w:rsid w:val="00044DD5"/>
    <w:rsid w:val="000457BF"/>
    <w:rsid w:val="0004664B"/>
    <w:rsid w:val="0004719E"/>
    <w:rsid w:val="000473EE"/>
    <w:rsid w:val="00047596"/>
    <w:rsid w:val="00047648"/>
    <w:rsid w:val="000508CB"/>
    <w:rsid w:val="00050D9E"/>
    <w:rsid w:val="0005158D"/>
    <w:rsid w:val="000519A9"/>
    <w:rsid w:val="00051B42"/>
    <w:rsid w:val="0005221B"/>
    <w:rsid w:val="0005325D"/>
    <w:rsid w:val="00053FD8"/>
    <w:rsid w:val="0005442F"/>
    <w:rsid w:val="00055CAD"/>
    <w:rsid w:val="0005601A"/>
    <w:rsid w:val="00056040"/>
    <w:rsid w:val="00056331"/>
    <w:rsid w:val="0005713D"/>
    <w:rsid w:val="000603D8"/>
    <w:rsid w:val="00060979"/>
    <w:rsid w:val="000611B6"/>
    <w:rsid w:val="00061FB9"/>
    <w:rsid w:val="00062291"/>
    <w:rsid w:val="00062CD7"/>
    <w:rsid w:val="00064DAF"/>
    <w:rsid w:val="0006535C"/>
    <w:rsid w:val="000657FD"/>
    <w:rsid w:val="000658AA"/>
    <w:rsid w:val="00067ADF"/>
    <w:rsid w:val="00070A1F"/>
    <w:rsid w:val="00070B0D"/>
    <w:rsid w:val="00072A34"/>
    <w:rsid w:val="0007315F"/>
    <w:rsid w:val="000739FE"/>
    <w:rsid w:val="00074173"/>
    <w:rsid w:val="000741C9"/>
    <w:rsid w:val="000757E5"/>
    <w:rsid w:val="00075C94"/>
    <w:rsid w:val="00076ADB"/>
    <w:rsid w:val="00076C08"/>
    <w:rsid w:val="00076D2D"/>
    <w:rsid w:val="00077379"/>
    <w:rsid w:val="00077423"/>
    <w:rsid w:val="00080761"/>
    <w:rsid w:val="00080DD9"/>
    <w:rsid w:val="00082087"/>
    <w:rsid w:val="00082DD8"/>
    <w:rsid w:val="000843DA"/>
    <w:rsid w:val="00084489"/>
    <w:rsid w:val="00084F92"/>
    <w:rsid w:val="000850F5"/>
    <w:rsid w:val="00087D2E"/>
    <w:rsid w:val="00090CD3"/>
    <w:rsid w:val="00091F24"/>
    <w:rsid w:val="00093C11"/>
    <w:rsid w:val="0009416F"/>
    <w:rsid w:val="000944A1"/>
    <w:rsid w:val="000950CC"/>
    <w:rsid w:val="00095A09"/>
    <w:rsid w:val="00097381"/>
    <w:rsid w:val="00097E9B"/>
    <w:rsid w:val="000A3B62"/>
    <w:rsid w:val="000A53EB"/>
    <w:rsid w:val="000A6498"/>
    <w:rsid w:val="000A70C3"/>
    <w:rsid w:val="000A763C"/>
    <w:rsid w:val="000B0586"/>
    <w:rsid w:val="000B0EE0"/>
    <w:rsid w:val="000B20C2"/>
    <w:rsid w:val="000B2820"/>
    <w:rsid w:val="000B3327"/>
    <w:rsid w:val="000B33A0"/>
    <w:rsid w:val="000B378F"/>
    <w:rsid w:val="000B4779"/>
    <w:rsid w:val="000B4DFD"/>
    <w:rsid w:val="000B4E84"/>
    <w:rsid w:val="000B5AAC"/>
    <w:rsid w:val="000B5D8A"/>
    <w:rsid w:val="000B6239"/>
    <w:rsid w:val="000B6CDD"/>
    <w:rsid w:val="000C0669"/>
    <w:rsid w:val="000C0E8A"/>
    <w:rsid w:val="000C1242"/>
    <w:rsid w:val="000C1ABD"/>
    <w:rsid w:val="000C3136"/>
    <w:rsid w:val="000C353C"/>
    <w:rsid w:val="000C36F4"/>
    <w:rsid w:val="000C3F74"/>
    <w:rsid w:val="000C4304"/>
    <w:rsid w:val="000C430B"/>
    <w:rsid w:val="000C4344"/>
    <w:rsid w:val="000C5451"/>
    <w:rsid w:val="000C5C2B"/>
    <w:rsid w:val="000C6709"/>
    <w:rsid w:val="000C73BF"/>
    <w:rsid w:val="000C748D"/>
    <w:rsid w:val="000D011A"/>
    <w:rsid w:val="000D3424"/>
    <w:rsid w:val="000D3B76"/>
    <w:rsid w:val="000D3DD4"/>
    <w:rsid w:val="000D4853"/>
    <w:rsid w:val="000D52CC"/>
    <w:rsid w:val="000D5DEF"/>
    <w:rsid w:val="000E021E"/>
    <w:rsid w:val="000E1ADB"/>
    <w:rsid w:val="000E1DAC"/>
    <w:rsid w:val="000E233A"/>
    <w:rsid w:val="000E241C"/>
    <w:rsid w:val="000E2745"/>
    <w:rsid w:val="000E2862"/>
    <w:rsid w:val="000E28C7"/>
    <w:rsid w:val="000E2C5D"/>
    <w:rsid w:val="000E2DC0"/>
    <w:rsid w:val="000E2F59"/>
    <w:rsid w:val="000E34B2"/>
    <w:rsid w:val="000E37FA"/>
    <w:rsid w:val="000E4140"/>
    <w:rsid w:val="000E4426"/>
    <w:rsid w:val="000E4A24"/>
    <w:rsid w:val="000E4A3F"/>
    <w:rsid w:val="000E5114"/>
    <w:rsid w:val="000E55F3"/>
    <w:rsid w:val="000E5956"/>
    <w:rsid w:val="000E6DC6"/>
    <w:rsid w:val="000E6E75"/>
    <w:rsid w:val="000E7E25"/>
    <w:rsid w:val="000F08BD"/>
    <w:rsid w:val="000F0AC0"/>
    <w:rsid w:val="000F0EFB"/>
    <w:rsid w:val="000F12EA"/>
    <w:rsid w:val="000F183E"/>
    <w:rsid w:val="000F244C"/>
    <w:rsid w:val="000F27B7"/>
    <w:rsid w:val="000F3FC4"/>
    <w:rsid w:val="000F4D20"/>
    <w:rsid w:val="000F54CF"/>
    <w:rsid w:val="000F573C"/>
    <w:rsid w:val="000F64DA"/>
    <w:rsid w:val="000F6794"/>
    <w:rsid w:val="000F6904"/>
    <w:rsid w:val="000F759B"/>
    <w:rsid w:val="0010011E"/>
    <w:rsid w:val="00101DF7"/>
    <w:rsid w:val="0010378D"/>
    <w:rsid w:val="00103DD1"/>
    <w:rsid w:val="001042E6"/>
    <w:rsid w:val="00106431"/>
    <w:rsid w:val="00106ECE"/>
    <w:rsid w:val="0010706D"/>
    <w:rsid w:val="00107229"/>
    <w:rsid w:val="0010798A"/>
    <w:rsid w:val="001109DE"/>
    <w:rsid w:val="00110F54"/>
    <w:rsid w:val="001112F0"/>
    <w:rsid w:val="001117A2"/>
    <w:rsid w:val="0011368E"/>
    <w:rsid w:val="00114025"/>
    <w:rsid w:val="0011407B"/>
    <w:rsid w:val="001148EC"/>
    <w:rsid w:val="001154C2"/>
    <w:rsid w:val="001167F6"/>
    <w:rsid w:val="00116D07"/>
    <w:rsid w:val="00116E28"/>
    <w:rsid w:val="00120134"/>
    <w:rsid w:val="0012089F"/>
    <w:rsid w:val="001223F9"/>
    <w:rsid w:val="00122559"/>
    <w:rsid w:val="001230D3"/>
    <w:rsid w:val="001235BB"/>
    <w:rsid w:val="0012557E"/>
    <w:rsid w:val="001259F5"/>
    <w:rsid w:val="00125FC7"/>
    <w:rsid w:val="00126F03"/>
    <w:rsid w:val="0012755C"/>
    <w:rsid w:val="00127979"/>
    <w:rsid w:val="00127999"/>
    <w:rsid w:val="001301C6"/>
    <w:rsid w:val="00131A5C"/>
    <w:rsid w:val="00133155"/>
    <w:rsid w:val="00133ECC"/>
    <w:rsid w:val="001341CF"/>
    <w:rsid w:val="00134868"/>
    <w:rsid w:val="00134FB6"/>
    <w:rsid w:val="001358C0"/>
    <w:rsid w:val="00137CF1"/>
    <w:rsid w:val="0014004C"/>
    <w:rsid w:val="00140B9E"/>
    <w:rsid w:val="0014181C"/>
    <w:rsid w:val="001426C6"/>
    <w:rsid w:val="0014328B"/>
    <w:rsid w:val="001432D1"/>
    <w:rsid w:val="001441F3"/>
    <w:rsid w:val="00144850"/>
    <w:rsid w:val="0014495E"/>
    <w:rsid w:val="00144A99"/>
    <w:rsid w:val="0014546D"/>
    <w:rsid w:val="001460B4"/>
    <w:rsid w:val="00146772"/>
    <w:rsid w:val="0014694A"/>
    <w:rsid w:val="00146E2A"/>
    <w:rsid w:val="00151674"/>
    <w:rsid w:val="0015218F"/>
    <w:rsid w:val="001533C3"/>
    <w:rsid w:val="0015476E"/>
    <w:rsid w:val="00154CA1"/>
    <w:rsid w:val="00154D1E"/>
    <w:rsid w:val="00155EEF"/>
    <w:rsid w:val="0015690B"/>
    <w:rsid w:val="00157834"/>
    <w:rsid w:val="001600EB"/>
    <w:rsid w:val="00160FF7"/>
    <w:rsid w:val="001618D8"/>
    <w:rsid w:val="00161F53"/>
    <w:rsid w:val="001639A2"/>
    <w:rsid w:val="00163C65"/>
    <w:rsid w:val="001645D9"/>
    <w:rsid w:val="00165E0E"/>
    <w:rsid w:val="0016639B"/>
    <w:rsid w:val="001667BB"/>
    <w:rsid w:val="00167383"/>
    <w:rsid w:val="0016770E"/>
    <w:rsid w:val="00167F17"/>
    <w:rsid w:val="00167F4C"/>
    <w:rsid w:val="001709E1"/>
    <w:rsid w:val="001715F8"/>
    <w:rsid w:val="001720F3"/>
    <w:rsid w:val="00172E43"/>
    <w:rsid w:val="00173313"/>
    <w:rsid w:val="001735CA"/>
    <w:rsid w:val="00174232"/>
    <w:rsid w:val="00174669"/>
    <w:rsid w:val="00176CBB"/>
    <w:rsid w:val="001778B7"/>
    <w:rsid w:val="00177BA5"/>
    <w:rsid w:val="00177BD6"/>
    <w:rsid w:val="00180251"/>
    <w:rsid w:val="001804A5"/>
    <w:rsid w:val="0018077B"/>
    <w:rsid w:val="00181B73"/>
    <w:rsid w:val="00181BFE"/>
    <w:rsid w:val="00182B1B"/>
    <w:rsid w:val="001838AF"/>
    <w:rsid w:val="00183CA6"/>
    <w:rsid w:val="001844A5"/>
    <w:rsid w:val="00185AB9"/>
    <w:rsid w:val="001860BB"/>
    <w:rsid w:val="001862DC"/>
    <w:rsid w:val="001877CE"/>
    <w:rsid w:val="00187F4E"/>
    <w:rsid w:val="001901D9"/>
    <w:rsid w:val="00193A40"/>
    <w:rsid w:val="00194088"/>
    <w:rsid w:val="001947CF"/>
    <w:rsid w:val="0019521D"/>
    <w:rsid w:val="00195AB8"/>
    <w:rsid w:val="001A13BE"/>
    <w:rsid w:val="001A1DA4"/>
    <w:rsid w:val="001A1DCB"/>
    <w:rsid w:val="001A2BB3"/>
    <w:rsid w:val="001A2E72"/>
    <w:rsid w:val="001A325A"/>
    <w:rsid w:val="001A32DB"/>
    <w:rsid w:val="001A4A11"/>
    <w:rsid w:val="001A61BD"/>
    <w:rsid w:val="001A65BA"/>
    <w:rsid w:val="001A6FEC"/>
    <w:rsid w:val="001A7814"/>
    <w:rsid w:val="001A7E20"/>
    <w:rsid w:val="001B0B5C"/>
    <w:rsid w:val="001B10E7"/>
    <w:rsid w:val="001B2776"/>
    <w:rsid w:val="001B3434"/>
    <w:rsid w:val="001B3ACD"/>
    <w:rsid w:val="001B3DDF"/>
    <w:rsid w:val="001B3F17"/>
    <w:rsid w:val="001B4BE9"/>
    <w:rsid w:val="001B4D9F"/>
    <w:rsid w:val="001B4FB6"/>
    <w:rsid w:val="001B54F5"/>
    <w:rsid w:val="001B5A26"/>
    <w:rsid w:val="001B6045"/>
    <w:rsid w:val="001B6E79"/>
    <w:rsid w:val="001B7D6B"/>
    <w:rsid w:val="001C039E"/>
    <w:rsid w:val="001C1C43"/>
    <w:rsid w:val="001C2FE9"/>
    <w:rsid w:val="001C3923"/>
    <w:rsid w:val="001C3B53"/>
    <w:rsid w:val="001C4A5A"/>
    <w:rsid w:val="001C4BDA"/>
    <w:rsid w:val="001C5CC1"/>
    <w:rsid w:val="001C63EA"/>
    <w:rsid w:val="001C6456"/>
    <w:rsid w:val="001C6D25"/>
    <w:rsid w:val="001C6D4C"/>
    <w:rsid w:val="001C704E"/>
    <w:rsid w:val="001C7B5C"/>
    <w:rsid w:val="001D0308"/>
    <w:rsid w:val="001D07B9"/>
    <w:rsid w:val="001D0A6A"/>
    <w:rsid w:val="001D1017"/>
    <w:rsid w:val="001D228C"/>
    <w:rsid w:val="001D43DD"/>
    <w:rsid w:val="001D4F8F"/>
    <w:rsid w:val="001D5063"/>
    <w:rsid w:val="001D5818"/>
    <w:rsid w:val="001D651F"/>
    <w:rsid w:val="001D6FDB"/>
    <w:rsid w:val="001D7A3C"/>
    <w:rsid w:val="001D7F07"/>
    <w:rsid w:val="001E0961"/>
    <w:rsid w:val="001E09A1"/>
    <w:rsid w:val="001E17D6"/>
    <w:rsid w:val="001E4225"/>
    <w:rsid w:val="001E48A0"/>
    <w:rsid w:val="001E4A6A"/>
    <w:rsid w:val="001E636B"/>
    <w:rsid w:val="001E6472"/>
    <w:rsid w:val="001E6588"/>
    <w:rsid w:val="001F0864"/>
    <w:rsid w:val="001F094C"/>
    <w:rsid w:val="001F23FB"/>
    <w:rsid w:val="001F3D97"/>
    <w:rsid w:val="001F5603"/>
    <w:rsid w:val="001F5961"/>
    <w:rsid w:val="001F5E95"/>
    <w:rsid w:val="001F6347"/>
    <w:rsid w:val="001F6859"/>
    <w:rsid w:val="001F687C"/>
    <w:rsid w:val="001F6E53"/>
    <w:rsid w:val="001F732A"/>
    <w:rsid w:val="00204EAE"/>
    <w:rsid w:val="0020506E"/>
    <w:rsid w:val="0020619E"/>
    <w:rsid w:val="0020761E"/>
    <w:rsid w:val="002077CC"/>
    <w:rsid w:val="0021009D"/>
    <w:rsid w:val="00210494"/>
    <w:rsid w:val="00215C14"/>
    <w:rsid w:val="00216B5A"/>
    <w:rsid w:val="00216BA7"/>
    <w:rsid w:val="00216D26"/>
    <w:rsid w:val="0022198C"/>
    <w:rsid w:val="002222BC"/>
    <w:rsid w:val="002233AC"/>
    <w:rsid w:val="00223DD4"/>
    <w:rsid w:val="00223F0C"/>
    <w:rsid w:val="002253C1"/>
    <w:rsid w:val="002253DD"/>
    <w:rsid w:val="0022579E"/>
    <w:rsid w:val="002262FB"/>
    <w:rsid w:val="00227979"/>
    <w:rsid w:val="00227A35"/>
    <w:rsid w:val="00227CD4"/>
    <w:rsid w:val="0023120F"/>
    <w:rsid w:val="00231578"/>
    <w:rsid w:val="0023169D"/>
    <w:rsid w:val="00231AEA"/>
    <w:rsid w:val="00231E84"/>
    <w:rsid w:val="002340CA"/>
    <w:rsid w:val="00234CA6"/>
    <w:rsid w:val="00234CC9"/>
    <w:rsid w:val="00234E87"/>
    <w:rsid w:val="0023544D"/>
    <w:rsid w:val="002359AC"/>
    <w:rsid w:val="0023606F"/>
    <w:rsid w:val="0023727B"/>
    <w:rsid w:val="002373EA"/>
    <w:rsid w:val="002375C7"/>
    <w:rsid w:val="00240770"/>
    <w:rsid w:val="00240D4A"/>
    <w:rsid w:val="00241199"/>
    <w:rsid w:val="002422CB"/>
    <w:rsid w:val="00242367"/>
    <w:rsid w:val="00244652"/>
    <w:rsid w:val="00244846"/>
    <w:rsid w:val="00246EDF"/>
    <w:rsid w:val="002479DC"/>
    <w:rsid w:val="00247D64"/>
    <w:rsid w:val="00250688"/>
    <w:rsid w:val="00251ADA"/>
    <w:rsid w:val="0025233A"/>
    <w:rsid w:val="00252873"/>
    <w:rsid w:val="00253256"/>
    <w:rsid w:val="0025349C"/>
    <w:rsid w:val="002538CA"/>
    <w:rsid w:val="00253C3E"/>
    <w:rsid w:val="00254B48"/>
    <w:rsid w:val="00254EF5"/>
    <w:rsid w:val="0025540B"/>
    <w:rsid w:val="0025582D"/>
    <w:rsid w:val="00256BF7"/>
    <w:rsid w:val="00256EAD"/>
    <w:rsid w:val="00262490"/>
    <w:rsid w:val="002624DA"/>
    <w:rsid w:val="0026271A"/>
    <w:rsid w:val="002644AB"/>
    <w:rsid w:val="002648B0"/>
    <w:rsid w:val="0026491D"/>
    <w:rsid w:val="00264C64"/>
    <w:rsid w:val="00264CAC"/>
    <w:rsid w:val="00265675"/>
    <w:rsid w:val="00265829"/>
    <w:rsid w:val="0026601F"/>
    <w:rsid w:val="00266441"/>
    <w:rsid w:val="00267180"/>
    <w:rsid w:val="00267F70"/>
    <w:rsid w:val="00270A8A"/>
    <w:rsid w:val="00270B1F"/>
    <w:rsid w:val="00270EF3"/>
    <w:rsid w:val="002720BF"/>
    <w:rsid w:val="00273F87"/>
    <w:rsid w:val="00275688"/>
    <w:rsid w:val="00276249"/>
    <w:rsid w:val="0027632A"/>
    <w:rsid w:val="00276B99"/>
    <w:rsid w:val="00277980"/>
    <w:rsid w:val="002817D5"/>
    <w:rsid w:val="00281D07"/>
    <w:rsid w:val="00283695"/>
    <w:rsid w:val="002839F0"/>
    <w:rsid w:val="00283D3B"/>
    <w:rsid w:val="0028415E"/>
    <w:rsid w:val="00285299"/>
    <w:rsid w:val="002864E4"/>
    <w:rsid w:val="002865EB"/>
    <w:rsid w:val="00286F84"/>
    <w:rsid w:val="00287A17"/>
    <w:rsid w:val="00287A7D"/>
    <w:rsid w:val="00287B38"/>
    <w:rsid w:val="00290677"/>
    <w:rsid w:val="00291B47"/>
    <w:rsid w:val="00292749"/>
    <w:rsid w:val="002930E8"/>
    <w:rsid w:val="002938AC"/>
    <w:rsid w:val="00294C39"/>
    <w:rsid w:val="00296D85"/>
    <w:rsid w:val="002A02B7"/>
    <w:rsid w:val="002A1BF5"/>
    <w:rsid w:val="002A1C7A"/>
    <w:rsid w:val="002A2679"/>
    <w:rsid w:val="002A32C4"/>
    <w:rsid w:val="002A3328"/>
    <w:rsid w:val="002A33BD"/>
    <w:rsid w:val="002A3785"/>
    <w:rsid w:val="002A3D69"/>
    <w:rsid w:val="002A40A5"/>
    <w:rsid w:val="002B13A9"/>
    <w:rsid w:val="002B1D7A"/>
    <w:rsid w:val="002B2B9C"/>
    <w:rsid w:val="002B2FB7"/>
    <w:rsid w:val="002B318A"/>
    <w:rsid w:val="002B3C93"/>
    <w:rsid w:val="002B3D62"/>
    <w:rsid w:val="002B3EC1"/>
    <w:rsid w:val="002B4352"/>
    <w:rsid w:val="002B534A"/>
    <w:rsid w:val="002B59A5"/>
    <w:rsid w:val="002B5AF4"/>
    <w:rsid w:val="002B6083"/>
    <w:rsid w:val="002B6CFD"/>
    <w:rsid w:val="002B7940"/>
    <w:rsid w:val="002C18E8"/>
    <w:rsid w:val="002C23F9"/>
    <w:rsid w:val="002C4217"/>
    <w:rsid w:val="002C5CF8"/>
    <w:rsid w:val="002C5F2D"/>
    <w:rsid w:val="002C6676"/>
    <w:rsid w:val="002D1389"/>
    <w:rsid w:val="002D18A3"/>
    <w:rsid w:val="002D2174"/>
    <w:rsid w:val="002D35D3"/>
    <w:rsid w:val="002D3F3B"/>
    <w:rsid w:val="002D4791"/>
    <w:rsid w:val="002D49D4"/>
    <w:rsid w:val="002D4A17"/>
    <w:rsid w:val="002D4F3F"/>
    <w:rsid w:val="002D620E"/>
    <w:rsid w:val="002E00F4"/>
    <w:rsid w:val="002E04DF"/>
    <w:rsid w:val="002E08B9"/>
    <w:rsid w:val="002E0A5D"/>
    <w:rsid w:val="002E231B"/>
    <w:rsid w:val="002E2FD2"/>
    <w:rsid w:val="002E3302"/>
    <w:rsid w:val="002E4B34"/>
    <w:rsid w:val="002E4C04"/>
    <w:rsid w:val="002E4E09"/>
    <w:rsid w:val="002E562E"/>
    <w:rsid w:val="002E67FA"/>
    <w:rsid w:val="002E6ED6"/>
    <w:rsid w:val="002F37C4"/>
    <w:rsid w:val="002F46F7"/>
    <w:rsid w:val="002F5922"/>
    <w:rsid w:val="002F5B1F"/>
    <w:rsid w:val="002F61C0"/>
    <w:rsid w:val="00300B63"/>
    <w:rsid w:val="0030118D"/>
    <w:rsid w:val="0030223F"/>
    <w:rsid w:val="00302A54"/>
    <w:rsid w:val="00302A97"/>
    <w:rsid w:val="00303367"/>
    <w:rsid w:val="003033AE"/>
    <w:rsid w:val="00303C1B"/>
    <w:rsid w:val="00303E1C"/>
    <w:rsid w:val="003045F8"/>
    <w:rsid w:val="0030561F"/>
    <w:rsid w:val="003056DE"/>
    <w:rsid w:val="00305B75"/>
    <w:rsid w:val="00307127"/>
    <w:rsid w:val="0031205E"/>
    <w:rsid w:val="003129D3"/>
    <w:rsid w:val="00312C20"/>
    <w:rsid w:val="003136A2"/>
    <w:rsid w:val="00314F3F"/>
    <w:rsid w:val="00315152"/>
    <w:rsid w:val="00315EC2"/>
    <w:rsid w:val="00317B95"/>
    <w:rsid w:val="00321AC4"/>
    <w:rsid w:val="00322808"/>
    <w:rsid w:val="00323207"/>
    <w:rsid w:val="00325025"/>
    <w:rsid w:val="0032618C"/>
    <w:rsid w:val="00326538"/>
    <w:rsid w:val="003266EC"/>
    <w:rsid w:val="003268CB"/>
    <w:rsid w:val="00326AFE"/>
    <w:rsid w:val="00326E22"/>
    <w:rsid w:val="00327644"/>
    <w:rsid w:val="0032790A"/>
    <w:rsid w:val="0032799E"/>
    <w:rsid w:val="00330A89"/>
    <w:rsid w:val="00332429"/>
    <w:rsid w:val="00334ABA"/>
    <w:rsid w:val="00334F85"/>
    <w:rsid w:val="003351E4"/>
    <w:rsid w:val="00336DDE"/>
    <w:rsid w:val="003379E7"/>
    <w:rsid w:val="003400A3"/>
    <w:rsid w:val="00340B23"/>
    <w:rsid w:val="00341795"/>
    <w:rsid w:val="00341877"/>
    <w:rsid w:val="003424A6"/>
    <w:rsid w:val="00342B18"/>
    <w:rsid w:val="003436A0"/>
    <w:rsid w:val="003436B6"/>
    <w:rsid w:val="00344660"/>
    <w:rsid w:val="00344B74"/>
    <w:rsid w:val="003451CA"/>
    <w:rsid w:val="0034536E"/>
    <w:rsid w:val="00345FE1"/>
    <w:rsid w:val="0034634D"/>
    <w:rsid w:val="003463D3"/>
    <w:rsid w:val="00347314"/>
    <w:rsid w:val="00347D8F"/>
    <w:rsid w:val="0035002F"/>
    <w:rsid w:val="00350653"/>
    <w:rsid w:val="00350B1D"/>
    <w:rsid w:val="003524CD"/>
    <w:rsid w:val="00353533"/>
    <w:rsid w:val="003537EE"/>
    <w:rsid w:val="00353AD5"/>
    <w:rsid w:val="003564F3"/>
    <w:rsid w:val="0035654E"/>
    <w:rsid w:val="00356B90"/>
    <w:rsid w:val="00356CF7"/>
    <w:rsid w:val="00356D41"/>
    <w:rsid w:val="00357E20"/>
    <w:rsid w:val="003602C0"/>
    <w:rsid w:val="003607C2"/>
    <w:rsid w:val="0036246F"/>
    <w:rsid w:val="00362580"/>
    <w:rsid w:val="00363607"/>
    <w:rsid w:val="0036364D"/>
    <w:rsid w:val="00364829"/>
    <w:rsid w:val="00364D1F"/>
    <w:rsid w:val="00365F75"/>
    <w:rsid w:val="00367A16"/>
    <w:rsid w:val="00367DD7"/>
    <w:rsid w:val="00367EB7"/>
    <w:rsid w:val="00370977"/>
    <w:rsid w:val="00371E26"/>
    <w:rsid w:val="0037283A"/>
    <w:rsid w:val="00372BE2"/>
    <w:rsid w:val="00373DA0"/>
    <w:rsid w:val="0037532F"/>
    <w:rsid w:val="00375F0C"/>
    <w:rsid w:val="00376E7C"/>
    <w:rsid w:val="00377263"/>
    <w:rsid w:val="003807C1"/>
    <w:rsid w:val="00380B6B"/>
    <w:rsid w:val="0038148F"/>
    <w:rsid w:val="00381BDC"/>
    <w:rsid w:val="003828F5"/>
    <w:rsid w:val="003829E7"/>
    <w:rsid w:val="00382F37"/>
    <w:rsid w:val="003837F9"/>
    <w:rsid w:val="003840A6"/>
    <w:rsid w:val="00384E36"/>
    <w:rsid w:val="00386235"/>
    <w:rsid w:val="00386574"/>
    <w:rsid w:val="00386904"/>
    <w:rsid w:val="00387CD0"/>
    <w:rsid w:val="00393747"/>
    <w:rsid w:val="003949BF"/>
    <w:rsid w:val="00395C1E"/>
    <w:rsid w:val="00396B65"/>
    <w:rsid w:val="00397A3B"/>
    <w:rsid w:val="003A013D"/>
    <w:rsid w:val="003A0CDA"/>
    <w:rsid w:val="003A0E69"/>
    <w:rsid w:val="003A14E1"/>
    <w:rsid w:val="003A1549"/>
    <w:rsid w:val="003A166A"/>
    <w:rsid w:val="003A1BEA"/>
    <w:rsid w:val="003A1C0E"/>
    <w:rsid w:val="003A1C24"/>
    <w:rsid w:val="003A2CC1"/>
    <w:rsid w:val="003A2FB3"/>
    <w:rsid w:val="003A33FD"/>
    <w:rsid w:val="003A3AA9"/>
    <w:rsid w:val="003A4B43"/>
    <w:rsid w:val="003A5C40"/>
    <w:rsid w:val="003A67B6"/>
    <w:rsid w:val="003A7808"/>
    <w:rsid w:val="003B04C5"/>
    <w:rsid w:val="003B0AFF"/>
    <w:rsid w:val="003B1314"/>
    <w:rsid w:val="003B1FB7"/>
    <w:rsid w:val="003B36C2"/>
    <w:rsid w:val="003B42D7"/>
    <w:rsid w:val="003B4B81"/>
    <w:rsid w:val="003B51A2"/>
    <w:rsid w:val="003B5A25"/>
    <w:rsid w:val="003B5A7A"/>
    <w:rsid w:val="003B6179"/>
    <w:rsid w:val="003B621D"/>
    <w:rsid w:val="003B74DF"/>
    <w:rsid w:val="003B7D3F"/>
    <w:rsid w:val="003C04D7"/>
    <w:rsid w:val="003C142E"/>
    <w:rsid w:val="003C1666"/>
    <w:rsid w:val="003C199B"/>
    <w:rsid w:val="003C2795"/>
    <w:rsid w:val="003C29EE"/>
    <w:rsid w:val="003C30B7"/>
    <w:rsid w:val="003C3288"/>
    <w:rsid w:val="003C3658"/>
    <w:rsid w:val="003C5047"/>
    <w:rsid w:val="003C68D6"/>
    <w:rsid w:val="003C6EFF"/>
    <w:rsid w:val="003C713E"/>
    <w:rsid w:val="003C7C8F"/>
    <w:rsid w:val="003C7F12"/>
    <w:rsid w:val="003D0A61"/>
    <w:rsid w:val="003D1415"/>
    <w:rsid w:val="003D3162"/>
    <w:rsid w:val="003D3221"/>
    <w:rsid w:val="003D3293"/>
    <w:rsid w:val="003D36FA"/>
    <w:rsid w:val="003D39BC"/>
    <w:rsid w:val="003D4027"/>
    <w:rsid w:val="003D4252"/>
    <w:rsid w:val="003D4707"/>
    <w:rsid w:val="003D51E0"/>
    <w:rsid w:val="003D53AD"/>
    <w:rsid w:val="003D5FBE"/>
    <w:rsid w:val="003D5FEC"/>
    <w:rsid w:val="003D6538"/>
    <w:rsid w:val="003D6559"/>
    <w:rsid w:val="003D685D"/>
    <w:rsid w:val="003E005B"/>
    <w:rsid w:val="003E0155"/>
    <w:rsid w:val="003E048A"/>
    <w:rsid w:val="003E0F99"/>
    <w:rsid w:val="003E1855"/>
    <w:rsid w:val="003E2299"/>
    <w:rsid w:val="003E280E"/>
    <w:rsid w:val="003E2FDE"/>
    <w:rsid w:val="003E2FE2"/>
    <w:rsid w:val="003E3EE5"/>
    <w:rsid w:val="003E541B"/>
    <w:rsid w:val="003E5EB3"/>
    <w:rsid w:val="003E6E73"/>
    <w:rsid w:val="003E768A"/>
    <w:rsid w:val="003E7F70"/>
    <w:rsid w:val="003E7FE7"/>
    <w:rsid w:val="003F08AD"/>
    <w:rsid w:val="003F105E"/>
    <w:rsid w:val="003F152C"/>
    <w:rsid w:val="003F18CC"/>
    <w:rsid w:val="003F2210"/>
    <w:rsid w:val="003F2845"/>
    <w:rsid w:val="003F2D98"/>
    <w:rsid w:val="003F2DAA"/>
    <w:rsid w:val="003F309B"/>
    <w:rsid w:val="003F6AD7"/>
    <w:rsid w:val="00401625"/>
    <w:rsid w:val="00401BBA"/>
    <w:rsid w:val="00402401"/>
    <w:rsid w:val="00402410"/>
    <w:rsid w:val="00402CED"/>
    <w:rsid w:val="00402E18"/>
    <w:rsid w:val="00403786"/>
    <w:rsid w:val="00403A7B"/>
    <w:rsid w:val="00404D93"/>
    <w:rsid w:val="0040768B"/>
    <w:rsid w:val="00411294"/>
    <w:rsid w:val="004113F8"/>
    <w:rsid w:val="004124D0"/>
    <w:rsid w:val="00413FF9"/>
    <w:rsid w:val="00414125"/>
    <w:rsid w:val="00414901"/>
    <w:rsid w:val="00415BB0"/>
    <w:rsid w:val="00416C54"/>
    <w:rsid w:val="00417E9B"/>
    <w:rsid w:val="004200CD"/>
    <w:rsid w:val="00420C14"/>
    <w:rsid w:val="00421736"/>
    <w:rsid w:val="00421840"/>
    <w:rsid w:val="0042221E"/>
    <w:rsid w:val="00422E6F"/>
    <w:rsid w:val="00424316"/>
    <w:rsid w:val="00424C51"/>
    <w:rsid w:val="00430937"/>
    <w:rsid w:val="004315E1"/>
    <w:rsid w:val="004371D7"/>
    <w:rsid w:val="004374AC"/>
    <w:rsid w:val="00440936"/>
    <w:rsid w:val="0044107B"/>
    <w:rsid w:val="0044294B"/>
    <w:rsid w:val="00443780"/>
    <w:rsid w:val="0044399C"/>
    <w:rsid w:val="00443A8B"/>
    <w:rsid w:val="00443D6D"/>
    <w:rsid w:val="0044527E"/>
    <w:rsid w:val="00445954"/>
    <w:rsid w:val="00445C27"/>
    <w:rsid w:val="00445EE7"/>
    <w:rsid w:val="00446BF9"/>
    <w:rsid w:val="00447C0D"/>
    <w:rsid w:val="0045033B"/>
    <w:rsid w:val="004509D3"/>
    <w:rsid w:val="004511BE"/>
    <w:rsid w:val="00451741"/>
    <w:rsid w:val="00452036"/>
    <w:rsid w:val="00454315"/>
    <w:rsid w:val="00455218"/>
    <w:rsid w:val="00455814"/>
    <w:rsid w:val="00455BC3"/>
    <w:rsid w:val="00455F42"/>
    <w:rsid w:val="00456A6A"/>
    <w:rsid w:val="004571E0"/>
    <w:rsid w:val="00460448"/>
    <w:rsid w:val="00460C9A"/>
    <w:rsid w:val="00460FED"/>
    <w:rsid w:val="00461862"/>
    <w:rsid w:val="004619EC"/>
    <w:rsid w:val="00461C9F"/>
    <w:rsid w:val="00462CA1"/>
    <w:rsid w:val="004633B0"/>
    <w:rsid w:val="00463DAE"/>
    <w:rsid w:val="004645D7"/>
    <w:rsid w:val="00464EEB"/>
    <w:rsid w:val="00465614"/>
    <w:rsid w:val="00465F3A"/>
    <w:rsid w:val="0046699F"/>
    <w:rsid w:val="00467DAB"/>
    <w:rsid w:val="004711D8"/>
    <w:rsid w:val="00471245"/>
    <w:rsid w:val="00471F4F"/>
    <w:rsid w:val="0047252D"/>
    <w:rsid w:val="00472BE9"/>
    <w:rsid w:val="004741F8"/>
    <w:rsid w:val="00475293"/>
    <w:rsid w:val="00475748"/>
    <w:rsid w:val="0047786D"/>
    <w:rsid w:val="00480DF4"/>
    <w:rsid w:val="00482B61"/>
    <w:rsid w:val="00482F32"/>
    <w:rsid w:val="004858DA"/>
    <w:rsid w:val="004860A3"/>
    <w:rsid w:val="004873D2"/>
    <w:rsid w:val="0048750D"/>
    <w:rsid w:val="0048759B"/>
    <w:rsid w:val="00487CA6"/>
    <w:rsid w:val="00492D32"/>
    <w:rsid w:val="00493018"/>
    <w:rsid w:val="004949C3"/>
    <w:rsid w:val="00494F35"/>
    <w:rsid w:val="00497216"/>
    <w:rsid w:val="004A0407"/>
    <w:rsid w:val="004A0776"/>
    <w:rsid w:val="004A0A17"/>
    <w:rsid w:val="004A14EA"/>
    <w:rsid w:val="004A1883"/>
    <w:rsid w:val="004A260D"/>
    <w:rsid w:val="004A2B3F"/>
    <w:rsid w:val="004A3362"/>
    <w:rsid w:val="004A34A0"/>
    <w:rsid w:val="004A415C"/>
    <w:rsid w:val="004A418C"/>
    <w:rsid w:val="004A4315"/>
    <w:rsid w:val="004A4A72"/>
    <w:rsid w:val="004A55F8"/>
    <w:rsid w:val="004B00F0"/>
    <w:rsid w:val="004B0601"/>
    <w:rsid w:val="004B129E"/>
    <w:rsid w:val="004B1B38"/>
    <w:rsid w:val="004B1EC5"/>
    <w:rsid w:val="004B3791"/>
    <w:rsid w:val="004B38DF"/>
    <w:rsid w:val="004B3D0A"/>
    <w:rsid w:val="004B4341"/>
    <w:rsid w:val="004B4AE7"/>
    <w:rsid w:val="004B4F2B"/>
    <w:rsid w:val="004B5020"/>
    <w:rsid w:val="004B5A35"/>
    <w:rsid w:val="004B6F88"/>
    <w:rsid w:val="004B73DA"/>
    <w:rsid w:val="004B7FA4"/>
    <w:rsid w:val="004C0633"/>
    <w:rsid w:val="004C1882"/>
    <w:rsid w:val="004C1C3A"/>
    <w:rsid w:val="004C1F77"/>
    <w:rsid w:val="004C24C6"/>
    <w:rsid w:val="004C3741"/>
    <w:rsid w:val="004C3D54"/>
    <w:rsid w:val="004C5AE0"/>
    <w:rsid w:val="004C6893"/>
    <w:rsid w:val="004C7B20"/>
    <w:rsid w:val="004D0232"/>
    <w:rsid w:val="004D026A"/>
    <w:rsid w:val="004D0492"/>
    <w:rsid w:val="004D0A74"/>
    <w:rsid w:val="004D0B7A"/>
    <w:rsid w:val="004D18BA"/>
    <w:rsid w:val="004D20EB"/>
    <w:rsid w:val="004D2681"/>
    <w:rsid w:val="004D28D5"/>
    <w:rsid w:val="004D2D83"/>
    <w:rsid w:val="004D5C9B"/>
    <w:rsid w:val="004D5F7C"/>
    <w:rsid w:val="004D7BEA"/>
    <w:rsid w:val="004E0799"/>
    <w:rsid w:val="004E233F"/>
    <w:rsid w:val="004E42A5"/>
    <w:rsid w:val="004E4CAB"/>
    <w:rsid w:val="004E52BB"/>
    <w:rsid w:val="004E7C96"/>
    <w:rsid w:val="004E7E29"/>
    <w:rsid w:val="004F051C"/>
    <w:rsid w:val="004F07CA"/>
    <w:rsid w:val="004F0885"/>
    <w:rsid w:val="004F08A1"/>
    <w:rsid w:val="004F1C7F"/>
    <w:rsid w:val="004F22AC"/>
    <w:rsid w:val="004F25AC"/>
    <w:rsid w:val="004F32B8"/>
    <w:rsid w:val="004F36FD"/>
    <w:rsid w:val="004F4654"/>
    <w:rsid w:val="004F4BED"/>
    <w:rsid w:val="004F5739"/>
    <w:rsid w:val="004F58F8"/>
    <w:rsid w:val="004F6572"/>
    <w:rsid w:val="004F78BB"/>
    <w:rsid w:val="004F7E9A"/>
    <w:rsid w:val="004F7F17"/>
    <w:rsid w:val="00500217"/>
    <w:rsid w:val="00500615"/>
    <w:rsid w:val="0050190E"/>
    <w:rsid w:val="00501D2C"/>
    <w:rsid w:val="00502A87"/>
    <w:rsid w:val="00503D8B"/>
    <w:rsid w:val="005050B4"/>
    <w:rsid w:val="00505191"/>
    <w:rsid w:val="00505515"/>
    <w:rsid w:val="00505B77"/>
    <w:rsid w:val="00506249"/>
    <w:rsid w:val="0050635E"/>
    <w:rsid w:val="005065F3"/>
    <w:rsid w:val="00506A5A"/>
    <w:rsid w:val="005077CD"/>
    <w:rsid w:val="005123D5"/>
    <w:rsid w:val="00512EBB"/>
    <w:rsid w:val="00513729"/>
    <w:rsid w:val="005138D9"/>
    <w:rsid w:val="0051435F"/>
    <w:rsid w:val="0051590C"/>
    <w:rsid w:val="00517131"/>
    <w:rsid w:val="005178E7"/>
    <w:rsid w:val="005208AE"/>
    <w:rsid w:val="00520FEB"/>
    <w:rsid w:val="005222D5"/>
    <w:rsid w:val="005224C9"/>
    <w:rsid w:val="0052256C"/>
    <w:rsid w:val="005227A8"/>
    <w:rsid w:val="0052472F"/>
    <w:rsid w:val="0052522E"/>
    <w:rsid w:val="0052542E"/>
    <w:rsid w:val="00525626"/>
    <w:rsid w:val="00526138"/>
    <w:rsid w:val="00526F86"/>
    <w:rsid w:val="005314DD"/>
    <w:rsid w:val="005326DC"/>
    <w:rsid w:val="00532E6B"/>
    <w:rsid w:val="005332A3"/>
    <w:rsid w:val="0053428A"/>
    <w:rsid w:val="00536198"/>
    <w:rsid w:val="00537154"/>
    <w:rsid w:val="00537916"/>
    <w:rsid w:val="00537DA7"/>
    <w:rsid w:val="00540209"/>
    <w:rsid w:val="0054113D"/>
    <w:rsid w:val="005411AA"/>
    <w:rsid w:val="00541733"/>
    <w:rsid w:val="005427BD"/>
    <w:rsid w:val="00542B07"/>
    <w:rsid w:val="00542FAF"/>
    <w:rsid w:val="00543979"/>
    <w:rsid w:val="005439E0"/>
    <w:rsid w:val="00544216"/>
    <w:rsid w:val="00545DA8"/>
    <w:rsid w:val="00546B8D"/>
    <w:rsid w:val="005470D7"/>
    <w:rsid w:val="005506A7"/>
    <w:rsid w:val="00550CBB"/>
    <w:rsid w:val="0055164F"/>
    <w:rsid w:val="0055183B"/>
    <w:rsid w:val="00552E3D"/>
    <w:rsid w:val="005539BB"/>
    <w:rsid w:val="005544E9"/>
    <w:rsid w:val="005546AF"/>
    <w:rsid w:val="005548C5"/>
    <w:rsid w:val="00555D91"/>
    <w:rsid w:val="00557374"/>
    <w:rsid w:val="00557B29"/>
    <w:rsid w:val="00560928"/>
    <w:rsid w:val="00560AB0"/>
    <w:rsid w:val="00561F91"/>
    <w:rsid w:val="005622F1"/>
    <w:rsid w:val="005624C3"/>
    <w:rsid w:val="00562836"/>
    <w:rsid w:val="0056335A"/>
    <w:rsid w:val="00564559"/>
    <w:rsid w:val="005647AF"/>
    <w:rsid w:val="005648F9"/>
    <w:rsid w:val="00565E94"/>
    <w:rsid w:val="005665F5"/>
    <w:rsid w:val="00567AD3"/>
    <w:rsid w:val="005700B8"/>
    <w:rsid w:val="005704E1"/>
    <w:rsid w:val="00571039"/>
    <w:rsid w:val="0057272E"/>
    <w:rsid w:val="00572F3F"/>
    <w:rsid w:val="00573674"/>
    <w:rsid w:val="00573CE5"/>
    <w:rsid w:val="00573F12"/>
    <w:rsid w:val="00574D57"/>
    <w:rsid w:val="00574DB7"/>
    <w:rsid w:val="00576D50"/>
    <w:rsid w:val="00581415"/>
    <w:rsid w:val="00582CC2"/>
    <w:rsid w:val="00583632"/>
    <w:rsid w:val="00584341"/>
    <w:rsid w:val="005853FC"/>
    <w:rsid w:val="00585799"/>
    <w:rsid w:val="005867F1"/>
    <w:rsid w:val="0058744F"/>
    <w:rsid w:val="0058758C"/>
    <w:rsid w:val="00587891"/>
    <w:rsid w:val="0059053D"/>
    <w:rsid w:val="00590C90"/>
    <w:rsid w:val="0059207E"/>
    <w:rsid w:val="005923BB"/>
    <w:rsid w:val="005927E2"/>
    <w:rsid w:val="00593897"/>
    <w:rsid w:val="00593B5A"/>
    <w:rsid w:val="0059663D"/>
    <w:rsid w:val="00596A2A"/>
    <w:rsid w:val="00596EE2"/>
    <w:rsid w:val="005A055D"/>
    <w:rsid w:val="005A06C5"/>
    <w:rsid w:val="005A0F8D"/>
    <w:rsid w:val="005A1B75"/>
    <w:rsid w:val="005A2B7B"/>
    <w:rsid w:val="005A3276"/>
    <w:rsid w:val="005A4311"/>
    <w:rsid w:val="005A4EDD"/>
    <w:rsid w:val="005A50CA"/>
    <w:rsid w:val="005A5B36"/>
    <w:rsid w:val="005A5CF8"/>
    <w:rsid w:val="005A61B9"/>
    <w:rsid w:val="005A655A"/>
    <w:rsid w:val="005A6BE5"/>
    <w:rsid w:val="005A7073"/>
    <w:rsid w:val="005A749A"/>
    <w:rsid w:val="005A7571"/>
    <w:rsid w:val="005A79C4"/>
    <w:rsid w:val="005B0839"/>
    <w:rsid w:val="005B114D"/>
    <w:rsid w:val="005B15A0"/>
    <w:rsid w:val="005B2100"/>
    <w:rsid w:val="005B2188"/>
    <w:rsid w:val="005B2EB1"/>
    <w:rsid w:val="005B3DC8"/>
    <w:rsid w:val="005B40F1"/>
    <w:rsid w:val="005B47AE"/>
    <w:rsid w:val="005B4F15"/>
    <w:rsid w:val="005B57FF"/>
    <w:rsid w:val="005B61FF"/>
    <w:rsid w:val="005B62B5"/>
    <w:rsid w:val="005B63CC"/>
    <w:rsid w:val="005B6793"/>
    <w:rsid w:val="005B6E69"/>
    <w:rsid w:val="005C03C5"/>
    <w:rsid w:val="005C04B0"/>
    <w:rsid w:val="005C0CCC"/>
    <w:rsid w:val="005C1433"/>
    <w:rsid w:val="005C225E"/>
    <w:rsid w:val="005C2664"/>
    <w:rsid w:val="005C2759"/>
    <w:rsid w:val="005C2A2A"/>
    <w:rsid w:val="005C2F6D"/>
    <w:rsid w:val="005C4600"/>
    <w:rsid w:val="005C54DC"/>
    <w:rsid w:val="005C5A20"/>
    <w:rsid w:val="005C7216"/>
    <w:rsid w:val="005D03A1"/>
    <w:rsid w:val="005D03A4"/>
    <w:rsid w:val="005D0860"/>
    <w:rsid w:val="005D1903"/>
    <w:rsid w:val="005D1CCE"/>
    <w:rsid w:val="005D2380"/>
    <w:rsid w:val="005D247F"/>
    <w:rsid w:val="005D2EC2"/>
    <w:rsid w:val="005D31B9"/>
    <w:rsid w:val="005D3E2B"/>
    <w:rsid w:val="005D4CD2"/>
    <w:rsid w:val="005D4DD8"/>
    <w:rsid w:val="005D65AF"/>
    <w:rsid w:val="005D6B75"/>
    <w:rsid w:val="005D7D9C"/>
    <w:rsid w:val="005E19D8"/>
    <w:rsid w:val="005E1DEB"/>
    <w:rsid w:val="005E1F84"/>
    <w:rsid w:val="005E27DD"/>
    <w:rsid w:val="005E294B"/>
    <w:rsid w:val="005E3297"/>
    <w:rsid w:val="005E39D0"/>
    <w:rsid w:val="005E3D5F"/>
    <w:rsid w:val="005E4550"/>
    <w:rsid w:val="005E552F"/>
    <w:rsid w:val="005E5AB4"/>
    <w:rsid w:val="005E625D"/>
    <w:rsid w:val="005F0049"/>
    <w:rsid w:val="005F0A1C"/>
    <w:rsid w:val="005F103E"/>
    <w:rsid w:val="005F2A89"/>
    <w:rsid w:val="005F2D6F"/>
    <w:rsid w:val="005F4836"/>
    <w:rsid w:val="005F4F41"/>
    <w:rsid w:val="005F4FC0"/>
    <w:rsid w:val="005F5066"/>
    <w:rsid w:val="005F5D5C"/>
    <w:rsid w:val="005F64C7"/>
    <w:rsid w:val="005F64F9"/>
    <w:rsid w:val="005F6D59"/>
    <w:rsid w:val="005F6E13"/>
    <w:rsid w:val="005F7745"/>
    <w:rsid w:val="005F7811"/>
    <w:rsid w:val="005F7871"/>
    <w:rsid w:val="005F7B48"/>
    <w:rsid w:val="0060062F"/>
    <w:rsid w:val="00600808"/>
    <w:rsid w:val="00601E31"/>
    <w:rsid w:val="00601F6F"/>
    <w:rsid w:val="00602E05"/>
    <w:rsid w:val="0060356A"/>
    <w:rsid w:val="00603823"/>
    <w:rsid w:val="00604B57"/>
    <w:rsid w:val="0060540D"/>
    <w:rsid w:val="00606A21"/>
    <w:rsid w:val="006073EB"/>
    <w:rsid w:val="00607B9A"/>
    <w:rsid w:val="00610748"/>
    <w:rsid w:val="00611A49"/>
    <w:rsid w:val="00611B48"/>
    <w:rsid w:val="00612248"/>
    <w:rsid w:val="00612F4F"/>
    <w:rsid w:val="0061366A"/>
    <w:rsid w:val="00613EEE"/>
    <w:rsid w:val="006145DD"/>
    <w:rsid w:val="006153DD"/>
    <w:rsid w:val="00615607"/>
    <w:rsid w:val="00615E74"/>
    <w:rsid w:val="0061636E"/>
    <w:rsid w:val="00616C9C"/>
    <w:rsid w:val="0062197D"/>
    <w:rsid w:val="00621D6A"/>
    <w:rsid w:val="00622606"/>
    <w:rsid w:val="00622C4A"/>
    <w:rsid w:val="00623B11"/>
    <w:rsid w:val="00624174"/>
    <w:rsid w:val="0062426D"/>
    <w:rsid w:val="00624F40"/>
    <w:rsid w:val="0062525D"/>
    <w:rsid w:val="00625B18"/>
    <w:rsid w:val="00626270"/>
    <w:rsid w:val="006267E4"/>
    <w:rsid w:val="00627D2E"/>
    <w:rsid w:val="0063176E"/>
    <w:rsid w:val="00632A09"/>
    <w:rsid w:val="0063306E"/>
    <w:rsid w:val="00633594"/>
    <w:rsid w:val="006339AD"/>
    <w:rsid w:val="0063617C"/>
    <w:rsid w:val="00636411"/>
    <w:rsid w:val="00636689"/>
    <w:rsid w:val="00636C9B"/>
    <w:rsid w:val="00637233"/>
    <w:rsid w:val="00637AC5"/>
    <w:rsid w:val="00640275"/>
    <w:rsid w:val="00640C1E"/>
    <w:rsid w:val="00641AB6"/>
    <w:rsid w:val="00641BFB"/>
    <w:rsid w:val="00642689"/>
    <w:rsid w:val="00642C0C"/>
    <w:rsid w:val="00642CB5"/>
    <w:rsid w:val="0064346F"/>
    <w:rsid w:val="00643C1D"/>
    <w:rsid w:val="0064420A"/>
    <w:rsid w:val="00644C75"/>
    <w:rsid w:val="00645C05"/>
    <w:rsid w:val="00647F96"/>
    <w:rsid w:val="0065088C"/>
    <w:rsid w:val="00652B11"/>
    <w:rsid w:val="006533B2"/>
    <w:rsid w:val="00653B62"/>
    <w:rsid w:val="00654667"/>
    <w:rsid w:val="006552D2"/>
    <w:rsid w:val="006556E0"/>
    <w:rsid w:val="00655864"/>
    <w:rsid w:val="00655D51"/>
    <w:rsid w:val="00656770"/>
    <w:rsid w:val="00656E03"/>
    <w:rsid w:val="00656FD5"/>
    <w:rsid w:val="0065733C"/>
    <w:rsid w:val="006579F0"/>
    <w:rsid w:val="00660FAB"/>
    <w:rsid w:val="00661CA5"/>
    <w:rsid w:val="00662979"/>
    <w:rsid w:val="00663177"/>
    <w:rsid w:val="006631C4"/>
    <w:rsid w:val="0066351B"/>
    <w:rsid w:val="00663549"/>
    <w:rsid w:val="00664973"/>
    <w:rsid w:val="00664F12"/>
    <w:rsid w:val="0066536F"/>
    <w:rsid w:val="00670B00"/>
    <w:rsid w:val="006714EC"/>
    <w:rsid w:val="00671EFF"/>
    <w:rsid w:val="00672859"/>
    <w:rsid w:val="00674553"/>
    <w:rsid w:val="00674BA3"/>
    <w:rsid w:val="00674EE1"/>
    <w:rsid w:val="006752FB"/>
    <w:rsid w:val="00675634"/>
    <w:rsid w:val="006762F2"/>
    <w:rsid w:val="0067663B"/>
    <w:rsid w:val="006818B8"/>
    <w:rsid w:val="006829AC"/>
    <w:rsid w:val="00682A56"/>
    <w:rsid w:val="006833E2"/>
    <w:rsid w:val="00683BDC"/>
    <w:rsid w:val="006862B4"/>
    <w:rsid w:val="006864D9"/>
    <w:rsid w:val="00687400"/>
    <w:rsid w:val="006875B4"/>
    <w:rsid w:val="00687856"/>
    <w:rsid w:val="00687DCA"/>
    <w:rsid w:val="006901B7"/>
    <w:rsid w:val="006901D4"/>
    <w:rsid w:val="00692085"/>
    <w:rsid w:val="0069326C"/>
    <w:rsid w:val="0069336E"/>
    <w:rsid w:val="006941D3"/>
    <w:rsid w:val="00694DD4"/>
    <w:rsid w:val="00695A64"/>
    <w:rsid w:val="00695AAB"/>
    <w:rsid w:val="00695E58"/>
    <w:rsid w:val="00696814"/>
    <w:rsid w:val="00696997"/>
    <w:rsid w:val="006973BA"/>
    <w:rsid w:val="006976B8"/>
    <w:rsid w:val="00697825"/>
    <w:rsid w:val="006A2181"/>
    <w:rsid w:val="006A23AB"/>
    <w:rsid w:val="006A28AB"/>
    <w:rsid w:val="006A34B3"/>
    <w:rsid w:val="006A3E2E"/>
    <w:rsid w:val="006A40EC"/>
    <w:rsid w:val="006A44DD"/>
    <w:rsid w:val="006A53E2"/>
    <w:rsid w:val="006A6385"/>
    <w:rsid w:val="006A685B"/>
    <w:rsid w:val="006A6FFD"/>
    <w:rsid w:val="006A72BE"/>
    <w:rsid w:val="006A76F8"/>
    <w:rsid w:val="006A7C47"/>
    <w:rsid w:val="006B0BD2"/>
    <w:rsid w:val="006B109A"/>
    <w:rsid w:val="006B2049"/>
    <w:rsid w:val="006B3CF0"/>
    <w:rsid w:val="006B3E03"/>
    <w:rsid w:val="006B46BE"/>
    <w:rsid w:val="006B4B41"/>
    <w:rsid w:val="006B5566"/>
    <w:rsid w:val="006B5AAC"/>
    <w:rsid w:val="006B5AD1"/>
    <w:rsid w:val="006B6846"/>
    <w:rsid w:val="006B733C"/>
    <w:rsid w:val="006C05F4"/>
    <w:rsid w:val="006C161E"/>
    <w:rsid w:val="006C2040"/>
    <w:rsid w:val="006C26C9"/>
    <w:rsid w:val="006C2802"/>
    <w:rsid w:val="006C5FB9"/>
    <w:rsid w:val="006C6CA1"/>
    <w:rsid w:val="006C6D7E"/>
    <w:rsid w:val="006C75E2"/>
    <w:rsid w:val="006D021A"/>
    <w:rsid w:val="006D18A1"/>
    <w:rsid w:val="006D1C9F"/>
    <w:rsid w:val="006D2451"/>
    <w:rsid w:val="006D2D12"/>
    <w:rsid w:val="006D3853"/>
    <w:rsid w:val="006D41F8"/>
    <w:rsid w:val="006D421C"/>
    <w:rsid w:val="006D4B06"/>
    <w:rsid w:val="006D609E"/>
    <w:rsid w:val="006D642A"/>
    <w:rsid w:val="006D7058"/>
    <w:rsid w:val="006D7F48"/>
    <w:rsid w:val="006E0CA1"/>
    <w:rsid w:val="006E2469"/>
    <w:rsid w:val="006E41E3"/>
    <w:rsid w:val="006E51F7"/>
    <w:rsid w:val="006E644A"/>
    <w:rsid w:val="006E6D14"/>
    <w:rsid w:val="006F0487"/>
    <w:rsid w:val="006F0863"/>
    <w:rsid w:val="006F1618"/>
    <w:rsid w:val="006F295E"/>
    <w:rsid w:val="006F2B92"/>
    <w:rsid w:val="006F2BE0"/>
    <w:rsid w:val="006F2F57"/>
    <w:rsid w:val="006F45B8"/>
    <w:rsid w:val="006F5056"/>
    <w:rsid w:val="006F510B"/>
    <w:rsid w:val="006F5597"/>
    <w:rsid w:val="006F5798"/>
    <w:rsid w:val="006F5A6D"/>
    <w:rsid w:val="006F6CF1"/>
    <w:rsid w:val="006F7595"/>
    <w:rsid w:val="006F7722"/>
    <w:rsid w:val="006F7849"/>
    <w:rsid w:val="006F794D"/>
    <w:rsid w:val="006F7A59"/>
    <w:rsid w:val="006F7F95"/>
    <w:rsid w:val="00700834"/>
    <w:rsid w:val="007019A8"/>
    <w:rsid w:val="00702015"/>
    <w:rsid w:val="00702428"/>
    <w:rsid w:val="00703CC8"/>
    <w:rsid w:val="00705096"/>
    <w:rsid w:val="00705709"/>
    <w:rsid w:val="00706BA3"/>
    <w:rsid w:val="007138EC"/>
    <w:rsid w:val="00713AA0"/>
    <w:rsid w:val="00713F7E"/>
    <w:rsid w:val="00714008"/>
    <w:rsid w:val="00714C7C"/>
    <w:rsid w:val="00714EFF"/>
    <w:rsid w:val="0071523C"/>
    <w:rsid w:val="007153D3"/>
    <w:rsid w:val="00715B84"/>
    <w:rsid w:val="007178DC"/>
    <w:rsid w:val="00721169"/>
    <w:rsid w:val="00723A60"/>
    <w:rsid w:val="00726705"/>
    <w:rsid w:val="00726903"/>
    <w:rsid w:val="00726B0A"/>
    <w:rsid w:val="007305AB"/>
    <w:rsid w:val="007317E2"/>
    <w:rsid w:val="00732230"/>
    <w:rsid w:val="00732F9F"/>
    <w:rsid w:val="00733021"/>
    <w:rsid w:val="00733313"/>
    <w:rsid w:val="0073370A"/>
    <w:rsid w:val="00733966"/>
    <w:rsid w:val="007346E1"/>
    <w:rsid w:val="00734C33"/>
    <w:rsid w:val="007350E8"/>
    <w:rsid w:val="00735219"/>
    <w:rsid w:val="00735F46"/>
    <w:rsid w:val="00737AD9"/>
    <w:rsid w:val="00737D41"/>
    <w:rsid w:val="00740082"/>
    <w:rsid w:val="00740741"/>
    <w:rsid w:val="00740FC9"/>
    <w:rsid w:val="007420A9"/>
    <w:rsid w:val="007423C6"/>
    <w:rsid w:val="007427E5"/>
    <w:rsid w:val="00743759"/>
    <w:rsid w:val="0074381D"/>
    <w:rsid w:val="00743F40"/>
    <w:rsid w:val="00744BA5"/>
    <w:rsid w:val="00745430"/>
    <w:rsid w:val="00745BC4"/>
    <w:rsid w:val="00747C3E"/>
    <w:rsid w:val="00750B93"/>
    <w:rsid w:val="0075139B"/>
    <w:rsid w:val="0075184B"/>
    <w:rsid w:val="007527DE"/>
    <w:rsid w:val="007539DD"/>
    <w:rsid w:val="00754050"/>
    <w:rsid w:val="007547AC"/>
    <w:rsid w:val="00755A66"/>
    <w:rsid w:val="0075644A"/>
    <w:rsid w:val="007564F8"/>
    <w:rsid w:val="007567B6"/>
    <w:rsid w:val="0075687E"/>
    <w:rsid w:val="00757036"/>
    <w:rsid w:val="00757C2E"/>
    <w:rsid w:val="0076038B"/>
    <w:rsid w:val="00760514"/>
    <w:rsid w:val="00760554"/>
    <w:rsid w:val="00760568"/>
    <w:rsid w:val="007616A8"/>
    <w:rsid w:val="00761726"/>
    <w:rsid w:val="00762694"/>
    <w:rsid w:val="0076390A"/>
    <w:rsid w:val="00764BE3"/>
    <w:rsid w:val="00765488"/>
    <w:rsid w:val="00765CAF"/>
    <w:rsid w:val="0076629E"/>
    <w:rsid w:val="00766369"/>
    <w:rsid w:val="00767A41"/>
    <w:rsid w:val="00770170"/>
    <w:rsid w:val="00770CCC"/>
    <w:rsid w:val="007725E7"/>
    <w:rsid w:val="00773103"/>
    <w:rsid w:val="00773EAE"/>
    <w:rsid w:val="007745F6"/>
    <w:rsid w:val="0077477B"/>
    <w:rsid w:val="00774F12"/>
    <w:rsid w:val="00775A3F"/>
    <w:rsid w:val="00775C2B"/>
    <w:rsid w:val="00776418"/>
    <w:rsid w:val="00776611"/>
    <w:rsid w:val="0077689F"/>
    <w:rsid w:val="007774A9"/>
    <w:rsid w:val="0077773D"/>
    <w:rsid w:val="00780A72"/>
    <w:rsid w:val="00781514"/>
    <w:rsid w:val="00781867"/>
    <w:rsid w:val="0078232F"/>
    <w:rsid w:val="007836BE"/>
    <w:rsid w:val="00784F17"/>
    <w:rsid w:val="00785570"/>
    <w:rsid w:val="0078574A"/>
    <w:rsid w:val="00785F43"/>
    <w:rsid w:val="007863FE"/>
    <w:rsid w:val="00787822"/>
    <w:rsid w:val="00787B5D"/>
    <w:rsid w:val="00790767"/>
    <w:rsid w:val="007915A2"/>
    <w:rsid w:val="00792161"/>
    <w:rsid w:val="00792B3C"/>
    <w:rsid w:val="00792FD3"/>
    <w:rsid w:val="0079391D"/>
    <w:rsid w:val="00793BF6"/>
    <w:rsid w:val="007945F8"/>
    <w:rsid w:val="00794876"/>
    <w:rsid w:val="0079545B"/>
    <w:rsid w:val="00795777"/>
    <w:rsid w:val="00795C50"/>
    <w:rsid w:val="007964CA"/>
    <w:rsid w:val="00797EF4"/>
    <w:rsid w:val="007A03D8"/>
    <w:rsid w:val="007A0908"/>
    <w:rsid w:val="007A11CB"/>
    <w:rsid w:val="007A1A92"/>
    <w:rsid w:val="007A231E"/>
    <w:rsid w:val="007A5B74"/>
    <w:rsid w:val="007A6036"/>
    <w:rsid w:val="007B04CC"/>
    <w:rsid w:val="007B0D1D"/>
    <w:rsid w:val="007B10F1"/>
    <w:rsid w:val="007B11F5"/>
    <w:rsid w:val="007B1635"/>
    <w:rsid w:val="007B199E"/>
    <w:rsid w:val="007B277B"/>
    <w:rsid w:val="007B29A5"/>
    <w:rsid w:val="007B2D06"/>
    <w:rsid w:val="007B398F"/>
    <w:rsid w:val="007B42C9"/>
    <w:rsid w:val="007B6530"/>
    <w:rsid w:val="007B79B5"/>
    <w:rsid w:val="007B7A6B"/>
    <w:rsid w:val="007C0257"/>
    <w:rsid w:val="007C0D12"/>
    <w:rsid w:val="007C149E"/>
    <w:rsid w:val="007C19A7"/>
    <w:rsid w:val="007C2091"/>
    <w:rsid w:val="007C348F"/>
    <w:rsid w:val="007C3E78"/>
    <w:rsid w:val="007C4A9E"/>
    <w:rsid w:val="007C4B70"/>
    <w:rsid w:val="007C4D56"/>
    <w:rsid w:val="007C5F48"/>
    <w:rsid w:val="007C6011"/>
    <w:rsid w:val="007C6271"/>
    <w:rsid w:val="007D0167"/>
    <w:rsid w:val="007D0DCD"/>
    <w:rsid w:val="007D2880"/>
    <w:rsid w:val="007D3DBA"/>
    <w:rsid w:val="007D45C4"/>
    <w:rsid w:val="007D464C"/>
    <w:rsid w:val="007D4D5A"/>
    <w:rsid w:val="007D6D74"/>
    <w:rsid w:val="007D7E53"/>
    <w:rsid w:val="007E02C6"/>
    <w:rsid w:val="007E0466"/>
    <w:rsid w:val="007E0BD3"/>
    <w:rsid w:val="007E0E87"/>
    <w:rsid w:val="007E156A"/>
    <w:rsid w:val="007E1698"/>
    <w:rsid w:val="007E18F1"/>
    <w:rsid w:val="007E2287"/>
    <w:rsid w:val="007E251B"/>
    <w:rsid w:val="007E253A"/>
    <w:rsid w:val="007E2A2E"/>
    <w:rsid w:val="007E2B2C"/>
    <w:rsid w:val="007E2E73"/>
    <w:rsid w:val="007E34C8"/>
    <w:rsid w:val="007E3C0A"/>
    <w:rsid w:val="007E46C5"/>
    <w:rsid w:val="007E4703"/>
    <w:rsid w:val="007E5151"/>
    <w:rsid w:val="007E53D0"/>
    <w:rsid w:val="007E5AC0"/>
    <w:rsid w:val="007E63BE"/>
    <w:rsid w:val="007E6B4D"/>
    <w:rsid w:val="007E76E0"/>
    <w:rsid w:val="007E7A06"/>
    <w:rsid w:val="007F0035"/>
    <w:rsid w:val="007F0828"/>
    <w:rsid w:val="007F1546"/>
    <w:rsid w:val="007F1942"/>
    <w:rsid w:val="007F19FD"/>
    <w:rsid w:val="007F21E0"/>
    <w:rsid w:val="007F359D"/>
    <w:rsid w:val="007F36F0"/>
    <w:rsid w:val="007F40A6"/>
    <w:rsid w:val="007F40C9"/>
    <w:rsid w:val="007F53AB"/>
    <w:rsid w:val="007F6795"/>
    <w:rsid w:val="007F798D"/>
    <w:rsid w:val="007F7E3E"/>
    <w:rsid w:val="00801C08"/>
    <w:rsid w:val="00801CC9"/>
    <w:rsid w:val="00801E32"/>
    <w:rsid w:val="00802733"/>
    <w:rsid w:val="0080367E"/>
    <w:rsid w:val="00803D35"/>
    <w:rsid w:val="00804B00"/>
    <w:rsid w:val="00804B4A"/>
    <w:rsid w:val="00805DA0"/>
    <w:rsid w:val="008114B8"/>
    <w:rsid w:val="00811E80"/>
    <w:rsid w:val="008120C3"/>
    <w:rsid w:val="008122F8"/>
    <w:rsid w:val="00812978"/>
    <w:rsid w:val="00813479"/>
    <w:rsid w:val="00814111"/>
    <w:rsid w:val="008147E9"/>
    <w:rsid w:val="00814D97"/>
    <w:rsid w:val="008151B9"/>
    <w:rsid w:val="008151FF"/>
    <w:rsid w:val="0081551A"/>
    <w:rsid w:val="00816F1D"/>
    <w:rsid w:val="00817DF9"/>
    <w:rsid w:val="00820D1B"/>
    <w:rsid w:val="008215BD"/>
    <w:rsid w:val="00822428"/>
    <w:rsid w:val="0082348D"/>
    <w:rsid w:val="008240E3"/>
    <w:rsid w:val="0082437A"/>
    <w:rsid w:val="008247B7"/>
    <w:rsid w:val="00824E08"/>
    <w:rsid w:val="00825CEF"/>
    <w:rsid w:val="00826E61"/>
    <w:rsid w:val="00830483"/>
    <w:rsid w:val="0083063B"/>
    <w:rsid w:val="0083084C"/>
    <w:rsid w:val="008308DA"/>
    <w:rsid w:val="00830D47"/>
    <w:rsid w:val="008324CB"/>
    <w:rsid w:val="0083261C"/>
    <w:rsid w:val="008334FC"/>
    <w:rsid w:val="008339A6"/>
    <w:rsid w:val="00833E2E"/>
    <w:rsid w:val="00833E75"/>
    <w:rsid w:val="0083549E"/>
    <w:rsid w:val="0083556D"/>
    <w:rsid w:val="00835FE4"/>
    <w:rsid w:val="00836896"/>
    <w:rsid w:val="00840213"/>
    <w:rsid w:val="00840A10"/>
    <w:rsid w:val="00840F76"/>
    <w:rsid w:val="00841494"/>
    <w:rsid w:val="008422D2"/>
    <w:rsid w:val="00842C1D"/>
    <w:rsid w:val="008430E5"/>
    <w:rsid w:val="0084374E"/>
    <w:rsid w:val="00843939"/>
    <w:rsid w:val="008439C8"/>
    <w:rsid w:val="00843C02"/>
    <w:rsid w:val="008445AC"/>
    <w:rsid w:val="00845034"/>
    <w:rsid w:val="008454CA"/>
    <w:rsid w:val="0084671E"/>
    <w:rsid w:val="00846F12"/>
    <w:rsid w:val="008475BD"/>
    <w:rsid w:val="008476CE"/>
    <w:rsid w:val="00850392"/>
    <w:rsid w:val="008516FA"/>
    <w:rsid w:val="008525AA"/>
    <w:rsid w:val="00852BFA"/>
    <w:rsid w:val="00853AE0"/>
    <w:rsid w:val="00854676"/>
    <w:rsid w:val="00854E21"/>
    <w:rsid w:val="008560F9"/>
    <w:rsid w:val="00857004"/>
    <w:rsid w:val="008577A7"/>
    <w:rsid w:val="00857842"/>
    <w:rsid w:val="00860D2A"/>
    <w:rsid w:val="00861C3D"/>
    <w:rsid w:val="00862918"/>
    <w:rsid w:val="008629DC"/>
    <w:rsid w:val="00863F44"/>
    <w:rsid w:val="00864844"/>
    <w:rsid w:val="00864866"/>
    <w:rsid w:val="0086495B"/>
    <w:rsid w:val="00865B4C"/>
    <w:rsid w:val="00865FD4"/>
    <w:rsid w:val="00866D33"/>
    <w:rsid w:val="008671CB"/>
    <w:rsid w:val="00872C74"/>
    <w:rsid w:val="00872D11"/>
    <w:rsid w:val="00872FA7"/>
    <w:rsid w:val="00874361"/>
    <w:rsid w:val="00874698"/>
    <w:rsid w:val="0087551B"/>
    <w:rsid w:val="00875788"/>
    <w:rsid w:val="008811C3"/>
    <w:rsid w:val="008830E5"/>
    <w:rsid w:val="00884891"/>
    <w:rsid w:val="0088519F"/>
    <w:rsid w:val="00885231"/>
    <w:rsid w:val="008870BB"/>
    <w:rsid w:val="0088793D"/>
    <w:rsid w:val="00887B08"/>
    <w:rsid w:val="00887D17"/>
    <w:rsid w:val="00890650"/>
    <w:rsid w:val="0089147D"/>
    <w:rsid w:val="008914DF"/>
    <w:rsid w:val="008914E6"/>
    <w:rsid w:val="008921A4"/>
    <w:rsid w:val="0089228D"/>
    <w:rsid w:val="00892351"/>
    <w:rsid w:val="00892797"/>
    <w:rsid w:val="00892DF5"/>
    <w:rsid w:val="00892F3B"/>
    <w:rsid w:val="008930EF"/>
    <w:rsid w:val="0089361B"/>
    <w:rsid w:val="00894581"/>
    <w:rsid w:val="00895ADE"/>
    <w:rsid w:val="00895D0A"/>
    <w:rsid w:val="008A1344"/>
    <w:rsid w:val="008A202D"/>
    <w:rsid w:val="008B0B4F"/>
    <w:rsid w:val="008B15DB"/>
    <w:rsid w:val="008B1D52"/>
    <w:rsid w:val="008B2A82"/>
    <w:rsid w:val="008B334F"/>
    <w:rsid w:val="008B4099"/>
    <w:rsid w:val="008B58AD"/>
    <w:rsid w:val="008B5D50"/>
    <w:rsid w:val="008B7001"/>
    <w:rsid w:val="008B7ED9"/>
    <w:rsid w:val="008C05F6"/>
    <w:rsid w:val="008C0A35"/>
    <w:rsid w:val="008C0D42"/>
    <w:rsid w:val="008C2279"/>
    <w:rsid w:val="008C305B"/>
    <w:rsid w:val="008C3A8B"/>
    <w:rsid w:val="008C4A21"/>
    <w:rsid w:val="008C60B8"/>
    <w:rsid w:val="008C6B96"/>
    <w:rsid w:val="008C7343"/>
    <w:rsid w:val="008C771B"/>
    <w:rsid w:val="008C7E73"/>
    <w:rsid w:val="008D0657"/>
    <w:rsid w:val="008D28D0"/>
    <w:rsid w:val="008D3B20"/>
    <w:rsid w:val="008D6627"/>
    <w:rsid w:val="008D6CDD"/>
    <w:rsid w:val="008D6D3D"/>
    <w:rsid w:val="008D6D68"/>
    <w:rsid w:val="008D7522"/>
    <w:rsid w:val="008D7FAD"/>
    <w:rsid w:val="008E0181"/>
    <w:rsid w:val="008E0294"/>
    <w:rsid w:val="008E0812"/>
    <w:rsid w:val="008E1FEF"/>
    <w:rsid w:val="008E21CC"/>
    <w:rsid w:val="008E27C7"/>
    <w:rsid w:val="008E28BA"/>
    <w:rsid w:val="008E3F88"/>
    <w:rsid w:val="008E46CC"/>
    <w:rsid w:val="008E58B3"/>
    <w:rsid w:val="008E691E"/>
    <w:rsid w:val="008E6964"/>
    <w:rsid w:val="008E7E16"/>
    <w:rsid w:val="008F0E2A"/>
    <w:rsid w:val="008F2AE4"/>
    <w:rsid w:val="008F2C61"/>
    <w:rsid w:val="008F2DB8"/>
    <w:rsid w:val="008F4513"/>
    <w:rsid w:val="008F5318"/>
    <w:rsid w:val="008F7ED4"/>
    <w:rsid w:val="00900BBB"/>
    <w:rsid w:val="009020AF"/>
    <w:rsid w:val="009020C7"/>
    <w:rsid w:val="0090212A"/>
    <w:rsid w:val="00902FA3"/>
    <w:rsid w:val="00904123"/>
    <w:rsid w:val="00904161"/>
    <w:rsid w:val="00904768"/>
    <w:rsid w:val="009049A8"/>
    <w:rsid w:val="00904EE8"/>
    <w:rsid w:val="00905493"/>
    <w:rsid w:val="0090634F"/>
    <w:rsid w:val="009074A7"/>
    <w:rsid w:val="009076DA"/>
    <w:rsid w:val="00910814"/>
    <w:rsid w:val="00910B58"/>
    <w:rsid w:val="009113A7"/>
    <w:rsid w:val="00911EDE"/>
    <w:rsid w:val="00912830"/>
    <w:rsid w:val="00912944"/>
    <w:rsid w:val="00912AB4"/>
    <w:rsid w:val="00913595"/>
    <w:rsid w:val="00913619"/>
    <w:rsid w:val="00915AB6"/>
    <w:rsid w:val="00916BB5"/>
    <w:rsid w:val="00920258"/>
    <w:rsid w:val="00920871"/>
    <w:rsid w:val="00924313"/>
    <w:rsid w:val="009247BF"/>
    <w:rsid w:val="00925AA5"/>
    <w:rsid w:val="00925E95"/>
    <w:rsid w:val="009269FD"/>
    <w:rsid w:val="00927C7E"/>
    <w:rsid w:val="009307ED"/>
    <w:rsid w:val="00930B6F"/>
    <w:rsid w:val="00931218"/>
    <w:rsid w:val="00931776"/>
    <w:rsid w:val="009328E0"/>
    <w:rsid w:val="00932CE5"/>
    <w:rsid w:val="00933649"/>
    <w:rsid w:val="00933E09"/>
    <w:rsid w:val="00934C72"/>
    <w:rsid w:val="00935A01"/>
    <w:rsid w:val="00935FED"/>
    <w:rsid w:val="0093743C"/>
    <w:rsid w:val="00937A9C"/>
    <w:rsid w:val="0094155D"/>
    <w:rsid w:val="009419FD"/>
    <w:rsid w:val="00941A59"/>
    <w:rsid w:val="00941DBE"/>
    <w:rsid w:val="00942458"/>
    <w:rsid w:val="009427C6"/>
    <w:rsid w:val="00943058"/>
    <w:rsid w:val="009442A4"/>
    <w:rsid w:val="00944CC5"/>
    <w:rsid w:val="009453B4"/>
    <w:rsid w:val="009460C4"/>
    <w:rsid w:val="0094669C"/>
    <w:rsid w:val="00946C04"/>
    <w:rsid w:val="00950042"/>
    <w:rsid w:val="0095032F"/>
    <w:rsid w:val="009504CA"/>
    <w:rsid w:val="00950A7F"/>
    <w:rsid w:val="009511D5"/>
    <w:rsid w:val="009512B1"/>
    <w:rsid w:val="009524EE"/>
    <w:rsid w:val="009525FF"/>
    <w:rsid w:val="00953A86"/>
    <w:rsid w:val="00954031"/>
    <w:rsid w:val="00954ECB"/>
    <w:rsid w:val="00955843"/>
    <w:rsid w:val="009561FF"/>
    <w:rsid w:val="0095624B"/>
    <w:rsid w:val="00956276"/>
    <w:rsid w:val="00961A49"/>
    <w:rsid w:val="00962302"/>
    <w:rsid w:val="0096265F"/>
    <w:rsid w:val="00962BEF"/>
    <w:rsid w:val="00963E4A"/>
    <w:rsid w:val="00964EAF"/>
    <w:rsid w:val="0096511D"/>
    <w:rsid w:val="009652D9"/>
    <w:rsid w:val="0096666A"/>
    <w:rsid w:val="00967703"/>
    <w:rsid w:val="00972662"/>
    <w:rsid w:val="009743B1"/>
    <w:rsid w:val="00974432"/>
    <w:rsid w:val="009749EF"/>
    <w:rsid w:val="00974A02"/>
    <w:rsid w:val="00975A60"/>
    <w:rsid w:val="009768FA"/>
    <w:rsid w:val="00980739"/>
    <w:rsid w:val="009809A5"/>
    <w:rsid w:val="00980A95"/>
    <w:rsid w:val="00980C62"/>
    <w:rsid w:val="00981377"/>
    <w:rsid w:val="009814F1"/>
    <w:rsid w:val="00982246"/>
    <w:rsid w:val="0098237A"/>
    <w:rsid w:val="00982380"/>
    <w:rsid w:val="0098271F"/>
    <w:rsid w:val="00982C53"/>
    <w:rsid w:val="00986110"/>
    <w:rsid w:val="0098728A"/>
    <w:rsid w:val="009900B4"/>
    <w:rsid w:val="00990C25"/>
    <w:rsid w:val="00990F5E"/>
    <w:rsid w:val="0099282F"/>
    <w:rsid w:val="0099343B"/>
    <w:rsid w:val="00993440"/>
    <w:rsid w:val="0099402C"/>
    <w:rsid w:val="009958C0"/>
    <w:rsid w:val="009966E1"/>
    <w:rsid w:val="0099775E"/>
    <w:rsid w:val="009978D3"/>
    <w:rsid w:val="009A2AE9"/>
    <w:rsid w:val="009A2D8B"/>
    <w:rsid w:val="009A2DBC"/>
    <w:rsid w:val="009A3C7B"/>
    <w:rsid w:val="009A3DC8"/>
    <w:rsid w:val="009A3F60"/>
    <w:rsid w:val="009A65A7"/>
    <w:rsid w:val="009A676F"/>
    <w:rsid w:val="009A6EAC"/>
    <w:rsid w:val="009A70CB"/>
    <w:rsid w:val="009B05AB"/>
    <w:rsid w:val="009B06E9"/>
    <w:rsid w:val="009B0895"/>
    <w:rsid w:val="009B0F27"/>
    <w:rsid w:val="009B23F5"/>
    <w:rsid w:val="009B4087"/>
    <w:rsid w:val="009B614C"/>
    <w:rsid w:val="009B6336"/>
    <w:rsid w:val="009B72B9"/>
    <w:rsid w:val="009B7B34"/>
    <w:rsid w:val="009B7E0C"/>
    <w:rsid w:val="009C02B8"/>
    <w:rsid w:val="009C02EE"/>
    <w:rsid w:val="009C088C"/>
    <w:rsid w:val="009C2524"/>
    <w:rsid w:val="009C278B"/>
    <w:rsid w:val="009C282B"/>
    <w:rsid w:val="009C2996"/>
    <w:rsid w:val="009C2B16"/>
    <w:rsid w:val="009C2B9F"/>
    <w:rsid w:val="009C32A3"/>
    <w:rsid w:val="009C3486"/>
    <w:rsid w:val="009C3558"/>
    <w:rsid w:val="009C4B1F"/>
    <w:rsid w:val="009C4B78"/>
    <w:rsid w:val="009C5C48"/>
    <w:rsid w:val="009C5F4D"/>
    <w:rsid w:val="009C7581"/>
    <w:rsid w:val="009D00C4"/>
    <w:rsid w:val="009D0C41"/>
    <w:rsid w:val="009D2025"/>
    <w:rsid w:val="009D2093"/>
    <w:rsid w:val="009D2264"/>
    <w:rsid w:val="009D3DDA"/>
    <w:rsid w:val="009D4812"/>
    <w:rsid w:val="009D6960"/>
    <w:rsid w:val="009D6EBF"/>
    <w:rsid w:val="009D7CC1"/>
    <w:rsid w:val="009E0DC2"/>
    <w:rsid w:val="009E183F"/>
    <w:rsid w:val="009E1D2A"/>
    <w:rsid w:val="009E263F"/>
    <w:rsid w:val="009E294E"/>
    <w:rsid w:val="009E2E80"/>
    <w:rsid w:val="009E322D"/>
    <w:rsid w:val="009E3ADD"/>
    <w:rsid w:val="009E5682"/>
    <w:rsid w:val="009E6A5C"/>
    <w:rsid w:val="009E6DB2"/>
    <w:rsid w:val="009E6EB5"/>
    <w:rsid w:val="009E7BD8"/>
    <w:rsid w:val="009F067B"/>
    <w:rsid w:val="009F143F"/>
    <w:rsid w:val="009F15BD"/>
    <w:rsid w:val="009F3ED4"/>
    <w:rsid w:val="009F423E"/>
    <w:rsid w:val="009F4AFE"/>
    <w:rsid w:val="009F4FBD"/>
    <w:rsid w:val="009F657B"/>
    <w:rsid w:val="009F7142"/>
    <w:rsid w:val="009F78F3"/>
    <w:rsid w:val="00A02E46"/>
    <w:rsid w:val="00A06655"/>
    <w:rsid w:val="00A06C48"/>
    <w:rsid w:val="00A07862"/>
    <w:rsid w:val="00A1069E"/>
    <w:rsid w:val="00A108EF"/>
    <w:rsid w:val="00A10CC8"/>
    <w:rsid w:val="00A10FD0"/>
    <w:rsid w:val="00A117F6"/>
    <w:rsid w:val="00A12D3F"/>
    <w:rsid w:val="00A12F4D"/>
    <w:rsid w:val="00A17AD3"/>
    <w:rsid w:val="00A17C94"/>
    <w:rsid w:val="00A20A8C"/>
    <w:rsid w:val="00A20BB7"/>
    <w:rsid w:val="00A20E37"/>
    <w:rsid w:val="00A21315"/>
    <w:rsid w:val="00A2258F"/>
    <w:rsid w:val="00A2355E"/>
    <w:rsid w:val="00A23637"/>
    <w:rsid w:val="00A23656"/>
    <w:rsid w:val="00A23BFC"/>
    <w:rsid w:val="00A23CB0"/>
    <w:rsid w:val="00A24C23"/>
    <w:rsid w:val="00A26C67"/>
    <w:rsid w:val="00A30175"/>
    <w:rsid w:val="00A30736"/>
    <w:rsid w:val="00A30C5F"/>
    <w:rsid w:val="00A31490"/>
    <w:rsid w:val="00A31EB7"/>
    <w:rsid w:val="00A327D6"/>
    <w:rsid w:val="00A328B4"/>
    <w:rsid w:val="00A33DC7"/>
    <w:rsid w:val="00A3430F"/>
    <w:rsid w:val="00A35043"/>
    <w:rsid w:val="00A35326"/>
    <w:rsid w:val="00A36A7A"/>
    <w:rsid w:val="00A37312"/>
    <w:rsid w:val="00A37BE0"/>
    <w:rsid w:val="00A4089D"/>
    <w:rsid w:val="00A40BD2"/>
    <w:rsid w:val="00A40BDD"/>
    <w:rsid w:val="00A40DB0"/>
    <w:rsid w:val="00A41B37"/>
    <w:rsid w:val="00A425C5"/>
    <w:rsid w:val="00A42AC6"/>
    <w:rsid w:val="00A434A3"/>
    <w:rsid w:val="00A44053"/>
    <w:rsid w:val="00A44371"/>
    <w:rsid w:val="00A44CCE"/>
    <w:rsid w:val="00A45302"/>
    <w:rsid w:val="00A46321"/>
    <w:rsid w:val="00A46DB0"/>
    <w:rsid w:val="00A4721C"/>
    <w:rsid w:val="00A47B6D"/>
    <w:rsid w:val="00A507B5"/>
    <w:rsid w:val="00A50D57"/>
    <w:rsid w:val="00A52AB7"/>
    <w:rsid w:val="00A535F6"/>
    <w:rsid w:val="00A53A90"/>
    <w:rsid w:val="00A53CE1"/>
    <w:rsid w:val="00A540D9"/>
    <w:rsid w:val="00A54B8E"/>
    <w:rsid w:val="00A55488"/>
    <w:rsid w:val="00A55774"/>
    <w:rsid w:val="00A56B5B"/>
    <w:rsid w:val="00A57AA3"/>
    <w:rsid w:val="00A603E0"/>
    <w:rsid w:val="00A60539"/>
    <w:rsid w:val="00A60796"/>
    <w:rsid w:val="00A61D4B"/>
    <w:rsid w:val="00A62F38"/>
    <w:rsid w:val="00A63D24"/>
    <w:rsid w:val="00A63D96"/>
    <w:rsid w:val="00A643DF"/>
    <w:rsid w:val="00A6444A"/>
    <w:rsid w:val="00A64AFC"/>
    <w:rsid w:val="00A65038"/>
    <w:rsid w:val="00A65243"/>
    <w:rsid w:val="00A6569B"/>
    <w:rsid w:val="00A65D66"/>
    <w:rsid w:val="00A6677A"/>
    <w:rsid w:val="00A6695A"/>
    <w:rsid w:val="00A671B1"/>
    <w:rsid w:val="00A70333"/>
    <w:rsid w:val="00A70460"/>
    <w:rsid w:val="00A726DE"/>
    <w:rsid w:val="00A731F7"/>
    <w:rsid w:val="00A7578A"/>
    <w:rsid w:val="00A75FD0"/>
    <w:rsid w:val="00A76370"/>
    <w:rsid w:val="00A77833"/>
    <w:rsid w:val="00A834F8"/>
    <w:rsid w:val="00A83828"/>
    <w:rsid w:val="00A83BFE"/>
    <w:rsid w:val="00A859C2"/>
    <w:rsid w:val="00A87D1B"/>
    <w:rsid w:val="00A90345"/>
    <w:rsid w:val="00A91B1E"/>
    <w:rsid w:val="00A91EFA"/>
    <w:rsid w:val="00A91F05"/>
    <w:rsid w:val="00A92A81"/>
    <w:rsid w:val="00A954BE"/>
    <w:rsid w:val="00A9555E"/>
    <w:rsid w:val="00A95EEE"/>
    <w:rsid w:val="00A961A9"/>
    <w:rsid w:val="00A96519"/>
    <w:rsid w:val="00A9702B"/>
    <w:rsid w:val="00A97DC9"/>
    <w:rsid w:val="00AA106E"/>
    <w:rsid w:val="00AA2294"/>
    <w:rsid w:val="00AA2ACC"/>
    <w:rsid w:val="00AA2D1A"/>
    <w:rsid w:val="00AA2D30"/>
    <w:rsid w:val="00AA2D7E"/>
    <w:rsid w:val="00AA5060"/>
    <w:rsid w:val="00AA5263"/>
    <w:rsid w:val="00AA5EFB"/>
    <w:rsid w:val="00AA609D"/>
    <w:rsid w:val="00AB02E1"/>
    <w:rsid w:val="00AB0375"/>
    <w:rsid w:val="00AB1073"/>
    <w:rsid w:val="00AB1160"/>
    <w:rsid w:val="00AB28CC"/>
    <w:rsid w:val="00AB2F3A"/>
    <w:rsid w:val="00AB3A02"/>
    <w:rsid w:val="00AB429F"/>
    <w:rsid w:val="00AB4891"/>
    <w:rsid w:val="00AB4963"/>
    <w:rsid w:val="00AB580F"/>
    <w:rsid w:val="00AB6027"/>
    <w:rsid w:val="00AC0B16"/>
    <w:rsid w:val="00AC1628"/>
    <w:rsid w:val="00AC3854"/>
    <w:rsid w:val="00AC4A0E"/>
    <w:rsid w:val="00AC4E7C"/>
    <w:rsid w:val="00AC55B7"/>
    <w:rsid w:val="00AC60B0"/>
    <w:rsid w:val="00AC7A8A"/>
    <w:rsid w:val="00AD08E0"/>
    <w:rsid w:val="00AD1381"/>
    <w:rsid w:val="00AD1BA1"/>
    <w:rsid w:val="00AD2C8F"/>
    <w:rsid w:val="00AD3597"/>
    <w:rsid w:val="00AD3767"/>
    <w:rsid w:val="00AD4790"/>
    <w:rsid w:val="00AD4B71"/>
    <w:rsid w:val="00AD4BE5"/>
    <w:rsid w:val="00AE0135"/>
    <w:rsid w:val="00AE0B78"/>
    <w:rsid w:val="00AE0E06"/>
    <w:rsid w:val="00AE136A"/>
    <w:rsid w:val="00AE17F1"/>
    <w:rsid w:val="00AE3262"/>
    <w:rsid w:val="00AE3CD9"/>
    <w:rsid w:val="00AE5723"/>
    <w:rsid w:val="00AE5AC6"/>
    <w:rsid w:val="00AE6142"/>
    <w:rsid w:val="00AE662D"/>
    <w:rsid w:val="00AE6790"/>
    <w:rsid w:val="00AE6983"/>
    <w:rsid w:val="00AE78DB"/>
    <w:rsid w:val="00AE7C6D"/>
    <w:rsid w:val="00AF049E"/>
    <w:rsid w:val="00AF0B07"/>
    <w:rsid w:val="00AF2EAD"/>
    <w:rsid w:val="00AF4142"/>
    <w:rsid w:val="00AF4303"/>
    <w:rsid w:val="00AF6D91"/>
    <w:rsid w:val="00B004E5"/>
    <w:rsid w:val="00B01814"/>
    <w:rsid w:val="00B02A65"/>
    <w:rsid w:val="00B04101"/>
    <w:rsid w:val="00B04C17"/>
    <w:rsid w:val="00B10713"/>
    <w:rsid w:val="00B10D07"/>
    <w:rsid w:val="00B10D35"/>
    <w:rsid w:val="00B11DFB"/>
    <w:rsid w:val="00B132A6"/>
    <w:rsid w:val="00B13FF5"/>
    <w:rsid w:val="00B145D9"/>
    <w:rsid w:val="00B163EE"/>
    <w:rsid w:val="00B167C3"/>
    <w:rsid w:val="00B205AB"/>
    <w:rsid w:val="00B21694"/>
    <w:rsid w:val="00B2267B"/>
    <w:rsid w:val="00B2358C"/>
    <w:rsid w:val="00B2432E"/>
    <w:rsid w:val="00B24373"/>
    <w:rsid w:val="00B256FA"/>
    <w:rsid w:val="00B25ABE"/>
    <w:rsid w:val="00B27F8A"/>
    <w:rsid w:val="00B300C8"/>
    <w:rsid w:val="00B30BA9"/>
    <w:rsid w:val="00B310D5"/>
    <w:rsid w:val="00B31CDA"/>
    <w:rsid w:val="00B31EC1"/>
    <w:rsid w:val="00B33546"/>
    <w:rsid w:val="00B33B94"/>
    <w:rsid w:val="00B33D2B"/>
    <w:rsid w:val="00B34807"/>
    <w:rsid w:val="00B34D14"/>
    <w:rsid w:val="00B3640D"/>
    <w:rsid w:val="00B36CBB"/>
    <w:rsid w:val="00B36F3F"/>
    <w:rsid w:val="00B3772F"/>
    <w:rsid w:val="00B406FB"/>
    <w:rsid w:val="00B408A2"/>
    <w:rsid w:val="00B4094D"/>
    <w:rsid w:val="00B41269"/>
    <w:rsid w:val="00B42B4B"/>
    <w:rsid w:val="00B43036"/>
    <w:rsid w:val="00B4337E"/>
    <w:rsid w:val="00B45C15"/>
    <w:rsid w:val="00B45D12"/>
    <w:rsid w:val="00B46DBF"/>
    <w:rsid w:val="00B47129"/>
    <w:rsid w:val="00B47B56"/>
    <w:rsid w:val="00B501C4"/>
    <w:rsid w:val="00B5034E"/>
    <w:rsid w:val="00B504E6"/>
    <w:rsid w:val="00B5204F"/>
    <w:rsid w:val="00B52E2A"/>
    <w:rsid w:val="00B532F4"/>
    <w:rsid w:val="00B536DD"/>
    <w:rsid w:val="00B5440C"/>
    <w:rsid w:val="00B54ACB"/>
    <w:rsid w:val="00B552DF"/>
    <w:rsid w:val="00B55513"/>
    <w:rsid w:val="00B5588D"/>
    <w:rsid w:val="00B558A4"/>
    <w:rsid w:val="00B5635D"/>
    <w:rsid w:val="00B564EB"/>
    <w:rsid w:val="00B56517"/>
    <w:rsid w:val="00B56EC4"/>
    <w:rsid w:val="00B5724A"/>
    <w:rsid w:val="00B57D06"/>
    <w:rsid w:val="00B60980"/>
    <w:rsid w:val="00B61F1C"/>
    <w:rsid w:val="00B62E88"/>
    <w:rsid w:val="00B63B79"/>
    <w:rsid w:val="00B64CF5"/>
    <w:rsid w:val="00B650EB"/>
    <w:rsid w:val="00B65BA6"/>
    <w:rsid w:val="00B67363"/>
    <w:rsid w:val="00B67539"/>
    <w:rsid w:val="00B67B47"/>
    <w:rsid w:val="00B70ECC"/>
    <w:rsid w:val="00B73414"/>
    <w:rsid w:val="00B75432"/>
    <w:rsid w:val="00B75477"/>
    <w:rsid w:val="00B76F76"/>
    <w:rsid w:val="00B772CA"/>
    <w:rsid w:val="00B800D7"/>
    <w:rsid w:val="00B805F6"/>
    <w:rsid w:val="00B8079B"/>
    <w:rsid w:val="00B81F7D"/>
    <w:rsid w:val="00B820A8"/>
    <w:rsid w:val="00B820F3"/>
    <w:rsid w:val="00B82138"/>
    <w:rsid w:val="00B83CAB"/>
    <w:rsid w:val="00B83D6C"/>
    <w:rsid w:val="00B845DD"/>
    <w:rsid w:val="00B84B44"/>
    <w:rsid w:val="00B86C67"/>
    <w:rsid w:val="00B8703F"/>
    <w:rsid w:val="00B917ED"/>
    <w:rsid w:val="00B9228A"/>
    <w:rsid w:val="00B937C7"/>
    <w:rsid w:val="00B93B8E"/>
    <w:rsid w:val="00B941A9"/>
    <w:rsid w:val="00B943D8"/>
    <w:rsid w:val="00B94AA2"/>
    <w:rsid w:val="00B950AF"/>
    <w:rsid w:val="00B95175"/>
    <w:rsid w:val="00B95B78"/>
    <w:rsid w:val="00B97017"/>
    <w:rsid w:val="00B9718C"/>
    <w:rsid w:val="00B972E9"/>
    <w:rsid w:val="00B97605"/>
    <w:rsid w:val="00B97BBB"/>
    <w:rsid w:val="00BA3274"/>
    <w:rsid w:val="00BA3DB1"/>
    <w:rsid w:val="00BA46DC"/>
    <w:rsid w:val="00BA6C31"/>
    <w:rsid w:val="00BA6DD5"/>
    <w:rsid w:val="00BA7499"/>
    <w:rsid w:val="00BA7F65"/>
    <w:rsid w:val="00BB0469"/>
    <w:rsid w:val="00BB070D"/>
    <w:rsid w:val="00BB0B19"/>
    <w:rsid w:val="00BB0D02"/>
    <w:rsid w:val="00BB0D36"/>
    <w:rsid w:val="00BB0DC1"/>
    <w:rsid w:val="00BB107F"/>
    <w:rsid w:val="00BB272A"/>
    <w:rsid w:val="00BB308B"/>
    <w:rsid w:val="00BB37A8"/>
    <w:rsid w:val="00BB3E35"/>
    <w:rsid w:val="00BB452A"/>
    <w:rsid w:val="00BB6E74"/>
    <w:rsid w:val="00BC11D9"/>
    <w:rsid w:val="00BC1D62"/>
    <w:rsid w:val="00BC2C04"/>
    <w:rsid w:val="00BC2FC8"/>
    <w:rsid w:val="00BC31E2"/>
    <w:rsid w:val="00BC46CB"/>
    <w:rsid w:val="00BC4C0F"/>
    <w:rsid w:val="00BC62C9"/>
    <w:rsid w:val="00BC78C4"/>
    <w:rsid w:val="00BD0619"/>
    <w:rsid w:val="00BD2871"/>
    <w:rsid w:val="00BD3E3C"/>
    <w:rsid w:val="00BD463C"/>
    <w:rsid w:val="00BD4EB9"/>
    <w:rsid w:val="00BD59BA"/>
    <w:rsid w:val="00BD7D43"/>
    <w:rsid w:val="00BE2430"/>
    <w:rsid w:val="00BE307C"/>
    <w:rsid w:val="00BE4EAF"/>
    <w:rsid w:val="00BE5101"/>
    <w:rsid w:val="00BE5130"/>
    <w:rsid w:val="00BE5247"/>
    <w:rsid w:val="00BE547D"/>
    <w:rsid w:val="00BE57E3"/>
    <w:rsid w:val="00BE5E6A"/>
    <w:rsid w:val="00BE61E9"/>
    <w:rsid w:val="00BE668C"/>
    <w:rsid w:val="00BE7729"/>
    <w:rsid w:val="00BE786C"/>
    <w:rsid w:val="00BF04EF"/>
    <w:rsid w:val="00BF09BA"/>
    <w:rsid w:val="00BF1078"/>
    <w:rsid w:val="00BF12F0"/>
    <w:rsid w:val="00BF1CF5"/>
    <w:rsid w:val="00BF36D7"/>
    <w:rsid w:val="00BF3DCC"/>
    <w:rsid w:val="00BF40B8"/>
    <w:rsid w:val="00BF6E2B"/>
    <w:rsid w:val="00BF7395"/>
    <w:rsid w:val="00BF754D"/>
    <w:rsid w:val="00BF7B4D"/>
    <w:rsid w:val="00BF7EAA"/>
    <w:rsid w:val="00BF7EC7"/>
    <w:rsid w:val="00C00355"/>
    <w:rsid w:val="00C0105C"/>
    <w:rsid w:val="00C0248A"/>
    <w:rsid w:val="00C02CC7"/>
    <w:rsid w:val="00C03704"/>
    <w:rsid w:val="00C03956"/>
    <w:rsid w:val="00C0400F"/>
    <w:rsid w:val="00C04DBD"/>
    <w:rsid w:val="00C050BF"/>
    <w:rsid w:val="00C05B33"/>
    <w:rsid w:val="00C05F7F"/>
    <w:rsid w:val="00C06151"/>
    <w:rsid w:val="00C062D0"/>
    <w:rsid w:val="00C06AE2"/>
    <w:rsid w:val="00C078C8"/>
    <w:rsid w:val="00C07969"/>
    <w:rsid w:val="00C07F11"/>
    <w:rsid w:val="00C102EB"/>
    <w:rsid w:val="00C106D9"/>
    <w:rsid w:val="00C1280D"/>
    <w:rsid w:val="00C12811"/>
    <w:rsid w:val="00C12A6A"/>
    <w:rsid w:val="00C12AA7"/>
    <w:rsid w:val="00C15262"/>
    <w:rsid w:val="00C16172"/>
    <w:rsid w:val="00C17A29"/>
    <w:rsid w:val="00C20171"/>
    <w:rsid w:val="00C20811"/>
    <w:rsid w:val="00C21E63"/>
    <w:rsid w:val="00C222C6"/>
    <w:rsid w:val="00C22DDF"/>
    <w:rsid w:val="00C2362F"/>
    <w:rsid w:val="00C23B5F"/>
    <w:rsid w:val="00C23BF5"/>
    <w:rsid w:val="00C24024"/>
    <w:rsid w:val="00C261CB"/>
    <w:rsid w:val="00C264C1"/>
    <w:rsid w:val="00C31FD2"/>
    <w:rsid w:val="00C322C2"/>
    <w:rsid w:val="00C32EDE"/>
    <w:rsid w:val="00C33148"/>
    <w:rsid w:val="00C33295"/>
    <w:rsid w:val="00C339F3"/>
    <w:rsid w:val="00C33D6F"/>
    <w:rsid w:val="00C34867"/>
    <w:rsid w:val="00C34911"/>
    <w:rsid w:val="00C357AB"/>
    <w:rsid w:val="00C35FC3"/>
    <w:rsid w:val="00C368A1"/>
    <w:rsid w:val="00C37180"/>
    <w:rsid w:val="00C37517"/>
    <w:rsid w:val="00C4030E"/>
    <w:rsid w:val="00C408A5"/>
    <w:rsid w:val="00C419C7"/>
    <w:rsid w:val="00C41E0C"/>
    <w:rsid w:val="00C425DF"/>
    <w:rsid w:val="00C426CA"/>
    <w:rsid w:val="00C43442"/>
    <w:rsid w:val="00C443AF"/>
    <w:rsid w:val="00C466CB"/>
    <w:rsid w:val="00C46F47"/>
    <w:rsid w:val="00C47863"/>
    <w:rsid w:val="00C479BB"/>
    <w:rsid w:val="00C5000E"/>
    <w:rsid w:val="00C50624"/>
    <w:rsid w:val="00C506EC"/>
    <w:rsid w:val="00C52237"/>
    <w:rsid w:val="00C533C5"/>
    <w:rsid w:val="00C553C2"/>
    <w:rsid w:val="00C56EA9"/>
    <w:rsid w:val="00C6051F"/>
    <w:rsid w:val="00C617C4"/>
    <w:rsid w:val="00C62B34"/>
    <w:rsid w:val="00C6417B"/>
    <w:rsid w:val="00C647AE"/>
    <w:rsid w:val="00C66EAE"/>
    <w:rsid w:val="00C670F2"/>
    <w:rsid w:val="00C6746A"/>
    <w:rsid w:val="00C67CD9"/>
    <w:rsid w:val="00C704AE"/>
    <w:rsid w:val="00C70E8B"/>
    <w:rsid w:val="00C71947"/>
    <w:rsid w:val="00C72018"/>
    <w:rsid w:val="00C73ECB"/>
    <w:rsid w:val="00C74F36"/>
    <w:rsid w:val="00C75769"/>
    <w:rsid w:val="00C758BA"/>
    <w:rsid w:val="00C761D2"/>
    <w:rsid w:val="00C7658D"/>
    <w:rsid w:val="00C76FA4"/>
    <w:rsid w:val="00C777E3"/>
    <w:rsid w:val="00C806CA"/>
    <w:rsid w:val="00C8136D"/>
    <w:rsid w:val="00C813C6"/>
    <w:rsid w:val="00C81E16"/>
    <w:rsid w:val="00C820EA"/>
    <w:rsid w:val="00C837CA"/>
    <w:rsid w:val="00C843D3"/>
    <w:rsid w:val="00C85935"/>
    <w:rsid w:val="00C85982"/>
    <w:rsid w:val="00C927B2"/>
    <w:rsid w:val="00C9414E"/>
    <w:rsid w:val="00C95816"/>
    <w:rsid w:val="00C95B4D"/>
    <w:rsid w:val="00C95BEA"/>
    <w:rsid w:val="00C966BF"/>
    <w:rsid w:val="00C97FD3"/>
    <w:rsid w:val="00CA180F"/>
    <w:rsid w:val="00CA2CF3"/>
    <w:rsid w:val="00CA6373"/>
    <w:rsid w:val="00CA70EF"/>
    <w:rsid w:val="00CA732D"/>
    <w:rsid w:val="00CA7796"/>
    <w:rsid w:val="00CA7A6F"/>
    <w:rsid w:val="00CB0595"/>
    <w:rsid w:val="00CB21F2"/>
    <w:rsid w:val="00CB38C2"/>
    <w:rsid w:val="00CB41B7"/>
    <w:rsid w:val="00CB47E0"/>
    <w:rsid w:val="00CB5B94"/>
    <w:rsid w:val="00CB6955"/>
    <w:rsid w:val="00CB7EF2"/>
    <w:rsid w:val="00CC0C0C"/>
    <w:rsid w:val="00CC2766"/>
    <w:rsid w:val="00CC3347"/>
    <w:rsid w:val="00CC34B9"/>
    <w:rsid w:val="00CC446C"/>
    <w:rsid w:val="00CC5964"/>
    <w:rsid w:val="00CC5BE1"/>
    <w:rsid w:val="00CC6124"/>
    <w:rsid w:val="00CC6D7E"/>
    <w:rsid w:val="00CC76C9"/>
    <w:rsid w:val="00CC7E2C"/>
    <w:rsid w:val="00CD0C71"/>
    <w:rsid w:val="00CD1B6C"/>
    <w:rsid w:val="00CD2068"/>
    <w:rsid w:val="00CD33C6"/>
    <w:rsid w:val="00CD356A"/>
    <w:rsid w:val="00CD3613"/>
    <w:rsid w:val="00CD39C9"/>
    <w:rsid w:val="00CD411B"/>
    <w:rsid w:val="00CD462A"/>
    <w:rsid w:val="00CD4D4A"/>
    <w:rsid w:val="00CD5932"/>
    <w:rsid w:val="00CD65AE"/>
    <w:rsid w:val="00CE092A"/>
    <w:rsid w:val="00CE2C84"/>
    <w:rsid w:val="00CE38DC"/>
    <w:rsid w:val="00CE49AF"/>
    <w:rsid w:val="00CE6264"/>
    <w:rsid w:val="00CE68C2"/>
    <w:rsid w:val="00CE70E3"/>
    <w:rsid w:val="00CE7407"/>
    <w:rsid w:val="00CF034F"/>
    <w:rsid w:val="00CF0905"/>
    <w:rsid w:val="00CF15A9"/>
    <w:rsid w:val="00CF27E1"/>
    <w:rsid w:val="00CF3060"/>
    <w:rsid w:val="00CF3651"/>
    <w:rsid w:val="00CF5027"/>
    <w:rsid w:val="00CF5C4A"/>
    <w:rsid w:val="00CF6945"/>
    <w:rsid w:val="00D00288"/>
    <w:rsid w:val="00D00A28"/>
    <w:rsid w:val="00D00DC3"/>
    <w:rsid w:val="00D014CA"/>
    <w:rsid w:val="00D01CDF"/>
    <w:rsid w:val="00D02E24"/>
    <w:rsid w:val="00D03B0A"/>
    <w:rsid w:val="00D0615D"/>
    <w:rsid w:val="00D06270"/>
    <w:rsid w:val="00D0694E"/>
    <w:rsid w:val="00D06FBE"/>
    <w:rsid w:val="00D073B5"/>
    <w:rsid w:val="00D07467"/>
    <w:rsid w:val="00D1197B"/>
    <w:rsid w:val="00D11DEB"/>
    <w:rsid w:val="00D12052"/>
    <w:rsid w:val="00D123E9"/>
    <w:rsid w:val="00D12564"/>
    <w:rsid w:val="00D12963"/>
    <w:rsid w:val="00D12BD1"/>
    <w:rsid w:val="00D13341"/>
    <w:rsid w:val="00D135C4"/>
    <w:rsid w:val="00D1367F"/>
    <w:rsid w:val="00D14DBB"/>
    <w:rsid w:val="00D14FD8"/>
    <w:rsid w:val="00D1684A"/>
    <w:rsid w:val="00D16D27"/>
    <w:rsid w:val="00D173A8"/>
    <w:rsid w:val="00D206AB"/>
    <w:rsid w:val="00D20AAC"/>
    <w:rsid w:val="00D210E5"/>
    <w:rsid w:val="00D217AD"/>
    <w:rsid w:val="00D221F4"/>
    <w:rsid w:val="00D24EBD"/>
    <w:rsid w:val="00D25204"/>
    <w:rsid w:val="00D25E64"/>
    <w:rsid w:val="00D26256"/>
    <w:rsid w:val="00D264BA"/>
    <w:rsid w:val="00D32708"/>
    <w:rsid w:val="00D32C9D"/>
    <w:rsid w:val="00D341D9"/>
    <w:rsid w:val="00D34B88"/>
    <w:rsid w:val="00D356CE"/>
    <w:rsid w:val="00D35A61"/>
    <w:rsid w:val="00D35D1A"/>
    <w:rsid w:val="00D36C80"/>
    <w:rsid w:val="00D36CFB"/>
    <w:rsid w:val="00D37161"/>
    <w:rsid w:val="00D401DB"/>
    <w:rsid w:val="00D4022F"/>
    <w:rsid w:val="00D4066C"/>
    <w:rsid w:val="00D40DBB"/>
    <w:rsid w:val="00D410CC"/>
    <w:rsid w:val="00D410F5"/>
    <w:rsid w:val="00D41878"/>
    <w:rsid w:val="00D41D74"/>
    <w:rsid w:val="00D41E89"/>
    <w:rsid w:val="00D43B1B"/>
    <w:rsid w:val="00D4485E"/>
    <w:rsid w:val="00D44FD9"/>
    <w:rsid w:val="00D45922"/>
    <w:rsid w:val="00D459D1"/>
    <w:rsid w:val="00D47952"/>
    <w:rsid w:val="00D500A5"/>
    <w:rsid w:val="00D5368B"/>
    <w:rsid w:val="00D53A82"/>
    <w:rsid w:val="00D53B94"/>
    <w:rsid w:val="00D5456B"/>
    <w:rsid w:val="00D57C5B"/>
    <w:rsid w:val="00D57EE2"/>
    <w:rsid w:val="00D609C3"/>
    <w:rsid w:val="00D610FE"/>
    <w:rsid w:val="00D61A5C"/>
    <w:rsid w:val="00D61C82"/>
    <w:rsid w:val="00D624C7"/>
    <w:rsid w:val="00D632C5"/>
    <w:rsid w:val="00D636FF"/>
    <w:rsid w:val="00D63C32"/>
    <w:rsid w:val="00D65315"/>
    <w:rsid w:val="00D65914"/>
    <w:rsid w:val="00D65ABA"/>
    <w:rsid w:val="00D65CF8"/>
    <w:rsid w:val="00D67573"/>
    <w:rsid w:val="00D715DA"/>
    <w:rsid w:val="00D7166D"/>
    <w:rsid w:val="00D72114"/>
    <w:rsid w:val="00D7291A"/>
    <w:rsid w:val="00D72A66"/>
    <w:rsid w:val="00D72AE6"/>
    <w:rsid w:val="00D73000"/>
    <w:rsid w:val="00D73153"/>
    <w:rsid w:val="00D735E8"/>
    <w:rsid w:val="00D73B08"/>
    <w:rsid w:val="00D74878"/>
    <w:rsid w:val="00D74F38"/>
    <w:rsid w:val="00D753EC"/>
    <w:rsid w:val="00D75F29"/>
    <w:rsid w:val="00D77E83"/>
    <w:rsid w:val="00D77E84"/>
    <w:rsid w:val="00D82A39"/>
    <w:rsid w:val="00D838B8"/>
    <w:rsid w:val="00D83DD1"/>
    <w:rsid w:val="00D84C31"/>
    <w:rsid w:val="00D85428"/>
    <w:rsid w:val="00D85F73"/>
    <w:rsid w:val="00D86BE0"/>
    <w:rsid w:val="00D86D65"/>
    <w:rsid w:val="00D8747F"/>
    <w:rsid w:val="00D87C8E"/>
    <w:rsid w:val="00D90943"/>
    <w:rsid w:val="00D90D94"/>
    <w:rsid w:val="00D911D4"/>
    <w:rsid w:val="00D91773"/>
    <w:rsid w:val="00D92A4F"/>
    <w:rsid w:val="00D9358B"/>
    <w:rsid w:val="00D94262"/>
    <w:rsid w:val="00D94464"/>
    <w:rsid w:val="00D95217"/>
    <w:rsid w:val="00D953CF"/>
    <w:rsid w:val="00D95700"/>
    <w:rsid w:val="00D95750"/>
    <w:rsid w:val="00D97864"/>
    <w:rsid w:val="00D97CB6"/>
    <w:rsid w:val="00D97E1B"/>
    <w:rsid w:val="00DA16CE"/>
    <w:rsid w:val="00DA3021"/>
    <w:rsid w:val="00DA3940"/>
    <w:rsid w:val="00DA3A78"/>
    <w:rsid w:val="00DA4E01"/>
    <w:rsid w:val="00DA5423"/>
    <w:rsid w:val="00DA583D"/>
    <w:rsid w:val="00DA68E0"/>
    <w:rsid w:val="00DA6F22"/>
    <w:rsid w:val="00DA7B3E"/>
    <w:rsid w:val="00DB0188"/>
    <w:rsid w:val="00DB0619"/>
    <w:rsid w:val="00DB2A91"/>
    <w:rsid w:val="00DB382B"/>
    <w:rsid w:val="00DB39AD"/>
    <w:rsid w:val="00DB3D83"/>
    <w:rsid w:val="00DB4880"/>
    <w:rsid w:val="00DB54DD"/>
    <w:rsid w:val="00DB59AB"/>
    <w:rsid w:val="00DB7405"/>
    <w:rsid w:val="00DB7DA0"/>
    <w:rsid w:val="00DC0E61"/>
    <w:rsid w:val="00DC1B9B"/>
    <w:rsid w:val="00DC208F"/>
    <w:rsid w:val="00DC2B58"/>
    <w:rsid w:val="00DC31DD"/>
    <w:rsid w:val="00DC411B"/>
    <w:rsid w:val="00DC4177"/>
    <w:rsid w:val="00DC45CE"/>
    <w:rsid w:val="00DC4CDA"/>
    <w:rsid w:val="00DC60B1"/>
    <w:rsid w:val="00DC67C6"/>
    <w:rsid w:val="00DC6BF4"/>
    <w:rsid w:val="00DC7A15"/>
    <w:rsid w:val="00DC7A77"/>
    <w:rsid w:val="00DC7E54"/>
    <w:rsid w:val="00DD18A9"/>
    <w:rsid w:val="00DD243D"/>
    <w:rsid w:val="00DD24CC"/>
    <w:rsid w:val="00DD2EA9"/>
    <w:rsid w:val="00DD31C7"/>
    <w:rsid w:val="00DD3464"/>
    <w:rsid w:val="00DD4219"/>
    <w:rsid w:val="00DD4BCF"/>
    <w:rsid w:val="00DD5F09"/>
    <w:rsid w:val="00DD600C"/>
    <w:rsid w:val="00DD62E6"/>
    <w:rsid w:val="00DD6D44"/>
    <w:rsid w:val="00DD7419"/>
    <w:rsid w:val="00DD776D"/>
    <w:rsid w:val="00DD7EA2"/>
    <w:rsid w:val="00DE0BD8"/>
    <w:rsid w:val="00DE1ADC"/>
    <w:rsid w:val="00DE2E54"/>
    <w:rsid w:val="00DE3701"/>
    <w:rsid w:val="00DE37B3"/>
    <w:rsid w:val="00DE4130"/>
    <w:rsid w:val="00DE44DE"/>
    <w:rsid w:val="00DE4DBE"/>
    <w:rsid w:val="00DE4E6D"/>
    <w:rsid w:val="00DE70D4"/>
    <w:rsid w:val="00DE785A"/>
    <w:rsid w:val="00DF064E"/>
    <w:rsid w:val="00DF15F6"/>
    <w:rsid w:val="00DF23D9"/>
    <w:rsid w:val="00DF387E"/>
    <w:rsid w:val="00DF4599"/>
    <w:rsid w:val="00DF50BA"/>
    <w:rsid w:val="00DF5444"/>
    <w:rsid w:val="00DF5E20"/>
    <w:rsid w:val="00DF767C"/>
    <w:rsid w:val="00DF7964"/>
    <w:rsid w:val="00DF7E57"/>
    <w:rsid w:val="00E007C6"/>
    <w:rsid w:val="00E01A6A"/>
    <w:rsid w:val="00E01DE8"/>
    <w:rsid w:val="00E02428"/>
    <w:rsid w:val="00E0367C"/>
    <w:rsid w:val="00E045E3"/>
    <w:rsid w:val="00E0510A"/>
    <w:rsid w:val="00E0773F"/>
    <w:rsid w:val="00E0786D"/>
    <w:rsid w:val="00E07F0A"/>
    <w:rsid w:val="00E10355"/>
    <w:rsid w:val="00E10EDB"/>
    <w:rsid w:val="00E1168B"/>
    <w:rsid w:val="00E1196B"/>
    <w:rsid w:val="00E11B08"/>
    <w:rsid w:val="00E11C11"/>
    <w:rsid w:val="00E12557"/>
    <w:rsid w:val="00E1258F"/>
    <w:rsid w:val="00E130AD"/>
    <w:rsid w:val="00E145AE"/>
    <w:rsid w:val="00E15274"/>
    <w:rsid w:val="00E17285"/>
    <w:rsid w:val="00E17411"/>
    <w:rsid w:val="00E174B8"/>
    <w:rsid w:val="00E178BC"/>
    <w:rsid w:val="00E247DE"/>
    <w:rsid w:val="00E24F1D"/>
    <w:rsid w:val="00E25685"/>
    <w:rsid w:val="00E25DC8"/>
    <w:rsid w:val="00E2616F"/>
    <w:rsid w:val="00E26278"/>
    <w:rsid w:val="00E26D5F"/>
    <w:rsid w:val="00E27035"/>
    <w:rsid w:val="00E2727F"/>
    <w:rsid w:val="00E27F82"/>
    <w:rsid w:val="00E31391"/>
    <w:rsid w:val="00E31938"/>
    <w:rsid w:val="00E32412"/>
    <w:rsid w:val="00E32CAF"/>
    <w:rsid w:val="00E334FF"/>
    <w:rsid w:val="00E3416C"/>
    <w:rsid w:val="00E34D66"/>
    <w:rsid w:val="00E34DA4"/>
    <w:rsid w:val="00E35064"/>
    <w:rsid w:val="00E3576D"/>
    <w:rsid w:val="00E36584"/>
    <w:rsid w:val="00E370A4"/>
    <w:rsid w:val="00E37A3C"/>
    <w:rsid w:val="00E37B37"/>
    <w:rsid w:val="00E37B8B"/>
    <w:rsid w:val="00E40122"/>
    <w:rsid w:val="00E40F9E"/>
    <w:rsid w:val="00E41956"/>
    <w:rsid w:val="00E41A6B"/>
    <w:rsid w:val="00E42C4A"/>
    <w:rsid w:val="00E432C6"/>
    <w:rsid w:val="00E43407"/>
    <w:rsid w:val="00E44C34"/>
    <w:rsid w:val="00E45079"/>
    <w:rsid w:val="00E45111"/>
    <w:rsid w:val="00E45557"/>
    <w:rsid w:val="00E46A69"/>
    <w:rsid w:val="00E472FA"/>
    <w:rsid w:val="00E475C5"/>
    <w:rsid w:val="00E47AF0"/>
    <w:rsid w:val="00E47E43"/>
    <w:rsid w:val="00E517E6"/>
    <w:rsid w:val="00E51985"/>
    <w:rsid w:val="00E52A29"/>
    <w:rsid w:val="00E53147"/>
    <w:rsid w:val="00E53571"/>
    <w:rsid w:val="00E53A83"/>
    <w:rsid w:val="00E53C21"/>
    <w:rsid w:val="00E574A9"/>
    <w:rsid w:val="00E6047B"/>
    <w:rsid w:val="00E61455"/>
    <w:rsid w:val="00E6168F"/>
    <w:rsid w:val="00E61716"/>
    <w:rsid w:val="00E62041"/>
    <w:rsid w:val="00E62871"/>
    <w:rsid w:val="00E62971"/>
    <w:rsid w:val="00E63769"/>
    <w:rsid w:val="00E637E1"/>
    <w:rsid w:val="00E641A5"/>
    <w:rsid w:val="00E6431A"/>
    <w:rsid w:val="00E6560C"/>
    <w:rsid w:val="00E657F1"/>
    <w:rsid w:val="00E65D39"/>
    <w:rsid w:val="00E66345"/>
    <w:rsid w:val="00E66641"/>
    <w:rsid w:val="00E67DB9"/>
    <w:rsid w:val="00E67FC9"/>
    <w:rsid w:val="00E7015B"/>
    <w:rsid w:val="00E716F5"/>
    <w:rsid w:val="00E7352A"/>
    <w:rsid w:val="00E739BA"/>
    <w:rsid w:val="00E74049"/>
    <w:rsid w:val="00E742D9"/>
    <w:rsid w:val="00E754D7"/>
    <w:rsid w:val="00E763E4"/>
    <w:rsid w:val="00E77303"/>
    <w:rsid w:val="00E824DE"/>
    <w:rsid w:val="00E8290E"/>
    <w:rsid w:val="00E833D1"/>
    <w:rsid w:val="00E84937"/>
    <w:rsid w:val="00E84D4B"/>
    <w:rsid w:val="00E84F9E"/>
    <w:rsid w:val="00E85075"/>
    <w:rsid w:val="00E8583A"/>
    <w:rsid w:val="00E8644B"/>
    <w:rsid w:val="00E86BAD"/>
    <w:rsid w:val="00E86DE9"/>
    <w:rsid w:val="00E87061"/>
    <w:rsid w:val="00E90D67"/>
    <w:rsid w:val="00E9177F"/>
    <w:rsid w:val="00E91920"/>
    <w:rsid w:val="00E928E6"/>
    <w:rsid w:val="00E948B5"/>
    <w:rsid w:val="00E94C81"/>
    <w:rsid w:val="00E94CE6"/>
    <w:rsid w:val="00E94FAC"/>
    <w:rsid w:val="00E9505B"/>
    <w:rsid w:val="00E95B0E"/>
    <w:rsid w:val="00E9632F"/>
    <w:rsid w:val="00E96903"/>
    <w:rsid w:val="00E96ED4"/>
    <w:rsid w:val="00E97A58"/>
    <w:rsid w:val="00EA03CB"/>
    <w:rsid w:val="00EA12D8"/>
    <w:rsid w:val="00EA1C6F"/>
    <w:rsid w:val="00EA2330"/>
    <w:rsid w:val="00EA247B"/>
    <w:rsid w:val="00EA28F4"/>
    <w:rsid w:val="00EA36A4"/>
    <w:rsid w:val="00EA4070"/>
    <w:rsid w:val="00EA42CB"/>
    <w:rsid w:val="00EA4639"/>
    <w:rsid w:val="00EA4898"/>
    <w:rsid w:val="00EA51EE"/>
    <w:rsid w:val="00EA53C5"/>
    <w:rsid w:val="00EA55CC"/>
    <w:rsid w:val="00EA5C81"/>
    <w:rsid w:val="00EA6211"/>
    <w:rsid w:val="00EA70CE"/>
    <w:rsid w:val="00EA7FEF"/>
    <w:rsid w:val="00EB0004"/>
    <w:rsid w:val="00EB1724"/>
    <w:rsid w:val="00EB1D6D"/>
    <w:rsid w:val="00EB2BC3"/>
    <w:rsid w:val="00EB3DFA"/>
    <w:rsid w:val="00EB5BF7"/>
    <w:rsid w:val="00EB6E56"/>
    <w:rsid w:val="00EB6F26"/>
    <w:rsid w:val="00EB7253"/>
    <w:rsid w:val="00EB7883"/>
    <w:rsid w:val="00EC01D2"/>
    <w:rsid w:val="00EC158C"/>
    <w:rsid w:val="00EC1EE8"/>
    <w:rsid w:val="00EC3D6D"/>
    <w:rsid w:val="00EC3E5D"/>
    <w:rsid w:val="00EC458F"/>
    <w:rsid w:val="00EC47F0"/>
    <w:rsid w:val="00EC4A76"/>
    <w:rsid w:val="00EC564B"/>
    <w:rsid w:val="00EC666B"/>
    <w:rsid w:val="00EC76C8"/>
    <w:rsid w:val="00EC7D7C"/>
    <w:rsid w:val="00ED14DC"/>
    <w:rsid w:val="00ED16B8"/>
    <w:rsid w:val="00ED20E0"/>
    <w:rsid w:val="00ED20F3"/>
    <w:rsid w:val="00ED4FB3"/>
    <w:rsid w:val="00ED6845"/>
    <w:rsid w:val="00ED7544"/>
    <w:rsid w:val="00EE0177"/>
    <w:rsid w:val="00EE0EE8"/>
    <w:rsid w:val="00EE13EA"/>
    <w:rsid w:val="00EE17E4"/>
    <w:rsid w:val="00EE320C"/>
    <w:rsid w:val="00EE3E43"/>
    <w:rsid w:val="00EE414A"/>
    <w:rsid w:val="00EE63DF"/>
    <w:rsid w:val="00EE6A41"/>
    <w:rsid w:val="00EE7B21"/>
    <w:rsid w:val="00EF0318"/>
    <w:rsid w:val="00EF077F"/>
    <w:rsid w:val="00EF1C6E"/>
    <w:rsid w:val="00EF1D42"/>
    <w:rsid w:val="00EF27B8"/>
    <w:rsid w:val="00EF2A78"/>
    <w:rsid w:val="00EF465C"/>
    <w:rsid w:val="00EF4CD5"/>
    <w:rsid w:val="00EF4E82"/>
    <w:rsid w:val="00EF4EDF"/>
    <w:rsid w:val="00EF516B"/>
    <w:rsid w:val="00EF58BD"/>
    <w:rsid w:val="00EF5AE3"/>
    <w:rsid w:val="00EF6837"/>
    <w:rsid w:val="00EF7F77"/>
    <w:rsid w:val="00F01247"/>
    <w:rsid w:val="00F01E52"/>
    <w:rsid w:val="00F033A6"/>
    <w:rsid w:val="00F0375D"/>
    <w:rsid w:val="00F0454F"/>
    <w:rsid w:val="00F04D3E"/>
    <w:rsid w:val="00F05B63"/>
    <w:rsid w:val="00F06C62"/>
    <w:rsid w:val="00F06C72"/>
    <w:rsid w:val="00F072F0"/>
    <w:rsid w:val="00F07B5B"/>
    <w:rsid w:val="00F07F65"/>
    <w:rsid w:val="00F1145C"/>
    <w:rsid w:val="00F114BB"/>
    <w:rsid w:val="00F121B6"/>
    <w:rsid w:val="00F1393C"/>
    <w:rsid w:val="00F13ECE"/>
    <w:rsid w:val="00F13FAA"/>
    <w:rsid w:val="00F144DF"/>
    <w:rsid w:val="00F15BE0"/>
    <w:rsid w:val="00F15F39"/>
    <w:rsid w:val="00F16045"/>
    <w:rsid w:val="00F161C4"/>
    <w:rsid w:val="00F166F2"/>
    <w:rsid w:val="00F17915"/>
    <w:rsid w:val="00F20209"/>
    <w:rsid w:val="00F22001"/>
    <w:rsid w:val="00F2281E"/>
    <w:rsid w:val="00F235B2"/>
    <w:rsid w:val="00F24AA9"/>
    <w:rsid w:val="00F24AB6"/>
    <w:rsid w:val="00F24C98"/>
    <w:rsid w:val="00F255F6"/>
    <w:rsid w:val="00F2612D"/>
    <w:rsid w:val="00F262FB"/>
    <w:rsid w:val="00F26414"/>
    <w:rsid w:val="00F30AC4"/>
    <w:rsid w:val="00F32258"/>
    <w:rsid w:val="00F335BB"/>
    <w:rsid w:val="00F33968"/>
    <w:rsid w:val="00F34818"/>
    <w:rsid w:val="00F34CA8"/>
    <w:rsid w:val="00F350B6"/>
    <w:rsid w:val="00F3522A"/>
    <w:rsid w:val="00F3618C"/>
    <w:rsid w:val="00F362D6"/>
    <w:rsid w:val="00F4065F"/>
    <w:rsid w:val="00F40FF4"/>
    <w:rsid w:val="00F4166C"/>
    <w:rsid w:val="00F41DF2"/>
    <w:rsid w:val="00F434C6"/>
    <w:rsid w:val="00F441DC"/>
    <w:rsid w:val="00F441E3"/>
    <w:rsid w:val="00F444BD"/>
    <w:rsid w:val="00F45DB3"/>
    <w:rsid w:val="00F475A1"/>
    <w:rsid w:val="00F47A9B"/>
    <w:rsid w:val="00F47E85"/>
    <w:rsid w:val="00F504B1"/>
    <w:rsid w:val="00F5062B"/>
    <w:rsid w:val="00F511D4"/>
    <w:rsid w:val="00F521BA"/>
    <w:rsid w:val="00F52BE0"/>
    <w:rsid w:val="00F52C83"/>
    <w:rsid w:val="00F52E04"/>
    <w:rsid w:val="00F53B7D"/>
    <w:rsid w:val="00F53E0C"/>
    <w:rsid w:val="00F5496B"/>
    <w:rsid w:val="00F55A76"/>
    <w:rsid w:val="00F56669"/>
    <w:rsid w:val="00F57E4A"/>
    <w:rsid w:val="00F6013E"/>
    <w:rsid w:val="00F60AB5"/>
    <w:rsid w:val="00F619DE"/>
    <w:rsid w:val="00F61ACB"/>
    <w:rsid w:val="00F63201"/>
    <w:rsid w:val="00F63C8E"/>
    <w:rsid w:val="00F644B2"/>
    <w:rsid w:val="00F64955"/>
    <w:rsid w:val="00F64A71"/>
    <w:rsid w:val="00F65237"/>
    <w:rsid w:val="00F65D65"/>
    <w:rsid w:val="00F66E1C"/>
    <w:rsid w:val="00F67A1E"/>
    <w:rsid w:val="00F70072"/>
    <w:rsid w:val="00F70E7A"/>
    <w:rsid w:val="00F712C2"/>
    <w:rsid w:val="00F723CB"/>
    <w:rsid w:val="00F7263B"/>
    <w:rsid w:val="00F7490F"/>
    <w:rsid w:val="00F75660"/>
    <w:rsid w:val="00F806EE"/>
    <w:rsid w:val="00F8089D"/>
    <w:rsid w:val="00F81F21"/>
    <w:rsid w:val="00F83136"/>
    <w:rsid w:val="00F831BB"/>
    <w:rsid w:val="00F8457D"/>
    <w:rsid w:val="00F8491E"/>
    <w:rsid w:val="00F85DF6"/>
    <w:rsid w:val="00F86090"/>
    <w:rsid w:val="00F873D9"/>
    <w:rsid w:val="00F9071D"/>
    <w:rsid w:val="00F90B7C"/>
    <w:rsid w:val="00F90ECB"/>
    <w:rsid w:val="00F919C2"/>
    <w:rsid w:val="00F9220A"/>
    <w:rsid w:val="00F92A2A"/>
    <w:rsid w:val="00F92A66"/>
    <w:rsid w:val="00F93F74"/>
    <w:rsid w:val="00F942A8"/>
    <w:rsid w:val="00F95CB9"/>
    <w:rsid w:val="00F95D7B"/>
    <w:rsid w:val="00F97BB1"/>
    <w:rsid w:val="00F97C0B"/>
    <w:rsid w:val="00FA0A7A"/>
    <w:rsid w:val="00FA0D52"/>
    <w:rsid w:val="00FA20E5"/>
    <w:rsid w:val="00FA2265"/>
    <w:rsid w:val="00FA2803"/>
    <w:rsid w:val="00FA3650"/>
    <w:rsid w:val="00FA4FF9"/>
    <w:rsid w:val="00FA5249"/>
    <w:rsid w:val="00FA5317"/>
    <w:rsid w:val="00FA611D"/>
    <w:rsid w:val="00FA6141"/>
    <w:rsid w:val="00FA6EA4"/>
    <w:rsid w:val="00FA6EAF"/>
    <w:rsid w:val="00FA7871"/>
    <w:rsid w:val="00FA7886"/>
    <w:rsid w:val="00FB0161"/>
    <w:rsid w:val="00FB0CAC"/>
    <w:rsid w:val="00FB16DA"/>
    <w:rsid w:val="00FB19A0"/>
    <w:rsid w:val="00FB2F0A"/>
    <w:rsid w:val="00FB31B9"/>
    <w:rsid w:val="00FB3514"/>
    <w:rsid w:val="00FB46C6"/>
    <w:rsid w:val="00FB4AA1"/>
    <w:rsid w:val="00FB4E79"/>
    <w:rsid w:val="00FB50A1"/>
    <w:rsid w:val="00FB50EE"/>
    <w:rsid w:val="00FB5CEA"/>
    <w:rsid w:val="00FB6A9B"/>
    <w:rsid w:val="00FB7425"/>
    <w:rsid w:val="00FB7A4F"/>
    <w:rsid w:val="00FB7B50"/>
    <w:rsid w:val="00FB7FCA"/>
    <w:rsid w:val="00FC0EAD"/>
    <w:rsid w:val="00FC1306"/>
    <w:rsid w:val="00FC2600"/>
    <w:rsid w:val="00FC3520"/>
    <w:rsid w:val="00FC45AA"/>
    <w:rsid w:val="00FC480F"/>
    <w:rsid w:val="00FC5A94"/>
    <w:rsid w:val="00FC5CF5"/>
    <w:rsid w:val="00FD3FFE"/>
    <w:rsid w:val="00FD593E"/>
    <w:rsid w:val="00FD66EF"/>
    <w:rsid w:val="00FD6D0F"/>
    <w:rsid w:val="00FD6D92"/>
    <w:rsid w:val="00FD6DF6"/>
    <w:rsid w:val="00FD7021"/>
    <w:rsid w:val="00FD7134"/>
    <w:rsid w:val="00FE034F"/>
    <w:rsid w:val="00FE0549"/>
    <w:rsid w:val="00FE059C"/>
    <w:rsid w:val="00FE0651"/>
    <w:rsid w:val="00FE0707"/>
    <w:rsid w:val="00FE3D77"/>
    <w:rsid w:val="00FE4589"/>
    <w:rsid w:val="00FE6B2E"/>
    <w:rsid w:val="00FE6F8E"/>
    <w:rsid w:val="00FE7A1C"/>
    <w:rsid w:val="00FE7B1C"/>
    <w:rsid w:val="00FF0187"/>
    <w:rsid w:val="00FF0224"/>
    <w:rsid w:val="00FF042A"/>
    <w:rsid w:val="00FF1E0F"/>
    <w:rsid w:val="00FF2898"/>
    <w:rsid w:val="00FF2AFF"/>
    <w:rsid w:val="00FF2C32"/>
    <w:rsid w:val="00FF2E50"/>
    <w:rsid w:val="00FF3344"/>
    <w:rsid w:val="00FF3A2A"/>
    <w:rsid w:val="00FF3DCE"/>
    <w:rsid w:val="00FF4A59"/>
    <w:rsid w:val="00FF4BFC"/>
    <w:rsid w:val="00FF4D04"/>
    <w:rsid w:val="00FF5533"/>
    <w:rsid w:val="00FF5778"/>
    <w:rsid w:val="00FF5FD0"/>
    <w:rsid w:val="00FF762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ABE6EF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sz w:val="24"/>
        <w:szCs w:val="24"/>
        <w:lang w:val="en-CA"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89F"/>
    <w:pPr>
      <w:spacing w:after="240" w:line="480" w:lineRule="auto"/>
    </w:pPr>
    <w:rPr>
      <w:sz w:val="22"/>
    </w:rPr>
  </w:style>
  <w:style w:type="paragraph" w:styleId="Heading1">
    <w:name w:val="heading 1"/>
    <w:basedOn w:val="Normal"/>
    <w:next w:val="Normal"/>
    <w:link w:val="Heading1Char"/>
    <w:uiPriority w:val="9"/>
    <w:qFormat/>
    <w:rsid w:val="006073EB"/>
    <w:pPr>
      <w:keepNext/>
      <w:keepLines/>
      <w:spacing w:before="240" w:line="240" w:lineRule="auto"/>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unhideWhenUsed/>
    <w:qFormat/>
    <w:rsid w:val="00F2612D"/>
    <w:pPr>
      <w:keepNext/>
      <w:keepLines/>
      <w:numPr>
        <w:numId w:val="5"/>
      </w:numPr>
      <w:spacing w:line="240" w:lineRule="auto"/>
      <w:jc w:val="both"/>
      <w:outlineLvl w:val="1"/>
    </w:pPr>
    <w:rPr>
      <w:rFonts w:eastAsiaTheme="majorEastAsia" w:cstheme="majorBidi"/>
      <w:b/>
      <w:i/>
      <w:color w:val="000000" w:themeColor="text1"/>
      <w:szCs w:val="26"/>
    </w:rPr>
  </w:style>
  <w:style w:type="paragraph" w:styleId="Heading3">
    <w:name w:val="heading 3"/>
    <w:basedOn w:val="Normal"/>
    <w:next w:val="Normal"/>
    <w:link w:val="Heading3Char"/>
    <w:uiPriority w:val="9"/>
    <w:unhideWhenUsed/>
    <w:qFormat/>
    <w:rsid w:val="00D9358B"/>
    <w:pPr>
      <w:keepNext/>
      <w:keepLines/>
      <w:numPr>
        <w:numId w:val="6"/>
      </w:numPr>
      <w:spacing w:line="240" w:lineRule="auto"/>
      <w:ind w:left="714" w:hanging="357"/>
      <w:outlineLvl w:val="2"/>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Para">
    <w:name w:val="ORPara"/>
    <w:aliases w:val="P"/>
    <w:basedOn w:val="Normal"/>
    <w:rsid w:val="00622606"/>
    <w:pPr>
      <w:spacing w:line="240" w:lineRule="auto"/>
      <w:jc w:val="both"/>
    </w:pPr>
    <w:rPr>
      <w:rFonts w:eastAsia="Times New Roman"/>
      <w:sz w:val="20"/>
    </w:rPr>
  </w:style>
  <w:style w:type="paragraph" w:styleId="BalloonText">
    <w:name w:val="Balloon Text"/>
    <w:basedOn w:val="Normal"/>
    <w:link w:val="BalloonTextChar"/>
    <w:uiPriority w:val="99"/>
    <w:semiHidden/>
    <w:unhideWhenUsed/>
    <w:rsid w:val="002D49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9D4"/>
    <w:rPr>
      <w:rFonts w:ascii="Tahoma" w:hAnsi="Tahoma" w:cs="Tahoma"/>
      <w:sz w:val="16"/>
      <w:szCs w:val="16"/>
    </w:rPr>
  </w:style>
  <w:style w:type="paragraph" w:customStyle="1" w:styleId="ORGenL1">
    <w:name w:val="ORGen L1"/>
    <w:aliases w:val="G1"/>
    <w:basedOn w:val="Normal"/>
    <w:rsid w:val="002D49D4"/>
    <w:pPr>
      <w:numPr>
        <w:numId w:val="1"/>
      </w:numPr>
      <w:spacing w:line="360" w:lineRule="auto"/>
      <w:jc w:val="both"/>
      <w:outlineLvl w:val="0"/>
    </w:pPr>
    <w:rPr>
      <w:rFonts w:eastAsia="Times New Roman"/>
      <w:bCs/>
      <w:sz w:val="20"/>
    </w:rPr>
  </w:style>
  <w:style w:type="paragraph" w:customStyle="1" w:styleId="ORGenL2">
    <w:name w:val="ORGen L2"/>
    <w:aliases w:val="G2"/>
    <w:basedOn w:val="Normal"/>
    <w:rsid w:val="002D49D4"/>
    <w:pPr>
      <w:numPr>
        <w:ilvl w:val="1"/>
        <w:numId w:val="1"/>
      </w:numPr>
      <w:spacing w:line="240" w:lineRule="auto"/>
      <w:jc w:val="both"/>
      <w:outlineLvl w:val="1"/>
    </w:pPr>
    <w:rPr>
      <w:rFonts w:ascii="Times New Roman" w:eastAsia="Times New Roman" w:hAnsi="Times New Roman"/>
      <w:bCs/>
    </w:rPr>
  </w:style>
  <w:style w:type="paragraph" w:customStyle="1" w:styleId="ORGenL3">
    <w:name w:val="ORGen L3"/>
    <w:aliases w:val="G3"/>
    <w:basedOn w:val="Normal"/>
    <w:rsid w:val="002D49D4"/>
    <w:pPr>
      <w:numPr>
        <w:ilvl w:val="2"/>
        <w:numId w:val="1"/>
      </w:numPr>
      <w:spacing w:line="240" w:lineRule="auto"/>
      <w:jc w:val="both"/>
      <w:outlineLvl w:val="2"/>
    </w:pPr>
    <w:rPr>
      <w:rFonts w:ascii="Times New Roman" w:eastAsia="Times New Roman" w:hAnsi="Times New Roman"/>
      <w:bCs/>
    </w:rPr>
  </w:style>
  <w:style w:type="paragraph" w:customStyle="1" w:styleId="ORGenL4">
    <w:name w:val="ORGen L4"/>
    <w:aliases w:val="G4"/>
    <w:basedOn w:val="Normal"/>
    <w:rsid w:val="002D49D4"/>
    <w:pPr>
      <w:numPr>
        <w:ilvl w:val="3"/>
        <w:numId w:val="1"/>
      </w:numPr>
      <w:spacing w:line="240" w:lineRule="auto"/>
      <w:jc w:val="both"/>
    </w:pPr>
    <w:rPr>
      <w:rFonts w:ascii="Times New Roman" w:eastAsia="Times New Roman" w:hAnsi="Times New Roman"/>
      <w:bCs/>
    </w:rPr>
  </w:style>
  <w:style w:type="paragraph" w:customStyle="1" w:styleId="ORGenL5">
    <w:name w:val="ORGen L5"/>
    <w:aliases w:val="G5"/>
    <w:basedOn w:val="Normal"/>
    <w:rsid w:val="002D49D4"/>
    <w:pPr>
      <w:numPr>
        <w:ilvl w:val="4"/>
        <w:numId w:val="1"/>
      </w:numPr>
      <w:spacing w:line="240" w:lineRule="auto"/>
      <w:jc w:val="both"/>
    </w:pPr>
    <w:rPr>
      <w:rFonts w:ascii="Times New Roman" w:eastAsia="Times New Roman" w:hAnsi="Times New Roman"/>
      <w:bCs/>
    </w:rPr>
  </w:style>
  <w:style w:type="paragraph" w:customStyle="1" w:styleId="ORGenL6">
    <w:name w:val="ORGen L6"/>
    <w:aliases w:val="G6"/>
    <w:basedOn w:val="Normal"/>
    <w:rsid w:val="002D49D4"/>
    <w:pPr>
      <w:numPr>
        <w:ilvl w:val="5"/>
        <w:numId w:val="1"/>
      </w:numPr>
      <w:spacing w:line="240" w:lineRule="auto"/>
      <w:jc w:val="both"/>
    </w:pPr>
    <w:rPr>
      <w:rFonts w:ascii="Times New Roman" w:eastAsia="Times New Roman" w:hAnsi="Times New Roman"/>
      <w:bCs/>
    </w:rPr>
  </w:style>
  <w:style w:type="paragraph" w:customStyle="1" w:styleId="ORGenL7">
    <w:name w:val="ORGen L7"/>
    <w:aliases w:val="G7"/>
    <w:basedOn w:val="Normal"/>
    <w:rsid w:val="002D49D4"/>
    <w:pPr>
      <w:numPr>
        <w:ilvl w:val="6"/>
        <w:numId w:val="1"/>
      </w:numPr>
      <w:spacing w:line="240" w:lineRule="auto"/>
      <w:jc w:val="both"/>
    </w:pPr>
    <w:rPr>
      <w:rFonts w:ascii="Times New Roman" w:eastAsia="Times New Roman" w:hAnsi="Times New Roman"/>
      <w:bCs/>
    </w:rPr>
  </w:style>
  <w:style w:type="paragraph" w:customStyle="1" w:styleId="ORGenL8">
    <w:name w:val="ORGen L8"/>
    <w:aliases w:val="G8"/>
    <w:basedOn w:val="Normal"/>
    <w:rsid w:val="002D49D4"/>
    <w:pPr>
      <w:numPr>
        <w:ilvl w:val="7"/>
        <w:numId w:val="1"/>
      </w:numPr>
      <w:spacing w:line="240" w:lineRule="auto"/>
      <w:jc w:val="both"/>
    </w:pPr>
    <w:rPr>
      <w:rFonts w:ascii="Times New Roman" w:eastAsia="Times New Roman" w:hAnsi="Times New Roman"/>
      <w:bCs/>
    </w:rPr>
  </w:style>
  <w:style w:type="paragraph" w:customStyle="1" w:styleId="ORGenL9">
    <w:name w:val="ORGen L9"/>
    <w:aliases w:val="G9"/>
    <w:basedOn w:val="Normal"/>
    <w:rsid w:val="002D49D4"/>
    <w:pPr>
      <w:numPr>
        <w:ilvl w:val="8"/>
        <w:numId w:val="1"/>
      </w:numPr>
      <w:spacing w:line="240" w:lineRule="auto"/>
      <w:jc w:val="both"/>
    </w:pPr>
    <w:rPr>
      <w:rFonts w:ascii="Times New Roman" w:eastAsia="Times New Roman" w:hAnsi="Times New Roman"/>
      <w:bCs/>
    </w:rPr>
  </w:style>
  <w:style w:type="paragraph" w:customStyle="1" w:styleId="ORSubHeading">
    <w:name w:val="ORSubHeading"/>
    <w:aliases w:val="SH"/>
    <w:basedOn w:val="Normal"/>
    <w:next w:val="ORPara"/>
    <w:rsid w:val="00B943D8"/>
    <w:pPr>
      <w:keepNext/>
      <w:keepLines/>
      <w:numPr>
        <w:numId w:val="2"/>
      </w:numPr>
      <w:tabs>
        <w:tab w:val="clear" w:pos="1440"/>
      </w:tabs>
      <w:spacing w:before="120" w:after="120" w:line="240" w:lineRule="auto"/>
      <w:ind w:left="0" w:firstLine="0"/>
      <w:outlineLvl w:val="1"/>
    </w:pPr>
    <w:rPr>
      <w:rFonts w:ascii="Times New Roman" w:eastAsia="Times New Roman" w:hAnsi="Times New Roman"/>
      <w:b/>
      <w:bCs/>
    </w:rPr>
  </w:style>
  <w:style w:type="paragraph" w:customStyle="1" w:styleId="ORIndent1">
    <w:name w:val="ORIndent1"/>
    <w:aliases w:val="I1"/>
    <w:basedOn w:val="Normal"/>
    <w:rsid w:val="00B943D8"/>
    <w:pPr>
      <w:spacing w:after="0" w:line="240" w:lineRule="auto"/>
      <w:ind w:left="720"/>
      <w:jc w:val="both"/>
    </w:pPr>
    <w:rPr>
      <w:rFonts w:ascii="Times New Roman" w:eastAsia="Times New Roman" w:hAnsi="Times New Roman"/>
      <w:lang w:eastAsia="en-CA"/>
    </w:rPr>
  </w:style>
  <w:style w:type="character" w:styleId="Hyperlink">
    <w:name w:val="Hyperlink"/>
    <w:rsid w:val="00B943D8"/>
    <w:rPr>
      <w:color w:val="0000FF"/>
      <w:u w:val="single"/>
    </w:rPr>
  </w:style>
  <w:style w:type="paragraph" w:styleId="Header">
    <w:name w:val="header"/>
    <w:basedOn w:val="Normal"/>
    <w:link w:val="HeaderChar"/>
    <w:uiPriority w:val="99"/>
    <w:unhideWhenUsed/>
    <w:rsid w:val="00382F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F37"/>
  </w:style>
  <w:style w:type="paragraph" w:styleId="Footer">
    <w:name w:val="footer"/>
    <w:basedOn w:val="Normal"/>
    <w:link w:val="FooterChar"/>
    <w:uiPriority w:val="99"/>
    <w:unhideWhenUsed/>
    <w:rsid w:val="00382F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F37"/>
  </w:style>
  <w:style w:type="paragraph" w:customStyle="1" w:styleId="Default">
    <w:name w:val="Default"/>
    <w:rsid w:val="00E52A29"/>
    <w:pPr>
      <w:autoSpaceDE w:val="0"/>
      <w:autoSpaceDN w:val="0"/>
      <w:adjustRightInd w:val="0"/>
      <w:spacing w:after="0" w:line="240" w:lineRule="auto"/>
    </w:pPr>
    <w:rPr>
      <w:rFonts w:ascii="Times New Roman" w:hAnsi="Times New Roman"/>
      <w:color w:val="000000"/>
    </w:rPr>
  </w:style>
  <w:style w:type="paragraph" w:customStyle="1" w:styleId="ORPlain">
    <w:name w:val="ORPlain"/>
    <w:basedOn w:val="Normal"/>
    <w:rsid w:val="006C6CA1"/>
    <w:pPr>
      <w:spacing w:after="0" w:line="240" w:lineRule="auto"/>
    </w:pPr>
    <w:rPr>
      <w:rFonts w:ascii="Times New Roman" w:eastAsia="Times New Roman" w:hAnsi="Times New Roman"/>
    </w:rPr>
  </w:style>
  <w:style w:type="character" w:customStyle="1" w:styleId="Prompt">
    <w:name w:val="Prompt"/>
    <w:uiPriority w:val="29"/>
    <w:rsid w:val="006C6CA1"/>
    <w:rPr>
      <w:color w:val="0000FF"/>
    </w:rPr>
  </w:style>
  <w:style w:type="paragraph" w:customStyle="1" w:styleId="SigningLine">
    <w:name w:val="SigningLine"/>
    <w:basedOn w:val="Normal"/>
    <w:uiPriority w:val="29"/>
    <w:rsid w:val="006C6CA1"/>
    <w:pPr>
      <w:spacing w:before="40" w:after="40" w:line="240" w:lineRule="auto"/>
    </w:pPr>
    <w:rPr>
      <w:rFonts w:ascii="Times New Roman" w:eastAsia="Times New Roman" w:hAnsi="Times New Roman"/>
    </w:rPr>
  </w:style>
  <w:style w:type="character" w:styleId="CommentReference">
    <w:name w:val="annotation reference"/>
    <w:basedOn w:val="DefaultParagraphFont"/>
    <w:uiPriority w:val="99"/>
    <w:semiHidden/>
    <w:unhideWhenUsed/>
    <w:rsid w:val="00B82138"/>
    <w:rPr>
      <w:sz w:val="18"/>
      <w:szCs w:val="18"/>
    </w:rPr>
  </w:style>
  <w:style w:type="paragraph" w:styleId="CommentText">
    <w:name w:val="annotation text"/>
    <w:basedOn w:val="Normal"/>
    <w:link w:val="CommentTextChar"/>
    <w:uiPriority w:val="99"/>
    <w:semiHidden/>
    <w:unhideWhenUsed/>
    <w:rsid w:val="00B82138"/>
    <w:pPr>
      <w:spacing w:line="240" w:lineRule="auto"/>
    </w:pPr>
  </w:style>
  <w:style w:type="character" w:customStyle="1" w:styleId="CommentTextChar">
    <w:name w:val="Comment Text Char"/>
    <w:basedOn w:val="DefaultParagraphFont"/>
    <w:link w:val="CommentText"/>
    <w:uiPriority w:val="99"/>
    <w:semiHidden/>
    <w:rsid w:val="00B82138"/>
  </w:style>
  <w:style w:type="paragraph" w:styleId="CommentSubject">
    <w:name w:val="annotation subject"/>
    <w:basedOn w:val="CommentText"/>
    <w:next w:val="CommentText"/>
    <w:link w:val="CommentSubjectChar"/>
    <w:uiPriority w:val="99"/>
    <w:semiHidden/>
    <w:unhideWhenUsed/>
    <w:rsid w:val="00B82138"/>
    <w:rPr>
      <w:b/>
      <w:bCs/>
      <w:sz w:val="20"/>
      <w:szCs w:val="20"/>
    </w:rPr>
  </w:style>
  <w:style w:type="character" w:customStyle="1" w:styleId="CommentSubjectChar">
    <w:name w:val="Comment Subject Char"/>
    <w:basedOn w:val="CommentTextChar"/>
    <w:link w:val="CommentSubject"/>
    <w:uiPriority w:val="99"/>
    <w:semiHidden/>
    <w:rsid w:val="00B82138"/>
    <w:rPr>
      <w:b/>
      <w:bCs/>
      <w:sz w:val="20"/>
      <w:szCs w:val="20"/>
    </w:rPr>
  </w:style>
  <w:style w:type="paragraph" w:styleId="FootnoteText">
    <w:name w:val="footnote text"/>
    <w:basedOn w:val="Normal"/>
    <w:link w:val="FootnoteTextChar"/>
    <w:uiPriority w:val="99"/>
    <w:unhideWhenUsed/>
    <w:rsid w:val="00A17C94"/>
    <w:pPr>
      <w:spacing w:after="0" w:line="240" w:lineRule="auto"/>
      <w:ind w:left="284" w:hanging="284"/>
    </w:pPr>
    <w:rPr>
      <w:sz w:val="18"/>
    </w:rPr>
  </w:style>
  <w:style w:type="character" w:customStyle="1" w:styleId="FootnoteTextChar">
    <w:name w:val="Footnote Text Char"/>
    <w:basedOn w:val="DefaultParagraphFont"/>
    <w:link w:val="FootnoteText"/>
    <w:uiPriority w:val="99"/>
    <w:rsid w:val="00A17C94"/>
    <w:rPr>
      <w:sz w:val="18"/>
    </w:rPr>
  </w:style>
  <w:style w:type="character" w:styleId="FootnoteReference">
    <w:name w:val="footnote reference"/>
    <w:basedOn w:val="DefaultParagraphFont"/>
    <w:uiPriority w:val="99"/>
    <w:unhideWhenUsed/>
    <w:rsid w:val="009C5C48"/>
    <w:rPr>
      <w:vertAlign w:val="superscript"/>
    </w:rPr>
  </w:style>
  <w:style w:type="character" w:styleId="PageNumber">
    <w:name w:val="page number"/>
    <w:basedOn w:val="DefaultParagraphFont"/>
    <w:uiPriority w:val="99"/>
    <w:semiHidden/>
    <w:unhideWhenUsed/>
    <w:rsid w:val="0006535C"/>
  </w:style>
  <w:style w:type="paragraph" w:styleId="ListParagraph">
    <w:name w:val="List Paragraph"/>
    <w:basedOn w:val="Normal"/>
    <w:link w:val="ListParagraphChar"/>
    <w:uiPriority w:val="34"/>
    <w:qFormat/>
    <w:rsid w:val="00070B0D"/>
    <w:pPr>
      <w:numPr>
        <w:numId w:val="3"/>
      </w:numPr>
      <w:spacing w:after="120" w:line="360" w:lineRule="auto"/>
      <w:jc w:val="both"/>
    </w:pPr>
    <w:rPr>
      <w:rFonts w:cs="Arial"/>
      <w:szCs w:val="22"/>
      <w:lang w:val="en-US"/>
    </w:rPr>
  </w:style>
  <w:style w:type="character" w:customStyle="1" w:styleId="Heading1Char">
    <w:name w:val="Heading 1 Char"/>
    <w:basedOn w:val="DefaultParagraphFont"/>
    <w:link w:val="Heading1"/>
    <w:uiPriority w:val="9"/>
    <w:rsid w:val="006073EB"/>
    <w:rPr>
      <w:rFonts w:eastAsiaTheme="majorEastAsia" w:cstheme="majorBidi"/>
      <w:b/>
      <w:caps/>
      <w:color w:val="000000" w:themeColor="text1"/>
      <w:sz w:val="22"/>
      <w:szCs w:val="32"/>
    </w:rPr>
  </w:style>
  <w:style w:type="character" w:customStyle="1" w:styleId="Heading2Char">
    <w:name w:val="Heading 2 Char"/>
    <w:basedOn w:val="DefaultParagraphFont"/>
    <w:link w:val="Heading2"/>
    <w:uiPriority w:val="9"/>
    <w:rsid w:val="00F2612D"/>
    <w:rPr>
      <w:rFonts w:eastAsiaTheme="majorEastAsia" w:cstheme="majorBidi"/>
      <w:b/>
      <w:i/>
      <w:color w:val="000000" w:themeColor="text1"/>
      <w:sz w:val="22"/>
      <w:szCs w:val="26"/>
    </w:rPr>
  </w:style>
  <w:style w:type="character" w:customStyle="1" w:styleId="apple-converted-space">
    <w:name w:val="apple-converted-space"/>
    <w:basedOn w:val="DefaultParagraphFont"/>
    <w:rsid w:val="00C37517"/>
  </w:style>
  <w:style w:type="character" w:styleId="FollowedHyperlink">
    <w:name w:val="FollowedHyperlink"/>
    <w:basedOn w:val="DefaultParagraphFont"/>
    <w:uiPriority w:val="99"/>
    <w:semiHidden/>
    <w:unhideWhenUsed/>
    <w:rsid w:val="00004E09"/>
    <w:rPr>
      <w:color w:val="800080" w:themeColor="followedHyperlink"/>
      <w:u w:val="single"/>
    </w:rPr>
  </w:style>
  <w:style w:type="paragraph" w:styleId="DocumentMap">
    <w:name w:val="Document Map"/>
    <w:basedOn w:val="Normal"/>
    <w:link w:val="DocumentMapChar"/>
    <w:uiPriority w:val="99"/>
    <w:semiHidden/>
    <w:unhideWhenUsed/>
    <w:rsid w:val="00F90ECB"/>
    <w:pPr>
      <w:spacing w:after="0" w:line="240" w:lineRule="auto"/>
    </w:pPr>
    <w:rPr>
      <w:rFonts w:ascii="Times New Roman" w:hAnsi="Times New Roman"/>
      <w:sz w:val="24"/>
    </w:rPr>
  </w:style>
  <w:style w:type="character" w:customStyle="1" w:styleId="DocumentMapChar">
    <w:name w:val="Document Map Char"/>
    <w:basedOn w:val="DefaultParagraphFont"/>
    <w:link w:val="DocumentMap"/>
    <w:uiPriority w:val="99"/>
    <w:semiHidden/>
    <w:rsid w:val="00F90ECB"/>
    <w:rPr>
      <w:rFonts w:ascii="Times New Roman" w:hAnsi="Times New Roman"/>
    </w:rPr>
  </w:style>
  <w:style w:type="paragraph" w:customStyle="1" w:styleId="Quotations">
    <w:name w:val="Quotations"/>
    <w:basedOn w:val="Normal"/>
    <w:qFormat/>
    <w:rsid w:val="000D3424"/>
    <w:pPr>
      <w:spacing w:line="240" w:lineRule="auto"/>
      <w:ind w:left="1440" w:right="1440"/>
      <w:jc w:val="both"/>
    </w:pPr>
    <w:rPr>
      <w:sz w:val="20"/>
      <w:lang w:eastAsia="en-CA"/>
    </w:rPr>
  </w:style>
  <w:style w:type="table" w:styleId="TableGrid">
    <w:name w:val="Table Grid"/>
    <w:basedOn w:val="TableNormal"/>
    <w:uiPriority w:val="59"/>
    <w:rsid w:val="004A1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1">
    <w:name w:val="s11"/>
    <w:basedOn w:val="DefaultParagraphFont"/>
    <w:rsid w:val="00743F40"/>
  </w:style>
  <w:style w:type="character" w:customStyle="1" w:styleId="s26">
    <w:name w:val="s26"/>
    <w:basedOn w:val="DefaultParagraphFont"/>
    <w:rsid w:val="00743F40"/>
  </w:style>
  <w:style w:type="character" w:customStyle="1" w:styleId="s3">
    <w:name w:val="s3"/>
    <w:basedOn w:val="DefaultParagraphFont"/>
    <w:rsid w:val="00743F40"/>
  </w:style>
  <w:style w:type="paragraph" w:styleId="NormalWeb">
    <w:name w:val="Normal (Web)"/>
    <w:basedOn w:val="Normal"/>
    <w:uiPriority w:val="99"/>
    <w:unhideWhenUsed/>
    <w:rsid w:val="00E65D39"/>
    <w:pPr>
      <w:spacing w:before="100" w:beforeAutospacing="1" w:after="100" w:afterAutospacing="1" w:line="240" w:lineRule="auto"/>
    </w:pPr>
    <w:rPr>
      <w:rFonts w:ascii="Times New Roman" w:hAnsi="Times New Roman"/>
      <w:sz w:val="24"/>
      <w:lang w:val="en-US"/>
    </w:rPr>
  </w:style>
  <w:style w:type="character" w:styleId="Strong">
    <w:name w:val="Strong"/>
    <w:basedOn w:val="DefaultParagraphFont"/>
    <w:uiPriority w:val="22"/>
    <w:qFormat/>
    <w:rsid w:val="00FC45AA"/>
    <w:rPr>
      <w:b/>
      <w:bCs/>
      <w:i/>
    </w:rPr>
  </w:style>
  <w:style w:type="paragraph" w:styleId="Quote">
    <w:name w:val="Quote"/>
    <w:basedOn w:val="Normal"/>
    <w:next w:val="Normal"/>
    <w:link w:val="QuoteChar"/>
    <w:uiPriority w:val="29"/>
    <w:qFormat/>
    <w:rsid w:val="00B42B4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42B4B"/>
    <w:rPr>
      <w:i/>
      <w:iCs/>
      <w:color w:val="404040" w:themeColor="text1" w:themeTint="BF"/>
      <w:sz w:val="22"/>
    </w:rPr>
  </w:style>
  <w:style w:type="paragraph" w:styleId="PlainText">
    <w:name w:val="Plain Text"/>
    <w:basedOn w:val="Normal"/>
    <w:link w:val="PlainTextChar"/>
    <w:uiPriority w:val="99"/>
    <w:unhideWhenUsed/>
    <w:qFormat/>
    <w:rsid w:val="007A6036"/>
    <w:pPr>
      <w:spacing w:after="0" w:line="240" w:lineRule="auto"/>
    </w:pPr>
    <w:rPr>
      <w:rFonts w:ascii="Courier" w:hAnsi="Courier"/>
      <w:sz w:val="21"/>
      <w:szCs w:val="21"/>
    </w:rPr>
  </w:style>
  <w:style w:type="character" w:customStyle="1" w:styleId="PlainTextChar">
    <w:name w:val="Plain Text Char"/>
    <w:basedOn w:val="DefaultParagraphFont"/>
    <w:link w:val="PlainText"/>
    <w:uiPriority w:val="99"/>
    <w:rsid w:val="007A6036"/>
    <w:rPr>
      <w:rFonts w:ascii="Courier" w:hAnsi="Courier"/>
      <w:sz w:val="21"/>
      <w:szCs w:val="21"/>
    </w:rPr>
  </w:style>
  <w:style w:type="character" w:customStyle="1" w:styleId="ListParagraphChar">
    <w:name w:val="List Paragraph Char"/>
    <w:basedOn w:val="DefaultParagraphFont"/>
    <w:link w:val="ListParagraph"/>
    <w:uiPriority w:val="34"/>
    <w:rsid w:val="00070B0D"/>
    <w:rPr>
      <w:rFonts w:cs="Arial"/>
      <w:sz w:val="22"/>
      <w:szCs w:val="22"/>
      <w:lang w:val="en-US"/>
    </w:rPr>
  </w:style>
  <w:style w:type="character" w:styleId="BookTitle">
    <w:name w:val="Book Title"/>
    <w:basedOn w:val="DefaultParagraphFont"/>
    <w:uiPriority w:val="33"/>
    <w:qFormat/>
    <w:rsid w:val="00FC45AA"/>
    <w:rPr>
      <w:b/>
      <w:bCs/>
      <w:i/>
      <w:iCs/>
      <w:spacing w:val="5"/>
    </w:rPr>
  </w:style>
  <w:style w:type="character" w:styleId="Emphasis">
    <w:name w:val="Emphasis"/>
    <w:basedOn w:val="DefaultParagraphFont"/>
    <w:uiPriority w:val="20"/>
    <w:qFormat/>
    <w:rsid w:val="00FC45AA"/>
    <w:rPr>
      <w:i/>
      <w:iCs/>
    </w:rPr>
  </w:style>
  <w:style w:type="character" w:styleId="IntenseEmphasis">
    <w:name w:val="Intense Emphasis"/>
    <w:basedOn w:val="DefaultParagraphFont"/>
    <w:uiPriority w:val="21"/>
    <w:qFormat/>
    <w:rsid w:val="00FC45AA"/>
    <w:rPr>
      <w:i/>
      <w:iCs/>
      <w:color w:val="4F81BD" w:themeColor="accent1"/>
    </w:rPr>
  </w:style>
  <w:style w:type="character" w:customStyle="1" w:styleId="UnresolvedMention1">
    <w:name w:val="Unresolved Mention1"/>
    <w:basedOn w:val="DefaultParagraphFont"/>
    <w:uiPriority w:val="99"/>
    <w:rsid w:val="004C6893"/>
    <w:rPr>
      <w:color w:val="808080"/>
      <w:shd w:val="clear" w:color="auto" w:fill="E6E6E6"/>
    </w:rPr>
  </w:style>
  <w:style w:type="paragraph" w:customStyle="1" w:styleId="Style1">
    <w:name w:val="Style1"/>
    <w:basedOn w:val="Heading3"/>
    <w:qFormat/>
    <w:rsid w:val="00F2612D"/>
    <w:pPr>
      <w:numPr>
        <w:numId w:val="0"/>
      </w:numPr>
      <w:ind w:left="720" w:hanging="180"/>
    </w:pPr>
    <w:rPr>
      <w:lang w:eastAsia="en-CA"/>
    </w:rPr>
  </w:style>
  <w:style w:type="character" w:customStyle="1" w:styleId="Heading3Char">
    <w:name w:val="Heading 3 Char"/>
    <w:basedOn w:val="DefaultParagraphFont"/>
    <w:link w:val="Heading3"/>
    <w:uiPriority w:val="9"/>
    <w:rsid w:val="00D9358B"/>
    <w:rPr>
      <w:rFonts w:eastAsiaTheme="majorEastAsia" w:cstheme="majorBidi"/>
      <w:b/>
      <w:color w:val="000000" w:themeColor="text1"/>
      <w:sz w:val="22"/>
    </w:rPr>
  </w:style>
  <w:style w:type="paragraph" w:styleId="NoSpacing">
    <w:name w:val="No Spacing"/>
    <w:uiPriority w:val="1"/>
    <w:qFormat/>
    <w:rsid w:val="000B6239"/>
    <w:pPr>
      <w:spacing w:after="0" w:line="240" w:lineRule="auto"/>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704994">
      <w:bodyDiv w:val="1"/>
      <w:marLeft w:val="0"/>
      <w:marRight w:val="0"/>
      <w:marTop w:val="0"/>
      <w:marBottom w:val="0"/>
      <w:divBdr>
        <w:top w:val="none" w:sz="0" w:space="0" w:color="auto"/>
        <w:left w:val="none" w:sz="0" w:space="0" w:color="auto"/>
        <w:bottom w:val="none" w:sz="0" w:space="0" w:color="auto"/>
        <w:right w:val="none" w:sz="0" w:space="0" w:color="auto"/>
      </w:divBdr>
    </w:div>
    <w:div w:id="382602128">
      <w:bodyDiv w:val="1"/>
      <w:marLeft w:val="0"/>
      <w:marRight w:val="0"/>
      <w:marTop w:val="0"/>
      <w:marBottom w:val="0"/>
      <w:divBdr>
        <w:top w:val="none" w:sz="0" w:space="0" w:color="auto"/>
        <w:left w:val="none" w:sz="0" w:space="0" w:color="auto"/>
        <w:bottom w:val="none" w:sz="0" w:space="0" w:color="auto"/>
        <w:right w:val="none" w:sz="0" w:space="0" w:color="auto"/>
      </w:divBdr>
    </w:div>
    <w:div w:id="579411263">
      <w:bodyDiv w:val="1"/>
      <w:marLeft w:val="0"/>
      <w:marRight w:val="0"/>
      <w:marTop w:val="0"/>
      <w:marBottom w:val="0"/>
      <w:divBdr>
        <w:top w:val="none" w:sz="0" w:space="0" w:color="auto"/>
        <w:left w:val="none" w:sz="0" w:space="0" w:color="auto"/>
        <w:bottom w:val="none" w:sz="0" w:space="0" w:color="auto"/>
        <w:right w:val="none" w:sz="0" w:space="0" w:color="auto"/>
      </w:divBdr>
    </w:div>
    <w:div w:id="1003749661">
      <w:bodyDiv w:val="1"/>
      <w:marLeft w:val="0"/>
      <w:marRight w:val="0"/>
      <w:marTop w:val="0"/>
      <w:marBottom w:val="0"/>
      <w:divBdr>
        <w:top w:val="none" w:sz="0" w:space="0" w:color="auto"/>
        <w:left w:val="none" w:sz="0" w:space="0" w:color="auto"/>
        <w:bottom w:val="none" w:sz="0" w:space="0" w:color="auto"/>
        <w:right w:val="none" w:sz="0" w:space="0" w:color="auto"/>
      </w:divBdr>
    </w:div>
    <w:div w:id="1304501436">
      <w:bodyDiv w:val="1"/>
      <w:marLeft w:val="0"/>
      <w:marRight w:val="0"/>
      <w:marTop w:val="0"/>
      <w:marBottom w:val="0"/>
      <w:divBdr>
        <w:top w:val="none" w:sz="0" w:space="0" w:color="auto"/>
        <w:left w:val="none" w:sz="0" w:space="0" w:color="auto"/>
        <w:bottom w:val="none" w:sz="0" w:space="0" w:color="auto"/>
        <w:right w:val="none" w:sz="0" w:space="0" w:color="auto"/>
      </w:divBdr>
    </w:div>
    <w:div w:id="1324503175">
      <w:bodyDiv w:val="1"/>
      <w:marLeft w:val="0"/>
      <w:marRight w:val="0"/>
      <w:marTop w:val="0"/>
      <w:marBottom w:val="0"/>
      <w:divBdr>
        <w:top w:val="none" w:sz="0" w:space="0" w:color="auto"/>
        <w:left w:val="none" w:sz="0" w:space="0" w:color="auto"/>
        <w:bottom w:val="none" w:sz="0" w:space="0" w:color="auto"/>
        <w:right w:val="none" w:sz="0" w:space="0" w:color="auto"/>
      </w:divBdr>
    </w:div>
    <w:div w:id="1772892865">
      <w:bodyDiv w:val="1"/>
      <w:marLeft w:val="0"/>
      <w:marRight w:val="0"/>
      <w:marTop w:val="0"/>
      <w:marBottom w:val="0"/>
      <w:divBdr>
        <w:top w:val="none" w:sz="0" w:space="0" w:color="auto"/>
        <w:left w:val="none" w:sz="0" w:space="0" w:color="auto"/>
        <w:bottom w:val="none" w:sz="0" w:space="0" w:color="auto"/>
        <w:right w:val="none" w:sz="0" w:space="0" w:color="auto"/>
      </w:divBdr>
      <w:divsChild>
        <w:div w:id="1940598059">
          <w:marLeft w:val="0"/>
          <w:marRight w:val="0"/>
          <w:marTop w:val="0"/>
          <w:marBottom w:val="0"/>
          <w:divBdr>
            <w:top w:val="none" w:sz="0" w:space="0" w:color="auto"/>
            <w:left w:val="none" w:sz="0" w:space="0" w:color="auto"/>
            <w:bottom w:val="none" w:sz="0" w:space="0" w:color="auto"/>
            <w:right w:val="none" w:sz="0" w:space="0" w:color="auto"/>
          </w:divBdr>
          <w:divsChild>
            <w:div w:id="608048679">
              <w:marLeft w:val="0"/>
              <w:marRight w:val="0"/>
              <w:marTop w:val="0"/>
              <w:marBottom w:val="0"/>
              <w:divBdr>
                <w:top w:val="none" w:sz="0" w:space="0" w:color="auto"/>
                <w:left w:val="none" w:sz="0" w:space="0" w:color="auto"/>
                <w:bottom w:val="none" w:sz="0" w:space="0" w:color="auto"/>
                <w:right w:val="none" w:sz="0" w:space="0" w:color="auto"/>
              </w:divBdr>
              <w:divsChild>
                <w:div w:id="565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506742">
      <w:bodyDiv w:val="1"/>
      <w:marLeft w:val="0"/>
      <w:marRight w:val="0"/>
      <w:marTop w:val="0"/>
      <w:marBottom w:val="0"/>
      <w:divBdr>
        <w:top w:val="none" w:sz="0" w:space="0" w:color="auto"/>
        <w:left w:val="none" w:sz="0" w:space="0" w:color="auto"/>
        <w:bottom w:val="none" w:sz="0" w:space="0" w:color="auto"/>
        <w:right w:val="none" w:sz="0" w:space="0" w:color="auto"/>
      </w:divBdr>
    </w:div>
    <w:div w:id="1952320865">
      <w:bodyDiv w:val="1"/>
      <w:marLeft w:val="0"/>
      <w:marRight w:val="0"/>
      <w:marTop w:val="0"/>
      <w:marBottom w:val="0"/>
      <w:divBdr>
        <w:top w:val="none" w:sz="0" w:space="0" w:color="auto"/>
        <w:left w:val="none" w:sz="0" w:space="0" w:color="auto"/>
        <w:bottom w:val="none" w:sz="0" w:space="0" w:color="auto"/>
        <w:right w:val="none" w:sz="0" w:space="0" w:color="auto"/>
      </w:divBdr>
      <w:divsChild>
        <w:div w:id="868102621">
          <w:marLeft w:val="0"/>
          <w:marRight w:val="0"/>
          <w:marTop w:val="0"/>
          <w:marBottom w:val="0"/>
          <w:divBdr>
            <w:top w:val="none" w:sz="0" w:space="0" w:color="auto"/>
            <w:left w:val="none" w:sz="0" w:space="0" w:color="auto"/>
            <w:bottom w:val="none" w:sz="0" w:space="0" w:color="auto"/>
            <w:right w:val="none" w:sz="0" w:space="0" w:color="auto"/>
          </w:divBdr>
          <w:divsChild>
            <w:div w:id="1386442578">
              <w:marLeft w:val="0"/>
              <w:marRight w:val="0"/>
              <w:marTop w:val="0"/>
              <w:marBottom w:val="0"/>
              <w:divBdr>
                <w:top w:val="none" w:sz="0" w:space="0" w:color="auto"/>
                <w:left w:val="none" w:sz="0" w:space="0" w:color="auto"/>
                <w:bottom w:val="none" w:sz="0" w:space="0" w:color="auto"/>
                <w:right w:val="none" w:sz="0" w:space="0" w:color="auto"/>
              </w:divBdr>
              <w:divsChild>
                <w:div w:id="95540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59322">
      <w:bodyDiv w:val="1"/>
      <w:marLeft w:val="0"/>
      <w:marRight w:val="0"/>
      <w:marTop w:val="0"/>
      <w:marBottom w:val="0"/>
      <w:divBdr>
        <w:top w:val="none" w:sz="0" w:space="0" w:color="auto"/>
        <w:left w:val="none" w:sz="0" w:space="0" w:color="auto"/>
        <w:bottom w:val="none" w:sz="0" w:space="0" w:color="auto"/>
        <w:right w:val="none" w:sz="0" w:space="0" w:color="auto"/>
      </w:divBdr>
    </w:div>
    <w:div w:id="2097747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www.bcuc.com/ApplicationView.aspx?ApplicationId=6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C1C9E-830F-3F47-96EC-BAC8749678C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5333</Words>
  <Characters>30403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Wolnik</dc:creator>
  <cp:lastModifiedBy>lisaelisabethdee@gmail.com</cp:lastModifiedBy>
  <cp:revision>2</cp:revision>
  <cp:lastPrinted>2019-08-29T01:03:00Z</cp:lastPrinted>
  <dcterms:created xsi:type="dcterms:W3CDTF">2019-08-29T03:57:00Z</dcterms:created>
  <dcterms:modified xsi:type="dcterms:W3CDTF">2019-08-29T03:57:00Z</dcterms:modified>
</cp:coreProperties>
</file>