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2E7" w:rsidRPr="003832E7" w:rsidRDefault="007D189D" w:rsidP="003832E7">
      <w:pPr>
        <w:pStyle w:val="Defaul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Waterloo North Hydro Inc. </w:t>
      </w:r>
    </w:p>
    <w:p w:rsidR="00A07077" w:rsidRDefault="008A48F6" w:rsidP="00A07077">
      <w:pPr>
        <w:pStyle w:val="Defaul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OEB</w:t>
      </w:r>
      <w:r w:rsidR="00A07077">
        <w:rPr>
          <w:rFonts w:ascii="Arial" w:hAnsi="Arial" w:cs="Arial"/>
          <w:sz w:val="22"/>
          <w:szCs w:val="22"/>
        </w:rPr>
        <w:t xml:space="preserve"> Staff </w:t>
      </w:r>
      <w:r w:rsidR="008813C3">
        <w:rPr>
          <w:rFonts w:ascii="Arial" w:hAnsi="Arial" w:cs="Arial"/>
          <w:sz w:val="22"/>
          <w:szCs w:val="22"/>
        </w:rPr>
        <w:t>Questions</w:t>
      </w:r>
    </w:p>
    <w:p w:rsidR="00A07077" w:rsidRDefault="00090160" w:rsidP="00B069AA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AF5D5B">
        <w:rPr>
          <w:rFonts w:ascii="Arial" w:hAnsi="Arial" w:cs="Arial"/>
          <w:sz w:val="22"/>
          <w:szCs w:val="22"/>
        </w:rPr>
        <w:t>EB-201</w:t>
      </w:r>
      <w:r w:rsidR="00651C98" w:rsidRPr="00AF5D5B">
        <w:rPr>
          <w:rFonts w:ascii="Arial" w:hAnsi="Arial" w:cs="Arial"/>
          <w:sz w:val="22"/>
          <w:szCs w:val="22"/>
        </w:rPr>
        <w:t>9</w:t>
      </w:r>
      <w:r w:rsidR="009D5F4B" w:rsidRPr="00AF5D5B">
        <w:rPr>
          <w:rFonts w:ascii="Arial" w:hAnsi="Arial" w:cs="Arial"/>
          <w:sz w:val="22"/>
          <w:szCs w:val="22"/>
        </w:rPr>
        <w:t>-0</w:t>
      </w:r>
      <w:r w:rsidR="00AF5D5B" w:rsidRPr="00AF5D5B">
        <w:rPr>
          <w:rFonts w:ascii="Arial" w:hAnsi="Arial" w:cs="Arial"/>
          <w:sz w:val="22"/>
          <w:szCs w:val="22"/>
        </w:rPr>
        <w:t>071</w:t>
      </w:r>
    </w:p>
    <w:p w:rsidR="00A07077" w:rsidRDefault="00A07077" w:rsidP="00A07077">
      <w:pPr>
        <w:pStyle w:val="Default"/>
        <w:rPr>
          <w:rFonts w:ascii="Arial" w:hAnsi="Arial" w:cs="Arial"/>
          <w:sz w:val="22"/>
          <w:szCs w:val="22"/>
        </w:rPr>
      </w:pPr>
    </w:p>
    <w:p w:rsidR="00A07077" w:rsidRPr="00A07077" w:rsidRDefault="00AF5D5B" w:rsidP="00A07077">
      <w:pPr>
        <w:pStyle w:val="Default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Waterloo North Hydro Inc.</w:t>
      </w:r>
    </w:p>
    <w:p w:rsidR="00A07077" w:rsidRDefault="00090160" w:rsidP="00A07077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EB-201</w:t>
      </w:r>
      <w:r w:rsidR="00651C98">
        <w:rPr>
          <w:rFonts w:ascii="Arial" w:hAnsi="Arial" w:cs="Arial"/>
          <w:b/>
          <w:bCs/>
          <w:sz w:val="28"/>
          <w:szCs w:val="28"/>
        </w:rPr>
        <w:t>9</w:t>
      </w:r>
      <w:r w:rsidR="00B069AA" w:rsidRPr="00AF5D5B">
        <w:rPr>
          <w:rFonts w:ascii="Arial" w:hAnsi="Arial" w:cs="Arial"/>
          <w:b/>
          <w:bCs/>
          <w:sz w:val="28"/>
          <w:szCs w:val="28"/>
        </w:rPr>
        <w:t>-0</w:t>
      </w:r>
      <w:r w:rsidR="00AF5D5B" w:rsidRPr="00AF5D5B">
        <w:rPr>
          <w:rFonts w:ascii="Arial" w:hAnsi="Arial" w:cs="Arial"/>
          <w:b/>
          <w:bCs/>
          <w:sz w:val="28"/>
          <w:szCs w:val="28"/>
        </w:rPr>
        <w:t>071</w:t>
      </w:r>
    </w:p>
    <w:p w:rsidR="00A07077" w:rsidRDefault="00A07077" w:rsidP="00A07077">
      <w:pPr>
        <w:rPr>
          <w:rFonts w:ascii="Arial" w:hAnsi="Arial" w:cs="Arial"/>
          <w:b/>
          <w:bCs/>
          <w:sz w:val="28"/>
          <w:szCs w:val="28"/>
        </w:rPr>
      </w:pPr>
    </w:p>
    <w:p w:rsidR="00EC0B55" w:rsidRDefault="00EC0B55" w:rsidP="003025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E6045" w:rsidRDefault="00400DFC" w:rsidP="008E604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Staff Question</w:t>
      </w:r>
      <w:r w:rsidR="008E6045" w:rsidRPr="002D056D">
        <w:rPr>
          <w:rFonts w:ascii="Arial" w:hAnsi="Arial" w:cs="Arial"/>
          <w:b/>
          <w:sz w:val="24"/>
          <w:szCs w:val="24"/>
        </w:rPr>
        <w:t>-1</w:t>
      </w:r>
    </w:p>
    <w:p w:rsidR="003D7D7B" w:rsidRDefault="00AF5D5B" w:rsidP="003D7D7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Ref: Managers Summary</w:t>
      </w:r>
      <w:r w:rsidR="003D7D7B">
        <w:rPr>
          <w:rFonts w:ascii="Arial" w:hAnsi="Arial" w:cs="Arial"/>
          <w:b/>
          <w:sz w:val="24"/>
          <w:szCs w:val="24"/>
        </w:rPr>
        <w:t>, Page 8</w:t>
      </w:r>
    </w:p>
    <w:p w:rsidR="003D7D7B" w:rsidRDefault="003D7D7B" w:rsidP="003D7D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Waterloo North explained the variance of ($495,997) between the requested amount and the RRR 2.1.7 for Account 1588 RSVA-Power as below: </w:t>
      </w:r>
    </w:p>
    <w:p w:rsidR="003D7D7B" w:rsidRDefault="003D7D7B" w:rsidP="003D7D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WNH completed a review of this account in 2019. Due to the current process for</w:t>
      </w:r>
    </w:p>
    <w:p w:rsidR="003D7D7B" w:rsidRDefault="003D7D7B" w:rsidP="003D7D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settlement</w:t>
      </w:r>
      <w:proofErr w:type="gramEnd"/>
      <w:r>
        <w:rPr>
          <w:rFonts w:ascii="Arial" w:hAnsi="Arial" w:cs="Arial"/>
          <w:sz w:val="24"/>
          <w:szCs w:val="24"/>
        </w:rPr>
        <w:t xml:space="preserve"> it was determined that there is a price variance that had not been 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truedup</w:t>
      </w:r>
      <w:proofErr w:type="spellEnd"/>
      <w:r>
        <w:rPr>
          <w:rFonts w:ascii="Arial" w:hAnsi="Arial" w:cs="Arial"/>
          <w:sz w:val="24"/>
          <w:szCs w:val="24"/>
        </w:rPr>
        <w:t xml:space="preserve"> with the IESO in 2017 and 2018. This will be resolved for 2019 and </w:t>
      </w:r>
      <w:r>
        <w:rPr>
          <w:rFonts w:ascii="Arial" w:hAnsi="Arial" w:cs="Arial"/>
          <w:sz w:val="24"/>
          <w:szCs w:val="24"/>
        </w:rPr>
        <w:tab/>
        <w:t xml:space="preserve">future years due to the transition to the new 1588/1589 account rules set out by </w:t>
      </w:r>
      <w:r>
        <w:rPr>
          <w:rFonts w:ascii="Arial" w:hAnsi="Arial" w:cs="Arial"/>
          <w:sz w:val="24"/>
          <w:szCs w:val="24"/>
        </w:rPr>
        <w:tab/>
        <w:t xml:space="preserve">the OEB. It was determined that the </w:t>
      </w:r>
      <w:proofErr w:type="gramStart"/>
      <w:r>
        <w:rPr>
          <w:rFonts w:ascii="Arial" w:hAnsi="Arial" w:cs="Arial"/>
          <w:sz w:val="24"/>
          <w:szCs w:val="24"/>
        </w:rPr>
        <w:t>true-up</w:t>
      </w:r>
      <w:proofErr w:type="gramEnd"/>
      <w:r>
        <w:rPr>
          <w:rFonts w:ascii="Arial" w:hAnsi="Arial" w:cs="Arial"/>
          <w:sz w:val="24"/>
          <w:szCs w:val="24"/>
        </w:rPr>
        <w:t xml:space="preserve"> required for 2017 was $1,193,281. </w:t>
      </w:r>
      <w:proofErr w:type="gramStart"/>
      <w:r>
        <w:rPr>
          <w:rFonts w:ascii="Arial" w:hAnsi="Arial" w:cs="Arial"/>
          <w:sz w:val="24"/>
          <w:szCs w:val="24"/>
        </w:rPr>
        <w:t xml:space="preserve">In </w:t>
      </w:r>
      <w:r>
        <w:rPr>
          <w:rFonts w:ascii="Arial" w:hAnsi="Arial" w:cs="Arial"/>
          <w:sz w:val="24"/>
          <w:szCs w:val="24"/>
        </w:rPr>
        <w:tab/>
        <w:t>WNH’s 2019 application</w:t>
      </w:r>
      <w:proofErr w:type="gramEnd"/>
      <w:r>
        <w:rPr>
          <w:rFonts w:ascii="Arial" w:hAnsi="Arial" w:cs="Arial"/>
          <w:sz w:val="24"/>
          <w:szCs w:val="24"/>
        </w:rPr>
        <w:t xml:space="preserve"> $398,902 had been adjusted as this was the amount of </w:t>
      </w:r>
      <w:r>
        <w:rPr>
          <w:rFonts w:ascii="Arial" w:hAnsi="Arial" w:cs="Arial"/>
          <w:sz w:val="24"/>
          <w:szCs w:val="24"/>
        </w:rPr>
        <w:tab/>
        <w:t xml:space="preserve">variance that could be determined at that time. This leaves of a remainder of </w:t>
      </w:r>
      <w:r>
        <w:rPr>
          <w:rFonts w:ascii="Arial" w:hAnsi="Arial" w:cs="Arial"/>
          <w:sz w:val="24"/>
          <w:szCs w:val="24"/>
        </w:rPr>
        <w:tab/>
        <w:t xml:space="preserve">$794,379 to </w:t>
      </w:r>
      <w:proofErr w:type="gramStart"/>
      <w:r>
        <w:rPr>
          <w:rFonts w:ascii="Arial" w:hAnsi="Arial" w:cs="Arial"/>
          <w:sz w:val="24"/>
          <w:szCs w:val="24"/>
        </w:rPr>
        <w:t>be adjusted</w:t>
      </w:r>
      <w:proofErr w:type="gramEnd"/>
      <w:r>
        <w:rPr>
          <w:rFonts w:ascii="Arial" w:hAnsi="Arial" w:cs="Arial"/>
          <w:sz w:val="24"/>
          <w:szCs w:val="24"/>
        </w:rPr>
        <w:t xml:space="preserve"> in the 2020 application. The same process </w:t>
      </w:r>
      <w:proofErr w:type="gramStart"/>
      <w:r>
        <w:rPr>
          <w:rFonts w:ascii="Arial" w:hAnsi="Arial" w:cs="Arial"/>
          <w:sz w:val="24"/>
          <w:szCs w:val="24"/>
        </w:rPr>
        <w:t xml:space="preserve">was </w:t>
      </w:r>
      <w:r>
        <w:rPr>
          <w:rFonts w:ascii="Arial" w:hAnsi="Arial" w:cs="Arial"/>
          <w:sz w:val="24"/>
          <w:szCs w:val="24"/>
        </w:rPr>
        <w:tab/>
        <w:t>completed</w:t>
      </w:r>
      <w:proofErr w:type="gramEnd"/>
      <w:r>
        <w:rPr>
          <w:rFonts w:ascii="Arial" w:hAnsi="Arial" w:cs="Arial"/>
          <w:sz w:val="24"/>
          <w:szCs w:val="24"/>
        </w:rPr>
        <w:t xml:space="preserve"> for the 2018 year. The variance for 2018 was $(298,382). This </w:t>
      </w:r>
      <w:r>
        <w:rPr>
          <w:rFonts w:ascii="Arial" w:hAnsi="Arial" w:cs="Arial"/>
          <w:sz w:val="24"/>
          <w:szCs w:val="24"/>
        </w:rPr>
        <w:tab/>
        <w:t xml:space="preserve">accounts for the difference of $495,997. See Table 2.7a – 2017 &amp; 2018 True-Up </w:t>
      </w:r>
      <w:r>
        <w:rPr>
          <w:rFonts w:ascii="Arial" w:hAnsi="Arial" w:cs="Arial"/>
          <w:sz w:val="24"/>
          <w:szCs w:val="24"/>
        </w:rPr>
        <w:tab/>
        <w:t>Adjustments for the details.</w:t>
      </w:r>
    </w:p>
    <w:p w:rsidR="003D7D7B" w:rsidRDefault="003D7D7B" w:rsidP="003D7D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D7D7B" w:rsidRDefault="003D7D7B" w:rsidP="003D7D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Table 2.7a provides the breakdown of the variance $ into months of 2017 and 2018. A note in Table 2.7a states that</w:t>
      </w:r>
    </w:p>
    <w:p w:rsidR="003D7D7B" w:rsidRPr="00B7138A" w:rsidRDefault="003D7D7B" w:rsidP="003D7D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B7138A">
        <w:rPr>
          <w:rFonts w:ascii="Arial" w:hAnsi="Arial" w:cs="Arial"/>
          <w:sz w:val="24"/>
          <w:szCs w:val="24"/>
        </w:rPr>
        <w:t xml:space="preserve">WNH currently submits 1598 settlement based on billed usage. The true up value </w:t>
      </w:r>
      <w:r>
        <w:rPr>
          <w:rFonts w:ascii="Arial" w:hAnsi="Arial" w:cs="Arial"/>
          <w:sz w:val="24"/>
          <w:szCs w:val="24"/>
        </w:rPr>
        <w:tab/>
      </w:r>
      <w:r w:rsidRPr="00B7138A">
        <w:rPr>
          <w:rFonts w:ascii="Arial" w:hAnsi="Arial" w:cs="Arial"/>
          <w:sz w:val="24"/>
          <w:szCs w:val="24"/>
        </w:rPr>
        <w:t>calculated in these tables</w:t>
      </w:r>
      <w:r>
        <w:rPr>
          <w:rFonts w:ascii="Arial" w:hAnsi="Arial" w:cs="Arial"/>
          <w:sz w:val="24"/>
          <w:szCs w:val="24"/>
        </w:rPr>
        <w:t xml:space="preserve"> </w:t>
      </w:r>
      <w:r w:rsidRPr="00B7138A">
        <w:rPr>
          <w:rFonts w:ascii="Arial" w:hAnsi="Arial" w:cs="Arial"/>
          <w:sz w:val="24"/>
          <w:szCs w:val="24"/>
        </w:rPr>
        <w:t xml:space="preserve">represents the difference between the amount we </w:t>
      </w:r>
      <w:r>
        <w:rPr>
          <w:rFonts w:ascii="Arial" w:hAnsi="Arial" w:cs="Arial"/>
          <w:sz w:val="24"/>
          <w:szCs w:val="24"/>
        </w:rPr>
        <w:tab/>
      </w:r>
      <w:r w:rsidRPr="00B7138A">
        <w:rPr>
          <w:rFonts w:ascii="Arial" w:hAnsi="Arial" w:cs="Arial"/>
          <w:sz w:val="24"/>
          <w:szCs w:val="24"/>
        </w:rPr>
        <w:t>submitted for 1598 and the actual usage for the</w:t>
      </w:r>
      <w:r>
        <w:rPr>
          <w:rFonts w:ascii="Arial" w:hAnsi="Arial" w:cs="Arial"/>
          <w:sz w:val="24"/>
          <w:szCs w:val="24"/>
        </w:rPr>
        <w:t xml:space="preserve"> </w:t>
      </w:r>
      <w:r w:rsidRPr="00B7138A">
        <w:rPr>
          <w:rFonts w:ascii="Arial" w:hAnsi="Arial" w:cs="Arial"/>
          <w:sz w:val="24"/>
          <w:szCs w:val="24"/>
        </w:rPr>
        <w:t xml:space="preserve">settlement month. The actual </w:t>
      </w:r>
      <w:r>
        <w:rPr>
          <w:rFonts w:ascii="Arial" w:hAnsi="Arial" w:cs="Arial"/>
          <w:sz w:val="24"/>
          <w:szCs w:val="24"/>
        </w:rPr>
        <w:tab/>
      </w:r>
      <w:r w:rsidRPr="00B7138A">
        <w:rPr>
          <w:rFonts w:ascii="Arial" w:hAnsi="Arial" w:cs="Arial"/>
          <w:sz w:val="24"/>
          <w:szCs w:val="24"/>
        </w:rPr>
        <w:t xml:space="preserve">HOEP and GA rates </w:t>
      </w:r>
      <w:proofErr w:type="gramStart"/>
      <w:r w:rsidRPr="00B7138A">
        <w:rPr>
          <w:rFonts w:ascii="Arial" w:hAnsi="Arial" w:cs="Arial"/>
          <w:sz w:val="24"/>
          <w:szCs w:val="24"/>
        </w:rPr>
        <w:t>were used</w:t>
      </w:r>
      <w:proofErr w:type="gramEnd"/>
      <w:r w:rsidRPr="00B7138A">
        <w:rPr>
          <w:rFonts w:ascii="Arial" w:hAnsi="Arial" w:cs="Arial"/>
          <w:sz w:val="24"/>
          <w:szCs w:val="24"/>
        </w:rPr>
        <w:t xml:space="preserve"> in calculating the difference. The settlement</w:t>
      </w:r>
    </w:p>
    <w:p w:rsidR="003D7D7B" w:rsidRDefault="003D7D7B" w:rsidP="003D7D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 w:rsidRPr="00B7138A">
        <w:rPr>
          <w:rFonts w:ascii="Arial" w:hAnsi="Arial" w:cs="Arial"/>
          <w:sz w:val="24"/>
          <w:szCs w:val="24"/>
        </w:rPr>
        <w:t>data</w:t>
      </w:r>
      <w:proofErr w:type="gramEnd"/>
      <w:r w:rsidRPr="00B7138A">
        <w:rPr>
          <w:rFonts w:ascii="Arial" w:hAnsi="Arial" w:cs="Arial"/>
          <w:sz w:val="24"/>
          <w:szCs w:val="24"/>
        </w:rPr>
        <w:t xml:space="preserve"> was pulled directly from our submissions and the consumption was pulled </w:t>
      </w:r>
      <w:r>
        <w:rPr>
          <w:rFonts w:ascii="Arial" w:hAnsi="Arial" w:cs="Arial"/>
          <w:sz w:val="24"/>
          <w:szCs w:val="24"/>
        </w:rPr>
        <w:tab/>
      </w:r>
      <w:r w:rsidRPr="00B7138A">
        <w:rPr>
          <w:rFonts w:ascii="Arial" w:hAnsi="Arial" w:cs="Arial"/>
          <w:sz w:val="24"/>
          <w:szCs w:val="24"/>
        </w:rPr>
        <w:t>from our billing system.</w:t>
      </w:r>
    </w:p>
    <w:p w:rsidR="003D7D7B" w:rsidRDefault="003D7D7B" w:rsidP="003D7D7B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D7D7B" w:rsidRDefault="003D7D7B" w:rsidP="003D7D7B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explain the differences in terms of methodology between the 2017 </w:t>
      </w:r>
      <w:proofErr w:type="gramStart"/>
      <w:r>
        <w:rPr>
          <w:rFonts w:ascii="Arial" w:hAnsi="Arial" w:cs="Arial"/>
          <w:sz w:val="24"/>
          <w:szCs w:val="24"/>
        </w:rPr>
        <w:t>true-up</w:t>
      </w:r>
      <w:proofErr w:type="gramEnd"/>
      <w:r>
        <w:rPr>
          <w:rFonts w:ascii="Arial" w:hAnsi="Arial" w:cs="Arial"/>
          <w:sz w:val="24"/>
          <w:szCs w:val="24"/>
        </w:rPr>
        <w:t xml:space="preserve"> of $398,902 that was included in 2019 application and the current true-up for 2017 that results in an additional true-up amount of $794,379. </w:t>
      </w:r>
    </w:p>
    <w:p w:rsidR="003D7D7B" w:rsidRDefault="003D7D7B" w:rsidP="003D7D7B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Based on the note provided in Table 2.7a, please confirm that the current </w:t>
      </w:r>
      <w:proofErr w:type="gramStart"/>
      <w:r>
        <w:rPr>
          <w:rFonts w:ascii="Arial" w:hAnsi="Arial" w:cs="Arial"/>
          <w:sz w:val="24"/>
          <w:szCs w:val="24"/>
        </w:rPr>
        <w:t>true-up</w:t>
      </w:r>
      <w:proofErr w:type="gramEnd"/>
      <w:r>
        <w:rPr>
          <w:rFonts w:ascii="Arial" w:hAnsi="Arial" w:cs="Arial"/>
          <w:sz w:val="24"/>
          <w:szCs w:val="24"/>
        </w:rPr>
        <w:t xml:space="preserve"> is a true-up of both usage and price. </w:t>
      </w:r>
    </w:p>
    <w:p w:rsidR="003D7D7B" w:rsidRDefault="003D7D7B" w:rsidP="003D7D7B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explain why the </w:t>
      </w:r>
      <w:proofErr w:type="gramStart"/>
      <w:r>
        <w:rPr>
          <w:rFonts w:ascii="Arial" w:hAnsi="Arial" w:cs="Arial"/>
          <w:sz w:val="24"/>
          <w:szCs w:val="24"/>
        </w:rPr>
        <w:t>true-up</w:t>
      </w:r>
      <w:proofErr w:type="gramEnd"/>
      <w:r>
        <w:rPr>
          <w:rFonts w:ascii="Arial" w:hAnsi="Arial" w:cs="Arial"/>
          <w:sz w:val="24"/>
          <w:szCs w:val="24"/>
        </w:rPr>
        <w:t xml:space="preserve"> does not impact Account 1589 Global Adjustment. </w:t>
      </w:r>
    </w:p>
    <w:p w:rsidR="003D7D7B" w:rsidRDefault="003D7D7B" w:rsidP="003D7D7B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provide the supporting calculations in excel including usages and prices of each months for the monthly true-up variances $ in 2017 and 2018. </w:t>
      </w:r>
    </w:p>
    <w:p w:rsidR="003D7D7B" w:rsidRDefault="003D7D7B" w:rsidP="003D7D7B">
      <w:pPr>
        <w:rPr>
          <w:rFonts w:ascii="Arial" w:hAnsi="Arial" w:cs="Arial"/>
          <w:sz w:val="24"/>
          <w:szCs w:val="24"/>
        </w:rPr>
      </w:pPr>
    </w:p>
    <w:p w:rsidR="003D7D7B" w:rsidRDefault="003D7D7B" w:rsidP="003D7D7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Staff Question-2</w:t>
      </w:r>
    </w:p>
    <w:p w:rsidR="003D7D7B" w:rsidRDefault="003D7D7B" w:rsidP="003D7D7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Ref: Attachment B GA Analysis Workform &amp; Appendix A Responses, Pages 2&amp;3</w:t>
      </w:r>
    </w:p>
    <w:p w:rsidR="003D7D7B" w:rsidRDefault="003D7D7B" w:rsidP="003D7D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Waterloo North provided the following answer to question 11. b) </w:t>
      </w:r>
      <w:proofErr w:type="gramStart"/>
      <w:r>
        <w:rPr>
          <w:rFonts w:ascii="Arial" w:hAnsi="Arial" w:cs="Arial"/>
          <w:sz w:val="24"/>
          <w:szCs w:val="24"/>
        </w:rPr>
        <w:t>for</w:t>
      </w:r>
      <w:proofErr w:type="gramEnd"/>
      <w:r>
        <w:rPr>
          <w:rFonts w:ascii="Arial" w:hAnsi="Arial" w:cs="Arial"/>
          <w:sz w:val="24"/>
          <w:szCs w:val="24"/>
        </w:rPr>
        <w:t xml:space="preserve"> the true-up process for CT 1142 as below:</w:t>
      </w:r>
    </w:p>
    <w:p w:rsidR="003D7D7B" w:rsidRPr="00B05CB3" w:rsidRDefault="003D7D7B" w:rsidP="003D7D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B05CB3">
        <w:rPr>
          <w:rFonts w:ascii="Arial" w:hAnsi="Arial" w:cs="Arial"/>
          <w:sz w:val="24"/>
          <w:szCs w:val="24"/>
        </w:rPr>
        <w:t>In account 1588 RSVA power for 2017 and 2018 true-ups between TOU / Tier</w:t>
      </w:r>
    </w:p>
    <w:p w:rsidR="003D7D7B" w:rsidRPr="00B05CB3" w:rsidRDefault="003D7D7B" w:rsidP="003D7D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05CB3">
        <w:rPr>
          <w:rFonts w:ascii="Arial" w:hAnsi="Arial" w:cs="Arial"/>
          <w:sz w:val="24"/>
          <w:szCs w:val="24"/>
        </w:rPr>
        <w:tab/>
        <w:t>1 &amp; 2 prices have been calculated and discussed in section 2.7 of the IRM</w:t>
      </w:r>
    </w:p>
    <w:p w:rsidR="003D7D7B" w:rsidRPr="00B05CB3" w:rsidRDefault="003D7D7B" w:rsidP="003D7D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05CB3">
        <w:rPr>
          <w:rFonts w:ascii="Arial" w:hAnsi="Arial" w:cs="Arial"/>
          <w:sz w:val="24"/>
          <w:szCs w:val="24"/>
        </w:rPr>
        <w:tab/>
      </w:r>
      <w:proofErr w:type="gramStart"/>
      <w:r w:rsidRPr="00B05CB3">
        <w:rPr>
          <w:rFonts w:ascii="Arial" w:hAnsi="Arial" w:cs="Arial"/>
          <w:sz w:val="24"/>
          <w:szCs w:val="24"/>
        </w:rPr>
        <w:t>application</w:t>
      </w:r>
      <w:proofErr w:type="gramEnd"/>
      <w:r w:rsidRPr="00B05CB3">
        <w:rPr>
          <w:rFonts w:ascii="Arial" w:hAnsi="Arial" w:cs="Arial"/>
          <w:sz w:val="24"/>
          <w:szCs w:val="24"/>
        </w:rPr>
        <w:t xml:space="preserve">. This has been corrected annually since the review of the 2019 IRM </w:t>
      </w:r>
      <w:r w:rsidRPr="00B05CB3">
        <w:rPr>
          <w:rFonts w:ascii="Arial" w:hAnsi="Arial" w:cs="Arial"/>
          <w:sz w:val="24"/>
          <w:szCs w:val="24"/>
        </w:rPr>
        <w:tab/>
        <w:t xml:space="preserve">application </w:t>
      </w:r>
      <w:proofErr w:type="gramStart"/>
      <w:r w:rsidRPr="00B05CB3">
        <w:rPr>
          <w:rFonts w:ascii="Arial" w:hAnsi="Arial" w:cs="Arial"/>
          <w:sz w:val="24"/>
          <w:szCs w:val="24"/>
        </w:rPr>
        <w:t>however</w:t>
      </w:r>
      <w:proofErr w:type="gramEnd"/>
      <w:r w:rsidRPr="00B05CB3">
        <w:rPr>
          <w:rFonts w:ascii="Arial" w:hAnsi="Arial" w:cs="Arial"/>
          <w:sz w:val="24"/>
          <w:szCs w:val="24"/>
        </w:rPr>
        <w:t xml:space="preserve"> this process is being amended under the new accounting </w:t>
      </w:r>
      <w:r w:rsidRPr="00B05CB3">
        <w:rPr>
          <w:rFonts w:ascii="Arial" w:hAnsi="Arial" w:cs="Arial"/>
          <w:sz w:val="24"/>
          <w:szCs w:val="24"/>
        </w:rPr>
        <w:tab/>
        <w:t>guidance methodology and will be reviewed monthly on a go forward basis.</w:t>
      </w:r>
    </w:p>
    <w:p w:rsidR="003D7D7B" w:rsidRDefault="003D7D7B" w:rsidP="003D7D7B">
      <w:pPr>
        <w:rPr>
          <w:rFonts w:ascii="Arial" w:hAnsi="Arial" w:cs="Arial"/>
          <w:b/>
          <w:sz w:val="24"/>
          <w:szCs w:val="24"/>
        </w:rPr>
      </w:pPr>
    </w:p>
    <w:p w:rsidR="003D7D7B" w:rsidRDefault="003D7D7B" w:rsidP="003D7D7B">
      <w:pPr>
        <w:pStyle w:val="ListParagraph"/>
        <w:numPr>
          <w:ilvl w:val="0"/>
          <w:numId w:val="29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elaborate on the </w:t>
      </w:r>
      <w:proofErr w:type="gramStart"/>
      <w:r>
        <w:rPr>
          <w:rFonts w:ascii="Arial" w:hAnsi="Arial" w:cs="Arial"/>
          <w:sz w:val="24"/>
          <w:szCs w:val="24"/>
        </w:rPr>
        <w:t>statement that</w:t>
      </w:r>
      <w:proofErr w:type="gramEnd"/>
      <w:r>
        <w:rPr>
          <w:rFonts w:ascii="Arial" w:hAnsi="Arial" w:cs="Arial"/>
          <w:sz w:val="24"/>
          <w:szCs w:val="24"/>
        </w:rPr>
        <w:t xml:space="preserve"> “this process is being amended under the new accounting guidance methodology” and identify the main differences between the current process and the process that is being amended. </w:t>
      </w:r>
    </w:p>
    <w:p w:rsidR="003D7D7B" w:rsidRDefault="003D7D7B" w:rsidP="003D7D7B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3D7D7B" w:rsidRDefault="003D7D7B" w:rsidP="003D7D7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Staff Question-3</w:t>
      </w:r>
    </w:p>
    <w:p w:rsidR="003D7D7B" w:rsidRPr="00B05CB3" w:rsidRDefault="003D7D7B" w:rsidP="003D7D7B">
      <w:pPr>
        <w:rPr>
          <w:rFonts w:ascii="Arial" w:hAnsi="Arial" w:cs="Arial"/>
          <w:b/>
          <w:sz w:val="24"/>
          <w:szCs w:val="24"/>
        </w:rPr>
      </w:pPr>
      <w:r w:rsidRPr="00B05CB3">
        <w:rPr>
          <w:rFonts w:ascii="Arial" w:hAnsi="Arial" w:cs="Arial"/>
          <w:b/>
          <w:sz w:val="24"/>
          <w:szCs w:val="24"/>
        </w:rPr>
        <w:t>Ref: Attachment B GA Analysis Workform &amp; Appendix A Responses, Pages 2&amp;3</w:t>
      </w:r>
    </w:p>
    <w:p w:rsidR="003D7D7B" w:rsidRDefault="003D7D7B" w:rsidP="003D7D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Waterloo North explained in question 10 b) that:</w:t>
      </w:r>
    </w:p>
    <w:p w:rsidR="003D7D7B" w:rsidRDefault="003D7D7B" w:rsidP="003D7D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CT 148 is booked into Account 1589. The portion of CT 1142 equaling RPP </w:t>
      </w:r>
      <w:r>
        <w:rPr>
          <w:rFonts w:ascii="Arial" w:hAnsi="Arial" w:cs="Arial"/>
          <w:sz w:val="24"/>
          <w:szCs w:val="24"/>
        </w:rPr>
        <w:tab/>
        <w:t xml:space="preserve">minus HOEP for RPP consumption is booked into Account 1588. The portion of </w:t>
      </w:r>
      <w:r>
        <w:rPr>
          <w:rFonts w:ascii="Arial" w:hAnsi="Arial" w:cs="Arial"/>
          <w:sz w:val="24"/>
          <w:szCs w:val="24"/>
        </w:rPr>
        <w:tab/>
        <w:t xml:space="preserve">CT1142 equaling GA RPP </w:t>
      </w:r>
      <w:proofErr w:type="gramStart"/>
      <w:r>
        <w:rPr>
          <w:rFonts w:ascii="Arial" w:hAnsi="Arial" w:cs="Arial"/>
          <w:sz w:val="24"/>
          <w:szCs w:val="24"/>
        </w:rPr>
        <w:t>is credited</w:t>
      </w:r>
      <w:proofErr w:type="gramEnd"/>
      <w:r>
        <w:rPr>
          <w:rFonts w:ascii="Arial" w:hAnsi="Arial" w:cs="Arial"/>
          <w:sz w:val="24"/>
          <w:szCs w:val="24"/>
        </w:rPr>
        <w:t xml:space="preserve"> into Account 1589. </w:t>
      </w:r>
    </w:p>
    <w:p w:rsidR="003D7D7B" w:rsidRDefault="003D7D7B" w:rsidP="003D7D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D7D7B" w:rsidRDefault="003D7D7B" w:rsidP="003D7D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Waterloo North explained in question 11 a) that:</w:t>
      </w:r>
    </w:p>
    <w:p w:rsidR="003D7D7B" w:rsidRPr="00784F16" w:rsidRDefault="003D7D7B" w:rsidP="003D7D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784F16">
        <w:rPr>
          <w:rFonts w:ascii="Arial" w:hAnsi="Arial" w:cs="Arial"/>
          <w:sz w:val="24"/>
          <w:szCs w:val="24"/>
        </w:rPr>
        <w:t>In order to determine the full GA for all customers, Waterloo North Hydro</w:t>
      </w:r>
    </w:p>
    <w:p w:rsidR="003D7D7B" w:rsidRPr="00784F16" w:rsidRDefault="003D7D7B" w:rsidP="003D7D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784F16">
        <w:rPr>
          <w:rFonts w:ascii="Arial" w:hAnsi="Arial" w:cs="Arial"/>
          <w:sz w:val="24"/>
          <w:szCs w:val="24"/>
        </w:rPr>
        <w:t>(WNH) multiplies Waterloo North Hydro's total system load (kWh) by the</w:t>
      </w:r>
    </w:p>
    <w:p w:rsidR="003D7D7B" w:rsidRPr="00784F16" w:rsidRDefault="003D7D7B" w:rsidP="003D7D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784F16">
        <w:rPr>
          <w:rFonts w:ascii="Arial" w:hAnsi="Arial" w:cs="Arial"/>
          <w:sz w:val="24"/>
          <w:szCs w:val="24"/>
        </w:rPr>
        <w:t>Class B second estimate ($/MWh converted to $/kWh) for the settlement</w:t>
      </w:r>
    </w:p>
    <w:p w:rsidR="003D7D7B" w:rsidRPr="00784F16" w:rsidRDefault="003D7D7B" w:rsidP="003D7D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 w:rsidRPr="00784F16">
        <w:rPr>
          <w:rFonts w:ascii="Arial" w:hAnsi="Arial" w:cs="Arial"/>
          <w:sz w:val="24"/>
          <w:szCs w:val="24"/>
        </w:rPr>
        <w:t>month</w:t>
      </w:r>
      <w:proofErr w:type="gramEnd"/>
      <w:r w:rsidRPr="00784F16">
        <w:rPr>
          <w:rFonts w:ascii="Arial" w:hAnsi="Arial" w:cs="Arial"/>
          <w:sz w:val="24"/>
          <w:szCs w:val="24"/>
        </w:rPr>
        <w:t>. The dollar value associated with Class A usage is subtracted from the</w:t>
      </w:r>
    </w:p>
    <w:p w:rsidR="003D7D7B" w:rsidRPr="00784F16" w:rsidRDefault="003D7D7B" w:rsidP="003D7D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 w:rsidRPr="00784F16">
        <w:rPr>
          <w:rFonts w:ascii="Arial" w:hAnsi="Arial" w:cs="Arial"/>
          <w:sz w:val="24"/>
          <w:szCs w:val="24"/>
        </w:rPr>
        <w:t>total</w:t>
      </w:r>
      <w:proofErr w:type="gramEnd"/>
      <w:r w:rsidRPr="00784F16">
        <w:rPr>
          <w:rFonts w:ascii="Arial" w:hAnsi="Arial" w:cs="Arial"/>
          <w:sz w:val="24"/>
          <w:szCs w:val="24"/>
        </w:rPr>
        <w:t xml:space="preserve"> Global Adjustment amount to determine the Class B Global Adjustment</w:t>
      </w:r>
    </w:p>
    <w:p w:rsidR="003D7D7B" w:rsidRPr="00784F16" w:rsidRDefault="003D7D7B" w:rsidP="003D7D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 w:rsidRPr="00784F16">
        <w:rPr>
          <w:rFonts w:ascii="Arial" w:hAnsi="Arial" w:cs="Arial"/>
          <w:sz w:val="24"/>
          <w:szCs w:val="24"/>
        </w:rPr>
        <w:t>amount</w:t>
      </w:r>
      <w:proofErr w:type="gramEnd"/>
      <w:r w:rsidRPr="00784F16">
        <w:rPr>
          <w:rFonts w:ascii="Arial" w:hAnsi="Arial" w:cs="Arial"/>
          <w:sz w:val="24"/>
          <w:szCs w:val="24"/>
        </w:rPr>
        <w:t xml:space="preserve"> (CT 148). </w:t>
      </w:r>
      <w:r w:rsidRPr="00784F16">
        <w:rPr>
          <w:rFonts w:ascii="Arial" w:hAnsi="Arial" w:cs="Arial"/>
          <w:b/>
          <w:sz w:val="24"/>
          <w:szCs w:val="24"/>
        </w:rPr>
        <w:t>The usage for all non-RPP customers is multiplied by the</w:t>
      </w:r>
    </w:p>
    <w:p w:rsidR="003D7D7B" w:rsidRPr="00784F16" w:rsidRDefault="003D7D7B" w:rsidP="003D7D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84F16">
        <w:rPr>
          <w:rFonts w:ascii="Arial" w:hAnsi="Arial" w:cs="Arial"/>
          <w:b/>
          <w:sz w:val="24"/>
          <w:szCs w:val="24"/>
        </w:rPr>
        <w:tab/>
      </w:r>
      <w:proofErr w:type="gramStart"/>
      <w:r w:rsidRPr="00784F16">
        <w:rPr>
          <w:rFonts w:ascii="Arial" w:hAnsi="Arial" w:cs="Arial"/>
          <w:b/>
          <w:sz w:val="24"/>
          <w:szCs w:val="24"/>
        </w:rPr>
        <w:t>second</w:t>
      </w:r>
      <w:proofErr w:type="gramEnd"/>
      <w:r w:rsidRPr="00784F16">
        <w:rPr>
          <w:rFonts w:ascii="Arial" w:hAnsi="Arial" w:cs="Arial"/>
          <w:b/>
          <w:sz w:val="24"/>
          <w:szCs w:val="24"/>
        </w:rPr>
        <w:t xml:space="preserve"> estimate to determine the amount of the non-RPP portion of GA</w:t>
      </w:r>
    </w:p>
    <w:p w:rsidR="003D7D7B" w:rsidRDefault="003D7D7B" w:rsidP="003D7D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84F16">
        <w:rPr>
          <w:rFonts w:ascii="Arial" w:hAnsi="Arial" w:cs="Arial"/>
          <w:b/>
          <w:sz w:val="24"/>
          <w:szCs w:val="24"/>
        </w:rPr>
        <w:tab/>
        <w:t>(</w:t>
      </w:r>
      <w:proofErr w:type="gramStart"/>
      <w:r w:rsidRPr="00784F16">
        <w:rPr>
          <w:rFonts w:ascii="Arial" w:hAnsi="Arial" w:cs="Arial"/>
          <w:b/>
          <w:sz w:val="24"/>
          <w:szCs w:val="24"/>
        </w:rPr>
        <w:t>recorded</w:t>
      </w:r>
      <w:proofErr w:type="gramEnd"/>
      <w:r w:rsidRPr="00784F16">
        <w:rPr>
          <w:rFonts w:ascii="Arial" w:hAnsi="Arial" w:cs="Arial"/>
          <w:b/>
          <w:sz w:val="24"/>
          <w:szCs w:val="24"/>
        </w:rPr>
        <w:t xml:space="preserve"> in 1589).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[</w:t>
      </w:r>
      <w:r w:rsidRPr="00784F16">
        <w:rPr>
          <w:rFonts w:ascii="Arial" w:hAnsi="Arial" w:cs="Arial"/>
          <w:sz w:val="24"/>
          <w:szCs w:val="24"/>
        </w:rPr>
        <w:t>Emphasis added]</w:t>
      </w:r>
    </w:p>
    <w:p w:rsidR="003D7D7B" w:rsidRDefault="003D7D7B" w:rsidP="003D7D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D7D7B" w:rsidRDefault="003D7D7B" w:rsidP="003D7D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Waterloo North answered in question 12 a) that:</w:t>
      </w:r>
    </w:p>
    <w:p w:rsidR="003D7D7B" w:rsidRPr="00784F16" w:rsidRDefault="003D7D7B" w:rsidP="003D7D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D7D7B" w:rsidRPr="004E515A" w:rsidRDefault="003D7D7B" w:rsidP="003D7D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E515A">
        <w:rPr>
          <w:rFonts w:ascii="Arial" w:hAnsi="Arial" w:cs="Arial"/>
          <w:sz w:val="24"/>
          <w:szCs w:val="24"/>
        </w:rPr>
        <w:t>As noted above in 2a) In order to determine the full GA for all customers,</w:t>
      </w:r>
    </w:p>
    <w:p w:rsidR="003D7D7B" w:rsidRPr="004E515A" w:rsidRDefault="003D7D7B" w:rsidP="003D7D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E515A">
        <w:rPr>
          <w:rFonts w:ascii="Arial" w:hAnsi="Arial" w:cs="Arial"/>
          <w:sz w:val="24"/>
          <w:szCs w:val="24"/>
        </w:rPr>
        <w:t>Waterloo North Hydro (WNH) multiplies Waterloo North Hydro's total system</w:t>
      </w:r>
    </w:p>
    <w:p w:rsidR="003D7D7B" w:rsidRPr="004E515A" w:rsidRDefault="003D7D7B" w:rsidP="003D7D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 w:rsidRPr="004E515A">
        <w:rPr>
          <w:rFonts w:ascii="Arial" w:hAnsi="Arial" w:cs="Arial"/>
          <w:sz w:val="24"/>
          <w:szCs w:val="24"/>
        </w:rPr>
        <w:t>load</w:t>
      </w:r>
      <w:proofErr w:type="gramEnd"/>
      <w:r w:rsidRPr="004E515A">
        <w:rPr>
          <w:rFonts w:ascii="Arial" w:hAnsi="Arial" w:cs="Arial"/>
          <w:sz w:val="24"/>
          <w:szCs w:val="24"/>
        </w:rPr>
        <w:t xml:space="preserve"> (kWh) by the Class B second estimate ($/MWh converted to $/kWh) for</w:t>
      </w:r>
    </w:p>
    <w:p w:rsidR="003D7D7B" w:rsidRPr="004E515A" w:rsidRDefault="003D7D7B" w:rsidP="003D7D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 w:rsidRPr="004E515A">
        <w:rPr>
          <w:rFonts w:ascii="Arial" w:hAnsi="Arial" w:cs="Arial"/>
          <w:sz w:val="24"/>
          <w:szCs w:val="24"/>
        </w:rPr>
        <w:t>the</w:t>
      </w:r>
      <w:proofErr w:type="gramEnd"/>
      <w:r w:rsidRPr="004E515A">
        <w:rPr>
          <w:rFonts w:ascii="Arial" w:hAnsi="Arial" w:cs="Arial"/>
          <w:sz w:val="24"/>
          <w:szCs w:val="24"/>
        </w:rPr>
        <w:t xml:space="preserve"> settlement month. The dollar value associated with Class A usage is</w:t>
      </w:r>
    </w:p>
    <w:p w:rsidR="003D7D7B" w:rsidRPr="004E515A" w:rsidRDefault="003D7D7B" w:rsidP="003D7D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 w:rsidRPr="004E515A">
        <w:rPr>
          <w:rFonts w:ascii="Arial" w:hAnsi="Arial" w:cs="Arial"/>
          <w:sz w:val="24"/>
          <w:szCs w:val="24"/>
        </w:rPr>
        <w:t>subtracted</w:t>
      </w:r>
      <w:proofErr w:type="gramEnd"/>
      <w:r w:rsidRPr="004E515A">
        <w:rPr>
          <w:rFonts w:ascii="Arial" w:hAnsi="Arial" w:cs="Arial"/>
          <w:sz w:val="24"/>
          <w:szCs w:val="24"/>
        </w:rPr>
        <w:t xml:space="preserve"> from the total Global Adjustment amount to determine the Class B</w:t>
      </w:r>
    </w:p>
    <w:p w:rsidR="003D7D7B" w:rsidRPr="006D16FE" w:rsidRDefault="003D7D7B" w:rsidP="003D7D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 w:rsidRPr="004E515A">
        <w:rPr>
          <w:rFonts w:ascii="Arial" w:hAnsi="Arial" w:cs="Arial"/>
          <w:sz w:val="24"/>
          <w:szCs w:val="24"/>
        </w:rPr>
        <w:t xml:space="preserve">Global Adjustment amount (CT 148). </w:t>
      </w:r>
      <w:r w:rsidRPr="004E515A">
        <w:rPr>
          <w:rFonts w:ascii="Arial" w:hAnsi="Arial" w:cs="Arial"/>
          <w:b/>
          <w:sz w:val="24"/>
          <w:szCs w:val="24"/>
        </w:rPr>
        <w:t xml:space="preserve">This </w:t>
      </w:r>
      <w:proofErr w:type="gramStart"/>
      <w:r w:rsidRPr="004E515A">
        <w:rPr>
          <w:rFonts w:ascii="Arial" w:hAnsi="Arial" w:cs="Arial"/>
          <w:b/>
          <w:sz w:val="24"/>
          <w:szCs w:val="24"/>
        </w:rPr>
        <w:t>is recorded</w:t>
      </w:r>
      <w:proofErr w:type="gramEnd"/>
      <w:r w:rsidRPr="004E515A">
        <w:rPr>
          <w:rFonts w:ascii="Arial" w:hAnsi="Arial" w:cs="Arial"/>
          <w:b/>
          <w:sz w:val="24"/>
          <w:szCs w:val="24"/>
        </w:rPr>
        <w:t xml:space="preserve"> in 1589.</w:t>
      </w:r>
      <w:r w:rsidRPr="004E515A">
        <w:rPr>
          <w:rFonts w:ascii="Arial" w:hAnsi="Arial" w:cs="Arial"/>
          <w:color w:val="0070C1"/>
          <w:sz w:val="24"/>
          <w:szCs w:val="24"/>
        </w:rPr>
        <w:t xml:space="preserve"> </w:t>
      </w:r>
      <w:r w:rsidRPr="006D16FE">
        <w:rPr>
          <w:rFonts w:ascii="Arial" w:hAnsi="Arial" w:cs="Arial"/>
          <w:b/>
          <w:sz w:val="24"/>
          <w:szCs w:val="24"/>
        </w:rPr>
        <w:t>The RPP</w:t>
      </w:r>
    </w:p>
    <w:p w:rsidR="003D7D7B" w:rsidRDefault="003D7D7B" w:rsidP="003D7D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D16FE">
        <w:rPr>
          <w:rFonts w:ascii="Arial" w:hAnsi="Arial" w:cs="Arial"/>
          <w:b/>
          <w:sz w:val="24"/>
          <w:szCs w:val="24"/>
        </w:rPr>
        <w:tab/>
      </w:r>
      <w:proofErr w:type="gramStart"/>
      <w:r w:rsidRPr="006D16FE">
        <w:rPr>
          <w:rFonts w:ascii="Arial" w:hAnsi="Arial" w:cs="Arial"/>
          <w:b/>
          <w:sz w:val="24"/>
          <w:szCs w:val="24"/>
        </w:rPr>
        <w:t>portion</w:t>
      </w:r>
      <w:proofErr w:type="gramEnd"/>
      <w:r w:rsidRPr="006D16FE">
        <w:rPr>
          <w:rFonts w:ascii="Arial" w:hAnsi="Arial" w:cs="Arial"/>
          <w:b/>
          <w:sz w:val="24"/>
          <w:szCs w:val="24"/>
        </w:rPr>
        <w:t xml:space="preserve"> of GA is removed from 1589 as noted above and included on CT </w:t>
      </w:r>
      <w:r>
        <w:rPr>
          <w:rFonts w:ascii="Arial" w:hAnsi="Arial" w:cs="Arial"/>
          <w:b/>
          <w:sz w:val="24"/>
          <w:szCs w:val="24"/>
        </w:rPr>
        <w:tab/>
      </w:r>
      <w:r w:rsidRPr="006D16FE">
        <w:rPr>
          <w:rFonts w:ascii="Arial" w:hAnsi="Arial" w:cs="Arial"/>
          <w:b/>
          <w:sz w:val="24"/>
          <w:szCs w:val="24"/>
        </w:rPr>
        <w:t>1142.</w:t>
      </w:r>
      <w:r w:rsidRPr="004E515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4E515A">
        <w:rPr>
          <w:rFonts w:ascii="Arial" w:hAnsi="Arial" w:cs="Arial"/>
          <w:sz w:val="24"/>
          <w:szCs w:val="24"/>
        </w:rPr>
        <w:t>[Emphasis Added]</w:t>
      </w:r>
    </w:p>
    <w:p w:rsidR="003D7D7B" w:rsidRDefault="003D7D7B" w:rsidP="003D7D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D7D7B" w:rsidRDefault="003D7D7B" w:rsidP="003D7D7B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explain what exactly </w:t>
      </w:r>
      <w:proofErr w:type="gramStart"/>
      <w:r>
        <w:rPr>
          <w:rFonts w:ascii="Arial" w:hAnsi="Arial" w:cs="Arial"/>
          <w:sz w:val="24"/>
          <w:szCs w:val="24"/>
        </w:rPr>
        <w:t>is recorded</w:t>
      </w:r>
      <w:proofErr w:type="gramEnd"/>
      <w:r>
        <w:rPr>
          <w:rFonts w:ascii="Arial" w:hAnsi="Arial" w:cs="Arial"/>
          <w:sz w:val="24"/>
          <w:szCs w:val="24"/>
        </w:rPr>
        <w:t xml:space="preserve"> in Account 1589 for the GA expense? Please choose from the answers below:</w:t>
      </w:r>
    </w:p>
    <w:p w:rsidR="003D7D7B" w:rsidRDefault="003D7D7B" w:rsidP="003D7D7B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CT 148 on the IESO invoice – RPP portion of GA that is submitted on the IESO RPP claim form</w:t>
      </w:r>
    </w:p>
    <w:p w:rsidR="003D7D7B" w:rsidRDefault="003D7D7B" w:rsidP="003D7D7B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Total System Load (kWh) X GA 2</w:t>
      </w:r>
      <w:r w:rsidRPr="004E515A"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 estimate rate – Class A GA $ - RPP portion of GA that is submitted on the IESO RPP claim form</w:t>
      </w:r>
    </w:p>
    <w:p w:rsidR="003D7D7B" w:rsidRDefault="003D7D7B" w:rsidP="003D7D7B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[Total System Load (kWh) – Class A volume (kWh) – RPP volume (kWh)] x GA 2</w:t>
      </w:r>
      <w:r w:rsidRPr="00E53B8F"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 estimate rate</w:t>
      </w:r>
    </w:p>
    <w:p w:rsidR="003D7D7B" w:rsidRDefault="003D7D7B" w:rsidP="003D7D7B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Others – please explain in details. </w:t>
      </w:r>
    </w:p>
    <w:p w:rsidR="003D7D7B" w:rsidRDefault="003D7D7B" w:rsidP="003D7D7B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:rsidR="003D7D7B" w:rsidRDefault="003D7D7B" w:rsidP="003D7D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the answer above for the GA expense is not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>), please explain why Waterloo North does not use the total GA expense on the IESO invoice to allocate the RPP and Non-RPP portions of the GA.</w:t>
      </w:r>
    </w:p>
    <w:p w:rsidR="003D7D7B" w:rsidRDefault="003D7D7B" w:rsidP="003D7D7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Staff Question-4</w:t>
      </w:r>
    </w:p>
    <w:p w:rsidR="00B566F8" w:rsidRDefault="00B566F8" w:rsidP="00B566F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Ref: </w:t>
      </w:r>
      <w:r w:rsidRPr="00D261BB">
        <w:rPr>
          <w:rFonts w:ascii="Arial" w:hAnsi="Arial" w:cs="Arial"/>
          <w:b/>
          <w:sz w:val="24"/>
          <w:szCs w:val="24"/>
        </w:rPr>
        <w:t>Rate Generator</w:t>
      </w:r>
      <w:r w:rsidRPr="00CE70DA">
        <w:rPr>
          <w:rFonts w:ascii="Arial" w:hAnsi="Arial" w:cs="Arial"/>
          <w:b/>
          <w:sz w:val="24"/>
          <w:szCs w:val="24"/>
        </w:rPr>
        <w:t xml:space="preserve"> Model, Tab 3 – Continuity Schedule</w:t>
      </w:r>
    </w:p>
    <w:p w:rsidR="00B566F8" w:rsidRPr="00B566F8" w:rsidRDefault="00B566F8" w:rsidP="00B566F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566F8">
        <w:rPr>
          <w:rFonts w:ascii="Arial" w:hAnsi="Arial" w:cs="Arial"/>
          <w:sz w:val="24"/>
          <w:szCs w:val="24"/>
        </w:rPr>
        <w:t xml:space="preserve">OEB staff notes that there was a formula error in the IRM Rate Generator Model posted on the OEB’s webpage. </w:t>
      </w:r>
    </w:p>
    <w:p w:rsidR="00B566F8" w:rsidRPr="00B566F8" w:rsidRDefault="00B566F8" w:rsidP="00B566F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566F8" w:rsidRPr="00B566F8" w:rsidRDefault="00B566F8" w:rsidP="00B566F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566F8">
        <w:rPr>
          <w:rFonts w:ascii="Arial" w:hAnsi="Arial" w:cs="Arial"/>
          <w:sz w:val="24"/>
          <w:szCs w:val="24"/>
        </w:rPr>
        <w:t>On tab 3 the formula for cell BM41 is =</w:t>
      </w:r>
      <w:proofErr w:type="gramStart"/>
      <w:r w:rsidRPr="00B566F8">
        <w:rPr>
          <w:rFonts w:ascii="Arial" w:hAnsi="Arial" w:cs="Arial"/>
          <w:sz w:val="24"/>
          <w:szCs w:val="24"/>
        </w:rPr>
        <w:t>Sum(</w:t>
      </w:r>
      <w:proofErr w:type="gramEnd"/>
      <w:r w:rsidRPr="00B566F8">
        <w:rPr>
          <w:rFonts w:ascii="Arial" w:hAnsi="Arial" w:cs="Arial"/>
          <w:sz w:val="24"/>
          <w:szCs w:val="24"/>
        </w:rPr>
        <w:t>BM39,BM40) - BM37. The last portion of the formula (i.e. –</w:t>
      </w:r>
      <w:r w:rsidR="00992ACB">
        <w:rPr>
          <w:rFonts w:ascii="Arial" w:hAnsi="Arial" w:cs="Arial"/>
          <w:sz w:val="24"/>
          <w:szCs w:val="24"/>
        </w:rPr>
        <w:t xml:space="preserve"> </w:t>
      </w:r>
      <w:r w:rsidRPr="00B566F8">
        <w:rPr>
          <w:rFonts w:ascii="Arial" w:hAnsi="Arial" w:cs="Arial"/>
          <w:sz w:val="24"/>
          <w:szCs w:val="24"/>
        </w:rPr>
        <w:t xml:space="preserve">BM37) is an error. </w:t>
      </w:r>
    </w:p>
    <w:p w:rsidR="00B566F8" w:rsidRPr="00B566F8" w:rsidRDefault="00B566F8" w:rsidP="00B566F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566F8" w:rsidRPr="00B566F8" w:rsidRDefault="00B566F8" w:rsidP="00B566F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566F8">
        <w:rPr>
          <w:rFonts w:ascii="Arial" w:hAnsi="Arial" w:cs="Arial"/>
          <w:sz w:val="24"/>
          <w:szCs w:val="24"/>
        </w:rPr>
        <w:t xml:space="preserve">OEB staff has made the necessary correction to the Rate Generator Model and provided it along with these questions. </w:t>
      </w:r>
    </w:p>
    <w:p w:rsidR="00B566F8" w:rsidRPr="00B566F8" w:rsidRDefault="00B566F8" w:rsidP="00B566F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566F8" w:rsidRDefault="006170D3" w:rsidP="00B566F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confirm Waterloo Hydro</w:t>
      </w:r>
      <w:r w:rsidR="00B566F8" w:rsidRPr="00B566F8">
        <w:rPr>
          <w:rFonts w:ascii="Arial" w:hAnsi="Arial" w:cs="Arial"/>
          <w:sz w:val="24"/>
          <w:szCs w:val="24"/>
        </w:rPr>
        <w:t>’s acceptance of the revised model.</w:t>
      </w:r>
    </w:p>
    <w:p w:rsidR="002E0921" w:rsidRDefault="002E0921" w:rsidP="00B566F8">
      <w:pPr>
        <w:rPr>
          <w:rFonts w:ascii="Arial" w:hAnsi="Arial" w:cs="Arial"/>
          <w:sz w:val="24"/>
          <w:szCs w:val="24"/>
        </w:rPr>
      </w:pPr>
    </w:p>
    <w:p w:rsidR="002E0921" w:rsidRDefault="002E0921" w:rsidP="00B566F8">
      <w:pPr>
        <w:rPr>
          <w:rFonts w:ascii="Arial" w:hAnsi="Arial" w:cs="Arial"/>
          <w:sz w:val="24"/>
          <w:szCs w:val="24"/>
        </w:rPr>
      </w:pPr>
    </w:p>
    <w:p w:rsidR="002E0921" w:rsidRDefault="002E0921" w:rsidP="00B566F8">
      <w:pPr>
        <w:rPr>
          <w:rFonts w:ascii="Arial" w:hAnsi="Arial" w:cs="Arial"/>
          <w:sz w:val="24"/>
          <w:szCs w:val="24"/>
        </w:rPr>
      </w:pPr>
    </w:p>
    <w:p w:rsidR="002E0921" w:rsidRDefault="002E0921" w:rsidP="00B566F8">
      <w:pPr>
        <w:rPr>
          <w:rFonts w:ascii="Arial" w:hAnsi="Arial" w:cs="Arial"/>
          <w:sz w:val="24"/>
          <w:szCs w:val="24"/>
        </w:rPr>
      </w:pPr>
    </w:p>
    <w:p w:rsidR="002E0921" w:rsidRDefault="002E0921" w:rsidP="00B566F8">
      <w:pPr>
        <w:rPr>
          <w:rFonts w:ascii="Arial" w:hAnsi="Arial" w:cs="Arial"/>
          <w:sz w:val="24"/>
          <w:szCs w:val="24"/>
        </w:rPr>
      </w:pPr>
    </w:p>
    <w:p w:rsidR="002E0921" w:rsidRDefault="002E0921" w:rsidP="00B566F8">
      <w:pPr>
        <w:rPr>
          <w:rFonts w:ascii="Arial" w:hAnsi="Arial" w:cs="Arial"/>
          <w:sz w:val="24"/>
          <w:szCs w:val="24"/>
        </w:rPr>
      </w:pPr>
    </w:p>
    <w:p w:rsidR="002E0921" w:rsidRDefault="002E0921" w:rsidP="00B566F8">
      <w:pPr>
        <w:rPr>
          <w:rFonts w:ascii="Arial" w:hAnsi="Arial" w:cs="Arial"/>
          <w:sz w:val="24"/>
          <w:szCs w:val="24"/>
        </w:rPr>
      </w:pPr>
    </w:p>
    <w:p w:rsidR="002E0921" w:rsidRDefault="002E0921" w:rsidP="00B566F8">
      <w:pPr>
        <w:rPr>
          <w:rFonts w:ascii="Arial" w:hAnsi="Arial" w:cs="Arial"/>
          <w:sz w:val="24"/>
          <w:szCs w:val="24"/>
        </w:rPr>
      </w:pPr>
    </w:p>
    <w:p w:rsidR="00B566F8" w:rsidRDefault="00B566F8" w:rsidP="00B566F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Staff Question-5</w:t>
      </w:r>
    </w:p>
    <w:p w:rsidR="00B566F8" w:rsidRDefault="00B566F8" w:rsidP="00B566F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Ref: </w:t>
      </w:r>
      <w:r w:rsidRPr="00D261BB">
        <w:rPr>
          <w:rFonts w:ascii="Arial" w:hAnsi="Arial" w:cs="Arial"/>
          <w:b/>
          <w:sz w:val="24"/>
          <w:szCs w:val="24"/>
        </w:rPr>
        <w:t>Rate Generator</w:t>
      </w:r>
      <w:r>
        <w:rPr>
          <w:rFonts w:ascii="Arial" w:hAnsi="Arial" w:cs="Arial"/>
          <w:b/>
          <w:sz w:val="24"/>
          <w:szCs w:val="24"/>
        </w:rPr>
        <w:t xml:space="preserve"> Model, Tab 4 – Billing Det. for Def</w:t>
      </w:r>
      <w:r w:rsidR="00E476BC">
        <w:rPr>
          <w:rFonts w:ascii="Arial" w:hAnsi="Arial" w:cs="Arial"/>
          <w:b/>
          <w:sz w:val="24"/>
          <w:szCs w:val="24"/>
        </w:rPr>
        <w:t>-</w:t>
      </w:r>
      <w:proofErr w:type="spellStart"/>
      <w:r w:rsidR="00E476BC">
        <w:rPr>
          <w:rFonts w:ascii="Arial" w:hAnsi="Arial" w:cs="Arial"/>
          <w:b/>
          <w:sz w:val="24"/>
          <w:szCs w:val="24"/>
        </w:rPr>
        <w:t>Var</w:t>
      </w:r>
      <w:proofErr w:type="spellEnd"/>
      <w:r>
        <w:rPr>
          <w:noProof/>
          <w:lang w:val="en-US"/>
        </w:rPr>
        <w:drawing>
          <wp:inline distT="0" distB="0" distL="0" distR="0" wp14:anchorId="0CC664ED" wp14:editId="321A8821">
            <wp:extent cx="5499398" cy="244003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69153" cy="247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76BC" w:rsidRDefault="00E476BC" w:rsidP="00B566F8">
      <w:pPr>
        <w:rPr>
          <w:rFonts w:ascii="Arial" w:hAnsi="Arial" w:cs="Arial"/>
          <w:sz w:val="24"/>
          <w:szCs w:val="24"/>
        </w:rPr>
      </w:pPr>
      <w:r w:rsidRPr="00E476BC">
        <w:rPr>
          <w:rFonts w:ascii="Arial" w:hAnsi="Arial" w:cs="Arial"/>
          <w:sz w:val="24"/>
          <w:szCs w:val="24"/>
        </w:rPr>
        <w:t xml:space="preserve">Please confirm Waterloo Hydro has confirmed the accuracy of the data on Tab 4 – Billing Det. for Def-Var. </w:t>
      </w:r>
      <w:r>
        <w:rPr>
          <w:rFonts w:ascii="Arial" w:hAnsi="Arial" w:cs="Arial"/>
          <w:sz w:val="24"/>
          <w:szCs w:val="24"/>
        </w:rPr>
        <w:t xml:space="preserve">Once confirmed please update Tab 4. </w:t>
      </w:r>
    </w:p>
    <w:p w:rsidR="002E0921" w:rsidRDefault="002E0921" w:rsidP="00B566F8">
      <w:pPr>
        <w:rPr>
          <w:rFonts w:ascii="Arial" w:hAnsi="Arial" w:cs="Arial"/>
          <w:sz w:val="24"/>
          <w:szCs w:val="24"/>
        </w:rPr>
      </w:pPr>
    </w:p>
    <w:p w:rsidR="002E0921" w:rsidRDefault="002E0921" w:rsidP="002E092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Staff Question-6</w:t>
      </w:r>
    </w:p>
    <w:p w:rsidR="002E0921" w:rsidRDefault="00DC316B" w:rsidP="00BA5FA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Ref:</w:t>
      </w:r>
      <w:r w:rsidR="002E0921">
        <w:rPr>
          <w:rFonts w:ascii="Arial" w:hAnsi="Arial" w:cs="Arial"/>
          <w:b/>
          <w:sz w:val="24"/>
          <w:szCs w:val="24"/>
        </w:rPr>
        <w:t xml:space="preserve"> </w:t>
      </w:r>
      <w:r w:rsidR="00D752D2">
        <w:rPr>
          <w:rFonts w:ascii="Arial" w:hAnsi="Arial" w:cs="Arial"/>
          <w:b/>
          <w:sz w:val="24"/>
          <w:szCs w:val="24"/>
        </w:rPr>
        <w:t>Managers Summary</w:t>
      </w:r>
      <w:r w:rsidR="00AF5D5B">
        <w:rPr>
          <w:rFonts w:ascii="Arial" w:hAnsi="Arial" w:cs="Arial"/>
          <w:b/>
          <w:sz w:val="24"/>
          <w:szCs w:val="24"/>
        </w:rPr>
        <w:t>,</w:t>
      </w:r>
      <w:r w:rsidR="00D752D2">
        <w:rPr>
          <w:rFonts w:ascii="Arial" w:hAnsi="Arial" w:cs="Arial"/>
          <w:b/>
          <w:sz w:val="24"/>
          <w:szCs w:val="24"/>
        </w:rPr>
        <w:t xml:space="preserve"> Page 6</w:t>
      </w:r>
    </w:p>
    <w:p w:rsidR="008139DB" w:rsidRDefault="008139DB" w:rsidP="00BA5FA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Managers Summary</w:t>
      </w:r>
      <w:r w:rsidR="00AF5D5B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Page </w:t>
      </w:r>
      <w:r w:rsidR="00BA5FA1">
        <w:rPr>
          <w:rFonts w:ascii="Arial" w:hAnsi="Arial" w:cs="Arial"/>
          <w:b/>
          <w:sz w:val="24"/>
          <w:szCs w:val="24"/>
        </w:rPr>
        <w:t>14</w:t>
      </w:r>
    </w:p>
    <w:p w:rsidR="001052C6" w:rsidRDefault="007139D2" w:rsidP="00BA5FA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Rate Generator Model, Tabs </w:t>
      </w:r>
      <w:r w:rsidR="00D9145A">
        <w:rPr>
          <w:rFonts w:ascii="Arial" w:hAnsi="Arial" w:cs="Arial"/>
          <w:b/>
          <w:sz w:val="24"/>
          <w:szCs w:val="24"/>
        </w:rPr>
        <w:t>11</w:t>
      </w:r>
      <w:r w:rsidR="001052C6">
        <w:rPr>
          <w:rFonts w:ascii="Arial" w:hAnsi="Arial" w:cs="Arial"/>
          <w:b/>
          <w:sz w:val="24"/>
          <w:szCs w:val="24"/>
        </w:rPr>
        <w:t xml:space="preserve"> – RTSR – UTR’s &amp; Sub-Tx and </w:t>
      </w:r>
    </w:p>
    <w:p w:rsidR="001052C6" w:rsidRPr="001052C6" w:rsidRDefault="001052C6" w:rsidP="00BA5FA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       12 – RTSR – Historical Wholesale</w:t>
      </w:r>
    </w:p>
    <w:p w:rsidR="00E476BC" w:rsidRDefault="00D752D2" w:rsidP="00B566F8">
      <w:pPr>
        <w:rPr>
          <w:rFonts w:ascii="Arial" w:hAnsi="Arial" w:cs="Arial"/>
          <w:b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3903B6A3" wp14:editId="771CA4D5">
            <wp:extent cx="5943600" cy="190055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0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145A" w:rsidRPr="00D9145A" w:rsidRDefault="00BA5FA1" w:rsidP="00D752D2">
      <w:pPr>
        <w:rPr>
          <w:rFonts w:ascii="Arial" w:hAnsi="Arial" w:cs="Arial"/>
          <w:sz w:val="24"/>
          <w:szCs w:val="24"/>
        </w:rPr>
      </w:pPr>
      <w:r>
        <w:rPr>
          <w:noProof/>
          <w:lang w:val="en-US"/>
        </w:rPr>
        <w:lastRenderedPageBreak/>
        <w:drawing>
          <wp:inline distT="0" distB="0" distL="0" distR="0" wp14:anchorId="098F7D4A" wp14:editId="158FB725">
            <wp:extent cx="5943600" cy="15481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4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145A">
        <w:rPr>
          <w:rFonts w:ascii="Arial" w:hAnsi="Arial" w:cs="Arial"/>
          <w:sz w:val="24"/>
          <w:szCs w:val="24"/>
        </w:rPr>
        <w:t xml:space="preserve">OEB staff have unlocked the cells on </w:t>
      </w:r>
      <w:r w:rsidR="00D9145A" w:rsidRPr="004A5DB8">
        <w:rPr>
          <w:rFonts w:ascii="Arial" w:hAnsi="Arial" w:cs="Arial"/>
          <w:sz w:val="24"/>
          <w:szCs w:val="24"/>
        </w:rPr>
        <w:t xml:space="preserve">Tabs </w:t>
      </w:r>
      <w:r w:rsidR="004A5DB8" w:rsidRPr="004A5DB8">
        <w:rPr>
          <w:rFonts w:ascii="Arial" w:hAnsi="Arial" w:cs="Arial"/>
          <w:sz w:val="24"/>
          <w:szCs w:val="24"/>
        </w:rPr>
        <w:t>11 – RTSR – UTR’s &amp; Sub-Tx</w:t>
      </w:r>
      <w:r w:rsidR="00D9145A" w:rsidRPr="004A5DB8">
        <w:rPr>
          <w:rFonts w:ascii="Arial" w:hAnsi="Arial" w:cs="Arial"/>
          <w:sz w:val="24"/>
          <w:szCs w:val="24"/>
        </w:rPr>
        <w:t xml:space="preserve"> and</w:t>
      </w:r>
      <w:r w:rsidR="00D9145A">
        <w:rPr>
          <w:rFonts w:ascii="Arial" w:hAnsi="Arial" w:cs="Arial"/>
          <w:sz w:val="24"/>
          <w:szCs w:val="24"/>
        </w:rPr>
        <w:t xml:space="preserve"> 12</w:t>
      </w:r>
      <w:r w:rsidR="004A5DB8">
        <w:rPr>
          <w:rFonts w:ascii="Arial" w:hAnsi="Arial" w:cs="Arial"/>
          <w:sz w:val="24"/>
          <w:szCs w:val="24"/>
        </w:rPr>
        <w:t xml:space="preserve"> – RSTR – Historical </w:t>
      </w:r>
      <w:proofErr w:type="gramStart"/>
      <w:r w:rsidR="004A5DB8">
        <w:rPr>
          <w:rFonts w:ascii="Arial" w:hAnsi="Arial" w:cs="Arial"/>
          <w:sz w:val="24"/>
          <w:szCs w:val="24"/>
        </w:rPr>
        <w:t>Wholesale</w:t>
      </w:r>
      <w:r w:rsidR="00D9145A">
        <w:rPr>
          <w:rFonts w:ascii="Arial" w:hAnsi="Arial" w:cs="Arial"/>
          <w:sz w:val="24"/>
          <w:szCs w:val="24"/>
        </w:rPr>
        <w:t>,</w:t>
      </w:r>
      <w:proofErr w:type="gramEnd"/>
      <w:r w:rsidR="00D9145A">
        <w:rPr>
          <w:rFonts w:ascii="Arial" w:hAnsi="Arial" w:cs="Arial"/>
          <w:sz w:val="24"/>
          <w:szCs w:val="24"/>
        </w:rPr>
        <w:t xml:space="preserve"> please update the IRM Rate Generator model accordingly.</w:t>
      </w:r>
    </w:p>
    <w:p w:rsidR="00D9145A" w:rsidRDefault="00D9145A" w:rsidP="00D752D2">
      <w:pPr>
        <w:rPr>
          <w:rFonts w:ascii="Arial" w:hAnsi="Arial" w:cs="Arial"/>
          <w:b/>
          <w:sz w:val="24"/>
          <w:szCs w:val="24"/>
        </w:rPr>
      </w:pPr>
    </w:p>
    <w:p w:rsidR="00D752D2" w:rsidRDefault="00D752D2" w:rsidP="00D752D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Staff Question-7</w:t>
      </w:r>
    </w:p>
    <w:p w:rsidR="00D752D2" w:rsidRPr="00671CD7" w:rsidRDefault="00D752D2" w:rsidP="00671CD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Ref: </w:t>
      </w:r>
      <w:r w:rsidRPr="00671CD7">
        <w:rPr>
          <w:rFonts w:ascii="Arial" w:hAnsi="Arial" w:cs="Arial"/>
          <w:b/>
          <w:sz w:val="24"/>
          <w:szCs w:val="24"/>
        </w:rPr>
        <w:t>Managers Summary</w:t>
      </w:r>
      <w:r w:rsidR="00AF5D5B" w:rsidRPr="00671CD7">
        <w:rPr>
          <w:rFonts w:ascii="Arial" w:hAnsi="Arial" w:cs="Arial"/>
          <w:b/>
          <w:sz w:val="24"/>
          <w:szCs w:val="24"/>
        </w:rPr>
        <w:t>,</w:t>
      </w:r>
      <w:r w:rsidRPr="00671CD7">
        <w:rPr>
          <w:rFonts w:ascii="Arial" w:hAnsi="Arial" w:cs="Arial"/>
          <w:b/>
          <w:sz w:val="24"/>
          <w:szCs w:val="24"/>
        </w:rPr>
        <w:t xml:space="preserve"> Page 6</w:t>
      </w:r>
    </w:p>
    <w:p w:rsidR="00BA24A1" w:rsidRPr="00671CD7" w:rsidRDefault="00671CD7" w:rsidP="00671CD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71CD7">
        <w:rPr>
          <w:rFonts w:ascii="Arial" w:hAnsi="Arial" w:cs="Arial"/>
          <w:b/>
          <w:sz w:val="24"/>
          <w:szCs w:val="24"/>
        </w:rPr>
        <w:t xml:space="preserve">        Rate Generator Model, Tab 20 – Bill Impacts</w:t>
      </w:r>
    </w:p>
    <w:p w:rsidR="00B566F8" w:rsidRDefault="00D752D2" w:rsidP="00B566F8">
      <w:pPr>
        <w:rPr>
          <w:rFonts w:ascii="Arial" w:hAnsi="Arial" w:cs="Arial"/>
          <w:b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75A92693" wp14:editId="103E341D">
            <wp:extent cx="5943600" cy="1085215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8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7D7B" w:rsidRDefault="00187EA0" w:rsidP="00B566F8">
      <w:pPr>
        <w:rPr>
          <w:rFonts w:ascii="Arial" w:hAnsi="Arial" w:cs="Arial"/>
          <w:sz w:val="24"/>
          <w:szCs w:val="24"/>
        </w:rPr>
      </w:pPr>
      <w:r w:rsidRPr="00770DD5">
        <w:rPr>
          <w:rFonts w:ascii="Arial" w:hAnsi="Arial" w:cs="Arial"/>
          <w:sz w:val="24"/>
          <w:szCs w:val="24"/>
        </w:rPr>
        <w:t xml:space="preserve">OEB staff </w:t>
      </w:r>
      <w:r w:rsidR="00770DD5">
        <w:rPr>
          <w:rFonts w:ascii="Arial" w:hAnsi="Arial" w:cs="Arial"/>
          <w:sz w:val="24"/>
          <w:szCs w:val="24"/>
        </w:rPr>
        <w:t xml:space="preserve">have updated cell M33 to Demand – Interval from Interval for the Large Use Service Classification, please confirm this is correct. The RTSR – Network and RTSR – Connection and/or Line </w:t>
      </w:r>
      <w:r w:rsidR="00422A42">
        <w:rPr>
          <w:rFonts w:ascii="Arial" w:hAnsi="Arial" w:cs="Arial"/>
          <w:sz w:val="24"/>
          <w:szCs w:val="24"/>
        </w:rPr>
        <w:t>and Transformation Connection charges are now popula</w:t>
      </w:r>
      <w:r w:rsidR="00E97292">
        <w:rPr>
          <w:rFonts w:ascii="Arial" w:hAnsi="Arial" w:cs="Arial"/>
          <w:sz w:val="24"/>
          <w:szCs w:val="24"/>
        </w:rPr>
        <w:t>ting in the Bill Impacts Tab.</w:t>
      </w:r>
    </w:p>
    <w:p w:rsidR="0069579D" w:rsidRDefault="0069579D" w:rsidP="00C9609E">
      <w:pPr>
        <w:rPr>
          <w:rFonts w:ascii="Arial" w:hAnsi="Arial" w:cs="Arial"/>
          <w:b/>
          <w:sz w:val="24"/>
          <w:szCs w:val="24"/>
        </w:rPr>
      </w:pPr>
    </w:p>
    <w:p w:rsidR="0069579D" w:rsidRDefault="0069579D" w:rsidP="00C9609E">
      <w:pPr>
        <w:rPr>
          <w:rFonts w:ascii="Arial" w:hAnsi="Arial" w:cs="Arial"/>
          <w:b/>
          <w:sz w:val="24"/>
          <w:szCs w:val="24"/>
        </w:rPr>
      </w:pPr>
    </w:p>
    <w:p w:rsidR="0069579D" w:rsidRDefault="0069579D" w:rsidP="00C9609E">
      <w:pPr>
        <w:rPr>
          <w:rFonts w:ascii="Arial" w:hAnsi="Arial" w:cs="Arial"/>
          <w:b/>
          <w:sz w:val="24"/>
          <w:szCs w:val="24"/>
        </w:rPr>
      </w:pPr>
    </w:p>
    <w:p w:rsidR="0069579D" w:rsidRDefault="0069579D" w:rsidP="00C9609E">
      <w:pPr>
        <w:rPr>
          <w:rFonts w:ascii="Arial" w:hAnsi="Arial" w:cs="Arial"/>
          <w:b/>
          <w:sz w:val="24"/>
          <w:szCs w:val="24"/>
        </w:rPr>
      </w:pPr>
    </w:p>
    <w:p w:rsidR="0069579D" w:rsidRDefault="0069579D" w:rsidP="00C9609E">
      <w:pPr>
        <w:rPr>
          <w:rFonts w:ascii="Arial" w:hAnsi="Arial" w:cs="Arial"/>
          <w:b/>
          <w:sz w:val="24"/>
          <w:szCs w:val="24"/>
        </w:rPr>
      </w:pPr>
    </w:p>
    <w:p w:rsidR="0069579D" w:rsidRDefault="0069579D" w:rsidP="00C9609E">
      <w:pPr>
        <w:rPr>
          <w:rFonts w:ascii="Arial" w:hAnsi="Arial" w:cs="Arial"/>
          <w:b/>
          <w:sz w:val="24"/>
          <w:szCs w:val="24"/>
        </w:rPr>
      </w:pPr>
    </w:p>
    <w:p w:rsidR="0069579D" w:rsidRDefault="0069579D" w:rsidP="00C9609E">
      <w:pPr>
        <w:rPr>
          <w:rFonts w:ascii="Arial" w:hAnsi="Arial" w:cs="Arial"/>
          <w:b/>
          <w:sz w:val="24"/>
          <w:szCs w:val="24"/>
        </w:rPr>
      </w:pPr>
    </w:p>
    <w:p w:rsidR="0069579D" w:rsidRDefault="0069579D" w:rsidP="00C9609E">
      <w:pPr>
        <w:rPr>
          <w:rFonts w:ascii="Arial" w:hAnsi="Arial" w:cs="Arial"/>
          <w:b/>
          <w:sz w:val="24"/>
          <w:szCs w:val="24"/>
        </w:rPr>
      </w:pPr>
    </w:p>
    <w:p w:rsidR="00C9609E" w:rsidRDefault="00C9609E" w:rsidP="00C9609E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lastRenderedPageBreak/>
        <w:t xml:space="preserve">Staff </w:t>
      </w:r>
      <w:r>
        <w:rPr>
          <w:rFonts w:ascii="Arial" w:hAnsi="Arial" w:cs="Arial"/>
          <w:b/>
          <w:sz w:val="24"/>
          <w:szCs w:val="24"/>
        </w:rPr>
        <w:t>Question-8</w:t>
      </w:r>
    </w:p>
    <w:p w:rsidR="00C9609E" w:rsidRPr="00671CD7" w:rsidRDefault="00C9609E" w:rsidP="00C9609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Ref: </w:t>
      </w:r>
    </w:p>
    <w:p w:rsidR="00C9609E" w:rsidRDefault="00C9609E" w:rsidP="00C9609E">
      <w:pPr>
        <w:rPr>
          <w:rFonts w:ascii="Arial" w:hAnsi="Arial" w:cs="Arial"/>
          <w:b/>
          <w:sz w:val="24"/>
          <w:szCs w:val="24"/>
        </w:rPr>
      </w:pPr>
      <w:r w:rsidRPr="00671CD7">
        <w:rPr>
          <w:rFonts w:ascii="Arial" w:hAnsi="Arial" w:cs="Arial"/>
          <w:b/>
          <w:sz w:val="24"/>
          <w:szCs w:val="24"/>
        </w:rPr>
        <w:t xml:space="preserve">        Rate Generator Model, Tab 20 – Bill Impacts</w:t>
      </w:r>
    </w:p>
    <w:p w:rsidR="00017EA2" w:rsidRDefault="00017EA2" w:rsidP="00C9609E">
      <w:pPr>
        <w:rPr>
          <w:rFonts w:ascii="Arial" w:hAnsi="Arial" w:cs="Arial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2EDF7395" wp14:editId="5E5B9BED">
            <wp:extent cx="5943600" cy="3343910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609E" w:rsidRDefault="00C9609E" w:rsidP="00C9609E">
      <w:pPr>
        <w:rPr>
          <w:rFonts w:ascii="Arial" w:hAnsi="Arial" w:cs="Arial"/>
        </w:rPr>
      </w:pPr>
      <w:r>
        <w:rPr>
          <w:rFonts w:ascii="Arial" w:hAnsi="Arial" w:cs="Arial"/>
        </w:rPr>
        <w:t>Has Waterloo Hydro</w:t>
      </w:r>
      <w:r>
        <w:rPr>
          <w:rFonts w:ascii="Arial" w:hAnsi="Arial" w:cs="Arial"/>
        </w:rPr>
        <w:t xml:space="preserve"> </w:t>
      </w:r>
      <w:r w:rsidR="00673B26">
        <w:rPr>
          <w:rFonts w:ascii="Arial" w:hAnsi="Arial" w:cs="Arial"/>
        </w:rPr>
        <w:t xml:space="preserve">considered requesting the </w:t>
      </w:r>
      <w:proofErr w:type="gramStart"/>
      <w:r w:rsidR="00673B26">
        <w:rPr>
          <w:rFonts w:ascii="Arial" w:hAnsi="Arial" w:cs="Arial"/>
        </w:rPr>
        <w:t>DVA</w:t>
      </w:r>
      <w:r>
        <w:rPr>
          <w:rFonts w:ascii="Arial" w:hAnsi="Arial" w:cs="Arial"/>
        </w:rPr>
        <w:t xml:space="preserve"> rate rider disposition period</w:t>
      </w:r>
      <w:proofErr w:type="gramEnd"/>
      <w:r>
        <w:rPr>
          <w:rFonts w:ascii="Arial" w:hAnsi="Arial" w:cs="Arial"/>
        </w:rPr>
        <w:t xml:space="preserve"> be over 24 months for the </w:t>
      </w:r>
      <w:r w:rsidR="00673B26">
        <w:rPr>
          <w:rFonts w:ascii="Arial" w:hAnsi="Arial" w:cs="Arial"/>
        </w:rPr>
        <w:t>Street Lighting</w:t>
      </w:r>
      <w:r>
        <w:rPr>
          <w:rFonts w:ascii="Arial" w:hAnsi="Arial" w:cs="Arial"/>
        </w:rPr>
        <w:t xml:space="preserve"> rate class, in order to mitigate the bill impact of greater than 10%?</w:t>
      </w:r>
    </w:p>
    <w:p w:rsidR="00C9609E" w:rsidRPr="00770DD5" w:rsidRDefault="00C9609E" w:rsidP="00B566F8">
      <w:pPr>
        <w:rPr>
          <w:rFonts w:ascii="Arial" w:hAnsi="Arial" w:cs="Arial"/>
          <w:sz w:val="24"/>
          <w:szCs w:val="24"/>
        </w:rPr>
      </w:pPr>
    </w:p>
    <w:sectPr w:rsidR="00C9609E" w:rsidRPr="00770DD5" w:rsidSect="00EA0919">
      <w:pgSz w:w="12240" w:h="15840" w:code="1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81843"/>
    <w:multiLevelType w:val="hybridMultilevel"/>
    <w:tmpl w:val="F4FE52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574F5"/>
    <w:multiLevelType w:val="hybridMultilevel"/>
    <w:tmpl w:val="512C6D10"/>
    <w:lvl w:ilvl="0" w:tplc="80303286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52736"/>
    <w:multiLevelType w:val="hybridMultilevel"/>
    <w:tmpl w:val="500EA85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D4592"/>
    <w:multiLevelType w:val="hybridMultilevel"/>
    <w:tmpl w:val="DC1A503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808AF"/>
    <w:multiLevelType w:val="hybridMultilevel"/>
    <w:tmpl w:val="B09CBCEC"/>
    <w:lvl w:ilvl="0" w:tplc="D9E256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6327C4"/>
    <w:multiLevelType w:val="hybridMultilevel"/>
    <w:tmpl w:val="AE1E449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170AD"/>
    <w:multiLevelType w:val="hybridMultilevel"/>
    <w:tmpl w:val="9AF07AEE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F7B45"/>
    <w:multiLevelType w:val="hybridMultilevel"/>
    <w:tmpl w:val="249CB9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214EF"/>
    <w:multiLevelType w:val="hybridMultilevel"/>
    <w:tmpl w:val="C59CA1CC"/>
    <w:lvl w:ilvl="0" w:tplc="8B6C37C4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F7F76"/>
    <w:multiLevelType w:val="hybridMultilevel"/>
    <w:tmpl w:val="460A55F0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F992221"/>
    <w:multiLevelType w:val="hybridMultilevel"/>
    <w:tmpl w:val="21F4062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40645D"/>
    <w:multiLevelType w:val="hybridMultilevel"/>
    <w:tmpl w:val="6E5AD682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1B2E5D"/>
    <w:multiLevelType w:val="hybridMultilevel"/>
    <w:tmpl w:val="8B8AD744"/>
    <w:lvl w:ilvl="0" w:tplc="39E6809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5A77D6"/>
    <w:multiLevelType w:val="hybridMultilevel"/>
    <w:tmpl w:val="C59CA1CC"/>
    <w:lvl w:ilvl="0" w:tplc="8B6C37C4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22C9D"/>
    <w:multiLevelType w:val="hybridMultilevel"/>
    <w:tmpl w:val="6E5AD682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F05669"/>
    <w:multiLevelType w:val="hybridMultilevel"/>
    <w:tmpl w:val="412223B0"/>
    <w:lvl w:ilvl="0" w:tplc="10090017">
      <w:start w:val="1"/>
      <w:numFmt w:val="lowerLetter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E371CF"/>
    <w:multiLevelType w:val="hybridMultilevel"/>
    <w:tmpl w:val="0DF60502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235D00"/>
    <w:multiLevelType w:val="hybridMultilevel"/>
    <w:tmpl w:val="6E5AD682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BA66F5"/>
    <w:multiLevelType w:val="hybridMultilevel"/>
    <w:tmpl w:val="29CAB0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B61263"/>
    <w:multiLevelType w:val="hybridMultilevel"/>
    <w:tmpl w:val="102E1F06"/>
    <w:lvl w:ilvl="0" w:tplc="10090017">
      <w:start w:val="1"/>
      <w:numFmt w:val="lowerLetter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1AA03A7"/>
    <w:multiLevelType w:val="hybridMultilevel"/>
    <w:tmpl w:val="B072AE36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D2073D"/>
    <w:multiLevelType w:val="hybridMultilevel"/>
    <w:tmpl w:val="9D788B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F029E6"/>
    <w:multiLevelType w:val="hybridMultilevel"/>
    <w:tmpl w:val="1A98A2D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36038A"/>
    <w:multiLevelType w:val="hybridMultilevel"/>
    <w:tmpl w:val="FE802948"/>
    <w:lvl w:ilvl="0" w:tplc="4850A7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294C82"/>
    <w:multiLevelType w:val="hybridMultilevel"/>
    <w:tmpl w:val="52B2D3B4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951BB4"/>
    <w:multiLevelType w:val="hybridMultilevel"/>
    <w:tmpl w:val="28E8C6B2"/>
    <w:lvl w:ilvl="0" w:tplc="88140018">
      <w:start w:val="1"/>
      <w:numFmt w:val="lowerLetter"/>
      <w:lvlText w:val="%1)"/>
      <w:lvlJc w:val="left"/>
      <w:pPr>
        <w:ind w:left="720" w:hanging="360"/>
      </w:pPr>
    </w:lvl>
    <w:lvl w:ilvl="1" w:tplc="1009001B">
      <w:start w:val="1"/>
      <w:numFmt w:val="lowerRoman"/>
      <w:lvlText w:val="%2."/>
      <w:lvlJc w:val="righ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343399"/>
    <w:multiLevelType w:val="hybridMultilevel"/>
    <w:tmpl w:val="EF5064C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2D6F0B"/>
    <w:multiLevelType w:val="hybridMultilevel"/>
    <w:tmpl w:val="ADBA401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0A6A11"/>
    <w:multiLevelType w:val="hybridMultilevel"/>
    <w:tmpl w:val="15C45F6A"/>
    <w:lvl w:ilvl="0" w:tplc="BD3C2368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64222C"/>
    <w:multiLevelType w:val="hybridMultilevel"/>
    <w:tmpl w:val="12DA9BF8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7417BB"/>
    <w:multiLevelType w:val="hybridMultilevel"/>
    <w:tmpl w:val="88D4D8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2"/>
  </w:num>
  <w:num w:numId="4">
    <w:abstractNumId w:val="29"/>
  </w:num>
  <w:num w:numId="5">
    <w:abstractNumId w:val="11"/>
  </w:num>
  <w:num w:numId="6">
    <w:abstractNumId w:val="8"/>
  </w:num>
  <w:num w:numId="7">
    <w:abstractNumId w:val="17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24"/>
  </w:num>
  <w:num w:numId="13">
    <w:abstractNumId w:val="3"/>
  </w:num>
  <w:num w:numId="14">
    <w:abstractNumId w:val="1"/>
  </w:num>
  <w:num w:numId="15">
    <w:abstractNumId w:val="28"/>
  </w:num>
  <w:num w:numId="16">
    <w:abstractNumId w:val="6"/>
  </w:num>
  <w:num w:numId="17">
    <w:abstractNumId w:val="20"/>
  </w:num>
  <w:num w:numId="18">
    <w:abstractNumId w:val="26"/>
  </w:num>
  <w:num w:numId="19">
    <w:abstractNumId w:val="27"/>
  </w:num>
  <w:num w:numId="20">
    <w:abstractNumId w:val="10"/>
  </w:num>
  <w:num w:numId="21">
    <w:abstractNumId w:val="25"/>
  </w:num>
  <w:num w:numId="22">
    <w:abstractNumId w:val="9"/>
  </w:num>
  <w:num w:numId="23">
    <w:abstractNumId w:val="23"/>
  </w:num>
  <w:num w:numId="24">
    <w:abstractNumId w:val="21"/>
  </w:num>
  <w:num w:numId="25">
    <w:abstractNumId w:val="2"/>
  </w:num>
  <w:num w:numId="26">
    <w:abstractNumId w:val="15"/>
  </w:num>
  <w:num w:numId="27">
    <w:abstractNumId w:val="19"/>
  </w:num>
  <w:num w:numId="28">
    <w:abstractNumId w:val="7"/>
  </w:num>
  <w:num w:numId="29">
    <w:abstractNumId w:val="30"/>
  </w:num>
  <w:num w:numId="30">
    <w:abstractNumId w:val="18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B52"/>
    <w:rsid w:val="00017EA2"/>
    <w:rsid w:val="0003073C"/>
    <w:rsid w:val="00035337"/>
    <w:rsid w:val="00054071"/>
    <w:rsid w:val="0006126D"/>
    <w:rsid w:val="00067F57"/>
    <w:rsid w:val="00071BEC"/>
    <w:rsid w:val="00074514"/>
    <w:rsid w:val="000832D4"/>
    <w:rsid w:val="00090160"/>
    <w:rsid w:val="000B3E7E"/>
    <w:rsid w:val="000D223C"/>
    <w:rsid w:val="000E4006"/>
    <w:rsid w:val="000F1E3A"/>
    <w:rsid w:val="001052C6"/>
    <w:rsid w:val="00164E99"/>
    <w:rsid w:val="00183CC8"/>
    <w:rsid w:val="00187E9B"/>
    <w:rsid w:val="00187EA0"/>
    <w:rsid w:val="001927C2"/>
    <w:rsid w:val="001A4DCD"/>
    <w:rsid w:val="00203092"/>
    <w:rsid w:val="002208C0"/>
    <w:rsid w:val="00224C06"/>
    <w:rsid w:val="0025687C"/>
    <w:rsid w:val="00274A48"/>
    <w:rsid w:val="00291CCC"/>
    <w:rsid w:val="002A6415"/>
    <w:rsid w:val="002B7B7C"/>
    <w:rsid w:val="002C2BF2"/>
    <w:rsid w:val="002C7EF6"/>
    <w:rsid w:val="002E0921"/>
    <w:rsid w:val="002F4756"/>
    <w:rsid w:val="00302509"/>
    <w:rsid w:val="003049C5"/>
    <w:rsid w:val="00340C00"/>
    <w:rsid w:val="003702D1"/>
    <w:rsid w:val="00373FAD"/>
    <w:rsid w:val="003777B5"/>
    <w:rsid w:val="003832E7"/>
    <w:rsid w:val="003A20A0"/>
    <w:rsid w:val="003A58B0"/>
    <w:rsid w:val="003D7D7B"/>
    <w:rsid w:val="00400DFC"/>
    <w:rsid w:val="00412DC6"/>
    <w:rsid w:val="00422A42"/>
    <w:rsid w:val="004377B0"/>
    <w:rsid w:val="00472C81"/>
    <w:rsid w:val="00475032"/>
    <w:rsid w:val="004859EF"/>
    <w:rsid w:val="004A5DB8"/>
    <w:rsid w:val="0051609C"/>
    <w:rsid w:val="005164F5"/>
    <w:rsid w:val="0052560F"/>
    <w:rsid w:val="005666F2"/>
    <w:rsid w:val="00572064"/>
    <w:rsid w:val="00584369"/>
    <w:rsid w:val="00587A35"/>
    <w:rsid w:val="005F4693"/>
    <w:rsid w:val="006170D3"/>
    <w:rsid w:val="0064279A"/>
    <w:rsid w:val="00651C98"/>
    <w:rsid w:val="00671CD7"/>
    <w:rsid w:val="00673B26"/>
    <w:rsid w:val="0069579D"/>
    <w:rsid w:val="006A5D23"/>
    <w:rsid w:val="006E3D58"/>
    <w:rsid w:val="00704EE5"/>
    <w:rsid w:val="007066E2"/>
    <w:rsid w:val="007139D2"/>
    <w:rsid w:val="00722640"/>
    <w:rsid w:val="0073197E"/>
    <w:rsid w:val="00746080"/>
    <w:rsid w:val="00770DD5"/>
    <w:rsid w:val="00772B57"/>
    <w:rsid w:val="00781D04"/>
    <w:rsid w:val="007C2D45"/>
    <w:rsid w:val="007D189D"/>
    <w:rsid w:val="007F49EB"/>
    <w:rsid w:val="00805FDA"/>
    <w:rsid w:val="00812C1B"/>
    <w:rsid w:val="008139DB"/>
    <w:rsid w:val="00835AD0"/>
    <w:rsid w:val="008747B3"/>
    <w:rsid w:val="008813C3"/>
    <w:rsid w:val="008926F0"/>
    <w:rsid w:val="008964E8"/>
    <w:rsid w:val="008A48F6"/>
    <w:rsid w:val="008E6045"/>
    <w:rsid w:val="0090113B"/>
    <w:rsid w:val="0093258A"/>
    <w:rsid w:val="0094373C"/>
    <w:rsid w:val="00946DEE"/>
    <w:rsid w:val="00951E2B"/>
    <w:rsid w:val="00952939"/>
    <w:rsid w:val="00961EA0"/>
    <w:rsid w:val="00992ACB"/>
    <w:rsid w:val="009A5C44"/>
    <w:rsid w:val="009B03AF"/>
    <w:rsid w:val="009B7B46"/>
    <w:rsid w:val="009C4216"/>
    <w:rsid w:val="009D5F4B"/>
    <w:rsid w:val="009E626E"/>
    <w:rsid w:val="009E7CBF"/>
    <w:rsid w:val="00A07077"/>
    <w:rsid w:val="00A50DD0"/>
    <w:rsid w:val="00A516B0"/>
    <w:rsid w:val="00A5620A"/>
    <w:rsid w:val="00AA06D9"/>
    <w:rsid w:val="00AC2406"/>
    <w:rsid w:val="00AD3FCF"/>
    <w:rsid w:val="00AF5D5B"/>
    <w:rsid w:val="00B03802"/>
    <w:rsid w:val="00B069AA"/>
    <w:rsid w:val="00B23A36"/>
    <w:rsid w:val="00B25576"/>
    <w:rsid w:val="00B25EF5"/>
    <w:rsid w:val="00B50EB2"/>
    <w:rsid w:val="00B566F8"/>
    <w:rsid w:val="00B6722A"/>
    <w:rsid w:val="00B82D78"/>
    <w:rsid w:val="00BA24A1"/>
    <w:rsid w:val="00BA434C"/>
    <w:rsid w:val="00BA5FA1"/>
    <w:rsid w:val="00BD4F65"/>
    <w:rsid w:val="00C06F9E"/>
    <w:rsid w:val="00C13E6B"/>
    <w:rsid w:val="00C2370B"/>
    <w:rsid w:val="00C624D5"/>
    <w:rsid w:val="00C848A0"/>
    <w:rsid w:val="00C878C5"/>
    <w:rsid w:val="00C9609E"/>
    <w:rsid w:val="00C96AEA"/>
    <w:rsid w:val="00CC0B6D"/>
    <w:rsid w:val="00CE1CD3"/>
    <w:rsid w:val="00CE4F01"/>
    <w:rsid w:val="00D55546"/>
    <w:rsid w:val="00D6213C"/>
    <w:rsid w:val="00D647C0"/>
    <w:rsid w:val="00D752D2"/>
    <w:rsid w:val="00D77694"/>
    <w:rsid w:val="00D77B0F"/>
    <w:rsid w:val="00D9145A"/>
    <w:rsid w:val="00DB6B52"/>
    <w:rsid w:val="00DC316B"/>
    <w:rsid w:val="00DE5488"/>
    <w:rsid w:val="00DE75AC"/>
    <w:rsid w:val="00DF5A52"/>
    <w:rsid w:val="00E17C58"/>
    <w:rsid w:val="00E231C2"/>
    <w:rsid w:val="00E429DA"/>
    <w:rsid w:val="00E476BC"/>
    <w:rsid w:val="00E62C2A"/>
    <w:rsid w:val="00E8586E"/>
    <w:rsid w:val="00E96A06"/>
    <w:rsid w:val="00E97292"/>
    <w:rsid w:val="00EA0919"/>
    <w:rsid w:val="00EB5240"/>
    <w:rsid w:val="00EC0B55"/>
    <w:rsid w:val="00F034BF"/>
    <w:rsid w:val="00F233A3"/>
    <w:rsid w:val="00F26D30"/>
    <w:rsid w:val="00F57152"/>
    <w:rsid w:val="00F7362C"/>
    <w:rsid w:val="00F92F61"/>
    <w:rsid w:val="00FB6F10"/>
    <w:rsid w:val="00FC4CF8"/>
    <w:rsid w:val="00FC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88B73"/>
  <w15:docId w15:val="{9B140FE6-257D-48D2-A8C2-31077FD8A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064"/>
    <w:pPr>
      <w:ind w:left="720"/>
      <w:contextualSpacing/>
    </w:pPr>
  </w:style>
  <w:style w:type="paragraph" w:customStyle="1" w:styleId="Default">
    <w:name w:val="Default"/>
    <w:rsid w:val="00A070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2D1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B82D7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B82D7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B82D7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92F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2F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2F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F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2F61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DE7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205C2-D42D-4485-8D9E-2482786B5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6</Pages>
  <Words>1034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OEB</Company>
  <LinksUpToDate>false</LinksUpToDate>
  <CharactersWithSpaces>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abramoma</dc:creator>
  <cp:lastModifiedBy>Kelli Benincasa</cp:lastModifiedBy>
  <cp:revision>11</cp:revision>
  <cp:lastPrinted>2014-09-29T14:43:00Z</cp:lastPrinted>
  <dcterms:created xsi:type="dcterms:W3CDTF">2019-09-13T15:25:00Z</dcterms:created>
  <dcterms:modified xsi:type="dcterms:W3CDTF">2019-09-16T19:18:00Z</dcterms:modified>
</cp:coreProperties>
</file>