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90624" w14:textId="51C2AC49" w:rsidR="00746080" w:rsidRPr="00394351" w:rsidRDefault="001B29DD" w:rsidP="00D0773D">
      <w:pPr>
        <w:jc w:val="center"/>
        <w:rPr>
          <w:rFonts w:ascii="Arial" w:hAnsi="Arial" w:cs="Arial"/>
          <w:b/>
          <w:sz w:val="28"/>
          <w:szCs w:val="28"/>
        </w:rPr>
      </w:pPr>
      <w:r>
        <w:rPr>
          <w:rFonts w:ascii="Arial" w:hAnsi="Arial" w:cs="Arial"/>
          <w:b/>
          <w:sz w:val="28"/>
          <w:szCs w:val="28"/>
        </w:rPr>
        <w:t>Canadian Niagara Power Inc</w:t>
      </w:r>
      <w:r w:rsidR="002F334C">
        <w:rPr>
          <w:rFonts w:ascii="Arial" w:hAnsi="Arial" w:cs="Arial"/>
          <w:b/>
          <w:sz w:val="28"/>
          <w:szCs w:val="28"/>
        </w:rPr>
        <w:t xml:space="preserve">. </w:t>
      </w:r>
      <w:r w:rsidR="002F218C">
        <w:rPr>
          <w:rFonts w:ascii="Arial" w:hAnsi="Arial" w:cs="Arial"/>
          <w:b/>
          <w:sz w:val="28"/>
          <w:szCs w:val="28"/>
        </w:rPr>
        <w:t>(</w:t>
      </w:r>
      <w:r w:rsidR="00E96915">
        <w:rPr>
          <w:rFonts w:ascii="Arial" w:hAnsi="Arial" w:cs="Arial"/>
          <w:b/>
          <w:sz w:val="28"/>
          <w:szCs w:val="28"/>
        </w:rPr>
        <w:t>C</w:t>
      </w:r>
      <w:r>
        <w:rPr>
          <w:rFonts w:ascii="Arial" w:hAnsi="Arial" w:cs="Arial"/>
          <w:b/>
          <w:sz w:val="28"/>
          <w:szCs w:val="28"/>
        </w:rPr>
        <w:t>anadian Niagara Power)</w:t>
      </w:r>
    </w:p>
    <w:p w14:paraId="0B5D6667" w14:textId="1817AB55" w:rsidR="002F218C" w:rsidRPr="002F218C" w:rsidRDefault="00866E79" w:rsidP="00394351">
      <w:pPr>
        <w:jc w:val="center"/>
        <w:rPr>
          <w:rFonts w:ascii="Arial" w:hAnsi="Arial" w:cs="Arial"/>
          <w:b/>
          <w:sz w:val="24"/>
          <w:szCs w:val="24"/>
        </w:rPr>
      </w:pPr>
      <w:r>
        <w:rPr>
          <w:rFonts w:ascii="Arial" w:hAnsi="Arial" w:cs="Arial"/>
          <w:b/>
          <w:sz w:val="24"/>
          <w:szCs w:val="24"/>
        </w:rPr>
        <w:t>20</w:t>
      </w:r>
      <w:r w:rsidR="00E96915">
        <w:rPr>
          <w:rFonts w:ascii="Arial" w:hAnsi="Arial" w:cs="Arial"/>
          <w:b/>
          <w:sz w:val="24"/>
          <w:szCs w:val="24"/>
        </w:rPr>
        <w:t>20</w:t>
      </w:r>
      <w:r w:rsidR="0021184B" w:rsidRPr="002F218C">
        <w:rPr>
          <w:rFonts w:ascii="Arial" w:hAnsi="Arial" w:cs="Arial"/>
          <w:b/>
          <w:sz w:val="24"/>
          <w:szCs w:val="24"/>
        </w:rPr>
        <w:t xml:space="preserve"> </w:t>
      </w:r>
      <w:r w:rsidR="00D80EDE" w:rsidRPr="002F218C">
        <w:rPr>
          <w:rFonts w:ascii="Arial" w:hAnsi="Arial" w:cs="Arial"/>
          <w:b/>
          <w:sz w:val="24"/>
          <w:szCs w:val="24"/>
        </w:rPr>
        <w:t>IRM</w:t>
      </w:r>
      <w:r w:rsidR="002F218C" w:rsidRPr="002F218C">
        <w:rPr>
          <w:rFonts w:ascii="Arial" w:hAnsi="Arial" w:cs="Arial"/>
          <w:b/>
          <w:sz w:val="24"/>
          <w:szCs w:val="24"/>
        </w:rPr>
        <w:t xml:space="preserve"> Application</w:t>
      </w:r>
    </w:p>
    <w:p w14:paraId="192E304C" w14:textId="267CF57F" w:rsidR="00394351" w:rsidRPr="002F218C" w:rsidRDefault="00D0773D" w:rsidP="00394351">
      <w:pPr>
        <w:jc w:val="center"/>
        <w:rPr>
          <w:rFonts w:ascii="Arial" w:hAnsi="Arial" w:cs="Arial"/>
          <w:b/>
          <w:sz w:val="24"/>
          <w:szCs w:val="24"/>
        </w:rPr>
      </w:pPr>
      <w:r w:rsidRPr="002F218C">
        <w:rPr>
          <w:rFonts w:ascii="Arial" w:hAnsi="Arial" w:cs="Arial"/>
          <w:b/>
          <w:sz w:val="24"/>
          <w:szCs w:val="24"/>
        </w:rPr>
        <w:t>EB-201</w:t>
      </w:r>
      <w:r w:rsidR="001B29DD">
        <w:rPr>
          <w:rFonts w:ascii="Arial" w:hAnsi="Arial" w:cs="Arial"/>
          <w:b/>
          <w:sz w:val="24"/>
          <w:szCs w:val="24"/>
        </w:rPr>
        <w:t>9-0024</w:t>
      </w:r>
      <w:r w:rsidR="00B20109" w:rsidRPr="002F218C">
        <w:rPr>
          <w:rFonts w:ascii="Arial" w:hAnsi="Arial" w:cs="Arial"/>
          <w:b/>
          <w:sz w:val="24"/>
          <w:szCs w:val="24"/>
        </w:rPr>
        <w:t xml:space="preserve">                                                                                                                                                                                                                                                                                                    </w:t>
      </w:r>
      <w:r w:rsidR="00E96915">
        <w:rPr>
          <w:rFonts w:ascii="Arial" w:hAnsi="Arial" w:cs="Arial"/>
          <w:b/>
          <w:sz w:val="24"/>
          <w:szCs w:val="24"/>
        </w:rPr>
        <w:t xml:space="preserve">                        </w:t>
      </w:r>
    </w:p>
    <w:p w14:paraId="1BFF93E6" w14:textId="77777777" w:rsidR="00304228" w:rsidRPr="002F218C" w:rsidRDefault="002F218C" w:rsidP="00CC447E">
      <w:pPr>
        <w:jc w:val="center"/>
        <w:rPr>
          <w:rFonts w:ascii="Arial" w:hAnsi="Arial" w:cs="Arial"/>
          <w:b/>
          <w:sz w:val="24"/>
          <w:szCs w:val="24"/>
        </w:rPr>
      </w:pPr>
      <w:r w:rsidRPr="002F218C">
        <w:rPr>
          <w:rFonts w:ascii="Arial" w:hAnsi="Arial" w:cs="Arial"/>
          <w:b/>
          <w:sz w:val="24"/>
          <w:szCs w:val="24"/>
        </w:rPr>
        <w:t>Application Analysis</w:t>
      </w:r>
    </w:p>
    <w:p w14:paraId="36D9B28D" w14:textId="76F12FC7" w:rsidR="00E6651E" w:rsidRPr="002F218C" w:rsidRDefault="00E96915" w:rsidP="00304228">
      <w:pPr>
        <w:jc w:val="center"/>
        <w:rPr>
          <w:rFonts w:ascii="Arial" w:hAnsi="Arial" w:cs="Arial"/>
          <w:b/>
          <w:sz w:val="24"/>
          <w:szCs w:val="24"/>
        </w:rPr>
      </w:pPr>
      <w:r>
        <w:rPr>
          <w:rFonts w:ascii="Arial" w:hAnsi="Arial" w:cs="Arial"/>
          <w:b/>
          <w:sz w:val="24"/>
          <w:szCs w:val="24"/>
        </w:rPr>
        <w:t>September</w:t>
      </w:r>
      <w:r w:rsidR="0066243E">
        <w:rPr>
          <w:rFonts w:ascii="Arial" w:hAnsi="Arial" w:cs="Arial"/>
          <w:b/>
          <w:sz w:val="24"/>
          <w:szCs w:val="24"/>
        </w:rPr>
        <w:t xml:space="preserve"> </w:t>
      </w:r>
      <w:r w:rsidR="004A1794">
        <w:rPr>
          <w:rFonts w:ascii="Arial" w:hAnsi="Arial" w:cs="Arial"/>
          <w:b/>
          <w:sz w:val="24"/>
          <w:szCs w:val="24"/>
        </w:rPr>
        <w:t>1</w:t>
      </w:r>
      <w:r w:rsidR="00D456D6">
        <w:rPr>
          <w:rFonts w:ascii="Arial" w:hAnsi="Arial" w:cs="Arial"/>
          <w:b/>
          <w:sz w:val="24"/>
          <w:szCs w:val="24"/>
        </w:rPr>
        <w:t>2</w:t>
      </w:r>
      <w:r>
        <w:rPr>
          <w:rFonts w:ascii="Arial" w:hAnsi="Arial" w:cs="Arial"/>
          <w:b/>
          <w:sz w:val="24"/>
          <w:szCs w:val="24"/>
        </w:rPr>
        <w:t>, 2019</w:t>
      </w:r>
    </w:p>
    <w:p w14:paraId="58A39673" w14:textId="77777777" w:rsidR="00450CB6" w:rsidRDefault="00450CB6" w:rsidP="00A668A7">
      <w:pPr>
        <w:spacing w:after="0" w:line="240" w:lineRule="auto"/>
        <w:rPr>
          <w:rFonts w:ascii="Arial" w:hAnsi="Arial" w:cs="Arial"/>
          <w:b/>
          <w:sz w:val="24"/>
          <w:szCs w:val="24"/>
        </w:rPr>
      </w:pPr>
    </w:p>
    <w:p w14:paraId="56EEA891" w14:textId="0BBEB34B" w:rsidR="00856394" w:rsidRDefault="001F5CB6" w:rsidP="001B29DD">
      <w:pPr>
        <w:spacing w:after="0" w:line="240" w:lineRule="auto"/>
        <w:rPr>
          <w:rFonts w:ascii="Arial" w:hAnsi="Arial" w:cs="Arial"/>
          <w:b/>
          <w:sz w:val="24"/>
          <w:szCs w:val="24"/>
        </w:rPr>
      </w:pPr>
      <w:r>
        <w:rPr>
          <w:rFonts w:ascii="Arial" w:hAnsi="Arial" w:cs="Arial"/>
          <w:b/>
          <w:sz w:val="24"/>
          <w:szCs w:val="24"/>
        </w:rPr>
        <w:t xml:space="preserve">Staff </w:t>
      </w:r>
      <w:r w:rsidR="00E02478">
        <w:rPr>
          <w:rFonts w:ascii="Arial" w:hAnsi="Arial" w:cs="Arial"/>
          <w:b/>
          <w:sz w:val="24"/>
          <w:szCs w:val="24"/>
        </w:rPr>
        <w:t xml:space="preserve">Question </w:t>
      </w:r>
      <w:r>
        <w:rPr>
          <w:rFonts w:ascii="Arial" w:hAnsi="Arial" w:cs="Arial"/>
          <w:b/>
          <w:sz w:val="24"/>
          <w:szCs w:val="24"/>
        </w:rPr>
        <w:t>#</w:t>
      </w:r>
      <w:r w:rsidR="000069CF">
        <w:rPr>
          <w:rFonts w:ascii="Arial" w:hAnsi="Arial" w:cs="Arial"/>
          <w:b/>
          <w:sz w:val="24"/>
          <w:szCs w:val="24"/>
        </w:rPr>
        <w:t>1</w:t>
      </w:r>
    </w:p>
    <w:p w14:paraId="7CAE05D5" w14:textId="7C188F09" w:rsidR="00A945A0" w:rsidRDefault="00A945A0" w:rsidP="00A945A0">
      <w:pPr>
        <w:spacing w:after="0"/>
        <w:jc w:val="both"/>
        <w:rPr>
          <w:rFonts w:ascii="Arial" w:hAnsi="Arial" w:cs="Arial"/>
          <w:sz w:val="24"/>
          <w:szCs w:val="24"/>
        </w:rPr>
      </w:pPr>
      <w:r>
        <w:rPr>
          <w:rFonts w:ascii="Arial" w:hAnsi="Arial" w:cs="Arial"/>
          <w:b/>
          <w:sz w:val="24"/>
          <w:szCs w:val="24"/>
        </w:rPr>
        <w:t xml:space="preserve">Ref: </w:t>
      </w:r>
      <w:r w:rsidR="00C829E3">
        <w:rPr>
          <w:rFonts w:ascii="Arial" w:hAnsi="Arial" w:cs="Arial"/>
          <w:b/>
          <w:sz w:val="24"/>
          <w:szCs w:val="24"/>
        </w:rPr>
        <w:t xml:space="preserve">A portion of </w:t>
      </w:r>
      <w:r>
        <w:rPr>
          <w:rFonts w:ascii="Arial" w:hAnsi="Arial" w:cs="Arial"/>
          <w:b/>
          <w:sz w:val="24"/>
          <w:szCs w:val="24"/>
        </w:rPr>
        <w:t>Sheet 3 “Continuity Schedule” is reproduced below</w:t>
      </w:r>
    </w:p>
    <w:p w14:paraId="3B22B145" w14:textId="77777777" w:rsidR="00A945A0" w:rsidRDefault="00A945A0" w:rsidP="00A945A0">
      <w:pPr>
        <w:spacing w:after="0"/>
        <w:rPr>
          <w:rFonts w:ascii="Arial" w:hAnsi="Arial" w:cs="Arial"/>
          <w:sz w:val="24"/>
          <w:szCs w:val="24"/>
        </w:rPr>
      </w:pPr>
    </w:p>
    <w:p w14:paraId="3CF76554" w14:textId="724A8C15" w:rsidR="00A945A0" w:rsidRDefault="00A945A0" w:rsidP="00A945A0">
      <w:pPr>
        <w:spacing w:after="0"/>
        <w:rPr>
          <w:rFonts w:ascii="Arial" w:hAnsi="Arial" w:cs="Arial"/>
          <w:sz w:val="24"/>
          <w:szCs w:val="24"/>
        </w:rPr>
      </w:pPr>
      <w:r>
        <w:rPr>
          <w:rFonts w:ascii="Arial" w:hAnsi="Arial" w:cs="Arial"/>
          <w:sz w:val="24"/>
          <w:szCs w:val="24"/>
        </w:rPr>
        <w:t>T</w:t>
      </w:r>
      <w:r w:rsidRPr="00096D51">
        <w:rPr>
          <w:rFonts w:ascii="Arial" w:hAnsi="Arial" w:cs="Arial"/>
          <w:sz w:val="24"/>
          <w:szCs w:val="24"/>
        </w:rPr>
        <w:t xml:space="preserve">he table from </w:t>
      </w:r>
      <w:r>
        <w:rPr>
          <w:rFonts w:ascii="Arial" w:hAnsi="Arial" w:cs="Arial"/>
          <w:sz w:val="24"/>
          <w:szCs w:val="24"/>
        </w:rPr>
        <w:t xml:space="preserve">Canadian Niagara Power’s 2018 IRM </w:t>
      </w:r>
      <w:r w:rsidRPr="00096D51">
        <w:rPr>
          <w:rFonts w:ascii="Arial" w:hAnsi="Arial" w:cs="Arial"/>
          <w:sz w:val="24"/>
          <w:szCs w:val="24"/>
        </w:rPr>
        <w:t>Decision</w:t>
      </w:r>
      <w:r>
        <w:rPr>
          <w:rStyle w:val="FootnoteReference"/>
          <w:rFonts w:ascii="Arial" w:hAnsi="Arial" w:cs="Arial"/>
          <w:sz w:val="24"/>
          <w:szCs w:val="24"/>
        </w:rPr>
        <w:footnoteReference w:id="1"/>
      </w:r>
      <w:r w:rsidRPr="00096D51">
        <w:rPr>
          <w:rFonts w:ascii="Arial" w:hAnsi="Arial" w:cs="Arial"/>
          <w:sz w:val="24"/>
          <w:szCs w:val="24"/>
        </w:rPr>
        <w:t xml:space="preserve"> which identified the principal and interest amounts approved for disposition, is reproduced below.</w:t>
      </w:r>
    </w:p>
    <w:p w14:paraId="5953A35A" w14:textId="6B3E1407" w:rsidR="00A945A0" w:rsidRDefault="0005355A" w:rsidP="0005355A">
      <w:pPr>
        <w:spacing w:after="120"/>
        <w:jc w:val="center"/>
        <w:rPr>
          <w:noProof/>
          <w:lang w:val="en-US"/>
        </w:rPr>
      </w:pPr>
      <w:r>
        <w:rPr>
          <w:noProof/>
          <w:lang w:eastAsia="en-CA"/>
        </w:rPr>
        <w:drawing>
          <wp:inline distT="0" distB="0" distL="0" distR="0" wp14:anchorId="4793316D" wp14:editId="74DBF730">
            <wp:extent cx="5303980" cy="3924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03980" cy="3924640"/>
                    </a:xfrm>
                    <a:prstGeom prst="rect">
                      <a:avLst/>
                    </a:prstGeom>
                  </pic:spPr>
                </pic:pic>
              </a:graphicData>
            </a:graphic>
          </wp:inline>
        </w:drawing>
      </w:r>
    </w:p>
    <w:p w14:paraId="27431A1A" w14:textId="6C651AD0" w:rsidR="00A945A0" w:rsidRDefault="00A945A0" w:rsidP="001B29DD">
      <w:pPr>
        <w:spacing w:after="120"/>
        <w:rPr>
          <w:noProof/>
          <w:lang w:val="en-US"/>
        </w:rPr>
      </w:pPr>
    </w:p>
    <w:p w14:paraId="43CE035C" w14:textId="12B5008B" w:rsidR="00A945A0" w:rsidRDefault="00A945A0" w:rsidP="001B29DD">
      <w:pPr>
        <w:spacing w:after="120"/>
        <w:rPr>
          <w:noProof/>
          <w:lang w:val="en-US"/>
        </w:rPr>
      </w:pPr>
    </w:p>
    <w:p w14:paraId="2A01E396" w14:textId="49179FA4" w:rsidR="00A945A0" w:rsidRDefault="00A945A0" w:rsidP="00A945A0">
      <w:pPr>
        <w:pStyle w:val="ListParagraph"/>
        <w:numPr>
          <w:ilvl w:val="0"/>
          <w:numId w:val="4"/>
        </w:numPr>
        <w:ind w:left="360"/>
        <w:rPr>
          <w:rFonts w:ascii="Arial" w:hAnsi="Arial" w:cs="Arial"/>
          <w:sz w:val="24"/>
          <w:szCs w:val="24"/>
        </w:rPr>
      </w:pPr>
      <w:r w:rsidRPr="00096D51">
        <w:rPr>
          <w:rFonts w:ascii="Arial" w:hAnsi="Arial" w:cs="Arial"/>
          <w:sz w:val="24"/>
          <w:szCs w:val="24"/>
        </w:rPr>
        <w:lastRenderedPageBreak/>
        <w:t xml:space="preserve">OEB staff notes that the </w:t>
      </w:r>
      <w:r>
        <w:rPr>
          <w:rFonts w:ascii="Arial" w:hAnsi="Arial" w:cs="Arial"/>
          <w:sz w:val="24"/>
          <w:szCs w:val="24"/>
        </w:rPr>
        <w:t>“</w:t>
      </w:r>
      <w:r w:rsidR="0005355A">
        <w:rPr>
          <w:rFonts w:ascii="Arial" w:hAnsi="Arial" w:cs="Arial"/>
          <w:sz w:val="24"/>
          <w:szCs w:val="24"/>
        </w:rPr>
        <w:t>OEB-Approved D</w:t>
      </w:r>
      <w:r w:rsidRPr="00096D51">
        <w:rPr>
          <w:rFonts w:ascii="Arial" w:hAnsi="Arial" w:cs="Arial"/>
          <w:sz w:val="24"/>
          <w:szCs w:val="24"/>
        </w:rPr>
        <w:t>isposition during 201</w:t>
      </w:r>
      <w:r>
        <w:rPr>
          <w:rFonts w:ascii="Arial" w:hAnsi="Arial" w:cs="Arial"/>
          <w:sz w:val="24"/>
          <w:szCs w:val="24"/>
        </w:rPr>
        <w:t>8</w:t>
      </w:r>
      <w:r w:rsidR="0005355A">
        <w:rPr>
          <w:rFonts w:ascii="Arial" w:hAnsi="Arial" w:cs="Arial"/>
          <w:sz w:val="24"/>
          <w:szCs w:val="24"/>
        </w:rPr>
        <w:t xml:space="preserve"> (Cells BJ23 &amp; BJ25)</w:t>
      </w:r>
      <w:r w:rsidRPr="00096D51">
        <w:rPr>
          <w:rFonts w:ascii="Arial" w:hAnsi="Arial" w:cs="Arial"/>
          <w:sz w:val="24"/>
          <w:szCs w:val="24"/>
        </w:rPr>
        <w:t xml:space="preserve"> do not reconcile with the </w:t>
      </w:r>
      <w:r>
        <w:rPr>
          <w:rFonts w:ascii="Arial" w:hAnsi="Arial" w:cs="Arial"/>
          <w:sz w:val="24"/>
          <w:szCs w:val="24"/>
        </w:rPr>
        <w:t xml:space="preserve">approved amounts </w:t>
      </w:r>
      <w:r w:rsidRPr="00096D51">
        <w:rPr>
          <w:rFonts w:ascii="Arial" w:hAnsi="Arial" w:cs="Arial"/>
          <w:sz w:val="24"/>
          <w:szCs w:val="24"/>
        </w:rPr>
        <w:t>in the 201</w:t>
      </w:r>
      <w:r>
        <w:rPr>
          <w:rFonts w:ascii="Arial" w:hAnsi="Arial" w:cs="Arial"/>
          <w:sz w:val="24"/>
          <w:szCs w:val="24"/>
        </w:rPr>
        <w:t>8 IRM decision</w:t>
      </w:r>
      <w:r w:rsidRPr="00096D51">
        <w:rPr>
          <w:rFonts w:ascii="Arial" w:hAnsi="Arial" w:cs="Arial"/>
          <w:sz w:val="24"/>
          <w:szCs w:val="24"/>
        </w:rPr>
        <w:t>.</w:t>
      </w:r>
    </w:p>
    <w:p w14:paraId="2584CDF5" w14:textId="77777777" w:rsidR="00A945A0" w:rsidRDefault="00A945A0" w:rsidP="00A945A0">
      <w:pPr>
        <w:ind w:left="360"/>
        <w:rPr>
          <w:rFonts w:ascii="Arial" w:hAnsi="Arial" w:cs="Arial"/>
          <w:sz w:val="24"/>
          <w:szCs w:val="24"/>
        </w:rPr>
      </w:pPr>
      <w:r w:rsidRPr="009363EA">
        <w:rPr>
          <w:rFonts w:ascii="Arial" w:hAnsi="Arial" w:cs="Arial"/>
          <w:sz w:val="24"/>
          <w:szCs w:val="24"/>
        </w:rPr>
        <w:t xml:space="preserve">Please reconcile differences. If the input into the Rate Generator Model is an error please provide corrections and OEB staff will make the necessary changes to the model. </w:t>
      </w:r>
    </w:p>
    <w:p w14:paraId="44E28D5E" w14:textId="72545DFF" w:rsidR="00A945A0" w:rsidRPr="005406CC" w:rsidRDefault="0005355A" w:rsidP="001B29DD">
      <w:pPr>
        <w:spacing w:after="120"/>
        <w:rPr>
          <w:rFonts w:ascii="Arial" w:hAnsi="Arial" w:cs="Arial"/>
          <w:sz w:val="24"/>
        </w:rPr>
      </w:pPr>
      <w:r>
        <w:rPr>
          <w:noProof/>
          <w:lang w:eastAsia="en-CA"/>
        </w:rPr>
        <w:drawing>
          <wp:inline distT="0" distB="0" distL="0" distR="0" wp14:anchorId="29A6FC9E" wp14:editId="7DA47A5F">
            <wp:extent cx="5943600" cy="3502660"/>
            <wp:effectExtent l="19050" t="19050" r="19050" b="215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502660"/>
                    </a:xfrm>
                    <a:prstGeom prst="rect">
                      <a:avLst/>
                    </a:prstGeom>
                    <a:ln>
                      <a:solidFill>
                        <a:schemeClr val="tx1"/>
                      </a:solidFill>
                    </a:ln>
                  </pic:spPr>
                </pic:pic>
              </a:graphicData>
            </a:graphic>
          </wp:inline>
        </w:drawing>
      </w:r>
    </w:p>
    <w:p w14:paraId="2DF0F986" w14:textId="77777777" w:rsidR="001B29DD" w:rsidRDefault="001B29DD" w:rsidP="001B29DD">
      <w:pPr>
        <w:spacing w:after="0" w:line="240" w:lineRule="auto"/>
        <w:rPr>
          <w:rFonts w:ascii="Arial" w:hAnsi="Arial" w:cs="Arial"/>
          <w:b/>
          <w:sz w:val="24"/>
          <w:szCs w:val="24"/>
        </w:rPr>
      </w:pPr>
    </w:p>
    <w:p w14:paraId="4BC6EB92" w14:textId="77777777" w:rsidR="00937ED0" w:rsidRDefault="00937ED0" w:rsidP="00937ED0">
      <w:pPr>
        <w:spacing w:after="0" w:line="259" w:lineRule="auto"/>
        <w:rPr>
          <w:rFonts w:ascii="Arial" w:hAnsi="Arial" w:cs="Arial"/>
          <w:b/>
          <w:sz w:val="24"/>
          <w:szCs w:val="24"/>
        </w:rPr>
      </w:pPr>
      <w:r>
        <w:rPr>
          <w:rFonts w:ascii="Arial" w:hAnsi="Arial" w:cs="Arial"/>
          <w:b/>
          <w:sz w:val="24"/>
          <w:szCs w:val="24"/>
        </w:rPr>
        <w:t>CNPI Response</w:t>
      </w:r>
    </w:p>
    <w:p w14:paraId="6ED96E9A" w14:textId="77777777" w:rsidR="00937ED0" w:rsidRDefault="00937ED0" w:rsidP="00937ED0">
      <w:pPr>
        <w:spacing w:after="0" w:line="259" w:lineRule="auto"/>
        <w:rPr>
          <w:rFonts w:ascii="Arial" w:hAnsi="Arial" w:cs="Arial"/>
          <w:sz w:val="24"/>
          <w:szCs w:val="24"/>
        </w:rPr>
      </w:pPr>
    </w:p>
    <w:p w14:paraId="29480ABF" w14:textId="56FC4825" w:rsidR="00937ED0" w:rsidRPr="00032B60" w:rsidRDefault="00937ED0" w:rsidP="00032B60">
      <w:pPr>
        <w:pStyle w:val="ListParagraph"/>
        <w:numPr>
          <w:ilvl w:val="0"/>
          <w:numId w:val="29"/>
        </w:numPr>
        <w:spacing w:after="0" w:line="259" w:lineRule="auto"/>
        <w:rPr>
          <w:rFonts w:ascii="Arial" w:hAnsi="Arial" w:cs="Arial"/>
          <w:b/>
          <w:sz w:val="24"/>
          <w:szCs w:val="24"/>
        </w:rPr>
      </w:pPr>
      <w:r w:rsidRPr="00032B60">
        <w:rPr>
          <w:rFonts w:ascii="Arial" w:hAnsi="Arial" w:cs="Arial"/>
          <w:sz w:val="24"/>
          <w:szCs w:val="24"/>
        </w:rPr>
        <w:t>Due to an input error into the schedule, please adjust Cell BI23 to (11,756), cell BJ23 to (10,359), BI2</w:t>
      </w:r>
      <w:r w:rsidR="0004654D">
        <w:rPr>
          <w:rFonts w:ascii="Arial" w:hAnsi="Arial" w:cs="Arial"/>
          <w:sz w:val="24"/>
          <w:szCs w:val="24"/>
        </w:rPr>
        <w:t>5</w:t>
      </w:r>
      <w:r w:rsidRPr="00032B60">
        <w:rPr>
          <w:rFonts w:ascii="Arial" w:hAnsi="Arial" w:cs="Arial"/>
          <w:sz w:val="24"/>
          <w:szCs w:val="24"/>
        </w:rPr>
        <w:t xml:space="preserve"> to 2,053 and BJ2</w:t>
      </w:r>
      <w:r w:rsidR="0004654D">
        <w:rPr>
          <w:rFonts w:ascii="Arial" w:hAnsi="Arial" w:cs="Arial"/>
          <w:sz w:val="24"/>
          <w:szCs w:val="24"/>
        </w:rPr>
        <w:t>5</w:t>
      </w:r>
      <w:bookmarkStart w:id="0" w:name="_GoBack"/>
      <w:bookmarkEnd w:id="0"/>
      <w:r w:rsidRPr="00032B60">
        <w:rPr>
          <w:rFonts w:ascii="Arial" w:hAnsi="Arial" w:cs="Arial"/>
          <w:sz w:val="24"/>
          <w:szCs w:val="24"/>
        </w:rPr>
        <w:t xml:space="preserve"> to 2,263.  This </w:t>
      </w:r>
      <w:r w:rsidR="00032B60" w:rsidRPr="00032B60">
        <w:rPr>
          <w:rFonts w:ascii="Arial" w:hAnsi="Arial" w:cs="Arial"/>
          <w:sz w:val="24"/>
          <w:szCs w:val="24"/>
        </w:rPr>
        <w:t xml:space="preserve">will </w:t>
      </w:r>
      <w:r w:rsidRPr="00032B60">
        <w:rPr>
          <w:rFonts w:ascii="Arial" w:hAnsi="Arial" w:cs="Arial"/>
          <w:sz w:val="24"/>
          <w:szCs w:val="24"/>
        </w:rPr>
        <w:t>not change the closing interest amounts as of Dec 31, 2018</w:t>
      </w:r>
      <w:r w:rsidR="00032B60" w:rsidRPr="00032B60">
        <w:rPr>
          <w:rFonts w:ascii="Arial" w:hAnsi="Arial" w:cs="Arial"/>
          <w:sz w:val="24"/>
          <w:szCs w:val="24"/>
        </w:rPr>
        <w:t xml:space="preserve"> for both rows of the model</w:t>
      </w:r>
      <w:r w:rsidRPr="00032B60">
        <w:rPr>
          <w:rFonts w:ascii="Arial" w:hAnsi="Arial" w:cs="Arial"/>
          <w:sz w:val="24"/>
          <w:szCs w:val="24"/>
        </w:rPr>
        <w:t xml:space="preserve">.  The adjusted amounts </w:t>
      </w:r>
      <w:r w:rsidR="00032B60" w:rsidRPr="00032B60">
        <w:rPr>
          <w:rFonts w:ascii="Arial" w:hAnsi="Arial" w:cs="Arial"/>
          <w:sz w:val="24"/>
          <w:szCs w:val="24"/>
        </w:rPr>
        <w:t xml:space="preserve">will then </w:t>
      </w:r>
      <w:r w:rsidRPr="00032B60">
        <w:rPr>
          <w:rFonts w:ascii="Arial" w:hAnsi="Arial" w:cs="Arial"/>
          <w:sz w:val="24"/>
          <w:szCs w:val="24"/>
        </w:rPr>
        <w:t>agree to the 2018 IRM decision.</w:t>
      </w:r>
    </w:p>
    <w:p w14:paraId="38D1A8CF" w14:textId="77777777" w:rsidR="005C5E2E" w:rsidRDefault="005C5E2E" w:rsidP="00E20A78">
      <w:pPr>
        <w:spacing w:after="0" w:line="259" w:lineRule="auto"/>
        <w:rPr>
          <w:rFonts w:ascii="Arial" w:hAnsi="Arial" w:cs="Arial"/>
          <w:b/>
          <w:sz w:val="24"/>
          <w:szCs w:val="24"/>
        </w:rPr>
      </w:pPr>
    </w:p>
    <w:p w14:paraId="0448FAC0" w14:textId="13D04AC8" w:rsidR="00E20A78" w:rsidRDefault="00E20A78" w:rsidP="00E20A78">
      <w:pPr>
        <w:spacing w:after="0" w:line="259" w:lineRule="auto"/>
        <w:rPr>
          <w:rFonts w:ascii="Arial" w:hAnsi="Arial" w:cs="Arial"/>
          <w:b/>
          <w:sz w:val="24"/>
          <w:szCs w:val="24"/>
        </w:rPr>
      </w:pPr>
      <w:r w:rsidRPr="00A82A42">
        <w:rPr>
          <w:rFonts w:ascii="Arial" w:hAnsi="Arial" w:cs="Arial"/>
          <w:b/>
          <w:sz w:val="24"/>
          <w:szCs w:val="24"/>
        </w:rPr>
        <w:t xml:space="preserve">Staff Question </w:t>
      </w:r>
      <w:r w:rsidR="00FA3786">
        <w:rPr>
          <w:rFonts w:ascii="Arial" w:hAnsi="Arial" w:cs="Arial"/>
          <w:b/>
          <w:sz w:val="24"/>
          <w:szCs w:val="24"/>
        </w:rPr>
        <w:t>#</w:t>
      </w:r>
      <w:r w:rsidR="00FF13C1">
        <w:rPr>
          <w:rFonts w:ascii="Arial" w:hAnsi="Arial" w:cs="Arial"/>
          <w:b/>
          <w:sz w:val="24"/>
          <w:szCs w:val="24"/>
        </w:rPr>
        <w:t>2</w:t>
      </w:r>
    </w:p>
    <w:p w14:paraId="5511242E" w14:textId="1786F667" w:rsidR="006D4467" w:rsidRDefault="006D4467" w:rsidP="00E20A78">
      <w:pPr>
        <w:spacing w:after="0" w:line="259" w:lineRule="auto"/>
        <w:rPr>
          <w:rFonts w:ascii="Arial" w:hAnsi="Arial" w:cs="Arial"/>
          <w:b/>
          <w:sz w:val="24"/>
          <w:szCs w:val="24"/>
        </w:rPr>
      </w:pPr>
      <w:r>
        <w:rPr>
          <w:rFonts w:ascii="Arial" w:hAnsi="Arial" w:cs="Arial"/>
          <w:b/>
          <w:sz w:val="24"/>
          <w:szCs w:val="24"/>
        </w:rPr>
        <w:t xml:space="preserve">Ref: GA Analysis </w:t>
      </w:r>
      <w:proofErr w:type="spellStart"/>
      <w:r>
        <w:rPr>
          <w:rFonts w:ascii="Arial" w:hAnsi="Arial" w:cs="Arial"/>
          <w:b/>
          <w:sz w:val="24"/>
          <w:szCs w:val="24"/>
        </w:rPr>
        <w:t>Workform</w:t>
      </w:r>
      <w:proofErr w:type="spellEnd"/>
      <w:r>
        <w:rPr>
          <w:rFonts w:ascii="Arial" w:hAnsi="Arial" w:cs="Arial"/>
          <w:b/>
          <w:sz w:val="24"/>
          <w:szCs w:val="24"/>
        </w:rPr>
        <w:t xml:space="preserve"> – Note 3 – GA Billing Rate</w:t>
      </w:r>
    </w:p>
    <w:p w14:paraId="2A7D0643" w14:textId="4FBBFD75" w:rsidR="006D4467" w:rsidRDefault="006D4467" w:rsidP="00E20A78">
      <w:pPr>
        <w:spacing w:after="0" w:line="259" w:lineRule="auto"/>
        <w:rPr>
          <w:rFonts w:ascii="Arial" w:hAnsi="Arial" w:cs="Arial"/>
          <w:b/>
          <w:sz w:val="24"/>
          <w:szCs w:val="24"/>
        </w:rPr>
      </w:pPr>
    </w:p>
    <w:p w14:paraId="79F75D53" w14:textId="1D255BC2" w:rsidR="006D4467" w:rsidRPr="006D4467" w:rsidRDefault="006D4467" w:rsidP="00E20A78">
      <w:pPr>
        <w:spacing w:after="0" w:line="259" w:lineRule="auto"/>
        <w:rPr>
          <w:rFonts w:ascii="Arial" w:hAnsi="Arial" w:cs="Arial"/>
          <w:sz w:val="24"/>
          <w:szCs w:val="24"/>
        </w:rPr>
      </w:pPr>
      <w:r>
        <w:rPr>
          <w:rFonts w:ascii="Arial" w:hAnsi="Arial" w:cs="Arial"/>
          <w:sz w:val="24"/>
          <w:szCs w:val="24"/>
        </w:rPr>
        <w:t xml:space="preserve">Please explain why </w:t>
      </w:r>
      <w:r w:rsidR="002B6255" w:rsidRPr="002B6255">
        <w:rPr>
          <w:rFonts w:ascii="Arial" w:hAnsi="Arial" w:cs="Arial"/>
          <w:sz w:val="24"/>
          <w:szCs w:val="24"/>
        </w:rPr>
        <w:t>Canadian Niagara Power</w:t>
      </w:r>
      <w:r>
        <w:rPr>
          <w:rFonts w:ascii="Arial" w:hAnsi="Arial" w:cs="Arial"/>
          <w:sz w:val="24"/>
          <w:szCs w:val="24"/>
        </w:rPr>
        <w:t xml:space="preserve"> is not using the same GA Rate used for unbilled revenue as the one used for billed revenue in any particular month.</w:t>
      </w:r>
      <w:r w:rsidRPr="006D4467">
        <w:rPr>
          <w:rFonts w:ascii="Arial" w:hAnsi="Arial" w:cs="Arial"/>
          <w:sz w:val="24"/>
          <w:szCs w:val="24"/>
        </w:rPr>
        <w:t xml:space="preserve"> </w:t>
      </w:r>
    </w:p>
    <w:p w14:paraId="0CCF4ECD" w14:textId="33FA63B3" w:rsidR="00FA3786" w:rsidRDefault="00FA3786" w:rsidP="00FA3786">
      <w:pPr>
        <w:spacing w:after="0"/>
        <w:rPr>
          <w:noProof/>
          <w:lang w:val="en-US"/>
        </w:rPr>
      </w:pPr>
    </w:p>
    <w:p w14:paraId="27CF8D17" w14:textId="121A3200" w:rsidR="005C5E2E" w:rsidRDefault="005C5E2E" w:rsidP="00FA3786">
      <w:pPr>
        <w:spacing w:after="0"/>
        <w:rPr>
          <w:rFonts w:ascii="Arial" w:hAnsi="Arial" w:cs="Arial"/>
          <w:b/>
          <w:sz w:val="24"/>
          <w:szCs w:val="24"/>
        </w:rPr>
      </w:pPr>
      <w:r>
        <w:rPr>
          <w:noProof/>
          <w:lang w:eastAsia="en-CA"/>
        </w:rPr>
        <w:lastRenderedPageBreak/>
        <w:drawing>
          <wp:inline distT="0" distB="0" distL="0" distR="0" wp14:anchorId="11FCE2CC" wp14:editId="01C570CB">
            <wp:extent cx="5943600" cy="57150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71500"/>
                    </a:xfrm>
                    <a:prstGeom prst="rect">
                      <a:avLst/>
                    </a:prstGeom>
                    <a:ln>
                      <a:solidFill>
                        <a:schemeClr val="tx1"/>
                      </a:solidFill>
                    </a:ln>
                  </pic:spPr>
                </pic:pic>
              </a:graphicData>
            </a:graphic>
          </wp:inline>
        </w:drawing>
      </w:r>
    </w:p>
    <w:p w14:paraId="0A328ED7" w14:textId="514BCB41" w:rsidR="00FF13C1" w:rsidRDefault="00FF13C1" w:rsidP="00FA3786">
      <w:pPr>
        <w:spacing w:after="0"/>
        <w:rPr>
          <w:rFonts w:ascii="Arial" w:hAnsi="Arial" w:cs="Arial"/>
          <w:b/>
          <w:sz w:val="24"/>
          <w:szCs w:val="24"/>
        </w:rPr>
      </w:pPr>
    </w:p>
    <w:p w14:paraId="73D7563C" w14:textId="3E013A30" w:rsidR="004B24DF" w:rsidRDefault="004B24DF" w:rsidP="004B24DF">
      <w:pPr>
        <w:spacing w:after="0" w:line="259" w:lineRule="auto"/>
        <w:rPr>
          <w:rFonts w:ascii="Arial" w:hAnsi="Arial" w:cs="Arial"/>
          <w:b/>
          <w:sz w:val="24"/>
          <w:szCs w:val="24"/>
        </w:rPr>
      </w:pPr>
      <w:r>
        <w:rPr>
          <w:rFonts w:ascii="Arial" w:hAnsi="Arial" w:cs="Arial"/>
          <w:b/>
          <w:sz w:val="24"/>
          <w:szCs w:val="24"/>
        </w:rPr>
        <w:t>CNPI Response</w:t>
      </w:r>
    </w:p>
    <w:p w14:paraId="271436E8" w14:textId="77777777" w:rsidR="004B24DF" w:rsidRDefault="004B24DF" w:rsidP="004B24DF">
      <w:pPr>
        <w:spacing w:after="0" w:line="259" w:lineRule="auto"/>
        <w:rPr>
          <w:rFonts w:ascii="Arial" w:hAnsi="Arial" w:cs="Arial"/>
          <w:b/>
          <w:sz w:val="24"/>
          <w:szCs w:val="24"/>
        </w:rPr>
      </w:pPr>
    </w:p>
    <w:p w14:paraId="17001427" w14:textId="72C1DE0E" w:rsidR="005C5E2E" w:rsidRDefault="004B24DF" w:rsidP="00BF10AC">
      <w:pPr>
        <w:spacing w:after="0"/>
        <w:rPr>
          <w:rFonts w:ascii="Arial" w:hAnsi="Arial" w:cs="Arial"/>
          <w:sz w:val="24"/>
          <w:szCs w:val="24"/>
        </w:rPr>
      </w:pPr>
      <w:r w:rsidRPr="004B24DF">
        <w:rPr>
          <w:rFonts w:ascii="Arial" w:hAnsi="Arial" w:cs="Arial"/>
          <w:sz w:val="24"/>
          <w:szCs w:val="24"/>
        </w:rPr>
        <w:t>Please re</w:t>
      </w:r>
      <w:r>
        <w:rPr>
          <w:rFonts w:ascii="Arial" w:hAnsi="Arial" w:cs="Arial"/>
          <w:sz w:val="24"/>
          <w:szCs w:val="24"/>
        </w:rPr>
        <w:t>fer to ‘</w:t>
      </w:r>
      <w:r w:rsidRPr="004B24DF">
        <w:rPr>
          <w:rFonts w:ascii="Arial" w:hAnsi="Arial" w:cs="Arial"/>
          <w:sz w:val="24"/>
          <w:szCs w:val="24"/>
        </w:rPr>
        <w:t>Unbilled Accrual Class A and B Customers</w:t>
      </w:r>
      <w:r>
        <w:rPr>
          <w:rFonts w:ascii="Arial" w:hAnsi="Arial" w:cs="Arial"/>
          <w:sz w:val="24"/>
          <w:szCs w:val="24"/>
        </w:rPr>
        <w:t xml:space="preserve">’ section within the Application, which can be found on Page 14 of 17.  For greater clarity, </w:t>
      </w:r>
      <w:r w:rsidR="006A720B">
        <w:rPr>
          <w:rFonts w:ascii="Arial" w:hAnsi="Arial" w:cs="Arial"/>
          <w:sz w:val="24"/>
          <w:szCs w:val="24"/>
        </w:rPr>
        <w:t xml:space="preserve">due to the </w:t>
      </w:r>
      <w:r>
        <w:rPr>
          <w:rFonts w:ascii="Arial" w:hAnsi="Arial" w:cs="Arial"/>
          <w:sz w:val="24"/>
          <w:szCs w:val="24"/>
        </w:rPr>
        <w:t xml:space="preserve">tight </w:t>
      </w:r>
      <w:r w:rsidR="006A720B">
        <w:rPr>
          <w:rFonts w:ascii="Arial" w:hAnsi="Arial" w:cs="Arial"/>
          <w:sz w:val="24"/>
          <w:szCs w:val="24"/>
        </w:rPr>
        <w:t xml:space="preserve">financial </w:t>
      </w:r>
      <w:r w:rsidR="00266599">
        <w:rPr>
          <w:rFonts w:ascii="Arial" w:hAnsi="Arial" w:cs="Arial"/>
          <w:sz w:val="24"/>
          <w:szCs w:val="24"/>
        </w:rPr>
        <w:t xml:space="preserve">reporting </w:t>
      </w:r>
      <w:r>
        <w:rPr>
          <w:rFonts w:ascii="Arial" w:hAnsi="Arial" w:cs="Arial"/>
          <w:sz w:val="24"/>
          <w:szCs w:val="24"/>
        </w:rPr>
        <w:t>deadlines, billing for the month ceases prior to the end of the month such that the unbilled report can be run, analyzed, and financially posted on a timely basis</w:t>
      </w:r>
      <w:r w:rsidR="00266599">
        <w:rPr>
          <w:rFonts w:ascii="Arial" w:hAnsi="Arial" w:cs="Arial"/>
          <w:sz w:val="24"/>
          <w:szCs w:val="24"/>
        </w:rPr>
        <w:t>.  Given that the 2</w:t>
      </w:r>
      <w:r w:rsidR="00266599" w:rsidRPr="00266599">
        <w:rPr>
          <w:rFonts w:ascii="Arial" w:hAnsi="Arial" w:cs="Arial"/>
          <w:sz w:val="24"/>
          <w:szCs w:val="24"/>
          <w:vertAlign w:val="superscript"/>
        </w:rPr>
        <w:t>nd</w:t>
      </w:r>
      <w:r w:rsidR="00266599">
        <w:rPr>
          <w:rFonts w:ascii="Arial" w:hAnsi="Arial" w:cs="Arial"/>
          <w:sz w:val="24"/>
          <w:szCs w:val="24"/>
        </w:rPr>
        <w:t xml:space="preserve"> GA estimate is not yet available at the time the first unbilled report is run, the 1</w:t>
      </w:r>
      <w:r w:rsidR="00266599" w:rsidRPr="00266599">
        <w:rPr>
          <w:rFonts w:ascii="Arial" w:hAnsi="Arial" w:cs="Arial"/>
          <w:sz w:val="24"/>
          <w:szCs w:val="24"/>
          <w:vertAlign w:val="superscript"/>
        </w:rPr>
        <w:t>st</w:t>
      </w:r>
      <w:r w:rsidR="00266599">
        <w:rPr>
          <w:rFonts w:ascii="Arial" w:hAnsi="Arial" w:cs="Arial"/>
          <w:sz w:val="24"/>
          <w:szCs w:val="24"/>
        </w:rPr>
        <w:t xml:space="preserve"> GA estimate is therefore applied to all non-interval customer unbilled estimates.</w:t>
      </w:r>
    </w:p>
    <w:p w14:paraId="1270AA29" w14:textId="77777777" w:rsidR="00BF10AC" w:rsidRDefault="00BF10AC" w:rsidP="00BF10AC">
      <w:pPr>
        <w:spacing w:after="0"/>
        <w:rPr>
          <w:rFonts w:ascii="Arial" w:hAnsi="Arial" w:cs="Arial"/>
          <w:b/>
          <w:sz w:val="24"/>
          <w:szCs w:val="24"/>
        </w:rPr>
      </w:pPr>
    </w:p>
    <w:p w14:paraId="3776037B" w14:textId="03247AE8" w:rsidR="00FF13C1" w:rsidRPr="000513E6" w:rsidRDefault="006A4BBE" w:rsidP="00FA3786">
      <w:pPr>
        <w:spacing w:after="0" w:line="240" w:lineRule="auto"/>
        <w:rPr>
          <w:rFonts w:ascii="Arial" w:hAnsi="Arial" w:cs="Arial"/>
          <w:b/>
          <w:sz w:val="24"/>
          <w:szCs w:val="24"/>
        </w:rPr>
      </w:pPr>
      <w:r>
        <w:rPr>
          <w:rFonts w:ascii="Arial" w:hAnsi="Arial" w:cs="Arial"/>
          <w:b/>
          <w:sz w:val="24"/>
          <w:szCs w:val="24"/>
        </w:rPr>
        <w:t>Staff Question #3</w:t>
      </w:r>
    </w:p>
    <w:p w14:paraId="1538E1D0" w14:textId="5AA00EB0" w:rsidR="00C829E3" w:rsidRDefault="00C734CD" w:rsidP="00C829E3">
      <w:pPr>
        <w:rPr>
          <w:rFonts w:ascii="Arial" w:hAnsi="Arial" w:cs="Arial"/>
          <w:b/>
          <w:sz w:val="24"/>
          <w:szCs w:val="24"/>
        </w:rPr>
      </w:pPr>
      <w:r>
        <w:rPr>
          <w:rFonts w:ascii="Arial" w:hAnsi="Arial" w:cs="Arial"/>
          <w:b/>
          <w:sz w:val="24"/>
          <w:szCs w:val="24"/>
        </w:rPr>
        <w:t xml:space="preserve">Ref: </w:t>
      </w:r>
      <w:r w:rsidR="00C829E3">
        <w:rPr>
          <w:rFonts w:ascii="Arial" w:hAnsi="Arial" w:cs="Arial"/>
          <w:b/>
          <w:sz w:val="24"/>
          <w:szCs w:val="24"/>
        </w:rPr>
        <w:t>A portion of Sheet 3</w:t>
      </w:r>
      <w:r>
        <w:rPr>
          <w:rFonts w:ascii="Arial" w:hAnsi="Arial" w:cs="Arial"/>
          <w:b/>
          <w:sz w:val="24"/>
          <w:szCs w:val="24"/>
        </w:rPr>
        <w:t xml:space="preserve"> </w:t>
      </w:r>
      <w:r w:rsidR="00C829E3">
        <w:rPr>
          <w:rFonts w:ascii="Arial" w:hAnsi="Arial" w:cs="Arial"/>
          <w:b/>
          <w:sz w:val="24"/>
          <w:szCs w:val="24"/>
        </w:rPr>
        <w:t>“Continuity Schedule”</w:t>
      </w:r>
      <w:r>
        <w:rPr>
          <w:rFonts w:ascii="Arial" w:hAnsi="Arial" w:cs="Arial"/>
          <w:b/>
          <w:sz w:val="24"/>
          <w:szCs w:val="24"/>
        </w:rPr>
        <w:t xml:space="preserve"> </w:t>
      </w:r>
      <w:r w:rsidR="00C829E3">
        <w:rPr>
          <w:rFonts w:ascii="Arial" w:hAnsi="Arial" w:cs="Arial"/>
          <w:b/>
          <w:sz w:val="24"/>
          <w:szCs w:val="24"/>
        </w:rPr>
        <w:t>is reproduced below</w:t>
      </w:r>
    </w:p>
    <w:p w14:paraId="26656F95" w14:textId="159AFF8C" w:rsidR="000435D4" w:rsidRPr="0022610E" w:rsidRDefault="000435D4" w:rsidP="00C829E3">
      <w:pPr>
        <w:rPr>
          <w:rFonts w:ascii="Arial" w:hAnsi="Arial" w:cs="Arial"/>
          <w:sz w:val="24"/>
          <w:szCs w:val="24"/>
        </w:rPr>
      </w:pPr>
      <w:r>
        <w:rPr>
          <w:rFonts w:ascii="Arial" w:hAnsi="Arial" w:cs="Arial"/>
          <w:b/>
          <w:sz w:val="24"/>
          <w:szCs w:val="24"/>
        </w:rPr>
        <w:t>Account 1595 (2016) Adjustments</w:t>
      </w:r>
      <w:r w:rsidR="00C829E3">
        <w:rPr>
          <w:rFonts w:ascii="Arial" w:hAnsi="Arial" w:cs="Arial"/>
          <w:b/>
          <w:sz w:val="24"/>
          <w:szCs w:val="24"/>
        </w:rPr>
        <w:t>:</w:t>
      </w:r>
    </w:p>
    <w:p w14:paraId="1C76732F" w14:textId="27ED9517" w:rsidR="000435D4" w:rsidRPr="00C829E3" w:rsidRDefault="00217F9B" w:rsidP="00C829E3">
      <w:pPr>
        <w:pStyle w:val="ListParagraph"/>
        <w:numPr>
          <w:ilvl w:val="0"/>
          <w:numId w:val="15"/>
        </w:numPr>
        <w:rPr>
          <w:rFonts w:ascii="Arial" w:hAnsi="Arial" w:cs="Arial"/>
          <w:sz w:val="24"/>
          <w:szCs w:val="24"/>
        </w:rPr>
      </w:pPr>
      <w:r>
        <w:rPr>
          <w:rFonts w:ascii="Arial" w:hAnsi="Arial" w:cs="Arial"/>
          <w:sz w:val="24"/>
          <w:szCs w:val="24"/>
        </w:rPr>
        <w:t>Please provide explanation</w:t>
      </w:r>
      <w:r w:rsidR="000435D4" w:rsidRPr="00C829E3">
        <w:rPr>
          <w:rFonts w:ascii="Arial" w:hAnsi="Arial" w:cs="Arial"/>
          <w:sz w:val="24"/>
          <w:szCs w:val="24"/>
        </w:rPr>
        <w:t xml:space="preserve"> to the “Principal Adjustments during 2017” of $42,496 and “Interest Adjustments during 2017” of ($42,496) entered in Account 1595 (2016).</w:t>
      </w:r>
    </w:p>
    <w:p w14:paraId="1C0B0619" w14:textId="77777777" w:rsidR="000435D4" w:rsidRDefault="000435D4" w:rsidP="000435D4">
      <w:pPr>
        <w:pStyle w:val="ListParagraph"/>
        <w:rPr>
          <w:rFonts w:ascii="Arial" w:hAnsi="Arial" w:cs="Arial"/>
          <w:sz w:val="24"/>
          <w:szCs w:val="24"/>
        </w:rPr>
      </w:pPr>
    </w:p>
    <w:p w14:paraId="7B249D51" w14:textId="2A2127AE" w:rsidR="000435D4" w:rsidRPr="00C107DD" w:rsidRDefault="00217F9B" w:rsidP="00C107DD">
      <w:pPr>
        <w:pStyle w:val="ListParagraph"/>
        <w:numPr>
          <w:ilvl w:val="0"/>
          <w:numId w:val="15"/>
        </w:numPr>
        <w:rPr>
          <w:rFonts w:ascii="Arial" w:hAnsi="Arial" w:cs="Arial"/>
          <w:sz w:val="24"/>
          <w:szCs w:val="24"/>
        </w:rPr>
      </w:pPr>
      <w:r>
        <w:rPr>
          <w:rFonts w:ascii="Arial" w:hAnsi="Arial" w:cs="Arial"/>
          <w:sz w:val="24"/>
          <w:szCs w:val="24"/>
        </w:rPr>
        <w:t>Please provide explanation</w:t>
      </w:r>
      <w:r w:rsidR="000435D4" w:rsidRPr="00C107DD">
        <w:rPr>
          <w:rFonts w:ascii="Arial" w:hAnsi="Arial" w:cs="Arial"/>
          <w:sz w:val="24"/>
          <w:szCs w:val="24"/>
        </w:rPr>
        <w:t xml:space="preserve"> to the “Principal Adjustments during 2018” of ($100) and “Interest Adjustments during 2018” of $100 entered in Account 1595 (2016).</w:t>
      </w:r>
    </w:p>
    <w:p w14:paraId="1D5AF553" w14:textId="0563798E" w:rsidR="00FA3786" w:rsidRDefault="00FA3786" w:rsidP="00FA3786">
      <w:pPr>
        <w:pStyle w:val="ListParagraph"/>
        <w:rPr>
          <w:rFonts w:ascii="Arial" w:hAnsi="Arial" w:cs="Arial"/>
          <w:b/>
          <w:sz w:val="24"/>
          <w:szCs w:val="24"/>
        </w:rPr>
      </w:pPr>
    </w:p>
    <w:p w14:paraId="543AF947" w14:textId="2A4FA591" w:rsidR="006A4BBE" w:rsidRDefault="006A4BBE" w:rsidP="00846897">
      <w:pPr>
        <w:pStyle w:val="ListParagraph"/>
        <w:ind w:hanging="720"/>
        <w:jc w:val="center"/>
        <w:rPr>
          <w:rFonts w:ascii="Arial" w:hAnsi="Arial" w:cs="Arial"/>
          <w:b/>
          <w:sz w:val="24"/>
          <w:szCs w:val="24"/>
        </w:rPr>
      </w:pPr>
      <w:r>
        <w:rPr>
          <w:noProof/>
          <w:lang w:eastAsia="en-CA"/>
        </w:rPr>
        <w:drawing>
          <wp:inline distT="0" distB="0" distL="0" distR="0" wp14:anchorId="4263FA94" wp14:editId="40AA7AE3">
            <wp:extent cx="5943600" cy="2399665"/>
            <wp:effectExtent l="19050" t="19050" r="19050"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399665"/>
                    </a:xfrm>
                    <a:prstGeom prst="rect">
                      <a:avLst/>
                    </a:prstGeom>
                    <a:ln>
                      <a:solidFill>
                        <a:schemeClr val="tx1"/>
                      </a:solidFill>
                    </a:ln>
                  </pic:spPr>
                </pic:pic>
              </a:graphicData>
            </a:graphic>
          </wp:inline>
        </w:drawing>
      </w:r>
    </w:p>
    <w:p w14:paraId="4C8F62BF" w14:textId="0F235787" w:rsidR="00846897" w:rsidRDefault="00846897" w:rsidP="00846897">
      <w:pPr>
        <w:pStyle w:val="ListParagraph"/>
        <w:ind w:hanging="720"/>
        <w:jc w:val="center"/>
        <w:rPr>
          <w:rFonts w:ascii="Arial" w:hAnsi="Arial" w:cs="Arial"/>
          <w:b/>
          <w:sz w:val="24"/>
          <w:szCs w:val="24"/>
        </w:rPr>
      </w:pPr>
    </w:p>
    <w:p w14:paraId="59E181CD" w14:textId="7203AF6F" w:rsidR="00846897" w:rsidRDefault="00846897" w:rsidP="00846897">
      <w:pPr>
        <w:pStyle w:val="ListParagraph"/>
        <w:ind w:hanging="720"/>
        <w:jc w:val="center"/>
        <w:rPr>
          <w:rFonts w:ascii="Arial" w:hAnsi="Arial" w:cs="Arial"/>
          <w:b/>
          <w:sz w:val="24"/>
          <w:szCs w:val="24"/>
        </w:rPr>
      </w:pPr>
    </w:p>
    <w:p w14:paraId="126E34DB" w14:textId="06D8A68D" w:rsidR="00846897" w:rsidRDefault="00846897" w:rsidP="00846897">
      <w:pPr>
        <w:pStyle w:val="ListParagraph"/>
        <w:ind w:hanging="720"/>
        <w:jc w:val="center"/>
        <w:rPr>
          <w:rFonts w:ascii="Arial" w:hAnsi="Arial" w:cs="Arial"/>
          <w:b/>
          <w:sz w:val="24"/>
          <w:szCs w:val="24"/>
        </w:rPr>
      </w:pPr>
      <w:r>
        <w:rPr>
          <w:noProof/>
          <w:lang w:eastAsia="en-CA"/>
        </w:rPr>
        <w:lastRenderedPageBreak/>
        <w:drawing>
          <wp:inline distT="0" distB="0" distL="0" distR="0" wp14:anchorId="23197079" wp14:editId="5CA83A48">
            <wp:extent cx="5943600" cy="2299335"/>
            <wp:effectExtent l="19050" t="19050" r="19050" b="247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299335"/>
                    </a:xfrm>
                    <a:prstGeom prst="rect">
                      <a:avLst/>
                    </a:prstGeom>
                    <a:ln>
                      <a:solidFill>
                        <a:schemeClr val="tx1"/>
                      </a:solidFill>
                    </a:ln>
                  </pic:spPr>
                </pic:pic>
              </a:graphicData>
            </a:graphic>
          </wp:inline>
        </w:drawing>
      </w:r>
    </w:p>
    <w:p w14:paraId="407A1716" w14:textId="6EE82E5D" w:rsidR="00032B60" w:rsidRDefault="00032B60" w:rsidP="00846897">
      <w:pPr>
        <w:pStyle w:val="ListParagraph"/>
        <w:ind w:hanging="720"/>
        <w:jc w:val="center"/>
        <w:rPr>
          <w:rFonts w:ascii="Arial" w:hAnsi="Arial" w:cs="Arial"/>
          <w:b/>
          <w:sz w:val="24"/>
          <w:szCs w:val="24"/>
        </w:rPr>
      </w:pPr>
    </w:p>
    <w:p w14:paraId="681EF64A" w14:textId="77777777" w:rsidR="00032B60" w:rsidRDefault="00032B60" w:rsidP="00032B60">
      <w:pPr>
        <w:spacing w:after="0" w:line="259" w:lineRule="auto"/>
        <w:rPr>
          <w:rFonts w:ascii="Arial" w:hAnsi="Arial" w:cs="Arial"/>
          <w:b/>
          <w:sz w:val="24"/>
          <w:szCs w:val="24"/>
        </w:rPr>
      </w:pPr>
      <w:r>
        <w:rPr>
          <w:rFonts w:ascii="Arial" w:hAnsi="Arial" w:cs="Arial"/>
          <w:b/>
          <w:sz w:val="24"/>
          <w:szCs w:val="24"/>
        </w:rPr>
        <w:t>CNPI Response</w:t>
      </w:r>
    </w:p>
    <w:p w14:paraId="06DB7550" w14:textId="77777777" w:rsidR="00032B60" w:rsidRDefault="00032B60" w:rsidP="00032B60">
      <w:pPr>
        <w:spacing w:after="0" w:line="259" w:lineRule="auto"/>
        <w:rPr>
          <w:rFonts w:ascii="Arial" w:hAnsi="Arial" w:cs="Arial"/>
          <w:b/>
          <w:sz w:val="24"/>
          <w:szCs w:val="24"/>
        </w:rPr>
      </w:pPr>
    </w:p>
    <w:p w14:paraId="0C3AB275" w14:textId="062D3294" w:rsidR="00411D9F" w:rsidRPr="00411D9F" w:rsidRDefault="00032B60" w:rsidP="00E36BB8">
      <w:pPr>
        <w:pStyle w:val="ListParagraph"/>
        <w:numPr>
          <w:ilvl w:val="0"/>
          <w:numId w:val="30"/>
        </w:numPr>
        <w:rPr>
          <w:rFonts w:ascii="Arial" w:hAnsi="Arial" w:cs="Arial"/>
          <w:b/>
          <w:sz w:val="24"/>
          <w:szCs w:val="24"/>
        </w:rPr>
      </w:pPr>
      <w:r>
        <w:rPr>
          <w:rFonts w:ascii="Arial" w:hAnsi="Arial" w:cs="Arial"/>
          <w:sz w:val="24"/>
          <w:szCs w:val="24"/>
        </w:rPr>
        <w:t xml:space="preserve">In accordance with </w:t>
      </w:r>
      <w:r w:rsidR="00E36BB8">
        <w:rPr>
          <w:rFonts w:ascii="Arial" w:hAnsi="Arial" w:cs="Arial"/>
          <w:sz w:val="24"/>
          <w:szCs w:val="24"/>
        </w:rPr>
        <w:t>‘</w:t>
      </w:r>
      <w:r w:rsidR="00E36BB8" w:rsidRPr="00E36BB8">
        <w:rPr>
          <w:rFonts w:ascii="Arial" w:hAnsi="Arial" w:cs="Arial"/>
          <w:sz w:val="24"/>
          <w:szCs w:val="24"/>
        </w:rPr>
        <w:t>Appendix A: Application of Recoveries in Account 1595</w:t>
      </w:r>
      <w:r w:rsidR="00E36BB8">
        <w:rPr>
          <w:rFonts w:ascii="Arial" w:hAnsi="Arial" w:cs="Arial"/>
          <w:sz w:val="24"/>
          <w:szCs w:val="24"/>
        </w:rPr>
        <w:t xml:space="preserve">’ in the Chapter 3 filing requirements version dated July </w:t>
      </w:r>
      <w:r w:rsidR="0040210B">
        <w:rPr>
          <w:rFonts w:ascii="Arial" w:hAnsi="Arial" w:cs="Arial"/>
          <w:sz w:val="24"/>
          <w:szCs w:val="24"/>
        </w:rPr>
        <w:t>20</w:t>
      </w:r>
      <w:r w:rsidR="00E36BB8">
        <w:rPr>
          <w:rFonts w:ascii="Arial" w:hAnsi="Arial" w:cs="Arial"/>
          <w:sz w:val="24"/>
          <w:szCs w:val="24"/>
        </w:rPr>
        <w:t>, 201</w:t>
      </w:r>
      <w:r w:rsidR="0040210B">
        <w:rPr>
          <w:rFonts w:ascii="Arial" w:hAnsi="Arial" w:cs="Arial"/>
          <w:sz w:val="24"/>
          <w:szCs w:val="24"/>
        </w:rPr>
        <w:t>7</w:t>
      </w:r>
      <w:r w:rsidR="00E36BB8">
        <w:rPr>
          <w:rFonts w:ascii="Arial" w:hAnsi="Arial" w:cs="Arial"/>
          <w:sz w:val="24"/>
          <w:szCs w:val="24"/>
        </w:rPr>
        <w:t xml:space="preserve">, these amounts reflect </w:t>
      </w:r>
      <w:r w:rsidR="0040210B">
        <w:rPr>
          <w:rFonts w:ascii="Arial" w:hAnsi="Arial" w:cs="Arial"/>
          <w:sz w:val="24"/>
          <w:szCs w:val="24"/>
        </w:rPr>
        <w:t>the drawdown of a portion of the interest balance transferred to 1595</w:t>
      </w:r>
      <w:r w:rsidR="008E4332">
        <w:rPr>
          <w:rFonts w:ascii="Arial" w:hAnsi="Arial" w:cs="Arial"/>
          <w:sz w:val="24"/>
          <w:szCs w:val="24"/>
        </w:rPr>
        <w:t>, which is to only occur after the principal has been fully drawn down on</w:t>
      </w:r>
      <w:r w:rsidR="002578BF">
        <w:rPr>
          <w:rFonts w:ascii="Arial" w:hAnsi="Arial" w:cs="Arial"/>
          <w:sz w:val="24"/>
          <w:szCs w:val="24"/>
        </w:rPr>
        <w:t>.  Given that a</w:t>
      </w:r>
      <w:r w:rsidR="0040210B">
        <w:rPr>
          <w:rFonts w:ascii="Arial" w:hAnsi="Arial" w:cs="Arial"/>
          <w:sz w:val="24"/>
          <w:szCs w:val="24"/>
        </w:rPr>
        <w:t xml:space="preserve"> more recent version of the Chapter 3 filing requirement</w:t>
      </w:r>
      <w:r w:rsidR="002578BF">
        <w:rPr>
          <w:rFonts w:ascii="Arial" w:hAnsi="Arial" w:cs="Arial"/>
          <w:sz w:val="24"/>
          <w:szCs w:val="24"/>
        </w:rPr>
        <w:t>s</w:t>
      </w:r>
      <w:r w:rsidR="0040210B">
        <w:rPr>
          <w:rFonts w:ascii="Arial" w:hAnsi="Arial" w:cs="Arial"/>
          <w:sz w:val="24"/>
          <w:szCs w:val="24"/>
        </w:rPr>
        <w:t xml:space="preserve"> is silent on this topic, CNPI has continued </w:t>
      </w:r>
      <w:r w:rsidR="004F7D19">
        <w:rPr>
          <w:rFonts w:ascii="Arial" w:hAnsi="Arial" w:cs="Arial"/>
          <w:sz w:val="24"/>
          <w:szCs w:val="24"/>
        </w:rPr>
        <w:t xml:space="preserve">to </w:t>
      </w:r>
      <w:r w:rsidR="0040210B">
        <w:rPr>
          <w:rFonts w:ascii="Arial" w:hAnsi="Arial" w:cs="Arial"/>
          <w:sz w:val="24"/>
          <w:szCs w:val="24"/>
        </w:rPr>
        <w:t>f</w:t>
      </w:r>
      <w:r w:rsidR="004F7D19">
        <w:rPr>
          <w:rFonts w:ascii="Arial" w:hAnsi="Arial" w:cs="Arial"/>
          <w:sz w:val="24"/>
          <w:szCs w:val="24"/>
        </w:rPr>
        <w:t>ollow</w:t>
      </w:r>
      <w:r w:rsidR="0040210B">
        <w:rPr>
          <w:rFonts w:ascii="Arial" w:hAnsi="Arial" w:cs="Arial"/>
          <w:sz w:val="24"/>
          <w:szCs w:val="24"/>
        </w:rPr>
        <w:t xml:space="preserve"> this guidance</w:t>
      </w:r>
      <w:r w:rsidR="00411D9F">
        <w:rPr>
          <w:rFonts w:ascii="Arial" w:hAnsi="Arial" w:cs="Arial"/>
          <w:sz w:val="24"/>
          <w:szCs w:val="24"/>
        </w:rPr>
        <w:t>.</w:t>
      </w:r>
    </w:p>
    <w:p w14:paraId="3775E650" w14:textId="77777777" w:rsidR="00411D9F" w:rsidRPr="00411D9F" w:rsidRDefault="00411D9F" w:rsidP="00411D9F">
      <w:pPr>
        <w:pStyle w:val="ListParagraph"/>
        <w:rPr>
          <w:rFonts w:ascii="Arial" w:hAnsi="Arial" w:cs="Arial"/>
          <w:b/>
          <w:sz w:val="24"/>
          <w:szCs w:val="24"/>
        </w:rPr>
      </w:pPr>
    </w:p>
    <w:p w14:paraId="5C4785C4" w14:textId="6A9554B8" w:rsidR="00032B60" w:rsidRPr="00411D9F" w:rsidRDefault="00411D9F" w:rsidP="00E36BB8">
      <w:pPr>
        <w:pStyle w:val="ListParagraph"/>
        <w:numPr>
          <w:ilvl w:val="0"/>
          <w:numId w:val="30"/>
        </w:numPr>
        <w:rPr>
          <w:rFonts w:ascii="Arial" w:hAnsi="Arial" w:cs="Arial"/>
          <w:b/>
          <w:sz w:val="24"/>
          <w:szCs w:val="24"/>
        </w:rPr>
      </w:pPr>
      <w:r>
        <w:rPr>
          <w:rFonts w:ascii="Arial" w:hAnsi="Arial" w:cs="Arial"/>
          <w:sz w:val="24"/>
          <w:szCs w:val="24"/>
        </w:rPr>
        <w:t>The same comment as a) above</w:t>
      </w:r>
      <w:r w:rsidR="0040210B">
        <w:rPr>
          <w:rFonts w:ascii="Arial" w:hAnsi="Arial" w:cs="Arial"/>
          <w:sz w:val="24"/>
          <w:szCs w:val="24"/>
        </w:rPr>
        <w:t>.</w:t>
      </w:r>
    </w:p>
    <w:p w14:paraId="71C579A3" w14:textId="3679011B" w:rsidR="003B631A" w:rsidRDefault="003B631A" w:rsidP="00846897">
      <w:pPr>
        <w:pStyle w:val="ListParagraph"/>
        <w:ind w:hanging="720"/>
        <w:jc w:val="center"/>
        <w:rPr>
          <w:rFonts w:ascii="Arial" w:hAnsi="Arial" w:cs="Arial"/>
          <w:b/>
          <w:sz w:val="24"/>
          <w:szCs w:val="24"/>
        </w:rPr>
      </w:pPr>
    </w:p>
    <w:p w14:paraId="31037D3C" w14:textId="77777777" w:rsidR="004B6DA6" w:rsidRPr="000513E6" w:rsidRDefault="004B6DA6" w:rsidP="004B6DA6">
      <w:pPr>
        <w:spacing w:after="0" w:line="240" w:lineRule="auto"/>
        <w:rPr>
          <w:rFonts w:ascii="Arial" w:hAnsi="Arial" w:cs="Arial"/>
          <w:b/>
          <w:sz w:val="24"/>
          <w:szCs w:val="24"/>
        </w:rPr>
      </w:pPr>
      <w:r w:rsidRPr="000513E6">
        <w:rPr>
          <w:rFonts w:ascii="Arial" w:hAnsi="Arial" w:cs="Arial"/>
          <w:b/>
          <w:sz w:val="24"/>
          <w:szCs w:val="24"/>
        </w:rPr>
        <w:t>Staff Question #4</w:t>
      </w:r>
    </w:p>
    <w:p w14:paraId="7F471E70" w14:textId="77777777" w:rsidR="004B6DA6" w:rsidRDefault="004B6DA6" w:rsidP="004B6DA6">
      <w:pPr>
        <w:rPr>
          <w:rFonts w:ascii="Arial" w:hAnsi="Arial" w:cs="Arial"/>
          <w:b/>
          <w:sz w:val="24"/>
          <w:szCs w:val="24"/>
        </w:rPr>
      </w:pPr>
      <w:r>
        <w:rPr>
          <w:rFonts w:ascii="Arial" w:hAnsi="Arial" w:cs="Arial"/>
          <w:b/>
          <w:sz w:val="24"/>
          <w:szCs w:val="24"/>
        </w:rPr>
        <w:t>Ref: Manager’s Summary p.15</w:t>
      </w:r>
    </w:p>
    <w:p w14:paraId="6667B6AE" w14:textId="68A9220E" w:rsidR="004B6DA6" w:rsidRDefault="004B6DA6" w:rsidP="004B6DA6">
      <w:pPr>
        <w:rPr>
          <w:rFonts w:ascii="Arial" w:hAnsi="Arial" w:cs="Arial"/>
          <w:sz w:val="24"/>
          <w:szCs w:val="24"/>
        </w:rPr>
      </w:pPr>
      <w:r>
        <w:rPr>
          <w:rFonts w:ascii="Arial" w:hAnsi="Arial" w:cs="Arial"/>
          <w:sz w:val="24"/>
          <w:szCs w:val="24"/>
        </w:rPr>
        <w:t xml:space="preserve">At the above reference, </w:t>
      </w:r>
      <w:r w:rsidR="002B6255" w:rsidRPr="002B6255">
        <w:rPr>
          <w:rFonts w:ascii="Arial" w:hAnsi="Arial" w:cs="Arial"/>
          <w:sz w:val="24"/>
          <w:szCs w:val="24"/>
        </w:rPr>
        <w:t>Canadian Niagara Power</w:t>
      </w:r>
      <w:r>
        <w:rPr>
          <w:rFonts w:ascii="Arial" w:hAnsi="Arial" w:cs="Arial"/>
          <w:sz w:val="24"/>
          <w:szCs w:val="24"/>
        </w:rPr>
        <w:t xml:space="preserve"> states that it is still reviewing the February 21, 2019 standardized accounting guidance with respect to the accounting for Accounts 1588 and 1589. It further indicates that as of the submission date, no material adjustments have been noted, but a full review was not yet complete.</w:t>
      </w:r>
    </w:p>
    <w:p w14:paraId="33D82520" w14:textId="2800E9D8" w:rsidR="004B6DA6" w:rsidRDefault="004B6DA6" w:rsidP="004B6DA6">
      <w:pPr>
        <w:pStyle w:val="ListParagraph"/>
        <w:numPr>
          <w:ilvl w:val="0"/>
          <w:numId w:val="26"/>
        </w:numPr>
        <w:rPr>
          <w:rFonts w:ascii="Arial" w:hAnsi="Arial" w:cs="Arial"/>
          <w:sz w:val="24"/>
          <w:szCs w:val="24"/>
        </w:rPr>
      </w:pPr>
      <w:r>
        <w:rPr>
          <w:rFonts w:ascii="Arial" w:hAnsi="Arial" w:cs="Arial"/>
          <w:sz w:val="24"/>
          <w:szCs w:val="24"/>
        </w:rPr>
        <w:t xml:space="preserve">Is </w:t>
      </w:r>
      <w:r w:rsidR="002B6255" w:rsidRPr="002B6255">
        <w:rPr>
          <w:rFonts w:ascii="Arial" w:hAnsi="Arial" w:cs="Arial"/>
          <w:sz w:val="24"/>
          <w:szCs w:val="24"/>
        </w:rPr>
        <w:t>Canadian Niagara Power</w:t>
      </w:r>
      <w:r>
        <w:rPr>
          <w:rFonts w:ascii="Arial" w:hAnsi="Arial" w:cs="Arial"/>
          <w:sz w:val="24"/>
          <w:szCs w:val="24"/>
        </w:rPr>
        <w:t xml:space="preserve"> seeking final disposition of its 2017 and 2018 Group 1 DVA account balances as part of the current application?</w:t>
      </w:r>
    </w:p>
    <w:p w14:paraId="06151665" w14:textId="77777777" w:rsidR="004B6DA6" w:rsidRDefault="004B6DA6" w:rsidP="004B6DA6">
      <w:pPr>
        <w:pStyle w:val="ListParagraph"/>
        <w:rPr>
          <w:rFonts w:ascii="Arial" w:hAnsi="Arial" w:cs="Arial"/>
          <w:sz w:val="24"/>
          <w:szCs w:val="24"/>
        </w:rPr>
      </w:pPr>
    </w:p>
    <w:p w14:paraId="7208C507" w14:textId="77777777" w:rsidR="004B6DA6" w:rsidRDefault="004B6DA6" w:rsidP="004B6DA6">
      <w:pPr>
        <w:pStyle w:val="ListParagraph"/>
        <w:numPr>
          <w:ilvl w:val="0"/>
          <w:numId w:val="26"/>
        </w:numPr>
        <w:rPr>
          <w:rFonts w:ascii="Arial" w:hAnsi="Arial" w:cs="Arial"/>
          <w:sz w:val="24"/>
          <w:szCs w:val="24"/>
        </w:rPr>
      </w:pPr>
      <w:r>
        <w:rPr>
          <w:rFonts w:ascii="Arial" w:hAnsi="Arial" w:cs="Arial"/>
          <w:sz w:val="24"/>
          <w:szCs w:val="24"/>
        </w:rPr>
        <w:t xml:space="preserve">Is the response to the above is yes, the OEB will only consider a utility’s request for final disposition of its Group 1 DVA account balances once it has confirmed that the February 21, 2019 OEB accounting guidance has been fully implemented and all resulting material adjustments have been recorded. </w:t>
      </w:r>
    </w:p>
    <w:p w14:paraId="557BA16A" w14:textId="77777777" w:rsidR="004B6DA6" w:rsidRPr="00ED7934" w:rsidRDefault="004B6DA6" w:rsidP="004B6DA6">
      <w:pPr>
        <w:pStyle w:val="ListParagraph"/>
        <w:rPr>
          <w:rFonts w:ascii="Arial" w:hAnsi="Arial" w:cs="Arial"/>
          <w:sz w:val="24"/>
          <w:szCs w:val="24"/>
        </w:rPr>
      </w:pPr>
    </w:p>
    <w:p w14:paraId="02EC53BA" w14:textId="77777777" w:rsidR="004B6DA6" w:rsidRDefault="004B6DA6" w:rsidP="004B6DA6">
      <w:pPr>
        <w:pStyle w:val="ListParagraph"/>
        <w:rPr>
          <w:rFonts w:ascii="Arial" w:hAnsi="Arial" w:cs="Arial"/>
          <w:sz w:val="24"/>
          <w:szCs w:val="24"/>
        </w:rPr>
      </w:pPr>
      <w:r>
        <w:rPr>
          <w:rFonts w:ascii="Arial" w:hAnsi="Arial" w:cs="Arial"/>
          <w:sz w:val="24"/>
          <w:szCs w:val="24"/>
        </w:rPr>
        <w:lastRenderedPageBreak/>
        <w:t xml:space="preserve">Accordingly, please provide a status update with respect to the implementation of the OEB’s February 21, 2019 accounting guidance related to Accounts 1588 and 1589, including a summary and explanation of any adjustments to both 2017 and 2018 that results from the implementation.  </w:t>
      </w:r>
    </w:p>
    <w:p w14:paraId="3F54AF7B" w14:textId="77777777" w:rsidR="004B6DA6" w:rsidRDefault="004B6DA6" w:rsidP="004B6DA6">
      <w:pPr>
        <w:pStyle w:val="ListParagraph"/>
        <w:rPr>
          <w:rFonts w:ascii="Arial" w:hAnsi="Arial" w:cs="Arial"/>
          <w:sz w:val="24"/>
          <w:szCs w:val="24"/>
        </w:rPr>
      </w:pPr>
    </w:p>
    <w:p w14:paraId="2EDCE245" w14:textId="77777777" w:rsidR="004B6DA6" w:rsidRPr="003B24F4" w:rsidRDefault="004B6DA6" w:rsidP="004B6DA6">
      <w:pPr>
        <w:pStyle w:val="ListParagraph"/>
        <w:numPr>
          <w:ilvl w:val="0"/>
          <w:numId w:val="26"/>
        </w:numPr>
        <w:rPr>
          <w:rFonts w:ascii="Arial" w:hAnsi="Arial" w:cs="Arial"/>
          <w:sz w:val="24"/>
          <w:szCs w:val="24"/>
        </w:rPr>
      </w:pPr>
      <w:r>
        <w:rPr>
          <w:rFonts w:ascii="Arial" w:hAnsi="Arial" w:cs="Arial"/>
          <w:sz w:val="24"/>
          <w:szCs w:val="24"/>
        </w:rPr>
        <w:t>Have the above referenced adjustments been reflected within the amounts being sought for disposition as part of the current proceeding?  If not, please explain why.</w:t>
      </w:r>
    </w:p>
    <w:p w14:paraId="6AE140B6" w14:textId="3610980D" w:rsidR="004B6DA6" w:rsidRDefault="004B6DA6" w:rsidP="004B6DA6">
      <w:pPr>
        <w:pStyle w:val="ListParagraph"/>
        <w:rPr>
          <w:rFonts w:ascii="Arial" w:hAnsi="Arial" w:cs="Arial"/>
          <w:sz w:val="24"/>
          <w:szCs w:val="24"/>
        </w:rPr>
      </w:pPr>
    </w:p>
    <w:p w14:paraId="5E7C898A" w14:textId="77777777" w:rsidR="004B6DA6" w:rsidRDefault="004B6DA6" w:rsidP="004B6DA6">
      <w:pPr>
        <w:pStyle w:val="ListParagraph"/>
        <w:numPr>
          <w:ilvl w:val="0"/>
          <w:numId w:val="26"/>
        </w:numPr>
        <w:rPr>
          <w:rFonts w:ascii="Arial" w:hAnsi="Arial" w:cs="Arial"/>
          <w:sz w:val="24"/>
          <w:szCs w:val="24"/>
        </w:rPr>
      </w:pPr>
      <w:r>
        <w:rPr>
          <w:rFonts w:ascii="Arial" w:hAnsi="Arial" w:cs="Arial"/>
          <w:sz w:val="24"/>
          <w:szCs w:val="24"/>
        </w:rPr>
        <w:t>If in the above response the utility has indicated that the OEB’s February 21, 2019 accounting guidance is not fully implemented as of the date of these IR responses, please explain why full implantation has not yet occurred given that the guidance is effective from January 1, 2019. Please also provide details as to the level of work that is left to complete and when the utility expects to complete this work by.</w:t>
      </w:r>
    </w:p>
    <w:p w14:paraId="3D961CB1" w14:textId="77777777" w:rsidR="004F7D19" w:rsidRDefault="004F7D19" w:rsidP="004F7D19">
      <w:pPr>
        <w:spacing w:after="0" w:line="259" w:lineRule="auto"/>
        <w:rPr>
          <w:rFonts w:ascii="Arial" w:hAnsi="Arial" w:cs="Arial"/>
          <w:b/>
          <w:sz w:val="24"/>
          <w:szCs w:val="24"/>
        </w:rPr>
      </w:pPr>
      <w:r>
        <w:rPr>
          <w:rFonts w:ascii="Arial" w:hAnsi="Arial" w:cs="Arial"/>
          <w:b/>
          <w:sz w:val="24"/>
          <w:szCs w:val="24"/>
        </w:rPr>
        <w:t>CNPI Response</w:t>
      </w:r>
    </w:p>
    <w:p w14:paraId="42D778A9" w14:textId="77777777" w:rsidR="004F7D19" w:rsidRDefault="004F7D19" w:rsidP="004F7D19">
      <w:pPr>
        <w:spacing w:after="0" w:line="259" w:lineRule="auto"/>
        <w:rPr>
          <w:rFonts w:ascii="Arial" w:hAnsi="Arial" w:cs="Arial"/>
          <w:b/>
          <w:sz w:val="24"/>
          <w:szCs w:val="24"/>
        </w:rPr>
      </w:pPr>
    </w:p>
    <w:p w14:paraId="5F3CB460" w14:textId="25D521C5" w:rsidR="004F7D19" w:rsidRPr="00411D9F" w:rsidRDefault="004F7D19" w:rsidP="004F7D19">
      <w:pPr>
        <w:pStyle w:val="ListParagraph"/>
        <w:numPr>
          <w:ilvl w:val="0"/>
          <w:numId w:val="31"/>
        </w:numPr>
        <w:rPr>
          <w:rFonts w:ascii="Arial" w:hAnsi="Arial" w:cs="Arial"/>
          <w:b/>
          <w:sz w:val="24"/>
          <w:szCs w:val="24"/>
        </w:rPr>
      </w:pPr>
      <w:r>
        <w:rPr>
          <w:rFonts w:ascii="Arial" w:hAnsi="Arial" w:cs="Arial"/>
          <w:sz w:val="24"/>
          <w:szCs w:val="24"/>
        </w:rPr>
        <w:t>Yes.</w:t>
      </w:r>
      <w:r w:rsidR="00CB4BBC">
        <w:rPr>
          <w:rFonts w:ascii="Arial" w:hAnsi="Arial" w:cs="Arial"/>
          <w:sz w:val="24"/>
          <w:szCs w:val="24"/>
        </w:rPr>
        <w:t xml:space="preserve">  In contemplating CNPI’s responses in b) to d) below, CNPI is still seeking final disposition of 2017 and 2018, as differences in 2017 and 2018 have been quantified as being immaterial in c) below.</w:t>
      </w:r>
    </w:p>
    <w:p w14:paraId="3E22C3C9" w14:textId="77777777" w:rsidR="00411D9F" w:rsidRPr="004F7D19" w:rsidRDefault="00411D9F" w:rsidP="00411D9F">
      <w:pPr>
        <w:pStyle w:val="ListParagraph"/>
        <w:rPr>
          <w:rFonts w:ascii="Arial" w:hAnsi="Arial" w:cs="Arial"/>
          <w:b/>
          <w:sz w:val="24"/>
          <w:szCs w:val="24"/>
        </w:rPr>
      </w:pPr>
    </w:p>
    <w:p w14:paraId="268EB0DE" w14:textId="77777777" w:rsidR="00CB4BBC" w:rsidRPr="00CB4BBC" w:rsidRDefault="004F7D19" w:rsidP="00B35B9A">
      <w:pPr>
        <w:pStyle w:val="ListParagraph"/>
        <w:numPr>
          <w:ilvl w:val="0"/>
          <w:numId w:val="31"/>
        </w:numPr>
        <w:rPr>
          <w:rFonts w:ascii="Arial" w:hAnsi="Arial" w:cs="Arial"/>
          <w:b/>
          <w:sz w:val="24"/>
          <w:szCs w:val="24"/>
        </w:rPr>
      </w:pPr>
      <w:r>
        <w:rPr>
          <w:rFonts w:ascii="Arial" w:hAnsi="Arial" w:cs="Arial"/>
          <w:sz w:val="24"/>
          <w:szCs w:val="24"/>
        </w:rPr>
        <w:t xml:space="preserve">CNPI </w:t>
      </w:r>
      <w:r w:rsidR="00F1132D">
        <w:rPr>
          <w:rFonts w:ascii="Arial" w:hAnsi="Arial" w:cs="Arial"/>
          <w:sz w:val="24"/>
          <w:szCs w:val="24"/>
        </w:rPr>
        <w:t xml:space="preserve">will </w:t>
      </w:r>
      <w:r>
        <w:rPr>
          <w:rFonts w:ascii="Arial" w:hAnsi="Arial" w:cs="Arial"/>
          <w:sz w:val="24"/>
          <w:szCs w:val="24"/>
        </w:rPr>
        <w:t xml:space="preserve">have the </w:t>
      </w:r>
      <w:r w:rsidRPr="004F7D19">
        <w:rPr>
          <w:rFonts w:ascii="Arial" w:hAnsi="Arial" w:cs="Arial"/>
          <w:sz w:val="24"/>
          <w:szCs w:val="24"/>
        </w:rPr>
        <w:t>OEB’s February 21, 2019 accounting guidance related to Accounts 1588 and 1589</w:t>
      </w:r>
      <w:r w:rsidR="002825CC">
        <w:rPr>
          <w:rFonts w:ascii="Arial" w:hAnsi="Arial" w:cs="Arial"/>
          <w:sz w:val="24"/>
          <w:szCs w:val="24"/>
        </w:rPr>
        <w:t>, fully implemented by the end of 2019</w:t>
      </w:r>
      <w:r>
        <w:rPr>
          <w:rFonts w:ascii="Arial" w:hAnsi="Arial" w:cs="Arial"/>
          <w:sz w:val="24"/>
          <w:szCs w:val="24"/>
        </w:rPr>
        <w:t xml:space="preserve">.  </w:t>
      </w:r>
      <w:r w:rsidR="003D5278">
        <w:rPr>
          <w:rFonts w:ascii="Arial" w:hAnsi="Arial" w:cs="Arial"/>
          <w:sz w:val="24"/>
          <w:szCs w:val="24"/>
        </w:rPr>
        <w:t>A</w:t>
      </w:r>
      <w:r>
        <w:rPr>
          <w:rFonts w:ascii="Arial" w:hAnsi="Arial" w:cs="Arial"/>
          <w:sz w:val="24"/>
          <w:szCs w:val="24"/>
        </w:rPr>
        <w:t xml:space="preserve">s of August 31, 2019, CNPI has implemented </w:t>
      </w:r>
      <w:r w:rsidR="002825CC">
        <w:rPr>
          <w:rFonts w:ascii="Arial" w:hAnsi="Arial" w:cs="Arial"/>
          <w:sz w:val="24"/>
          <w:szCs w:val="24"/>
        </w:rPr>
        <w:t xml:space="preserve">a substantial portion of the guidance including </w:t>
      </w:r>
      <w:r w:rsidR="009F5C8A">
        <w:rPr>
          <w:rFonts w:ascii="Arial" w:hAnsi="Arial" w:cs="Arial"/>
          <w:sz w:val="24"/>
          <w:szCs w:val="24"/>
        </w:rPr>
        <w:t xml:space="preserve">the </w:t>
      </w:r>
      <w:r w:rsidR="00B4653D">
        <w:rPr>
          <w:rFonts w:ascii="Arial" w:hAnsi="Arial" w:cs="Arial"/>
          <w:sz w:val="24"/>
          <w:szCs w:val="24"/>
        </w:rPr>
        <w:t>calculations f</w:t>
      </w:r>
      <w:r w:rsidR="002578BF">
        <w:rPr>
          <w:rFonts w:ascii="Arial" w:hAnsi="Arial" w:cs="Arial"/>
          <w:sz w:val="24"/>
          <w:szCs w:val="24"/>
        </w:rPr>
        <w:t>or</w:t>
      </w:r>
      <w:r w:rsidR="00B4653D">
        <w:rPr>
          <w:rFonts w:ascii="Arial" w:hAnsi="Arial" w:cs="Arial"/>
          <w:sz w:val="24"/>
          <w:szCs w:val="24"/>
        </w:rPr>
        <w:t xml:space="preserve"> </w:t>
      </w:r>
      <w:r w:rsidR="002825CC">
        <w:rPr>
          <w:rFonts w:ascii="Arial" w:hAnsi="Arial" w:cs="Arial"/>
          <w:sz w:val="24"/>
          <w:szCs w:val="24"/>
        </w:rPr>
        <w:t xml:space="preserve">the RPP settlements </w:t>
      </w:r>
      <w:r w:rsidR="002578BF">
        <w:rPr>
          <w:rFonts w:ascii="Arial" w:hAnsi="Arial" w:cs="Arial"/>
          <w:sz w:val="24"/>
          <w:szCs w:val="24"/>
        </w:rPr>
        <w:t>process</w:t>
      </w:r>
      <w:r w:rsidR="00004F89">
        <w:rPr>
          <w:rFonts w:ascii="Arial" w:hAnsi="Arial" w:cs="Arial"/>
          <w:sz w:val="24"/>
          <w:szCs w:val="24"/>
        </w:rPr>
        <w:t xml:space="preserve">.  This </w:t>
      </w:r>
      <w:r w:rsidR="002578BF">
        <w:rPr>
          <w:rFonts w:ascii="Arial" w:hAnsi="Arial" w:cs="Arial"/>
          <w:sz w:val="24"/>
          <w:szCs w:val="24"/>
        </w:rPr>
        <w:t xml:space="preserve">has </w:t>
      </w:r>
      <w:r w:rsidR="00004F89">
        <w:rPr>
          <w:rFonts w:ascii="Arial" w:hAnsi="Arial" w:cs="Arial"/>
          <w:sz w:val="24"/>
          <w:szCs w:val="24"/>
        </w:rPr>
        <w:t xml:space="preserve">been </w:t>
      </w:r>
      <w:r w:rsidR="002578BF">
        <w:rPr>
          <w:rFonts w:ascii="Arial" w:hAnsi="Arial" w:cs="Arial"/>
          <w:sz w:val="24"/>
          <w:szCs w:val="24"/>
        </w:rPr>
        <w:t xml:space="preserve">completed </w:t>
      </w:r>
      <w:r>
        <w:rPr>
          <w:rFonts w:ascii="Arial" w:hAnsi="Arial" w:cs="Arial"/>
          <w:sz w:val="24"/>
          <w:szCs w:val="24"/>
        </w:rPr>
        <w:t>retroactively to January 1, 2019</w:t>
      </w:r>
      <w:r w:rsidR="00004F89">
        <w:rPr>
          <w:rFonts w:ascii="Arial" w:hAnsi="Arial" w:cs="Arial"/>
          <w:sz w:val="24"/>
          <w:szCs w:val="24"/>
        </w:rPr>
        <w:t xml:space="preserve"> and t</w:t>
      </w:r>
      <w:r w:rsidR="00B35B9A">
        <w:rPr>
          <w:rFonts w:ascii="Arial" w:hAnsi="Arial" w:cs="Arial"/>
          <w:sz w:val="24"/>
          <w:szCs w:val="24"/>
        </w:rPr>
        <w:t xml:space="preserve">he </w:t>
      </w:r>
      <w:r w:rsidR="003D5278">
        <w:rPr>
          <w:rFonts w:ascii="Arial" w:hAnsi="Arial" w:cs="Arial"/>
          <w:sz w:val="24"/>
          <w:szCs w:val="24"/>
        </w:rPr>
        <w:t xml:space="preserve">differences calculated were </w:t>
      </w:r>
      <w:r w:rsidR="00B35B9A">
        <w:rPr>
          <w:rFonts w:ascii="Arial" w:hAnsi="Arial" w:cs="Arial"/>
          <w:sz w:val="24"/>
          <w:szCs w:val="24"/>
        </w:rPr>
        <w:t xml:space="preserve">submitted to the IESO </w:t>
      </w:r>
      <w:r w:rsidR="003D5278">
        <w:rPr>
          <w:rFonts w:ascii="Arial" w:hAnsi="Arial" w:cs="Arial"/>
          <w:sz w:val="24"/>
          <w:szCs w:val="24"/>
        </w:rPr>
        <w:t xml:space="preserve">in </w:t>
      </w:r>
      <w:r w:rsidR="002578BF">
        <w:rPr>
          <w:rFonts w:ascii="Arial" w:hAnsi="Arial" w:cs="Arial"/>
          <w:sz w:val="24"/>
          <w:szCs w:val="24"/>
        </w:rPr>
        <w:t xml:space="preserve">CNPI’s </w:t>
      </w:r>
      <w:r w:rsidR="003D5278">
        <w:rPr>
          <w:rFonts w:ascii="Arial" w:hAnsi="Arial" w:cs="Arial"/>
          <w:sz w:val="24"/>
          <w:szCs w:val="24"/>
        </w:rPr>
        <w:t xml:space="preserve">August </w:t>
      </w:r>
      <w:r w:rsidR="002578BF">
        <w:rPr>
          <w:rFonts w:ascii="Arial" w:hAnsi="Arial" w:cs="Arial"/>
          <w:sz w:val="24"/>
          <w:szCs w:val="24"/>
        </w:rPr>
        <w:t xml:space="preserve">2019 submission </w:t>
      </w:r>
      <w:r w:rsidR="003D5278">
        <w:rPr>
          <w:rFonts w:ascii="Arial" w:hAnsi="Arial" w:cs="Arial"/>
          <w:sz w:val="24"/>
          <w:szCs w:val="24"/>
        </w:rPr>
        <w:t>(by 4</w:t>
      </w:r>
      <w:r w:rsidR="003D5278" w:rsidRPr="003D5278">
        <w:rPr>
          <w:rFonts w:ascii="Arial" w:hAnsi="Arial" w:cs="Arial"/>
          <w:sz w:val="24"/>
          <w:szCs w:val="24"/>
          <w:vertAlign w:val="superscript"/>
        </w:rPr>
        <w:t>th</w:t>
      </w:r>
      <w:r w:rsidR="003D5278">
        <w:rPr>
          <w:rFonts w:ascii="Arial" w:hAnsi="Arial" w:cs="Arial"/>
          <w:sz w:val="24"/>
          <w:szCs w:val="24"/>
        </w:rPr>
        <w:t xml:space="preserve"> business day of September), </w:t>
      </w:r>
      <w:r w:rsidR="00B35B9A">
        <w:rPr>
          <w:rFonts w:ascii="Arial" w:hAnsi="Arial" w:cs="Arial"/>
          <w:sz w:val="24"/>
          <w:szCs w:val="24"/>
        </w:rPr>
        <w:t>a</w:t>
      </w:r>
      <w:r w:rsidR="00004F89">
        <w:rPr>
          <w:rFonts w:ascii="Arial" w:hAnsi="Arial" w:cs="Arial"/>
          <w:sz w:val="24"/>
          <w:szCs w:val="24"/>
        </w:rPr>
        <w:t xml:space="preserve">s well as </w:t>
      </w:r>
      <w:r w:rsidR="00B35B9A">
        <w:rPr>
          <w:rFonts w:ascii="Arial" w:hAnsi="Arial" w:cs="Arial"/>
          <w:sz w:val="24"/>
          <w:szCs w:val="24"/>
        </w:rPr>
        <w:t xml:space="preserve">reflected in </w:t>
      </w:r>
      <w:r w:rsidR="002578BF">
        <w:rPr>
          <w:rFonts w:ascii="Arial" w:hAnsi="Arial" w:cs="Arial"/>
          <w:sz w:val="24"/>
          <w:szCs w:val="24"/>
        </w:rPr>
        <w:t xml:space="preserve">the </w:t>
      </w:r>
      <w:r w:rsidR="00B35B9A">
        <w:rPr>
          <w:rFonts w:ascii="Arial" w:hAnsi="Arial" w:cs="Arial"/>
          <w:sz w:val="24"/>
          <w:szCs w:val="24"/>
        </w:rPr>
        <w:t xml:space="preserve">DVA account balances.  CNPI has also performed </w:t>
      </w:r>
      <w:r w:rsidR="00B4653D">
        <w:rPr>
          <w:rFonts w:ascii="Arial" w:hAnsi="Arial" w:cs="Arial"/>
          <w:sz w:val="24"/>
          <w:szCs w:val="24"/>
        </w:rPr>
        <w:t>a recalculation of 2017 and 2018 RPP settlement amounts</w:t>
      </w:r>
      <w:r w:rsidR="003D5278">
        <w:rPr>
          <w:rFonts w:ascii="Arial" w:hAnsi="Arial" w:cs="Arial"/>
          <w:sz w:val="24"/>
          <w:szCs w:val="24"/>
        </w:rPr>
        <w:t xml:space="preserve">, and the differences have </w:t>
      </w:r>
      <w:r w:rsidR="00004F89">
        <w:rPr>
          <w:rFonts w:ascii="Arial" w:hAnsi="Arial" w:cs="Arial"/>
          <w:sz w:val="24"/>
          <w:szCs w:val="24"/>
        </w:rPr>
        <w:t xml:space="preserve">been </w:t>
      </w:r>
      <w:r w:rsidR="00690473">
        <w:rPr>
          <w:rFonts w:ascii="Arial" w:hAnsi="Arial" w:cs="Arial"/>
          <w:sz w:val="24"/>
          <w:szCs w:val="24"/>
        </w:rPr>
        <w:t xml:space="preserve">quantified in </w:t>
      </w:r>
      <w:r w:rsidR="00F1132D">
        <w:rPr>
          <w:rFonts w:ascii="Arial" w:hAnsi="Arial" w:cs="Arial"/>
          <w:sz w:val="24"/>
          <w:szCs w:val="24"/>
        </w:rPr>
        <w:t xml:space="preserve">the </w:t>
      </w:r>
      <w:r w:rsidR="00690473">
        <w:rPr>
          <w:rFonts w:ascii="Arial" w:hAnsi="Arial" w:cs="Arial"/>
          <w:sz w:val="24"/>
          <w:szCs w:val="24"/>
        </w:rPr>
        <w:t>table below</w:t>
      </w:r>
      <w:r w:rsidR="00B4653D">
        <w:rPr>
          <w:rFonts w:ascii="Arial" w:hAnsi="Arial" w:cs="Arial"/>
          <w:sz w:val="24"/>
          <w:szCs w:val="24"/>
        </w:rPr>
        <w:t xml:space="preserve">.  As of August 31, 2019, CNPI also </w:t>
      </w:r>
      <w:r w:rsidR="002825CC">
        <w:rPr>
          <w:rFonts w:ascii="Arial" w:hAnsi="Arial" w:cs="Arial"/>
          <w:sz w:val="24"/>
          <w:szCs w:val="24"/>
        </w:rPr>
        <w:t>updat</w:t>
      </w:r>
      <w:r w:rsidR="00B4653D">
        <w:rPr>
          <w:rFonts w:ascii="Arial" w:hAnsi="Arial" w:cs="Arial"/>
          <w:sz w:val="24"/>
          <w:szCs w:val="24"/>
        </w:rPr>
        <w:t>ed</w:t>
      </w:r>
      <w:r w:rsidR="002825CC">
        <w:rPr>
          <w:rFonts w:ascii="Arial" w:hAnsi="Arial" w:cs="Arial"/>
          <w:sz w:val="24"/>
          <w:szCs w:val="24"/>
        </w:rPr>
        <w:t xml:space="preserve"> its month-end unbilled estimates to better align with the guidance</w:t>
      </w:r>
      <w:r>
        <w:rPr>
          <w:rFonts w:ascii="Arial" w:hAnsi="Arial" w:cs="Arial"/>
          <w:sz w:val="24"/>
          <w:szCs w:val="24"/>
        </w:rPr>
        <w:t xml:space="preserve">.  </w:t>
      </w:r>
    </w:p>
    <w:p w14:paraId="431DE3DC" w14:textId="77777777" w:rsidR="00CB4BBC" w:rsidRPr="00CB4BBC" w:rsidRDefault="00CB4BBC" w:rsidP="00CB4BBC">
      <w:pPr>
        <w:pStyle w:val="ListParagraph"/>
        <w:rPr>
          <w:rFonts w:ascii="Arial" w:hAnsi="Arial" w:cs="Arial"/>
          <w:sz w:val="24"/>
          <w:szCs w:val="24"/>
        </w:rPr>
      </w:pPr>
    </w:p>
    <w:p w14:paraId="04109B1E" w14:textId="4F81750A" w:rsidR="002825CC" w:rsidRDefault="002825CC" w:rsidP="00CB4BBC">
      <w:pPr>
        <w:pStyle w:val="ListParagraph"/>
        <w:rPr>
          <w:rFonts w:ascii="Arial" w:hAnsi="Arial" w:cs="Arial"/>
          <w:sz w:val="24"/>
          <w:szCs w:val="24"/>
        </w:rPr>
      </w:pPr>
      <w:r w:rsidRPr="00B35B9A">
        <w:rPr>
          <w:rFonts w:ascii="Arial" w:hAnsi="Arial" w:cs="Arial"/>
          <w:sz w:val="24"/>
          <w:szCs w:val="24"/>
        </w:rPr>
        <w:t xml:space="preserve">The remaining month-end “process” related implementation of the </w:t>
      </w:r>
      <w:r w:rsidR="00CB4BBC">
        <w:rPr>
          <w:rFonts w:ascii="Arial" w:hAnsi="Arial" w:cs="Arial"/>
          <w:sz w:val="24"/>
          <w:szCs w:val="24"/>
        </w:rPr>
        <w:t xml:space="preserve">accounting </w:t>
      </w:r>
      <w:r w:rsidRPr="00B35B9A">
        <w:rPr>
          <w:rFonts w:ascii="Arial" w:hAnsi="Arial" w:cs="Arial"/>
          <w:sz w:val="24"/>
          <w:szCs w:val="24"/>
        </w:rPr>
        <w:t>guidance has been delayed due to system implementation timing limitations</w:t>
      </w:r>
      <w:r w:rsidR="00B4653D" w:rsidRPr="00B35B9A">
        <w:rPr>
          <w:rFonts w:ascii="Arial" w:hAnsi="Arial" w:cs="Arial"/>
          <w:sz w:val="24"/>
          <w:szCs w:val="24"/>
        </w:rPr>
        <w:t xml:space="preserve">, but CNPI will ensure that all 1588, 1589, 4705 and 4707 2019 </w:t>
      </w:r>
      <w:r w:rsidR="00690473" w:rsidRPr="00B35B9A">
        <w:rPr>
          <w:rFonts w:ascii="Arial" w:hAnsi="Arial" w:cs="Arial"/>
          <w:sz w:val="24"/>
          <w:szCs w:val="24"/>
        </w:rPr>
        <w:t xml:space="preserve">year-end </w:t>
      </w:r>
      <w:r w:rsidR="00CB4BBC">
        <w:rPr>
          <w:rFonts w:ascii="Arial" w:hAnsi="Arial" w:cs="Arial"/>
          <w:sz w:val="24"/>
          <w:szCs w:val="24"/>
        </w:rPr>
        <w:t xml:space="preserve">RRR filing </w:t>
      </w:r>
      <w:r w:rsidR="00B4653D" w:rsidRPr="00B35B9A">
        <w:rPr>
          <w:rFonts w:ascii="Arial" w:hAnsi="Arial" w:cs="Arial"/>
          <w:sz w:val="24"/>
          <w:szCs w:val="24"/>
        </w:rPr>
        <w:t>reported balances will be reflective of the new guidance</w:t>
      </w:r>
      <w:r w:rsidRPr="00B35B9A">
        <w:rPr>
          <w:rFonts w:ascii="Arial" w:hAnsi="Arial" w:cs="Arial"/>
          <w:sz w:val="24"/>
          <w:szCs w:val="24"/>
        </w:rPr>
        <w:t xml:space="preserve">; hence why CNPI is requesting final disposition of its 2017 and 2018 Group 1 DVA account balances as part of the current application.  </w:t>
      </w:r>
    </w:p>
    <w:p w14:paraId="3473EE67" w14:textId="77777777" w:rsidR="00CB4BBC" w:rsidRPr="00B35B9A" w:rsidRDefault="00CB4BBC" w:rsidP="00CB4BBC">
      <w:pPr>
        <w:pStyle w:val="ListParagraph"/>
        <w:rPr>
          <w:rFonts w:ascii="Arial" w:hAnsi="Arial" w:cs="Arial"/>
          <w:b/>
          <w:sz w:val="24"/>
          <w:szCs w:val="24"/>
        </w:rPr>
      </w:pPr>
    </w:p>
    <w:p w14:paraId="7ED45D36" w14:textId="6A270D96" w:rsidR="00411D9F" w:rsidRDefault="002825CC" w:rsidP="00411D9F">
      <w:pPr>
        <w:pStyle w:val="ListParagraph"/>
        <w:rPr>
          <w:rFonts w:ascii="Arial" w:hAnsi="Arial" w:cs="Arial"/>
          <w:sz w:val="24"/>
          <w:szCs w:val="24"/>
        </w:rPr>
      </w:pPr>
      <w:r>
        <w:rPr>
          <w:rFonts w:ascii="Arial" w:hAnsi="Arial" w:cs="Arial"/>
          <w:sz w:val="24"/>
          <w:szCs w:val="24"/>
        </w:rPr>
        <w:lastRenderedPageBreak/>
        <w:t xml:space="preserve">As part of its review of the </w:t>
      </w:r>
      <w:r w:rsidRPr="004F7D19">
        <w:rPr>
          <w:rFonts w:ascii="Arial" w:hAnsi="Arial" w:cs="Arial"/>
          <w:sz w:val="24"/>
          <w:szCs w:val="24"/>
        </w:rPr>
        <w:t>OEB’s February 21, 2019 accounting guidance related to Accounts 1588 and 1589</w:t>
      </w:r>
      <w:r>
        <w:rPr>
          <w:rFonts w:ascii="Arial" w:hAnsi="Arial" w:cs="Arial"/>
          <w:sz w:val="24"/>
          <w:szCs w:val="24"/>
        </w:rPr>
        <w:t xml:space="preserve">, CNPI noted that the RPP settlements approach </w:t>
      </w:r>
      <w:r w:rsidR="0063711D">
        <w:rPr>
          <w:rFonts w:ascii="Arial" w:hAnsi="Arial" w:cs="Arial"/>
          <w:sz w:val="24"/>
          <w:szCs w:val="24"/>
        </w:rPr>
        <w:t xml:space="preserve">outlined in the guidance varied slightly from the </w:t>
      </w:r>
      <w:r w:rsidR="00DF1079">
        <w:rPr>
          <w:rFonts w:ascii="Arial" w:hAnsi="Arial" w:cs="Arial"/>
          <w:sz w:val="24"/>
          <w:szCs w:val="24"/>
        </w:rPr>
        <w:t xml:space="preserve">RPP settlements </w:t>
      </w:r>
      <w:r w:rsidR="0063711D">
        <w:rPr>
          <w:rFonts w:ascii="Arial" w:hAnsi="Arial" w:cs="Arial"/>
          <w:sz w:val="24"/>
          <w:szCs w:val="24"/>
        </w:rPr>
        <w:t xml:space="preserve">that CNPI had been historically </w:t>
      </w:r>
      <w:r w:rsidR="00DF1079">
        <w:rPr>
          <w:rFonts w:ascii="Arial" w:hAnsi="Arial" w:cs="Arial"/>
          <w:sz w:val="24"/>
          <w:szCs w:val="24"/>
        </w:rPr>
        <w:t>completing</w:t>
      </w:r>
      <w:r w:rsidR="00CB4BBC">
        <w:rPr>
          <w:rFonts w:ascii="Arial" w:hAnsi="Arial" w:cs="Arial"/>
          <w:sz w:val="24"/>
          <w:szCs w:val="24"/>
        </w:rPr>
        <w:t xml:space="preserve"> and reporting</w:t>
      </w:r>
      <w:r w:rsidR="0063711D">
        <w:rPr>
          <w:rFonts w:ascii="Arial" w:hAnsi="Arial" w:cs="Arial"/>
          <w:sz w:val="24"/>
          <w:szCs w:val="24"/>
        </w:rPr>
        <w:t xml:space="preserve">.  </w:t>
      </w:r>
      <w:r w:rsidR="00411D9F">
        <w:rPr>
          <w:rFonts w:ascii="Arial" w:hAnsi="Arial" w:cs="Arial"/>
          <w:sz w:val="24"/>
          <w:szCs w:val="24"/>
        </w:rPr>
        <w:t xml:space="preserve">For example, </w:t>
      </w:r>
      <w:r w:rsidR="00037391">
        <w:rPr>
          <w:rFonts w:ascii="Arial" w:hAnsi="Arial" w:cs="Arial"/>
          <w:sz w:val="24"/>
          <w:szCs w:val="24"/>
        </w:rPr>
        <w:t>all GA amounts calculated in the RPP settlements process that were part of charge type 142/1142</w:t>
      </w:r>
      <w:r w:rsidR="00B4653D">
        <w:rPr>
          <w:rFonts w:ascii="Arial" w:hAnsi="Arial" w:cs="Arial"/>
          <w:sz w:val="24"/>
          <w:szCs w:val="24"/>
        </w:rPr>
        <w:t xml:space="preserve"> on IESO invoices,</w:t>
      </w:r>
      <w:r w:rsidR="00037391">
        <w:rPr>
          <w:rFonts w:ascii="Arial" w:hAnsi="Arial" w:cs="Arial"/>
          <w:sz w:val="24"/>
          <w:szCs w:val="24"/>
        </w:rPr>
        <w:t xml:space="preserve"> </w:t>
      </w:r>
      <w:r w:rsidR="00B4653D">
        <w:rPr>
          <w:rFonts w:ascii="Arial" w:hAnsi="Arial" w:cs="Arial"/>
          <w:sz w:val="24"/>
          <w:szCs w:val="24"/>
        </w:rPr>
        <w:t xml:space="preserve">had been </w:t>
      </w:r>
      <w:r w:rsidR="00037391">
        <w:rPr>
          <w:rFonts w:ascii="Arial" w:hAnsi="Arial" w:cs="Arial"/>
          <w:sz w:val="24"/>
          <w:szCs w:val="24"/>
        </w:rPr>
        <w:t xml:space="preserve">posted to OEB </w:t>
      </w:r>
      <w:r w:rsidR="00B4653D">
        <w:rPr>
          <w:rFonts w:ascii="Arial" w:hAnsi="Arial" w:cs="Arial"/>
          <w:sz w:val="24"/>
          <w:szCs w:val="24"/>
        </w:rPr>
        <w:t>4707/</w:t>
      </w:r>
      <w:r w:rsidR="00037391">
        <w:rPr>
          <w:rFonts w:ascii="Arial" w:hAnsi="Arial" w:cs="Arial"/>
          <w:sz w:val="24"/>
          <w:szCs w:val="24"/>
        </w:rPr>
        <w:t>1589</w:t>
      </w:r>
      <w:r w:rsidR="00B4653D">
        <w:rPr>
          <w:rFonts w:ascii="Arial" w:hAnsi="Arial" w:cs="Arial"/>
          <w:sz w:val="24"/>
          <w:szCs w:val="24"/>
        </w:rPr>
        <w:t xml:space="preserve"> instead of 4705/1588.  Also, </w:t>
      </w:r>
      <w:r w:rsidR="00037391">
        <w:rPr>
          <w:rFonts w:ascii="Arial" w:hAnsi="Arial" w:cs="Arial"/>
          <w:sz w:val="24"/>
          <w:szCs w:val="24"/>
        </w:rPr>
        <w:t xml:space="preserve">all Class B Global Adjustment amounts in charge type 148 </w:t>
      </w:r>
      <w:r w:rsidR="00B4653D">
        <w:rPr>
          <w:rFonts w:ascii="Arial" w:hAnsi="Arial" w:cs="Arial"/>
          <w:sz w:val="24"/>
          <w:szCs w:val="24"/>
        </w:rPr>
        <w:t xml:space="preserve">on </w:t>
      </w:r>
      <w:r w:rsidR="00037391">
        <w:rPr>
          <w:rFonts w:ascii="Arial" w:hAnsi="Arial" w:cs="Arial"/>
          <w:sz w:val="24"/>
          <w:szCs w:val="24"/>
        </w:rPr>
        <w:t>IESO invoices</w:t>
      </w:r>
      <w:r w:rsidR="00B4653D">
        <w:rPr>
          <w:rFonts w:ascii="Arial" w:hAnsi="Arial" w:cs="Arial"/>
          <w:sz w:val="24"/>
          <w:szCs w:val="24"/>
        </w:rPr>
        <w:t xml:space="preserve"> had been posted to OEB 4707/1589, instead of posting the RPP portion of Class B to 4705/1588</w:t>
      </w:r>
      <w:r w:rsidR="00037391">
        <w:rPr>
          <w:rFonts w:ascii="Arial" w:hAnsi="Arial" w:cs="Arial"/>
          <w:sz w:val="24"/>
          <w:szCs w:val="24"/>
        </w:rPr>
        <w:t>.  Additionally, CNPI historically used the</w:t>
      </w:r>
      <w:r w:rsidR="00B4653D">
        <w:rPr>
          <w:rFonts w:ascii="Arial" w:hAnsi="Arial" w:cs="Arial"/>
          <w:sz w:val="24"/>
          <w:szCs w:val="24"/>
        </w:rPr>
        <w:t xml:space="preserve"> average </w:t>
      </w:r>
      <w:r w:rsidR="00B4653D" w:rsidRPr="00B4653D">
        <w:rPr>
          <w:rFonts w:ascii="Arial" w:hAnsi="Arial" w:cs="Arial"/>
          <w:sz w:val="24"/>
          <w:szCs w:val="24"/>
        </w:rPr>
        <w:t>weighted price obtained from an independent 3rd party database</w:t>
      </w:r>
      <w:r w:rsidR="00B4653D">
        <w:rPr>
          <w:rFonts w:ascii="Arial" w:hAnsi="Arial" w:cs="Arial"/>
          <w:sz w:val="24"/>
          <w:szCs w:val="24"/>
        </w:rPr>
        <w:t xml:space="preserve">, rather than following the </w:t>
      </w:r>
      <w:r w:rsidR="00690473">
        <w:rPr>
          <w:rFonts w:ascii="Arial" w:hAnsi="Arial" w:cs="Arial"/>
          <w:sz w:val="24"/>
          <w:szCs w:val="24"/>
        </w:rPr>
        <w:t xml:space="preserve">exact </w:t>
      </w:r>
      <w:r w:rsidR="00B4653D">
        <w:rPr>
          <w:rFonts w:ascii="Arial" w:hAnsi="Arial" w:cs="Arial"/>
          <w:sz w:val="24"/>
          <w:szCs w:val="24"/>
        </w:rPr>
        <w:t xml:space="preserve">calculation methodology prescribed in the guidance.  Finally, the </w:t>
      </w:r>
      <w:proofErr w:type="spellStart"/>
      <w:r w:rsidR="00B4653D">
        <w:rPr>
          <w:rFonts w:ascii="Arial" w:hAnsi="Arial" w:cs="Arial"/>
          <w:sz w:val="24"/>
          <w:szCs w:val="24"/>
        </w:rPr>
        <w:t>kWhs</w:t>
      </w:r>
      <w:proofErr w:type="spellEnd"/>
      <w:r w:rsidR="00B4653D">
        <w:rPr>
          <w:rFonts w:ascii="Arial" w:hAnsi="Arial" w:cs="Arial"/>
          <w:sz w:val="24"/>
          <w:szCs w:val="24"/>
        </w:rPr>
        <w:t xml:space="preserve"> used in the </w:t>
      </w:r>
      <w:r w:rsidR="00BF10AC">
        <w:rPr>
          <w:rFonts w:ascii="Arial" w:hAnsi="Arial" w:cs="Arial"/>
          <w:sz w:val="24"/>
          <w:szCs w:val="24"/>
        </w:rPr>
        <w:t xml:space="preserve">RPP settlements process was based on billed loss adjusted </w:t>
      </w:r>
      <w:proofErr w:type="spellStart"/>
      <w:r w:rsidR="00BF10AC">
        <w:rPr>
          <w:rFonts w:ascii="Arial" w:hAnsi="Arial" w:cs="Arial"/>
          <w:sz w:val="24"/>
          <w:szCs w:val="24"/>
        </w:rPr>
        <w:t>kWhs</w:t>
      </w:r>
      <w:proofErr w:type="spellEnd"/>
      <w:r w:rsidR="00BF10AC">
        <w:rPr>
          <w:rFonts w:ascii="Arial" w:hAnsi="Arial" w:cs="Arial"/>
          <w:sz w:val="24"/>
          <w:szCs w:val="24"/>
        </w:rPr>
        <w:t xml:space="preserve">, rather than ensuring that the aggregate of RPP and non-RPP </w:t>
      </w:r>
      <w:proofErr w:type="spellStart"/>
      <w:r w:rsidR="00BF10AC">
        <w:rPr>
          <w:rFonts w:ascii="Arial" w:hAnsi="Arial" w:cs="Arial"/>
          <w:sz w:val="24"/>
          <w:szCs w:val="24"/>
        </w:rPr>
        <w:t>kWhs</w:t>
      </w:r>
      <w:proofErr w:type="spellEnd"/>
      <w:r w:rsidR="00BF10AC">
        <w:rPr>
          <w:rFonts w:ascii="Arial" w:hAnsi="Arial" w:cs="Arial"/>
          <w:sz w:val="24"/>
          <w:szCs w:val="24"/>
        </w:rPr>
        <w:t xml:space="preserve"> agreed to total system load for the period</w:t>
      </w:r>
      <w:r w:rsidR="00CB4BBC">
        <w:rPr>
          <w:rFonts w:ascii="Arial" w:hAnsi="Arial" w:cs="Arial"/>
          <w:sz w:val="24"/>
          <w:szCs w:val="24"/>
        </w:rPr>
        <w:t xml:space="preserve"> being settled</w:t>
      </w:r>
      <w:r w:rsidR="00BF10AC">
        <w:rPr>
          <w:rFonts w:ascii="Arial" w:hAnsi="Arial" w:cs="Arial"/>
          <w:sz w:val="24"/>
          <w:szCs w:val="24"/>
        </w:rPr>
        <w:t>.</w:t>
      </w:r>
    </w:p>
    <w:p w14:paraId="05274E5F" w14:textId="77777777" w:rsidR="00411D9F" w:rsidRDefault="00411D9F" w:rsidP="002825CC">
      <w:pPr>
        <w:pStyle w:val="ListParagraph"/>
        <w:rPr>
          <w:rFonts w:ascii="Arial" w:hAnsi="Arial" w:cs="Arial"/>
          <w:sz w:val="24"/>
          <w:szCs w:val="24"/>
        </w:rPr>
      </w:pPr>
    </w:p>
    <w:p w14:paraId="5412D190" w14:textId="217DED57" w:rsidR="002825CC" w:rsidRDefault="00411D9F" w:rsidP="002825CC">
      <w:pPr>
        <w:pStyle w:val="ListParagraph"/>
        <w:rPr>
          <w:rFonts w:ascii="Arial" w:hAnsi="Arial" w:cs="Arial"/>
          <w:sz w:val="24"/>
          <w:szCs w:val="24"/>
        </w:rPr>
      </w:pPr>
      <w:r>
        <w:rPr>
          <w:rFonts w:ascii="Arial" w:hAnsi="Arial" w:cs="Arial"/>
          <w:sz w:val="24"/>
          <w:szCs w:val="24"/>
        </w:rPr>
        <w:t>CNPI has quantified the variance between CNPI historical</w:t>
      </w:r>
      <w:r w:rsidR="00CB4BBC">
        <w:rPr>
          <w:rFonts w:ascii="Arial" w:hAnsi="Arial" w:cs="Arial"/>
          <w:sz w:val="24"/>
          <w:szCs w:val="24"/>
        </w:rPr>
        <w:t xml:space="preserve">ly reported values </w:t>
      </w:r>
      <w:r>
        <w:rPr>
          <w:rFonts w:ascii="Arial" w:hAnsi="Arial" w:cs="Arial"/>
          <w:sz w:val="24"/>
          <w:szCs w:val="24"/>
        </w:rPr>
        <w:t xml:space="preserve">as presented in </w:t>
      </w:r>
      <w:r w:rsidR="00CB4BBC">
        <w:rPr>
          <w:rFonts w:ascii="Arial" w:hAnsi="Arial" w:cs="Arial"/>
          <w:sz w:val="24"/>
          <w:szCs w:val="24"/>
        </w:rPr>
        <w:t xml:space="preserve">the </w:t>
      </w:r>
      <w:r>
        <w:rPr>
          <w:rFonts w:ascii="Arial" w:hAnsi="Arial" w:cs="Arial"/>
          <w:sz w:val="24"/>
          <w:szCs w:val="24"/>
        </w:rPr>
        <w:t xml:space="preserve">DVA balances within this application, and the amounts calculated in accordance with the </w:t>
      </w:r>
      <w:r w:rsidRPr="004F7D19">
        <w:rPr>
          <w:rFonts w:ascii="Arial" w:hAnsi="Arial" w:cs="Arial"/>
          <w:sz w:val="24"/>
          <w:szCs w:val="24"/>
        </w:rPr>
        <w:t>OEB’s February 21, 2019 accounting guidance related to Accounts 1588 and 1589</w:t>
      </w:r>
      <w:r>
        <w:rPr>
          <w:rFonts w:ascii="Arial" w:hAnsi="Arial" w:cs="Arial"/>
          <w:sz w:val="24"/>
          <w:szCs w:val="24"/>
        </w:rPr>
        <w:t xml:space="preserve">.  </w:t>
      </w:r>
      <w:r w:rsidR="009F5C8A">
        <w:rPr>
          <w:rFonts w:ascii="Arial" w:hAnsi="Arial" w:cs="Arial"/>
          <w:sz w:val="24"/>
          <w:szCs w:val="24"/>
        </w:rPr>
        <w:t xml:space="preserve">The table below outlines </w:t>
      </w:r>
      <w:r w:rsidR="0063711D">
        <w:rPr>
          <w:rFonts w:ascii="Arial" w:hAnsi="Arial" w:cs="Arial"/>
          <w:sz w:val="24"/>
          <w:szCs w:val="24"/>
        </w:rPr>
        <w:t xml:space="preserve">a summary of the adjustments </w:t>
      </w:r>
      <w:r w:rsidR="009F5C8A">
        <w:rPr>
          <w:rFonts w:ascii="Arial" w:hAnsi="Arial" w:cs="Arial"/>
          <w:sz w:val="24"/>
          <w:szCs w:val="24"/>
        </w:rPr>
        <w:t>that would need to be considered</w:t>
      </w:r>
      <w:r>
        <w:rPr>
          <w:rFonts w:ascii="Arial" w:hAnsi="Arial" w:cs="Arial"/>
          <w:sz w:val="24"/>
          <w:szCs w:val="24"/>
        </w:rPr>
        <w:t>, for each of</w:t>
      </w:r>
      <w:r w:rsidR="009F5C8A">
        <w:rPr>
          <w:rFonts w:ascii="Arial" w:hAnsi="Arial" w:cs="Arial"/>
          <w:sz w:val="24"/>
          <w:szCs w:val="24"/>
        </w:rPr>
        <w:t xml:space="preserve"> 2017 and 2018</w:t>
      </w:r>
      <w:r>
        <w:rPr>
          <w:rFonts w:ascii="Arial" w:hAnsi="Arial" w:cs="Arial"/>
          <w:sz w:val="24"/>
          <w:szCs w:val="24"/>
        </w:rPr>
        <w:t>, in the</w:t>
      </w:r>
      <w:r w:rsidR="00E6345C">
        <w:rPr>
          <w:rFonts w:ascii="Arial" w:hAnsi="Arial" w:cs="Arial"/>
          <w:sz w:val="24"/>
          <w:szCs w:val="24"/>
        </w:rPr>
        <w:t xml:space="preserve"> 1588 and 1589 accounts</w:t>
      </w:r>
      <w:r w:rsidR="0063711D">
        <w:rPr>
          <w:rFonts w:ascii="Arial" w:hAnsi="Arial" w:cs="Arial"/>
          <w:sz w:val="24"/>
          <w:szCs w:val="24"/>
        </w:rPr>
        <w:t>:</w:t>
      </w:r>
    </w:p>
    <w:p w14:paraId="6773877F" w14:textId="2CFFBA6A" w:rsidR="00E6345C" w:rsidRDefault="00E6345C" w:rsidP="002825CC">
      <w:pPr>
        <w:pStyle w:val="ListParagraph"/>
        <w:rPr>
          <w:rFonts w:ascii="Arial" w:hAnsi="Arial" w:cs="Arial"/>
          <w:sz w:val="24"/>
          <w:szCs w:val="24"/>
        </w:rPr>
      </w:pPr>
    </w:p>
    <w:tbl>
      <w:tblPr>
        <w:tblStyle w:val="TableGrid"/>
        <w:tblW w:w="0" w:type="auto"/>
        <w:jc w:val="center"/>
        <w:tblLook w:val="04A0" w:firstRow="1" w:lastRow="0" w:firstColumn="1" w:lastColumn="0" w:noHBand="0" w:noVBand="1"/>
      </w:tblPr>
      <w:tblGrid>
        <w:gridCol w:w="750"/>
        <w:gridCol w:w="1176"/>
        <w:gridCol w:w="2363"/>
      </w:tblGrid>
      <w:tr w:rsidR="0071191B" w14:paraId="3F183983" w14:textId="77777777" w:rsidTr="00411D9F">
        <w:trPr>
          <w:jc w:val="center"/>
        </w:trPr>
        <w:tc>
          <w:tcPr>
            <w:tcW w:w="0" w:type="auto"/>
          </w:tcPr>
          <w:p w14:paraId="06918D41" w14:textId="52B40C80" w:rsidR="0071191B" w:rsidRDefault="0071191B" w:rsidP="00E6345C">
            <w:pPr>
              <w:pStyle w:val="ListParagraph"/>
              <w:ind w:left="0"/>
              <w:rPr>
                <w:rFonts w:ascii="Arial" w:hAnsi="Arial" w:cs="Arial"/>
                <w:sz w:val="24"/>
                <w:szCs w:val="24"/>
              </w:rPr>
            </w:pPr>
            <w:r>
              <w:rPr>
                <w:rFonts w:ascii="Arial" w:hAnsi="Arial" w:cs="Arial"/>
                <w:b/>
                <w:sz w:val="24"/>
                <w:szCs w:val="24"/>
              </w:rPr>
              <w:t>Year</w:t>
            </w:r>
          </w:p>
        </w:tc>
        <w:tc>
          <w:tcPr>
            <w:tcW w:w="0" w:type="auto"/>
          </w:tcPr>
          <w:p w14:paraId="18E49C4E" w14:textId="60506CBB" w:rsidR="0071191B" w:rsidRDefault="0071191B" w:rsidP="00E6345C">
            <w:pPr>
              <w:pStyle w:val="ListParagraph"/>
              <w:ind w:left="0"/>
              <w:rPr>
                <w:rFonts w:ascii="Arial" w:hAnsi="Arial" w:cs="Arial"/>
                <w:sz w:val="24"/>
                <w:szCs w:val="24"/>
              </w:rPr>
            </w:pPr>
            <w:r>
              <w:rPr>
                <w:rFonts w:ascii="Arial" w:hAnsi="Arial" w:cs="Arial"/>
                <w:b/>
                <w:sz w:val="24"/>
                <w:szCs w:val="24"/>
              </w:rPr>
              <w:t>Account</w:t>
            </w:r>
          </w:p>
        </w:tc>
        <w:tc>
          <w:tcPr>
            <w:tcW w:w="0" w:type="auto"/>
          </w:tcPr>
          <w:p w14:paraId="154D1DD4" w14:textId="04D45B45" w:rsidR="0071191B" w:rsidRDefault="0071191B" w:rsidP="00E6345C">
            <w:pPr>
              <w:pStyle w:val="ListParagraph"/>
              <w:ind w:left="0"/>
              <w:rPr>
                <w:rFonts w:ascii="Arial" w:hAnsi="Arial" w:cs="Arial"/>
                <w:sz w:val="24"/>
                <w:szCs w:val="24"/>
              </w:rPr>
            </w:pPr>
            <w:r>
              <w:rPr>
                <w:rFonts w:ascii="Arial" w:hAnsi="Arial" w:cs="Arial"/>
                <w:b/>
                <w:sz w:val="24"/>
                <w:szCs w:val="24"/>
              </w:rPr>
              <w:t>Adjustment Dr (Cr)</w:t>
            </w:r>
          </w:p>
        </w:tc>
      </w:tr>
      <w:tr w:rsidR="0071191B" w14:paraId="0BD38687" w14:textId="77777777" w:rsidTr="00411D9F">
        <w:trPr>
          <w:jc w:val="center"/>
        </w:trPr>
        <w:tc>
          <w:tcPr>
            <w:tcW w:w="0" w:type="auto"/>
          </w:tcPr>
          <w:p w14:paraId="1F633813" w14:textId="488559C5" w:rsidR="0071191B" w:rsidRDefault="0071191B" w:rsidP="002825CC">
            <w:pPr>
              <w:pStyle w:val="ListParagraph"/>
              <w:ind w:left="0"/>
              <w:rPr>
                <w:rFonts w:ascii="Arial" w:hAnsi="Arial" w:cs="Arial"/>
                <w:sz w:val="24"/>
                <w:szCs w:val="24"/>
              </w:rPr>
            </w:pPr>
            <w:r>
              <w:rPr>
                <w:rFonts w:ascii="Arial" w:hAnsi="Arial" w:cs="Arial"/>
                <w:sz w:val="24"/>
                <w:szCs w:val="24"/>
              </w:rPr>
              <w:t>2017</w:t>
            </w:r>
          </w:p>
        </w:tc>
        <w:tc>
          <w:tcPr>
            <w:tcW w:w="0" w:type="auto"/>
          </w:tcPr>
          <w:p w14:paraId="3C6AF071" w14:textId="1670B6CE" w:rsidR="0071191B" w:rsidRDefault="0071191B" w:rsidP="002825CC">
            <w:pPr>
              <w:pStyle w:val="ListParagraph"/>
              <w:ind w:left="0"/>
              <w:rPr>
                <w:rFonts w:ascii="Arial" w:hAnsi="Arial" w:cs="Arial"/>
                <w:sz w:val="24"/>
                <w:szCs w:val="24"/>
              </w:rPr>
            </w:pPr>
            <w:r>
              <w:rPr>
                <w:rFonts w:ascii="Arial" w:hAnsi="Arial" w:cs="Arial"/>
                <w:sz w:val="24"/>
                <w:szCs w:val="24"/>
              </w:rPr>
              <w:t>1588</w:t>
            </w:r>
          </w:p>
        </w:tc>
        <w:tc>
          <w:tcPr>
            <w:tcW w:w="0" w:type="auto"/>
          </w:tcPr>
          <w:p w14:paraId="6D96FA16" w14:textId="586DD35A" w:rsidR="0071191B" w:rsidRDefault="0071191B" w:rsidP="002825CC">
            <w:pPr>
              <w:pStyle w:val="ListParagraph"/>
              <w:ind w:left="0"/>
              <w:rPr>
                <w:rFonts w:ascii="Arial" w:hAnsi="Arial" w:cs="Arial"/>
                <w:sz w:val="24"/>
                <w:szCs w:val="24"/>
              </w:rPr>
            </w:pPr>
            <w:r>
              <w:rPr>
                <w:rFonts w:ascii="Arial" w:hAnsi="Arial" w:cs="Arial"/>
                <w:sz w:val="24"/>
                <w:szCs w:val="24"/>
              </w:rPr>
              <w:t>$29,008</w:t>
            </w:r>
          </w:p>
        </w:tc>
      </w:tr>
      <w:tr w:rsidR="0071191B" w14:paraId="1264E67D" w14:textId="77777777" w:rsidTr="00411D9F">
        <w:trPr>
          <w:jc w:val="center"/>
        </w:trPr>
        <w:tc>
          <w:tcPr>
            <w:tcW w:w="0" w:type="auto"/>
          </w:tcPr>
          <w:p w14:paraId="4CDC9F11" w14:textId="69BEEC47" w:rsidR="0071191B" w:rsidRDefault="0071191B" w:rsidP="002825CC">
            <w:pPr>
              <w:pStyle w:val="ListParagraph"/>
              <w:ind w:left="0"/>
              <w:rPr>
                <w:rFonts w:ascii="Arial" w:hAnsi="Arial" w:cs="Arial"/>
                <w:sz w:val="24"/>
                <w:szCs w:val="24"/>
              </w:rPr>
            </w:pPr>
            <w:r>
              <w:rPr>
                <w:rFonts w:ascii="Arial" w:hAnsi="Arial" w:cs="Arial"/>
                <w:sz w:val="24"/>
                <w:szCs w:val="24"/>
              </w:rPr>
              <w:t>2017</w:t>
            </w:r>
          </w:p>
        </w:tc>
        <w:tc>
          <w:tcPr>
            <w:tcW w:w="0" w:type="auto"/>
          </w:tcPr>
          <w:p w14:paraId="46CF2797" w14:textId="6C12C488" w:rsidR="0071191B" w:rsidRDefault="0071191B" w:rsidP="002825CC">
            <w:pPr>
              <w:pStyle w:val="ListParagraph"/>
              <w:ind w:left="0"/>
              <w:rPr>
                <w:rFonts w:ascii="Arial" w:hAnsi="Arial" w:cs="Arial"/>
                <w:sz w:val="24"/>
                <w:szCs w:val="24"/>
              </w:rPr>
            </w:pPr>
            <w:r>
              <w:rPr>
                <w:rFonts w:ascii="Arial" w:hAnsi="Arial" w:cs="Arial"/>
                <w:sz w:val="24"/>
                <w:szCs w:val="24"/>
              </w:rPr>
              <w:t>1589</w:t>
            </w:r>
          </w:p>
        </w:tc>
        <w:tc>
          <w:tcPr>
            <w:tcW w:w="0" w:type="auto"/>
          </w:tcPr>
          <w:p w14:paraId="142EB296" w14:textId="7C342E0F" w:rsidR="0071191B" w:rsidRDefault="0071191B" w:rsidP="002825CC">
            <w:pPr>
              <w:pStyle w:val="ListParagraph"/>
              <w:ind w:left="0"/>
              <w:rPr>
                <w:rFonts w:ascii="Arial" w:hAnsi="Arial" w:cs="Arial"/>
                <w:sz w:val="24"/>
                <w:szCs w:val="24"/>
              </w:rPr>
            </w:pPr>
            <w:r>
              <w:rPr>
                <w:rFonts w:ascii="Arial" w:hAnsi="Arial" w:cs="Arial"/>
                <w:sz w:val="24"/>
                <w:szCs w:val="24"/>
              </w:rPr>
              <w:t>($39,002)</w:t>
            </w:r>
          </w:p>
        </w:tc>
      </w:tr>
      <w:tr w:rsidR="0071191B" w14:paraId="7CCB95A6" w14:textId="77777777" w:rsidTr="00411D9F">
        <w:trPr>
          <w:jc w:val="center"/>
        </w:trPr>
        <w:tc>
          <w:tcPr>
            <w:tcW w:w="0" w:type="auto"/>
          </w:tcPr>
          <w:p w14:paraId="43EB06B4" w14:textId="0A4B3599" w:rsidR="0071191B" w:rsidRDefault="0071191B" w:rsidP="002825CC">
            <w:pPr>
              <w:pStyle w:val="ListParagraph"/>
              <w:ind w:left="0"/>
              <w:rPr>
                <w:rFonts w:ascii="Arial" w:hAnsi="Arial" w:cs="Arial"/>
                <w:sz w:val="24"/>
                <w:szCs w:val="24"/>
              </w:rPr>
            </w:pPr>
            <w:r>
              <w:rPr>
                <w:rFonts w:ascii="Arial" w:hAnsi="Arial" w:cs="Arial"/>
                <w:sz w:val="24"/>
                <w:szCs w:val="24"/>
              </w:rPr>
              <w:t>2018</w:t>
            </w:r>
          </w:p>
        </w:tc>
        <w:tc>
          <w:tcPr>
            <w:tcW w:w="0" w:type="auto"/>
          </w:tcPr>
          <w:p w14:paraId="2A6CF132" w14:textId="1A2BF830" w:rsidR="0071191B" w:rsidRDefault="0071191B" w:rsidP="002825CC">
            <w:pPr>
              <w:pStyle w:val="ListParagraph"/>
              <w:ind w:left="0"/>
              <w:rPr>
                <w:rFonts w:ascii="Arial" w:hAnsi="Arial" w:cs="Arial"/>
                <w:sz w:val="24"/>
                <w:szCs w:val="24"/>
              </w:rPr>
            </w:pPr>
            <w:r>
              <w:rPr>
                <w:rFonts w:ascii="Arial" w:hAnsi="Arial" w:cs="Arial"/>
                <w:sz w:val="24"/>
                <w:szCs w:val="24"/>
              </w:rPr>
              <w:t>1588</w:t>
            </w:r>
          </w:p>
        </w:tc>
        <w:tc>
          <w:tcPr>
            <w:tcW w:w="0" w:type="auto"/>
          </w:tcPr>
          <w:p w14:paraId="306DE1C8" w14:textId="1066AD14" w:rsidR="0071191B" w:rsidRDefault="0071191B" w:rsidP="002825CC">
            <w:pPr>
              <w:pStyle w:val="ListParagraph"/>
              <w:ind w:left="0"/>
              <w:rPr>
                <w:rFonts w:ascii="Arial" w:hAnsi="Arial" w:cs="Arial"/>
                <w:sz w:val="24"/>
                <w:szCs w:val="24"/>
              </w:rPr>
            </w:pPr>
            <w:r>
              <w:rPr>
                <w:rFonts w:ascii="Arial" w:hAnsi="Arial" w:cs="Arial"/>
                <w:sz w:val="24"/>
                <w:szCs w:val="24"/>
              </w:rPr>
              <w:t>$114,209</w:t>
            </w:r>
          </w:p>
        </w:tc>
      </w:tr>
      <w:tr w:rsidR="0071191B" w14:paraId="651F6C0E" w14:textId="77777777" w:rsidTr="00411D9F">
        <w:trPr>
          <w:jc w:val="center"/>
        </w:trPr>
        <w:tc>
          <w:tcPr>
            <w:tcW w:w="0" w:type="auto"/>
          </w:tcPr>
          <w:p w14:paraId="2938EE41" w14:textId="5B2CEFBC" w:rsidR="0071191B" w:rsidRDefault="0071191B" w:rsidP="002825CC">
            <w:pPr>
              <w:pStyle w:val="ListParagraph"/>
              <w:ind w:left="0"/>
              <w:rPr>
                <w:rFonts w:ascii="Arial" w:hAnsi="Arial" w:cs="Arial"/>
                <w:sz w:val="24"/>
                <w:szCs w:val="24"/>
              </w:rPr>
            </w:pPr>
            <w:r>
              <w:rPr>
                <w:rFonts w:ascii="Arial" w:hAnsi="Arial" w:cs="Arial"/>
                <w:sz w:val="24"/>
                <w:szCs w:val="24"/>
              </w:rPr>
              <w:t>2018</w:t>
            </w:r>
          </w:p>
        </w:tc>
        <w:tc>
          <w:tcPr>
            <w:tcW w:w="0" w:type="auto"/>
          </w:tcPr>
          <w:p w14:paraId="0818EB4A" w14:textId="6169D99F" w:rsidR="0071191B" w:rsidRDefault="0071191B" w:rsidP="002825CC">
            <w:pPr>
              <w:pStyle w:val="ListParagraph"/>
              <w:ind w:left="0"/>
              <w:rPr>
                <w:rFonts w:ascii="Arial" w:hAnsi="Arial" w:cs="Arial"/>
                <w:sz w:val="24"/>
                <w:szCs w:val="24"/>
              </w:rPr>
            </w:pPr>
            <w:r>
              <w:rPr>
                <w:rFonts w:ascii="Arial" w:hAnsi="Arial" w:cs="Arial"/>
                <w:sz w:val="24"/>
                <w:szCs w:val="24"/>
              </w:rPr>
              <w:t>1589</w:t>
            </w:r>
          </w:p>
        </w:tc>
        <w:tc>
          <w:tcPr>
            <w:tcW w:w="0" w:type="auto"/>
          </w:tcPr>
          <w:p w14:paraId="3F0727C9" w14:textId="64CAAF8A" w:rsidR="0071191B" w:rsidRDefault="0071191B" w:rsidP="002825CC">
            <w:pPr>
              <w:pStyle w:val="ListParagraph"/>
              <w:ind w:left="0"/>
              <w:rPr>
                <w:rFonts w:ascii="Arial" w:hAnsi="Arial" w:cs="Arial"/>
                <w:sz w:val="24"/>
                <w:szCs w:val="24"/>
              </w:rPr>
            </w:pPr>
            <w:r>
              <w:rPr>
                <w:rFonts w:ascii="Arial" w:hAnsi="Arial" w:cs="Arial"/>
                <w:sz w:val="24"/>
                <w:szCs w:val="24"/>
              </w:rPr>
              <w:t>($33,293)</w:t>
            </w:r>
          </w:p>
        </w:tc>
      </w:tr>
    </w:tbl>
    <w:p w14:paraId="60CD4453" w14:textId="77777777" w:rsidR="0063711D" w:rsidRPr="002825CC" w:rsidRDefault="0063711D" w:rsidP="002825CC">
      <w:pPr>
        <w:pStyle w:val="ListParagraph"/>
        <w:rPr>
          <w:rFonts w:ascii="Arial" w:hAnsi="Arial" w:cs="Arial"/>
          <w:b/>
          <w:sz w:val="24"/>
          <w:szCs w:val="24"/>
        </w:rPr>
      </w:pPr>
    </w:p>
    <w:p w14:paraId="5817FC0B" w14:textId="74573A8A" w:rsidR="0063711D" w:rsidRPr="00BF10AC" w:rsidRDefault="0063711D" w:rsidP="004F7D19">
      <w:pPr>
        <w:pStyle w:val="ListParagraph"/>
        <w:numPr>
          <w:ilvl w:val="0"/>
          <w:numId w:val="31"/>
        </w:numPr>
        <w:rPr>
          <w:rFonts w:ascii="Arial" w:hAnsi="Arial" w:cs="Arial"/>
          <w:b/>
          <w:sz w:val="24"/>
          <w:szCs w:val="24"/>
        </w:rPr>
      </w:pPr>
      <w:r>
        <w:rPr>
          <w:rFonts w:ascii="Arial" w:hAnsi="Arial" w:cs="Arial"/>
          <w:sz w:val="24"/>
          <w:szCs w:val="24"/>
        </w:rPr>
        <w:t>Using the materiality calculation of 0.5% of annual GA and Cost of Power costs outlined in the Accounts 1588 and 1589 Q&amp;A’s</w:t>
      </w:r>
      <w:r w:rsidR="00F1132D">
        <w:rPr>
          <w:rFonts w:ascii="Arial" w:hAnsi="Arial" w:cs="Arial"/>
          <w:sz w:val="24"/>
          <w:szCs w:val="24"/>
        </w:rPr>
        <w:t xml:space="preserve"> released July 11, 2019</w:t>
      </w:r>
      <w:r>
        <w:rPr>
          <w:rFonts w:ascii="Arial" w:hAnsi="Arial" w:cs="Arial"/>
          <w:sz w:val="24"/>
          <w:szCs w:val="24"/>
        </w:rPr>
        <w:t xml:space="preserve">, CNPI has not made any further adjustments to the DVA balances sought for recovery in this proceeding.  Materiality was calculated </w:t>
      </w:r>
      <w:r w:rsidR="009F5C8A">
        <w:rPr>
          <w:rFonts w:ascii="Arial" w:hAnsi="Arial" w:cs="Arial"/>
          <w:sz w:val="24"/>
          <w:szCs w:val="24"/>
        </w:rPr>
        <w:t>in the table below</w:t>
      </w:r>
      <w:r>
        <w:rPr>
          <w:rFonts w:ascii="Arial" w:hAnsi="Arial" w:cs="Arial"/>
          <w:sz w:val="24"/>
          <w:szCs w:val="24"/>
        </w:rPr>
        <w:t>:</w:t>
      </w:r>
    </w:p>
    <w:p w14:paraId="1589ED63" w14:textId="77777777" w:rsidR="00BF10AC" w:rsidRPr="0063711D" w:rsidRDefault="00BF10AC" w:rsidP="00BF10AC">
      <w:pPr>
        <w:pStyle w:val="ListParagraph"/>
        <w:rPr>
          <w:rFonts w:ascii="Arial" w:hAnsi="Arial" w:cs="Arial"/>
          <w:b/>
          <w:sz w:val="24"/>
          <w:szCs w:val="24"/>
        </w:rPr>
      </w:pPr>
    </w:p>
    <w:tbl>
      <w:tblPr>
        <w:tblStyle w:val="TableGrid"/>
        <w:tblW w:w="0" w:type="auto"/>
        <w:jc w:val="center"/>
        <w:tblLook w:val="04A0" w:firstRow="1" w:lastRow="0" w:firstColumn="1" w:lastColumn="0" w:noHBand="0" w:noVBand="1"/>
      </w:tblPr>
      <w:tblGrid>
        <w:gridCol w:w="750"/>
        <w:gridCol w:w="1268"/>
        <w:gridCol w:w="1961"/>
        <w:gridCol w:w="1711"/>
        <w:gridCol w:w="1592"/>
        <w:gridCol w:w="2068"/>
      </w:tblGrid>
      <w:tr w:rsidR="0063711D" w14:paraId="394AF798" w14:textId="77777777" w:rsidTr="00411D9F">
        <w:trPr>
          <w:jc w:val="center"/>
        </w:trPr>
        <w:tc>
          <w:tcPr>
            <w:tcW w:w="0" w:type="auto"/>
          </w:tcPr>
          <w:p w14:paraId="790B1FB8" w14:textId="36268C46" w:rsidR="0063711D" w:rsidRDefault="0063711D" w:rsidP="0063711D">
            <w:pPr>
              <w:pStyle w:val="ListParagraph"/>
              <w:ind w:left="0"/>
              <w:rPr>
                <w:rFonts w:ascii="Arial" w:hAnsi="Arial" w:cs="Arial"/>
                <w:b/>
                <w:sz w:val="24"/>
                <w:szCs w:val="24"/>
              </w:rPr>
            </w:pPr>
            <w:r>
              <w:rPr>
                <w:rFonts w:ascii="Arial" w:hAnsi="Arial" w:cs="Arial"/>
                <w:b/>
                <w:sz w:val="24"/>
                <w:szCs w:val="24"/>
              </w:rPr>
              <w:t>Year</w:t>
            </w:r>
          </w:p>
        </w:tc>
        <w:tc>
          <w:tcPr>
            <w:tcW w:w="0" w:type="auto"/>
          </w:tcPr>
          <w:p w14:paraId="3ACCC0D8" w14:textId="18C7D56F" w:rsidR="0063711D" w:rsidRDefault="0063711D" w:rsidP="0063711D">
            <w:pPr>
              <w:pStyle w:val="ListParagraph"/>
              <w:ind w:left="0"/>
              <w:rPr>
                <w:rFonts w:ascii="Arial" w:hAnsi="Arial" w:cs="Arial"/>
                <w:b/>
                <w:sz w:val="24"/>
                <w:szCs w:val="24"/>
              </w:rPr>
            </w:pPr>
            <w:r>
              <w:rPr>
                <w:rFonts w:ascii="Arial" w:hAnsi="Arial" w:cs="Arial"/>
                <w:b/>
                <w:sz w:val="24"/>
                <w:szCs w:val="24"/>
              </w:rPr>
              <w:t>Account</w:t>
            </w:r>
          </w:p>
        </w:tc>
        <w:tc>
          <w:tcPr>
            <w:tcW w:w="0" w:type="auto"/>
          </w:tcPr>
          <w:p w14:paraId="5C0EE0A1" w14:textId="2F153039" w:rsidR="0063711D" w:rsidRDefault="0063711D" w:rsidP="0063711D">
            <w:pPr>
              <w:pStyle w:val="ListParagraph"/>
              <w:ind w:left="0"/>
              <w:rPr>
                <w:rFonts w:ascii="Arial" w:hAnsi="Arial" w:cs="Arial"/>
                <w:b/>
                <w:sz w:val="24"/>
                <w:szCs w:val="24"/>
              </w:rPr>
            </w:pPr>
            <w:r>
              <w:rPr>
                <w:rFonts w:ascii="Arial" w:hAnsi="Arial" w:cs="Arial"/>
                <w:b/>
                <w:sz w:val="24"/>
                <w:szCs w:val="24"/>
              </w:rPr>
              <w:t>2.1.7 RRR $ Amount Filed</w:t>
            </w:r>
          </w:p>
        </w:tc>
        <w:tc>
          <w:tcPr>
            <w:tcW w:w="0" w:type="auto"/>
          </w:tcPr>
          <w:p w14:paraId="41CC693D" w14:textId="1D374752" w:rsidR="0063711D" w:rsidRDefault="0063711D" w:rsidP="0063711D">
            <w:pPr>
              <w:pStyle w:val="ListParagraph"/>
              <w:ind w:left="0"/>
              <w:rPr>
                <w:rFonts w:ascii="Arial" w:hAnsi="Arial" w:cs="Arial"/>
                <w:b/>
                <w:sz w:val="24"/>
                <w:szCs w:val="24"/>
              </w:rPr>
            </w:pPr>
            <w:r>
              <w:rPr>
                <w:rFonts w:ascii="Arial" w:hAnsi="Arial" w:cs="Arial"/>
                <w:b/>
                <w:sz w:val="24"/>
                <w:szCs w:val="24"/>
              </w:rPr>
              <w:t>0.5% Materiality Calc</w:t>
            </w:r>
          </w:p>
        </w:tc>
        <w:tc>
          <w:tcPr>
            <w:tcW w:w="0" w:type="auto"/>
          </w:tcPr>
          <w:p w14:paraId="59EE2073" w14:textId="4DCDEB5F" w:rsidR="0063711D" w:rsidRDefault="0063711D" w:rsidP="0063711D">
            <w:pPr>
              <w:pStyle w:val="ListParagraph"/>
              <w:ind w:left="0"/>
              <w:rPr>
                <w:rFonts w:ascii="Arial" w:hAnsi="Arial" w:cs="Arial"/>
                <w:b/>
                <w:sz w:val="24"/>
                <w:szCs w:val="24"/>
              </w:rPr>
            </w:pPr>
            <w:r>
              <w:rPr>
                <w:rFonts w:ascii="Arial" w:hAnsi="Arial" w:cs="Arial"/>
                <w:b/>
                <w:sz w:val="24"/>
                <w:szCs w:val="24"/>
              </w:rPr>
              <w:t>Variance in b) Above</w:t>
            </w:r>
          </w:p>
        </w:tc>
        <w:tc>
          <w:tcPr>
            <w:tcW w:w="0" w:type="auto"/>
          </w:tcPr>
          <w:p w14:paraId="1F5FCD12" w14:textId="70E6AE4C" w:rsidR="0063711D" w:rsidRDefault="0063711D" w:rsidP="0063711D">
            <w:pPr>
              <w:pStyle w:val="ListParagraph"/>
              <w:ind w:left="0"/>
              <w:rPr>
                <w:rFonts w:ascii="Arial" w:hAnsi="Arial" w:cs="Arial"/>
                <w:b/>
                <w:sz w:val="24"/>
                <w:szCs w:val="24"/>
              </w:rPr>
            </w:pPr>
            <w:r>
              <w:rPr>
                <w:rFonts w:ascii="Arial" w:hAnsi="Arial" w:cs="Arial"/>
                <w:b/>
                <w:sz w:val="24"/>
                <w:szCs w:val="24"/>
              </w:rPr>
              <w:t>Conclusion</w:t>
            </w:r>
          </w:p>
        </w:tc>
      </w:tr>
      <w:tr w:rsidR="0063711D" w14:paraId="79FC4382" w14:textId="77777777" w:rsidTr="00411D9F">
        <w:trPr>
          <w:jc w:val="center"/>
        </w:trPr>
        <w:tc>
          <w:tcPr>
            <w:tcW w:w="0" w:type="auto"/>
          </w:tcPr>
          <w:p w14:paraId="0C0943B6" w14:textId="5966CB99" w:rsidR="0063711D" w:rsidRPr="0063711D" w:rsidRDefault="0063711D" w:rsidP="0063711D">
            <w:pPr>
              <w:pStyle w:val="ListParagraph"/>
              <w:ind w:left="0"/>
              <w:rPr>
                <w:rFonts w:ascii="Arial" w:hAnsi="Arial" w:cs="Arial"/>
                <w:sz w:val="24"/>
                <w:szCs w:val="24"/>
              </w:rPr>
            </w:pPr>
            <w:r w:rsidRPr="0063711D">
              <w:rPr>
                <w:rFonts w:ascii="Arial" w:hAnsi="Arial" w:cs="Arial"/>
                <w:sz w:val="24"/>
                <w:szCs w:val="24"/>
              </w:rPr>
              <w:t>2017</w:t>
            </w:r>
          </w:p>
        </w:tc>
        <w:tc>
          <w:tcPr>
            <w:tcW w:w="0" w:type="auto"/>
          </w:tcPr>
          <w:p w14:paraId="5A774727" w14:textId="58521292" w:rsidR="0063711D" w:rsidRPr="0063711D" w:rsidRDefault="0063711D" w:rsidP="0063711D">
            <w:pPr>
              <w:pStyle w:val="ListParagraph"/>
              <w:ind w:left="0"/>
              <w:rPr>
                <w:rFonts w:ascii="Arial" w:hAnsi="Arial" w:cs="Arial"/>
                <w:sz w:val="24"/>
                <w:szCs w:val="24"/>
              </w:rPr>
            </w:pPr>
            <w:r>
              <w:rPr>
                <w:rFonts w:ascii="Arial" w:hAnsi="Arial" w:cs="Arial"/>
                <w:sz w:val="24"/>
                <w:szCs w:val="24"/>
              </w:rPr>
              <w:t>4705 – COP</w:t>
            </w:r>
          </w:p>
        </w:tc>
        <w:tc>
          <w:tcPr>
            <w:tcW w:w="0" w:type="auto"/>
          </w:tcPr>
          <w:p w14:paraId="2CF17930" w14:textId="5BF03563" w:rsidR="0063711D" w:rsidRPr="0063711D" w:rsidRDefault="00791AE2" w:rsidP="0063711D">
            <w:pPr>
              <w:pStyle w:val="ListParagraph"/>
              <w:ind w:left="0"/>
              <w:rPr>
                <w:rFonts w:ascii="Arial" w:hAnsi="Arial" w:cs="Arial"/>
                <w:sz w:val="24"/>
                <w:szCs w:val="24"/>
              </w:rPr>
            </w:pPr>
            <w:r>
              <w:rPr>
                <w:rFonts w:ascii="Arial" w:hAnsi="Arial" w:cs="Arial"/>
                <w:sz w:val="24"/>
                <w:szCs w:val="24"/>
              </w:rPr>
              <w:t>$28,867,683</w:t>
            </w:r>
          </w:p>
        </w:tc>
        <w:tc>
          <w:tcPr>
            <w:tcW w:w="0" w:type="auto"/>
          </w:tcPr>
          <w:p w14:paraId="46C2EDFE" w14:textId="7468966A" w:rsidR="0063711D" w:rsidRPr="0063711D" w:rsidRDefault="00791AE2" w:rsidP="0063711D">
            <w:pPr>
              <w:pStyle w:val="ListParagraph"/>
              <w:ind w:left="0"/>
              <w:rPr>
                <w:rFonts w:ascii="Arial" w:hAnsi="Arial" w:cs="Arial"/>
                <w:sz w:val="24"/>
                <w:szCs w:val="24"/>
              </w:rPr>
            </w:pPr>
            <w:r>
              <w:rPr>
                <w:rFonts w:ascii="Arial" w:hAnsi="Arial" w:cs="Arial"/>
                <w:sz w:val="24"/>
                <w:szCs w:val="24"/>
              </w:rPr>
              <w:t>$144,338</w:t>
            </w:r>
          </w:p>
        </w:tc>
        <w:tc>
          <w:tcPr>
            <w:tcW w:w="0" w:type="auto"/>
          </w:tcPr>
          <w:p w14:paraId="3F311505" w14:textId="5060E00E" w:rsidR="0063711D" w:rsidRPr="0063711D" w:rsidRDefault="0071191B" w:rsidP="0063711D">
            <w:pPr>
              <w:pStyle w:val="ListParagraph"/>
              <w:ind w:left="0"/>
              <w:rPr>
                <w:rFonts w:ascii="Arial" w:hAnsi="Arial" w:cs="Arial"/>
                <w:sz w:val="24"/>
                <w:szCs w:val="24"/>
              </w:rPr>
            </w:pPr>
            <w:r>
              <w:rPr>
                <w:rFonts w:ascii="Arial" w:hAnsi="Arial" w:cs="Arial"/>
                <w:sz w:val="24"/>
                <w:szCs w:val="24"/>
              </w:rPr>
              <w:t>$29,008</w:t>
            </w:r>
          </w:p>
        </w:tc>
        <w:tc>
          <w:tcPr>
            <w:tcW w:w="0" w:type="auto"/>
          </w:tcPr>
          <w:p w14:paraId="5900424C" w14:textId="1698024A" w:rsidR="0063711D" w:rsidRPr="0063711D" w:rsidRDefault="00791AE2" w:rsidP="0063711D">
            <w:pPr>
              <w:pStyle w:val="ListParagraph"/>
              <w:ind w:left="0"/>
              <w:rPr>
                <w:rFonts w:ascii="Arial" w:hAnsi="Arial" w:cs="Arial"/>
                <w:sz w:val="24"/>
                <w:szCs w:val="24"/>
              </w:rPr>
            </w:pPr>
            <w:r>
              <w:rPr>
                <w:rFonts w:ascii="Arial" w:hAnsi="Arial" w:cs="Arial"/>
                <w:sz w:val="24"/>
                <w:szCs w:val="24"/>
              </w:rPr>
              <w:t>Immaterial, no DVA adj required</w:t>
            </w:r>
          </w:p>
        </w:tc>
      </w:tr>
      <w:tr w:rsidR="0063711D" w14:paraId="40C5A442" w14:textId="77777777" w:rsidTr="00411D9F">
        <w:trPr>
          <w:jc w:val="center"/>
        </w:trPr>
        <w:tc>
          <w:tcPr>
            <w:tcW w:w="0" w:type="auto"/>
          </w:tcPr>
          <w:p w14:paraId="5DB6D3A0" w14:textId="67654991" w:rsidR="0063711D" w:rsidRPr="0063711D" w:rsidRDefault="0063711D" w:rsidP="0063711D">
            <w:pPr>
              <w:pStyle w:val="ListParagraph"/>
              <w:ind w:left="0"/>
              <w:rPr>
                <w:rFonts w:ascii="Arial" w:hAnsi="Arial" w:cs="Arial"/>
                <w:sz w:val="24"/>
                <w:szCs w:val="24"/>
              </w:rPr>
            </w:pPr>
            <w:r>
              <w:rPr>
                <w:rFonts w:ascii="Arial" w:hAnsi="Arial" w:cs="Arial"/>
                <w:sz w:val="24"/>
                <w:szCs w:val="24"/>
              </w:rPr>
              <w:t>2017</w:t>
            </w:r>
          </w:p>
        </w:tc>
        <w:tc>
          <w:tcPr>
            <w:tcW w:w="0" w:type="auto"/>
          </w:tcPr>
          <w:p w14:paraId="49E195A3" w14:textId="603FF659" w:rsidR="0063711D" w:rsidRPr="0063711D" w:rsidRDefault="0063711D" w:rsidP="0063711D">
            <w:pPr>
              <w:pStyle w:val="ListParagraph"/>
              <w:ind w:left="0"/>
              <w:rPr>
                <w:rFonts w:ascii="Arial" w:hAnsi="Arial" w:cs="Arial"/>
                <w:sz w:val="24"/>
                <w:szCs w:val="24"/>
              </w:rPr>
            </w:pPr>
            <w:r>
              <w:rPr>
                <w:rFonts w:ascii="Arial" w:hAnsi="Arial" w:cs="Arial"/>
                <w:sz w:val="24"/>
                <w:szCs w:val="24"/>
              </w:rPr>
              <w:t>4707 - GA</w:t>
            </w:r>
          </w:p>
        </w:tc>
        <w:tc>
          <w:tcPr>
            <w:tcW w:w="0" w:type="auto"/>
          </w:tcPr>
          <w:p w14:paraId="6E36795C" w14:textId="78B9D0CC" w:rsidR="0063711D" w:rsidRPr="0063711D" w:rsidRDefault="00791AE2" w:rsidP="0063711D">
            <w:pPr>
              <w:pStyle w:val="ListParagraph"/>
              <w:ind w:left="0"/>
              <w:rPr>
                <w:rFonts w:ascii="Arial" w:hAnsi="Arial" w:cs="Arial"/>
                <w:sz w:val="24"/>
                <w:szCs w:val="24"/>
              </w:rPr>
            </w:pPr>
            <w:r>
              <w:rPr>
                <w:rFonts w:ascii="Arial" w:hAnsi="Arial" w:cs="Arial"/>
                <w:sz w:val="24"/>
                <w:szCs w:val="24"/>
              </w:rPr>
              <w:t>$18,993,669</w:t>
            </w:r>
          </w:p>
        </w:tc>
        <w:tc>
          <w:tcPr>
            <w:tcW w:w="0" w:type="auto"/>
          </w:tcPr>
          <w:p w14:paraId="3ADAB4E2" w14:textId="250F043B" w:rsidR="0063711D" w:rsidRPr="0063711D" w:rsidRDefault="00791AE2" w:rsidP="0063711D">
            <w:pPr>
              <w:pStyle w:val="ListParagraph"/>
              <w:ind w:left="0"/>
              <w:rPr>
                <w:rFonts w:ascii="Arial" w:hAnsi="Arial" w:cs="Arial"/>
                <w:sz w:val="24"/>
                <w:szCs w:val="24"/>
              </w:rPr>
            </w:pPr>
            <w:r>
              <w:rPr>
                <w:rFonts w:ascii="Arial" w:hAnsi="Arial" w:cs="Arial"/>
                <w:sz w:val="24"/>
                <w:szCs w:val="24"/>
              </w:rPr>
              <w:t>$94,968</w:t>
            </w:r>
          </w:p>
        </w:tc>
        <w:tc>
          <w:tcPr>
            <w:tcW w:w="0" w:type="auto"/>
          </w:tcPr>
          <w:p w14:paraId="735A22AE" w14:textId="7E5DF735" w:rsidR="0063711D" w:rsidRPr="0063711D" w:rsidRDefault="0071191B" w:rsidP="0063711D">
            <w:pPr>
              <w:pStyle w:val="ListParagraph"/>
              <w:ind w:left="0"/>
              <w:rPr>
                <w:rFonts w:ascii="Arial" w:hAnsi="Arial" w:cs="Arial"/>
                <w:sz w:val="24"/>
                <w:szCs w:val="24"/>
              </w:rPr>
            </w:pPr>
            <w:r>
              <w:rPr>
                <w:rFonts w:ascii="Arial" w:hAnsi="Arial" w:cs="Arial"/>
                <w:sz w:val="24"/>
                <w:szCs w:val="24"/>
              </w:rPr>
              <w:t>($39,002)</w:t>
            </w:r>
          </w:p>
        </w:tc>
        <w:tc>
          <w:tcPr>
            <w:tcW w:w="0" w:type="auto"/>
          </w:tcPr>
          <w:p w14:paraId="63F17295" w14:textId="50E56877" w:rsidR="0063711D" w:rsidRPr="0063711D" w:rsidRDefault="00791AE2" w:rsidP="0063711D">
            <w:pPr>
              <w:pStyle w:val="ListParagraph"/>
              <w:ind w:left="0"/>
              <w:rPr>
                <w:rFonts w:ascii="Arial" w:hAnsi="Arial" w:cs="Arial"/>
                <w:sz w:val="24"/>
                <w:szCs w:val="24"/>
              </w:rPr>
            </w:pPr>
            <w:r>
              <w:rPr>
                <w:rFonts w:ascii="Arial" w:hAnsi="Arial" w:cs="Arial"/>
                <w:sz w:val="24"/>
                <w:szCs w:val="24"/>
              </w:rPr>
              <w:t>Immaterial, no DVA adj required</w:t>
            </w:r>
          </w:p>
        </w:tc>
      </w:tr>
      <w:tr w:rsidR="0063711D" w14:paraId="664C6579" w14:textId="77777777" w:rsidTr="00411D9F">
        <w:trPr>
          <w:jc w:val="center"/>
        </w:trPr>
        <w:tc>
          <w:tcPr>
            <w:tcW w:w="0" w:type="auto"/>
          </w:tcPr>
          <w:p w14:paraId="793B418E" w14:textId="7432B626" w:rsidR="0063711D" w:rsidRPr="0063711D" w:rsidRDefault="0063711D" w:rsidP="0063711D">
            <w:pPr>
              <w:pStyle w:val="ListParagraph"/>
              <w:ind w:left="0"/>
              <w:rPr>
                <w:rFonts w:ascii="Arial" w:hAnsi="Arial" w:cs="Arial"/>
                <w:sz w:val="24"/>
                <w:szCs w:val="24"/>
              </w:rPr>
            </w:pPr>
            <w:r>
              <w:rPr>
                <w:rFonts w:ascii="Arial" w:hAnsi="Arial" w:cs="Arial"/>
                <w:sz w:val="24"/>
                <w:szCs w:val="24"/>
              </w:rPr>
              <w:lastRenderedPageBreak/>
              <w:t>2018</w:t>
            </w:r>
          </w:p>
        </w:tc>
        <w:tc>
          <w:tcPr>
            <w:tcW w:w="0" w:type="auto"/>
          </w:tcPr>
          <w:p w14:paraId="714ECCA9" w14:textId="3A87F655" w:rsidR="0063711D" w:rsidRPr="0063711D" w:rsidRDefault="0063711D" w:rsidP="0063711D">
            <w:pPr>
              <w:pStyle w:val="ListParagraph"/>
              <w:ind w:left="0"/>
              <w:rPr>
                <w:rFonts w:ascii="Arial" w:hAnsi="Arial" w:cs="Arial"/>
                <w:sz w:val="24"/>
                <w:szCs w:val="24"/>
              </w:rPr>
            </w:pPr>
            <w:r>
              <w:rPr>
                <w:rFonts w:ascii="Arial" w:hAnsi="Arial" w:cs="Arial"/>
                <w:sz w:val="24"/>
                <w:szCs w:val="24"/>
              </w:rPr>
              <w:t>4705 – COP</w:t>
            </w:r>
          </w:p>
        </w:tc>
        <w:tc>
          <w:tcPr>
            <w:tcW w:w="0" w:type="auto"/>
          </w:tcPr>
          <w:p w14:paraId="770E54C5" w14:textId="69D7C3AA" w:rsidR="0063711D" w:rsidRPr="0063711D" w:rsidRDefault="00791AE2" w:rsidP="0063711D">
            <w:pPr>
              <w:pStyle w:val="ListParagraph"/>
              <w:ind w:left="0"/>
              <w:rPr>
                <w:rFonts w:ascii="Arial" w:hAnsi="Arial" w:cs="Arial"/>
                <w:sz w:val="24"/>
                <w:szCs w:val="24"/>
              </w:rPr>
            </w:pPr>
            <w:r>
              <w:rPr>
                <w:rFonts w:ascii="Arial" w:hAnsi="Arial" w:cs="Arial"/>
                <w:sz w:val="24"/>
                <w:szCs w:val="24"/>
              </w:rPr>
              <w:t>$29,490,087</w:t>
            </w:r>
          </w:p>
        </w:tc>
        <w:tc>
          <w:tcPr>
            <w:tcW w:w="0" w:type="auto"/>
          </w:tcPr>
          <w:p w14:paraId="7BD700A0" w14:textId="6482E300" w:rsidR="0063711D" w:rsidRPr="0063711D" w:rsidRDefault="00791AE2" w:rsidP="0063711D">
            <w:pPr>
              <w:pStyle w:val="ListParagraph"/>
              <w:ind w:left="0"/>
              <w:rPr>
                <w:rFonts w:ascii="Arial" w:hAnsi="Arial" w:cs="Arial"/>
                <w:sz w:val="24"/>
                <w:szCs w:val="24"/>
              </w:rPr>
            </w:pPr>
            <w:r>
              <w:rPr>
                <w:rFonts w:ascii="Arial" w:hAnsi="Arial" w:cs="Arial"/>
                <w:sz w:val="24"/>
                <w:szCs w:val="24"/>
              </w:rPr>
              <w:t>$147,450</w:t>
            </w:r>
          </w:p>
        </w:tc>
        <w:tc>
          <w:tcPr>
            <w:tcW w:w="0" w:type="auto"/>
          </w:tcPr>
          <w:p w14:paraId="023FEC18" w14:textId="553FC19B" w:rsidR="0063711D" w:rsidRPr="0063711D" w:rsidRDefault="0071191B" w:rsidP="0063711D">
            <w:pPr>
              <w:pStyle w:val="ListParagraph"/>
              <w:ind w:left="0"/>
              <w:rPr>
                <w:rFonts w:ascii="Arial" w:hAnsi="Arial" w:cs="Arial"/>
                <w:sz w:val="24"/>
                <w:szCs w:val="24"/>
              </w:rPr>
            </w:pPr>
            <w:r>
              <w:rPr>
                <w:rFonts w:ascii="Arial" w:hAnsi="Arial" w:cs="Arial"/>
                <w:sz w:val="24"/>
                <w:szCs w:val="24"/>
              </w:rPr>
              <w:t>$114,209</w:t>
            </w:r>
          </w:p>
        </w:tc>
        <w:tc>
          <w:tcPr>
            <w:tcW w:w="0" w:type="auto"/>
          </w:tcPr>
          <w:p w14:paraId="695112D5" w14:textId="0D7A1A64" w:rsidR="0063711D" w:rsidRPr="0063711D" w:rsidRDefault="00791AE2" w:rsidP="0063711D">
            <w:pPr>
              <w:pStyle w:val="ListParagraph"/>
              <w:ind w:left="0"/>
              <w:rPr>
                <w:rFonts w:ascii="Arial" w:hAnsi="Arial" w:cs="Arial"/>
                <w:sz w:val="24"/>
                <w:szCs w:val="24"/>
              </w:rPr>
            </w:pPr>
            <w:r>
              <w:rPr>
                <w:rFonts w:ascii="Arial" w:hAnsi="Arial" w:cs="Arial"/>
                <w:sz w:val="24"/>
                <w:szCs w:val="24"/>
              </w:rPr>
              <w:t>Immaterial, no DVA adj required</w:t>
            </w:r>
          </w:p>
        </w:tc>
      </w:tr>
      <w:tr w:rsidR="0063711D" w14:paraId="77AAF07C" w14:textId="77777777" w:rsidTr="00411D9F">
        <w:trPr>
          <w:jc w:val="center"/>
        </w:trPr>
        <w:tc>
          <w:tcPr>
            <w:tcW w:w="0" w:type="auto"/>
          </w:tcPr>
          <w:p w14:paraId="792C515A" w14:textId="16CE5412" w:rsidR="0063711D" w:rsidRDefault="0063711D" w:rsidP="0063711D">
            <w:pPr>
              <w:pStyle w:val="ListParagraph"/>
              <w:ind w:left="0"/>
              <w:rPr>
                <w:rFonts w:ascii="Arial" w:hAnsi="Arial" w:cs="Arial"/>
                <w:sz w:val="24"/>
                <w:szCs w:val="24"/>
              </w:rPr>
            </w:pPr>
            <w:r>
              <w:rPr>
                <w:rFonts w:ascii="Arial" w:hAnsi="Arial" w:cs="Arial"/>
                <w:sz w:val="24"/>
                <w:szCs w:val="24"/>
              </w:rPr>
              <w:t>2018</w:t>
            </w:r>
          </w:p>
        </w:tc>
        <w:tc>
          <w:tcPr>
            <w:tcW w:w="0" w:type="auto"/>
          </w:tcPr>
          <w:p w14:paraId="3439DBF7" w14:textId="0D01FF10" w:rsidR="0063711D" w:rsidRPr="0063711D" w:rsidRDefault="0063711D" w:rsidP="0063711D">
            <w:pPr>
              <w:pStyle w:val="ListParagraph"/>
              <w:ind w:left="0"/>
              <w:rPr>
                <w:rFonts w:ascii="Arial" w:hAnsi="Arial" w:cs="Arial"/>
                <w:sz w:val="24"/>
                <w:szCs w:val="24"/>
              </w:rPr>
            </w:pPr>
            <w:r>
              <w:rPr>
                <w:rFonts w:ascii="Arial" w:hAnsi="Arial" w:cs="Arial"/>
                <w:sz w:val="24"/>
                <w:szCs w:val="24"/>
              </w:rPr>
              <w:t>4707 - GA</w:t>
            </w:r>
          </w:p>
        </w:tc>
        <w:tc>
          <w:tcPr>
            <w:tcW w:w="0" w:type="auto"/>
          </w:tcPr>
          <w:p w14:paraId="2AB85D49" w14:textId="4FE005FC" w:rsidR="0063711D" w:rsidRPr="0063711D" w:rsidRDefault="00791AE2" w:rsidP="0063711D">
            <w:pPr>
              <w:pStyle w:val="ListParagraph"/>
              <w:ind w:left="0"/>
              <w:rPr>
                <w:rFonts w:ascii="Arial" w:hAnsi="Arial" w:cs="Arial"/>
                <w:sz w:val="24"/>
                <w:szCs w:val="24"/>
              </w:rPr>
            </w:pPr>
            <w:r>
              <w:rPr>
                <w:rFonts w:ascii="Arial" w:hAnsi="Arial" w:cs="Arial"/>
                <w:sz w:val="24"/>
                <w:szCs w:val="24"/>
              </w:rPr>
              <w:t>$16,006,362</w:t>
            </w:r>
          </w:p>
        </w:tc>
        <w:tc>
          <w:tcPr>
            <w:tcW w:w="0" w:type="auto"/>
          </w:tcPr>
          <w:p w14:paraId="7DDF8917" w14:textId="0B700BC4" w:rsidR="0063711D" w:rsidRPr="0063711D" w:rsidRDefault="00791AE2" w:rsidP="0063711D">
            <w:pPr>
              <w:pStyle w:val="ListParagraph"/>
              <w:ind w:left="0"/>
              <w:rPr>
                <w:rFonts w:ascii="Arial" w:hAnsi="Arial" w:cs="Arial"/>
                <w:sz w:val="24"/>
                <w:szCs w:val="24"/>
              </w:rPr>
            </w:pPr>
            <w:r>
              <w:rPr>
                <w:rFonts w:ascii="Arial" w:hAnsi="Arial" w:cs="Arial"/>
                <w:sz w:val="24"/>
                <w:szCs w:val="24"/>
              </w:rPr>
              <w:t>$80,032</w:t>
            </w:r>
          </w:p>
        </w:tc>
        <w:tc>
          <w:tcPr>
            <w:tcW w:w="0" w:type="auto"/>
          </w:tcPr>
          <w:p w14:paraId="039B33D1" w14:textId="6F1508E7" w:rsidR="0063711D" w:rsidRPr="0063711D" w:rsidRDefault="0071191B" w:rsidP="0063711D">
            <w:pPr>
              <w:pStyle w:val="ListParagraph"/>
              <w:ind w:left="0"/>
              <w:rPr>
                <w:rFonts w:ascii="Arial" w:hAnsi="Arial" w:cs="Arial"/>
                <w:sz w:val="24"/>
                <w:szCs w:val="24"/>
              </w:rPr>
            </w:pPr>
            <w:r>
              <w:rPr>
                <w:rFonts w:ascii="Arial" w:hAnsi="Arial" w:cs="Arial"/>
                <w:sz w:val="24"/>
                <w:szCs w:val="24"/>
              </w:rPr>
              <w:t>($33,293)</w:t>
            </w:r>
          </w:p>
        </w:tc>
        <w:tc>
          <w:tcPr>
            <w:tcW w:w="0" w:type="auto"/>
          </w:tcPr>
          <w:p w14:paraId="741F8129" w14:textId="1B82B0B2" w:rsidR="0063711D" w:rsidRPr="0063711D" w:rsidRDefault="00791AE2" w:rsidP="0063711D">
            <w:pPr>
              <w:pStyle w:val="ListParagraph"/>
              <w:ind w:left="0"/>
              <w:rPr>
                <w:rFonts w:ascii="Arial" w:hAnsi="Arial" w:cs="Arial"/>
                <w:sz w:val="24"/>
                <w:szCs w:val="24"/>
              </w:rPr>
            </w:pPr>
            <w:r>
              <w:rPr>
                <w:rFonts w:ascii="Arial" w:hAnsi="Arial" w:cs="Arial"/>
                <w:sz w:val="24"/>
                <w:szCs w:val="24"/>
              </w:rPr>
              <w:t>Immaterial, no DVA adj required</w:t>
            </w:r>
          </w:p>
        </w:tc>
      </w:tr>
    </w:tbl>
    <w:p w14:paraId="290D4081" w14:textId="77777777" w:rsidR="0063711D" w:rsidRPr="0063711D" w:rsidRDefault="0063711D" w:rsidP="0063711D">
      <w:pPr>
        <w:pStyle w:val="ListParagraph"/>
        <w:rPr>
          <w:rFonts w:ascii="Arial" w:hAnsi="Arial" w:cs="Arial"/>
          <w:b/>
          <w:sz w:val="24"/>
          <w:szCs w:val="24"/>
        </w:rPr>
      </w:pPr>
    </w:p>
    <w:p w14:paraId="6D7F72B4" w14:textId="2A1E4EA5" w:rsidR="004F7D19" w:rsidRDefault="009F5C8A" w:rsidP="009F5C8A">
      <w:pPr>
        <w:pStyle w:val="ListParagraph"/>
        <w:numPr>
          <w:ilvl w:val="0"/>
          <w:numId w:val="31"/>
        </w:numPr>
        <w:rPr>
          <w:rFonts w:ascii="Arial" w:hAnsi="Arial" w:cs="Arial"/>
          <w:b/>
          <w:sz w:val="24"/>
          <w:szCs w:val="24"/>
        </w:rPr>
      </w:pPr>
      <w:r>
        <w:rPr>
          <w:rFonts w:ascii="Arial" w:hAnsi="Arial" w:cs="Arial"/>
          <w:sz w:val="24"/>
          <w:szCs w:val="24"/>
        </w:rPr>
        <w:t xml:space="preserve">Please see b) above.  Although the guidance has been substantively implemented as of August 31, 2019, the </w:t>
      </w:r>
      <w:r w:rsidRPr="009F5C8A">
        <w:rPr>
          <w:rFonts w:ascii="Arial" w:hAnsi="Arial" w:cs="Arial"/>
          <w:sz w:val="24"/>
          <w:szCs w:val="24"/>
        </w:rPr>
        <w:t>remaining month-end “process” related implementation of the guidance has been delayed due to system implementation timing limitations</w:t>
      </w:r>
      <w:r>
        <w:rPr>
          <w:rFonts w:ascii="Arial" w:hAnsi="Arial" w:cs="Arial"/>
          <w:sz w:val="24"/>
          <w:szCs w:val="24"/>
        </w:rPr>
        <w:t xml:space="preserve">.  Full implementation </w:t>
      </w:r>
      <w:r w:rsidR="00F1132D">
        <w:rPr>
          <w:rFonts w:ascii="Arial" w:hAnsi="Arial" w:cs="Arial"/>
          <w:sz w:val="24"/>
          <w:szCs w:val="24"/>
        </w:rPr>
        <w:t xml:space="preserve">will occur </w:t>
      </w:r>
      <w:r>
        <w:rPr>
          <w:rFonts w:ascii="Arial" w:hAnsi="Arial" w:cs="Arial"/>
          <w:sz w:val="24"/>
          <w:szCs w:val="24"/>
        </w:rPr>
        <w:t>by the end of 2019</w:t>
      </w:r>
      <w:r w:rsidR="00F1132D">
        <w:rPr>
          <w:rFonts w:ascii="Arial" w:hAnsi="Arial" w:cs="Arial"/>
          <w:sz w:val="24"/>
          <w:szCs w:val="24"/>
        </w:rPr>
        <w:t xml:space="preserve">, with 2019 year-end balances in </w:t>
      </w:r>
      <w:r>
        <w:rPr>
          <w:rFonts w:ascii="Arial" w:hAnsi="Arial" w:cs="Arial"/>
          <w:sz w:val="24"/>
          <w:szCs w:val="24"/>
        </w:rPr>
        <w:t>1588 and 1589</w:t>
      </w:r>
      <w:r w:rsidR="00F1132D">
        <w:rPr>
          <w:rFonts w:ascii="Arial" w:hAnsi="Arial" w:cs="Arial"/>
          <w:sz w:val="24"/>
          <w:szCs w:val="24"/>
        </w:rPr>
        <w:t xml:space="preserve"> being in compliance with this new guidance</w:t>
      </w:r>
      <w:r>
        <w:rPr>
          <w:rFonts w:ascii="Arial" w:hAnsi="Arial" w:cs="Arial"/>
          <w:sz w:val="24"/>
          <w:szCs w:val="24"/>
        </w:rPr>
        <w:t>.</w:t>
      </w:r>
    </w:p>
    <w:p w14:paraId="4BCC164C" w14:textId="77777777" w:rsidR="004B6DA6" w:rsidRDefault="004B6DA6" w:rsidP="002B6255">
      <w:pPr>
        <w:spacing w:after="0" w:line="240" w:lineRule="auto"/>
        <w:rPr>
          <w:rFonts w:ascii="Arial" w:hAnsi="Arial" w:cs="Arial"/>
          <w:sz w:val="24"/>
          <w:szCs w:val="24"/>
        </w:rPr>
      </w:pPr>
      <w:r>
        <w:rPr>
          <w:rFonts w:ascii="Arial" w:hAnsi="Arial" w:cs="Arial"/>
          <w:b/>
          <w:sz w:val="24"/>
          <w:szCs w:val="24"/>
        </w:rPr>
        <w:t>S</w:t>
      </w:r>
      <w:r w:rsidRPr="008A010E">
        <w:rPr>
          <w:rFonts w:ascii="Arial" w:hAnsi="Arial" w:cs="Arial"/>
          <w:b/>
          <w:sz w:val="24"/>
          <w:szCs w:val="24"/>
        </w:rPr>
        <w:t>taff Question #</w:t>
      </w:r>
      <w:r>
        <w:rPr>
          <w:rFonts w:ascii="Arial" w:hAnsi="Arial" w:cs="Arial"/>
          <w:b/>
          <w:sz w:val="24"/>
          <w:szCs w:val="24"/>
        </w:rPr>
        <w:t>5</w:t>
      </w:r>
    </w:p>
    <w:p w14:paraId="6F8037B3" w14:textId="09FF2395" w:rsidR="004B6DA6" w:rsidRDefault="004B6DA6" w:rsidP="002B6255">
      <w:pPr>
        <w:spacing w:after="0" w:line="240" w:lineRule="auto"/>
        <w:rPr>
          <w:rFonts w:ascii="Arial" w:hAnsi="Arial" w:cs="Arial"/>
          <w:b/>
          <w:sz w:val="24"/>
          <w:szCs w:val="24"/>
        </w:rPr>
      </w:pPr>
      <w:r w:rsidRPr="008A010E">
        <w:rPr>
          <w:rFonts w:ascii="Arial" w:hAnsi="Arial" w:cs="Arial"/>
          <w:b/>
          <w:sz w:val="24"/>
          <w:szCs w:val="24"/>
        </w:rPr>
        <w:t xml:space="preserve">Ref: </w:t>
      </w:r>
      <w:r>
        <w:rPr>
          <w:rFonts w:ascii="Arial" w:hAnsi="Arial" w:cs="Arial"/>
          <w:b/>
          <w:sz w:val="24"/>
          <w:szCs w:val="24"/>
        </w:rPr>
        <w:t xml:space="preserve">GA Analysis </w:t>
      </w:r>
      <w:proofErr w:type="spellStart"/>
      <w:r>
        <w:rPr>
          <w:rFonts w:ascii="Arial" w:hAnsi="Arial" w:cs="Arial"/>
          <w:b/>
          <w:sz w:val="24"/>
          <w:szCs w:val="24"/>
        </w:rPr>
        <w:t>Work</w:t>
      </w:r>
      <w:r w:rsidR="002B6255">
        <w:rPr>
          <w:rFonts w:ascii="Arial" w:hAnsi="Arial" w:cs="Arial"/>
          <w:b/>
          <w:sz w:val="24"/>
          <w:szCs w:val="24"/>
        </w:rPr>
        <w:t>form</w:t>
      </w:r>
      <w:proofErr w:type="spellEnd"/>
    </w:p>
    <w:p w14:paraId="1C04C43A" w14:textId="77777777" w:rsidR="002B6255" w:rsidRDefault="002B6255" w:rsidP="002B6255">
      <w:pPr>
        <w:spacing w:after="0" w:line="240" w:lineRule="auto"/>
        <w:rPr>
          <w:rFonts w:ascii="Arial" w:hAnsi="Arial" w:cs="Arial"/>
          <w:b/>
          <w:sz w:val="24"/>
          <w:szCs w:val="24"/>
        </w:rPr>
      </w:pPr>
    </w:p>
    <w:p w14:paraId="24E5C2EB" w14:textId="61A1A213" w:rsidR="004B6DA6" w:rsidRPr="009A458F" w:rsidRDefault="004B6DA6" w:rsidP="004B6DA6">
      <w:pPr>
        <w:pStyle w:val="ListParagraph"/>
        <w:numPr>
          <w:ilvl w:val="0"/>
          <w:numId w:val="27"/>
        </w:numPr>
        <w:rPr>
          <w:rFonts w:ascii="Arial" w:hAnsi="Arial" w:cs="Arial"/>
          <w:sz w:val="24"/>
          <w:szCs w:val="24"/>
        </w:rPr>
      </w:pPr>
      <w:r w:rsidRPr="009A458F">
        <w:rPr>
          <w:rFonts w:ascii="Arial" w:hAnsi="Arial" w:cs="Arial"/>
          <w:sz w:val="24"/>
          <w:szCs w:val="24"/>
        </w:rPr>
        <w:t xml:space="preserve">As part of the GA Analysis </w:t>
      </w:r>
      <w:proofErr w:type="spellStart"/>
      <w:r w:rsidRPr="009A458F">
        <w:rPr>
          <w:rFonts w:ascii="Arial" w:hAnsi="Arial" w:cs="Arial"/>
          <w:sz w:val="24"/>
          <w:szCs w:val="24"/>
        </w:rPr>
        <w:t>Workform</w:t>
      </w:r>
      <w:proofErr w:type="spellEnd"/>
      <w:r w:rsidRPr="009A458F">
        <w:rPr>
          <w:rFonts w:ascii="Arial" w:hAnsi="Arial" w:cs="Arial"/>
          <w:sz w:val="24"/>
          <w:szCs w:val="24"/>
        </w:rPr>
        <w:t xml:space="preserve">, </w:t>
      </w:r>
      <w:r w:rsidR="002B6255" w:rsidRPr="002B6255">
        <w:rPr>
          <w:rFonts w:ascii="Arial" w:hAnsi="Arial" w:cs="Arial"/>
          <w:sz w:val="24"/>
          <w:szCs w:val="24"/>
        </w:rPr>
        <w:t>Canadian Niagara Power</w:t>
      </w:r>
      <w:r w:rsidRPr="009A458F">
        <w:rPr>
          <w:rFonts w:ascii="Arial" w:hAnsi="Arial" w:cs="Arial"/>
          <w:sz w:val="24"/>
          <w:szCs w:val="24"/>
        </w:rPr>
        <w:t xml:space="preserve"> has recorded as adj. 2b an amount of debit $203k related to the understatement of the accrual for December 2018 unbilled revenue. OEB staff believes that it should be presented as credit of $203K since it is supposed to be a true-up related to the understatement of the December 2018 unbilled revenue accrual. If </w:t>
      </w:r>
      <w:r w:rsidR="002B6255" w:rsidRPr="002B6255">
        <w:rPr>
          <w:rFonts w:ascii="Arial" w:hAnsi="Arial" w:cs="Arial"/>
          <w:sz w:val="24"/>
          <w:szCs w:val="24"/>
        </w:rPr>
        <w:t>Canadian Niagara Power</w:t>
      </w:r>
      <w:r w:rsidRPr="009A458F">
        <w:rPr>
          <w:rFonts w:ascii="Arial" w:hAnsi="Arial" w:cs="Arial"/>
          <w:sz w:val="24"/>
          <w:szCs w:val="24"/>
        </w:rPr>
        <w:t xml:space="preserve"> believes that presenting it as a credit adjustment in the GA Analysis </w:t>
      </w:r>
      <w:proofErr w:type="spellStart"/>
      <w:r w:rsidRPr="009A458F">
        <w:rPr>
          <w:rFonts w:ascii="Arial" w:hAnsi="Arial" w:cs="Arial"/>
          <w:sz w:val="24"/>
          <w:szCs w:val="24"/>
        </w:rPr>
        <w:t>Workform</w:t>
      </w:r>
      <w:proofErr w:type="spellEnd"/>
      <w:r w:rsidRPr="009A458F">
        <w:rPr>
          <w:rFonts w:ascii="Arial" w:hAnsi="Arial" w:cs="Arial"/>
          <w:sz w:val="24"/>
          <w:szCs w:val="24"/>
        </w:rPr>
        <w:t xml:space="preserve"> is not accurate, then please explain why. Otherwise, please update the GA Analysis </w:t>
      </w:r>
      <w:proofErr w:type="spellStart"/>
      <w:r w:rsidRPr="009A458F">
        <w:rPr>
          <w:rFonts w:ascii="Arial" w:hAnsi="Arial" w:cs="Arial"/>
          <w:sz w:val="24"/>
          <w:szCs w:val="24"/>
        </w:rPr>
        <w:t>Workform</w:t>
      </w:r>
      <w:proofErr w:type="spellEnd"/>
      <w:r w:rsidRPr="009A458F">
        <w:rPr>
          <w:rFonts w:ascii="Arial" w:hAnsi="Arial" w:cs="Arial"/>
          <w:sz w:val="24"/>
          <w:szCs w:val="24"/>
        </w:rPr>
        <w:t xml:space="preserve"> and the DVA continuity schedule accordingly.</w:t>
      </w:r>
    </w:p>
    <w:p w14:paraId="1D7372A3" w14:textId="77777777" w:rsidR="004B6DA6" w:rsidRDefault="004B6DA6" w:rsidP="004B6DA6">
      <w:pPr>
        <w:pStyle w:val="ListParagraph"/>
        <w:rPr>
          <w:rFonts w:ascii="Arial" w:hAnsi="Arial" w:cs="Arial"/>
          <w:sz w:val="24"/>
          <w:szCs w:val="24"/>
        </w:rPr>
      </w:pPr>
    </w:p>
    <w:p w14:paraId="710192B5" w14:textId="77777777" w:rsidR="004B6DA6" w:rsidRDefault="004B6DA6" w:rsidP="004B6DA6">
      <w:pPr>
        <w:pStyle w:val="ListParagraph"/>
        <w:numPr>
          <w:ilvl w:val="0"/>
          <w:numId w:val="27"/>
        </w:numPr>
        <w:rPr>
          <w:rFonts w:ascii="Arial" w:hAnsi="Arial" w:cs="Arial"/>
          <w:sz w:val="24"/>
          <w:szCs w:val="24"/>
        </w:rPr>
      </w:pPr>
      <w:r>
        <w:rPr>
          <w:rFonts w:ascii="Arial" w:hAnsi="Arial" w:cs="Arial"/>
          <w:sz w:val="24"/>
          <w:szCs w:val="24"/>
        </w:rPr>
        <w:t xml:space="preserve">Also the supporting explanation that was provided for the above amount within the GA Analysis </w:t>
      </w:r>
      <w:proofErr w:type="spellStart"/>
      <w:r>
        <w:rPr>
          <w:rFonts w:ascii="Arial" w:hAnsi="Arial" w:cs="Arial"/>
          <w:sz w:val="24"/>
          <w:szCs w:val="24"/>
        </w:rPr>
        <w:t>Workform</w:t>
      </w:r>
      <w:proofErr w:type="spellEnd"/>
      <w:r>
        <w:rPr>
          <w:rFonts w:ascii="Arial" w:hAnsi="Arial" w:cs="Arial"/>
          <w:sz w:val="24"/>
          <w:szCs w:val="24"/>
        </w:rPr>
        <w:t xml:space="preserve"> appears to relate to only 103K of the total adjustment. If this is a typo then please update accordingly.  Otherwise, please explain what the remaining 100k relates to.</w:t>
      </w:r>
    </w:p>
    <w:p w14:paraId="64660C22" w14:textId="77777777" w:rsidR="004B6DA6" w:rsidRPr="006F5CAE" w:rsidRDefault="004B6DA6" w:rsidP="004B6DA6">
      <w:pPr>
        <w:pStyle w:val="ListParagraph"/>
        <w:rPr>
          <w:rFonts w:ascii="Arial" w:hAnsi="Arial" w:cs="Arial"/>
          <w:sz w:val="24"/>
          <w:szCs w:val="24"/>
        </w:rPr>
      </w:pPr>
    </w:p>
    <w:p w14:paraId="39EC6139" w14:textId="77777777" w:rsidR="004B6DA6" w:rsidRDefault="004B6DA6" w:rsidP="004B6DA6">
      <w:pPr>
        <w:pStyle w:val="ListParagraph"/>
        <w:numPr>
          <w:ilvl w:val="0"/>
          <w:numId w:val="27"/>
        </w:numPr>
        <w:rPr>
          <w:rFonts w:ascii="Arial" w:hAnsi="Arial" w:cs="Arial"/>
          <w:sz w:val="24"/>
          <w:szCs w:val="24"/>
        </w:rPr>
      </w:pPr>
      <w:r>
        <w:rPr>
          <w:rFonts w:ascii="Arial" w:hAnsi="Arial" w:cs="Arial"/>
          <w:sz w:val="24"/>
          <w:szCs w:val="24"/>
        </w:rPr>
        <w:t xml:space="preserve">The explanat5ion provided for Adj. 13 within the GA Analysis </w:t>
      </w:r>
      <w:proofErr w:type="spellStart"/>
      <w:r>
        <w:rPr>
          <w:rFonts w:ascii="Arial" w:hAnsi="Arial" w:cs="Arial"/>
          <w:sz w:val="24"/>
          <w:szCs w:val="24"/>
        </w:rPr>
        <w:t>Workform</w:t>
      </w:r>
      <w:proofErr w:type="spellEnd"/>
      <w:r>
        <w:rPr>
          <w:rFonts w:ascii="Arial" w:hAnsi="Arial" w:cs="Arial"/>
          <w:sz w:val="24"/>
          <w:szCs w:val="24"/>
        </w:rPr>
        <w:t xml:space="preserve"> seems to only provide detail regarding 43K of the total $132K adjustment. If this is a typo, then please update accordingly. Otherwise, please provide the explanation relating to the remaining 90K.</w:t>
      </w:r>
    </w:p>
    <w:p w14:paraId="3C5A9EA0" w14:textId="77777777" w:rsidR="004B6DA6" w:rsidRPr="003B24F4" w:rsidRDefault="004B6DA6" w:rsidP="004B6DA6">
      <w:pPr>
        <w:pStyle w:val="ListParagraph"/>
        <w:rPr>
          <w:rFonts w:ascii="Arial" w:hAnsi="Arial" w:cs="Arial"/>
          <w:sz w:val="24"/>
          <w:szCs w:val="24"/>
        </w:rPr>
      </w:pPr>
    </w:p>
    <w:p w14:paraId="7B842E92" w14:textId="237FC461" w:rsidR="004B6DA6" w:rsidRPr="00C827C7" w:rsidRDefault="00866D1E" w:rsidP="004B6DA6">
      <w:pPr>
        <w:pStyle w:val="ListParagraph"/>
        <w:numPr>
          <w:ilvl w:val="0"/>
          <w:numId w:val="27"/>
        </w:numPr>
        <w:rPr>
          <w:rFonts w:ascii="Arial" w:hAnsi="Arial" w:cs="Arial"/>
          <w:sz w:val="24"/>
          <w:szCs w:val="24"/>
        </w:rPr>
      </w:pPr>
      <w:r w:rsidRPr="002B6255">
        <w:rPr>
          <w:rFonts w:ascii="Arial" w:hAnsi="Arial" w:cs="Arial"/>
          <w:sz w:val="24"/>
          <w:szCs w:val="24"/>
        </w:rPr>
        <w:t>Canadian Niagara Power</w:t>
      </w:r>
      <w:r w:rsidR="004B6DA6">
        <w:rPr>
          <w:rFonts w:ascii="Arial" w:hAnsi="Arial" w:cs="Arial"/>
          <w:sz w:val="24"/>
          <w:szCs w:val="24"/>
        </w:rPr>
        <w:t xml:space="preserve"> does not have an adjustment in the GA Analysis </w:t>
      </w:r>
      <w:proofErr w:type="spellStart"/>
      <w:r w:rsidR="004B6DA6">
        <w:rPr>
          <w:rFonts w:ascii="Arial" w:hAnsi="Arial" w:cs="Arial"/>
          <w:sz w:val="24"/>
          <w:szCs w:val="24"/>
        </w:rPr>
        <w:t>Workform</w:t>
      </w:r>
      <w:proofErr w:type="spellEnd"/>
      <w:r w:rsidR="004B6DA6">
        <w:rPr>
          <w:rFonts w:ascii="Arial" w:hAnsi="Arial" w:cs="Arial"/>
          <w:sz w:val="24"/>
          <w:szCs w:val="24"/>
        </w:rPr>
        <w:t xml:space="preserve"> to remove 2018 GA balances related to Class A customers (other than the reversal of the 2017 principal adjustment). If </w:t>
      </w:r>
      <w:r w:rsidR="002B6255" w:rsidRPr="002B6255">
        <w:rPr>
          <w:rFonts w:ascii="Arial" w:hAnsi="Arial" w:cs="Arial"/>
          <w:sz w:val="24"/>
          <w:szCs w:val="24"/>
        </w:rPr>
        <w:t>Canadian Niagara Power</w:t>
      </w:r>
      <w:r w:rsidR="004B6DA6">
        <w:rPr>
          <w:rFonts w:ascii="Arial" w:hAnsi="Arial" w:cs="Arial"/>
          <w:sz w:val="24"/>
          <w:szCs w:val="24"/>
        </w:rPr>
        <w:t xml:space="preserve"> believes that an adjustment for 2018 is not required, then please explain why that is the case.</w:t>
      </w:r>
    </w:p>
    <w:p w14:paraId="5B2C3635" w14:textId="0B88FAED" w:rsidR="004B6DA6" w:rsidRDefault="004B6DA6" w:rsidP="004B6DA6">
      <w:pPr>
        <w:pStyle w:val="ListParagraph"/>
        <w:ind w:hanging="720"/>
        <w:rPr>
          <w:rFonts w:ascii="Arial" w:hAnsi="Arial" w:cs="Arial"/>
          <w:b/>
          <w:sz w:val="24"/>
          <w:szCs w:val="24"/>
        </w:rPr>
      </w:pPr>
    </w:p>
    <w:p w14:paraId="06C7E4AF" w14:textId="77777777" w:rsidR="00266599" w:rsidRDefault="00266599" w:rsidP="00266599">
      <w:pPr>
        <w:spacing w:after="0" w:line="259" w:lineRule="auto"/>
        <w:rPr>
          <w:rFonts w:ascii="Arial" w:hAnsi="Arial" w:cs="Arial"/>
          <w:b/>
          <w:sz w:val="24"/>
          <w:szCs w:val="24"/>
        </w:rPr>
      </w:pPr>
      <w:r>
        <w:rPr>
          <w:rFonts w:ascii="Arial" w:hAnsi="Arial" w:cs="Arial"/>
          <w:b/>
          <w:sz w:val="24"/>
          <w:szCs w:val="24"/>
        </w:rPr>
        <w:t>CNPI Response</w:t>
      </w:r>
    </w:p>
    <w:p w14:paraId="3D9CB177" w14:textId="77777777" w:rsidR="00266599" w:rsidRDefault="00266599" w:rsidP="00266599">
      <w:pPr>
        <w:spacing w:after="0" w:line="259" w:lineRule="auto"/>
        <w:rPr>
          <w:rFonts w:ascii="Arial" w:hAnsi="Arial" w:cs="Arial"/>
          <w:b/>
          <w:sz w:val="24"/>
          <w:szCs w:val="24"/>
        </w:rPr>
      </w:pPr>
    </w:p>
    <w:p w14:paraId="0DF6A568" w14:textId="3B59E45E" w:rsidR="00266599" w:rsidRDefault="005E2CC1" w:rsidP="005E2CC1">
      <w:pPr>
        <w:pStyle w:val="ListParagraph"/>
        <w:numPr>
          <w:ilvl w:val="0"/>
          <w:numId w:val="28"/>
        </w:numPr>
        <w:rPr>
          <w:rFonts w:ascii="Arial" w:hAnsi="Arial" w:cs="Arial"/>
          <w:sz w:val="24"/>
          <w:szCs w:val="24"/>
        </w:rPr>
      </w:pPr>
      <w:r w:rsidRPr="005E2CC1">
        <w:rPr>
          <w:rFonts w:ascii="Arial" w:hAnsi="Arial" w:cs="Arial"/>
          <w:sz w:val="24"/>
          <w:szCs w:val="24"/>
        </w:rPr>
        <w:t>The explanation for 2b should be corrected to read: $203k relates to the overstatement of the December unbilled revenue accrual of the current year and billed actual (</w:t>
      </w:r>
      <w:r>
        <w:rPr>
          <w:rFonts w:ascii="Arial" w:hAnsi="Arial" w:cs="Arial"/>
          <w:sz w:val="24"/>
          <w:szCs w:val="24"/>
        </w:rPr>
        <w:t>D</w:t>
      </w:r>
      <w:r w:rsidRPr="005E2CC1">
        <w:rPr>
          <w:rFonts w:ascii="Arial" w:hAnsi="Arial" w:cs="Arial"/>
          <w:sz w:val="24"/>
          <w:szCs w:val="24"/>
        </w:rPr>
        <w:t xml:space="preserve">R to be recorded in DVA in </w:t>
      </w:r>
      <w:r>
        <w:rPr>
          <w:rFonts w:ascii="Arial" w:hAnsi="Arial" w:cs="Arial"/>
          <w:sz w:val="24"/>
          <w:szCs w:val="24"/>
        </w:rPr>
        <w:t xml:space="preserve">current </w:t>
      </w:r>
      <w:r w:rsidRPr="005E2CC1">
        <w:rPr>
          <w:rFonts w:ascii="Arial" w:hAnsi="Arial" w:cs="Arial"/>
          <w:sz w:val="24"/>
          <w:szCs w:val="24"/>
        </w:rPr>
        <w:t>year), therefore, should record the DR in current year.</w:t>
      </w:r>
      <w:r w:rsidR="00A4468E">
        <w:rPr>
          <w:rFonts w:ascii="Arial" w:hAnsi="Arial" w:cs="Arial"/>
          <w:sz w:val="24"/>
          <w:szCs w:val="24"/>
        </w:rPr>
        <w:t xml:space="preserve">  The GA Analysis </w:t>
      </w:r>
      <w:proofErr w:type="spellStart"/>
      <w:r w:rsidR="00A4468E">
        <w:rPr>
          <w:rFonts w:ascii="Arial" w:hAnsi="Arial" w:cs="Arial"/>
          <w:sz w:val="24"/>
          <w:szCs w:val="24"/>
        </w:rPr>
        <w:t>Workform</w:t>
      </w:r>
      <w:proofErr w:type="spellEnd"/>
      <w:r w:rsidR="00A4468E">
        <w:rPr>
          <w:rFonts w:ascii="Arial" w:hAnsi="Arial" w:cs="Arial"/>
          <w:sz w:val="24"/>
          <w:szCs w:val="24"/>
        </w:rPr>
        <w:t xml:space="preserve"> has been updated.</w:t>
      </w:r>
    </w:p>
    <w:p w14:paraId="6E51682D" w14:textId="77777777" w:rsidR="00411D9F" w:rsidRDefault="00411D9F" w:rsidP="00411D9F">
      <w:pPr>
        <w:pStyle w:val="ListParagraph"/>
        <w:rPr>
          <w:rFonts w:ascii="Arial" w:hAnsi="Arial" w:cs="Arial"/>
          <w:sz w:val="24"/>
          <w:szCs w:val="24"/>
        </w:rPr>
      </w:pPr>
    </w:p>
    <w:p w14:paraId="634A4776" w14:textId="6E6CA031" w:rsidR="005E2CC1" w:rsidRDefault="005E2CC1" w:rsidP="005E2CC1">
      <w:pPr>
        <w:pStyle w:val="ListParagraph"/>
        <w:numPr>
          <w:ilvl w:val="0"/>
          <w:numId w:val="28"/>
        </w:numPr>
        <w:rPr>
          <w:rFonts w:ascii="Arial" w:hAnsi="Arial" w:cs="Arial"/>
          <w:sz w:val="24"/>
          <w:szCs w:val="24"/>
        </w:rPr>
      </w:pPr>
      <w:r>
        <w:rPr>
          <w:rFonts w:ascii="Arial" w:hAnsi="Arial" w:cs="Arial"/>
          <w:sz w:val="24"/>
          <w:szCs w:val="24"/>
        </w:rPr>
        <w:t xml:space="preserve">Please see a) above.  </w:t>
      </w:r>
      <w:r w:rsidR="00EC7405">
        <w:rPr>
          <w:rFonts w:ascii="Arial" w:hAnsi="Arial" w:cs="Arial"/>
          <w:sz w:val="24"/>
          <w:szCs w:val="24"/>
        </w:rPr>
        <w:t>This was a typo and that the explanation s</w:t>
      </w:r>
      <w:r>
        <w:rPr>
          <w:rFonts w:ascii="Arial" w:hAnsi="Arial" w:cs="Arial"/>
          <w:sz w:val="24"/>
          <w:szCs w:val="24"/>
        </w:rPr>
        <w:t>hould read $203k</w:t>
      </w:r>
      <w:r w:rsidR="00EC7405">
        <w:rPr>
          <w:rFonts w:ascii="Arial" w:hAnsi="Arial" w:cs="Arial"/>
          <w:sz w:val="24"/>
          <w:szCs w:val="24"/>
        </w:rPr>
        <w:t>.</w:t>
      </w:r>
      <w:r w:rsidR="00A4468E">
        <w:rPr>
          <w:rFonts w:ascii="Arial" w:hAnsi="Arial" w:cs="Arial"/>
          <w:sz w:val="24"/>
          <w:szCs w:val="24"/>
        </w:rPr>
        <w:t xml:space="preserve">  The GA Analysis </w:t>
      </w:r>
      <w:proofErr w:type="spellStart"/>
      <w:r w:rsidR="00A4468E">
        <w:rPr>
          <w:rFonts w:ascii="Arial" w:hAnsi="Arial" w:cs="Arial"/>
          <w:sz w:val="24"/>
          <w:szCs w:val="24"/>
        </w:rPr>
        <w:t>Workform</w:t>
      </w:r>
      <w:proofErr w:type="spellEnd"/>
      <w:r w:rsidR="00A4468E">
        <w:rPr>
          <w:rFonts w:ascii="Arial" w:hAnsi="Arial" w:cs="Arial"/>
          <w:sz w:val="24"/>
          <w:szCs w:val="24"/>
        </w:rPr>
        <w:t xml:space="preserve"> has been updated.</w:t>
      </w:r>
    </w:p>
    <w:p w14:paraId="6AACA23E" w14:textId="77777777" w:rsidR="00411D9F" w:rsidRDefault="00411D9F" w:rsidP="00411D9F">
      <w:pPr>
        <w:pStyle w:val="ListParagraph"/>
        <w:rPr>
          <w:rFonts w:ascii="Arial" w:hAnsi="Arial" w:cs="Arial"/>
          <w:sz w:val="24"/>
          <w:szCs w:val="24"/>
        </w:rPr>
      </w:pPr>
    </w:p>
    <w:p w14:paraId="2E39132E" w14:textId="5C104609" w:rsidR="005E2CC1" w:rsidRDefault="005E2CC1" w:rsidP="005E2CC1">
      <w:pPr>
        <w:pStyle w:val="ListParagraph"/>
        <w:numPr>
          <w:ilvl w:val="0"/>
          <w:numId w:val="28"/>
        </w:numPr>
        <w:rPr>
          <w:rFonts w:ascii="Arial" w:hAnsi="Arial" w:cs="Arial"/>
          <w:sz w:val="24"/>
          <w:szCs w:val="24"/>
        </w:rPr>
      </w:pPr>
      <w:r w:rsidRPr="005E2CC1">
        <w:rPr>
          <w:rFonts w:ascii="Arial" w:hAnsi="Arial" w:cs="Arial"/>
          <w:sz w:val="24"/>
          <w:szCs w:val="24"/>
        </w:rPr>
        <w:t>The explanation for Adj. 13 should be corrected to read: Difference in Class B GA for IESO purchases accrued at December of current year and actual GA charged on IESO invoice.  $132k relates to the understatement of the December IESO payable accrual (</w:t>
      </w:r>
      <w:r w:rsidR="00EC7405">
        <w:rPr>
          <w:rFonts w:ascii="Arial" w:hAnsi="Arial" w:cs="Arial"/>
          <w:sz w:val="24"/>
          <w:szCs w:val="24"/>
        </w:rPr>
        <w:t>D</w:t>
      </w:r>
      <w:r w:rsidRPr="005E2CC1">
        <w:rPr>
          <w:rFonts w:ascii="Arial" w:hAnsi="Arial" w:cs="Arial"/>
          <w:sz w:val="24"/>
          <w:szCs w:val="24"/>
        </w:rPr>
        <w:t>R to be recorded in DVA in current year), therefore, should record the DR in current year.</w:t>
      </w:r>
      <w:r w:rsidR="00A4468E">
        <w:rPr>
          <w:rFonts w:ascii="Arial" w:hAnsi="Arial" w:cs="Arial"/>
          <w:sz w:val="24"/>
          <w:szCs w:val="24"/>
        </w:rPr>
        <w:t xml:space="preserve">  The GA Analysis </w:t>
      </w:r>
      <w:proofErr w:type="spellStart"/>
      <w:r w:rsidR="00A4468E">
        <w:rPr>
          <w:rFonts w:ascii="Arial" w:hAnsi="Arial" w:cs="Arial"/>
          <w:sz w:val="24"/>
          <w:szCs w:val="24"/>
        </w:rPr>
        <w:t>Workform</w:t>
      </w:r>
      <w:proofErr w:type="spellEnd"/>
      <w:r w:rsidR="00A4468E">
        <w:rPr>
          <w:rFonts w:ascii="Arial" w:hAnsi="Arial" w:cs="Arial"/>
          <w:sz w:val="24"/>
          <w:szCs w:val="24"/>
        </w:rPr>
        <w:t xml:space="preserve"> has been updated.</w:t>
      </w:r>
    </w:p>
    <w:p w14:paraId="3EE5647D" w14:textId="77777777" w:rsidR="00411D9F" w:rsidRPr="00411D9F" w:rsidRDefault="00411D9F" w:rsidP="00411D9F">
      <w:pPr>
        <w:pStyle w:val="ListParagraph"/>
        <w:rPr>
          <w:rFonts w:ascii="Arial" w:hAnsi="Arial" w:cs="Arial"/>
          <w:sz w:val="24"/>
          <w:szCs w:val="24"/>
        </w:rPr>
      </w:pPr>
    </w:p>
    <w:p w14:paraId="4724F9B7" w14:textId="72EE2537" w:rsidR="00635D4A" w:rsidRPr="00411D9F" w:rsidRDefault="00635D4A" w:rsidP="00411D9F">
      <w:pPr>
        <w:pStyle w:val="ListParagraph"/>
        <w:numPr>
          <w:ilvl w:val="0"/>
          <w:numId w:val="28"/>
        </w:numPr>
        <w:rPr>
          <w:rFonts w:ascii="Arial" w:hAnsi="Arial" w:cs="Arial"/>
          <w:sz w:val="24"/>
          <w:szCs w:val="24"/>
        </w:rPr>
      </w:pPr>
      <w:r w:rsidRPr="00411D9F">
        <w:rPr>
          <w:rFonts w:ascii="Arial" w:hAnsi="Arial" w:cs="Arial"/>
          <w:sz w:val="24"/>
          <w:szCs w:val="24"/>
        </w:rPr>
        <w:t xml:space="preserve">In 2018, CNPI aligned its unbilled revenue </w:t>
      </w:r>
      <w:r w:rsidR="00937ED0" w:rsidRPr="00411D9F">
        <w:rPr>
          <w:rFonts w:ascii="Arial" w:hAnsi="Arial" w:cs="Arial"/>
          <w:sz w:val="24"/>
          <w:szCs w:val="24"/>
        </w:rPr>
        <w:t xml:space="preserve">Class A </w:t>
      </w:r>
      <w:r w:rsidRPr="00411D9F">
        <w:rPr>
          <w:rFonts w:ascii="Arial" w:hAnsi="Arial" w:cs="Arial"/>
          <w:sz w:val="24"/>
          <w:szCs w:val="24"/>
        </w:rPr>
        <w:t xml:space="preserve">accrual amounts with </w:t>
      </w:r>
      <w:r w:rsidR="00937ED0" w:rsidRPr="00411D9F">
        <w:rPr>
          <w:rFonts w:ascii="Arial" w:hAnsi="Arial" w:cs="Arial"/>
          <w:sz w:val="24"/>
          <w:szCs w:val="24"/>
        </w:rPr>
        <w:t xml:space="preserve">the amount it accrued under </w:t>
      </w:r>
      <w:r w:rsidRPr="00411D9F">
        <w:rPr>
          <w:rFonts w:ascii="Arial" w:hAnsi="Arial" w:cs="Arial"/>
          <w:sz w:val="24"/>
          <w:szCs w:val="24"/>
        </w:rPr>
        <w:t xml:space="preserve">IESO charge type </w:t>
      </w:r>
      <w:r w:rsidR="00937ED0" w:rsidRPr="00411D9F">
        <w:rPr>
          <w:rFonts w:ascii="Arial" w:hAnsi="Arial" w:cs="Arial"/>
          <w:sz w:val="24"/>
          <w:szCs w:val="24"/>
        </w:rPr>
        <w:t>147 (Class A GA).  Therefore, no adjustment for 2018 is required.</w:t>
      </w:r>
    </w:p>
    <w:p w14:paraId="4A343769" w14:textId="77777777" w:rsidR="00266599" w:rsidRDefault="00266599" w:rsidP="00266599">
      <w:pPr>
        <w:pStyle w:val="ListParagraph"/>
        <w:rPr>
          <w:rFonts w:ascii="Arial" w:hAnsi="Arial" w:cs="Arial"/>
          <w:sz w:val="24"/>
          <w:szCs w:val="24"/>
        </w:rPr>
      </w:pPr>
    </w:p>
    <w:p w14:paraId="210F1FE7" w14:textId="46CA057F" w:rsidR="00266599" w:rsidRDefault="00266599" w:rsidP="00266599">
      <w:pPr>
        <w:pStyle w:val="ListParagraph"/>
        <w:ind w:hanging="720"/>
        <w:rPr>
          <w:rFonts w:ascii="Arial" w:hAnsi="Arial" w:cs="Arial"/>
          <w:b/>
          <w:sz w:val="24"/>
          <w:szCs w:val="24"/>
        </w:rPr>
      </w:pPr>
    </w:p>
    <w:p w14:paraId="5DC616B0" w14:textId="603C4E87" w:rsidR="003B631A" w:rsidRDefault="003B631A" w:rsidP="00846897">
      <w:pPr>
        <w:pStyle w:val="ListParagraph"/>
        <w:ind w:hanging="720"/>
        <w:jc w:val="center"/>
        <w:rPr>
          <w:rFonts w:ascii="Arial" w:hAnsi="Arial" w:cs="Arial"/>
          <w:b/>
          <w:sz w:val="24"/>
          <w:szCs w:val="24"/>
        </w:rPr>
      </w:pPr>
    </w:p>
    <w:sectPr w:rsidR="003B631A" w:rsidSect="00EA0919">
      <w:headerReference w:type="default" r:id="rId13"/>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15EDC" w14:textId="77777777" w:rsidR="00360806" w:rsidRDefault="00360806" w:rsidP="00851418">
      <w:pPr>
        <w:spacing w:after="0" w:line="240" w:lineRule="auto"/>
      </w:pPr>
      <w:r>
        <w:separator/>
      </w:r>
    </w:p>
  </w:endnote>
  <w:endnote w:type="continuationSeparator" w:id="0">
    <w:p w14:paraId="18B5FF74" w14:textId="77777777" w:rsidR="00360806" w:rsidRDefault="00360806"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1D954" w14:textId="77777777" w:rsidR="00360806" w:rsidRDefault="00360806" w:rsidP="00851418">
      <w:pPr>
        <w:spacing w:after="0" w:line="240" w:lineRule="auto"/>
      </w:pPr>
      <w:r>
        <w:separator/>
      </w:r>
    </w:p>
  </w:footnote>
  <w:footnote w:type="continuationSeparator" w:id="0">
    <w:p w14:paraId="13138CDD" w14:textId="77777777" w:rsidR="00360806" w:rsidRDefault="00360806" w:rsidP="00851418">
      <w:pPr>
        <w:spacing w:after="0" w:line="240" w:lineRule="auto"/>
      </w:pPr>
      <w:r>
        <w:continuationSeparator/>
      </w:r>
    </w:p>
  </w:footnote>
  <w:footnote w:id="1">
    <w:p w14:paraId="79F7295E" w14:textId="709717CA" w:rsidR="00A945A0" w:rsidRPr="003B36F7" w:rsidRDefault="00A945A0" w:rsidP="00A945A0">
      <w:pPr>
        <w:pStyle w:val="FootnoteText"/>
        <w:rPr>
          <w:lang w:val="en-US"/>
        </w:rPr>
      </w:pPr>
      <w:r>
        <w:rPr>
          <w:rStyle w:val="FootnoteReference"/>
        </w:rPr>
        <w:footnoteRef/>
      </w:r>
      <w:r>
        <w:t xml:space="preserve"> </w:t>
      </w:r>
      <w:r>
        <w:rPr>
          <w:lang w:val="en-US"/>
        </w:rPr>
        <w:t>EB-2017-0031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0F91" w14:textId="27333432" w:rsidR="00851418" w:rsidRPr="00DA5F69" w:rsidRDefault="00D5062F">
    <w:pPr>
      <w:pStyle w:val="Header"/>
      <w:rPr>
        <w:rFonts w:ascii="Arial" w:hAnsi="Arial" w:cs="Arial"/>
        <w:sz w:val="20"/>
        <w:szCs w:val="20"/>
      </w:rPr>
    </w:pPr>
    <w:r w:rsidRPr="00DA5F69">
      <w:rPr>
        <w:rFonts w:ascii="Arial" w:hAnsi="Arial" w:cs="Arial"/>
        <w:sz w:val="20"/>
        <w:szCs w:val="20"/>
      </w:rPr>
      <w:ptab w:relativeTo="margin" w:alignment="center" w:leader="none"/>
    </w:r>
    <w:r w:rsidRPr="00DA5F69">
      <w:rPr>
        <w:rFonts w:ascii="Arial" w:hAnsi="Arial" w:cs="Arial"/>
        <w:sz w:val="20"/>
        <w:szCs w:val="20"/>
      </w:rPr>
      <w:ptab w:relativeTo="margin" w:alignment="right" w:leader="none"/>
    </w:r>
    <w:r w:rsidR="003D788F">
      <w:rPr>
        <w:rFonts w:ascii="Arial" w:hAnsi="Arial" w:cs="Arial"/>
        <w:sz w:val="20"/>
        <w:szCs w:val="20"/>
      </w:rPr>
      <w:t>Canadian Niagara Power Inc.</w:t>
    </w:r>
  </w:p>
  <w:p w14:paraId="61052496" w14:textId="7E09C99B" w:rsidR="00D5062F" w:rsidRDefault="00E96915">
    <w:pPr>
      <w:pStyle w:val="Header"/>
      <w:rPr>
        <w:rFonts w:ascii="Arial" w:hAnsi="Arial" w:cs="Arial"/>
        <w:sz w:val="20"/>
        <w:szCs w:val="20"/>
      </w:rPr>
    </w:pPr>
    <w:r>
      <w:rPr>
        <w:rFonts w:ascii="Arial" w:hAnsi="Arial" w:cs="Arial"/>
        <w:sz w:val="20"/>
        <w:szCs w:val="20"/>
      </w:rPr>
      <w:tab/>
    </w:r>
    <w:r>
      <w:rPr>
        <w:rFonts w:ascii="Arial" w:hAnsi="Arial" w:cs="Arial"/>
        <w:sz w:val="20"/>
        <w:szCs w:val="20"/>
      </w:rPr>
      <w:tab/>
      <w:t>EB-2019-002</w:t>
    </w:r>
    <w:r w:rsidR="001B29DD">
      <w:rPr>
        <w:rFonts w:ascii="Arial" w:hAnsi="Arial" w:cs="Arial"/>
        <w:sz w:val="20"/>
        <w:szCs w:val="20"/>
      </w:rPr>
      <w:t>4</w:t>
    </w:r>
  </w:p>
  <w:p w14:paraId="1D597286" w14:textId="7222DE96" w:rsidR="00B34F02" w:rsidRPr="00DA5F69" w:rsidRDefault="00D5062F">
    <w:pPr>
      <w:pStyle w:val="Header"/>
      <w:rPr>
        <w:rFonts w:ascii="Arial" w:hAnsi="Arial" w:cs="Arial"/>
        <w:b/>
        <w:sz w:val="20"/>
        <w:szCs w:val="20"/>
      </w:rPr>
    </w:pPr>
    <w:r w:rsidRPr="00DA5F69">
      <w:rPr>
        <w:rFonts w:ascii="Arial" w:hAnsi="Arial" w:cs="Arial"/>
        <w:sz w:val="20"/>
        <w:szCs w:val="20"/>
      </w:rPr>
      <w:tab/>
    </w:r>
    <w:r w:rsidRPr="00DA5F69">
      <w:rPr>
        <w:rFonts w:ascii="Arial" w:hAnsi="Arial" w:cs="Arial"/>
        <w:sz w:val="20"/>
        <w:szCs w:val="20"/>
      </w:rPr>
      <w:tab/>
      <w:t xml:space="preserve">Page </w:t>
    </w:r>
    <w:r w:rsidRPr="00DA5F69">
      <w:rPr>
        <w:rFonts w:ascii="Arial" w:hAnsi="Arial" w:cs="Arial"/>
        <w:b/>
        <w:sz w:val="20"/>
        <w:szCs w:val="20"/>
      </w:rPr>
      <w:fldChar w:fldCharType="begin"/>
    </w:r>
    <w:r w:rsidRPr="00DA5F69">
      <w:rPr>
        <w:rFonts w:ascii="Arial" w:hAnsi="Arial" w:cs="Arial"/>
        <w:b/>
        <w:sz w:val="20"/>
        <w:szCs w:val="20"/>
      </w:rPr>
      <w:instrText xml:space="preserve"> PAGE  \* Arabic  \* MERGEFORMAT </w:instrText>
    </w:r>
    <w:r w:rsidRPr="00DA5F69">
      <w:rPr>
        <w:rFonts w:ascii="Arial" w:hAnsi="Arial" w:cs="Arial"/>
        <w:b/>
        <w:sz w:val="20"/>
        <w:szCs w:val="20"/>
      </w:rPr>
      <w:fldChar w:fldCharType="separate"/>
    </w:r>
    <w:r w:rsidR="00CB4BBC">
      <w:rPr>
        <w:rFonts w:ascii="Arial" w:hAnsi="Arial" w:cs="Arial"/>
        <w:b/>
        <w:noProof/>
        <w:sz w:val="20"/>
        <w:szCs w:val="20"/>
      </w:rPr>
      <w:t>8</w:t>
    </w:r>
    <w:r w:rsidRPr="00DA5F69">
      <w:rPr>
        <w:rFonts w:ascii="Arial" w:hAnsi="Arial" w:cs="Arial"/>
        <w:b/>
        <w:sz w:val="20"/>
        <w:szCs w:val="20"/>
      </w:rPr>
      <w:fldChar w:fldCharType="end"/>
    </w:r>
    <w:r w:rsidRPr="00DA5F69">
      <w:rPr>
        <w:rFonts w:ascii="Arial" w:hAnsi="Arial" w:cs="Arial"/>
        <w:sz w:val="20"/>
        <w:szCs w:val="20"/>
      </w:rPr>
      <w:t xml:space="preserve"> of </w:t>
    </w:r>
    <w:r w:rsidRPr="00DA5F69">
      <w:rPr>
        <w:rFonts w:ascii="Arial" w:hAnsi="Arial" w:cs="Arial"/>
        <w:b/>
        <w:sz w:val="20"/>
        <w:szCs w:val="20"/>
      </w:rPr>
      <w:fldChar w:fldCharType="begin"/>
    </w:r>
    <w:r w:rsidRPr="00DA5F69">
      <w:rPr>
        <w:rFonts w:ascii="Arial" w:hAnsi="Arial" w:cs="Arial"/>
        <w:b/>
        <w:sz w:val="20"/>
        <w:szCs w:val="20"/>
      </w:rPr>
      <w:instrText xml:space="preserve"> NUMPAGES  \* Arabic  \* MERGEFORMAT </w:instrText>
    </w:r>
    <w:r w:rsidRPr="00DA5F69">
      <w:rPr>
        <w:rFonts w:ascii="Arial" w:hAnsi="Arial" w:cs="Arial"/>
        <w:b/>
        <w:sz w:val="20"/>
        <w:szCs w:val="20"/>
      </w:rPr>
      <w:fldChar w:fldCharType="separate"/>
    </w:r>
    <w:r w:rsidR="00CB4BBC">
      <w:rPr>
        <w:rFonts w:ascii="Arial" w:hAnsi="Arial" w:cs="Arial"/>
        <w:b/>
        <w:noProof/>
        <w:sz w:val="20"/>
        <w:szCs w:val="20"/>
      </w:rPr>
      <w:t>8</w:t>
    </w:r>
    <w:r w:rsidRPr="00DA5F69">
      <w:rPr>
        <w:rFonts w:ascii="Arial" w:hAnsi="Arial" w:cs="Arial"/>
        <w:b/>
        <w:sz w:val="20"/>
        <w:szCs w:val="20"/>
      </w:rPr>
      <w:fldChar w:fldCharType="end"/>
    </w:r>
  </w:p>
  <w:p w14:paraId="0B8B44F7" w14:textId="77777777" w:rsidR="00D5062F" w:rsidRDefault="00D5062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B7195"/>
    <w:multiLevelType w:val="hybridMultilevel"/>
    <w:tmpl w:val="AB92A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C6B39"/>
    <w:multiLevelType w:val="hybridMultilevel"/>
    <w:tmpl w:val="19F412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B1066B"/>
    <w:multiLevelType w:val="hybridMultilevel"/>
    <w:tmpl w:val="9596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C2CFB"/>
    <w:multiLevelType w:val="hybridMultilevel"/>
    <w:tmpl w:val="8278B2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64B57"/>
    <w:multiLevelType w:val="hybridMultilevel"/>
    <w:tmpl w:val="FF3E803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EDA28F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1631C4"/>
    <w:multiLevelType w:val="hybridMultilevel"/>
    <w:tmpl w:val="DEC4A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8394C"/>
    <w:multiLevelType w:val="hybridMultilevel"/>
    <w:tmpl w:val="AF142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B639F"/>
    <w:multiLevelType w:val="hybridMultilevel"/>
    <w:tmpl w:val="1DB4029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D0A6302"/>
    <w:multiLevelType w:val="hybridMultilevel"/>
    <w:tmpl w:val="A184D3E6"/>
    <w:lvl w:ilvl="0" w:tplc="CBEEE570">
      <w:start w:val="1"/>
      <w:numFmt w:val="lowerLetter"/>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C1155"/>
    <w:multiLevelType w:val="hybridMultilevel"/>
    <w:tmpl w:val="2E921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1145B"/>
    <w:multiLevelType w:val="hybridMultilevel"/>
    <w:tmpl w:val="EE2CCA9A"/>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5C977AF"/>
    <w:multiLevelType w:val="hybridMultilevel"/>
    <w:tmpl w:val="FBC0B4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55759C"/>
    <w:multiLevelType w:val="hybridMultilevel"/>
    <w:tmpl w:val="B23E7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1668B"/>
    <w:multiLevelType w:val="hybridMultilevel"/>
    <w:tmpl w:val="AD2050BE"/>
    <w:lvl w:ilvl="0" w:tplc="0409000F">
      <w:start w:val="1"/>
      <w:numFmt w:val="decimal"/>
      <w:lvlText w:val="%1."/>
      <w:lvlJc w:val="left"/>
      <w:pPr>
        <w:ind w:left="720" w:hanging="360"/>
      </w:pPr>
    </w:lvl>
    <w:lvl w:ilvl="1" w:tplc="EB0CCEEA">
      <w:start w:val="1"/>
      <w:numFmt w:val="lowerLetter"/>
      <w:lvlText w:val="%2)"/>
      <w:lvlJc w:val="left"/>
      <w:pPr>
        <w:ind w:left="1440" w:hanging="360"/>
      </w:pPr>
      <w:rPr>
        <w:rFonts w:ascii="Arial" w:eastAsiaTheme="minorHAnsi" w:hAnsi="Arial" w:cs="Arial"/>
      </w:rPr>
    </w:lvl>
    <w:lvl w:ilvl="2" w:tplc="8BA0EF48">
      <w:start w:val="1"/>
      <w:numFmt w:val="lowerRoman"/>
      <w:lvlText w:val="%3)"/>
      <w:lvlJc w:val="righ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71630"/>
    <w:multiLevelType w:val="hybridMultilevel"/>
    <w:tmpl w:val="5492B8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D71BE"/>
    <w:multiLevelType w:val="hybridMultilevel"/>
    <w:tmpl w:val="ACA49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7D514E"/>
    <w:multiLevelType w:val="hybridMultilevel"/>
    <w:tmpl w:val="2DF80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C7062C"/>
    <w:multiLevelType w:val="hybridMultilevel"/>
    <w:tmpl w:val="FBC0B4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9A726D"/>
    <w:multiLevelType w:val="hybridMultilevel"/>
    <w:tmpl w:val="9AF8A810"/>
    <w:lvl w:ilvl="0" w:tplc="EE3E5888">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3D65A4D"/>
    <w:multiLevelType w:val="hybridMultilevel"/>
    <w:tmpl w:val="E6F28432"/>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481BA5"/>
    <w:multiLevelType w:val="hybridMultilevel"/>
    <w:tmpl w:val="64B88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6E525D"/>
    <w:multiLevelType w:val="hybridMultilevel"/>
    <w:tmpl w:val="EE2CCA9A"/>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B9514A2"/>
    <w:multiLevelType w:val="hybridMultilevel"/>
    <w:tmpl w:val="3588F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171CE"/>
    <w:multiLevelType w:val="hybridMultilevel"/>
    <w:tmpl w:val="888A8C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E779A"/>
    <w:multiLevelType w:val="hybridMultilevel"/>
    <w:tmpl w:val="6B2616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61970"/>
    <w:multiLevelType w:val="hybridMultilevel"/>
    <w:tmpl w:val="21644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3215CC"/>
    <w:multiLevelType w:val="hybridMultilevel"/>
    <w:tmpl w:val="B4C0BE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C556D"/>
    <w:multiLevelType w:val="hybridMultilevel"/>
    <w:tmpl w:val="87A8BA7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DD53912"/>
    <w:multiLevelType w:val="hybridMultilevel"/>
    <w:tmpl w:val="F468DDF0"/>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7"/>
  </w:num>
  <w:num w:numId="4">
    <w:abstractNumId w:val="13"/>
  </w:num>
  <w:num w:numId="5">
    <w:abstractNumId w:val="6"/>
  </w:num>
  <w:num w:numId="6">
    <w:abstractNumId w:val="19"/>
  </w:num>
  <w:num w:numId="7">
    <w:abstractNumId w:val="24"/>
  </w:num>
  <w:num w:numId="8">
    <w:abstractNumId w:val="30"/>
  </w:num>
  <w:num w:numId="9">
    <w:abstractNumId w:val="2"/>
  </w:num>
  <w:num w:numId="10">
    <w:abstractNumId w:val="9"/>
  </w:num>
  <w:num w:numId="11">
    <w:abstractNumId w:val="21"/>
  </w:num>
  <w:num w:numId="12">
    <w:abstractNumId w:val="15"/>
  </w:num>
  <w:num w:numId="13">
    <w:abstractNumId w:val="10"/>
  </w:num>
  <w:num w:numId="14">
    <w:abstractNumId w:val="16"/>
  </w:num>
  <w:num w:numId="15">
    <w:abstractNumId w:val="29"/>
  </w:num>
  <w:num w:numId="16">
    <w:abstractNumId w:val="4"/>
  </w:num>
  <w:num w:numId="17">
    <w:abstractNumId w:val="5"/>
  </w:num>
  <w:num w:numId="18">
    <w:abstractNumId w:val="23"/>
  </w:num>
  <w:num w:numId="19">
    <w:abstractNumId w:val="27"/>
  </w:num>
  <w:num w:numId="20">
    <w:abstractNumId w:val="14"/>
  </w:num>
  <w:num w:numId="21">
    <w:abstractNumId w:val="26"/>
  </w:num>
  <w:num w:numId="22">
    <w:abstractNumId w:val="28"/>
  </w:num>
  <w:num w:numId="23">
    <w:abstractNumId w:val="8"/>
  </w:num>
  <w:num w:numId="24">
    <w:abstractNumId w:val="3"/>
  </w:num>
  <w:num w:numId="25">
    <w:abstractNumId w:val="25"/>
  </w:num>
  <w:num w:numId="26">
    <w:abstractNumId w:val="17"/>
  </w:num>
  <w:num w:numId="27">
    <w:abstractNumId w:val="12"/>
  </w:num>
  <w:num w:numId="28">
    <w:abstractNumId w:val="18"/>
  </w:num>
  <w:num w:numId="29">
    <w:abstractNumId w:val="20"/>
  </w:num>
  <w:num w:numId="30">
    <w:abstractNumId w:val="11"/>
  </w:num>
  <w:num w:numId="3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6F8"/>
    <w:rsid w:val="00003BE1"/>
    <w:rsid w:val="00004F89"/>
    <w:rsid w:val="000069CF"/>
    <w:rsid w:val="00011987"/>
    <w:rsid w:val="00012E51"/>
    <w:rsid w:val="00013233"/>
    <w:rsid w:val="0001354E"/>
    <w:rsid w:val="0001531F"/>
    <w:rsid w:val="00030D12"/>
    <w:rsid w:val="00032B60"/>
    <w:rsid w:val="00037391"/>
    <w:rsid w:val="000414BC"/>
    <w:rsid w:val="00041BBD"/>
    <w:rsid w:val="000435D4"/>
    <w:rsid w:val="000437D6"/>
    <w:rsid w:val="0004654D"/>
    <w:rsid w:val="00046E03"/>
    <w:rsid w:val="000513E6"/>
    <w:rsid w:val="0005355A"/>
    <w:rsid w:val="0005541D"/>
    <w:rsid w:val="00061172"/>
    <w:rsid w:val="00077203"/>
    <w:rsid w:val="000843ED"/>
    <w:rsid w:val="00096D51"/>
    <w:rsid w:val="000A1997"/>
    <w:rsid w:val="000B3FA1"/>
    <w:rsid w:val="000B51CC"/>
    <w:rsid w:val="000C035C"/>
    <w:rsid w:val="000D2EAF"/>
    <w:rsid w:val="000E09DB"/>
    <w:rsid w:val="000E1DAE"/>
    <w:rsid w:val="000E4C7B"/>
    <w:rsid w:val="000F0FBB"/>
    <w:rsid w:val="001010C7"/>
    <w:rsid w:val="001027DF"/>
    <w:rsid w:val="00112D88"/>
    <w:rsid w:val="00145A2B"/>
    <w:rsid w:val="00146770"/>
    <w:rsid w:val="00150BE5"/>
    <w:rsid w:val="001563E4"/>
    <w:rsid w:val="00156B65"/>
    <w:rsid w:val="0016286E"/>
    <w:rsid w:val="0016330B"/>
    <w:rsid w:val="00163BCB"/>
    <w:rsid w:val="00171C5D"/>
    <w:rsid w:val="00175E69"/>
    <w:rsid w:val="0018179E"/>
    <w:rsid w:val="001A184E"/>
    <w:rsid w:val="001B1072"/>
    <w:rsid w:val="001B29DD"/>
    <w:rsid w:val="001B2AD3"/>
    <w:rsid w:val="001B40BE"/>
    <w:rsid w:val="001C7CA4"/>
    <w:rsid w:val="001D2BB6"/>
    <w:rsid w:val="001D7086"/>
    <w:rsid w:val="001D7A71"/>
    <w:rsid w:val="001E069B"/>
    <w:rsid w:val="001E3621"/>
    <w:rsid w:val="001E6EA6"/>
    <w:rsid w:val="001F19CF"/>
    <w:rsid w:val="001F5CB6"/>
    <w:rsid w:val="00204A40"/>
    <w:rsid w:val="00204CE7"/>
    <w:rsid w:val="0021184B"/>
    <w:rsid w:val="002152C0"/>
    <w:rsid w:val="00217F9B"/>
    <w:rsid w:val="0023076C"/>
    <w:rsid w:val="00233B92"/>
    <w:rsid w:val="002363C3"/>
    <w:rsid w:val="00241483"/>
    <w:rsid w:val="002510CD"/>
    <w:rsid w:val="002578BF"/>
    <w:rsid w:val="002579E0"/>
    <w:rsid w:val="00261348"/>
    <w:rsid w:val="00266599"/>
    <w:rsid w:val="00272B65"/>
    <w:rsid w:val="002825CC"/>
    <w:rsid w:val="00284B69"/>
    <w:rsid w:val="00286DC4"/>
    <w:rsid w:val="00290230"/>
    <w:rsid w:val="00291A52"/>
    <w:rsid w:val="00293086"/>
    <w:rsid w:val="002966E4"/>
    <w:rsid w:val="0029762E"/>
    <w:rsid w:val="002A72E9"/>
    <w:rsid w:val="002B48DA"/>
    <w:rsid w:val="002B6255"/>
    <w:rsid w:val="002B7C64"/>
    <w:rsid w:val="002C75F8"/>
    <w:rsid w:val="002D2F55"/>
    <w:rsid w:val="002F218C"/>
    <w:rsid w:val="002F334C"/>
    <w:rsid w:val="002F69D1"/>
    <w:rsid w:val="00303671"/>
    <w:rsid w:val="00304228"/>
    <w:rsid w:val="00323A89"/>
    <w:rsid w:val="00323BCB"/>
    <w:rsid w:val="0032442F"/>
    <w:rsid w:val="0032693C"/>
    <w:rsid w:val="00340E11"/>
    <w:rsid w:val="00351FEF"/>
    <w:rsid w:val="0035397C"/>
    <w:rsid w:val="00354A5F"/>
    <w:rsid w:val="00360806"/>
    <w:rsid w:val="003624ED"/>
    <w:rsid w:val="00370D5B"/>
    <w:rsid w:val="0037285F"/>
    <w:rsid w:val="003807A2"/>
    <w:rsid w:val="003834CA"/>
    <w:rsid w:val="003856F8"/>
    <w:rsid w:val="00393FCD"/>
    <w:rsid w:val="00394351"/>
    <w:rsid w:val="0039687D"/>
    <w:rsid w:val="0039794B"/>
    <w:rsid w:val="003A7960"/>
    <w:rsid w:val="003B36F7"/>
    <w:rsid w:val="003B631A"/>
    <w:rsid w:val="003C216A"/>
    <w:rsid w:val="003D5278"/>
    <w:rsid w:val="003D788F"/>
    <w:rsid w:val="003E076C"/>
    <w:rsid w:val="003E7D1C"/>
    <w:rsid w:val="003F1B00"/>
    <w:rsid w:val="003F1B82"/>
    <w:rsid w:val="003F609A"/>
    <w:rsid w:val="003F7D01"/>
    <w:rsid w:val="0040210B"/>
    <w:rsid w:val="00406CDC"/>
    <w:rsid w:val="00411D9F"/>
    <w:rsid w:val="00412DC6"/>
    <w:rsid w:val="0043160E"/>
    <w:rsid w:val="00431B1E"/>
    <w:rsid w:val="00450CB6"/>
    <w:rsid w:val="00463CA8"/>
    <w:rsid w:val="00464D00"/>
    <w:rsid w:val="00471B90"/>
    <w:rsid w:val="00472EFF"/>
    <w:rsid w:val="004734FA"/>
    <w:rsid w:val="0047404F"/>
    <w:rsid w:val="00475BCE"/>
    <w:rsid w:val="004934A8"/>
    <w:rsid w:val="004939A5"/>
    <w:rsid w:val="004A1794"/>
    <w:rsid w:val="004A5F89"/>
    <w:rsid w:val="004B24DF"/>
    <w:rsid w:val="004B6DA6"/>
    <w:rsid w:val="004C01D2"/>
    <w:rsid w:val="004C1F32"/>
    <w:rsid w:val="004D46E0"/>
    <w:rsid w:val="004F04C5"/>
    <w:rsid w:val="004F4145"/>
    <w:rsid w:val="004F7D19"/>
    <w:rsid w:val="005075E1"/>
    <w:rsid w:val="00511282"/>
    <w:rsid w:val="005117CF"/>
    <w:rsid w:val="005216D6"/>
    <w:rsid w:val="005349C8"/>
    <w:rsid w:val="0054571C"/>
    <w:rsid w:val="00545B8E"/>
    <w:rsid w:val="00553935"/>
    <w:rsid w:val="0056158D"/>
    <w:rsid w:val="0058523E"/>
    <w:rsid w:val="005879AC"/>
    <w:rsid w:val="005979B0"/>
    <w:rsid w:val="005A69AC"/>
    <w:rsid w:val="005B0481"/>
    <w:rsid w:val="005B4C39"/>
    <w:rsid w:val="005B6E11"/>
    <w:rsid w:val="005C35A4"/>
    <w:rsid w:val="005C4D50"/>
    <w:rsid w:val="005C5C6B"/>
    <w:rsid w:val="005C5E2E"/>
    <w:rsid w:val="005D352B"/>
    <w:rsid w:val="005D772D"/>
    <w:rsid w:val="005E0591"/>
    <w:rsid w:val="005E07FE"/>
    <w:rsid w:val="005E2CC1"/>
    <w:rsid w:val="005E77DD"/>
    <w:rsid w:val="005F1F8A"/>
    <w:rsid w:val="005F38E0"/>
    <w:rsid w:val="00601C3B"/>
    <w:rsid w:val="0060662D"/>
    <w:rsid w:val="006125B7"/>
    <w:rsid w:val="006225E9"/>
    <w:rsid w:val="00634992"/>
    <w:rsid w:val="0063554D"/>
    <w:rsid w:val="00635D4A"/>
    <w:rsid w:val="0063711D"/>
    <w:rsid w:val="00650A44"/>
    <w:rsid w:val="006546FF"/>
    <w:rsid w:val="006550FD"/>
    <w:rsid w:val="006561C4"/>
    <w:rsid w:val="006604B5"/>
    <w:rsid w:val="0066243E"/>
    <w:rsid w:val="006659F5"/>
    <w:rsid w:val="00690473"/>
    <w:rsid w:val="0069057C"/>
    <w:rsid w:val="00690FCD"/>
    <w:rsid w:val="00691C29"/>
    <w:rsid w:val="00692FC5"/>
    <w:rsid w:val="00693358"/>
    <w:rsid w:val="00695807"/>
    <w:rsid w:val="006A4BBE"/>
    <w:rsid w:val="006A6276"/>
    <w:rsid w:val="006A6B6B"/>
    <w:rsid w:val="006A720B"/>
    <w:rsid w:val="006A72DB"/>
    <w:rsid w:val="006B4DAB"/>
    <w:rsid w:val="006B6543"/>
    <w:rsid w:val="006B7A95"/>
    <w:rsid w:val="006C68C5"/>
    <w:rsid w:val="006D268A"/>
    <w:rsid w:val="006D4467"/>
    <w:rsid w:val="006E1551"/>
    <w:rsid w:val="006F3EFE"/>
    <w:rsid w:val="00706907"/>
    <w:rsid w:val="0071191B"/>
    <w:rsid w:val="007175F9"/>
    <w:rsid w:val="00722B60"/>
    <w:rsid w:val="007419C6"/>
    <w:rsid w:val="00743E9E"/>
    <w:rsid w:val="00746080"/>
    <w:rsid w:val="00772E59"/>
    <w:rsid w:val="00776FED"/>
    <w:rsid w:val="0078138E"/>
    <w:rsid w:val="007829E5"/>
    <w:rsid w:val="00791AE2"/>
    <w:rsid w:val="00794B4A"/>
    <w:rsid w:val="007A64A9"/>
    <w:rsid w:val="007B22BF"/>
    <w:rsid w:val="007C5A54"/>
    <w:rsid w:val="007D3C19"/>
    <w:rsid w:val="007D51C9"/>
    <w:rsid w:val="007F40FF"/>
    <w:rsid w:val="007F79F3"/>
    <w:rsid w:val="00801BB6"/>
    <w:rsid w:val="00806D93"/>
    <w:rsid w:val="00807B44"/>
    <w:rsid w:val="0081129A"/>
    <w:rsid w:val="00831DBE"/>
    <w:rsid w:val="00832A00"/>
    <w:rsid w:val="00834E7C"/>
    <w:rsid w:val="00846897"/>
    <w:rsid w:val="00850053"/>
    <w:rsid w:val="008508DF"/>
    <w:rsid w:val="00851418"/>
    <w:rsid w:val="008539D9"/>
    <w:rsid w:val="00856394"/>
    <w:rsid w:val="00862462"/>
    <w:rsid w:val="00866D1E"/>
    <w:rsid w:val="00866E79"/>
    <w:rsid w:val="0087639C"/>
    <w:rsid w:val="0087688C"/>
    <w:rsid w:val="008A0688"/>
    <w:rsid w:val="008A57B0"/>
    <w:rsid w:val="008A5D3A"/>
    <w:rsid w:val="008B6D75"/>
    <w:rsid w:val="008C5FAC"/>
    <w:rsid w:val="008C74E3"/>
    <w:rsid w:val="008D2187"/>
    <w:rsid w:val="008E4332"/>
    <w:rsid w:val="008F0FAA"/>
    <w:rsid w:val="008F688C"/>
    <w:rsid w:val="008F73E8"/>
    <w:rsid w:val="00900330"/>
    <w:rsid w:val="00906622"/>
    <w:rsid w:val="009071CF"/>
    <w:rsid w:val="009138FC"/>
    <w:rsid w:val="00923824"/>
    <w:rsid w:val="009363EA"/>
    <w:rsid w:val="00937121"/>
    <w:rsid w:val="00937ED0"/>
    <w:rsid w:val="00953C66"/>
    <w:rsid w:val="009643D1"/>
    <w:rsid w:val="009677A0"/>
    <w:rsid w:val="009807D8"/>
    <w:rsid w:val="00983A06"/>
    <w:rsid w:val="00985D4D"/>
    <w:rsid w:val="00993F61"/>
    <w:rsid w:val="009B02A8"/>
    <w:rsid w:val="009B7CDD"/>
    <w:rsid w:val="009C17CC"/>
    <w:rsid w:val="009C79A3"/>
    <w:rsid w:val="009D0E5C"/>
    <w:rsid w:val="009D30CF"/>
    <w:rsid w:val="009E0910"/>
    <w:rsid w:val="009E1E72"/>
    <w:rsid w:val="009E4F0A"/>
    <w:rsid w:val="009F5C8A"/>
    <w:rsid w:val="00A102CC"/>
    <w:rsid w:val="00A14832"/>
    <w:rsid w:val="00A16652"/>
    <w:rsid w:val="00A207D8"/>
    <w:rsid w:val="00A30E40"/>
    <w:rsid w:val="00A36FB3"/>
    <w:rsid w:val="00A4468E"/>
    <w:rsid w:val="00A52E2A"/>
    <w:rsid w:val="00A532E2"/>
    <w:rsid w:val="00A56010"/>
    <w:rsid w:val="00A56508"/>
    <w:rsid w:val="00A668A7"/>
    <w:rsid w:val="00A704BA"/>
    <w:rsid w:val="00A713D4"/>
    <w:rsid w:val="00A71C61"/>
    <w:rsid w:val="00A71F2C"/>
    <w:rsid w:val="00A81A28"/>
    <w:rsid w:val="00A82A42"/>
    <w:rsid w:val="00A83349"/>
    <w:rsid w:val="00A92BB5"/>
    <w:rsid w:val="00A945A0"/>
    <w:rsid w:val="00A9717E"/>
    <w:rsid w:val="00AA06D9"/>
    <w:rsid w:val="00AB0B9E"/>
    <w:rsid w:val="00AC6E2C"/>
    <w:rsid w:val="00AD340F"/>
    <w:rsid w:val="00AF12C9"/>
    <w:rsid w:val="00AF288A"/>
    <w:rsid w:val="00AF2B0D"/>
    <w:rsid w:val="00B076A5"/>
    <w:rsid w:val="00B20109"/>
    <w:rsid w:val="00B247C1"/>
    <w:rsid w:val="00B25576"/>
    <w:rsid w:val="00B314F3"/>
    <w:rsid w:val="00B34F02"/>
    <w:rsid w:val="00B35B9A"/>
    <w:rsid w:val="00B41852"/>
    <w:rsid w:val="00B4653D"/>
    <w:rsid w:val="00B54866"/>
    <w:rsid w:val="00B56997"/>
    <w:rsid w:val="00B611D3"/>
    <w:rsid w:val="00B76EA7"/>
    <w:rsid w:val="00B87A17"/>
    <w:rsid w:val="00B97F5F"/>
    <w:rsid w:val="00B97FB4"/>
    <w:rsid w:val="00BA12EA"/>
    <w:rsid w:val="00BC1A68"/>
    <w:rsid w:val="00BD4512"/>
    <w:rsid w:val="00BD52F2"/>
    <w:rsid w:val="00BD754D"/>
    <w:rsid w:val="00BE1A92"/>
    <w:rsid w:val="00BF0235"/>
    <w:rsid w:val="00BF10AC"/>
    <w:rsid w:val="00BF7CFF"/>
    <w:rsid w:val="00C107DD"/>
    <w:rsid w:val="00C23F96"/>
    <w:rsid w:val="00C27332"/>
    <w:rsid w:val="00C27FC0"/>
    <w:rsid w:val="00C6280A"/>
    <w:rsid w:val="00C63C8D"/>
    <w:rsid w:val="00C7140B"/>
    <w:rsid w:val="00C734CD"/>
    <w:rsid w:val="00C744C2"/>
    <w:rsid w:val="00C818E2"/>
    <w:rsid w:val="00C829E3"/>
    <w:rsid w:val="00CA0B82"/>
    <w:rsid w:val="00CA234C"/>
    <w:rsid w:val="00CA344E"/>
    <w:rsid w:val="00CA6CFD"/>
    <w:rsid w:val="00CB168B"/>
    <w:rsid w:val="00CB4BBC"/>
    <w:rsid w:val="00CC447E"/>
    <w:rsid w:val="00CC6D11"/>
    <w:rsid w:val="00CF0F7C"/>
    <w:rsid w:val="00CF4456"/>
    <w:rsid w:val="00D02D7F"/>
    <w:rsid w:val="00D0773D"/>
    <w:rsid w:val="00D215CA"/>
    <w:rsid w:val="00D21A42"/>
    <w:rsid w:val="00D2658F"/>
    <w:rsid w:val="00D348BB"/>
    <w:rsid w:val="00D352AB"/>
    <w:rsid w:val="00D36BBE"/>
    <w:rsid w:val="00D456D6"/>
    <w:rsid w:val="00D47CBB"/>
    <w:rsid w:val="00D5062F"/>
    <w:rsid w:val="00D5227A"/>
    <w:rsid w:val="00D56A27"/>
    <w:rsid w:val="00D621FC"/>
    <w:rsid w:val="00D72628"/>
    <w:rsid w:val="00D80EDE"/>
    <w:rsid w:val="00D87B36"/>
    <w:rsid w:val="00D91B73"/>
    <w:rsid w:val="00D958A6"/>
    <w:rsid w:val="00D95CAA"/>
    <w:rsid w:val="00D95F3E"/>
    <w:rsid w:val="00D974D5"/>
    <w:rsid w:val="00D975C5"/>
    <w:rsid w:val="00DA09D0"/>
    <w:rsid w:val="00DA2484"/>
    <w:rsid w:val="00DA4B99"/>
    <w:rsid w:val="00DA5F69"/>
    <w:rsid w:val="00DB30CD"/>
    <w:rsid w:val="00DC2E85"/>
    <w:rsid w:val="00DC2F15"/>
    <w:rsid w:val="00DC3F8F"/>
    <w:rsid w:val="00DD09DC"/>
    <w:rsid w:val="00DE1A3A"/>
    <w:rsid w:val="00DE6348"/>
    <w:rsid w:val="00DF1079"/>
    <w:rsid w:val="00DF6932"/>
    <w:rsid w:val="00E02129"/>
    <w:rsid w:val="00E02478"/>
    <w:rsid w:val="00E2026C"/>
    <w:rsid w:val="00E20A78"/>
    <w:rsid w:val="00E23ECF"/>
    <w:rsid w:val="00E261A1"/>
    <w:rsid w:val="00E26699"/>
    <w:rsid w:val="00E2683A"/>
    <w:rsid w:val="00E31459"/>
    <w:rsid w:val="00E36BB8"/>
    <w:rsid w:val="00E452BA"/>
    <w:rsid w:val="00E45775"/>
    <w:rsid w:val="00E6089B"/>
    <w:rsid w:val="00E63408"/>
    <w:rsid w:val="00E6345C"/>
    <w:rsid w:val="00E6651E"/>
    <w:rsid w:val="00E74B81"/>
    <w:rsid w:val="00E7523D"/>
    <w:rsid w:val="00E857B8"/>
    <w:rsid w:val="00E875F8"/>
    <w:rsid w:val="00E909A7"/>
    <w:rsid w:val="00E9387D"/>
    <w:rsid w:val="00E96915"/>
    <w:rsid w:val="00E96ADE"/>
    <w:rsid w:val="00EA0919"/>
    <w:rsid w:val="00EA2CF7"/>
    <w:rsid w:val="00EA6750"/>
    <w:rsid w:val="00EB17A4"/>
    <w:rsid w:val="00EB68C4"/>
    <w:rsid w:val="00EC0C97"/>
    <w:rsid w:val="00EC26AE"/>
    <w:rsid w:val="00EC7405"/>
    <w:rsid w:val="00ED3CE0"/>
    <w:rsid w:val="00ED3F0B"/>
    <w:rsid w:val="00EE450C"/>
    <w:rsid w:val="00EF616E"/>
    <w:rsid w:val="00F1132D"/>
    <w:rsid w:val="00F139DE"/>
    <w:rsid w:val="00F213C1"/>
    <w:rsid w:val="00F27A5F"/>
    <w:rsid w:val="00F34EDA"/>
    <w:rsid w:val="00F35FE2"/>
    <w:rsid w:val="00F4428A"/>
    <w:rsid w:val="00F45C35"/>
    <w:rsid w:val="00F66E08"/>
    <w:rsid w:val="00F72F89"/>
    <w:rsid w:val="00F856E1"/>
    <w:rsid w:val="00F86479"/>
    <w:rsid w:val="00F91432"/>
    <w:rsid w:val="00F92F12"/>
    <w:rsid w:val="00F96ACE"/>
    <w:rsid w:val="00FA3786"/>
    <w:rsid w:val="00FB3A11"/>
    <w:rsid w:val="00FC76AA"/>
    <w:rsid w:val="00FD5EDC"/>
    <w:rsid w:val="00FD6EAD"/>
    <w:rsid w:val="00FE794E"/>
    <w:rsid w:val="00FF13C1"/>
    <w:rsid w:val="00FF68CC"/>
    <w:rsid w:val="00FF6EA0"/>
    <w:rsid w:val="00FF72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F923ECF"/>
  <w15:docId w15:val="{98FF87BC-ABA1-4955-85CA-7978A6FE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paragraph" w:customStyle="1" w:styleId="Default">
    <w:name w:val="Default"/>
    <w:rsid w:val="00A56010"/>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9003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330"/>
    <w:rPr>
      <w:sz w:val="20"/>
      <w:szCs w:val="20"/>
    </w:rPr>
  </w:style>
  <w:style w:type="character" w:styleId="FootnoteReference">
    <w:name w:val="footnote reference"/>
    <w:basedOn w:val="DefaultParagraphFont"/>
    <w:uiPriority w:val="99"/>
    <w:semiHidden/>
    <w:unhideWhenUsed/>
    <w:rsid w:val="00900330"/>
    <w:rPr>
      <w:vertAlign w:val="superscript"/>
    </w:rPr>
  </w:style>
  <w:style w:type="character" w:styleId="CommentReference">
    <w:name w:val="annotation reference"/>
    <w:basedOn w:val="DefaultParagraphFont"/>
    <w:uiPriority w:val="99"/>
    <w:semiHidden/>
    <w:unhideWhenUsed/>
    <w:rsid w:val="00772E59"/>
    <w:rPr>
      <w:sz w:val="16"/>
      <w:szCs w:val="16"/>
    </w:rPr>
  </w:style>
  <w:style w:type="paragraph" w:styleId="CommentText">
    <w:name w:val="annotation text"/>
    <w:basedOn w:val="Normal"/>
    <w:link w:val="CommentTextChar"/>
    <w:uiPriority w:val="99"/>
    <w:semiHidden/>
    <w:unhideWhenUsed/>
    <w:rsid w:val="00772E59"/>
    <w:pPr>
      <w:spacing w:line="240" w:lineRule="auto"/>
    </w:pPr>
    <w:rPr>
      <w:sz w:val="20"/>
      <w:szCs w:val="20"/>
    </w:rPr>
  </w:style>
  <w:style w:type="character" w:customStyle="1" w:styleId="CommentTextChar">
    <w:name w:val="Comment Text Char"/>
    <w:basedOn w:val="DefaultParagraphFont"/>
    <w:link w:val="CommentText"/>
    <w:uiPriority w:val="99"/>
    <w:semiHidden/>
    <w:rsid w:val="00772E59"/>
    <w:rPr>
      <w:sz w:val="20"/>
      <w:szCs w:val="20"/>
    </w:rPr>
  </w:style>
  <w:style w:type="paragraph" w:styleId="CommentSubject">
    <w:name w:val="annotation subject"/>
    <w:basedOn w:val="CommentText"/>
    <w:next w:val="CommentText"/>
    <w:link w:val="CommentSubjectChar"/>
    <w:uiPriority w:val="99"/>
    <w:semiHidden/>
    <w:unhideWhenUsed/>
    <w:rsid w:val="00772E59"/>
    <w:rPr>
      <w:b/>
      <w:bCs/>
    </w:rPr>
  </w:style>
  <w:style w:type="character" w:customStyle="1" w:styleId="CommentSubjectChar">
    <w:name w:val="Comment Subject Char"/>
    <w:basedOn w:val="CommentTextChar"/>
    <w:link w:val="CommentSubject"/>
    <w:uiPriority w:val="99"/>
    <w:semiHidden/>
    <w:rsid w:val="00772E59"/>
    <w:rPr>
      <w:b/>
      <w:bCs/>
      <w:sz w:val="20"/>
      <w:szCs w:val="20"/>
    </w:rPr>
  </w:style>
  <w:style w:type="table" w:styleId="TableGrid">
    <w:name w:val="Table Grid"/>
    <w:basedOn w:val="TableNormal"/>
    <w:uiPriority w:val="39"/>
    <w:rsid w:val="000E1D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567544250">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 w:id="16212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3ADFB-CD01-4410-AE79-871E4C8E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8</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Beharriell, Greg</cp:lastModifiedBy>
  <cp:revision>22</cp:revision>
  <cp:lastPrinted>2019-09-13T18:00:00Z</cp:lastPrinted>
  <dcterms:created xsi:type="dcterms:W3CDTF">2019-09-12T17:56:00Z</dcterms:created>
  <dcterms:modified xsi:type="dcterms:W3CDTF">2019-09-16T19:31:00Z</dcterms:modified>
</cp:coreProperties>
</file>