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258A1" w14:textId="77777777" w:rsidR="00FF25E2" w:rsidRPr="00B8639C" w:rsidRDefault="00FC2C4E" w:rsidP="00FB09A1">
      <w:pPr>
        <w:pStyle w:val="PeerConversation"/>
        <w:rPr>
          <w:lang w:val="en-CA"/>
        </w:rPr>
      </w:pPr>
      <w:bookmarkStart w:id="0" w:name="_GoBack"/>
      <w:bookmarkEnd w:id="0"/>
      <w:r w:rsidRPr="00A21394">
        <w:rPr>
          <w:noProof/>
          <w:lang w:val="en-CA" w:eastAsia="en-CA"/>
        </w:rPr>
        <w:drawing>
          <wp:anchor distT="0" distB="0" distL="114300" distR="114300" simplePos="0" relativeHeight="251658240" behindDoc="0" locked="0" layoutInCell="1" allowOverlap="1" wp14:anchorId="6CB25CE5" wp14:editId="6CB25CE6">
            <wp:simplePos x="0" y="0"/>
            <wp:positionH relativeFrom="column">
              <wp:posOffset>-298450</wp:posOffset>
            </wp:positionH>
            <wp:positionV relativeFrom="paragraph">
              <wp:posOffset>-260350</wp:posOffset>
            </wp:positionV>
            <wp:extent cx="7086600" cy="1435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86600" cy="1435100"/>
                    </a:xfrm>
                    <a:prstGeom prst="rect">
                      <a:avLst/>
                    </a:prstGeom>
                    <a:noFill/>
                    <a:ln>
                      <a:noFill/>
                    </a:ln>
                  </pic:spPr>
                </pic:pic>
              </a:graphicData>
            </a:graphic>
          </wp:anchor>
        </w:drawing>
      </w:r>
      <w:r w:rsidRPr="00B8639C">
        <w:rPr>
          <w:noProof/>
          <w:lang w:val="en-CA" w:eastAsia="en-CA"/>
        </w:rPr>
        <mc:AlternateContent>
          <mc:Choice Requires="wps">
            <w:drawing>
              <wp:anchor distT="0" distB="0" distL="114300" distR="114300" simplePos="0" relativeHeight="251658241" behindDoc="0" locked="0" layoutInCell="1" allowOverlap="1" wp14:anchorId="6CB25CE7" wp14:editId="6CB25CE8">
                <wp:simplePos x="0" y="0"/>
                <wp:positionH relativeFrom="column">
                  <wp:posOffset>60960</wp:posOffset>
                </wp:positionH>
                <wp:positionV relativeFrom="paragraph">
                  <wp:posOffset>0</wp:posOffset>
                </wp:positionV>
                <wp:extent cx="5667375" cy="1173480"/>
                <wp:effectExtent l="0" t="0" r="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1B0AA" w14:textId="77777777" w:rsidR="00591619" w:rsidRDefault="000C12D3" w:rsidP="002E66B4">
                            <w:pPr>
                              <w:pStyle w:val="Title"/>
                              <w:spacing w:before="0"/>
                              <w:outlineLvl w:val="9"/>
                              <w:rPr>
                                <w:rFonts w:ascii="Tahoma" w:hAnsi="Tahoma" w:cs="Tahoma"/>
                                <w:b w:val="0"/>
                                <w:color w:val="FFFFFF"/>
                                <w:sz w:val="52"/>
                                <w:szCs w:val="52"/>
                                <w:lang w:val="en-CA" w:eastAsia="en-CA"/>
                              </w:rPr>
                            </w:pPr>
                            <w:r w:rsidRPr="002E66B4">
                              <w:rPr>
                                <w:rFonts w:ascii="Tahoma" w:hAnsi="Tahoma" w:cs="Tahoma"/>
                                <w:b w:val="0"/>
                                <w:color w:val="FFFFFF"/>
                                <w:sz w:val="52"/>
                                <w:szCs w:val="52"/>
                                <w:lang w:val="en-CA" w:eastAsia="en-CA"/>
                              </w:rPr>
                              <w:t xml:space="preserve">                     </w:t>
                            </w:r>
                          </w:p>
                          <w:p w14:paraId="6CB25D1B" w14:textId="5A533655" w:rsidR="000C12D3" w:rsidRPr="002E66B4" w:rsidRDefault="000C12D3" w:rsidP="002E66B4">
                            <w:pPr>
                              <w:pStyle w:val="Title"/>
                              <w:spacing w:before="0"/>
                              <w:outlineLvl w:val="9"/>
                              <w:rPr>
                                <w:rFonts w:ascii="Tahoma" w:hAnsi="Tahoma" w:cs="Tahoma"/>
                                <w:b w:val="0"/>
                                <w:color w:val="FFFFFF"/>
                                <w:sz w:val="52"/>
                                <w:szCs w:val="52"/>
                                <w:lang w:val="en-CA" w:eastAsia="en-CA"/>
                              </w:rPr>
                            </w:pPr>
                            <w:r>
                              <w:rPr>
                                <w:rFonts w:ascii="Tahoma" w:hAnsi="Tahoma" w:cs="Tahoma"/>
                                <w:b w:val="0"/>
                                <w:color w:val="FFFFFF"/>
                                <w:sz w:val="52"/>
                                <w:szCs w:val="52"/>
                                <w:lang w:val="en-CA" w:eastAsia="en-CA"/>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8pt;margin-top:0;width:446.25pt;height:92.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" filled="f" stroked="f">
                <v:textbox>
                  <w:txbxContent>
                    <w:p w14:paraId="3131B0AA" w14:textId="77777777" w:rsidR="00591619" w:rsidRDefault="000C12D3" w:rsidP="002E66B4">
                      <w:pPr>
                        <w:pStyle w:val="Title"/>
                        <w:spacing w:before="0"/>
                        <w:outlineLvl w:val="9"/>
                        <w:rPr>
                          <w:rFonts w:ascii="Tahoma" w:hAnsi="Tahoma" w:cs="Tahoma"/>
                          <w:b w:val="0"/>
                          <w:color w:val="FFFFFF"/>
                          <w:sz w:val="52"/>
                          <w:szCs w:val="52"/>
                          <w:lang w:val="en-CA" w:eastAsia="en-CA"/>
                        </w:rPr>
                      </w:pPr>
                      <w:r w:rsidRPr="002E66B4">
                        <w:rPr>
                          <w:rFonts w:ascii="Tahoma" w:hAnsi="Tahoma" w:cs="Tahoma"/>
                          <w:b w:val="0"/>
                          <w:color w:val="FFFFFF"/>
                          <w:sz w:val="52"/>
                          <w:szCs w:val="52"/>
                          <w:lang w:val="en-CA" w:eastAsia="en-CA"/>
                        </w:rPr>
                        <w:t xml:space="preserve">                     </w:t>
                      </w:r>
                    </w:p>
                    <w:p w14:paraId="6CB25D1B" w14:textId="5A533655" w:rsidR="000C12D3" w:rsidRPr="002E66B4" w:rsidRDefault="000C12D3" w:rsidP="002E66B4">
                      <w:pPr>
                        <w:pStyle w:val="Title"/>
                        <w:spacing w:before="0"/>
                        <w:outlineLvl w:val="9"/>
                        <w:rPr>
                          <w:rFonts w:ascii="Tahoma" w:hAnsi="Tahoma" w:cs="Tahoma"/>
                          <w:b w:val="0"/>
                          <w:color w:val="FFFFFF"/>
                          <w:sz w:val="52"/>
                          <w:szCs w:val="52"/>
                          <w:lang w:val="en-CA" w:eastAsia="en-CA"/>
                        </w:rPr>
                      </w:pPr>
                      <w:r>
                        <w:rPr>
                          <w:rFonts w:ascii="Tahoma" w:hAnsi="Tahoma" w:cs="Tahoma"/>
                          <w:b w:val="0"/>
                          <w:color w:val="FFFFFF"/>
                          <w:sz w:val="52"/>
                          <w:szCs w:val="52"/>
                          <w:lang w:val="en-CA" w:eastAsia="en-CA"/>
                        </w:rPr>
                        <w:t xml:space="preserve">                                   </w:t>
                      </w:r>
                    </w:p>
                  </w:txbxContent>
                </v:textbox>
              </v:shape>
            </w:pict>
          </mc:Fallback>
        </mc:AlternateContent>
      </w:r>
    </w:p>
    <w:p w14:paraId="6CB258A2" w14:textId="77777777" w:rsidR="00FC2C4E" w:rsidRDefault="00FC2C4E">
      <w:pPr>
        <w:rPr>
          <w:lang w:val="en-CA"/>
        </w:rPr>
      </w:pPr>
    </w:p>
    <w:p w14:paraId="6CB258A3" w14:textId="77777777" w:rsidR="00FC2C4E" w:rsidRDefault="00FC2C4E">
      <w:pPr>
        <w:rPr>
          <w:lang w:val="en-CA"/>
        </w:rPr>
      </w:pPr>
    </w:p>
    <w:p w14:paraId="6CB258A4" w14:textId="77777777" w:rsidR="00FC2C4E" w:rsidRDefault="00FC2C4E">
      <w:pPr>
        <w:rPr>
          <w:lang w:val="en-CA"/>
        </w:rPr>
      </w:pPr>
    </w:p>
    <w:p w14:paraId="6CB258A5" w14:textId="77777777" w:rsidR="00FC2C4E" w:rsidRDefault="00FC2C4E">
      <w:pPr>
        <w:rPr>
          <w:lang w:val="en-CA"/>
        </w:rPr>
      </w:pPr>
    </w:p>
    <w:tbl>
      <w:tblPr>
        <w:tblStyle w:val="TableGrid"/>
        <w:tblpPr w:leftFromText="180" w:rightFromText="180" w:vertAnchor="text" w:horzAnchor="margin" w:tblpXSpec="center" w:tblpY="116"/>
        <w:tblW w:w="0" w:type="auto"/>
        <w:jc w:val="center"/>
        <w:tblLook w:val="04A0" w:firstRow="1" w:lastRow="0" w:firstColumn="1" w:lastColumn="0" w:noHBand="0" w:noVBand="1"/>
      </w:tblPr>
      <w:tblGrid>
        <w:gridCol w:w="2247"/>
        <w:gridCol w:w="2172"/>
        <w:gridCol w:w="2362"/>
        <w:gridCol w:w="2075"/>
      </w:tblGrid>
      <w:tr w:rsidR="00FC2C4E" w14:paraId="6CB258AB" w14:textId="77777777" w:rsidTr="00FC2C4E">
        <w:trPr>
          <w:jc w:val="center"/>
        </w:trPr>
        <w:tc>
          <w:tcPr>
            <w:tcW w:w="2247" w:type="dxa"/>
            <w:vAlign w:val="center"/>
          </w:tcPr>
          <w:p w14:paraId="6CB258A6" w14:textId="77777777" w:rsidR="00FC2C4E" w:rsidRPr="00BC3A03" w:rsidRDefault="00FC2C4E" w:rsidP="00FC2C4E">
            <w:pPr>
              <w:spacing w:before="20" w:after="20"/>
              <w:rPr>
                <w:rStyle w:val="Strong"/>
                <w:rFonts w:ascii="Palatino Linotype" w:hAnsi="Palatino Linotype"/>
                <w:szCs w:val="24"/>
              </w:rPr>
            </w:pPr>
            <w:r w:rsidRPr="00BC3A03">
              <w:rPr>
                <w:rStyle w:val="Strong"/>
                <w:rFonts w:ascii="Palatino Linotype" w:hAnsi="Palatino Linotype"/>
                <w:szCs w:val="24"/>
              </w:rPr>
              <w:t>Document ID:</w:t>
            </w:r>
          </w:p>
        </w:tc>
        <w:tc>
          <w:tcPr>
            <w:tcW w:w="2172" w:type="dxa"/>
            <w:vAlign w:val="center"/>
          </w:tcPr>
          <w:p w14:paraId="6CB258A7" w14:textId="77777777" w:rsidR="00FC2C4E" w:rsidRPr="00BC3A03" w:rsidRDefault="00FC2C4E" w:rsidP="00FC2C4E">
            <w:pPr>
              <w:spacing w:before="20" w:after="20"/>
              <w:rPr>
                <w:rStyle w:val="Strong"/>
                <w:rFonts w:ascii="Palatino Linotype" w:hAnsi="Palatino Linotype"/>
                <w:szCs w:val="24"/>
              </w:rPr>
            </w:pPr>
            <w:r w:rsidRPr="00BC3A03">
              <w:rPr>
                <w:rFonts w:ascii="Palatino Linotype" w:hAnsi="Palatino Linotype"/>
                <w:sz w:val="24"/>
                <w:szCs w:val="24"/>
              </w:rPr>
              <w:fldChar w:fldCharType="begin"/>
            </w:r>
            <w:r w:rsidRPr="00BC3A03">
              <w:rPr>
                <w:rFonts w:ascii="Palatino Linotype" w:hAnsi="Palatino Linotype"/>
                <w:sz w:val="24"/>
                <w:szCs w:val="24"/>
              </w:rPr>
              <w:instrText xml:space="preserve"> KEYWORDS   \* MERGEFORMAT </w:instrText>
            </w:r>
            <w:r w:rsidRPr="00BC3A03">
              <w:rPr>
                <w:rFonts w:ascii="Palatino Linotype" w:hAnsi="Palatino Linotype"/>
                <w:sz w:val="24"/>
                <w:szCs w:val="24"/>
              </w:rPr>
              <w:fldChar w:fldCharType="separate"/>
            </w:r>
            <w:r w:rsidR="0081687D" w:rsidRPr="00BC3A03">
              <w:rPr>
                <w:rFonts w:ascii="Palatino Linotype" w:hAnsi="Palatino Linotype"/>
                <w:sz w:val="24"/>
                <w:szCs w:val="24"/>
              </w:rPr>
              <w:t>PC-7</w:t>
            </w:r>
            <w:r w:rsidRPr="00BC3A03">
              <w:rPr>
                <w:rFonts w:ascii="Palatino Linotype" w:hAnsi="Palatino Linotype"/>
                <w:sz w:val="24"/>
                <w:szCs w:val="24"/>
              </w:rPr>
              <w:fldChar w:fldCharType="end"/>
            </w:r>
          </w:p>
        </w:tc>
        <w:tc>
          <w:tcPr>
            <w:tcW w:w="2362" w:type="dxa"/>
            <w:vAlign w:val="center"/>
          </w:tcPr>
          <w:p w14:paraId="6CB258A8" w14:textId="77777777" w:rsidR="00387D87" w:rsidRPr="00BC3A03" w:rsidRDefault="00FB09A1" w:rsidP="00FC2C4E">
            <w:pPr>
              <w:spacing w:before="20" w:after="20"/>
              <w:rPr>
                <w:rStyle w:val="Strong"/>
                <w:rFonts w:ascii="Palatino Linotype" w:hAnsi="Palatino Linotype"/>
                <w:szCs w:val="24"/>
              </w:rPr>
            </w:pPr>
            <w:r w:rsidRPr="00BC3A03">
              <w:rPr>
                <w:rStyle w:val="Strong"/>
                <w:rFonts w:ascii="Palatino Linotype" w:hAnsi="Palatino Linotype"/>
                <w:szCs w:val="24"/>
              </w:rPr>
              <w:t>Author</w:t>
            </w:r>
            <w:r w:rsidR="00B84C4D" w:rsidRPr="00BC3A03">
              <w:rPr>
                <w:rStyle w:val="Strong"/>
                <w:rFonts w:ascii="Palatino Linotype" w:hAnsi="Palatino Linotype"/>
                <w:szCs w:val="24"/>
              </w:rPr>
              <w:t>(s)</w:t>
            </w:r>
          </w:p>
          <w:p w14:paraId="6CB258A9" w14:textId="77777777" w:rsidR="00FC2C4E" w:rsidRPr="00BC3A03" w:rsidRDefault="00387D87" w:rsidP="00FC2C4E">
            <w:pPr>
              <w:spacing w:before="20" w:after="20"/>
              <w:rPr>
                <w:rStyle w:val="Strong"/>
                <w:rFonts w:ascii="Palatino Linotype" w:hAnsi="Palatino Linotype"/>
                <w:szCs w:val="24"/>
              </w:rPr>
            </w:pPr>
            <w:r w:rsidRPr="00BC3A03">
              <w:rPr>
                <w:rStyle w:val="Strong"/>
                <w:rFonts w:ascii="Palatino Linotype" w:hAnsi="Palatino Linotype"/>
                <w:szCs w:val="24"/>
              </w:rPr>
              <w:t>and Project Manager</w:t>
            </w:r>
            <w:r w:rsidR="00FC2C4E" w:rsidRPr="00BC3A03">
              <w:rPr>
                <w:rStyle w:val="Strong"/>
                <w:rFonts w:ascii="Palatino Linotype" w:hAnsi="Palatino Linotype"/>
                <w:szCs w:val="24"/>
              </w:rPr>
              <w:t>:</w:t>
            </w:r>
          </w:p>
        </w:tc>
        <w:tc>
          <w:tcPr>
            <w:tcW w:w="2075" w:type="dxa"/>
            <w:vAlign w:val="center"/>
          </w:tcPr>
          <w:p w14:paraId="6CB258AA" w14:textId="77777777" w:rsidR="00FC2C4E" w:rsidRPr="00BC3A03" w:rsidRDefault="00421E2B" w:rsidP="00FC2C4E">
            <w:pPr>
              <w:spacing w:before="20" w:after="20"/>
              <w:rPr>
                <w:rStyle w:val="Strong"/>
                <w:rFonts w:ascii="Palatino Linotype" w:hAnsi="Palatino Linotype"/>
                <w:b w:val="0"/>
                <w:szCs w:val="24"/>
              </w:rPr>
            </w:pPr>
            <w:r w:rsidRPr="00BC3A03">
              <w:rPr>
                <w:rStyle w:val="Strong"/>
                <w:rFonts w:ascii="Palatino Linotype" w:hAnsi="Palatino Linotype"/>
                <w:b w:val="0"/>
                <w:szCs w:val="24"/>
              </w:rPr>
              <w:t>Samantha Tam</w:t>
            </w:r>
          </w:p>
        </w:tc>
      </w:tr>
      <w:tr w:rsidR="00FC2C4E" w14:paraId="6CB258B0" w14:textId="77777777" w:rsidTr="00FC2C4E">
        <w:trPr>
          <w:jc w:val="center"/>
        </w:trPr>
        <w:tc>
          <w:tcPr>
            <w:tcW w:w="2247" w:type="dxa"/>
            <w:vAlign w:val="center"/>
          </w:tcPr>
          <w:p w14:paraId="6CB258AC" w14:textId="77777777" w:rsidR="00FC2C4E" w:rsidRPr="00BC3A03" w:rsidRDefault="00FC2C4E" w:rsidP="00FC2C4E">
            <w:pPr>
              <w:spacing w:before="20" w:after="20"/>
              <w:rPr>
                <w:rStyle w:val="Strong"/>
                <w:rFonts w:ascii="Palatino Linotype" w:hAnsi="Palatino Linotype"/>
                <w:szCs w:val="24"/>
              </w:rPr>
            </w:pPr>
            <w:r w:rsidRPr="00BC3A03">
              <w:rPr>
                <w:rStyle w:val="Strong"/>
                <w:rFonts w:ascii="Palatino Linotype" w:hAnsi="Palatino Linotype"/>
                <w:szCs w:val="24"/>
              </w:rPr>
              <w:t>Issue:</w:t>
            </w:r>
          </w:p>
        </w:tc>
        <w:tc>
          <w:tcPr>
            <w:tcW w:w="2172" w:type="dxa"/>
            <w:vAlign w:val="center"/>
          </w:tcPr>
          <w:p w14:paraId="6CB258AD" w14:textId="77777777" w:rsidR="00FC2C4E" w:rsidRPr="00BC3A03" w:rsidRDefault="008B4D51" w:rsidP="00FC2C4E">
            <w:pPr>
              <w:spacing w:before="20" w:after="20"/>
              <w:rPr>
                <w:rStyle w:val="Strong"/>
                <w:rFonts w:ascii="Palatino Linotype" w:hAnsi="Palatino Linotype"/>
                <w:b w:val="0"/>
                <w:szCs w:val="24"/>
              </w:rPr>
            </w:pPr>
            <w:r w:rsidRPr="00BC3A03">
              <w:rPr>
                <w:rStyle w:val="Strong"/>
                <w:rFonts w:ascii="Palatino Linotype" w:hAnsi="Palatino Linotype"/>
                <w:b w:val="0"/>
                <w:szCs w:val="24"/>
              </w:rPr>
              <w:t>1.0</w:t>
            </w:r>
          </w:p>
        </w:tc>
        <w:tc>
          <w:tcPr>
            <w:tcW w:w="2362" w:type="dxa"/>
            <w:vAlign w:val="center"/>
          </w:tcPr>
          <w:p w14:paraId="6CB258AE" w14:textId="77777777" w:rsidR="00FC2C4E" w:rsidRPr="00BC3A03" w:rsidRDefault="00B84C4D" w:rsidP="00FC2C4E">
            <w:pPr>
              <w:spacing w:before="20" w:after="20"/>
              <w:rPr>
                <w:rStyle w:val="Strong"/>
                <w:rFonts w:ascii="Palatino Linotype" w:hAnsi="Palatino Linotype"/>
                <w:szCs w:val="24"/>
              </w:rPr>
            </w:pPr>
            <w:r w:rsidRPr="00BC3A03">
              <w:rPr>
                <w:rStyle w:val="Strong"/>
                <w:rFonts w:ascii="Palatino Linotype" w:hAnsi="Palatino Linotype"/>
                <w:szCs w:val="24"/>
              </w:rPr>
              <w:t>Sponsor</w:t>
            </w:r>
            <w:r w:rsidR="00FE60CB" w:rsidRPr="00BC3A03">
              <w:rPr>
                <w:rStyle w:val="Strong"/>
                <w:rFonts w:ascii="Palatino Linotype" w:hAnsi="Palatino Linotype"/>
                <w:szCs w:val="24"/>
              </w:rPr>
              <w:t>:</w:t>
            </w:r>
          </w:p>
        </w:tc>
        <w:tc>
          <w:tcPr>
            <w:tcW w:w="2075" w:type="dxa"/>
            <w:vAlign w:val="center"/>
          </w:tcPr>
          <w:p w14:paraId="6CB258AF" w14:textId="77777777" w:rsidR="00FC2C4E" w:rsidRPr="00BC3A03" w:rsidRDefault="0005728D" w:rsidP="00FC2C4E">
            <w:pPr>
              <w:spacing w:before="20" w:after="20"/>
              <w:rPr>
                <w:rStyle w:val="Strong"/>
                <w:rFonts w:ascii="Palatino Linotype" w:hAnsi="Palatino Linotype"/>
                <w:b w:val="0"/>
                <w:szCs w:val="24"/>
              </w:rPr>
            </w:pPr>
            <w:r w:rsidRPr="00BC3A03">
              <w:rPr>
                <w:rStyle w:val="Strong"/>
                <w:rFonts w:ascii="Palatino Linotype" w:hAnsi="Palatino Linotype"/>
                <w:b w:val="0"/>
                <w:szCs w:val="24"/>
              </w:rPr>
              <w:t>David Short</w:t>
            </w:r>
          </w:p>
        </w:tc>
      </w:tr>
      <w:tr w:rsidR="00FC2C4E" w:rsidRPr="00A87985" w14:paraId="6CB258B5" w14:textId="77777777" w:rsidTr="00EF611D">
        <w:trPr>
          <w:trHeight w:val="407"/>
          <w:jc w:val="center"/>
        </w:trPr>
        <w:tc>
          <w:tcPr>
            <w:tcW w:w="2247" w:type="dxa"/>
            <w:vAlign w:val="center"/>
          </w:tcPr>
          <w:p w14:paraId="6CB258B1" w14:textId="77777777" w:rsidR="00FC2C4E" w:rsidRPr="00BC3A03" w:rsidRDefault="00FC2C4E" w:rsidP="00FC2C4E">
            <w:pPr>
              <w:spacing w:before="20" w:after="20"/>
              <w:rPr>
                <w:rStyle w:val="Strong"/>
                <w:rFonts w:ascii="Palatino Linotype" w:hAnsi="Palatino Linotype"/>
                <w:szCs w:val="24"/>
              </w:rPr>
            </w:pPr>
            <w:r w:rsidRPr="00BC3A03">
              <w:rPr>
                <w:rStyle w:val="Strong"/>
                <w:rFonts w:ascii="Palatino Linotype" w:hAnsi="Palatino Linotype"/>
                <w:szCs w:val="24"/>
              </w:rPr>
              <w:t>Effective Date:</w:t>
            </w:r>
          </w:p>
        </w:tc>
        <w:tc>
          <w:tcPr>
            <w:tcW w:w="2172" w:type="dxa"/>
            <w:vAlign w:val="center"/>
          </w:tcPr>
          <w:p w14:paraId="6CB258B2" w14:textId="22361AC2" w:rsidR="00FC2C4E" w:rsidRPr="00BC3A03" w:rsidRDefault="00D10452" w:rsidP="00FC2C4E">
            <w:pPr>
              <w:spacing w:before="20" w:after="20"/>
              <w:rPr>
                <w:rStyle w:val="Strong"/>
                <w:rFonts w:ascii="Palatino Linotype" w:hAnsi="Palatino Linotype"/>
                <w:b w:val="0"/>
                <w:szCs w:val="24"/>
              </w:rPr>
            </w:pPr>
            <w:r w:rsidRPr="00BC3A03">
              <w:rPr>
                <w:rStyle w:val="Strong"/>
                <w:rFonts w:ascii="Palatino Linotype" w:hAnsi="Palatino Linotype"/>
                <w:b w:val="0"/>
                <w:szCs w:val="24"/>
              </w:rPr>
              <w:t>June 7, 2019</w:t>
            </w:r>
          </w:p>
        </w:tc>
        <w:tc>
          <w:tcPr>
            <w:tcW w:w="2362" w:type="dxa"/>
            <w:vAlign w:val="center"/>
          </w:tcPr>
          <w:p w14:paraId="6CB258B3" w14:textId="77777777" w:rsidR="00FC2C4E" w:rsidRPr="00BC3A03" w:rsidRDefault="00FC2C4E" w:rsidP="00FC2C4E">
            <w:pPr>
              <w:spacing w:before="20" w:after="20"/>
              <w:rPr>
                <w:rStyle w:val="Strong"/>
                <w:rFonts w:ascii="Palatino Linotype" w:hAnsi="Palatino Linotype"/>
                <w:szCs w:val="24"/>
              </w:rPr>
            </w:pPr>
            <w:r w:rsidRPr="00BC3A03">
              <w:rPr>
                <w:rStyle w:val="Strong"/>
                <w:rFonts w:ascii="Palatino Linotype" w:hAnsi="Palatino Linotype"/>
                <w:szCs w:val="24"/>
              </w:rPr>
              <w:t>Project ID:</w:t>
            </w:r>
          </w:p>
        </w:tc>
        <w:tc>
          <w:tcPr>
            <w:tcW w:w="2075" w:type="dxa"/>
            <w:vAlign w:val="center"/>
          </w:tcPr>
          <w:p w14:paraId="6CB258B4" w14:textId="77777777" w:rsidR="00FC2C4E" w:rsidRPr="00BC3A03" w:rsidRDefault="00200492" w:rsidP="00FC2C4E">
            <w:pPr>
              <w:spacing w:before="20" w:after="20"/>
              <w:rPr>
                <w:rStyle w:val="Strong"/>
                <w:rFonts w:ascii="Palatino Linotype" w:hAnsi="Palatino Linotype"/>
                <w:b w:val="0"/>
                <w:szCs w:val="24"/>
              </w:rPr>
            </w:pPr>
            <w:r w:rsidRPr="00BC3A03">
              <w:rPr>
                <w:rStyle w:val="Strong"/>
                <w:rFonts w:ascii="Palatino Linotype" w:hAnsi="Palatino Linotype"/>
                <w:b w:val="0"/>
                <w:szCs w:val="24"/>
              </w:rPr>
              <w:t>442</w:t>
            </w:r>
          </w:p>
        </w:tc>
      </w:tr>
    </w:tbl>
    <w:p w14:paraId="6CB258B6" w14:textId="77777777" w:rsidR="00FC2C4E" w:rsidRPr="002E66B4" w:rsidRDefault="00FC2C4E" w:rsidP="002E66B4">
      <w:pPr>
        <w:pStyle w:val="BodyText"/>
        <w:rPr>
          <w:rFonts w:ascii="Cambria" w:hAnsi="Cambria"/>
          <w:b/>
          <w:sz w:val="24"/>
          <w:szCs w:val="24"/>
        </w:rPr>
      </w:pPr>
      <w:r w:rsidRPr="002E66B4">
        <w:rPr>
          <w:rFonts w:ascii="Cambria" w:hAnsi="Cambria"/>
          <w:b/>
          <w:sz w:val="24"/>
          <w:szCs w:val="24"/>
        </w:rPr>
        <w:t>Purpose</w:t>
      </w:r>
    </w:p>
    <w:p w14:paraId="6CB258B7" w14:textId="77777777" w:rsidR="00FC2C4E" w:rsidRPr="00B76153" w:rsidRDefault="00FC2C4E" w:rsidP="00FC2C4E">
      <w:pPr>
        <w:pStyle w:val="CommentText"/>
        <w:rPr>
          <w:rFonts w:ascii="Palatino Linotype" w:hAnsi="Palatino Linotype"/>
        </w:rPr>
      </w:pPr>
      <w:r>
        <w:rPr>
          <w:rFonts w:ascii="Palatino Linotype" w:hAnsi="Palatino Linotype"/>
          <w:sz w:val="22"/>
          <w:szCs w:val="22"/>
        </w:rPr>
        <w:t>The</w:t>
      </w:r>
      <w:r w:rsidRPr="00B76153">
        <w:rPr>
          <w:rFonts w:ascii="Palatino Linotype" w:hAnsi="Palatino Linotype"/>
          <w:sz w:val="22"/>
          <w:szCs w:val="22"/>
        </w:rPr>
        <w:t xml:space="preserve"> project charter formally authorizes the initiation of a project and gives the project manager authority to apply organizational resources to the project activities, and gains the commitment of </w:t>
      </w:r>
      <w:r w:rsidR="00523191">
        <w:rPr>
          <w:rFonts w:ascii="Palatino Linotype" w:hAnsi="Palatino Linotype"/>
          <w:sz w:val="22"/>
          <w:szCs w:val="22"/>
        </w:rPr>
        <w:t>r</w:t>
      </w:r>
      <w:r w:rsidR="00523191" w:rsidRPr="00B76153">
        <w:rPr>
          <w:rFonts w:ascii="Palatino Linotype" w:hAnsi="Palatino Linotype"/>
          <w:sz w:val="22"/>
          <w:szCs w:val="22"/>
        </w:rPr>
        <w:t xml:space="preserve">esource </w:t>
      </w:r>
      <w:r w:rsidR="00523191">
        <w:rPr>
          <w:rFonts w:ascii="Palatino Linotype" w:hAnsi="Palatino Linotype"/>
          <w:sz w:val="22"/>
          <w:szCs w:val="22"/>
        </w:rPr>
        <w:t>m</w:t>
      </w:r>
      <w:r w:rsidR="00523191" w:rsidRPr="00B76153">
        <w:rPr>
          <w:rFonts w:ascii="Palatino Linotype" w:hAnsi="Palatino Linotype"/>
          <w:sz w:val="22"/>
          <w:szCs w:val="22"/>
        </w:rPr>
        <w:t>anagers</w:t>
      </w:r>
      <w:r w:rsidR="00523191">
        <w:rPr>
          <w:rFonts w:ascii="Palatino Linotype" w:hAnsi="Palatino Linotype"/>
          <w:sz w:val="22"/>
          <w:szCs w:val="22"/>
        </w:rPr>
        <w:t xml:space="preserve"> </w:t>
      </w:r>
      <w:r w:rsidR="00A6541B">
        <w:rPr>
          <w:rFonts w:ascii="Palatino Linotype" w:hAnsi="Palatino Linotype"/>
          <w:sz w:val="22"/>
          <w:szCs w:val="22"/>
        </w:rPr>
        <w:t>and stakeholders</w:t>
      </w:r>
      <w:r w:rsidRPr="00B76153">
        <w:rPr>
          <w:rFonts w:ascii="Palatino Linotype" w:hAnsi="Palatino Linotype"/>
          <w:sz w:val="22"/>
          <w:szCs w:val="22"/>
        </w:rPr>
        <w:t>.</w:t>
      </w:r>
      <w:r w:rsidR="00A6541B">
        <w:rPr>
          <w:rFonts w:ascii="Palatino Linotype" w:hAnsi="Palatino Linotype"/>
          <w:sz w:val="22"/>
          <w:szCs w:val="22"/>
        </w:rPr>
        <w:t xml:space="preserve">  The Project Charter ac</w:t>
      </w:r>
      <w:r w:rsidR="00523191">
        <w:rPr>
          <w:rFonts w:ascii="Palatino Linotype" w:hAnsi="Palatino Linotype"/>
          <w:sz w:val="22"/>
          <w:szCs w:val="22"/>
        </w:rPr>
        <w:t>ts as the contract between the project manager and project s</w:t>
      </w:r>
      <w:r w:rsidR="00A6541B">
        <w:rPr>
          <w:rFonts w:ascii="Palatino Linotype" w:hAnsi="Palatino Linotype"/>
          <w:sz w:val="22"/>
          <w:szCs w:val="22"/>
        </w:rPr>
        <w:t>ponsor.</w:t>
      </w:r>
      <w:r w:rsidRPr="00B76153">
        <w:rPr>
          <w:rFonts w:ascii="Palatino Linotype" w:hAnsi="Palatino Linotype"/>
          <w:sz w:val="22"/>
          <w:szCs w:val="22"/>
        </w:rPr>
        <w:t xml:space="preserve"> </w:t>
      </w:r>
      <w:r w:rsidR="00A6541B">
        <w:rPr>
          <w:rFonts w:ascii="Palatino Linotype" w:hAnsi="Palatino Linotype"/>
          <w:sz w:val="22"/>
          <w:szCs w:val="22"/>
        </w:rPr>
        <w:t>The Project Charter is flexible</w:t>
      </w:r>
      <w:r w:rsidR="00523191">
        <w:rPr>
          <w:rFonts w:ascii="Palatino Linotype" w:hAnsi="Palatino Linotype"/>
          <w:sz w:val="22"/>
          <w:szCs w:val="22"/>
        </w:rPr>
        <w:t xml:space="preserve"> and</w:t>
      </w:r>
      <w:r w:rsidR="00A6541B">
        <w:rPr>
          <w:rFonts w:ascii="Palatino Linotype" w:hAnsi="Palatino Linotype"/>
          <w:sz w:val="22"/>
          <w:szCs w:val="22"/>
        </w:rPr>
        <w:t xml:space="preserve"> scalable to address the size and nature of a </w:t>
      </w:r>
      <w:r w:rsidR="00523191">
        <w:rPr>
          <w:rFonts w:ascii="Palatino Linotype" w:hAnsi="Palatino Linotype"/>
          <w:sz w:val="22"/>
          <w:szCs w:val="22"/>
        </w:rPr>
        <w:t xml:space="preserve">particular </w:t>
      </w:r>
      <w:r w:rsidR="00A6541B">
        <w:rPr>
          <w:rFonts w:ascii="Palatino Linotype" w:hAnsi="Palatino Linotype"/>
          <w:sz w:val="22"/>
          <w:szCs w:val="22"/>
        </w:rPr>
        <w:t xml:space="preserve">project or program. The Project Charter can </w:t>
      </w:r>
      <w:r w:rsidR="00523191">
        <w:rPr>
          <w:rFonts w:ascii="Palatino Linotype" w:hAnsi="Palatino Linotype"/>
          <w:sz w:val="22"/>
          <w:szCs w:val="22"/>
        </w:rPr>
        <w:t xml:space="preserve">be used by the project manager to </w:t>
      </w:r>
      <w:r w:rsidR="00A6541B">
        <w:rPr>
          <w:rFonts w:ascii="Palatino Linotype" w:hAnsi="Palatino Linotype"/>
          <w:sz w:val="22"/>
          <w:szCs w:val="22"/>
        </w:rPr>
        <w:t xml:space="preserve">gain approval for the full project cost, timeline and resources or can </w:t>
      </w:r>
      <w:r w:rsidR="00523191">
        <w:rPr>
          <w:rFonts w:ascii="Palatino Linotype" w:hAnsi="Palatino Linotype"/>
          <w:sz w:val="22"/>
          <w:szCs w:val="22"/>
        </w:rPr>
        <w:t xml:space="preserve">be evolved (through subsequent versions) to </w:t>
      </w:r>
      <w:r w:rsidR="00A6541B">
        <w:rPr>
          <w:rFonts w:ascii="Palatino Linotype" w:hAnsi="Palatino Linotype"/>
          <w:sz w:val="22"/>
          <w:szCs w:val="22"/>
        </w:rPr>
        <w:t xml:space="preserve">seek approval </w:t>
      </w:r>
      <w:r w:rsidR="00523191">
        <w:rPr>
          <w:rFonts w:ascii="Palatino Linotype" w:hAnsi="Palatino Linotype"/>
          <w:sz w:val="22"/>
          <w:szCs w:val="22"/>
        </w:rPr>
        <w:t>for one or more phases of the project.  During the</w:t>
      </w:r>
      <w:r w:rsidRPr="00B76153">
        <w:rPr>
          <w:rFonts w:ascii="Palatino Linotype" w:hAnsi="Palatino Linotype"/>
          <w:sz w:val="22"/>
          <w:szCs w:val="22"/>
        </w:rPr>
        <w:t xml:space="preserve"> </w:t>
      </w:r>
      <w:r w:rsidR="00523191">
        <w:rPr>
          <w:rFonts w:ascii="Palatino Linotype" w:hAnsi="Palatino Linotype"/>
          <w:sz w:val="22"/>
          <w:szCs w:val="22"/>
        </w:rPr>
        <w:t>planning</w:t>
      </w:r>
      <w:r w:rsidR="00523191" w:rsidRPr="00B76153">
        <w:rPr>
          <w:rFonts w:ascii="Palatino Linotype" w:hAnsi="Palatino Linotype"/>
          <w:sz w:val="22"/>
          <w:szCs w:val="22"/>
        </w:rPr>
        <w:t xml:space="preserve"> </w:t>
      </w:r>
      <w:r w:rsidRPr="00B76153">
        <w:rPr>
          <w:rFonts w:ascii="Palatino Linotype" w:hAnsi="Palatino Linotype"/>
          <w:sz w:val="22"/>
          <w:szCs w:val="22"/>
        </w:rPr>
        <w:t xml:space="preserve">phase </w:t>
      </w:r>
      <w:r w:rsidR="00523191">
        <w:rPr>
          <w:rFonts w:ascii="Palatino Linotype" w:hAnsi="Palatino Linotype"/>
          <w:sz w:val="22"/>
          <w:szCs w:val="22"/>
        </w:rPr>
        <w:t xml:space="preserve">the project team </w:t>
      </w:r>
      <w:r w:rsidRPr="00B76153">
        <w:rPr>
          <w:rFonts w:ascii="Palatino Linotype" w:hAnsi="Palatino Linotype"/>
          <w:sz w:val="22"/>
          <w:szCs w:val="22"/>
        </w:rPr>
        <w:t>refines the project</w:t>
      </w:r>
      <w:r>
        <w:rPr>
          <w:rFonts w:ascii="Palatino Linotype" w:hAnsi="Palatino Linotype"/>
          <w:sz w:val="22"/>
          <w:szCs w:val="22"/>
        </w:rPr>
        <w:t>’</w:t>
      </w:r>
      <w:r w:rsidRPr="00B76153">
        <w:rPr>
          <w:rFonts w:ascii="Palatino Linotype" w:hAnsi="Palatino Linotype"/>
          <w:sz w:val="22"/>
          <w:szCs w:val="22"/>
        </w:rPr>
        <w:t xml:space="preserve">s </w:t>
      </w:r>
      <w:r w:rsidR="00E57BE0">
        <w:rPr>
          <w:rFonts w:ascii="Palatino Linotype" w:hAnsi="Palatino Linotype"/>
          <w:sz w:val="22"/>
          <w:szCs w:val="22"/>
        </w:rPr>
        <w:t>goals</w:t>
      </w:r>
      <w:r w:rsidR="00E57BE0" w:rsidRPr="00B76153">
        <w:rPr>
          <w:rFonts w:ascii="Palatino Linotype" w:hAnsi="Palatino Linotype"/>
          <w:sz w:val="22"/>
          <w:szCs w:val="22"/>
        </w:rPr>
        <w:t xml:space="preserve"> </w:t>
      </w:r>
      <w:r w:rsidRPr="00B76153">
        <w:rPr>
          <w:rFonts w:ascii="Palatino Linotype" w:hAnsi="Palatino Linotype"/>
          <w:sz w:val="22"/>
          <w:szCs w:val="22"/>
        </w:rPr>
        <w:t>and scope and determines the project cost and schedule through a number of activities</w:t>
      </w:r>
      <w:r>
        <w:rPr>
          <w:rFonts w:ascii="Palatino Linotype" w:hAnsi="Palatino Linotype"/>
          <w:sz w:val="22"/>
          <w:szCs w:val="22"/>
        </w:rPr>
        <w:t xml:space="preserve"> including, analysis, design and </w:t>
      </w:r>
      <w:r w:rsidRPr="00B76153">
        <w:rPr>
          <w:rFonts w:ascii="Palatino Linotype" w:hAnsi="Palatino Linotype"/>
          <w:sz w:val="22"/>
          <w:szCs w:val="22"/>
        </w:rPr>
        <w:t xml:space="preserve">procurement. The outcome of the </w:t>
      </w:r>
      <w:r w:rsidR="00523191">
        <w:rPr>
          <w:rFonts w:ascii="Palatino Linotype" w:hAnsi="Palatino Linotype"/>
          <w:sz w:val="22"/>
          <w:szCs w:val="22"/>
        </w:rPr>
        <w:t>planning</w:t>
      </w:r>
      <w:r w:rsidR="00523191" w:rsidRPr="00B76153">
        <w:rPr>
          <w:rFonts w:ascii="Palatino Linotype" w:hAnsi="Palatino Linotype"/>
          <w:sz w:val="22"/>
          <w:szCs w:val="22"/>
        </w:rPr>
        <w:t xml:space="preserve"> </w:t>
      </w:r>
      <w:r w:rsidRPr="00B76153">
        <w:rPr>
          <w:rFonts w:ascii="Palatino Linotype" w:hAnsi="Palatino Linotype"/>
          <w:sz w:val="22"/>
          <w:szCs w:val="22"/>
        </w:rPr>
        <w:t xml:space="preserve">phase will be documented in the Project Plan. </w:t>
      </w:r>
    </w:p>
    <w:p w14:paraId="6CB258B8" w14:textId="77777777" w:rsidR="00FC2C4E" w:rsidRPr="00516C8A" w:rsidRDefault="00FC2C4E" w:rsidP="00FC2C4E">
      <w:pPr>
        <w:rPr>
          <w:rFonts w:ascii="Palatino Linotype" w:hAnsi="Palatino Linotype"/>
          <w:sz w:val="22"/>
          <w:szCs w:val="22"/>
        </w:rPr>
      </w:pPr>
      <w:r w:rsidRPr="00516C8A">
        <w:rPr>
          <w:rFonts w:ascii="Palatino Linotype" w:hAnsi="Palatino Linotype"/>
          <w:sz w:val="22"/>
          <w:szCs w:val="22"/>
        </w:rPr>
        <w:t xml:space="preserve">The </w:t>
      </w:r>
      <w:r w:rsidR="00523191">
        <w:rPr>
          <w:rFonts w:ascii="Palatino Linotype" w:hAnsi="Palatino Linotype"/>
          <w:sz w:val="22"/>
          <w:szCs w:val="22"/>
        </w:rPr>
        <w:t>P</w:t>
      </w:r>
      <w:r w:rsidR="00523191" w:rsidRPr="00516C8A">
        <w:rPr>
          <w:rFonts w:ascii="Palatino Linotype" w:hAnsi="Palatino Linotype"/>
          <w:sz w:val="22"/>
          <w:szCs w:val="22"/>
        </w:rPr>
        <w:t xml:space="preserve">roject </w:t>
      </w:r>
      <w:r w:rsidR="00523191">
        <w:rPr>
          <w:rFonts w:ascii="Palatino Linotype" w:hAnsi="Palatino Linotype"/>
          <w:sz w:val="22"/>
          <w:szCs w:val="22"/>
        </w:rPr>
        <w:t>C</w:t>
      </w:r>
      <w:r w:rsidR="00523191" w:rsidRPr="00516C8A">
        <w:rPr>
          <w:rFonts w:ascii="Palatino Linotype" w:hAnsi="Palatino Linotype"/>
          <w:sz w:val="22"/>
          <w:szCs w:val="22"/>
        </w:rPr>
        <w:t xml:space="preserve">harter </w:t>
      </w:r>
      <w:r w:rsidRPr="00516C8A">
        <w:rPr>
          <w:rFonts w:ascii="Palatino Linotype" w:hAnsi="Palatino Linotype"/>
          <w:sz w:val="22"/>
          <w:szCs w:val="22"/>
        </w:rPr>
        <w:t xml:space="preserve">includes a description of the business needs, describes how the project will address them, and is an instrument for gaining stakeholder agreement about the vision and </w:t>
      </w:r>
      <w:r w:rsidR="00BE0596">
        <w:rPr>
          <w:rFonts w:ascii="Palatino Linotype" w:hAnsi="Palatino Linotype"/>
          <w:sz w:val="22"/>
          <w:szCs w:val="22"/>
        </w:rPr>
        <w:t>goals</w:t>
      </w:r>
      <w:r w:rsidRPr="00516C8A">
        <w:rPr>
          <w:rFonts w:ascii="Palatino Linotype" w:hAnsi="Palatino Linotype"/>
          <w:sz w:val="22"/>
          <w:szCs w:val="22"/>
        </w:rPr>
        <w:t xml:space="preserve">. </w:t>
      </w:r>
      <w:r w:rsidR="00523191">
        <w:rPr>
          <w:rFonts w:ascii="Palatino Linotype" w:hAnsi="Palatino Linotype"/>
          <w:sz w:val="22"/>
          <w:szCs w:val="22"/>
        </w:rPr>
        <w:t>T</w:t>
      </w:r>
      <w:r w:rsidRPr="00516C8A">
        <w:rPr>
          <w:rFonts w:ascii="Palatino Linotype" w:hAnsi="Palatino Linotype"/>
          <w:sz w:val="22"/>
          <w:szCs w:val="22"/>
        </w:rPr>
        <w:t xml:space="preserve">he </w:t>
      </w:r>
      <w:r w:rsidR="00523191">
        <w:rPr>
          <w:rFonts w:ascii="Palatino Linotype" w:hAnsi="Palatino Linotype"/>
          <w:sz w:val="22"/>
          <w:szCs w:val="22"/>
        </w:rPr>
        <w:t>Project C</w:t>
      </w:r>
      <w:r w:rsidRPr="00516C8A">
        <w:rPr>
          <w:rFonts w:ascii="Palatino Linotype" w:hAnsi="Palatino Linotype"/>
          <w:sz w:val="22"/>
          <w:szCs w:val="22"/>
        </w:rPr>
        <w:t>harter:</w:t>
      </w:r>
    </w:p>
    <w:p w14:paraId="6CB258B9" w14:textId="77777777" w:rsidR="00FC2C4E" w:rsidRPr="00516C8A" w:rsidRDefault="00FC2C4E" w:rsidP="008B476E">
      <w:pPr>
        <w:pStyle w:val="ListParagraph"/>
        <w:numPr>
          <w:ilvl w:val="0"/>
          <w:numId w:val="7"/>
        </w:numPr>
        <w:rPr>
          <w:rFonts w:ascii="Palatino Linotype" w:hAnsi="Palatino Linotype"/>
          <w:sz w:val="22"/>
          <w:szCs w:val="22"/>
        </w:rPr>
      </w:pPr>
      <w:r w:rsidRPr="00516C8A">
        <w:rPr>
          <w:rFonts w:ascii="Palatino Linotype" w:hAnsi="Palatino Linotype"/>
          <w:sz w:val="22"/>
          <w:szCs w:val="22"/>
        </w:rPr>
        <w:t>Establish</w:t>
      </w:r>
      <w:r>
        <w:rPr>
          <w:rFonts w:ascii="Palatino Linotype" w:hAnsi="Palatino Linotype"/>
          <w:sz w:val="22"/>
          <w:szCs w:val="22"/>
        </w:rPr>
        <w:t>es</w:t>
      </w:r>
      <w:r w:rsidRPr="00516C8A">
        <w:rPr>
          <w:rFonts w:ascii="Palatino Linotype" w:hAnsi="Palatino Linotype"/>
          <w:sz w:val="22"/>
          <w:szCs w:val="22"/>
        </w:rPr>
        <w:t xml:space="preserve"> high-level </w:t>
      </w:r>
      <w:r w:rsidR="002E3C5C">
        <w:rPr>
          <w:rFonts w:ascii="Palatino Linotype" w:hAnsi="Palatino Linotype"/>
          <w:sz w:val="22"/>
          <w:szCs w:val="22"/>
        </w:rPr>
        <w:t xml:space="preserve">goals </w:t>
      </w:r>
      <w:r w:rsidR="00523191">
        <w:rPr>
          <w:rFonts w:ascii="Palatino Linotype" w:hAnsi="Palatino Linotype"/>
          <w:sz w:val="22"/>
          <w:szCs w:val="22"/>
        </w:rPr>
        <w:t xml:space="preserve">or objectives </w:t>
      </w:r>
      <w:r>
        <w:rPr>
          <w:rFonts w:ascii="Palatino Linotype" w:hAnsi="Palatino Linotype"/>
          <w:sz w:val="22"/>
          <w:szCs w:val="22"/>
        </w:rPr>
        <w:t>for the project;</w:t>
      </w:r>
    </w:p>
    <w:p w14:paraId="6CB258BA" w14:textId="77777777" w:rsidR="00FC2C4E" w:rsidRPr="00516C8A" w:rsidRDefault="00FC2C4E" w:rsidP="008B476E">
      <w:pPr>
        <w:pStyle w:val="ListParagraph"/>
        <w:numPr>
          <w:ilvl w:val="0"/>
          <w:numId w:val="7"/>
        </w:numPr>
        <w:rPr>
          <w:rFonts w:ascii="Palatino Linotype" w:hAnsi="Palatino Linotype"/>
          <w:sz w:val="22"/>
          <w:szCs w:val="22"/>
        </w:rPr>
      </w:pPr>
      <w:r w:rsidRPr="00516C8A">
        <w:rPr>
          <w:rFonts w:ascii="Palatino Linotype" w:hAnsi="Palatino Linotype"/>
          <w:sz w:val="22"/>
          <w:szCs w:val="22"/>
        </w:rPr>
        <w:t>Show</w:t>
      </w:r>
      <w:r>
        <w:rPr>
          <w:rFonts w:ascii="Palatino Linotype" w:hAnsi="Palatino Linotype"/>
          <w:sz w:val="22"/>
          <w:szCs w:val="22"/>
        </w:rPr>
        <w:t>s</w:t>
      </w:r>
      <w:r w:rsidRPr="00516C8A">
        <w:rPr>
          <w:rFonts w:ascii="Palatino Linotype" w:hAnsi="Palatino Linotype"/>
          <w:sz w:val="22"/>
          <w:szCs w:val="22"/>
        </w:rPr>
        <w:t xml:space="preserve"> alignment of the project to enterprise strategy, goals and priorities</w:t>
      </w:r>
      <w:r>
        <w:rPr>
          <w:rFonts w:ascii="Palatino Linotype" w:hAnsi="Palatino Linotype"/>
          <w:sz w:val="22"/>
          <w:szCs w:val="22"/>
        </w:rPr>
        <w:t>;</w:t>
      </w:r>
    </w:p>
    <w:p w14:paraId="6CB258BB" w14:textId="77777777" w:rsidR="00FC2C4E" w:rsidRPr="00516C8A" w:rsidRDefault="00FC2C4E" w:rsidP="008B476E">
      <w:pPr>
        <w:pStyle w:val="ListParagraph"/>
        <w:numPr>
          <w:ilvl w:val="0"/>
          <w:numId w:val="7"/>
        </w:numPr>
        <w:rPr>
          <w:rFonts w:ascii="Palatino Linotype" w:hAnsi="Palatino Linotype"/>
          <w:sz w:val="22"/>
          <w:szCs w:val="22"/>
        </w:rPr>
      </w:pPr>
      <w:r w:rsidRPr="00516C8A">
        <w:rPr>
          <w:rFonts w:ascii="Palatino Linotype" w:hAnsi="Palatino Linotype"/>
          <w:sz w:val="22"/>
          <w:szCs w:val="22"/>
        </w:rPr>
        <w:t>Identif</w:t>
      </w:r>
      <w:r>
        <w:rPr>
          <w:rFonts w:ascii="Palatino Linotype" w:hAnsi="Palatino Linotype"/>
          <w:sz w:val="22"/>
          <w:szCs w:val="22"/>
        </w:rPr>
        <w:t>ies</w:t>
      </w:r>
      <w:r w:rsidRPr="00516C8A">
        <w:rPr>
          <w:rFonts w:ascii="Palatino Linotype" w:hAnsi="Palatino Linotype"/>
          <w:sz w:val="22"/>
          <w:szCs w:val="22"/>
        </w:rPr>
        <w:t xml:space="preserve"> key stakeholders</w:t>
      </w:r>
      <w:r w:rsidR="00A92A0C">
        <w:rPr>
          <w:rFonts w:ascii="Palatino Linotype" w:hAnsi="Palatino Linotype"/>
          <w:sz w:val="22"/>
          <w:szCs w:val="22"/>
        </w:rPr>
        <w:t>,</w:t>
      </w:r>
      <w:r w:rsidRPr="00516C8A">
        <w:rPr>
          <w:rFonts w:ascii="Palatino Linotype" w:hAnsi="Palatino Linotype"/>
          <w:sz w:val="22"/>
          <w:szCs w:val="22"/>
        </w:rPr>
        <w:t xml:space="preserve"> both internal and external</w:t>
      </w:r>
      <w:r>
        <w:rPr>
          <w:rFonts w:ascii="Palatino Linotype" w:hAnsi="Palatino Linotype"/>
          <w:sz w:val="22"/>
          <w:szCs w:val="22"/>
        </w:rPr>
        <w:t>;</w:t>
      </w:r>
      <w:r w:rsidRPr="00516C8A">
        <w:rPr>
          <w:rFonts w:ascii="Palatino Linotype" w:hAnsi="Palatino Linotype"/>
          <w:sz w:val="22"/>
          <w:szCs w:val="22"/>
        </w:rPr>
        <w:t xml:space="preserve"> </w:t>
      </w:r>
    </w:p>
    <w:p w14:paraId="6CB258BC" w14:textId="77777777" w:rsidR="00FC2C4E" w:rsidRPr="00516C8A" w:rsidRDefault="00FC2C4E" w:rsidP="008B476E">
      <w:pPr>
        <w:pStyle w:val="ListParagraph"/>
        <w:numPr>
          <w:ilvl w:val="0"/>
          <w:numId w:val="7"/>
        </w:numPr>
        <w:rPr>
          <w:rFonts w:ascii="Palatino Linotype" w:hAnsi="Palatino Linotype"/>
          <w:sz w:val="22"/>
          <w:szCs w:val="22"/>
        </w:rPr>
      </w:pPr>
      <w:r w:rsidRPr="00516C8A">
        <w:rPr>
          <w:rFonts w:ascii="Palatino Linotype" w:hAnsi="Palatino Linotype"/>
          <w:sz w:val="22"/>
          <w:szCs w:val="22"/>
        </w:rPr>
        <w:t>Identif</w:t>
      </w:r>
      <w:r>
        <w:rPr>
          <w:rFonts w:ascii="Palatino Linotype" w:hAnsi="Palatino Linotype"/>
          <w:sz w:val="22"/>
          <w:szCs w:val="22"/>
        </w:rPr>
        <w:t>ies</w:t>
      </w:r>
      <w:r w:rsidRPr="00516C8A">
        <w:rPr>
          <w:rFonts w:ascii="Palatino Linotype" w:hAnsi="Palatino Linotype"/>
          <w:sz w:val="22"/>
          <w:szCs w:val="22"/>
        </w:rPr>
        <w:t xml:space="preserve"> the scope, schedule and cost for the overall project </w:t>
      </w:r>
      <w:r>
        <w:rPr>
          <w:rFonts w:ascii="Palatino Linotype" w:hAnsi="Palatino Linotype"/>
          <w:sz w:val="22"/>
          <w:szCs w:val="22"/>
        </w:rPr>
        <w:t xml:space="preserve">and </w:t>
      </w:r>
      <w:r w:rsidRPr="00516C8A">
        <w:rPr>
          <w:rFonts w:ascii="Palatino Linotype" w:hAnsi="Palatino Linotype"/>
          <w:sz w:val="22"/>
          <w:szCs w:val="22"/>
        </w:rPr>
        <w:t xml:space="preserve">the detailed scope, schedule and cost to complete the </w:t>
      </w:r>
      <w:r w:rsidR="00524C9C">
        <w:rPr>
          <w:rFonts w:ascii="Palatino Linotype" w:hAnsi="Palatino Linotype"/>
          <w:sz w:val="22"/>
          <w:szCs w:val="22"/>
        </w:rPr>
        <w:t>planning</w:t>
      </w:r>
      <w:r w:rsidR="00524C9C" w:rsidRPr="00516C8A">
        <w:rPr>
          <w:rFonts w:ascii="Palatino Linotype" w:hAnsi="Palatino Linotype"/>
          <w:sz w:val="22"/>
          <w:szCs w:val="22"/>
        </w:rPr>
        <w:t xml:space="preserve"> </w:t>
      </w:r>
      <w:r w:rsidRPr="00516C8A">
        <w:rPr>
          <w:rFonts w:ascii="Palatino Linotype" w:hAnsi="Palatino Linotype"/>
          <w:sz w:val="22"/>
          <w:szCs w:val="22"/>
        </w:rPr>
        <w:t>phase of the project</w:t>
      </w:r>
      <w:r>
        <w:rPr>
          <w:rFonts w:ascii="Palatino Linotype" w:hAnsi="Palatino Linotype"/>
          <w:sz w:val="22"/>
          <w:szCs w:val="22"/>
        </w:rPr>
        <w:t>;</w:t>
      </w:r>
    </w:p>
    <w:p w14:paraId="6CB258BD" w14:textId="77777777" w:rsidR="00FC2C4E" w:rsidRPr="00516C8A" w:rsidRDefault="00FC2C4E" w:rsidP="008B476E">
      <w:pPr>
        <w:pStyle w:val="ListParagraph"/>
        <w:numPr>
          <w:ilvl w:val="0"/>
          <w:numId w:val="7"/>
        </w:numPr>
        <w:spacing w:before="0"/>
        <w:rPr>
          <w:rFonts w:ascii="Palatino Linotype" w:hAnsi="Palatino Linotype"/>
          <w:sz w:val="22"/>
          <w:szCs w:val="22"/>
        </w:rPr>
      </w:pPr>
      <w:r w:rsidRPr="00516C8A">
        <w:rPr>
          <w:rFonts w:ascii="Palatino Linotype" w:hAnsi="Palatino Linotype"/>
          <w:sz w:val="22"/>
          <w:szCs w:val="22"/>
        </w:rPr>
        <w:t>Identif</w:t>
      </w:r>
      <w:r>
        <w:rPr>
          <w:rFonts w:ascii="Palatino Linotype" w:hAnsi="Palatino Linotype"/>
          <w:sz w:val="22"/>
          <w:szCs w:val="22"/>
        </w:rPr>
        <w:t>ies</w:t>
      </w:r>
      <w:r w:rsidRPr="00516C8A">
        <w:rPr>
          <w:rFonts w:ascii="Palatino Linotype" w:hAnsi="Palatino Linotype"/>
          <w:sz w:val="22"/>
          <w:szCs w:val="22"/>
        </w:rPr>
        <w:t xml:space="preserve"> the overall project delivery approach</w:t>
      </w:r>
      <w:r>
        <w:rPr>
          <w:rFonts w:ascii="Palatino Linotype" w:hAnsi="Palatino Linotype"/>
          <w:sz w:val="22"/>
          <w:szCs w:val="22"/>
        </w:rPr>
        <w:t>;</w:t>
      </w:r>
    </w:p>
    <w:p w14:paraId="6CB258BE" w14:textId="77777777" w:rsidR="00FC2C4E" w:rsidRPr="00516C8A" w:rsidRDefault="00FC2C4E" w:rsidP="008B476E">
      <w:pPr>
        <w:pStyle w:val="ListParagraph"/>
        <w:numPr>
          <w:ilvl w:val="0"/>
          <w:numId w:val="7"/>
        </w:numPr>
        <w:spacing w:before="0"/>
        <w:rPr>
          <w:rFonts w:ascii="Palatino Linotype" w:hAnsi="Palatino Linotype"/>
          <w:sz w:val="22"/>
          <w:szCs w:val="22"/>
        </w:rPr>
      </w:pPr>
      <w:r w:rsidRPr="00516C8A">
        <w:rPr>
          <w:rFonts w:ascii="Palatino Linotype" w:hAnsi="Palatino Linotype"/>
          <w:sz w:val="22"/>
          <w:szCs w:val="22"/>
        </w:rPr>
        <w:t>Identif</w:t>
      </w:r>
      <w:r>
        <w:rPr>
          <w:rFonts w:ascii="Palatino Linotype" w:hAnsi="Palatino Linotype"/>
          <w:sz w:val="22"/>
          <w:szCs w:val="22"/>
        </w:rPr>
        <w:t>ies</w:t>
      </w:r>
      <w:r w:rsidRPr="00516C8A">
        <w:rPr>
          <w:rFonts w:ascii="Palatino Linotype" w:hAnsi="Palatino Linotype"/>
          <w:sz w:val="22"/>
          <w:szCs w:val="22"/>
        </w:rPr>
        <w:t xml:space="preserve"> </w:t>
      </w:r>
      <w:r w:rsidR="00C52CD1">
        <w:rPr>
          <w:rFonts w:ascii="Palatino Linotype" w:hAnsi="Palatino Linotype"/>
          <w:sz w:val="22"/>
          <w:szCs w:val="22"/>
        </w:rPr>
        <w:t xml:space="preserve">potential </w:t>
      </w:r>
      <w:r w:rsidRPr="00516C8A">
        <w:rPr>
          <w:rFonts w:ascii="Palatino Linotype" w:hAnsi="Palatino Linotype"/>
          <w:sz w:val="22"/>
          <w:szCs w:val="22"/>
        </w:rPr>
        <w:t xml:space="preserve">risks, </w:t>
      </w:r>
      <w:r w:rsidR="00464120">
        <w:rPr>
          <w:rFonts w:ascii="Palatino Linotype" w:hAnsi="Palatino Linotype"/>
          <w:sz w:val="22"/>
          <w:szCs w:val="22"/>
        </w:rPr>
        <w:t>q</w:t>
      </w:r>
      <w:r w:rsidR="009B0F5B">
        <w:rPr>
          <w:rFonts w:ascii="Palatino Linotype" w:hAnsi="Palatino Linotype"/>
          <w:sz w:val="22"/>
          <w:szCs w:val="22"/>
        </w:rPr>
        <w:t>uality assurance activities</w:t>
      </w:r>
      <w:r w:rsidR="009B0F5B" w:rsidRPr="00516C8A">
        <w:rPr>
          <w:rFonts w:ascii="Palatino Linotype" w:hAnsi="Palatino Linotype"/>
          <w:sz w:val="22"/>
          <w:szCs w:val="22"/>
        </w:rPr>
        <w:t xml:space="preserve">  </w:t>
      </w:r>
      <w:r w:rsidRPr="00516C8A">
        <w:rPr>
          <w:rFonts w:ascii="Palatino Linotype" w:hAnsi="Palatino Linotype"/>
          <w:sz w:val="22"/>
          <w:szCs w:val="22"/>
        </w:rPr>
        <w:t>and controls</w:t>
      </w:r>
      <w:r>
        <w:rPr>
          <w:rFonts w:ascii="Palatino Linotype" w:hAnsi="Palatino Linotype"/>
          <w:sz w:val="22"/>
          <w:szCs w:val="22"/>
        </w:rPr>
        <w:t>,</w:t>
      </w:r>
      <w:r w:rsidRPr="00516C8A">
        <w:rPr>
          <w:rFonts w:ascii="Palatino Linotype" w:hAnsi="Palatino Linotype"/>
          <w:sz w:val="22"/>
          <w:szCs w:val="22"/>
        </w:rPr>
        <w:t xml:space="preserve"> as well as assumptions</w:t>
      </w:r>
      <w:r w:rsidR="002E3C5C">
        <w:rPr>
          <w:rFonts w:ascii="Palatino Linotype" w:hAnsi="Palatino Linotype"/>
          <w:sz w:val="22"/>
          <w:szCs w:val="22"/>
        </w:rPr>
        <w:t xml:space="preserve"> and </w:t>
      </w:r>
      <w:r w:rsidR="003778E9">
        <w:rPr>
          <w:rFonts w:ascii="Palatino Linotype" w:hAnsi="Palatino Linotype"/>
          <w:sz w:val="22"/>
          <w:szCs w:val="22"/>
        </w:rPr>
        <w:t>constraints</w:t>
      </w:r>
      <w:r>
        <w:rPr>
          <w:rFonts w:ascii="Palatino Linotype" w:hAnsi="Palatino Linotype"/>
          <w:sz w:val="22"/>
          <w:szCs w:val="22"/>
        </w:rPr>
        <w:t>;</w:t>
      </w:r>
    </w:p>
    <w:p w14:paraId="6CB258BF" w14:textId="77777777" w:rsidR="00FC2C4E" w:rsidRPr="00516C8A" w:rsidRDefault="00FC2C4E" w:rsidP="008B476E">
      <w:pPr>
        <w:pStyle w:val="ListParagraph"/>
        <w:numPr>
          <w:ilvl w:val="0"/>
          <w:numId w:val="7"/>
        </w:numPr>
        <w:spacing w:before="0"/>
        <w:rPr>
          <w:rFonts w:ascii="Palatino Linotype" w:hAnsi="Palatino Linotype"/>
          <w:sz w:val="22"/>
          <w:szCs w:val="22"/>
        </w:rPr>
      </w:pPr>
      <w:r w:rsidRPr="00516C8A">
        <w:rPr>
          <w:rFonts w:ascii="Palatino Linotype" w:hAnsi="Palatino Linotype"/>
          <w:sz w:val="22"/>
          <w:szCs w:val="22"/>
        </w:rPr>
        <w:t>Establish</w:t>
      </w:r>
      <w:r>
        <w:rPr>
          <w:rFonts w:ascii="Palatino Linotype" w:hAnsi="Palatino Linotype"/>
          <w:sz w:val="22"/>
          <w:szCs w:val="22"/>
        </w:rPr>
        <w:t>es</w:t>
      </w:r>
      <w:r w:rsidRPr="00516C8A">
        <w:rPr>
          <w:rFonts w:ascii="Palatino Linotype" w:hAnsi="Palatino Linotype"/>
          <w:sz w:val="22"/>
          <w:szCs w:val="22"/>
        </w:rPr>
        <w:t xml:space="preserve"> the Project Steering Committee</w:t>
      </w:r>
      <w:r w:rsidR="009B0F5B">
        <w:rPr>
          <w:rFonts w:ascii="Palatino Linotype" w:hAnsi="Palatino Linotype"/>
          <w:sz w:val="22"/>
          <w:szCs w:val="22"/>
        </w:rPr>
        <w:t>; and</w:t>
      </w:r>
    </w:p>
    <w:p w14:paraId="6CB258C0" w14:textId="77777777" w:rsidR="008C2C5B" w:rsidRDefault="00FC2C4E" w:rsidP="008B476E">
      <w:pPr>
        <w:pStyle w:val="ListParagraph"/>
        <w:numPr>
          <w:ilvl w:val="0"/>
          <w:numId w:val="7"/>
        </w:numPr>
        <w:spacing w:before="0"/>
        <w:rPr>
          <w:rFonts w:ascii="Palatino Linotype" w:hAnsi="Palatino Linotype"/>
          <w:sz w:val="22"/>
          <w:szCs w:val="22"/>
        </w:rPr>
      </w:pPr>
      <w:r>
        <w:rPr>
          <w:rFonts w:ascii="Palatino Linotype" w:hAnsi="Palatino Linotype"/>
          <w:sz w:val="22"/>
          <w:szCs w:val="22"/>
        </w:rPr>
        <w:t>Initiates</w:t>
      </w:r>
      <w:r w:rsidRPr="00516C8A">
        <w:rPr>
          <w:rFonts w:ascii="Palatino Linotype" w:hAnsi="Palatino Linotype"/>
          <w:sz w:val="22"/>
          <w:szCs w:val="22"/>
        </w:rPr>
        <w:t xml:space="preserve"> project monitoring and control</w:t>
      </w:r>
      <w:r>
        <w:rPr>
          <w:rFonts w:ascii="Palatino Linotype" w:hAnsi="Palatino Linotype"/>
          <w:sz w:val="22"/>
          <w:szCs w:val="22"/>
        </w:rPr>
        <w:t>s.</w:t>
      </w:r>
      <w:r w:rsidR="008D62E2" w:rsidRPr="00516C8A" w:rsidDel="008D62E2">
        <w:rPr>
          <w:rFonts w:ascii="Palatino Linotype" w:hAnsi="Palatino Linotype"/>
          <w:sz w:val="22"/>
          <w:szCs w:val="22"/>
        </w:rPr>
        <w:t xml:space="preserve"> </w:t>
      </w:r>
    </w:p>
    <w:p w14:paraId="6CB258C1" w14:textId="77777777" w:rsidR="00FC2C4E" w:rsidRDefault="00FC2C4E" w:rsidP="00FC2C4E">
      <w:pPr>
        <w:pStyle w:val="BodyText0"/>
        <w:rPr>
          <w:rFonts w:ascii="Cambria" w:hAnsi="Cambria"/>
          <w:b/>
          <w:sz w:val="24"/>
          <w:szCs w:val="24"/>
        </w:rPr>
      </w:pPr>
    </w:p>
    <w:p w14:paraId="6CB258C2" w14:textId="77777777" w:rsidR="003D0F0B" w:rsidRDefault="003D0F0B" w:rsidP="00FC2C4E">
      <w:pPr>
        <w:pStyle w:val="BodyText0"/>
        <w:rPr>
          <w:rFonts w:ascii="Cambria" w:hAnsi="Cambria"/>
          <w:b/>
          <w:sz w:val="24"/>
          <w:szCs w:val="24"/>
        </w:rPr>
      </w:pPr>
    </w:p>
    <w:p w14:paraId="6CB258C3" w14:textId="77777777" w:rsidR="00CE41D5" w:rsidRDefault="00CE41D5" w:rsidP="00FC2C4E">
      <w:pPr>
        <w:pStyle w:val="BodyText0"/>
        <w:rPr>
          <w:rFonts w:ascii="Cambria" w:hAnsi="Cambria"/>
          <w:b/>
          <w:sz w:val="24"/>
          <w:szCs w:val="24"/>
        </w:rPr>
      </w:pPr>
    </w:p>
    <w:p w14:paraId="6CB258C4" w14:textId="77777777" w:rsidR="00CE41D5" w:rsidRDefault="00CE41D5" w:rsidP="00FC2C4E">
      <w:pPr>
        <w:pStyle w:val="BodyText0"/>
        <w:rPr>
          <w:rFonts w:ascii="Cambria" w:hAnsi="Cambria"/>
          <w:b/>
          <w:sz w:val="24"/>
          <w:szCs w:val="24"/>
        </w:rPr>
      </w:pPr>
    </w:p>
    <w:p w14:paraId="6CB258C5" w14:textId="77777777" w:rsidR="002E66B4" w:rsidRDefault="002E66B4" w:rsidP="00FC2C4E">
      <w:pPr>
        <w:pStyle w:val="BodyText0"/>
        <w:rPr>
          <w:rFonts w:ascii="Cambria" w:hAnsi="Cambria"/>
          <w:b/>
          <w:sz w:val="24"/>
          <w:szCs w:val="24"/>
        </w:rPr>
      </w:pPr>
    </w:p>
    <w:p w14:paraId="6CB258C6" w14:textId="77777777" w:rsidR="0018481A" w:rsidRDefault="00C83E1C" w:rsidP="0018481A">
      <w:pPr>
        <w:pStyle w:val="Heading1"/>
      </w:pPr>
      <w:r>
        <w:t>Project Executive Summary</w:t>
      </w:r>
    </w:p>
    <w:p w14:paraId="6CB258C7" w14:textId="77777777" w:rsidR="00200492" w:rsidRDefault="00200492" w:rsidP="0005728D">
      <w:pPr>
        <w:spacing w:before="120" w:after="120"/>
      </w:pPr>
    </w:p>
    <w:p w14:paraId="6CB258C8" w14:textId="764B04D2" w:rsidR="008644F6" w:rsidRDefault="00C0594D" w:rsidP="001C4071">
      <w:pPr>
        <w:spacing w:before="120" w:after="120"/>
        <w:rPr>
          <w:rFonts w:ascii="Palatino Linotype" w:hAnsi="Palatino Linotype"/>
          <w:sz w:val="22"/>
          <w:szCs w:val="22"/>
        </w:rPr>
      </w:pPr>
      <w:r>
        <w:rPr>
          <w:rFonts w:ascii="Palatino Linotype" w:hAnsi="Palatino Linotype"/>
          <w:sz w:val="22"/>
          <w:szCs w:val="22"/>
        </w:rPr>
        <w:t xml:space="preserve">The </w:t>
      </w:r>
      <w:r w:rsidR="00200492" w:rsidRPr="00200492">
        <w:rPr>
          <w:rFonts w:ascii="Palatino Linotype" w:hAnsi="Palatino Linotype"/>
          <w:sz w:val="22"/>
          <w:szCs w:val="22"/>
        </w:rPr>
        <w:t>Tran</w:t>
      </w:r>
      <w:r w:rsidR="00200492">
        <w:rPr>
          <w:rFonts w:ascii="Palatino Linotype" w:hAnsi="Palatino Linotype"/>
          <w:sz w:val="22"/>
          <w:szCs w:val="22"/>
        </w:rPr>
        <w:t>sitional Capacity Auction (TCA)</w:t>
      </w:r>
      <w:r>
        <w:rPr>
          <w:rFonts w:ascii="Palatino Linotype" w:hAnsi="Palatino Linotype"/>
          <w:sz w:val="22"/>
          <w:szCs w:val="22"/>
        </w:rPr>
        <w:t xml:space="preserve"> project</w:t>
      </w:r>
      <w:r w:rsidR="00200492">
        <w:rPr>
          <w:rFonts w:ascii="Palatino Linotype" w:hAnsi="Palatino Linotype"/>
          <w:sz w:val="22"/>
          <w:szCs w:val="22"/>
        </w:rPr>
        <w:t xml:space="preserve"> </w:t>
      </w:r>
      <w:r w:rsidR="002D666A">
        <w:rPr>
          <w:rFonts w:ascii="Palatino Linotype" w:hAnsi="Palatino Linotype"/>
          <w:sz w:val="22"/>
          <w:szCs w:val="22"/>
        </w:rPr>
        <w:t>will</w:t>
      </w:r>
      <w:r w:rsidR="00200492">
        <w:rPr>
          <w:rFonts w:ascii="Palatino Linotype" w:hAnsi="Palatino Linotype"/>
          <w:sz w:val="22"/>
          <w:szCs w:val="22"/>
        </w:rPr>
        <w:t xml:space="preserve"> </w:t>
      </w:r>
      <w:r w:rsidR="0084407D">
        <w:rPr>
          <w:rFonts w:ascii="Palatino Linotype" w:hAnsi="Palatino Linotype"/>
          <w:sz w:val="22"/>
          <w:szCs w:val="22"/>
        </w:rPr>
        <w:t>meet</w:t>
      </w:r>
      <w:r w:rsidR="008644F6">
        <w:rPr>
          <w:rFonts w:ascii="Palatino Linotype" w:hAnsi="Palatino Linotype"/>
          <w:sz w:val="22"/>
          <w:szCs w:val="22"/>
        </w:rPr>
        <w:t xml:space="preserve"> an emerging need </w:t>
      </w:r>
      <w:r w:rsidR="00B3365B">
        <w:rPr>
          <w:rFonts w:ascii="Palatino Linotype" w:hAnsi="Palatino Linotype"/>
          <w:sz w:val="22"/>
          <w:szCs w:val="22"/>
        </w:rPr>
        <w:t>for additional committed capacity in Ontario beginning in the summer of 2020</w:t>
      </w:r>
      <w:r w:rsidR="009370E9">
        <w:rPr>
          <w:rFonts w:ascii="Palatino Linotype" w:hAnsi="Palatino Linotype"/>
          <w:sz w:val="22"/>
          <w:szCs w:val="22"/>
        </w:rPr>
        <w:t xml:space="preserve"> and </w:t>
      </w:r>
      <w:r w:rsidR="008644F6">
        <w:rPr>
          <w:rFonts w:ascii="Palatino Linotype" w:hAnsi="Palatino Linotype"/>
          <w:sz w:val="22"/>
          <w:szCs w:val="22"/>
        </w:rPr>
        <w:t xml:space="preserve">will be designed </w:t>
      </w:r>
      <w:r w:rsidR="00902F6A">
        <w:rPr>
          <w:rFonts w:ascii="Palatino Linotype" w:hAnsi="Palatino Linotype"/>
          <w:sz w:val="22"/>
          <w:szCs w:val="22"/>
        </w:rPr>
        <w:t xml:space="preserve">to satisfy this near-term </w:t>
      </w:r>
      <w:r w:rsidR="004F7EA5">
        <w:rPr>
          <w:rFonts w:ascii="Palatino Linotype" w:hAnsi="Palatino Linotype"/>
          <w:sz w:val="22"/>
          <w:szCs w:val="22"/>
        </w:rPr>
        <w:t xml:space="preserve">reliability </w:t>
      </w:r>
      <w:r w:rsidR="00902F6A">
        <w:rPr>
          <w:rFonts w:ascii="Palatino Linotype" w:hAnsi="Palatino Linotype"/>
          <w:sz w:val="22"/>
          <w:szCs w:val="22"/>
        </w:rPr>
        <w:t xml:space="preserve">need </w:t>
      </w:r>
      <w:r w:rsidR="009370E9">
        <w:rPr>
          <w:rFonts w:ascii="Palatino Linotype" w:hAnsi="Palatino Linotype"/>
          <w:sz w:val="22"/>
          <w:szCs w:val="22"/>
        </w:rPr>
        <w:t xml:space="preserve">until at least </w:t>
      </w:r>
      <w:r w:rsidR="00902F6A">
        <w:rPr>
          <w:rFonts w:ascii="Palatino Linotype" w:hAnsi="Palatino Linotype"/>
          <w:sz w:val="22"/>
          <w:szCs w:val="22"/>
        </w:rPr>
        <w:t>winter 202</w:t>
      </w:r>
      <w:r w:rsidR="00FA3090">
        <w:rPr>
          <w:rFonts w:ascii="Palatino Linotype" w:hAnsi="Palatino Linotype"/>
          <w:sz w:val="22"/>
          <w:szCs w:val="22"/>
        </w:rPr>
        <w:t>4</w:t>
      </w:r>
      <w:r w:rsidR="000A1E24">
        <w:rPr>
          <w:rFonts w:ascii="Palatino Linotype" w:hAnsi="Palatino Linotype"/>
          <w:sz w:val="22"/>
          <w:szCs w:val="22"/>
        </w:rPr>
        <w:t>/</w:t>
      </w:r>
      <w:r w:rsidR="004042F9">
        <w:rPr>
          <w:rFonts w:ascii="Palatino Linotype" w:hAnsi="Palatino Linotype"/>
          <w:sz w:val="22"/>
          <w:szCs w:val="22"/>
        </w:rPr>
        <w:t>20</w:t>
      </w:r>
      <w:r w:rsidR="000A1E24">
        <w:rPr>
          <w:rFonts w:ascii="Palatino Linotype" w:hAnsi="Palatino Linotype"/>
          <w:sz w:val="22"/>
          <w:szCs w:val="22"/>
        </w:rPr>
        <w:t>25</w:t>
      </w:r>
      <w:r w:rsidR="009370E9">
        <w:rPr>
          <w:rFonts w:ascii="Palatino Linotype" w:hAnsi="Palatino Linotype"/>
          <w:sz w:val="22"/>
          <w:szCs w:val="22"/>
        </w:rPr>
        <w:t xml:space="preserve">. The TCA enables an effective transition to the execution of the first Incremental Capacity Auction (ICA) – expected </w:t>
      </w:r>
      <w:r w:rsidR="00902F6A">
        <w:rPr>
          <w:rFonts w:ascii="Palatino Linotype" w:hAnsi="Palatino Linotype"/>
          <w:sz w:val="22"/>
          <w:szCs w:val="22"/>
        </w:rPr>
        <w:t xml:space="preserve">in </w:t>
      </w:r>
      <w:r w:rsidR="00B3365B">
        <w:rPr>
          <w:rFonts w:ascii="Palatino Linotype" w:hAnsi="Palatino Linotype"/>
          <w:sz w:val="22"/>
          <w:szCs w:val="22"/>
        </w:rPr>
        <w:t>Q4-202</w:t>
      </w:r>
      <w:r w:rsidR="004F7EA5">
        <w:rPr>
          <w:rFonts w:ascii="Palatino Linotype" w:hAnsi="Palatino Linotype"/>
          <w:sz w:val="22"/>
          <w:szCs w:val="22"/>
        </w:rPr>
        <w:t>2</w:t>
      </w:r>
      <w:r w:rsidR="00B3365B">
        <w:rPr>
          <w:rFonts w:ascii="Palatino Linotype" w:hAnsi="Palatino Linotype"/>
          <w:sz w:val="22"/>
          <w:szCs w:val="22"/>
        </w:rPr>
        <w:t xml:space="preserve"> </w:t>
      </w:r>
      <w:r w:rsidR="009370E9">
        <w:rPr>
          <w:rFonts w:ascii="Palatino Linotype" w:hAnsi="Palatino Linotype"/>
          <w:sz w:val="22"/>
          <w:szCs w:val="22"/>
        </w:rPr>
        <w:t>to meet</w:t>
      </w:r>
      <w:r w:rsidR="00902F6A">
        <w:rPr>
          <w:rFonts w:ascii="Palatino Linotype" w:hAnsi="Palatino Linotype"/>
          <w:sz w:val="22"/>
          <w:szCs w:val="22"/>
        </w:rPr>
        <w:t xml:space="preserve"> capacity </w:t>
      </w:r>
      <w:r w:rsidR="00B3365B">
        <w:rPr>
          <w:rFonts w:ascii="Palatino Linotype" w:hAnsi="Palatino Linotype"/>
          <w:sz w:val="22"/>
          <w:szCs w:val="22"/>
        </w:rPr>
        <w:t xml:space="preserve">needs </w:t>
      </w:r>
      <w:r w:rsidR="00716C94">
        <w:rPr>
          <w:rFonts w:ascii="Palatino Linotype" w:hAnsi="Palatino Linotype"/>
          <w:sz w:val="22"/>
          <w:szCs w:val="22"/>
        </w:rPr>
        <w:t>starting</w:t>
      </w:r>
      <w:r w:rsidR="00B3365B">
        <w:rPr>
          <w:rFonts w:ascii="Palatino Linotype" w:hAnsi="Palatino Linotype"/>
          <w:sz w:val="22"/>
          <w:szCs w:val="22"/>
        </w:rPr>
        <w:t xml:space="preserve"> summer 2025.</w:t>
      </w:r>
      <w:r w:rsidR="0005728D" w:rsidRPr="006C6970">
        <w:rPr>
          <w:rFonts w:ascii="Palatino Linotype" w:hAnsi="Palatino Linotype"/>
          <w:sz w:val="22"/>
          <w:szCs w:val="22"/>
        </w:rPr>
        <w:t xml:space="preserve">  </w:t>
      </w:r>
      <w:r w:rsidR="00D4508A">
        <w:rPr>
          <w:rFonts w:ascii="Palatino Linotype" w:hAnsi="Palatino Linotype"/>
          <w:sz w:val="22"/>
          <w:szCs w:val="22"/>
        </w:rPr>
        <w:t>The TCA will also seek to improve certain reliability aspects of the rules TCA participants must follow as the IESO will be relying on these resources to balance supply and demand.</w:t>
      </w:r>
      <w:r w:rsidR="003A193D">
        <w:rPr>
          <w:rFonts w:ascii="Palatino Linotype" w:hAnsi="Palatino Linotype"/>
          <w:sz w:val="22"/>
          <w:szCs w:val="22"/>
        </w:rPr>
        <w:t xml:space="preserve">  TCA is required to enable additional resources as </w:t>
      </w:r>
      <w:r w:rsidR="009370E9">
        <w:rPr>
          <w:rFonts w:ascii="Palatino Linotype" w:hAnsi="Palatino Linotype"/>
          <w:sz w:val="22"/>
          <w:szCs w:val="22"/>
        </w:rPr>
        <w:t>Demand Response (</w:t>
      </w:r>
      <w:r w:rsidR="003A193D">
        <w:rPr>
          <w:rFonts w:ascii="Palatino Linotype" w:hAnsi="Palatino Linotype"/>
          <w:sz w:val="22"/>
          <w:szCs w:val="22"/>
        </w:rPr>
        <w:t>DR</w:t>
      </w:r>
      <w:r w:rsidR="009370E9">
        <w:rPr>
          <w:rFonts w:ascii="Palatino Linotype" w:hAnsi="Palatino Linotype"/>
          <w:sz w:val="22"/>
          <w:szCs w:val="22"/>
        </w:rPr>
        <w:t>)</w:t>
      </w:r>
      <w:r w:rsidR="003A193D">
        <w:rPr>
          <w:rFonts w:ascii="Palatino Linotype" w:hAnsi="Palatino Linotype"/>
          <w:sz w:val="22"/>
          <w:szCs w:val="22"/>
        </w:rPr>
        <w:t xml:space="preserve"> participants alone will not be able to satisfy Ontario’s </w:t>
      </w:r>
      <w:r w:rsidR="005406EA">
        <w:rPr>
          <w:rFonts w:ascii="Palatino Linotype" w:hAnsi="Palatino Linotype"/>
          <w:sz w:val="22"/>
          <w:szCs w:val="22"/>
        </w:rPr>
        <w:t xml:space="preserve">future </w:t>
      </w:r>
      <w:r w:rsidR="003A193D">
        <w:rPr>
          <w:rFonts w:ascii="Palatino Linotype" w:hAnsi="Palatino Linotype"/>
          <w:sz w:val="22"/>
          <w:szCs w:val="22"/>
        </w:rPr>
        <w:t>capacity need.</w:t>
      </w:r>
    </w:p>
    <w:p w14:paraId="6CB258C9" w14:textId="77777777" w:rsidR="00CB1545" w:rsidRDefault="008644F6" w:rsidP="001C4071">
      <w:pPr>
        <w:spacing w:before="120" w:after="120"/>
        <w:rPr>
          <w:rFonts w:ascii="Palatino Linotype" w:hAnsi="Palatino Linotype"/>
          <w:sz w:val="22"/>
          <w:szCs w:val="22"/>
        </w:rPr>
      </w:pPr>
      <w:r>
        <w:rPr>
          <w:rFonts w:ascii="Palatino Linotype" w:hAnsi="Palatino Linotype"/>
          <w:sz w:val="22"/>
          <w:szCs w:val="22"/>
        </w:rPr>
        <w:t xml:space="preserve">Like the ICA, the TCA will </w:t>
      </w:r>
      <w:r w:rsidR="00CB1545">
        <w:rPr>
          <w:rFonts w:ascii="Palatino Linotype" w:hAnsi="Palatino Linotype"/>
          <w:sz w:val="22"/>
          <w:szCs w:val="22"/>
        </w:rPr>
        <w:t>use a competitive and transparent platform to acquire capacity</w:t>
      </w:r>
      <w:r w:rsidR="00755BA0">
        <w:rPr>
          <w:rFonts w:ascii="Palatino Linotype" w:hAnsi="Palatino Linotype"/>
          <w:sz w:val="22"/>
          <w:szCs w:val="22"/>
        </w:rPr>
        <w:t xml:space="preserve"> while providing</w:t>
      </w:r>
      <w:r w:rsidR="006A088E">
        <w:rPr>
          <w:rFonts w:ascii="Palatino Linotype" w:hAnsi="Palatino Linotype"/>
          <w:sz w:val="22"/>
          <w:szCs w:val="22"/>
        </w:rPr>
        <w:t xml:space="preserve"> the best value for Ontario consumers</w:t>
      </w:r>
      <w:r>
        <w:rPr>
          <w:rFonts w:ascii="Palatino Linotype" w:hAnsi="Palatino Linotype"/>
          <w:sz w:val="22"/>
          <w:szCs w:val="22"/>
        </w:rPr>
        <w:t xml:space="preserve"> by e</w:t>
      </w:r>
      <w:r w:rsidR="006A088E">
        <w:rPr>
          <w:rFonts w:ascii="Palatino Linotype" w:hAnsi="Palatino Linotype"/>
          <w:sz w:val="22"/>
          <w:szCs w:val="22"/>
        </w:rPr>
        <w:t>volv</w:t>
      </w:r>
      <w:r>
        <w:rPr>
          <w:rFonts w:ascii="Palatino Linotype" w:hAnsi="Palatino Linotype"/>
          <w:sz w:val="22"/>
          <w:szCs w:val="22"/>
        </w:rPr>
        <w:t>ing</w:t>
      </w:r>
      <w:r w:rsidR="006A088E">
        <w:rPr>
          <w:rFonts w:ascii="Palatino Linotype" w:hAnsi="Palatino Linotype"/>
          <w:sz w:val="22"/>
          <w:szCs w:val="22"/>
        </w:rPr>
        <w:t xml:space="preserve"> the Demand Response A</w:t>
      </w:r>
      <w:r w:rsidR="00CB1545">
        <w:rPr>
          <w:rFonts w:ascii="Palatino Linotype" w:hAnsi="Palatino Linotype"/>
          <w:sz w:val="22"/>
          <w:szCs w:val="22"/>
        </w:rPr>
        <w:t>uction</w:t>
      </w:r>
      <w:r w:rsidR="006A088E">
        <w:rPr>
          <w:rFonts w:ascii="Palatino Linotype" w:hAnsi="Palatino Linotype"/>
          <w:sz w:val="22"/>
          <w:szCs w:val="22"/>
        </w:rPr>
        <w:t xml:space="preserve"> (DRA).  </w:t>
      </w:r>
      <w:r w:rsidR="00755BA0">
        <w:rPr>
          <w:rFonts w:ascii="Palatino Linotype" w:hAnsi="Palatino Linotype"/>
          <w:sz w:val="22"/>
          <w:szCs w:val="22"/>
        </w:rPr>
        <w:t xml:space="preserve">This will be done by enabling new resource types as well as including some key ICA design features. </w:t>
      </w:r>
      <w:r>
        <w:rPr>
          <w:rFonts w:ascii="Palatino Linotype" w:hAnsi="Palatino Linotype"/>
          <w:sz w:val="22"/>
          <w:szCs w:val="22"/>
        </w:rPr>
        <w:t xml:space="preserve">New participation is expected to come from </w:t>
      </w:r>
      <w:r w:rsidR="006A088E">
        <w:rPr>
          <w:rFonts w:ascii="Palatino Linotype" w:hAnsi="Palatino Linotype"/>
          <w:sz w:val="22"/>
          <w:szCs w:val="22"/>
        </w:rPr>
        <w:t xml:space="preserve">existing </w:t>
      </w:r>
      <w:r w:rsidR="00D02AC2">
        <w:rPr>
          <w:rFonts w:ascii="Palatino Linotype" w:hAnsi="Palatino Linotype"/>
          <w:sz w:val="22"/>
          <w:szCs w:val="22"/>
        </w:rPr>
        <w:t xml:space="preserve">generators </w:t>
      </w:r>
      <w:r w:rsidR="006A088E">
        <w:rPr>
          <w:rFonts w:ascii="Palatino Linotype" w:hAnsi="Palatino Linotype"/>
          <w:sz w:val="22"/>
          <w:szCs w:val="22"/>
        </w:rPr>
        <w:t>who are coming off contract</w:t>
      </w:r>
      <w:r>
        <w:rPr>
          <w:rFonts w:ascii="Palatino Linotype" w:hAnsi="Palatino Linotype"/>
          <w:sz w:val="22"/>
          <w:szCs w:val="22"/>
        </w:rPr>
        <w:t xml:space="preserve"> and available capacity</w:t>
      </w:r>
      <w:r w:rsidR="00755BA0">
        <w:rPr>
          <w:rFonts w:ascii="Palatino Linotype" w:hAnsi="Palatino Linotype"/>
          <w:sz w:val="22"/>
          <w:szCs w:val="22"/>
        </w:rPr>
        <w:t>-backed</w:t>
      </w:r>
      <w:r>
        <w:rPr>
          <w:rFonts w:ascii="Palatino Linotype" w:hAnsi="Palatino Linotype"/>
          <w:sz w:val="22"/>
          <w:szCs w:val="22"/>
        </w:rPr>
        <w:t xml:space="preserve"> imports from other markets.  </w:t>
      </w:r>
    </w:p>
    <w:p w14:paraId="6CB258CA" w14:textId="643562DB" w:rsidR="00CB1545" w:rsidRDefault="008644F6" w:rsidP="001C4071">
      <w:pPr>
        <w:spacing w:before="120" w:after="120"/>
        <w:rPr>
          <w:rFonts w:ascii="Palatino Linotype" w:hAnsi="Palatino Linotype"/>
          <w:sz w:val="22"/>
          <w:szCs w:val="22"/>
        </w:rPr>
      </w:pPr>
      <w:r>
        <w:rPr>
          <w:rFonts w:ascii="Palatino Linotype" w:hAnsi="Palatino Linotype"/>
          <w:sz w:val="22"/>
          <w:szCs w:val="22"/>
        </w:rPr>
        <w:t>By evolving the DR Auction and taking advantage of the early design work of the ICA, TCA</w:t>
      </w:r>
      <w:r w:rsidR="009370E9">
        <w:rPr>
          <w:rFonts w:ascii="Palatino Linotype" w:hAnsi="Palatino Linotype"/>
          <w:sz w:val="22"/>
          <w:szCs w:val="22"/>
        </w:rPr>
        <w:t xml:space="preserve"> project costs will be minimized. In addition, the TCA project</w:t>
      </w:r>
      <w:r>
        <w:rPr>
          <w:rFonts w:ascii="Palatino Linotype" w:hAnsi="Palatino Linotype"/>
          <w:sz w:val="22"/>
          <w:szCs w:val="22"/>
        </w:rPr>
        <w:t xml:space="preserve"> will </w:t>
      </w:r>
      <w:r w:rsidR="00CB1545" w:rsidRPr="001C4071">
        <w:rPr>
          <w:rFonts w:ascii="Palatino Linotype" w:hAnsi="Palatino Linotype"/>
          <w:sz w:val="22"/>
          <w:szCs w:val="22"/>
        </w:rPr>
        <w:t>create learning opportunities</w:t>
      </w:r>
      <w:r w:rsidR="00D92E70" w:rsidRPr="001C4071">
        <w:rPr>
          <w:rFonts w:ascii="Palatino Linotype" w:hAnsi="Palatino Linotype"/>
          <w:sz w:val="22"/>
          <w:szCs w:val="22"/>
        </w:rPr>
        <w:t xml:space="preserve"> (design and implementation) for auction participants</w:t>
      </w:r>
      <w:r w:rsidR="00C0594D" w:rsidRPr="001C4071">
        <w:rPr>
          <w:rFonts w:ascii="Palatino Linotype" w:hAnsi="Palatino Linotype"/>
          <w:sz w:val="22"/>
          <w:szCs w:val="22"/>
        </w:rPr>
        <w:t xml:space="preserve"> and</w:t>
      </w:r>
      <w:r w:rsidR="00D92E70" w:rsidRPr="001C4071">
        <w:rPr>
          <w:rFonts w:ascii="Palatino Linotype" w:hAnsi="Palatino Linotype"/>
          <w:sz w:val="22"/>
          <w:szCs w:val="22"/>
        </w:rPr>
        <w:t xml:space="preserve"> IESO</w:t>
      </w:r>
      <w:r>
        <w:rPr>
          <w:rFonts w:ascii="Palatino Linotype" w:hAnsi="Palatino Linotype"/>
          <w:sz w:val="22"/>
          <w:szCs w:val="22"/>
        </w:rPr>
        <w:t>’s IC</w:t>
      </w:r>
      <w:r w:rsidR="00C03370">
        <w:rPr>
          <w:rFonts w:ascii="Palatino Linotype" w:hAnsi="Palatino Linotype"/>
          <w:sz w:val="22"/>
          <w:szCs w:val="22"/>
        </w:rPr>
        <w:t>A</w:t>
      </w:r>
      <w:r>
        <w:rPr>
          <w:rFonts w:ascii="Palatino Linotype" w:hAnsi="Palatino Linotype"/>
          <w:sz w:val="22"/>
          <w:szCs w:val="22"/>
        </w:rPr>
        <w:t xml:space="preserve"> team</w:t>
      </w:r>
      <w:r w:rsidR="004007FC" w:rsidRPr="001C4071">
        <w:rPr>
          <w:rFonts w:ascii="Palatino Linotype" w:hAnsi="Palatino Linotype"/>
          <w:sz w:val="22"/>
          <w:szCs w:val="22"/>
        </w:rPr>
        <w:t>.  These lessons learned</w:t>
      </w:r>
      <w:r w:rsidR="00C0594D" w:rsidRPr="001C4071">
        <w:rPr>
          <w:rFonts w:ascii="Palatino Linotype" w:hAnsi="Palatino Linotype"/>
          <w:sz w:val="22"/>
          <w:szCs w:val="22"/>
        </w:rPr>
        <w:t xml:space="preserve"> will increase </w:t>
      </w:r>
      <w:r w:rsidR="00755BA0">
        <w:rPr>
          <w:rFonts w:ascii="Palatino Linotype" w:hAnsi="Palatino Linotype"/>
          <w:sz w:val="22"/>
          <w:szCs w:val="22"/>
        </w:rPr>
        <w:t xml:space="preserve">the </w:t>
      </w:r>
      <w:r w:rsidR="00C0594D" w:rsidRPr="001C4071">
        <w:rPr>
          <w:rFonts w:ascii="Palatino Linotype" w:hAnsi="Palatino Linotype"/>
          <w:sz w:val="22"/>
          <w:szCs w:val="22"/>
        </w:rPr>
        <w:t>effectiveness of</w:t>
      </w:r>
      <w:r w:rsidR="00755BA0">
        <w:rPr>
          <w:rFonts w:ascii="Palatino Linotype" w:hAnsi="Palatino Linotype"/>
          <w:sz w:val="22"/>
          <w:szCs w:val="22"/>
        </w:rPr>
        <w:t xml:space="preserve"> the</w:t>
      </w:r>
      <w:r w:rsidR="00C0594D" w:rsidRPr="001C4071">
        <w:rPr>
          <w:rFonts w:ascii="Palatino Linotype" w:hAnsi="Palatino Linotype"/>
          <w:sz w:val="22"/>
          <w:szCs w:val="22"/>
        </w:rPr>
        <w:t xml:space="preserve"> </w:t>
      </w:r>
      <w:r w:rsidR="009370E9">
        <w:rPr>
          <w:rFonts w:ascii="Palatino Linotype" w:hAnsi="Palatino Linotype"/>
          <w:sz w:val="22"/>
          <w:szCs w:val="22"/>
        </w:rPr>
        <w:t xml:space="preserve">development and execution of the </w:t>
      </w:r>
      <w:r w:rsidR="00D92E70" w:rsidRPr="001C4071">
        <w:rPr>
          <w:rFonts w:ascii="Palatino Linotype" w:hAnsi="Palatino Linotype"/>
          <w:sz w:val="22"/>
          <w:szCs w:val="22"/>
        </w:rPr>
        <w:t>ICA</w:t>
      </w:r>
      <w:r w:rsidR="00C0594D" w:rsidRPr="001C4071">
        <w:rPr>
          <w:rFonts w:ascii="Palatino Linotype" w:hAnsi="Palatino Linotype"/>
          <w:sz w:val="22"/>
          <w:szCs w:val="22"/>
        </w:rPr>
        <w:t>.</w:t>
      </w:r>
      <w:r w:rsidR="00CB1545" w:rsidRPr="001C4071">
        <w:rPr>
          <w:rFonts w:ascii="Palatino Linotype" w:hAnsi="Palatino Linotype"/>
          <w:sz w:val="22"/>
          <w:szCs w:val="22"/>
        </w:rPr>
        <w:t xml:space="preserve"> </w:t>
      </w:r>
    </w:p>
    <w:p w14:paraId="6CB258CB" w14:textId="132FEA3A" w:rsidR="005429C0" w:rsidRDefault="005429C0" w:rsidP="005429C0">
      <w:pPr>
        <w:spacing w:before="120" w:after="120"/>
        <w:rPr>
          <w:rFonts w:ascii="Palatino Linotype" w:hAnsi="Palatino Linotype"/>
          <w:sz w:val="22"/>
          <w:szCs w:val="22"/>
        </w:rPr>
      </w:pPr>
      <w:r>
        <w:rPr>
          <w:rFonts w:ascii="Palatino Linotype" w:hAnsi="Palatino Linotype"/>
          <w:sz w:val="22"/>
          <w:szCs w:val="22"/>
        </w:rPr>
        <w:t xml:space="preserve">The TCA project is in alignment with IESO’s priority as outlined in Peter Gregg’s </w:t>
      </w:r>
      <w:r w:rsidR="00860C12">
        <w:rPr>
          <w:rFonts w:ascii="Palatino Linotype" w:hAnsi="Palatino Linotype"/>
          <w:sz w:val="22"/>
          <w:szCs w:val="22"/>
        </w:rPr>
        <w:t xml:space="preserve">January 2019 </w:t>
      </w:r>
      <w:r>
        <w:rPr>
          <w:rFonts w:ascii="Palatino Linotype" w:hAnsi="Palatino Linotype"/>
          <w:sz w:val="22"/>
          <w:szCs w:val="22"/>
        </w:rPr>
        <w:t>speech</w:t>
      </w:r>
      <w:r>
        <w:rPr>
          <w:rStyle w:val="FootnoteReference"/>
          <w:rFonts w:ascii="Palatino Linotype" w:hAnsi="Palatino Linotype"/>
          <w:sz w:val="22"/>
          <w:szCs w:val="22"/>
        </w:rPr>
        <w:footnoteReference w:id="2"/>
      </w:r>
      <w:r>
        <w:rPr>
          <w:rFonts w:ascii="Palatino Linotype" w:hAnsi="Palatino Linotype"/>
          <w:sz w:val="22"/>
          <w:szCs w:val="22"/>
        </w:rPr>
        <w:t xml:space="preserve"> to the Ontario Energy Network, specifically:</w:t>
      </w:r>
    </w:p>
    <w:p w14:paraId="6CB258CC" w14:textId="77777777" w:rsidR="00CB1545" w:rsidRDefault="005429C0" w:rsidP="005429C0">
      <w:pPr>
        <w:spacing w:before="120" w:after="120"/>
        <w:ind w:left="720"/>
        <w:rPr>
          <w:rFonts w:ascii="Palatino Linotype" w:hAnsi="Palatino Linotype"/>
          <w:sz w:val="22"/>
          <w:szCs w:val="22"/>
        </w:rPr>
      </w:pPr>
      <w:r>
        <w:rPr>
          <w:rFonts w:ascii="Palatino Linotype" w:hAnsi="Palatino Linotype"/>
          <w:sz w:val="22"/>
          <w:szCs w:val="22"/>
        </w:rPr>
        <w:t>“</w:t>
      </w:r>
      <w:r w:rsidRPr="005429C0">
        <w:rPr>
          <w:rFonts w:ascii="Palatino Linotype" w:hAnsi="Palatino Linotype"/>
          <w:sz w:val="22"/>
          <w:szCs w:val="22"/>
        </w:rPr>
        <w:t>In December, we will run an auction to meet capacity needs for 2020. Our goal is to have that auction and subsequent auctions build on the current demand response auction including allowing more resource types to compete. This would provide generators whose contracts are expiring over the next few years an opportunity to compete in our electricity market and help meet emerging capacity needs.</w:t>
      </w:r>
      <w:r>
        <w:rPr>
          <w:rFonts w:ascii="Palatino Linotype" w:hAnsi="Palatino Linotype"/>
          <w:sz w:val="22"/>
          <w:szCs w:val="22"/>
        </w:rPr>
        <w:t>”</w:t>
      </w:r>
    </w:p>
    <w:p w14:paraId="6CB258CD" w14:textId="7B2F387D" w:rsidR="00273339" w:rsidRDefault="00273339" w:rsidP="00273339">
      <w:pPr>
        <w:spacing w:before="120" w:after="120"/>
        <w:rPr>
          <w:rFonts w:ascii="Palatino Linotype" w:hAnsi="Palatino Linotype"/>
          <w:sz w:val="22"/>
          <w:szCs w:val="22"/>
        </w:rPr>
      </w:pPr>
      <w:r>
        <w:rPr>
          <w:rFonts w:ascii="Palatino Linotype" w:hAnsi="Palatino Linotype"/>
          <w:sz w:val="22"/>
          <w:szCs w:val="22"/>
        </w:rPr>
        <w:t xml:space="preserve">The </w:t>
      </w:r>
      <w:r w:rsidR="00860C12">
        <w:rPr>
          <w:rFonts w:ascii="Palatino Linotype" w:hAnsi="Palatino Linotype"/>
          <w:sz w:val="22"/>
          <w:szCs w:val="22"/>
        </w:rPr>
        <w:t xml:space="preserve">TCA </w:t>
      </w:r>
      <w:r>
        <w:rPr>
          <w:rFonts w:ascii="Palatino Linotype" w:hAnsi="Palatino Linotype"/>
          <w:sz w:val="22"/>
          <w:szCs w:val="22"/>
        </w:rPr>
        <w:t>project will be conducted in two phases in order to incrementally increase auction participation and incorporate new design features starting in the 2020 summer commitment period:</w:t>
      </w:r>
    </w:p>
    <w:p w14:paraId="6CB258CE" w14:textId="6F1E62EB" w:rsidR="00273339" w:rsidRPr="00FC7441" w:rsidRDefault="00273339" w:rsidP="008628D0">
      <w:pPr>
        <w:pStyle w:val="ListParagraph"/>
        <w:numPr>
          <w:ilvl w:val="0"/>
          <w:numId w:val="36"/>
        </w:numPr>
        <w:spacing w:before="120" w:after="120"/>
        <w:rPr>
          <w:color w:val="000000"/>
        </w:rPr>
      </w:pPr>
      <w:r w:rsidRPr="00FC7441">
        <w:rPr>
          <w:rFonts w:ascii="Palatino Linotype" w:hAnsi="Palatino Linotype"/>
          <w:sz w:val="22"/>
          <w:szCs w:val="22"/>
        </w:rPr>
        <w:lastRenderedPageBreak/>
        <w:t xml:space="preserve">TCA </w:t>
      </w:r>
      <w:r w:rsidRPr="00FC7441">
        <w:rPr>
          <w:rFonts w:ascii="Palatino Linotype" w:hAnsi="Palatino Linotype"/>
          <w:b/>
          <w:sz w:val="22"/>
          <w:szCs w:val="22"/>
        </w:rPr>
        <w:t xml:space="preserve">Phase 1 </w:t>
      </w:r>
      <w:r w:rsidRPr="00FC7441">
        <w:rPr>
          <w:rFonts w:ascii="Palatino Linotype" w:hAnsi="Palatino Linotype"/>
          <w:sz w:val="22"/>
          <w:szCs w:val="22"/>
        </w:rPr>
        <w:t xml:space="preserve">will enable dispatchable, </w:t>
      </w:r>
      <w:r w:rsidR="00860C12">
        <w:rPr>
          <w:rFonts w:ascii="Palatino Linotype" w:hAnsi="Palatino Linotype"/>
          <w:sz w:val="22"/>
          <w:szCs w:val="22"/>
        </w:rPr>
        <w:t>n</w:t>
      </w:r>
      <w:r>
        <w:rPr>
          <w:rFonts w:ascii="Palatino Linotype" w:hAnsi="Palatino Linotype"/>
          <w:sz w:val="22"/>
          <w:szCs w:val="22"/>
        </w:rPr>
        <w:t>on</w:t>
      </w:r>
      <w:r w:rsidR="00860C12">
        <w:rPr>
          <w:rFonts w:ascii="Palatino Linotype" w:hAnsi="Palatino Linotype"/>
          <w:sz w:val="22"/>
          <w:szCs w:val="22"/>
        </w:rPr>
        <w:t>-</w:t>
      </w:r>
      <w:r>
        <w:rPr>
          <w:rFonts w:ascii="Palatino Linotype" w:hAnsi="Palatino Linotype"/>
          <w:sz w:val="22"/>
          <w:szCs w:val="22"/>
        </w:rPr>
        <w:t>committed</w:t>
      </w:r>
      <w:r>
        <w:rPr>
          <w:rStyle w:val="FootnoteReference"/>
          <w:rFonts w:ascii="Palatino Linotype" w:hAnsi="Palatino Linotype"/>
          <w:sz w:val="22"/>
          <w:szCs w:val="22"/>
        </w:rPr>
        <w:footnoteReference w:id="3"/>
      </w:r>
      <w:r>
        <w:rPr>
          <w:rFonts w:ascii="Palatino Linotype" w:hAnsi="Palatino Linotype"/>
          <w:sz w:val="22"/>
          <w:szCs w:val="22"/>
        </w:rPr>
        <w:t xml:space="preserve"> </w:t>
      </w:r>
      <w:r w:rsidRPr="00FC7441">
        <w:rPr>
          <w:rFonts w:ascii="Palatino Linotype" w:hAnsi="Palatino Linotype"/>
          <w:sz w:val="22"/>
          <w:szCs w:val="22"/>
        </w:rPr>
        <w:t xml:space="preserve">generators in addition to current </w:t>
      </w:r>
      <w:r>
        <w:rPr>
          <w:rFonts w:ascii="Palatino Linotype" w:hAnsi="Palatino Linotype"/>
          <w:sz w:val="22"/>
          <w:szCs w:val="22"/>
        </w:rPr>
        <w:t>Demand Response (</w:t>
      </w:r>
      <w:r w:rsidRPr="00FC7441">
        <w:rPr>
          <w:rFonts w:ascii="Palatino Linotype" w:hAnsi="Palatino Linotype"/>
          <w:sz w:val="22"/>
          <w:szCs w:val="22"/>
        </w:rPr>
        <w:t>DR</w:t>
      </w:r>
      <w:r>
        <w:rPr>
          <w:rFonts w:ascii="Palatino Linotype" w:hAnsi="Palatino Linotype"/>
          <w:sz w:val="22"/>
          <w:szCs w:val="22"/>
        </w:rPr>
        <w:t>)</w:t>
      </w:r>
      <w:r w:rsidRPr="00FC7441">
        <w:rPr>
          <w:rFonts w:ascii="Palatino Linotype" w:hAnsi="Palatino Linotype"/>
          <w:sz w:val="22"/>
          <w:szCs w:val="22"/>
        </w:rPr>
        <w:t xml:space="preserve"> participants for the December 2019 TCA, with capacity delivery for the summer 2020 and winter 2021 commitment periods.</w:t>
      </w:r>
      <w:r>
        <w:rPr>
          <w:rFonts w:ascii="Palatino Linotype" w:hAnsi="Palatino Linotype"/>
          <w:sz w:val="22"/>
          <w:szCs w:val="22"/>
        </w:rPr>
        <w:t xml:space="preserve"> </w:t>
      </w:r>
    </w:p>
    <w:p w14:paraId="6CB258CF" w14:textId="7BC5B8C5" w:rsidR="00273339" w:rsidRPr="00C6177F" w:rsidRDefault="00273339" w:rsidP="008628D0">
      <w:pPr>
        <w:pStyle w:val="ListParagraph"/>
        <w:numPr>
          <w:ilvl w:val="0"/>
          <w:numId w:val="36"/>
        </w:numPr>
        <w:spacing w:before="120" w:after="120"/>
        <w:rPr>
          <w:color w:val="000000"/>
        </w:rPr>
      </w:pPr>
      <w:r w:rsidRPr="00FC7441">
        <w:rPr>
          <w:rFonts w:ascii="Palatino Linotype" w:hAnsi="Palatino Linotype"/>
          <w:sz w:val="22"/>
          <w:szCs w:val="22"/>
        </w:rPr>
        <w:t xml:space="preserve">TCA </w:t>
      </w:r>
      <w:r w:rsidRPr="00FC7441">
        <w:rPr>
          <w:rFonts w:ascii="Palatino Linotype" w:hAnsi="Palatino Linotype"/>
          <w:b/>
          <w:color w:val="000000"/>
          <w:sz w:val="22"/>
          <w:szCs w:val="22"/>
        </w:rPr>
        <w:t xml:space="preserve">Phase 2 </w:t>
      </w:r>
      <w:r w:rsidRPr="00FC7441">
        <w:rPr>
          <w:rFonts w:ascii="Palatino Linotype" w:hAnsi="Palatino Linotype"/>
          <w:color w:val="000000"/>
          <w:sz w:val="22"/>
          <w:szCs w:val="22"/>
        </w:rPr>
        <w:t>will enable additional resources</w:t>
      </w:r>
      <w:r>
        <w:rPr>
          <w:rFonts w:ascii="Palatino Linotype" w:hAnsi="Palatino Linotype"/>
          <w:color w:val="000000"/>
          <w:sz w:val="22"/>
          <w:szCs w:val="22"/>
        </w:rPr>
        <w:t>,</w:t>
      </w:r>
      <w:r w:rsidRPr="00FC7441">
        <w:rPr>
          <w:rFonts w:ascii="Palatino Linotype" w:hAnsi="Palatino Linotype"/>
          <w:color w:val="000000"/>
          <w:sz w:val="22"/>
          <w:szCs w:val="22"/>
        </w:rPr>
        <w:t xml:space="preserve"> factoring project effort against capacity value</w:t>
      </w:r>
      <w:r>
        <w:rPr>
          <w:rFonts w:ascii="Palatino Linotype" w:hAnsi="Palatino Linotype"/>
          <w:color w:val="000000"/>
          <w:sz w:val="22"/>
          <w:szCs w:val="22"/>
        </w:rPr>
        <w:t>,</w:t>
      </w:r>
      <w:r w:rsidRPr="00FC7441">
        <w:rPr>
          <w:rFonts w:ascii="Palatino Linotype" w:hAnsi="Palatino Linotype"/>
          <w:color w:val="000000"/>
          <w:sz w:val="22"/>
          <w:szCs w:val="22"/>
        </w:rPr>
        <w:t xml:space="preserve"> for subsequent TCAs starting Q2-2020.  TCAs are likely to take place approximately semi-annually.</w:t>
      </w:r>
      <w:r>
        <w:rPr>
          <w:rFonts w:ascii="Palatino Linotype" w:hAnsi="Palatino Linotype"/>
          <w:color w:val="000000"/>
          <w:sz w:val="22"/>
          <w:szCs w:val="22"/>
        </w:rPr>
        <w:t xml:space="preserve">  This will include enhancement to the capacity qualification process and enabling imports and self-schedulers participants.</w:t>
      </w:r>
    </w:p>
    <w:p w14:paraId="6CB258D0" w14:textId="695EB902" w:rsidR="008429A0" w:rsidRDefault="008429A0">
      <w:pPr>
        <w:spacing w:before="0"/>
        <w:rPr>
          <w:rFonts w:ascii="Palatino Linotype" w:hAnsi="Palatino Linotype"/>
          <w:sz w:val="22"/>
          <w:szCs w:val="22"/>
        </w:rPr>
      </w:pPr>
    </w:p>
    <w:p w14:paraId="16CEB554" w14:textId="77777777" w:rsidR="000C12D3" w:rsidRDefault="000C12D3">
      <w:pPr>
        <w:spacing w:before="0"/>
        <w:rPr>
          <w:rFonts w:ascii="Palatino Linotype" w:hAnsi="Palatino Linotype"/>
          <w:sz w:val="22"/>
          <w:szCs w:val="22"/>
        </w:rPr>
      </w:pPr>
      <w:r>
        <w:rPr>
          <w:rFonts w:ascii="Palatino Linotype" w:hAnsi="Palatino Linotype"/>
          <w:sz w:val="22"/>
          <w:szCs w:val="22"/>
        </w:rPr>
        <w:br w:type="page"/>
      </w:r>
    </w:p>
    <w:p w14:paraId="6CB258D1" w14:textId="71EC7197" w:rsidR="001F5ED9" w:rsidRDefault="00447FFE" w:rsidP="00B54C5B">
      <w:pPr>
        <w:spacing w:before="120" w:after="120"/>
        <w:rPr>
          <w:rFonts w:ascii="Palatino Linotype" w:hAnsi="Palatino Linotype"/>
          <w:sz w:val="22"/>
          <w:szCs w:val="22"/>
        </w:rPr>
      </w:pPr>
      <w:r>
        <w:rPr>
          <w:rFonts w:ascii="Palatino Linotype" w:hAnsi="Palatino Linotype"/>
          <w:sz w:val="22"/>
          <w:szCs w:val="22"/>
        </w:rPr>
        <w:lastRenderedPageBreak/>
        <w:t xml:space="preserve">The </w:t>
      </w:r>
      <w:r w:rsidR="00991BD8">
        <w:rPr>
          <w:rFonts w:ascii="Palatino Linotype" w:hAnsi="Palatino Linotype"/>
          <w:sz w:val="22"/>
          <w:szCs w:val="22"/>
        </w:rPr>
        <w:t xml:space="preserve">total </w:t>
      </w:r>
      <w:r w:rsidR="001F5ED9">
        <w:rPr>
          <w:rFonts w:ascii="Palatino Linotype" w:hAnsi="Palatino Linotype"/>
          <w:sz w:val="22"/>
          <w:szCs w:val="22"/>
        </w:rPr>
        <w:t xml:space="preserve">estimated </w:t>
      </w:r>
      <w:r w:rsidR="00991BD8">
        <w:rPr>
          <w:rFonts w:ascii="Palatino Linotype" w:hAnsi="Palatino Linotype"/>
          <w:sz w:val="22"/>
          <w:szCs w:val="22"/>
        </w:rPr>
        <w:t>cost</w:t>
      </w:r>
      <w:r w:rsidR="001F5ED9">
        <w:rPr>
          <w:rFonts w:ascii="Palatino Linotype" w:hAnsi="Palatino Linotype"/>
          <w:sz w:val="22"/>
          <w:szCs w:val="22"/>
        </w:rPr>
        <w:t xml:space="preserve"> for both phases of the work</w:t>
      </w:r>
      <w:r w:rsidR="006B6BE8">
        <w:rPr>
          <w:rFonts w:ascii="Palatino Linotype" w:hAnsi="Palatino Linotype"/>
          <w:sz w:val="22"/>
          <w:szCs w:val="22"/>
        </w:rPr>
        <w:t>, without contingency,</w:t>
      </w:r>
      <w:r w:rsidR="00991BD8">
        <w:rPr>
          <w:rFonts w:ascii="Palatino Linotype" w:hAnsi="Palatino Linotype"/>
          <w:sz w:val="22"/>
          <w:szCs w:val="22"/>
        </w:rPr>
        <w:t xml:space="preserve"> is </w:t>
      </w:r>
      <w:r w:rsidR="00224D1E">
        <w:rPr>
          <w:rFonts w:ascii="Palatino Linotype" w:hAnsi="Palatino Linotype"/>
          <w:sz w:val="22"/>
          <w:szCs w:val="22"/>
        </w:rPr>
        <w:t>$7.3</w:t>
      </w:r>
      <w:r w:rsidR="00FC542A">
        <w:rPr>
          <w:rFonts w:ascii="Palatino Linotype" w:hAnsi="Palatino Linotype"/>
          <w:sz w:val="22"/>
          <w:szCs w:val="22"/>
        </w:rPr>
        <w:t>8</w:t>
      </w:r>
      <w:r w:rsidR="00224D1E">
        <w:rPr>
          <w:rFonts w:ascii="Palatino Linotype" w:hAnsi="Palatino Linotype"/>
          <w:sz w:val="22"/>
          <w:szCs w:val="22"/>
        </w:rPr>
        <w:t>M</w:t>
      </w:r>
      <w:r w:rsidR="00F70D4C">
        <w:rPr>
          <w:rFonts w:ascii="Palatino Linotype" w:hAnsi="Palatino Linotype"/>
          <w:sz w:val="22"/>
          <w:szCs w:val="22"/>
        </w:rPr>
        <w:t>.</w:t>
      </w:r>
      <w:r w:rsidR="001F5ED9">
        <w:rPr>
          <w:rFonts w:ascii="Palatino Linotype" w:hAnsi="Palatino Linotype"/>
          <w:sz w:val="22"/>
          <w:szCs w:val="22"/>
        </w:rPr>
        <w:t xml:space="preserve"> </w:t>
      </w:r>
      <w:r w:rsidR="00F70D4C">
        <w:rPr>
          <w:rFonts w:ascii="Palatino Linotype" w:hAnsi="Palatino Linotype"/>
          <w:sz w:val="22"/>
          <w:szCs w:val="22"/>
        </w:rPr>
        <w:t>This</w:t>
      </w:r>
      <w:r w:rsidR="006F7FD4">
        <w:rPr>
          <w:rFonts w:ascii="Palatino Linotype" w:hAnsi="Palatino Linotype"/>
          <w:sz w:val="22"/>
          <w:szCs w:val="22"/>
        </w:rPr>
        <w:t xml:space="preserve"> </w:t>
      </w:r>
      <w:r w:rsidR="00C07986">
        <w:rPr>
          <w:rFonts w:ascii="Palatino Linotype" w:hAnsi="Palatino Linotype"/>
          <w:sz w:val="22"/>
          <w:szCs w:val="22"/>
        </w:rPr>
        <w:t xml:space="preserve">includes an incremental cost to the IESO of </w:t>
      </w:r>
      <w:r w:rsidR="003F0C43">
        <w:rPr>
          <w:rFonts w:ascii="Palatino Linotype" w:hAnsi="Palatino Linotype"/>
          <w:sz w:val="22"/>
          <w:szCs w:val="22"/>
        </w:rPr>
        <w:t>approximately</w:t>
      </w:r>
      <w:r w:rsidR="006F7FD4">
        <w:rPr>
          <w:rFonts w:ascii="Palatino Linotype" w:hAnsi="Palatino Linotype"/>
          <w:sz w:val="22"/>
          <w:szCs w:val="22"/>
        </w:rPr>
        <w:t xml:space="preserve"> </w:t>
      </w:r>
      <w:r w:rsidR="00FC542A">
        <w:rPr>
          <w:rFonts w:ascii="Palatino Linotype" w:hAnsi="Palatino Linotype"/>
          <w:sz w:val="22"/>
          <w:szCs w:val="22"/>
        </w:rPr>
        <w:t>$1.6M</w:t>
      </w:r>
      <w:r w:rsidR="00944F57">
        <w:rPr>
          <w:rFonts w:ascii="Palatino Linotype" w:hAnsi="Palatino Linotype"/>
          <w:sz w:val="22"/>
          <w:szCs w:val="22"/>
        </w:rPr>
        <w:t xml:space="preserve"> in external vendor costs</w:t>
      </w:r>
      <w:r w:rsidR="006F7FD4">
        <w:rPr>
          <w:rFonts w:ascii="Palatino Linotype" w:hAnsi="Palatino Linotype"/>
          <w:sz w:val="22"/>
          <w:szCs w:val="22"/>
        </w:rPr>
        <w:t xml:space="preserve"> </w:t>
      </w:r>
      <w:r w:rsidR="00944F57">
        <w:rPr>
          <w:rFonts w:ascii="Palatino Linotype" w:hAnsi="Palatino Linotype"/>
          <w:sz w:val="22"/>
          <w:szCs w:val="22"/>
        </w:rPr>
        <w:t xml:space="preserve">and approximately $2.5M in IESO </w:t>
      </w:r>
      <w:proofErr w:type="spellStart"/>
      <w:r w:rsidR="00944F57">
        <w:rPr>
          <w:rFonts w:ascii="Palatino Linotype" w:hAnsi="Palatino Linotype"/>
          <w:sz w:val="22"/>
          <w:szCs w:val="22"/>
        </w:rPr>
        <w:t>labour</w:t>
      </w:r>
      <w:proofErr w:type="spellEnd"/>
      <w:r w:rsidR="00944F57">
        <w:rPr>
          <w:rFonts w:ascii="Palatino Linotype" w:hAnsi="Palatino Linotype"/>
          <w:sz w:val="22"/>
          <w:szCs w:val="22"/>
        </w:rPr>
        <w:t xml:space="preserve"> (</w:t>
      </w:r>
      <w:r w:rsidR="006F7FD4">
        <w:rPr>
          <w:rFonts w:ascii="Palatino Linotype" w:hAnsi="Palatino Linotype"/>
          <w:sz w:val="22"/>
          <w:szCs w:val="22"/>
        </w:rPr>
        <w:t>five FTE</w:t>
      </w:r>
      <w:r w:rsidR="00C07986">
        <w:rPr>
          <w:rFonts w:ascii="Palatino Linotype" w:hAnsi="Palatino Linotype"/>
          <w:sz w:val="22"/>
          <w:szCs w:val="22"/>
        </w:rPr>
        <w:t>s</w:t>
      </w:r>
      <w:r w:rsidR="00944F57">
        <w:rPr>
          <w:rFonts w:ascii="Palatino Linotype" w:hAnsi="Palatino Linotype"/>
          <w:sz w:val="22"/>
          <w:szCs w:val="22"/>
        </w:rPr>
        <w:t>)</w:t>
      </w:r>
      <w:r w:rsidR="006F7FD4">
        <w:rPr>
          <w:rFonts w:ascii="Palatino Linotype" w:hAnsi="Palatino Linotype"/>
          <w:sz w:val="22"/>
          <w:szCs w:val="22"/>
        </w:rPr>
        <w:t xml:space="preserve">. </w:t>
      </w:r>
      <w:r w:rsidR="001F5ED9">
        <w:rPr>
          <w:rFonts w:ascii="Palatino Linotype" w:hAnsi="Palatino Linotype"/>
          <w:sz w:val="22"/>
          <w:szCs w:val="22"/>
        </w:rPr>
        <w:t xml:space="preserve"> </w:t>
      </w:r>
      <w:r w:rsidR="00C07986">
        <w:rPr>
          <w:rFonts w:ascii="Palatino Linotype" w:hAnsi="Palatino Linotype"/>
          <w:sz w:val="22"/>
          <w:szCs w:val="22"/>
        </w:rPr>
        <w:t xml:space="preserve">All other costs are expected to be composed of re-allocated IESO </w:t>
      </w:r>
      <w:proofErr w:type="spellStart"/>
      <w:r w:rsidR="00C07986">
        <w:rPr>
          <w:rFonts w:ascii="Palatino Linotype" w:hAnsi="Palatino Linotype"/>
          <w:sz w:val="22"/>
          <w:szCs w:val="22"/>
        </w:rPr>
        <w:t>labour</w:t>
      </w:r>
      <w:proofErr w:type="spellEnd"/>
      <w:r w:rsidR="00C07986">
        <w:rPr>
          <w:rFonts w:ascii="Palatino Linotype" w:hAnsi="Palatino Linotype"/>
          <w:sz w:val="22"/>
          <w:szCs w:val="22"/>
        </w:rPr>
        <w:t xml:space="preserve">.  </w:t>
      </w:r>
      <w:r w:rsidR="001F5ED9">
        <w:rPr>
          <w:rFonts w:ascii="Palatino Linotype" w:hAnsi="Palatino Linotype"/>
          <w:sz w:val="22"/>
          <w:szCs w:val="22"/>
        </w:rPr>
        <w:t>A detailed breakdown is shown in the table below</w:t>
      </w:r>
    </w:p>
    <w:p w14:paraId="3CEA0AA8" w14:textId="77777777" w:rsidR="006C6656" w:rsidRDefault="006C6656" w:rsidP="00B54C5B">
      <w:pPr>
        <w:spacing w:before="120" w:after="120"/>
        <w:rPr>
          <w:rFonts w:ascii="Palatino Linotype" w:hAnsi="Palatino Linotype"/>
          <w:sz w:val="22"/>
          <w:szCs w:val="22"/>
        </w:rPr>
      </w:pPr>
    </w:p>
    <w:tbl>
      <w:tblPr>
        <w:tblStyle w:val="TableGrid"/>
        <w:tblW w:w="0" w:type="auto"/>
        <w:tblLook w:val="04A0" w:firstRow="1" w:lastRow="0" w:firstColumn="1" w:lastColumn="0" w:noHBand="0" w:noVBand="1"/>
      </w:tblPr>
      <w:tblGrid>
        <w:gridCol w:w="1211"/>
        <w:gridCol w:w="1109"/>
        <w:gridCol w:w="1436"/>
        <w:gridCol w:w="1116"/>
        <w:gridCol w:w="1096"/>
        <w:gridCol w:w="1436"/>
        <w:gridCol w:w="1099"/>
        <w:gridCol w:w="1073"/>
      </w:tblGrid>
      <w:tr w:rsidR="001F5ED9" w14:paraId="6CB258D6" w14:textId="77777777" w:rsidTr="006C6656">
        <w:tc>
          <w:tcPr>
            <w:tcW w:w="1077" w:type="dxa"/>
            <w:tcBorders>
              <w:bottom w:val="nil"/>
            </w:tcBorders>
          </w:tcPr>
          <w:p w14:paraId="6CB258D2" w14:textId="77777777" w:rsidR="001F5ED9" w:rsidRDefault="001F5ED9" w:rsidP="00B54C5B">
            <w:pPr>
              <w:spacing w:before="120" w:after="120"/>
              <w:rPr>
                <w:rFonts w:ascii="Palatino Linotype" w:hAnsi="Palatino Linotype"/>
                <w:sz w:val="22"/>
                <w:szCs w:val="22"/>
              </w:rPr>
            </w:pPr>
          </w:p>
        </w:tc>
        <w:tc>
          <w:tcPr>
            <w:tcW w:w="3728" w:type="dxa"/>
            <w:gridSpan w:val="3"/>
          </w:tcPr>
          <w:p w14:paraId="6CB258D3"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Phase 1</w:t>
            </w:r>
          </w:p>
        </w:tc>
        <w:tc>
          <w:tcPr>
            <w:tcW w:w="3694" w:type="dxa"/>
            <w:gridSpan w:val="3"/>
          </w:tcPr>
          <w:p w14:paraId="6CB258D4"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Phase 2</w:t>
            </w:r>
          </w:p>
        </w:tc>
        <w:tc>
          <w:tcPr>
            <w:tcW w:w="1077" w:type="dxa"/>
            <w:vMerge w:val="restart"/>
          </w:tcPr>
          <w:p w14:paraId="6CB258D5" w14:textId="77777777" w:rsidR="001F5ED9" w:rsidRDefault="00B46C76" w:rsidP="00B75957">
            <w:pPr>
              <w:spacing w:before="120" w:after="120"/>
              <w:jc w:val="center"/>
              <w:rPr>
                <w:rFonts w:ascii="Palatino Linotype" w:hAnsi="Palatino Linotype"/>
                <w:sz w:val="22"/>
                <w:szCs w:val="22"/>
              </w:rPr>
            </w:pPr>
            <w:r>
              <w:rPr>
                <w:rFonts w:ascii="Palatino Linotype" w:hAnsi="Palatino Linotype"/>
                <w:sz w:val="22"/>
                <w:szCs w:val="22"/>
              </w:rPr>
              <w:t xml:space="preserve">Grand </w:t>
            </w:r>
            <w:r w:rsidR="001F5ED9">
              <w:rPr>
                <w:rFonts w:ascii="Palatino Linotype" w:hAnsi="Palatino Linotype"/>
                <w:sz w:val="22"/>
                <w:szCs w:val="22"/>
              </w:rPr>
              <w:t>Total</w:t>
            </w:r>
          </w:p>
        </w:tc>
      </w:tr>
      <w:tr w:rsidR="00B9576F" w14:paraId="6CB258E0" w14:textId="77777777" w:rsidTr="006C6656">
        <w:tc>
          <w:tcPr>
            <w:tcW w:w="1077" w:type="dxa"/>
            <w:tcBorders>
              <w:top w:val="nil"/>
            </w:tcBorders>
          </w:tcPr>
          <w:p w14:paraId="6CB258D7" w14:textId="77777777" w:rsidR="001F5ED9" w:rsidRDefault="001F5ED9" w:rsidP="00B54C5B">
            <w:pPr>
              <w:spacing w:before="120" w:after="120"/>
              <w:rPr>
                <w:rFonts w:ascii="Palatino Linotype" w:hAnsi="Palatino Linotype"/>
                <w:sz w:val="22"/>
                <w:szCs w:val="22"/>
              </w:rPr>
            </w:pPr>
          </w:p>
        </w:tc>
        <w:tc>
          <w:tcPr>
            <w:tcW w:w="1130" w:type="dxa"/>
          </w:tcPr>
          <w:p w14:paraId="6CB258D8"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Cost</w:t>
            </w:r>
          </w:p>
        </w:tc>
        <w:tc>
          <w:tcPr>
            <w:tcW w:w="1460" w:type="dxa"/>
          </w:tcPr>
          <w:p w14:paraId="6CB258D9" w14:textId="77777777" w:rsidR="001F5ED9" w:rsidRPr="00B75957" w:rsidRDefault="001F5ED9" w:rsidP="00B75957">
            <w:pPr>
              <w:spacing w:before="120" w:after="120"/>
              <w:jc w:val="center"/>
              <w:rPr>
                <w:rFonts w:ascii="Palatino Linotype" w:hAnsi="Palatino Linotype"/>
                <w:sz w:val="18"/>
                <w:szCs w:val="18"/>
              </w:rPr>
            </w:pPr>
            <w:r w:rsidRPr="00B75957">
              <w:rPr>
                <w:rFonts w:ascii="Palatino Linotype" w:hAnsi="Palatino Linotype"/>
                <w:sz w:val="18"/>
                <w:szCs w:val="18"/>
              </w:rPr>
              <w:t>Contingency (20%)</w:t>
            </w:r>
          </w:p>
        </w:tc>
        <w:tc>
          <w:tcPr>
            <w:tcW w:w="1138" w:type="dxa"/>
          </w:tcPr>
          <w:p w14:paraId="6CB258DA"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Total</w:t>
            </w:r>
          </w:p>
        </w:tc>
        <w:tc>
          <w:tcPr>
            <w:tcW w:w="1115" w:type="dxa"/>
          </w:tcPr>
          <w:p w14:paraId="6CB258DB"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Cost</w:t>
            </w:r>
          </w:p>
        </w:tc>
        <w:tc>
          <w:tcPr>
            <w:tcW w:w="1460" w:type="dxa"/>
          </w:tcPr>
          <w:p w14:paraId="6CB258DC" w14:textId="77777777" w:rsidR="001F5ED9" w:rsidRPr="00B75957" w:rsidRDefault="001F5ED9" w:rsidP="00B75957">
            <w:pPr>
              <w:spacing w:before="120" w:after="120"/>
              <w:jc w:val="center"/>
              <w:rPr>
                <w:rFonts w:ascii="Palatino Linotype" w:hAnsi="Palatino Linotype"/>
                <w:sz w:val="18"/>
                <w:szCs w:val="18"/>
              </w:rPr>
            </w:pPr>
            <w:r w:rsidRPr="00B75957">
              <w:rPr>
                <w:rFonts w:ascii="Palatino Linotype" w:hAnsi="Palatino Linotype"/>
                <w:sz w:val="18"/>
                <w:szCs w:val="18"/>
              </w:rPr>
              <w:t>Contingency</w:t>
            </w:r>
          </w:p>
          <w:p w14:paraId="6CB258DD" w14:textId="77777777" w:rsidR="001F5ED9" w:rsidRDefault="001F5ED9" w:rsidP="00B75957">
            <w:pPr>
              <w:spacing w:before="120" w:after="120"/>
              <w:jc w:val="center"/>
              <w:rPr>
                <w:rFonts w:ascii="Palatino Linotype" w:hAnsi="Palatino Linotype"/>
                <w:sz w:val="22"/>
                <w:szCs w:val="22"/>
              </w:rPr>
            </w:pPr>
            <w:r w:rsidRPr="00B75957">
              <w:rPr>
                <w:rFonts w:ascii="Palatino Linotype" w:hAnsi="Palatino Linotype"/>
                <w:sz w:val="18"/>
                <w:szCs w:val="18"/>
              </w:rPr>
              <w:t>(40%)</w:t>
            </w:r>
          </w:p>
        </w:tc>
        <w:tc>
          <w:tcPr>
            <w:tcW w:w="1119" w:type="dxa"/>
          </w:tcPr>
          <w:p w14:paraId="6CB258DE"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Total</w:t>
            </w:r>
          </w:p>
        </w:tc>
        <w:tc>
          <w:tcPr>
            <w:tcW w:w="1077" w:type="dxa"/>
            <w:vMerge/>
          </w:tcPr>
          <w:p w14:paraId="6CB258DF" w14:textId="77777777" w:rsidR="001F5ED9" w:rsidRDefault="001F5ED9" w:rsidP="00B54C5B">
            <w:pPr>
              <w:spacing w:before="120" w:after="120"/>
              <w:rPr>
                <w:rFonts w:ascii="Palatino Linotype" w:hAnsi="Palatino Linotype"/>
                <w:sz w:val="22"/>
                <w:szCs w:val="22"/>
              </w:rPr>
            </w:pPr>
          </w:p>
        </w:tc>
      </w:tr>
      <w:tr w:rsidR="00B9576F" w14:paraId="6CB258E9" w14:textId="77777777" w:rsidTr="001F5ED9">
        <w:tc>
          <w:tcPr>
            <w:tcW w:w="1077" w:type="dxa"/>
          </w:tcPr>
          <w:p w14:paraId="6CB258E1" w14:textId="77777777" w:rsidR="001F5ED9" w:rsidRDefault="001F5ED9" w:rsidP="00B54C5B">
            <w:pPr>
              <w:spacing w:before="120" w:after="120"/>
              <w:rPr>
                <w:rFonts w:ascii="Palatino Linotype" w:hAnsi="Palatino Linotype"/>
                <w:sz w:val="22"/>
                <w:szCs w:val="22"/>
              </w:rPr>
            </w:pPr>
            <w:r>
              <w:rPr>
                <w:rFonts w:ascii="Palatino Linotype" w:hAnsi="Palatino Linotype"/>
                <w:sz w:val="22"/>
                <w:szCs w:val="22"/>
              </w:rPr>
              <w:t>Operating Expense</w:t>
            </w:r>
          </w:p>
        </w:tc>
        <w:tc>
          <w:tcPr>
            <w:tcW w:w="1130" w:type="dxa"/>
          </w:tcPr>
          <w:p w14:paraId="6CB258E2"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$0.62M</w:t>
            </w:r>
          </w:p>
        </w:tc>
        <w:tc>
          <w:tcPr>
            <w:tcW w:w="1460" w:type="dxa"/>
          </w:tcPr>
          <w:p w14:paraId="6CB258E3"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$0.12M</w:t>
            </w:r>
          </w:p>
        </w:tc>
        <w:tc>
          <w:tcPr>
            <w:tcW w:w="1138" w:type="dxa"/>
          </w:tcPr>
          <w:p w14:paraId="6CB258E4"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$0.7</w:t>
            </w:r>
            <w:r w:rsidR="00B9576F">
              <w:rPr>
                <w:rFonts w:ascii="Palatino Linotype" w:hAnsi="Palatino Linotype"/>
                <w:sz w:val="22"/>
                <w:szCs w:val="22"/>
              </w:rPr>
              <w:t>5</w:t>
            </w:r>
            <w:r>
              <w:rPr>
                <w:rFonts w:ascii="Palatino Linotype" w:hAnsi="Palatino Linotype"/>
                <w:sz w:val="22"/>
                <w:szCs w:val="22"/>
              </w:rPr>
              <w:t>M</w:t>
            </w:r>
          </w:p>
        </w:tc>
        <w:tc>
          <w:tcPr>
            <w:tcW w:w="1115" w:type="dxa"/>
          </w:tcPr>
          <w:p w14:paraId="6CB258E5"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$1.34M</w:t>
            </w:r>
          </w:p>
        </w:tc>
        <w:tc>
          <w:tcPr>
            <w:tcW w:w="1460" w:type="dxa"/>
          </w:tcPr>
          <w:p w14:paraId="6CB258E6"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$0.54M</w:t>
            </w:r>
          </w:p>
        </w:tc>
        <w:tc>
          <w:tcPr>
            <w:tcW w:w="1119" w:type="dxa"/>
          </w:tcPr>
          <w:p w14:paraId="6CB258E7" w14:textId="77777777" w:rsidR="001F5ED9" w:rsidRDefault="00B46C76" w:rsidP="00B75957">
            <w:pPr>
              <w:spacing w:before="120" w:after="120"/>
              <w:jc w:val="center"/>
              <w:rPr>
                <w:rFonts w:ascii="Palatino Linotype" w:hAnsi="Palatino Linotype"/>
                <w:sz w:val="22"/>
                <w:szCs w:val="22"/>
              </w:rPr>
            </w:pPr>
            <w:r>
              <w:rPr>
                <w:rFonts w:ascii="Palatino Linotype" w:hAnsi="Palatino Linotype"/>
                <w:sz w:val="22"/>
                <w:szCs w:val="22"/>
              </w:rPr>
              <w:t>$1.88M</w:t>
            </w:r>
          </w:p>
        </w:tc>
        <w:tc>
          <w:tcPr>
            <w:tcW w:w="1077" w:type="dxa"/>
          </w:tcPr>
          <w:p w14:paraId="6CB258E8" w14:textId="77777777" w:rsidR="001F5ED9" w:rsidRDefault="00B46C76" w:rsidP="00B75957">
            <w:pPr>
              <w:spacing w:before="120" w:after="120"/>
              <w:jc w:val="center"/>
              <w:rPr>
                <w:rFonts w:ascii="Palatino Linotype" w:hAnsi="Palatino Linotype"/>
                <w:sz w:val="22"/>
                <w:szCs w:val="22"/>
              </w:rPr>
            </w:pPr>
            <w:r>
              <w:rPr>
                <w:rFonts w:ascii="Palatino Linotype" w:hAnsi="Palatino Linotype"/>
                <w:sz w:val="22"/>
                <w:szCs w:val="22"/>
              </w:rPr>
              <w:t>$2.62M</w:t>
            </w:r>
          </w:p>
        </w:tc>
      </w:tr>
      <w:tr w:rsidR="00B9576F" w14:paraId="6CB258F2" w14:textId="77777777" w:rsidTr="001F5ED9">
        <w:tc>
          <w:tcPr>
            <w:tcW w:w="1077" w:type="dxa"/>
          </w:tcPr>
          <w:p w14:paraId="6CB258EA" w14:textId="77777777" w:rsidR="001F5ED9" w:rsidRDefault="001F5ED9" w:rsidP="00B54C5B">
            <w:pPr>
              <w:spacing w:before="120" w:after="120"/>
              <w:rPr>
                <w:rFonts w:ascii="Palatino Linotype" w:hAnsi="Palatino Linotype"/>
                <w:sz w:val="22"/>
                <w:szCs w:val="22"/>
              </w:rPr>
            </w:pPr>
            <w:r>
              <w:rPr>
                <w:rFonts w:ascii="Palatino Linotype" w:hAnsi="Palatino Linotype"/>
                <w:sz w:val="22"/>
                <w:szCs w:val="22"/>
              </w:rPr>
              <w:t>Capital</w:t>
            </w:r>
          </w:p>
        </w:tc>
        <w:tc>
          <w:tcPr>
            <w:tcW w:w="1130" w:type="dxa"/>
          </w:tcPr>
          <w:p w14:paraId="6CB258EB"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$1.0</w:t>
            </w:r>
            <w:r w:rsidR="00B9576F">
              <w:rPr>
                <w:rFonts w:ascii="Palatino Linotype" w:hAnsi="Palatino Linotype"/>
                <w:sz w:val="22"/>
                <w:szCs w:val="22"/>
              </w:rPr>
              <w:t>5</w:t>
            </w:r>
            <w:r>
              <w:rPr>
                <w:rFonts w:ascii="Palatino Linotype" w:hAnsi="Palatino Linotype"/>
                <w:sz w:val="22"/>
                <w:szCs w:val="22"/>
              </w:rPr>
              <w:t>M</w:t>
            </w:r>
          </w:p>
        </w:tc>
        <w:tc>
          <w:tcPr>
            <w:tcW w:w="1460" w:type="dxa"/>
          </w:tcPr>
          <w:p w14:paraId="6CB258EC"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$0.21</w:t>
            </w:r>
          </w:p>
        </w:tc>
        <w:tc>
          <w:tcPr>
            <w:tcW w:w="1138" w:type="dxa"/>
          </w:tcPr>
          <w:p w14:paraId="6CB258ED"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$1.2</w:t>
            </w:r>
            <w:r w:rsidR="00B9576F">
              <w:rPr>
                <w:rFonts w:ascii="Palatino Linotype" w:hAnsi="Palatino Linotype"/>
                <w:sz w:val="22"/>
                <w:szCs w:val="22"/>
              </w:rPr>
              <w:t>6</w:t>
            </w:r>
            <w:r>
              <w:rPr>
                <w:rFonts w:ascii="Palatino Linotype" w:hAnsi="Palatino Linotype"/>
                <w:sz w:val="22"/>
                <w:szCs w:val="22"/>
              </w:rPr>
              <w:t>M</w:t>
            </w:r>
          </w:p>
        </w:tc>
        <w:tc>
          <w:tcPr>
            <w:tcW w:w="1115" w:type="dxa"/>
          </w:tcPr>
          <w:p w14:paraId="6CB258EE"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$4.3</w:t>
            </w:r>
            <w:r w:rsidR="00B9576F">
              <w:rPr>
                <w:rFonts w:ascii="Palatino Linotype" w:hAnsi="Palatino Linotype"/>
                <w:sz w:val="22"/>
                <w:szCs w:val="22"/>
              </w:rPr>
              <w:t>7</w:t>
            </w:r>
            <w:r>
              <w:rPr>
                <w:rFonts w:ascii="Palatino Linotype" w:hAnsi="Palatino Linotype"/>
                <w:sz w:val="22"/>
                <w:szCs w:val="22"/>
              </w:rPr>
              <w:t>M</w:t>
            </w:r>
          </w:p>
        </w:tc>
        <w:tc>
          <w:tcPr>
            <w:tcW w:w="1460" w:type="dxa"/>
          </w:tcPr>
          <w:p w14:paraId="6CB258EF" w14:textId="77777777" w:rsidR="001F5ED9" w:rsidRDefault="001F5ED9" w:rsidP="00B75957">
            <w:pPr>
              <w:spacing w:before="120" w:after="120"/>
              <w:jc w:val="center"/>
              <w:rPr>
                <w:rFonts w:ascii="Palatino Linotype" w:hAnsi="Palatino Linotype"/>
                <w:sz w:val="22"/>
                <w:szCs w:val="22"/>
              </w:rPr>
            </w:pPr>
            <w:r>
              <w:rPr>
                <w:rFonts w:ascii="Palatino Linotype" w:hAnsi="Palatino Linotype"/>
                <w:sz w:val="22"/>
                <w:szCs w:val="22"/>
              </w:rPr>
              <w:t>$1.7</w:t>
            </w:r>
            <w:r w:rsidR="00B9576F">
              <w:rPr>
                <w:rFonts w:ascii="Palatino Linotype" w:hAnsi="Palatino Linotype"/>
                <w:sz w:val="22"/>
                <w:szCs w:val="22"/>
              </w:rPr>
              <w:t>5</w:t>
            </w:r>
            <w:r w:rsidR="00B46C76">
              <w:rPr>
                <w:rFonts w:ascii="Palatino Linotype" w:hAnsi="Palatino Linotype"/>
                <w:sz w:val="22"/>
                <w:szCs w:val="22"/>
              </w:rPr>
              <w:t>M</w:t>
            </w:r>
          </w:p>
        </w:tc>
        <w:tc>
          <w:tcPr>
            <w:tcW w:w="1119" w:type="dxa"/>
          </w:tcPr>
          <w:p w14:paraId="6CB258F0" w14:textId="77777777" w:rsidR="001F5ED9" w:rsidRDefault="00B46C76" w:rsidP="00B75957">
            <w:pPr>
              <w:spacing w:before="120" w:after="120"/>
              <w:jc w:val="center"/>
              <w:rPr>
                <w:rFonts w:ascii="Palatino Linotype" w:hAnsi="Palatino Linotype"/>
                <w:sz w:val="22"/>
                <w:szCs w:val="22"/>
              </w:rPr>
            </w:pPr>
            <w:r>
              <w:rPr>
                <w:rFonts w:ascii="Palatino Linotype" w:hAnsi="Palatino Linotype"/>
                <w:sz w:val="22"/>
                <w:szCs w:val="22"/>
              </w:rPr>
              <w:t>$6.</w:t>
            </w:r>
            <w:r w:rsidR="00B9576F">
              <w:rPr>
                <w:rFonts w:ascii="Palatino Linotype" w:hAnsi="Palatino Linotype"/>
                <w:sz w:val="22"/>
                <w:szCs w:val="22"/>
              </w:rPr>
              <w:t>12</w:t>
            </w:r>
            <w:r>
              <w:rPr>
                <w:rFonts w:ascii="Palatino Linotype" w:hAnsi="Palatino Linotype"/>
                <w:sz w:val="22"/>
                <w:szCs w:val="22"/>
              </w:rPr>
              <w:t>M</w:t>
            </w:r>
          </w:p>
        </w:tc>
        <w:tc>
          <w:tcPr>
            <w:tcW w:w="1077" w:type="dxa"/>
          </w:tcPr>
          <w:p w14:paraId="6CB258F1" w14:textId="77777777" w:rsidR="001F5ED9" w:rsidRDefault="00B46C76" w:rsidP="00B75957">
            <w:pPr>
              <w:spacing w:before="120" w:after="120"/>
              <w:jc w:val="center"/>
              <w:rPr>
                <w:rFonts w:ascii="Palatino Linotype" w:hAnsi="Palatino Linotype"/>
                <w:sz w:val="22"/>
                <w:szCs w:val="22"/>
              </w:rPr>
            </w:pPr>
            <w:r>
              <w:rPr>
                <w:rFonts w:ascii="Palatino Linotype" w:hAnsi="Palatino Linotype"/>
                <w:sz w:val="22"/>
                <w:szCs w:val="22"/>
              </w:rPr>
              <w:t>$7.3</w:t>
            </w:r>
            <w:r w:rsidR="00B9576F">
              <w:rPr>
                <w:rFonts w:ascii="Palatino Linotype" w:hAnsi="Palatino Linotype"/>
                <w:sz w:val="22"/>
                <w:szCs w:val="22"/>
              </w:rPr>
              <w:t>7</w:t>
            </w:r>
            <w:r>
              <w:rPr>
                <w:rFonts w:ascii="Palatino Linotype" w:hAnsi="Palatino Linotype"/>
                <w:sz w:val="22"/>
                <w:szCs w:val="22"/>
              </w:rPr>
              <w:t>M</w:t>
            </w:r>
          </w:p>
        </w:tc>
      </w:tr>
      <w:tr w:rsidR="00B9576F" w14:paraId="6CB258FB" w14:textId="77777777" w:rsidTr="001F5ED9">
        <w:tc>
          <w:tcPr>
            <w:tcW w:w="1077" w:type="dxa"/>
          </w:tcPr>
          <w:p w14:paraId="6CB258F3" w14:textId="77777777" w:rsidR="001F5ED9" w:rsidRPr="00B75957" w:rsidRDefault="001F5ED9" w:rsidP="00B54C5B">
            <w:pPr>
              <w:spacing w:before="120" w:after="120"/>
              <w:rPr>
                <w:rFonts w:ascii="Palatino Linotype" w:hAnsi="Palatino Linotype"/>
                <w:b/>
                <w:sz w:val="22"/>
                <w:szCs w:val="22"/>
              </w:rPr>
            </w:pPr>
            <w:r w:rsidRPr="00B75957">
              <w:rPr>
                <w:rFonts w:ascii="Palatino Linotype" w:hAnsi="Palatino Linotype"/>
                <w:b/>
                <w:sz w:val="22"/>
                <w:szCs w:val="22"/>
              </w:rPr>
              <w:t>Total</w:t>
            </w:r>
          </w:p>
        </w:tc>
        <w:tc>
          <w:tcPr>
            <w:tcW w:w="1130" w:type="dxa"/>
          </w:tcPr>
          <w:p w14:paraId="6CB258F4" w14:textId="77777777" w:rsidR="001F5ED9" w:rsidRPr="00B75957" w:rsidRDefault="001F5ED9" w:rsidP="00B75957">
            <w:pPr>
              <w:spacing w:before="120" w:after="120"/>
              <w:jc w:val="center"/>
              <w:rPr>
                <w:rFonts w:ascii="Palatino Linotype" w:hAnsi="Palatino Linotype"/>
                <w:b/>
                <w:sz w:val="22"/>
                <w:szCs w:val="22"/>
              </w:rPr>
            </w:pPr>
            <w:r w:rsidRPr="00B75957">
              <w:rPr>
                <w:rFonts w:ascii="Palatino Linotype" w:hAnsi="Palatino Linotype"/>
                <w:b/>
                <w:sz w:val="22"/>
                <w:szCs w:val="22"/>
              </w:rPr>
              <w:t>$1.6</w:t>
            </w:r>
            <w:r w:rsidR="00B9576F">
              <w:rPr>
                <w:rFonts w:ascii="Palatino Linotype" w:hAnsi="Palatino Linotype"/>
                <w:b/>
                <w:sz w:val="22"/>
                <w:szCs w:val="22"/>
              </w:rPr>
              <w:t>7</w:t>
            </w:r>
            <w:r w:rsidRPr="00B75957">
              <w:rPr>
                <w:rFonts w:ascii="Palatino Linotype" w:hAnsi="Palatino Linotype"/>
                <w:b/>
                <w:sz w:val="22"/>
                <w:szCs w:val="22"/>
              </w:rPr>
              <w:t>M</w:t>
            </w:r>
          </w:p>
        </w:tc>
        <w:tc>
          <w:tcPr>
            <w:tcW w:w="1460" w:type="dxa"/>
          </w:tcPr>
          <w:p w14:paraId="6CB258F5" w14:textId="77777777" w:rsidR="001F5ED9" w:rsidRPr="00B75957" w:rsidRDefault="001F5ED9" w:rsidP="00C4604B">
            <w:pPr>
              <w:spacing w:before="120" w:after="120"/>
              <w:jc w:val="center"/>
              <w:rPr>
                <w:rFonts w:ascii="Palatino Linotype" w:hAnsi="Palatino Linotype"/>
                <w:b/>
                <w:sz w:val="22"/>
                <w:szCs w:val="22"/>
              </w:rPr>
            </w:pPr>
            <w:r w:rsidRPr="00B75957">
              <w:rPr>
                <w:rFonts w:ascii="Palatino Linotype" w:hAnsi="Palatino Linotype"/>
                <w:b/>
                <w:sz w:val="22"/>
                <w:szCs w:val="22"/>
              </w:rPr>
              <w:t>$0.33M</w:t>
            </w:r>
          </w:p>
        </w:tc>
        <w:tc>
          <w:tcPr>
            <w:tcW w:w="1138" w:type="dxa"/>
          </w:tcPr>
          <w:p w14:paraId="6CB258F6" w14:textId="77777777" w:rsidR="001F5ED9" w:rsidRPr="00B75957" w:rsidRDefault="001F5ED9" w:rsidP="00B75957">
            <w:pPr>
              <w:spacing w:before="120" w:after="120"/>
              <w:jc w:val="center"/>
              <w:rPr>
                <w:rFonts w:ascii="Palatino Linotype" w:hAnsi="Palatino Linotype"/>
                <w:b/>
                <w:sz w:val="22"/>
                <w:szCs w:val="22"/>
              </w:rPr>
            </w:pPr>
            <w:r w:rsidRPr="00B75957">
              <w:rPr>
                <w:rFonts w:ascii="Palatino Linotype" w:hAnsi="Palatino Linotype"/>
                <w:b/>
                <w:sz w:val="22"/>
                <w:szCs w:val="22"/>
              </w:rPr>
              <w:t>$</w:t>
            </w:r>
            <w:r w:rsidR="00B9576F">
              <w:rPr>
                <w:rFonts w:ascii="Palatino Linotype" w:hAnsi="Palatino Linotype"/>
                <w:b/>
                <w:sz w:val="22"/>
                <w:szCs w:val="22"/>
              </w:rPr>
              <w:t>2</w:t>
            </w:r>
            <w:r w:rsidRPr="00B75957">
              <w:rPr>
                <w:rFonts w:ascii="Palatino Linotype" w:hAnsi="Palatino Linotype"/>
                <w:b/>
                <w:sz w:val="22"/>
                <w:szCs w:val="22"/>
              </w:rPr>
              <w:t>.</w:t>
            </w:r>
            <w:r w:rsidR="00B9576F">
              <w:rPr>
                <w:rFonts w:ascii="Palatino Linotype" w:hAnsi="Palatino Linotype"/>
                <w:b/>
                <w:sz w:val="22"/>
                <w:szCs w:val="22"/>
              </w:rPr>
              <w:t>00</w:t>
            </w:r>
            <w:r w:rsidRPr="00B75957">
              <w:rPr>
                <w:rFonts w:ascii="Palatino Linotype" w:hAnsi="Palatino Linotype"/>
                <w:b/>
                <w:sz w:val="22"/>
                <w:szCs w:val="22"/>
              </w:rPr>
              <w:t>M</w:t>
            </w:r>
          </w:p>
        </w:tc>
        <w:tc>
          <w:tcPr>
            <w:tcW w:w="1115" w:type="dxa"/>
          </w:tcPr>
          <w:p w14:paraId="6CB258F7" w14:textId="77777777" w:rsidR="001F5ED9" w:rsidRPr="00B75957" w:rsidRDefault="00B46C76" w:rsidP="00B75957">
            <w:pPr>
              <w:spacing w:before="120" w:after="120"/>
              <w:jc w:val="center"/>
              <w:rPr>
                <w:rFonts w:ascii="Palatino Linotype" w:hAnsi="Palatino Linotype"/>
                <w:b/>
                <w:sz w:val="22"/>
                <w:szCs w:val="22"/>
              </w:rPr>
            </w:pPr>
            <w:r w:rsidRPr="00B75957">
              <w:rPr>
                <w:rFonts w:ascii="Palatino Linotype" w:hAnsi="Palatino Linotype"/>
                <w:b/>
                <w:sz w:val="22"/>
                <w:szCs w:val="22"/>
              </w:rPr>
              <w:t>$5.7</w:t>
            </w:r>
            <w:r w:rsidR="00B9576F">
              <w:rPr>
                <w:rFonts w:ascii="Palatino Linotype" w:hAnsi="Palatino Linotype"/>
                <w:b/>
                <w:sz w:val="22"/>
                <w:szCs w:val="22"/>
              </w:rPr>
              <w:t>1</w:t>
            </w:r>
            <w:r w:rsidRPr="00B75957">
              <w:rPr>
                <w:rFonts w:ascii="Palatino Linotype" w:hAnsi="Palatino Linotype"/>
                <w:b/>
                <w:sz w:val="22"/>
                <w:szCs w:val="22"/>
              </w:rPr>
              <w:t>M</w:t>
            </w:r>
          </w:p>
        </w:tc>
        <w:tc>
          <w:tcPr>
            <w:tcW w:w="1460" w:type="dxa"/>
          </w:tcPr>
          <w:p w14:paraId="6CB258F8" w14:textId="77777777" w:rsidR="001F5ED9" w:rsidRPr="00B75957" w:rsidRDefault="00B46C76" w:rsidP="00B75957">
            <w:pPr>
              <w:spacing w:before="120" w:after="120"/>
              <w:jc w:val="center"/>
              <w:rPr>
                <w:rFonts w:ascii="Palatino Linotype" w:hAnsi="Palatino Linotype"/>
                <w:b/>
                <w:sz w:val="22"/>
                <w:szCs w:val="22"/>
              </w:rPr>
            </w:pPr>
            <w:r w:rsidRPr="00B75957">
              <w:rPr>
                <w:rFonts w:ascii="Palatino Linotype" w:hAnsi="Palatino Linotype"/>
                <w:b/>
                <w:sz w:val="22"/>
                <w:szCs w:val="22"/>
              </w:rPr>
              <w:t>$2.2</w:t>
            </w:r>
            <w:r w:rsidR="002A7C6A">
              <w:rPr>
                <w:rFonts w:ascii="Palatino Linotype" w:hAnsi="Palatino Linotype"/>
                <w:b/>
                <w:sz w:val="22"/>
                <w:szCs w:val="22"/>
              </w:rPr>
              <w:t>8</w:t>
            </w:r>
            <w:r w:rsidRPr="00B75957">
              <w:rPr>
                <w:rFonts w:ascii="Palatino Linotype" w:hAnsi="Palatino Linotype"/>
                <w:b/>
                <w:sz w:val="22"/>
                <w:szCs w:val="22"/>
              </w:rPr>
              <w:t>M</w:t>
            </w:r>
          </w:p>
        </w:tc>
        <w:tc>
          <w:tcPr>
            <w:tcW w:w="1119" w:type="dxa"/>
          </w:tcPr>
          <w:p w14:paraId="6CB258F9" w14:textId="77777777" w:rsidR="001F5ED9" w:rsidRPr="00B75957" w:rsidRDefault="00B46C76" w:rsidP="00B75957">
            <w:pPr>
              <w:spacing w:before="120" w:after="120"/>
              <w:jc w:val="center"/>
              <w:rPr>
                <w:rFonts w:ascii="Palatino Linotype" w:hAnsi="Palatino Linotype"/>
                <w:b/>
                <w:sz w:val="22"/>
                <w:szCs w:val="22"/>
              </w:rPr>
            </w:pPr>
            <w:r w:rsidRPr="00B75957">
              <w:rPr>
                <w:rFonts w:ascii="Palatino Linotype" w:hAnsi="Palatino Linotype"/>
                <w:b/>
                <w:sz w:val="22"/>
                <w:szCs w:val="22"/>
              </w:rPr>
              <w:t>$</w:t>
            </w:r>
            <w:r w:rsidR="00B9576F">
              <w:rPr>
                <w:rFonts w:ascii="Palatino Linotype" w:hAnsi="Palatino Linotype"/>
                <w:b/>
                <w:sz w:val="22"/>
                <w:szCs w:val="22"/>
              </w:rPr>
              <w:t>8</w:t>
            </w:r>
            <w:r w:rsidRPr="00B75957">
              <w:rPr>
                <w:rFonts w:ascii="Palatino Linotype" w:hAnsi="Palatino Linotype"/>
                <w:b/>
                <w:sz w:val="22"/>
                <w:szCs w:val="22"/>
              </w:rPr>
              <w:t>.</w:t>
            </w:r>
            <w:r w:rsidR="00B9576F">
              <w:rPr>
                <w:rFonts w:ascii="Palatino Linotype" w:hAnsi="Palatino Linotype"/>
                <w:b/>
                <w:sz w:val="22"/>
                <w:szCs w:val="22"/>
              </w:rPr>
              <w:t>00</w:t>
            </w:r>
            <w:r w:rsidRPr="00B75957">
              <w:rPr>
                <w:rFonts w:ascii="Palatino Linotype" w:hAnsi="Palatino Linotype"/>
                <w:b/>
                <w:sz w:val="22"/>
                <w:szCs w:val="22"/>
              </w:rPr>
              <w:t>M</w:t>
            </w:r>
          </w:p>
        </w:tc>
        <w:tc>
          <w:tcPr>
            <w:tcW w:w="1077" w:type="dxa"/>
          </w:tcPr>
          <w:p w14:paraId="6CB258FA" w14:textId="2CDE8907" w:rsidR="006C6656" w:rsidRPr="00B75957" w:rsidRDefault="00B46C76" w:rsidP="006C6656">
            <w:pPr>
              <w:spacing w:before="120" w:after="120"/>
              <w:jc w:val="center"/>
              <w:rPr>
                <w:rFonts w:ascii="Palatino Linotype" w:hAnsi="Palatino Linotype"/>
                <w:b/>
                <w:sz w:val="22"/>
                <w:szCs w:val="22"/>
              </w:rPr>
            </w:pPr>
            <w:r w:rsidRPr="00B75957">
              <w:rPr>
                <w:rFonts w:ascii="Palatino Linotype" w:hAnsi="Palatino Linotype"/>
                <w:b/>
                <w:sz w:val="22"/>
                <w:szCs w:val="22"/>
              </w:rPr>
              <w:t>$</w:t>
            </w:r>
            <w:r w:rsidR="00B9576F">
              <w:rPr>
                <w:rFonts w:ascii="Palatino Linotype" w:hAnsi="Palatino Linotype"/>
                <w:b/>
                <w:sz w:val="22"/>
                <w:szCs w:val="22"/>
              </w:rPr>
              <w:t>10</w:t>
            </w:r>
            <w:r w:rsidRPr="00B75957">
              <w:rPr>
                <w:rFonts w:ascii="Palatino Linotype" w:hAnsi="Palatino Linotype"/>
                <w:b/>
                <w:sz w:val="22"/>
                <w:szCs w:val="22"/>
              </w:rPr>
              <w:t>.</w:t>
            </w:r>
            <w:r w:rsidR="00B9576F">
              <w:rPr>
                <w:rFonts w:ascii="Palatino Linotype" w:hAnsi="Palatino Linotype"/>
                <w:b/>
                <w:sz w:val="22"/>
                <w:szCs w:val="22"/>
              </w:rPr>
              <w:t>00</w:t>
            </w:r>
            <w:r w:rsidRPr="00C4604B">
              <w:rPr>
                <w:rFonts w:ascii="Palatino Linotype" w:hAnsi="Palatino Linotype"/>
                <w:b/>
                <w:sz w:val="22"/>
                <w:szCs w:val="22"/>
              </w:rPr>
              <w:t>M</w:t>
            </w:r>
          </w:p>
        </w:tc>
      </w:tr>
    </w:tbl>
    <w:p w14:paraId="0CF81FB9" w14:textId="77777777" w:rsidR="006C6656" w:rsidRDefault="006C6656" w:rsidP="00B54C5B">
      <w:pPr>
        <w:spacing w:before="120" w:after="120"/>
        <w:rPr>
          <w:rFonts w:ascii="Palatino Linotype" w:hAnsi="Palatino Linotype"/>
          <w:sz w:val="22"/>
          <w:szCs w:val="22"/>
        </w:rPr>
      </w:pPr>
    </w:p>
    <w:p w14:paraId="6CB258FD" w14:textId="77777777" w:rsidR="008429A0" w:rsidRDefault="00082903" w:rsidP="00B54C5B">
      <w:pPr>
        <w:spacing w:before="120" w:after="120"/>
        <w:rPr>
          <w:rFonts w:ascii="Palatino Linotype" w:hAnsi="Palatino Linotype"/>
          <w:sz w:val="22"/>
          <w:szCs w:val="22"/>
        </w:rPr>
      </w:pPr>
      <w:r w:rsidRPr="00082903">
        <w:rPr>
          <w:rFonts w:ascii="Palatino Linotype" w:hAnsi="Palatino Linotype"/>
          <w:noProof/>
          <w:sz w:val="22"/>
          <w:szCs w:val="22"/>
          <w:lang w:val="en-CA" w:eastAsia="en-CA"/>
        </w:rPr>
        <mc:AlternateContent>
          <mc:Choice Requires="wps">
            <w:drawing>
              <wp:inline distT="0" distB="0" distL="0" distR="0" wp14:anchorId="6CB25CE9" wp14:editId="6CB25CEA">
                <wp:extent cx="5922335" cy="1403985"/>
                <wp:effectExtent l="0" t="0" r="21590" b="2032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335" cy="1403985"/>
                        </a:xfrm>
                        <a:prstGeom prst="rect">
                          <a:avLst/>
                        </a:prstGeom>
                        <a:solidFill>
                          <a:srgbClr val="FFFFFF"/>
                        </a:solidFill>
                        <a:ln w="9525">
                          <a:solidFill>
                            <a:srgbClr val="000000"/>
                          </a:solidFill>
                          <a:miter lim="800000"/>
                          <a:headEnd/>
                          <a:tailEnd/>
                        </a:ln>
                      </wps:spPr>
                      <wps:txbx>
                        <w:txbxContent>
                          <w:p w14:paraId="6CB25D1C" w14:textId="77777777" w:rsidR="000C12D3" w:rsidRPr="00364835" w:rsidRDefault="000C12D3" w:rsidP="00082903">
                            <w:pPr>
                              <w:rPr>
                                <w:rFonts w:cs="Arial"/>
                                <w:b/>
                                <w:sz w:val="22"/>
                                <w:szCs w:val="22"/>
                              </w:rPr>
                            </w:pPr>
                            <w:r w:rsidRPr="00364835">
                              <w:rPr>
                                <w:b/>
                              </w:rPr>
                              <w:t xml:space="preserve">The Project Charter is seeking approval for the range of </w:t>
                            </w:r>
                            <w:r w:rsidRPr="007428D5">
                              <w:rPr>
                                <w:b/>
                              </w:rPr>
                              <w:t xml:space="preserve">project </w:t>
                            </w:r>
                            <w:r w:rsidRPr="00364835">
                              <w:rPr>
                                <w:b/>
                              </w:rPr>
                              <w:t xml:space="preserve">costs as </w:t>
                            </w:r>
                            <w:r w:rsidRPr="00364835">
                              <w:rPr>
                                <w:rFonts w:cs="Arial"/>
                                <w:b/>
                                <w:sz w:val="22"/>
                                <w:szCs w:val="22"/>
                              </w:rPr>
                              <w:t>listed below:</w:t>
                            </w:r>
                          </w:p>
                          <w:p w14:paraId="6CB25D1D" w14:textId="77777777" w:rsidR="000C12D3" w:rsidRPr="00364835" w:rsidRDefault="000C12D3" w:rsidP="008628D0">
                            <w:pPr>
                              <w:pStyle w:val="ListParagraph"/>
                              <w:numPr>
                                <w:ilvl w:val="0"/>
                                <w:numId w:val="44"/>
                              </w:numPr>
                              <w:ind w:left="720" w:hanging="360"/>
                              <w:rPr>
                                <w:rFonts w:cs="Arial"/>
                                <w:b/>
                                <w:sz w:val="22"/>
                                <w:szCs w:val="22"/>
                              </w:rPr>
                            </w:pPr>
                            <w:r w:rsidRPr="00364835">
                              <w:rPr>
                                <w:rFonts w:cs="Arial"/>
                                <w:b/>
                                <w:sz w:val="22"/>
                                <w:szCs w:val="22"/>
                              </w:rPr>
                              <w:t xml:space="preserve">Capital: </w:t>
                            </w:r>
                            <w:r>
                              <w:rPr>
                                <w:rFonts w:cs="Arial"/>
                                <w:b/>
                                <w:sz w:val="22"/>
                                <w:szCs w:val="22"/>
                              </w:rPr>
                              <w:tab/>
                            </w:r>
                            <w:r>
                              <w:rPr>
                                <w:rFonts w:cs="Arial"/>
                                <w:b/>
                                <w:sz w:val="22"/>
                                <w:szCs w:val="22"/>
                              </w:rPr>
                              <w:tab/>
                            </w:r>
                            <w:r w:rsidRPr="00364835">
                              <w:rPr>
                                <w:rFonts w:cs="Arial"/>
                                <w:b/>
                                <w:sz w:val="22"/>
                                <w:szCs w:val="22"/>
                              </w:rPr>
                              <w:t>$5.</w:t>
                            </w:r>
                            <w:r>
                              <w:rPr>
                                <w:rFonts w:cs="Arial"/>
                                <w:b/>
                                <w:sz w:val="22"/>
                                <w:szCs w:val="22"/>
                              </w:rPr>
                              <w:t>42</w:t>
                            </w:r>
                            <w:r w:rsidRPr="00364835">
                              <w:rPr>
                                <w:rFonts w:cs="Arial"/>
                                <w:b/>
                                <w:sz w:val="22"/>
                                <w:szCs w:val="22"/>
                              </w:rPr>
                              <w:t>M to $</w:t>
                            </w:r>
                            <w:r>
                              <w:rPr>
                                <w:rFonts w:cs="Arial"/>
                                <w:b/>
                                <w:sz w:val="22"/>
                                <w:szCs w:val="22"/>
                              </w:rPr>
                              <w:t>7</w:t>
                            </w:r>
                            <w:r w:rsidRPr="00364835">
                              <w:rPr>
                                <w:rFonts w:cs="Arial"/>
                                <w:b/>
                                <w:sz w:val="22"/>
                                <w:szCs w:val="22"/>
                              </w:rPr>
                              <w:t>.</w:t>
                            </w:r>
                            <w:r>
                              <w:rPr>
                                <w:rFonts w:cs="Arial"/>
                                <w:b/>
                                <w:sz w:val="22"/>
                                <w:szCs w:val="22"/>
                              </w:rPr>
                              <w:t>37</w:t>
                            </w:r>
                            <w:r w:rsidRPr="00364835">
                              <w:rPr>
                                <w:rFonts w:cs="Arial"/>
                                <w:b/>
                                <w:sz w:val="22"/>
                                <w:szCs w:val="22"/>
                              </w:rPr>
                              <w:t xml:space="preserve">M </w:t>
                            </w:r>
                          </w:p>
                          <w:p w14:paraId="6CB25D1E" w14:textId="77777777" w:rsidR="000C12D3" w:rsidRPr="00364835" w:rsidRDefault="000C12D3" w:rsidP="008628D0">
                            <w:pPr>
                              <w:pStyle w:val="ListParagraph"/>
                              <w:numPr>
                                <w:ilvl w:val="0"/>
                                <w:numId w:val="44"/>
                              </w:numPr>
                              <w:pBdr>
                                <w:bottom w:val="single" w:sz="4" w:space="1" w:color="auto"/>
                              </w:pBdr>
                              <w:ind w:left="720" w:right="4255" w:hanging="360"/>
                              <w:rPr>
                                <w:rFonts w:cs="Arial"/>
                                <w:b/>
                                <w:sz w:val="22"/>
                                <w:szCs w:val="22"/>
                              </w:rPr>
                            </w:pPr>
                            <w:r w:rsidRPr="00364835">
                              <w:rPr>
                                <w:rFonts w:cs="Arial"/>
                                <w:b/>
                                <w:sz w:val="22"/>
                                <w:szCs w:val="22"/>
                              </w:rPr>
                              <w:t xml:space="preserve">Operating:  </w:t>
                            </w:r>
                            <w:r>
                              <w:rPr>
                                <w:rFonts w:cs="Arial"/>
                                <w:b/>
                                <w:sz w:val="22"/>
                                <w:szCs w:val="22"/>
                              </w:rPr>
                              <w:tab/>
                            </w:r>
                            <w:r>
                              <w:rPr>
                                <w:rFonts w:cs="Arial"/>
                                <w:b/>
                                <w:sz w:val="22"/>
                                <w:szCs w:val="22"/>
                              </w:rPr>
                              <w:tab/>
                            </w:r>
                            <w:r w:rsidRPr="00364835">
                              <w:rPr>
                                <w:rFonts w:cs="Arial"/>
                                <w:b/>
                                <w:sz w:val="22"/>
                                <w:szCs w:val="22"/>
                              </w:rPr>
                              <w:t>$1.96M to $2.</w:t>
                            </w:r>
                            <w:r>
                              <w:rPr>
                                <w:rFonts w:cs="Arial"/>
                                <w:b/>
                                <w:sz w:val="22"/>
                                <w:szCs w:val="22"/>
                              </w:rPr>
                              <w:t>63</w:t>
                            </w:r>
                            <w:r w:rsidRPr="00364835">
                              <w:rPr>
                                <w:rFonts w:cs="Arial"/>
                                <w:b/>
                                <w:sz w:val="22"/>
                                <w:szCs w:val="22"/>
                              </w:rPr>
                              <w:t>M</w:t>
                            </w:r>
                          </w:p>
                          <w:p w14:paraId="6CB25D1F" w14:textId="77777777" w:rsidR="000C12D3" w:rsidRPr="00BA0528" w:rsidRDefault="000C12D3" w:rsidP="008628D0">
                            <w:pPr>
                              <w:pStyle w:val="ListParagraph"/>
                              <w:numPr>
                                <w:ilvl w:val="0"/>
                                <w:numId w:val="44"/>
                              </w:numPr>
                              <w:ind w:left="720" w:hanging="360"/>
                              <w:rPr>
                                <w:rFonts w:cs="Arial"/>
                                <w:b/>
                                <w:sz w:val="22"/>
                                <w:szCs w:val="22"/>
                              </w:rPr>
                            </w:pPr>
                            <w:r w:rsidRPr="00364835">
                              <w:rPr>
                                <w:rFonts w:cs="Arial"/>
                                <w:b/>
                                <w:sz w:val="22"/>
                                <w:szCs w:val="22"/>
                              </w:rPr>
                              <w:t xml:space="preserve">Total Project </w:t>
                            </w:r>
                            <w:r>
                              <w:rPr>
                                <w:rFonts w:cs="Arial"/>
                                <w:b/>
                                <w:sz w:val="22"/>
                                <w:szCs w:val="22"/>
                              </w:rPr>
                              <w:t>Cost</w:t>
                            </w:r>
                            <w:r w:rsidRPr="008429A0">
                              <w:rPr>
                                <w:rFonts w:cs="Arial"/>
                                <w:b/>
                                <w:sz w:val="22"/>
                                <w:szCs w:val="22"/>
                              </w:rPr>
                              <w:t xml:space="preserve">: </w:t>
                            </w:r>
                            <w:r>
                              <w:rPr>
                                <w:rFonts w:cs="Arial"/>
                                <w:b/>
                                <w:sz w:val="22"/>
                                <w:szCs w:val="22"/>
                              </w:rPr>
                              <w:tab/>
                            </w:r>
                            <w:r w:rsidRPr="00364835">
                              <w:rPr>
                                <w:rFonts w:cs="Arial"/>
                                <w:b/>
                                <w:sz w:val="22"/>
                                <w:szCs w:val="22"/>
                              </w:rPr>
                              <w:t>$7.3</w:t>
                            </w:r>
                            <w:r>
                              <w:rPr>
                                <w:rFonts w:cs="Arial"/>
                                <w:b/>
                                <w:sz w:val="22"/>
                                <w:szCs w:val="22"/>
                              </w:rPr>
                              <w:t>8</w:t>
                            </w:r>
                            <w:r w:rsidRPr="00364835">
                              <w:rPr>
                                <w:rFonts w:cs="Arial"/>
                                <w:b/>
                                <w:sz w:val="22"/>
                                <w:szCs w:val="22"/>
                              </w:rPr>
                              <w:t>M to $</w:t>
                            </w:r>
                            <w:r>
                              <w:rPr>
                                <w:rFonts w:cs="Arial"/>
                                <w:b/>
                                <w:sz w:val="22"/>
                                <w:szCs w:val="22"/>
                              </w:rPr>
                              <w:t>10</w:t>
                            </w:r>
                            <w:r w:rsidRPr="00364835">
                              <w:rPr>
                                <w:rFonts w:cs="Arial"/>
                                <w:b/>
                                <w:sz w:val="22"/>
                                <w:szCs w:val="22"/>
                              </w:rPr>
                              <w:t>.</w:t>
                            </w:r>
                            <w:r>
                              <w:rPr>
                                <w:rFonts w:cs="Arial"/>
                                <w:b/>
                                <w:sz w:val="22"/>
                                <w:szCs w:val="22"/>
                              </w:rPr>
                              <w:t>00</w:t>
                            </w:r>
                            <w:r w:rsidRPr="00364835">
                              <w:rPr>
                                <w:rFonts w:cs="Arial"/>
                                <w:b/>
                                <w:sz w:val="22"/>
                                <w:szCs w:val="22"/>
                              </w:rPr>
                              <w:t>M</w:t>
                            </w:r>
                          </w:p>
                          <w:p w14:paraId="6CB25D20" w14:textId="77777777" w:rsidR="000C12D3" w:rsidRDefault="000C12D3" w:rsidP="00BA0528">
                            <w:pPr>
                              <w:spacing w:before="120" w:after="120"/>
                              <w:rPr>
                                <w:rFonts w:cs="Arial"/>
                                <w:b/>
                                <w:sz w:val="22"/>
                                <w:szCs w:val="22"/>
                              </w:rPr>
                            </w:pPr>
                          </w:p>
                          <w:p w14:paraId="6CB25D21" w14:textId="41AF47BA" w:rsidR="000C12D3" w:rsidRDefault="000C12D3" w:rsidP="00BA0528">
                            <w:pPr>
                              <w:spacing w:before="120" w:after="120"/>
                              <w:rPr>
                                <w:rFonts w:cs="Arial"/>
                                <w:b/>
                                <w:sz w:val="22"/>
                                <w:szCs w:val="22"/>
                              </w:rPr>
                            </w:pPr>
                            <w:r>
                              <w:rPr>
                                <w:rFonts w:cs="Arial"/>
                                <w:b/>
                                <w:sz w:val="22"/>
                                <w:szCs w:val="22"/>
                              </w:rPr>
                              <w:t xml:space="preserve">The project is expected to complete by September 30, 2021.  To address the level of uncertainty we are requesting an additional 9 months of time contingency which would extend the project to June 30 2022.  </w:t>
                            </w:r>
                          </w:p>
                          <w:p w14:paraId="6CB25D22" w14:textId="77777777" w:rsidR="000C12D3" w:rsidRDefault="000C12D3" w:rsidP="001B188D">
                            <w:pPr>
                              <w:spacing w:before="120" w:after="120"/>
                              <w:rPr>
                                <w:rFonts w:cs="Arial"/>
                                <w:b/>
                                <w:sz w:val="22"/>
                                <w:szCs w:val="22"/>
                              </w:rPr>
                            </w:pPr>
                            <w:r>
                              <w:rPr>
                                <w:rFonts w:cs="Arial"/>
                                <w:b/>
                                <w:sz w:val="22"/>
                                <w:szCs w:val="22"/>
                              </w:rPr>
                              <w:t>Project costs and schedule will be reviewed at the completion of the planning phase and the Project will seek appropriate Project Steering Committee and IESO Board approvals for any changes that exceed the upper ranges listed here.</w:t>
                            </w:r>
                          </w:p>
                          <w:p w14:paraId="6CB25D23" w14:textId="77777777" w:rsidR="000C12D3" w:rsidRPr="00BA0528" w:rsidRDefault="000C12D3" w:rsidP="00BA0528">
                            <w:pPr>
                              <w:spacing w:before="120" w:after="120"/>
                              <w:rPr>
                                <w:rFonts w:cs="Arial"/>
                                <w:b/>
                                <w:sz w:val="22"/>
                                <w:szCs w:val="22"/>
                              </w:rPr>
                            </w:pP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style="width:466.3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">
                <v:textbox style="mso-fit-shape-to-text:t">
                  <w:txbxContent>
                    <w:p w14:paraId="6CB25D1C" w14:textId="77777777" w:rsidR="000C12D3" w:rsidRPr="00364835" w:rsidRDefault="000C12D3" w:rsidP="00082903">
                      <w:pPr>
                        <w:rPr>
                          <w:rFonts w:cs="Arial"/>
                          <w:b/>
                          <w:sz w:val="22"/>
                          <w:szCs w:val="22"/>
                        </w:rPr>
                      </w:pPr>
                      <w:r w:rsidRPr="00364835">
                        <w:rPr>
                          <w:b/>
                        </w:rPr>
                        <w:t xml:space="preserve">The Project Charter is seeking approval for the range of </w:t>
                      </w:r>
                      <w:r w:rsidRPr="007428D5">
                        <w:rPr>
                          <w:b/>
                        </w:rPr>
                        <w:t xml:space="preserve">project </w:t>
                      </w:r>
                      <w:r w:rsidRPr="00364835">
                        <w:rPr>
                          <w:b/>
                        </w:rPr>
                        <w:t xml:space="preserve">costs as </w:t>
                      </w:r>
                      <w:r w:rsidRPr="00364835">
                        <w:rPr>
                          <w:rFonts w:cs="Arial"/>
                          <w:b/>
                          <w:sz w:val="22"/>
                          <w:szCs w:val="22"/>
                        </w:rPr>
                        <w:t>listed below:</w:t>
                      </w:r>
                    </w:p>
                    <w:p w14:paraId="6CB25D1D" w14:textId="77777777" w:rsidR="000C12D3" w:rsidRPr="00364835" w:rsidRDefault="000C12D3" w:rsidP="008628D0">
                      <w:pPr>
                        <w:pStyle w:val="ListParagraph"/>
                        <w:numPr>
                          <w:ilvl w:val="0"/>
                          <w:numId w:val="44"/>
                        </w:numPr>
                        <w:ind w:left="720" w:hanging="360"/>
                        <w:rPr>
                          <w:rFonts w:cs="Arial"/>
                          <w:b/>
                          <w:sz w:val="22"/>
                          <w:szCs w:val="22"/>
                        </w:rPr>
                      </w:pPr>
                      <w:r w:rsidRPr="00364835">
                        <w:rPr>
                          <w:rFonts w:cs="Arial"/>
                          <w:b/>
                          <w:sz w:val="22"/>
                          <w:szCs w:val="22"/>
                        </w:rPr>
                        <w:t xml:space="preserve">Capital: </w:t>
                      </w:r>
                      <w:r>
                        <w:rPr>
                          <w:rFonts w:cs="Arial"/>
                          <w:b/>
                          <w:sz w:val="22"/>
                          <w:szCs w:val="22"/>
                        </w:rPr>
                        <w:tab/>
                      </w:r>
                      <w:r>
                        <w:rPr>
                          <w:rFonts w:cs="Arial"/>
                          <w:b/>
                          <w:sz w:val="22"/>
                          <w:szCs w:val="22"/>
                        </w:rPr>
                        <w:tab/>
                      </w:r>
                      <w:r w:rsidRPr="00364835">
                        <w:rPr>
                          <w:rFonts w:cs="Arial"/>
                          <w:b/>
                          <w:sz w:val="22"/>
                          <w:szCs w:val="22"/>
                        </w:rPr>
                        <w:t>$5.</w:t>
                      </w:r>
                      <w:r>
                        <w:rPr>
                          <w:rFonts w:cs="Arial"/>
                          <w:b/>
                          <w:sz w:val="22"/>
                          <w:szCs w:val="22"/>
                        </w:rPr>
                        <w:t>42</w:t>
                      </w:r>
                      <w:r w:rsidRPr="00364835">
                        <w:rPr>
                          <w:rFonts w:cs="Arial"/>
                          <w:b/>
                          <w:sz w:val="22"/>
                          <w:szCs w:val="22"/>
                        </w:rPr>
                        <w:t>M to $</w:t>
                      </w:r>
                      <w:r>
                        <w:rPr>
                          <w:rFonts w:cs="Arial"/>
                          <w:b/>
                          <w:sz w:val="22"/>
                          <w:szCs w:val="22"/>
                        </w:rPr>
                        <w:t>7</w:t>
                      </w:r>
                      <w:r w:rsidRPr="00364835">
                        <w:rPr>
                          <w:rFonts w:cs="Arial"/>
                          <w:b/>
                          <w:sz w:val="22"/>
                          <w:szCs w:val="22"/>
                        </w:rPr>
                        <w:t>.</w:t>
                      </w:r>
                      <w:r>
                        <w:rPr>
                          <w:rFonts w:cs="Arial"/>
                          <w:b/>
                          <w:sz w:val="22"/>
                          <w:szCs w:val="22"/>
                        </w:rPr>
                        <w:t>37</w:t>
                      </w:r>
                      <w:r w:rsidRPr="00364835">
                        <w:rPr>
                          <w:rFonts w:cs="Arial"/>
                          <w:b/>
                          <w:sz w:val="22"/>
                          <w:szCs w:val="22"/>
                        </w:rPr>
                        <w:t xml:space="preserve">M </w:t>
                      </w:r>
                    </w:p>
                    <w:p w14:paraId="6CB25D1E" w14:textId="77777777" w:rsidR="000C12D3" w:rsidRPr="00364835" w:rsidRDefault="000C12D3" w:rsidP="008628D0">
                      <w:pPr>
                        <w:pStyle w:val="ListParagraph"/>
                        <w:numPr>
                          <w:ilvl w:val="0"/>
                          <w:numId w:val="44"/>
                        </w:numPr>
                        <w:pBdr>
                          <w:bottom w:val="single" w:sz="4" w:space="1" w:color="auto"/>
                        </w:pBdr>
                        <w:ind w:left="720" w:right="4255" w:hanging="360"/>
                        <w:rPr>
                          <w:rFonts w:cs="Arial"/>
                          <w:b/>
                          <w:sz w:val="22"/>
                          <w:szCs w:val="22"/>
                        </w:rPr>
                      </w:pPr>
                      <w:r w:rsidRPr="00364835">
                        <w:rPr>
                          <w:rFonts w:cs="Arial"/>
                          <w:b/>
                          <w:sz w:val="22"/>
                          <w:szCs w:val="22"/>
                        </w:rPr>
                        <w:t xml:space="preserve">Operating:  </w:t>
                      </w:r>
                      <w:r>
                        <w:rPr>
                          <w:rFonts w:cs="Arial"/>
                          <w:b/>
                          <w:sz w:val="22"/>
                          <w:szCs w:val="22"/>
                        </w:rPr>
                        <w:tab/>
                      </w:r>
                      <w:r>
                        <w:rPr>
                          <w:rFonts w:cs="Arial"/>
                          <w:b/>
                          <w:sz w:val="22"/>
                          <w:szCs w:val="22"/>
                        </w:rPr>
                        <w:tab/>
                      </w:r>
                      <w:r w:rsidRPr="00364835">
                        <w:rPr>
                          <w:rFonts w:cs="Arial"/>
                          <w:b/>
                          <w:sz w:val="22"/>
                          <w:szCs w:val="22"/>
                        </w:rPr>
                        <w:t>$1.96M to $2.</w:t>
                      </w:r>
                      <w:r>
                        <w:rPr>
                          <w:rFonts w:cs="Arial"/>
                          <w:b/>
                          <w:sz w:val="22"/>
                          <w:szCs w:val="22"/>
                        </w:rPr>
                        <w:t>63</w:t>
                      </w:r>
                      <w:r w:rsidRPr="00364835">
                        <w:rPr>
                          <w:rFonts w:cs="Arial"/>
                          <w:b/>
                          <w:sz w:val="22"/>
                          <w:szCs w:val="22"/>
                        </w:rPr>
                        <w:t>M</w:t>
                      </w:r>
                    </w:p>
                    <w:p w14:paraId="6CB25D1F" w14:textId="77777777" w:rsidR="000C12D3" w:rsidRPr="00BA0528" w:rsidRDefault="000C12D3" w:rsidP="008628D0">
                      <w:pPr>
                        <w:pStyle w:val="ListParagraph"/>
                        <w:numPr>
                          <w:ilvl w:val="0"/>
                          <w:numId w:val="44"/>
                        </w:numPr>
                        <w:ind w:left="720" w:hanging="360"/>
                        <w:rPr>
                          <w:rFonts w:cs="Arial"/>
                          <w:b/>
                          <w:sz w:val="22"/>
                          <w:szCs w:val="22"/>
                        </w:rPr>
                      </w:pPr>
                      <w:r w:rsidRPr="00364835">
                        <w:rPr>
                          <w:rFonts w:cs="Arial"/>
                          <w:b/>
                          <w:sz w:val="22"/>
                          <w:szCs w:val="22"/>
                        </w:rPr>
                        <w:t xml:space="preserve">Total Project </w:t>
                      </w:r>
                      <w:r>
                        <w:rPr>
                          <w:rFonts w:cs="Arial"/>
                          <w:b/>
                          <w:sz w:val="22"/>
                          <w:szCs w:val="22"/>
                        </w:rPr>
                        <w:t>Cost</w:t>
                      </w:r>
                      <w:r w:rsidRPr="008429A0">
                        <w:rPr>
                          <w:rFonts w:cs="Arial"/>
                          <w:b/>
                          <w:sz w:val="22"/>
                          <w:szCs w:val="22"/>
                        </w:rPr>
                        <w:t xml:space="preserve">: </w:t>
                      </w:r>
                      <w:r>
                        <w:rPr>
                          <w:rFonts w:cs="Arial"/>
                          <w:b/>
                          <w:sz w:val="22"/>
                          <w:szCs w:val="22"/>
                        </w:rPr>
                        <w:tab/>
                      </w:r>
                      <w:r w:rsidRPr="00364835">
                        <w:rPr>
                          <w:rFonts w:cs="Arial"/>
                          <w:b/>
                          <w:sz w:val="22"/>
                          <w:szCs w:val="22"/>
                        </w:rPr>
                        <w:t>$7.3</w:t>
                      </w:r>
                      <w:r>
                        <w:rPr>
                          <w:rFonts w:cs="Arial"/>
                          <w:b/>
                          <w:sz w:val="22"/>
                          <w:szCs w:val="22"/>
                        </w:rPr>
                        <w:t>8</w:t>
                      </w:r>
                      <w:r w:rsidRPr="00364835">
                        <w:rPr>
                          <w:rFonts w:cs="Arial"/>
                          <w:b/>
                          <w:sz w:val="22"/>
                          <w:szCs w:val="22"/>
                        </w:rPr>
                        <w:t>M to $</w:t>
                      </w:r>
                      <w:r>
                        <w:rPr>
                          <w:rFonts w:cs="Arial"/>
                          <w:b/>
                          <w:sz w:val="22"/>
                          <w:szCs w:val="22"/>
                        </w:rPr>
                        <w:t>10</w:t>
                      </w:r>
                      <w:r w:rsidRPr="00364835">
                        <w:rPr>
                          <w:rFonts w:cs="Arial"/>
                          <w:b/>
                          <w:sz w:val="22"/>
                          <w:szCs w:val="22"/>
                        </w:rPr>
                        <w:t>.</w:t>
                      </w:r>
                      <w:r>
                        <w:rPr>
                          <w:rFonts w:cs="Arial"/>
                          <w:b/>
                          <w:sz w:val="22"/>
                          <w:szCs w:val="22"/>
                        </w:rPr>
                        <w:t>00</w:t>
                      </w:r>
                      <w:r w:rsidRPr="00364835">
                        <w:rPr>
                          <w:rFonts w:cs="Arial"/>
                          <w:b/>
                          <w:sz w:val="22"/>
                          <w:szCs w:val="22"/>
                        </w:rPr>
                        <w:t>M</w:t>
                      </w:r>
                    </w:p>
                    <w:p w14:paraId="6CB25D20" w14:textId="77777777" w:rsidR="000C12D3" w:rsidRDefault="000C12D3" w:rsidP="00BA0528">
                      <w:pPr>
                        <w:spacing w:before="120" w:after="120"/>
                        <w:rPr>
                          <w:rFonts w:cs="Arial"/>
                          <w:b/>
                          <w:sz w:val="22"/>
                          <w:szCs w:val="22"/>
                        </w:rPr>
                      </w:pPr>
                    </w:p>
                    <w:p w14:paraId="6CB25D21" w14:textId="41AF47BA" w:rsidR="000C12D3" w:rsidRDefault="000C12D3" w:rsidP="00BA0528">
                      <w:pPr>
                        <w:spacing w:before="120" w:after="120"/>
                        <w:rPr>
                          <w:rFonts w:cs="Arial"/>
                          <w:b/>
                          <w:sz w:val="22"/>
                          <w:szCs w:val="22"/>
                        </w:rPr>
                      </w:pPr>
                      <w:r>
                        <w:rPr>
                          <w:rFonts w:cs="Arial"/>
                          <w:b/>
                          <w:sz w:val="22"/>
                          <w:szCs w:val="22"/>
                        </w:rPr>
                        <w:t xml:space="preserve">The project is expected to complete by September 30, 2021.  To address the level of uncertainty we are requesting an additional 9 months of time contingency which would extend the project to June 30 2022.  </w:t>
                      </w:r>
                    </w:p>
                    <w:p w14:paraId="6CB25D22" w14:textId="77777777" w:rsidR="000C12D3" w:rsidRDefault="000C12D3" w:rsidP="001B188D">
                      <w:pPr>
                        <w:spacing w:before="120" w:after="120"/>
                        <w:rPr>
                          <w:rFonts w:cs="Arial"/>
                          <w:b/>
                          <w:sz w:val="22"/>
                          <w:szCs w:val="22"/>
                        </w:rPr>
                      </w:pPr>
                      <w:r>
                        <w:rPr>
                          <w:rFonts w:cs="Arial"/>
                          <w:b/>
                          <w:sz w:val="22"/>
                          <w:szCs w:val="22"/>
                        </w:rPr>
                        <w:t>Project costs and schedule will be reviewed at the completion of the planning phase and the Project will seek appropriate Project Steering Committee and IESO Board approvals for any changes that exceed the upper ranges listed here.</w:t>
                      </w:r>
                    </w:p>
                    <w:p w14:paraId="6CB25D23" w14:textId="77777777" w:rsidR="000C12D3" w:rsidRPr="00BA0528" w:rsidRDefault="000C12D3" w:rsidP="00BA0528">
                      <w:pPr>
                        <w:spacing w:before="120" w:after="120"/>
                        <w:rPr>
                          <w:rFonts w:cs="Arial"/>
                          <w:b/>
                          <w:sz w:val="22"/>
                          <w:szCs w:val="22"/>
                        </w:rPr>
                      </w:pPr>
                    </w:p>
                  </w:txbxContent>
                </v:textbox>
                <w10:anchorlock/>
              </v:shape>
            </w:pict>
          </mc:Fallback>
        </mc:AlternateContent>
      </w:r>
    </w:p>
    <w:p w14:paraId="6CB258FE" w14:textId="77777777" w:rsidR="00082903" w:rsidRDefault="00082903" w:rsidP="00B54C5B">
      <w:pPr>
        <w:spacing w:before="120" w:after="120"/>
        <w:rPr>
          <w:rFonts w:ascii="Palatino Linotype" w:hAnsi="Palatino Linotype"/>
          <w:sz w:val="22"/>
          <w:szCs w:val="22"/>
        </w:rPr>
      </w:pPr>
    </w:p>
    <w:p w14:paraId="6CB258FF" w14:textId="67E3A40C" w:rsidR="00324FBF" w:rsidRDefault="00324FBF" w:rsidP="00B54C5B">
      <w:pPr>
        <w:spacing w:before="120" w:after="120"/>
        <w:rPr>
          <w:rFonts w:ascii="Palatino Linotype" w:hAnsi="Palatino Linotype"/>
          <w:sz w:val="22"/>
          <w:szCs w:val="22"/>
        </w:rPr>
      </w:pPr>
      <w:r>
        <w:rPr>
          <w:rFonts w:ascii="Palatino Linotype" w:hAnsi="Palatino Linotype"/>
          <w:sz w:val="22"/>
          <w:szCs w:val="22"/>
        </w:rPr>
        <w:t xml:space="preserve">The estimated </w:t>
      </w:r>
      <w:r w:rsidR="00082903">
        <w:rPr>
          <w:rFonts w:ascii="Palatino Linotype" w:hAnsi="Palatino Linotype"/>
          <w:sz w:val="22"/>
          <w:szCs w:val="22"/>
        </w:rPr>
        <w:t>percentage</w:t>
      </w:r>
      <w:r>
        <w:rPr>
          <w:rFonts w:ascii="Palatino Linotype" w:hAnsi="Palatino Linotype"/>
          <w:sz w:val="22"/>
          <w:szCs w:val="22"/>
        </w:rPr>
        <w:t xml:space="preserve"> of TCA work that is </w:t>
      </w:r>
      <w:r w:rsidR="00542F56">
        <w:rPr>
          <w:rFonts w:ascii="Palatino Linotype" w:hAnsi="Palatino Linotype"/>
          <w:sz w:val="22"/>
          <w:szCs w:val="22"/>
        </w:rPr>
        <w:t xml:space="preserve">directly </w:t>
      </w:r>
      <w:r>
        <w:rPr>
          <w:rFonts w:ascii="Palatino Linotype" w:hAnsi="Palatino Linotype"/>
          <w:sz w:val="22"/>
          <w:szCs w:val="22"/>
        </w:rPr>
        <w:t xml:space="preserve">transferrable to ICA work is </w:t>
      </w:r>
      <w:r w:rsidR="00BB11C5">
        <w:rPr>
          <w:rFonts w:ascii="Palatino Linotype" w:hAnsi="Palatino Linotype"/>
          <w:sz w:val="22"/>
          <w:szCs w:val="22"/>
        </w:rPr>
        <w:t>approximately 30</w:t>
      </w:r>
      <w:r>
        <w:rPr>
          <w:rFonts w:ascii="Palatino Linotype" w:hAnsi="Palatino Linotype"/>
          <w:sz w:val="22"/>
          <w:szCs w:val="22"/>
        </w:rPr>
        <w:t xml:space="preserve">%.  </w:t>
      </w:r>
      <w:r w:rsidR="002C385F">
        <w:rPr>
          <w:rFonts w:ascii="Palatino Linotype" w:hAnsi="Palatino Linotype"/>
          <w:sz w:val="22"/>
          <w:szCs w:val="22"/>
        </w:rPr>
        <w:t>Th</w:t>
      </w:r>
      <w:r w:rsidR="00542F56">
        <w:rPr>
          <w:rFonts w:ascii="Palatino Linotype" w:hAnsi="Palatino Linotype"/>
          <w:sz w:val="22"/>
          <w:szCs w:val="22"/>
        </w:rPr>
        <w:t xml:space="preserve">is estimate </w:t>
      </w:r>
      <w:r w:rsidR="00DB5721">
        <w:rPr>
          <w:rFonts w:ascii="Palatino Linotype" w:hAnsi="Palatino Linotype"/>
          <w:sz w:val="22"/>
          <w:szCs w:val="22"/>
        </w:rPr>
        <w:t>includes</w:t>
      </w:r>
      <w:r w:rsidR="002C385F">
        <w:rPr>
          <w:rFonts w:ascii="Palatino Linotype" w:hAnsi="Palatino Linotype"/>
          <w:sz w:val="22"/>
          <w:szCs w:val="22"/>
        </w:rPr>
        <w:t xml:space="preserve"> capital work related to</w:t>
      </w:r>
      <w:r>
        <w:rPr>
          <w:rFonts w:ascii="Palatino Linotype" w:hAnsi="Palatino Linotype"/>
          <w:sz w:val="22"/>
          <w:szCs w:val="22"/>
        </w:rPr>
        <w:t xml:space="preserve"> </w:t>
      </w:r>
      <w:r w:rsidR="00542F56">
        <w:rPr>
          <w:rFonts w:ascii="Palatino Linotype" w:hAnsi="Palatino Linotype"/>
          <w:sz w:val="22"/>
          <w:szCs w:val="22"/>
        </w:rPr>
        <w:t xml:space="preserve">enabling </w:t>
      </w:r>
      <w:r w:rsidR="00DB5721">
        <w:rPr>
          <w:rFonts w:ascii="Palatino Linotype" w:hAnsi="Palatino Linotype"/>
          <w:sz w:val="22"/>
          <w:szCs w:val="22"/>
        </w:rPr>
        <w:t>imports,</w:t>
      </w:r>
      <w:r>
        <w:rPr>
          <w:rFonts w:ascii="Palatino Linotype" w:hAnsi="Palatino Linotype"/>
          <w:sz w:val="22"/>
          <w:szCs w:val="22"/>
        </w:rPr>
        <w:t xml:space="preserve"> auction engine</w:t>
      </w:r>
      <w:r w:rsidR="00BB11C5">
        <w:rPr>
          <w:rFonts w:ascii="Palatino Linotype" w:hAnsi="Palatino Linotype"/>
          <w:sz w:val="22"/>
          <w:szCs w:val="22"/>
        </w:rPr>
        <w:t xml:space="preserve">, </w:t>
      </w:r>
      <w:r>
        <w:rPr>
          <w:rFonts w:ascii="Palatino Linotype" w:hAnsi="Palatino Linotype"/>
          <w:sz w:val="22"/>
          <w:szCs w:val="22"/>
        </w:rPr>
        <w:t xml:space="preserve">a portion of </w:t>
      </w:r>
      <w:r w:rsidR="00542F56">
        <w:rPr>
          <w:rFonts w:ascii="Palatino Linotype" w:hAnsi="Palatino Linotype"/>
          <w:sz w:val="22"/>
          <w:szCs w:val="22"/>
        </w:rPr>
        <w:t>the work to create forms to support the auction</w:t>
      </w:r>
      <w:r w:rsidR="00BB11C5">
        <w:rPr>
          <w:rFonts w:ascii="Palatino Linotype" w:hAnsi="Palatino Linotype"/>
          <w:sz w:val="22"/>
          <w:szCs w:val="22"/>
        </w:rPr>
        <w:t xml:space="preserve"> and </w:t>
      </w:r>
      <w:r w:rsidR="00542F56">
        <w:rPr>
          <w:rFonts w:ascii="Palatino Linotype" w:hAnsi="Palatino Linotype"/>
          <w:sz w:val="22"/>
          <w:szCs w:val="22"/>
        </w:rPr>
        <w:t>quality assurance</w:t>
      </w:r>
      <w:r>
        <w:rPr>
          <w:rFonts w:ascii="Palatino Linotype" w:hAnsi="Palatino Linotype"/>
          <w:sz w:val="22"/>
          <w:szCs w:val="22"/>
        </w:rPr>
        <w:t xml:space="preserve"> work.</w:t>
      </w:r>
    </w:p>
    <w:p w14:paraId="6CB25904" w14:textId="77777777" w:rsidR="00215143" w:rsidRPr="00AE30CD" w:rsidRDefault="00215143" w:rsidP="00AE30CD">
      <w:pPr>
        <w:spacing w:before="120" w:after="120"/>
        <w:rPr>
          <w:rFonts w:ascii="Palatino Linotype" w:hAnsi="Palatino Linotype"/>
          <w:sz w:val="22"/>
          <w:szCs w:val="22"/>
        </w:rPr>
      </w:pPr>
      <w:r w:rsidRPr="00AE30CD">
        <w:rPr>
          <w:rFonts w:ascii="Palatino Linotype" w:hAnsi="Palatino Linotype"/>
          <w:sz w:val="22"/>
          <w:szCs w:val="22"/>
        </w:rPr>
        <w:t xml:space="preserve">As the TCA project progresses, it will assess various design feature alternatives in order to meet the objectives of this project. In carrying out this assessment the project will consider the </w:t>
      </w:r>
      <w:r w:rsidRPr="00AE30CD">
        <w:rPr>
          <w:rFonts w:ascii="Palatino Linotype" w:hAnsi="Palatino Linotype"/>
          <w:sz w:val="22"/>
          <w:szCs w:val="22"/>
        </w:rPr>
        <w:lastRenderedPageBreak/>
        <w:t>enduring value of the change/enhancement, the complexity of the design and implementation, and the benefit to the IESO, participants and market efficiency to achieve the optimal outcome.</w:t>
      </w:r>
    </w:p>
    <w:p w14:paraId="6CB25905" w14:textId="77777777" w:rsidR="005E6F19" w:rsidRDefault="00C34AD6" w:rsidP="0005728D">
      <w:pPr>
        <w:pStyle w:val="BodyText"/>
        <w:rPr>
          <w:color w:val="000000"/>
        </w:rPr>
      </w:pPr>
      <w:r>
        <w:rPr>
          <w:color w:val="000000"/>
        </w:rPr>
        <w:t xml:space="preserve">The inaugural list of critical risks for the TCA project is as follows:  </w:t>
      </w:r>
    </w:p>
    <w:p w14:paraId="6CB25906" w14:textId="77777777" w:rsidR="00146908" w:rsidRPr="00146908" w:rsidRDefault="002D666A" w:rsidP="00146908">
      <w:pPr>
        <w:pStyle w:val="BodyText"/>
        <w:numPr>
          <w:ilvl w:val="0"/>
          <w:numId w:val="11"/>
        </w:numPr>
        <w:rPr>
          <w:color w:val="000000"/>
        </w:rPr>
      </w:pPr>
      <w:r>
        <w:rPr>
          <w:color w:val="000000"/>
        </w:rPr>
        <w:t>Lack of s</w:t>
      </w:r>
      <w:r w:rsidR="009C557A">
        <w:rPr>
          <w:color w:val="000000"/>
        </w:rPr>
        <w:t>takeholder support</w:t>
      </w:r>
      <w:r w:rsidR="002806F7">
        <w:rPr>
          <w:color w:val="000000"/>
        </w:rPr>
        <w:t xml:space="preserve"> due to</w:t>
      </w:r>
      <w:r w:rsidR="00146908">
        <w:rPr>
          <w:color w:val="000000"/>
        </w:rPr>
        <w:t xml:space="preserve"> </w:t>
      </w:r>
      <w:r w:rsidR="002806F7" w:rsidRPr="00146908">
        <w:rPr>
          <w:color w:val="000000"/>
        </w:rPr>
        <w:t>expanded</w:t>
      </w:r>
      <w:r w:rsidR="00146908" w:rsidRPr="00146908">
        <w:rPr>
          <w:color w:val="000000"/>
        </w:rPr>
        <w:t xml:space="preserve"> resource </w:t>
      </w:r>
      <w:r w:rsidR="002806F7" w:rsidRPr="00146908">
        <w:rPr>
          <w:color w:val="000000"/>
        </w:rPr>
        <w:t>participation</w:t>
      </w:r>
      <w:r w:rsidR="00146908" w:rsidRPr="00146908">
        <w:rPr>
          <w:color w:val="000000"/>
        </w:rPr>
        <w:t xml:space="preserve"> in the auction</w:t>
      </w:r>
      <w:r w:rsidR="002806F7" w:rsidRPr="00146908">
        <w:rPr>
          <w:color w:val="000000"/>
        </w:rPr>
        <w:t xml:space="preserve">, </w:t>
      </w:r>
      <w:r w:rsidR="00146908" w:rsidRPr="00146908">
        <w:rPr>
          <w:color w:val="000000"/>
        </w:rPr>
        <w:t xml:space="preserve">more stringent </w:t>
      </w:r>
      <w:r w:rsidR="002806F7" w:rsidRPr="00146908">
        <w:rPr>
          <w:color w:val="000000"/>
        </w:rPr>
        <w:t xml:space="preserve">market rules vs market manual </w:t>
      </w:r>
      <w:r w:rsidR="00146908" w:rsidRPr="00146908">
        <w:rPr>
          <w:color w:val="000000"/>
        </w:rPr>
        <w:t>requirements</w:t>
      </w:r>
      <w:r w:rsidR="002806F7" w:rsidRPr="00146908">
        <w:rPr>
          <w:color w:val="000000"/>
        </w:rPr>
        <w:t>, and compressed timelines for engagement</w:t>
      </w:r>
      <w:r w:rsidR="00755BA0" w:rsidRPr="00146908">
        <w:rPr>
          <w:color w:val="000000"/>
        </w:rPr>
        <w:t>;</w:t>
      </w:r>
      <w:r w:rsidR="00146908" w:rsidRPr="00146908">
        <w:rPr>
          <w:color w:val="000000"/>
        </w:rPr>
        <w:t xml:space="preserve"> </w:t>
      </w:r>
    </w:p>
    <w:p w14:paraId="6CB25907" w14:textId="77777777" w:rsidR="002806F7" w:rsidRDefault="002806F7" w:rsidP="008543BC">
      <w:pPr>
        <w:pStyle w:val="BodyText"/>
        <w:numPr>
          <w:ilvl w:val="0"/>
          <w:numId w:val="11"/>
        </w:numPr>
        <w:rPr>
          <w:color w:val="000000"/>
        </w:rPr>
      </w:pPr>
      <w:r>
        <w:rPr>
          <w:color w:val="000000"/>
        </w:rPr>
        <w:t xml:space="preserve">Limited </w:t>
      </w:r>
      <w:r w:rsidR="00146908">
        <w:rPr>
          <w:color w:val="000000"/>
        </w:rPr>
        <w:t xml:space="preserve">IESO </w:t>
      </w:r>
      <w:r>
        <w:rPr>
          <w:color w:val="000000"/>
        </w:rPr>
        <w:t>human resources;</w:t>
      </w:r>
    </w:p>
    <w:p w14:paraId="6CB25908" w14:textId="7462B562" w:rsidR="002806F7" w:rsidRDefault="002806F7" w:rsidP="008543BC">
      <w:pPr>
        <w:pStyle w:val="BodyText"/>
        <w:numPr>
          <w:ilvl w:val="0"/>
          <w:numId w:val="11"/>
        </w:numPr>
        <w:rPr>
          <w:color w:val="000000"/>
        </w:rPr>
      </w:pPr>
      <w:r>
        <w:rPr>
          <w:color w:val="000000"/>
        </w:rPr>
        <w:t xml:space="preserve">If ICA go-live is delayed, lack of </w:t>
      </w:r>
      <w:r w:rsidR="00146908">
        <w:rPr>
          <w:color w:val="000000"/>
        </w:rPr>
        <w:t xml:space="preserve">capability to </w:t>
      </w:r>
      <w:r>
        <w:rPr>
          <w:color w:val="000000"/>
        </w:rPr>
        <w:t xml:space="preserve">support new build (i.e. out of scope for TCA) </w:t>
      </w:r>
      <w:r w:rsidR="00146908">
        <w:rPr>
          <w:color w:val="000000"/>
        </w:rPr>
        <w:t xml:space="preserve">that </w:t>
      </w:r>
      <w:r w:rsidR="00D94AEB">
        <w:rPr>
          <w:color w:val="000000"/>
        </w:rPr>
        <w:t xml:space="preserve">might </w:t>
      </w:r>
      <w:r w:rsidR="00146908">
        <w:rPr>
          <w:color w:val="000000"/>
        </w:rPr>
        <w:t xml:space="preserve">be required to meet our 2025+ capacity </w:t>
      </w:r>
      <w:r w:rsidR="00C34AD6">
        <w:rPr>
          <w:color w:val="000000"/>
        </w:rPr>
        <w:t>needs; and</w:t>
      </w:r>
    </w:p>
    <w:p w14:paraId="6CB25909" w14:textId="77777777" w:rsidR="005E6F19" w:rsidRDefault="005E6F19" w:rsidP="00146908">
      <w:pPr>
        <w:pStyle w:val="BodyText"/>
      </w:pPr>
      <w:r>
        <w:t xml:space="preserve">More details </w:t>
      </w:r>
      <w:r w:rsidR="00146908">
        <w:t xml:space="preserve">and additional risks </w:t>
      </w:r>
      <w:r>
        <w:t xml:space="preserve">are </w:t>
      </w:r>
      <w:r w:rsidR="00146908">
        <w:t xml:space="preserve">noted </w:t>
      </w:r>
      <w:r>
        <w:t>in the subsequent section of this Project Charter.</w:t>
      </w:r>
    </w:p>
    <w:p w14:paraId="6CB2590A" w14:textId="77777777" w:rsidR="009B1782" w:rsidRDefault="009B1782" w:rsidP="0005728D">
      <w:pPr>
        <w:pStyle w:val="BodyText"/>
      </w:pPr>
    </w:p>
    <w:p w14:paraId="6CB2590B" w14:textId="77777777" w:rsidR="005E6F19" w:rsidRPr="0005728D" w:rsidRDefault="005E6F19" w:rsidP="0005728D">
      <w:pPr>
        <w:pStyle w:val="BodyText"/>
      </w:pPr>
    </w:p>
    <w:p w14:paraId="6CB2590C" w14:textId="77777777" w:rsidR="00C83E1C" w:rsidRDefault="00C83E1C" w:rsidP="00C83E1C">
      <w:pPr>
        <w:pStyle w:val="Heading1"/>
      </w:pPr>
      <w:r>
        <w:t xml:space="preserve">Business </w:t>
      </w:r>
      <w:r w:rsidR="00D92A3A">
        <w:t>Needs</w:t>
      </w:r>
      <w:r w:rsidR="004E21F3">
        <w:t xml:space="preserve"> and </w:t>
      </w:r>
      <w:r w:rsidR="00431EBF">
        <w:t xml:space="preserve">Project </w:t>
      </w:r>
      <w:r w:rsidR="004E21F3">
        <w:t>Goals</w:t>
      </w:r>
    </w:p>
    <w:p w14:paraId="6CB2590D" w14:textId="09D55A7B" w:rsidR="00A41DD9" w:rsidRDefault="0005728D" w:rsidP="00851BF4">
      <w:pPr>
        <w:pStyle w:val="BodyText"/>
        <w:rPr>
          <w:i/>
          <w:color w:val="2E74B5" w:themeColor="accent1" w:themeShade="BF"/>
        </w:rPr>
      </w:pPr>
      <w:r>
        <w:t xml:space="preserve">There is an immediate need to develop and implement a </w:t>
      </w:r>
      <w:r w:rsidR="004B5C68">
        <w:t>mechanism to acquire capacity</w:t>
      </w:r>
      <w:r w:rsidR="009F5BB2">
        <w:rPr>
          <w:rStyle w:val="FootnoteReference"/>
        </w:rPr>
        <w:footnoteReference w:id="4"/>
      </w:r>
      <w:r w:rsidR="004B5C68">
        <w:t xml:space="preserve"> </w:t>
      </w:r>
      <w:r>
        <w:t>in order to mitigate a</w:t>
      </w:r>
      <w:r w:rsidR="00C33C6D">
        <w:t xml:space="preserve">n emerging capacity </w:t>
      </w:r>
      <w:r>
        <w:t>supply gap expected to begin in 2020 and increase significantly in 2023</w:t>
      </w:r>
      <w:r w:rsidR="00C33C6D">
        <w:t xml:space="preserve"> </w:t>
      </w:r>
      <w:r>
        <w:t xml:space="preserve">when </w:t>
      </w:r>
      <w:r w:rsidR="00C33C6D">
        <w:t xml:space="preserve">OPG’s </w:t>
      </w:r>
      <w:r>
        <w:t xml:space="preserve">Pickering </w:t>
      </w:r>
      <w:proofErr w:type="gramStart"/>
      <w:r>
        <w:t>A</w:t>
      </w:r>
      <w:proofErr w:type="gramEnd"/>
      <w:r w:rsidR="00C33C6D">
        <w:t xml:space="preserve"> station</w:t>
      </w:r>
      <w:r>
        <w:t xml:space="preserve"> retire</w:t>
      </w:r>
      <w:r w:rsidR="001D7927">
        <w:t>s</w:t>
      </w:r>
      <w:r w:rsidR="00C33C6D">
        <w:t xml:space="preserve"> and the current contract for OPG’s Lennox GS expires</w:t>
      </w:r>
      <w:r>
        <w:t xml:space="preserve">.  </w:t>
      </w:r>
      <w:r w:rsidR="00851BF4">
        <w:rPr>
          <w:i/>
          <w:color w:val="2E74B5" w:themeColor="accent1" w:themeShade="BF"/>
        </w:rPr>
        <w:tab/>
      </w:r>
    </w:p>
    <w:p w14:paraId="02CE5BA4" w14:textId="5B18D4DD" w:rsidR="001579A7" w:rsidRPr="009F5BB2" w:rsidRDefault="00055D3B" w:rsidP="00CE1254">
      <w:pPr>
        <w:pStyle w:val="BodyText"/>
        <w:rPr>
          <w:lang w:val="en-CA"/>
        </w:rPr>
      </w:pPr>
      <w:r>
        <w:t xml:space="preserve">The IESO believes that </w:t>
      </w:r>
      <w:r w:rsidR="00B82C40" w:rsidRPr="009F5BB2">
        <w:t>a capacity auction is the most effective way to meet Ontario capacity needs for the next decade:</w:t>
      </w:r>
    </w:p>
    <w:p w14:paraId="10070D0A" w14:textId="452102FA" w:rsidR="00055D3B" w:rsidRPr="00CE1254" w:rsidRDefault="00055D3B" w:rsidP="00CE1254">
      <w:pPr>
        <w:pStyle w:val="BodyText"/>
        <w:numPr>
          <w:ilvl w:val="0"/>
          <w:numId w:val="65"/>
        </w:numPr>
        <w:rPr>
          <w:lang w:val="en-CA"/>
        </w:rPr>
      </w:pPr>
      <w:r>
        <w:t>For the next decade, Ontario</w:t>
      </w:r>
      <w:r w:rsidR="00B82C40" w:rsidRPr="009F5BB2">
        <w:t xml:space="preserve"> need</w:t>
      </w:r>
      <w:r>
        <w:t>s</w:t>
      </w:r>
      <w:r w:rsidR="00B82C40" w:rsidRPr="009F5BB2">
        <w:t xml:space="preserve"> capacity and not energy</w:t>
      </w:r>
      <w:r>
        <w:t xml:space="preserve">. </w:t>
      </w:r>
      <w:r w:rsidR="00B82C40" w:rsidRPr="00055D3B">
        <w:t>Th</w:t>
      </w:r>
      <w:r>
        <w:t>at is, th</w:t>
      </w:r>
      <w:r w:rsidR="00B82C40" w:rsidRPr="00055D3B">
        <w:t>e type of resource</w:t>
      </w:r>
      <w:r>
        <w:t>s</w:t>
      </w:r>
      <w:r w:rsidR="00B82C40" w:rsidRPr="00055D3B">
        <w:t xml:space="preserve"> required </w:t>
      </w:r>
      <w:r>
        <w:t xml:space="preserve">to meet </w:t>
      </w:r>
      <w:r w:rsidR="00B82C40" w:rsidRPr="00055D3B">
        <w:t xml:space="preserve">Ontario </w:t>
      </w:r>
      <w:r>
        <w:t xml:space="preserve">capacity </w:t>
      </w:r>
      <w:r w:rsidR="00B82C40" w:rsidRPr="00055D3B">
        <w:t xml:space="preserve">needs over the next decade are resources that will run infrequently during short periods of highest demand or when the system experiences short term challenges </w:t>
      </w:r>
    </w:p>
    <w:p w14:paraId="51178A0C" w14:textId="5FA33240" w:rsidR="001579A7" w:rsidRPr="00055D3B" w:rsidRDefault="00055D3B" w:rsidP="00055D3B">
      <w:pPr>
        <w:pStyle w:val="BodyText"/>
        <w:numPr>
          <w:ilvl w:val="0"/>
          <w:numId w:val="65"/>
        </w:numPr>
        <w:rPr>
          <w:lang w:val="en-CA"/>
        </w:rPr>
      </w:pPr>
      <w:r>
        <w:t xml:space="preserve">Ontario’s capacity need </w:t>
      </w:r>
      <w:r w:rsidR="00B82C40" w:rsidRPr="009F5BB2">
        <w:t>varies through time</w:t>
      </w:r>
      <w:r>
        <w:t>. As a result, a capacity acquisition mechanism that a</w:t>
      </w:r>
      <w:r w:rsidR="00B82C40" w:rsidRPr="009F5BB2">
        <w:t>void</w:t>
      </w:r>
      <w:r>
        <w:t>s</w:t>
      </w:r>
      <w:r w:rsidR="00B82C40" w:rsidRPr="009F5BB2">
        <w:t xml:space="preserve"> locking in and using the wrong resources</w:t>
      </w:r>
      <w:r>
        <w:t xml:space="preserve"> is preferred.</w:t>
      </w:r>
      <w:r w:rsidRPr="00055D3B">
        <w:rPr>
          <w:rFonts w:asciiTheme="minorHAnsi" w:eastAsia="MS PGothic" w:cs="Georgia"/>
          <w:color w:val="000000" w:themeColor="text1"/>
          <w:sz w:val="36"/>
          <w:szCs w:val="36"/>
        </w:rPr>
        <w:t xml:space="preserve"> </w:t>
      </w:r>
      <w:r w:rsidR="00AA3167">
        <w:t>Over the past decade,</w:t>
      </w:r>
      <w:r w:rsidR="00B82C40" w:rsidRPr="00055D3B">
        <w:t xml:space="preserve"> long term contracts locked-in Ontario to limited flexibility and therefore large costs:</w:t>
      </w:r>
    </w:p>
    <w:p w14:paraId="0F17DB89" w14:textId="5139FCA4" w:rsidR="001579A7" w:rsidRPr="00055D3B" w:rsidRDefault="00AA3167" w:rsidP="00CE1254">
      <w:pPr>
        <w:pStyle w:val="BodyText"/>
        <w:numPr>
          <w:ilvl w:val="1"/>
          <w:numId w:val="65"/>
        </w:numPr>
        <w:rPr>
          <w:lang w:val="en-CA"/>
        </w:rPr>
      </w:pPr>
      <w:r>
        <w:t>We observed that the Ontario s</w:t>
      </w:r>
      <w:r w:rsidR="00B82C40" w:rsidRPr="00055D3B">
        <w:t xml:space="preserve">ystem </w:t>
      </w:r>
      <w:r>
        <w:t xml:space="preserve">was </w:t>
      </w:r>
      <w:r w:rsidR="00B82C40" w:rsidRPr="00055D3B">
        <w:t>overbuilt as demand decreased</w:t>
      </w:r>
      <w:r>
        <w:t>.</w:t>
      </w:r>
    </w:p>
    <w:p w14:paraId="214DBCD6" w14:textId="69C62C3B" w:rsidR="001579A7" w:rsidRPr="00055D3B" w:rsidRDefault="00AA3167" w:rsidP="00CE1254">
      <w:pPr>
        <w:pStyle w:val="BodyText"/>
        <w:numPr>
          <w:ilvl w:val="1"/>
          <w:numId w:val="65"/>
        </w:numPr>
        <w:rPr>
          <w:lang w:val="en-CA"/>
        </w:rPr>
      </w:pPr>
      <w:r>
        <w:lastRenderedPageBreak/>
        <w:t>For long stretches of time, baseload generation exceeded</w:t>
      </w:r>
      <w:r w:rsidR="00B82C40" w:rsidRPr="00055D3B">
        <w:t xml:space="preserve"> baseload demand leading to reliance on exports and other mitigation measures</w:t>
      </w:r>
      <w:r>
        <w:t xml:space="preserve"> to balance supply and demand.</w:t>
      </w:r>
    </w:p>
    <w:p w14:paraId="3E521BB5" w14:textId="04D74D7F" w:rsidR="001579A7" w:rsidRPr="00055D3B" w:rsidRDefault="00B82C40" w:rsidP="00CE1254">
      <w:pPr>
        <w:pStyle w:val="BodyText"/>
        <w:numPr>
          <w:ilvl w:val="1"/>
          <w:numId w:val="65"/>
        </w:numPr>
        <w:rPr>
          <w:lang w:val="en-CA"/>
        </w:rPr>
      </w:pPr>
      <w:r w:rsidRPr="00055D3B">
        <w:t>Procurements did not acquir</w:t>
      </w:r>
      <w:r w:rsidR="00AA3167">
        <w:t xml:space="preserve">e the optimal mix of generation, as they </w:t>
      </w:r>
      <w:r w:rsidRPr="00055D3B">
        <w:t>provid</w:t>
      </w:r>
      <w:r w:rsidR="00AA3167">
        <w:t>ed</w:t>
      </w:r>
      <w:r w:rsidRPr="00055D3B">
        <w:t xml:space="preserve"> large amounts of energy but not enough flexibility.  </w:t>
      </w:r>
    </w:p>
    <w:p w14:paraId="419E583A" w14:textId="243755C3" w:rsidR="001579A7" w:rsidRPr="00AA3167" w:rsidRDefault="00B82C40" w:rsidP="00AA3167">
      <w:pPr>
        <w:pStyle w:val="BodyText"/>
        <w:numPr>
          <w:ilvl w:val="1"/>
          <w:numId w:val="65"/>
        </w:numPr>
        <w:rPr>
          <w:lang w:val="en-CA"/>
        </w:rPr>
      </w:pPr>
      <w:r w:rsidRPr="00055D3B">
        <w:t>Contracted resources were protected from market rule changes and didn’t always support system operability – leading to protracted contract amendment discussions (e.g. wind dispatch) or unnecessary costs (e.g. gas generators with high minimum outputs increased hydro spill)</w:t>
      </w:r>
      <w:r w:rsidR="00AA3167">
        <w:rPr>
          <w:lang w:val="en-CA"/>
        </w:rPr>
        <w:t>.</w:t>
      </w:r>
    </w:p>
    <w:p w14:paraId="72AB8502" w14:textId="0C593F83" w:rsidR="001579A7" w:rsidRPr="009F5BB2" w:rsidRDefault="00055D3B" w:rsidP="00CE1254">
      <w:pPr>
        <w:pStyle w:val="BodyText"/>
        <w:numPr>
          <w:ilvl w:val="0"/>
          <w:numId w:val="65"/>
        </w:numPr>
        <w:rPr>
          <w:lang w:val="en-CA"/>
        </w:rPr>
      </w:pPr>
      <w:r>
        <w:t>There is much uncertainty in near-</w:t>
      </w:r>
      <w:r w:rsidR="00B82C40" w:rsidRPr="009F5BB2">
        <w:t xml:space="preserve">term capacity requirements: </w:t>
      </w:r>
      <w:r>
        <w:t>potential changes to the Industrial Initiative (</w:t>
      </w:r>
      <w:r w:rsidR="00B82C40" w:rsidRPr="009F5BB2">
        <w:t>ICI</w:t>
      </w:r>
      <w:r>
        <w:t>)</w:t>
      </w:r>
      <w:r w:rsidR="00B82C40" w:rsidRPr="009F5BB2">
        <w:t>, conservation, nuclear refurbishments etc will likely change capacity needs. Annual capacity auction allows us to adjust requirements year-to-year as information improves</w:t>
      </w:r>
      <w:r>
        <w:t>.</w:t>
      </w:r>
    </w:p>
    <w:p w14:paraId="7B532C7E" w14:textId="18826DC8" w:rsidR="009F5BB2" w:rsidRDefault="00AA3167" w:rsidP="00851BF4">
      <w:pPr>
        <w:pStyle w:val="BodyText"/>
      </w:pPr>
      <w:r>
        <w:t>As a result, i</w:t>
      </w:r>
      <w:r w:rsidR="00B82C40" w:rsidRPr="00AA3167">
        <w:t>n the near term, we expect that a Capacity Auction will be effective at acquiring lower cost resources to meet Ontario capacity needs: re-contracting existing resources, imports, demand response, uprates of existing generators etc</w:t>
      </w:r>
      <w:r>
        <w:t>.</w:t>
      </w:r>
    </w:p>
    <w:p w14:paraId="6CB2590E" w14:textId="3B6173FC" w:rsidR="00A41DD9" w:rsidRDefault="00A41DD9" w:rsidP="00851BF4">
      <w:pPr>
        <w:pStyle w:val="BodyText"/>
      </w:pPr>
      <w:r w:rsidRPr="00A41DD9">
        <w:t xml:space="preserve">The goal of the </w:t>
      </w:r>
      <w:r>
        <w:t xml:space="preserve">TCA </w:t>
      </w:r>
      <w:r w:rsidRPr="00A41DD9">
        <w:t>project is to</w:t>
      </w:r>
      <w:r>
        <w:t xml:space="preserve"> </w:t>
      </w:r>
      <w:r w:rsidR="000C4EAC">
        <w:t xml:space="preserve">competitively </w:t>
      </w:r>
      <w:r w:rsidR="00D4508A">
        <w:t xml:space="preserve">acquire </w:t>
      </w:r>
      <w:r w:rsidR="00B072A6">
        <w:t xml:space="preserve">sufficient additional capacity </w:t>
      </w:r>
      <w:r w:rsidR="003624A6">
        <w:t xml:space="preserve">to </w:t>
      </w:r>
      <w:r>
        <w:t xml:space="preserve">meet </w:t>
      </w:r>
      <w:r w:rsidR="001D7927">
        <w:t xml:space="preserve">Ontario’s </w:t>
      </w:r>
      <w:r>
        <w:t xml:space="preserve">capacity </w:t>
      </w:r>
      <w:r w:rsidR="001D7927">
        <w:t xml:space="preserve">needs </w:t>
      </w:r>
      <w:r>
        <w:t xml:space="preserve">identified by </w:t>
      </w:r>
      <w:r w:rsidR="00116BA5">
        <w:t xml:space="preserve">the </w:t>
      </w:r>
      <w:r w:rsidR="001D7927">
        <w:t>IESO</w:t>
      </w:r>
      <w:r w:rsidR="00116BA5">
        <w:t>’s</w:t>
      </w:r>
      <w:r w:rsidR="001D7927">
        <w:t xml:space="preserve"> </w:t>
      </w:r>
      <w:r>
        <w:t>Resource Planning</w:t>
      </w:r>
      <w:r>
        <w:rPr>
          <w:rStyle w:val="FootnoteReference"/>
        </w:rPr>
        <w:footnoteReference w:id="5"/>
      </w:r>
      <w:r>
        <w:t xml:space="preserve"> </w:t>
      </w:r>
      <w:r w:rsidR="00116BA5">
        <w:t xml:space="preserve">team </w:t>
      </w:r>
      <w:r w:rsidR="00DB34A2">
        <w:t>that occurs between</w:t>
      </w:r>
      <w:r>
        <w:t xml:space="preserve"> summer 2020 </w:t>
      </w:r>
      <w:r w:rsidR="00DB34A2">
        <w:t>and</w:t>
      </w:r>
      <w:r>
        <w:t xml:space="preserve"> winter 202</w:t>
      </w:r>
      <w:r w:rsidR="00FA3090">
        <w:t>4</w:t>
      </w:r>
      <w:r w:rsidR="00917689">
        <w:t>/</w:t>
      </w:r>
      <w:r w:rsidR="009604E1">
        <w:t>20</w:t>
      </w:r>
      <w:r w:rsidR="00917689">
        <w:t>25</w:t>
      </w:r>
      <w:r w:rsidR="00DB34A2">
        <w:t xml:space="preserve">, </w:t>
      </w:r>
      <w:r w:rsidR="004F2102">
        <w:t xml:space="preserve">and </w:t>
      </w:r>
      <w:r w:rsidR="00116BA5">
        <w:t xml:space="preserve">as such </w:t>
      </w:r>
      <w:r w:rsidR="004F2102">
        <w:t>provide a transitional mechanism for participants to participate in the ICA once available</w:t>
      </w:r>
      <w:r w:rsidR="00D4508A">
        <w:t>.</w:t>
      </w:r>
    </w:p>
    <w:p w14:paraId="6CB2590F" w14:textId="77777777" w:rsidR="00A41DD9" w:rsidRDefault="00A41DD9" w:rsidP="00851BF4">
      <w:pPr>
        <w:pStyle w:val="BodyText"/>
      </w:pPr>
      <w:r>
        <w:t>Failure to im</w:t>
      </w:r>
      <w:r w:rsidR="004903C3">
        <w:t xml:space="preserve">plement the </w:t>
      </w:r>
      <w:r w:rsidR="002814FE">
        <w:t xml:space="preserve">TCA </w:t>
      </w:r>
      <w:r w:rsidR="004903C3">
        <w:t xml:space="preserve">project </w:t>
      </w:r>
      <w:r>
        <w:t>will result in:</w:t>
      </w:r>
    </w:p>
    <w:p w14:paraId="6CB25910" w14:textId="1E5E93FD" w:rsidR="00A41DD9" w:rsidRDefault="00383C55" w:rsidP="008543BC">
      <w:pPr>
        <w:pStyle w:val="BodyText"/>
        <w:numPr>
          <w:ilvl w:val="0"/>
          <w:numId w:val="12"/>
        </w:numPr>
      </w:pPr>
      <w:r>
        <w:t xml:space="preserve">Insufficient capacity starting </w:t>
      </w:r>
      <w:r w:rsidR="00917689">
        <w:t xml:space="preserve">summer </w:t>
      </w:r>
      <w:r>
        <w:t xml:space="preserve">2020 to </w:t>
      </w:r>
      <w:r w:rsidR="00917689">
        <w:t xml:space="preserve">winter </w:t>
      </w:r>
      <w:r>
        <w:t>202</w:t>
      </w:r>
      <w:r w:rsidR="00FA3090">
        <w:t>4</w:t>
      </w:r>
      <w:r w:rsidR="00917689">
        <w:t>/25</w:t>
      </w:r>
      <w:r w:rsidR="001D7927">
        <w:t xml:space="preserve"> – potentially causing a reliability issue</w:t>
      </w:r>
      <w:r w:rsidR="000C4EAC">
        <w:t>;</w:t>
      </w:r>
      <w:r w:rsidR="00116BA5">
        <w:t xml:space="preserve"> or</w:t>
      </w:r>
    </w:p>
    <w:p w14:paraId="6CB25911" w14:textId="58FCDE0C" w:rsidR="00E1223F" w:rsidRDefault="00C34AD6" w:rsidP="008543BC">
      <w:pPr>
        <w:pStyle w:val="BodyText"/>
        <w:numPr>
          <w:ilvl w:val="0"/>
          <w:numId w:val="12"/>
        </w:numPr>
      </w:pPr>
      <w:r>
        <w:t xml:space="preserve">The need for long-term contracts or short-term Reliability Must Run Contracts which are </w:t>
      </w:r>
      <w:r w:rsidR="00116BA5">
        <w:t xml:space="preserve">less </w:t>
      </w:r>
      <w:r>
        <w:t>competitive (i.e. less benefits to rate payers) and lack flexible compared to markets</w:t>
      </w:r>
      <w:r>
        <w:rPr>
          <w:rStyle w:val="FootnoteReference"/>
        </w:rPr>
        <w:footnoteReference w:id="6"/>
      </w:r>
      <w:r>
        <w:t xml:space="preserve"> which will increase ratepayer costs.  </w:t>
      </w:r>
      <w:r w:rsidR="00146908">
        <w:t xml:space="preserve">This </w:t>
      </w:r>
      <w:r w:rsidR="003624A6">
        <w:t xml:space="preserve">will </w:t>
      </w:r>
      <w:r w:rsidR="00146908">
        <w:t xml:space="preserve">also </w:t>
      </w:r>
      <w:r w:rsidR="00E1223F">
        <w:t>increase the risk</w:t>
      </w:r>
      <w:r w:rsidR="00222307">
        <w:t xml:space="preserve"> </w:t>
      </w:r>
      <w:r w:rsidR="00146908">
        <w:t>by affecting</w:t>
      </w:r>
      <w:r w:rsidR="00222307">
        <w:t xml:space="preserve"> stakeholder confidence, reduc</w:t>
      </w:r>
      <w:r w:rsidR="00146908">
        <w:t>e</w:t>
      </w:r>
      <w:r w:rsidR="00222307">
        <w:t xml:space="preserve"> competition,</w:t>
      </w:r>
      <w:r w:rsidR="00146908">
        <w:t xml:space="preserve"> and negatively impact the </w:t>
      </w:r>
      <w:r w:rsidR="002D077C">
        <w:t xml:space="preserve">success </w:t>
      </w:r>
      <w:r w:rsidR="00222307">
        <w:t>of ICA</w:t>
      </w:r>
      <w:r w:rsidR="00146908">
        <w:t xml:space="preserve"> and </w:t>
      </w:r>
      <w:r w:rsidR="00DB5721">
        <w:t>its ability</w:t>
      </w:r>
      <w:r w:rsidR="001D7927">
        <w:t xml:space="preserve"> of the IESO to </w:t>
      </w:r>
      <w:r w:rsidR="00146908">
        <w:t xml:space="preserve">attract participation in the </w:t>
      </w:r>
      <w:r w:rsidR="001D7927">
        <w:t>execut</w:t>
      </w:r>
      <w:r w:rsidR="00146908">
        <w:t>ion of</w:t>
      </w:r>
      <w:r w:rsidR="001D7927">
        <w:t xml:space="preserve"> capacity auctions</w:t>
      </w:r>
      <w:r w:rsidR="00146908">
        <w:t>.</w:t>
      </w:r>
      <w:r w:rsidR="00383C55">
        <w:t xml:space="preserve"> </w:t>
      </w:r>
      <w:r w:rsidR="00E1223F" w:rsidRPr="00E1223F">
        <w:t xml:space="preserve"> </w:t>
      </w:r>
    </w:p>
    <w:p w14:paraId="6CB25912" w14:textId="77777777" w:rsidR="0037730F" w:rsidRDefault="00851BF4" w:rsidP="00851BF4">
      <w:pPr>
        <w:pStyle w:val="BodyText"/>
        <w:rPr>
          <w:i/>
          <w:color w:val="2E74B5" w:themeColor="accent1" w:themeShade="BF"/>
        </w:rPr>
      </w:pPr>
      <w:r>
        <w:rPr>
          <w:i/>
          <w:color w:val="2E74B5" w:themeColor="accent1" w:themeShade="BF"/>
        </w:rPr>
        <w:tab/>
      </w:r>
    </w:p>
    <w:p w14:paraId="6CB25913" w14:textId="77777777" w:rsidR="00C83E1C" w:rsidRDefault="0007503C" w:rsidP="004B3B10">
      <w:pPr>
        <w:pStyle w:val="Heading2"/>
      </w:pPr>
      <w:r>
        <w:t xml:space="preserve"> </w:t>
      </w:r>
      <w:r w:rsidR="00C83E1C">
        <w:t>Benefits Expected</w:t>
      </w:r>
    </w:p>
    <w:p w14:paraId="6CB25914" w14:textId="77777777" w:rsidR="00E023BA" w:rsidRDefault="0005728D" w:rsidP="00851BF4">
      <w:pPr>
        <w:pStyle w:val="BodyText"/>
      </w:pPr>
      <w:r>
        <w:t>The benefits of this project include</w:t>
      </w:r>
      <w:r w:rsidR="00E023BA">
        <w:t>:</w:t>
      </w:r>
      <w:r>
        <w:t xml:space="preserve"> </w:t>
      </w:r>
    </w:p>
    <w:p w14:paraId="6CB25915" w14:textId="77777777" w:rsidR="00E90A2E" w:rsidRDefault="003314C8" w:rsidP="008628D0">
      <w:pPr>
        <w:pStyle w:val="BodyText"/>
        <w:numPr>
          <w:ilvl w:val="0"/>
          <w:numId w:val="35"/>
        </w:numPr>
      </w:pPr>
      <w:r>
        <w:t xml:space="preserve">Addressing Ontario capacity requirements reliably and cost-effectively in the period before the ICA is available; </w:t>
      </w:r>
      <w:r w:rsidR="00E90A2E">
        <w:t xml:space="preserve">  </w:t>
      </w:r>
    </w:p>
    <w:p w14:paraId="6CB25916" w14:textId="77777777" w:rsidR="003624A6" w:rsidRDefault="000C4EAC" w:rsidP="008628D0">
      <w:pPr>
        <w:pStyle w:val="BodyText"/>
        <w:numPr>
          <w:ilvl w:val="0"/>
          <w:numId w:val="35"/>
        </w:numPr>
      </w:pPr>
      <w:r>
        <w:lastRenderedPageBreak/>
        <w:t xml:space="preserve">Preparing </w:t>
      </w:r>
      <w:r w:rsidR="003624A6">
        <w:t xml:space="preserve">the IESO and participants for the transition to a </w:t>
      </w:r>
      <w:r w:rsidR="003314C8">
        <w:t>comprehensive, transparent, competitive</w:t>
      </w:r>
      <w:r w:rsidR="003624A6">
        <w:t xml:space="preserve"> capacity </w:t>
      </w:r>
      <w:r w:rsidR="003314C8">
        <w:t xml:space="preserve">acquisition mechanism </w:t>
      </w:r>
      <w:r w:rsidR="00994C6B">
        <w:t>where the target capacity is based on a reliability need</w:t>
      </w:r>
      <w:r w:rsidR="003624A6">
        <w:t>;</w:t>
      </w:r>
      <w:r w:rsidR="00A859A5">
        <w:t xml:space="preserve"> e</w:t>
      </w:r>
      <w:r w:rsidR="00E1223F">
        <w:t xml:space="preserve">nabling a </w:t>
      </w:r>
      <w:r w:rsidR="00E023BA">
        <w:t xml:space="preserve">transition for market participants </w:t>
      </w:r>
      <w:r w:rsidR="00E1223F">
        <w:t xml:space="preserve">and the IESO </w:t>
      </w:r>
      <w:r w:rsidR="00E023BA">
        <w:t>to the ICA</w:t>
      </w:r>
      <w:r w:rsidR="00E1223F">
        <w:t xml:space="preserve"> allowing lessons learned for the </w:t>
      </w:r>
      <w:r w:rsidR="0005728D">
        <w:t>incremental cap</w:t>
      </w:r>
      <w:r w:rsidR="00E023BA">
        <w:t xml:space="preserve">acity auction </w:t>
      </w:r>
      <w:r w:rsidR="00E1223F">
        <w:t>implementation</w:t>
      </w:r>
      <w:r w:rsidR="00E023BA">
        <w:t>;</w:t>
      </w:r>
      <w:r w:rsidR="008010C5">
        <w:t xml:space="preserve"> and</w:t>
      </w:r>
      <w:r w:rsidR="0005728D">
        <w:t xml:space="preserve">  </w:t>
      </w:r>
    </w:p>
    <w:p w14:paraId="6CB25917" w14:textId="77777777" w:rsidR="00933A77" w:rsidRDefault="00E023BA" w:rsidP="008628D0">
      <w:pPr>
        <w:pStyle w:val="BodyText"/>
        <w:numPr>
          <w:ilvl w:val="0"/>
          <w:numId w:val="35"/>
        </w:numPr>
      </w:pPr>
      <w:r>
        <w:t>Limit</w:t>
      </w:r>
      <w:r w:rsidR="008644F6">
        <w:t>ing the</w:t>
      </w:r>
      <w:r>
        <w:t xml:space="preserve"> </w:t>
      </w:r>
      <w:r w:rsidR="000D34F2">
        <w:t xml:space="preserve">change of </w:t>
      </w:r>
      <w:r>
        <w:t>existing business and processes by leveraging the existing DR Auction</w:t>
      </w:r>
      <w:r w:rsidR="008644F6">
        <w:t xml:space="preserve"> </w:t>
      </w:r>
      <w:r w:rsidR="000C4EAC">
        <w:t xml:space="preserve">framework of </w:t>
      </w:r>
      <w:r w:rsidR="008644F6">
        <w:t>rules, manuals and tools</w:t>
      </w:r>
      <w:r>
        <w:t>.</w:t>
      </w:r>
    </w:p>
    <w:p w14:paraId="6CB25918" w14:textId="77DF697E" w:rsidR="00651355" w:rsidRDefault="00506528" w:rsidP="00651355">
      <w:pPr>
        <w:pStyle w:val="BodyText"/>
      </w:pPr>
      <w:r>
        <w:t>T</w:t>
      </w:r>
      <w:r w:rsidR="00651355">
        <w:t xml:space="preserve">he project </w:t>
      </w:r>
      <w:r>
        <w:t>is</w:t>
      </w:r>
      <w:r w:rsidR="00651355">
        <w:t xml:space="preserve"> expected to deliver </w:t>
      </w:r>
      <w:r>
        <w:t xml:space="preserve">a conservatively calculated </w:t>
      </w:r>
      <w:r w:rsidR="009C3721">
        <w:t xml:space="preserve">net </w:t>
      </w:r>
      <w:r>
        <w:t xml:space="preserve">benefit of approximately </w:t>
      </w:r>
      <w:r w:rsidR="00651355">
        <w:t>$</w:t>
      </w:r>
      <w:r w:rsidR="009C3721">
        <w:t>180</w:t>
      </w:r>
      <w:r w:rsidR="00922AFD">
        <w:t xml:space="preserve">M (2019, NPV 5%) compared to traditional contract procurement </w:t>
      </w:r>
      <w:r w:rsidR="00651355">
        <w:t>over 5 years</w:t>
      </w:r>
      <w:r>
        <w:t xml:space="preserve"> of the TCA</w:t>
      </w:r>
      <w:r w:rsidR="00651355">
        <w:t>.</w:t>
      </w:r>
      <w:r w:rsidR="009C3721">
        <w:t xml:space="preserve">  </w:t>
      </w:r>
    </w:p>
    <w:p w14:paraId="6CB25919" w14:textId="77777777" w:rsidR="00651355" w:rsidRDefault="00651355" w:rsidP="00651355">
      <w:pPr>
        <w:pStyle w:val="BodyText"/>
      </w:pPr>
      <w:r>
        <w:t>In developing the financial benefit for the TCA, the analysis used a number of sources of information:</w:t>
      </w:r>
    </w:p>
    <w:p w14:paraId="6CB2591A" w14:textId="77777777" w:rsidR="00651355" w:rsidRDefault="00651355" w:rsidP="008628D0">
      <w:pPr>
        <w:pStyle w:val="BodyText"/>
        <w:numPr>
          <w:ilvl w:val="0"/>
          <w:numId w:val="45"/>
        </w:numPr>
        <w:rPr>
          <w:lang w:val="en-CA"/>
        </w:rPr>
      </w:pPr>
      <w:r>
        <w:t>Information from “</w:t>
      </w:r>
      <w:r>
        <w:rPr>
          <w:lang w:val="en-CA"/>
        </w:rPr>
        <w:t>A Benefits Case Assessment for the Market Renewal Project”</w:t>
      </w:r>
      <w:r w:rsidR="00506528">
        <w:rPr>
          <w:rStyle w:val="FootnoteReference"/>
          <w:lang w:val="en-CA"/>
        </w:rPr>
        <w:footnoteReference w:id="7"/>
      </w:r>
      <w:r>
        <w:rPr>
          <w:lang w:val="en-CA"/>
        </w:rPr>
        <w:t xml:space="preserve"> as well as information from the 2019 MRP Business Case. </w:t>
      </w:r>
    </w:p>
    <w:p w14:paraId="6CB2591B" w14:textId="12C0B726" w:rsidR="00651355" w:rsidRDefault="00651355" w:rsidP="008628D0">
      <w:pPr>
        <w:pStyle w:val="BodyText"/>
        <w:numPr>
          <w:ilvl w:val="0"/>
          <w:numId w:val="45"/>
        </w:numPr>
        <w:rPr>
          <w:lang w:val="en-CA"/>
        </w:rPr>
      </w:pPr>
      <w:r>
        <w:rPr>
          <w:lang w:val="en-CA"/>
        </w:rPr>
        <w:t>Internal projections on expected MWs to meet resource adequacy and resource assurance needs</w:t>
      </w:r>
      <w:r w:rsidR="001C5D4D">
        <w:rPr>
          <w:lang w:val="en-CA"/>
        </w:rPr>
        <w:t>.</w:t>
      </w:r>
      <w:r>
        <w:rPr>
          <w:lang w:val="en-CA"/>
        </w:rPr>
        <w:t xml:space="preserve"> </w:t>
      </w:r>
    </w:p>
    <w:p w14:paraId="69AF4B3A" w14:textId="1601C33E" w:rsidR="00CA7C21" w:rsidRDefault="00CA7C21" w:rsidP="00CA7C21">
      <w:pPr>
        <w:pStyle w:val="BodyText"/>
        <w:numPr>
          <w:ilvl w:val="0"/>
          <w:numId w:val="45"/>
        </w:numPr>
        <w:rPr>
          <w:lang w:val="en-CA"/>
        </w:rPr>
      </w:pPr>
      <w:r>
        <w:rPr>
          <w:lang w:val="en-CA"/>
        </w:rPr>
        <w:t xml:space="preserve">The benefit range was derived from comparing expected costs between the ‘low’ auction price and the ‘low’ contract price scenarios, and the between the ‘high auction price and the ‘high contract price scenarios.  The average of the two resulting NPV </w:t>
      </w:r>
      <w:r w:rsidR="001C5D4D">
        <w:rPr>
          <w:lang w:val="en-CA"/>
        </w:rPr>
        <w:t>values</w:t>
      </w:r>
      <w:r>
        <w:rPr>
          <w:lang w:val="en-CA"/>
        </w:rPr>
        <w:t xml:space="preserve"> was used as the benefit </w:t>
      </w:r>
      <w:r w:rsidR="001C5D4D">
        <w:rPr>
          <w:lang w:val="en-CA"/>
        </w:rPr>
        <w:t>minus</w:t>
      </w:r>
      <w:r>
        <w:rPr>
          <w:lang w:val="en-CA"/>
        </w:rPr>
        <w:t xml:space="preserve"> the TCA cost of implementation.</w:t>
      </w:r>
    </w:p>
    <w:p w14:paraId="6CB2591C" w14:textId="6E8A4DA3" w:rsidR="00651355" w:rsidRDefault="00651355" w:rsidP="008628D0">
      <w:pPr>
        <w:pStyle w:val="BodyText"/>
        <w:numPr>
          <w:ilvl w:val="0"/>
          <w:numId w:val="45"/>
        </w:numPr>
        <w:rPr>
          <w:lang w:val="en-CA"/>
        </w:rPr>
      </w:pPr>
      <w:r>
        <w:rPr>
          <w:lang w:val="en-CA"/>
        </w:rPr>
        <w:t xml:space="preserve">An estimate of future </w:t>
      </w:r>
      <w:r w:rsidR="0036129E">
        <w:rPr>
          <w:lang w:val="en-CA"/>
        </w:rPr>
        <w:t xml:space="preserve">capacity </w:t>
      </w:r>
      <w:r>
        <w:rPr>
          <w:lang w:val="en-CA"/>
        </w:rPr>
        <w:t>auction clearing prices, where the market clearing price reflects the number of MWs required:</w:t>
      </w:r>
    </w:p>
    <w:p w14:paraId="2819CDDD" w14:textId="77777777" w:rsidR="00CA7C21" w:rsidRDefault="00CA7C21" w:rsidP="00CA7C21">
      <w:pPr>
        <w:pStyle w:val="BodyText"/>
        <w:numPr>
          <w:ilvl w:val="1"/>
          <w:numId w:val="45"/>
        </w:numPr>
        <w:rPr>
          <w:lang w:val="en-CA"/>
        </w:rPr>
      </w:pPr>
      <w:r>
        <w:rPr>
          <w:lang w:val="en-CA"/>
        </w:rPr>
        <w:t>In g</w:t>
      </w:r>
      <w:r w:rsidRPr="00082BBC">
        <w:rPr>
          <w:lang w:val="en-CA"/>
        </w:rPr>
        <w:t>eneral terms</w:t>
      </w:r>
      <w:r>
        <w:rPr>
          <w:lang w:val="en-CA"/>
        </w:rPr>
        <w:t>,</w:t>
      </w:r>
      <w:r w:rsidRPr="00082BBC">
        <w:rPr>
          <w:lang w:val="en-CA"/>
        </w:rPr>
        <w:t xml:space="preserve"> clearing prices </w:t>
      </w:r>
      <w:r>
        <w:rPr>
          <w:lang w:val="en-CA"/>
        </w:rPr>
        <w:t xml:space="preserve">in an auction </w:t>
      </w:r>
      <w:r w:rsidRPr="00082BBC">
        <w:rPr>
          <w:lang w:val="en-CA"/>
        </w:rPr>
        <w:t xml:space="preserve">will reflect the </w:t>
      </w:r>
      <w:r>
        <w:rPr>
          <w:lang w:val="en-CA"/>
        </w:rPr>
        <w:t>cost of acquiring sufficient resources to meet at least the target capacity</w:t>
      </w:r>
    </w:p>
    <w:p w14:paraId="7B0BF5FC" w14:textId="6524065E" w:rsidR="004730BB" w:rsidRDefault="00A75B51" w:rsidP="00082BBC">
      <w:pPr>
        <w:pStyle w:val="BodyText"/>
        <w:numPr>
          <w:ilvl w:val="1"/>
          <w:numId w:val="45"/>
        </w:numPr>
        <w:rPr>
          <w:lang w:val="en-CA"/>
        </w:rPr>
      </w:pPr>
      <w:r>
        <w:rPr>
          <w:lang w:val="en-CA"/>
        </w:rPr>
        <w:t xml:space="preserve">In developing representative pricing, </w:t>
      </w:r>
      <w:r w:rsidR="004730BB">
        <w:rPr>
          <w:lang w:val="en-CA"/>
        </w:rPr>
        <w:t>the la</w:t>
      </w:r>
      <w:r>
        <w:rPr>
          <w:lang w:val="en-CA"/>
        </w:rPr>
        <w:t>t</w:t>
      </w:r>
      <w:r w:rsidR="004730BB">
        <w:rPr>
          <w:lang w:val="en-CA"/>
        </w:rPr>
        <w:t>est</w:t>
      </w:r>
      <w:r>
        <w:rPr>
          <w:lang w:val="en-CA"/>
        </w:rPr>
        <w:t xml:space="preserve"> DR auction prices were used as a reasonable starting point an</w:t>
      </w:r>
      <w:r w:rsidR="004730BB">
        <w:rPr>
          <w:lang w:val="en-CA"/>
        </w:rPr>
        <w:t>d</w:t>
      </w:r>
      <w:r>
        <w:rPr>
          <w:lang w:val="en-CA"/>
        </w:rPr>
        <w:t xml:space="preserve"> then prices were incremented using a ‘high’ and ‘low’</w:t>
      </w:r>
      <w:r w:rsidR="004730BB">
        <w:rPr>
          <w:lang w:val="en-CA"/>
        </w:rPr>
        <w:t xml:space="preserve"> price scenario</w:t>
      </w:r>
      <w:r w:rsidR="0036129E">
        <w:rPr>
          <w:lang w:val="en-CA"/>
        </w:rPr>
        <w:t xml:space="preserve"> to develop a sensitivity for potential savings:</w:t>
      </w:r>
    </w:p>
    <w:p w14:paraId="30C94651" w14:textId="5BFD0384" w:rsidR="001B701C" w:rsidRPr="00D8126B" w:rsidRDefault="00A75B51" w:rsidP="00F445C7">
      <w:pPr>
        <w:pStyle w:val="BodyText"/>
        <w:numPr>
          <w:ilvl w:val="2"/>
          <w:numId w:val="45"/>
        </w:numPr>
        <w:rPr>
          <w:lang w:val="en-CA"/>
        </w:rPr>
      </w:pPr>
      <w:r w:rsidRPr="0036129E">
        <w:rPr>
          <w:lang w:val="en-CA"/>
        </w:rPr>
        <w:t>In the low price scenario</w:t>
      </w:r>
      <w:r w:rsidR="0036129E" w:rsidRPr="0036129E">
        <w:rPr>
          <w:lang w:val="en-CA"/>
        </w:rPr>
        <w:t xml:space="preserve">, </w:t>
      </w:r>
      <w:r w:rsidR="0036129E">
        <w:rPr>
          <w:lang w:val="en-CA"/>
        </w:rPr>
        <w:t>a</w:t>
      </w:r>
      <w:r w:rsidR="001B701C" w:rsidRPr="0036129E">
        <w:rPr>
          <w:lang w:val="en-CA"/>
        </w:rPr>
        <w:t xml:space="preserve">uction </w:t>
      </w:r>
      <w:r w:rsidRPr="0036129E">
        <w:rPr>
          <w:lang w:val="en-CA"/>
        </w:rPr>
        <w:t>clearing prices w</w:t>
      </w:r>
      <w:r w:rsidR="00A67E5F" w:rsidRPr="0036129E">
        <w:rPr>
          <w:lang w:val="en-CA"/>
        </w:rPr>
        <w:t>ere incremented by 10% and 7% in the first 2 years and then by 25% and 47% in the last two respectively.</w:t>
      </w:r>
    </w:p>
    <w:p w14:paraId="393E6E9F" w14:textId="4B196481" w:rsidR="001B701C" w:rsidRDefault="00CA7C21" w:rsidP="00F445C7">
      <w:pPr>
        <w:pStyle w:val="BodyText"/>
        <w:numPr>
          <w:ilvl w:val="2"/>
          <w:numId w:val="45"/>
        </w:numPr>
        <w:rPr>
          <w:lang w:val="en-CA"/>
        </w:rPr>
      </w:pPr>
      <w:r w:rsidRPr="00CA7C21">
        <w:rPr>
          <w:lang w:val="en-CA"/>
        </w:rPr>
        <w:t xml:space="preserve"> </w:t>
      </w:r>
      <w:r>
        <w:rPr>
          <w:lang w:val="en-CA"/>
        </w:rPr>
        <w:t>In the high price scenario, auction clearing prices</w:t>
      </w:r>
      <w:r w:rsidR="00A75B51">
        <w:rPr>
          <w:lang w:val="en-CA"/>
        </w:rPr>
        <w:t xml:space="preserve"> rise by </w:t>
      </w:r>
      <w:r w:rsidR="001B701C">
        <w:rPr>
          <w:lang w:val="en-CA"/>
        </w:rPr>
        <w:t>10% to 25% year over year.</w:t>
      </w:r>
    </w:p>
    <w:p w14:paraId="2A699FD2" w14:textId="283174D8" w:rsidR="0036129E" w:rsidRDefault="0036129E" w:rsidP="0036129E">
      <w:pPr>
        <w:pStyle w:val="BodyText"/>
        <w:numPr>
          <w:ilvl w:val="1"/>
          <w:numId w:val="45"/>
        </w:numPr>
        <w:rPr>
          <w:lang w:val="en-CA"/>
        </w:rPr>
      </w:pPr>
      <w:r>
        <w:rPr>
          <w:lang w:val="en-CA"/>
        </w:rPr>
        <w:t>In both scenarios, forecasted prices increase more dramatically in 2023 and then again 2024</w:t>
      </w:r>
      <w:r w:rsidR="00CA7C21" w:rsidRPr="00CA7C21">
        <w:rPr>
          <w:lang w:val="en-CA"/>
        </w:rPr>
        <w:t xml:space="preserve"> </w:t>
      </w:r>
      <w:r w:rsidR="00CA7C21">
        <w:rPr>
          <w:lang w:val="en-CA"/>
        </w:rPr>
        <w:t>due to higher capacity needs</w:t>
      </w:r>
      <w:r>
        <w:rPr>
          <w:lang w:val="en-CA"/>
        </w:rPr>
        <w:t xml:space="preserve">.  In 2023, imports, and other resources </w:t>
      </w:r>
      <w:r>
        <w:rPr>
          <w:lang w:val="en-CA"/>
        </w:rPr>
        <w:lastRenderedPageBreak/>
        <w:t>are expected to compete with Lennox, while in 2024, a new build price was included.</w:t>
      </w:r>
    </w:p>
    <w:p w14:paraId="6CB25920" w14:textId="33B5A491" w:rsidR="00651355" w:rsidRDefault="00651355" w:rsidP="008628D0">
      <w:pPr>
        <w:pStyle w:val="BodyText"/>
        <w:numPr>
          <w:ilvl w:val="0"/>
          <w:numId w:val="45"/>
        </w:numPr>
        <w:rPr>
          <w:lang w:val="en-CA"/>
        </w:rPr>
      </w:pPr>
      <w:r>
        <w:rPr>
          <w:lang w:val="en-CA"/>
        </w:rPr>
        <w:t>In the “but for” contracting case</w:t>
      </w:r>
      <w:r w:rsidR="004D17DD">
        <w:rPr>
          <w:lang w:val="en-CA"/>
        </w:rPr>
        <w:t>s</w:t>
      </w:r>
      <w:r>
        <w:rPr>
          <w:lang w:val="en-CA"/>
        </w:rPr>
        <w:t xml:space="preserve"> it is assumed that MWs are procured through targeted procurements</w:t>
      </w:r>
      <w:r w:rsidR="004D17DD">
        <w:rPr>
          <w:lang w:val="en-CA"/>
        </w:rPr>
        <w:t>,</w:t>
      </w:r>
      <w:r w:rsidR="0036129E">
        <w:rPr>
          <w:lang w:val="en-CA"/>
        </w:rPr>
        <w:t xml:space="preserve"> and again a ‘low’ price and ‘high’ price scenario </w:t>
      </w:r>
      <w:r w:rsidR="00CA7C21">
        <w:rPr>
          <w:lang w:val="en-CA"/>
        </w:rPr>
        <w:t>were</w:t>
      </w:r>
      <w:r w:rsidR="0036129E">
        <w:rPr>
          <w:lang w:val="en-CA"/>
        </w:rPr>
        <w:t xml:space="preserve"> developed</w:t>
      </w:r>
      <w:r>
        <w:rPr>
          <w:lang w:val="en-CA"/>
        </w:rPr>
        <w:t>:</w:t>
      </w:r>
    </w:p>
    <w:p w14:paraId="3E121406" w14:textId="7EC3210E" w:rsidR="0036129E" w:rsidRDefault="0036129E" w:rsidP="0036129E">
      <w:pPr>
        <w:pStyle w:val="BodyText"/>
        <w:numPr>
          <w:ilvl w:val="0"/>
          <w:numId w:val="47"/>
        </w:numPr>
        <w:ind w:left="1440"/>
        <w:rPr>
          <w:lang w:val="en-CA"/>
        </w:rPr>
      </w:pPr>
      <w:r>
        <w:rPr>
          <w:lang w:val="en-CA"/>
        </w:rPr>
        <w:t>In the ‘low’ price scenario, a</w:t>
      </w:r>
      <w:r w:rsidR="00651355" w:rsidRPr="00A948AE">
        <w:rPr>
          <w:lang w:val="en-CA"/>
        </w:rPr>
        <w:t xml:space="preserve">dditional DR is contracted at </w:t>
      </w:r>
      <w:r w:rsidR="00651355">
        <w:rPr>
          <w:lang w:val="en-CA"/>
        </w:rPr>
        <w:t xml:space="preserve">a 15% discount to those procured </w:t>
      </w:r>
      <w:r w:rsidR="00651355" w:rsidRPr="00A948AE">
        <w:rPr>
          <w:lang w:val="en-CA"/>
        </w:rPr>
        <w:t>under the DR3 program. Lennox GS is re-contracted at a modest premium to existing prices to reflect remediation work necessary to keep the plant operating. Needs in 2024 are met at the cost of a single cycle gas turbine (low case)</w:t>
      </w:r>
      <w:r w:rsidR="004D17DD">
        <w:rPr>
          <w:lang w:val="en-CA"/>
        </w:rPr>
        <w:t>.</w:t>
      </w:r>
      <w:r w:rsidR="00651355" w:rsidRPr="00A948AE">
        <w:rPr>
          <w:lang w:val="en-CA"/>
        </w:rPr>
        <w:t xml:space="preserve"> </w:t>
      </w:r>
    </w:p>
    <w:p w14:paraId="23C0899B" w14:textId="0C5C3CFE" w:rsidR="0036129E" w:rsidRPr="004D17DD" w:rsidRDefault="0036129E" w:rsidP="004D17DD">
      <w:pPr>
        <w:pStyle w:val="BodyText"/>
        <w:numPr>
          <w:ilvl w:val="0"/>
          <w:numId w:val="47"/>
        </w:numPr>
        <w:ind w:left="1440"/>
        <w:rPr>
          <w:lang w:val="en-CA"/>
        </w:rPr>
      </w:pPr>
      <w:r>
        <w:rPr>
          <w:lang w:val="en-CA"/>
        </w:rPr>
        <w:t xml:space="preserve">The </w:t>
      </w:r>
      <w:r w:rsidR="00D8126B">
        <w:rPr>
          <w:lang w:val="en-CA"/>
        </w:rPr>
        <w:t>‘</w:t>
      </w:r>
      <w:r>
        <w:rPr>
          <w:lang w:val="en-CA"/>
        </w:rPr>
        <w:t>high</w:t>
      </w:r>
      <w:r w:rsidR="00D8126B">
        <w:rPr>
          <w:lang w:val="en-CA"/>
        </w:rPr>
        <w:t>’</w:t>
      </w:r>
      <w:r>
        <w:rPr>
          <w:lang w:val="en-CA"/>
        </w:rPr>
        <w:t xml:space="preserve"> price scenario has RFP prices steady until 2021 followed </w:t>
      </w:r>
      <w:r w:rsidR="001C5D4D">
        <w:rPr>
          <w:lang w:val="en-CA"/>
        </w:rPr>
        <w:t>b</w:t>
      </w:r>
      <w:r>
        <w:rPr>
          <w:lang w:val="en-CA"/>
        </w:rPr>
        <w:t>y modest increases for 2022 and 2023 with a jump in pricing for 2024 due to the assume</w:t>
      </w:r>
      <w:r w:rsidR="001C5D4D">
        <w:rPr>
          <w:lang w:val="en-CA"/>
        </w:rPr>
        <w:t>d</w:t>
      </w:r>
      <w:r>
        <w:rPr>
          <w:lang w:val="en-CA"/>
        </w:rPr>
        <w:t xml:space="preserve"> new build</w:t>
      </w:r>
      <w:r w:rsidR="004D17DD">
        <w:rPr>
          <w:lang w:val="en-CA"/>
        </w:rPr>
        <w:t xml:space="preserve"> </w:t>
      </w:r>
      <w:r w:rsidR="004D17DD" w:rsidRPr="00A948AE">
        <w:rPr>
          <w:lang w:val="en-CA"/>
        </w:rPr>
        <w:t xml:space="preserve">of a combined cycle gas turbine (high case). </w:t>
      </w:r>
    </w:p>
    <w:p w14:paraId="2BBC1567" w14:textId="77777777" w:rsidR="00D8126B" w:rsidRDefault="00651355" w:rsidP="00F445C7">
      <w:pPr>
        <w:pStyle w:val="BodyText"/>
        <w:numPr>
          <w:ilvl w:val="0"/>
          <w:numId w:val="47"/>
        </w:numPr>
        <w:ind w:left="1440"/>
        <w:rPr>
          <w:lang w:val="en-CA"/>
        </w:rPr>
      </w:pPr>
      <w:r w:rsidRPr="00A948AE">
        <w:rPr>
          <w:lang w:val="en-CA"/>
        </w:rPr>
        <w:t xml:space="preserve">In both cases it is assumed that an RFP is issued in 2020 and the resource </w:t>
      </w:r>
      <w:r>
        <w:rPr>
          <w:lang w:val="en-CA"/>
        </w:rPr>
        <w:t>comes into service (or returns to service if it is off contract) in 2024</w:t>
      </w:r>
      <w:r w:rsidRPr="00A948AE">
        <w:rPr>
          <w:lang w:val="en-CA"/>
        </w:rPr>
        <w:t xml:space="preserve">. </w:t>
      </w:r>
    </w:p>
    <w:p w14:paraId="4B02D783" w14:textId="50A8CF7D" w:rsidR="00D8126B" w:rsidRPr="00D8126B" w:rsidRDefault="00D8126B" w:rsidP="00F445C7">
      <w:pPr>
        <w:pStyle w:val="BodyText"/>
        <w:numPr>
          <w:ilvl w:val="0"/>
          <w:numId w:val="45"/>
        </w:numPr>
        <w:rPr>
          <w:lang w:val="en-CA"/>
        </w:rPr>
      </w:pPr>
      <w:r w:rsidRPr="00D8126B">
        <w:rPr>
          <w:lang w:val="en-CA"/>
        </w:rPr>
        <w:t xml:space="preserve">In </w:t>
      </w:r>
      <w:r>
        <w:rPr>
          <w:lang w:val="en-CA"/>
        </w:rPr>
        <w:t>all scenarios, an annual 2.5% inflation adder was included.</w:t>
      </w:r>
    </w:p>
    <w:p w14:paraId="6CB25922" w14:textId="00DDEC26" w:rsidR="00651355" w:rsidRDefault="00651355" w:rsidP="00651355">
      <w:pPr>
        <w:pStyle w:val="BodyText"/>
        <w:rPr>
          <w:lang w:val="en-CA"/>
        </w:rPr>
      </w:pPr>
      <w:r>
        <w:rPr>
          <w:lang w:val="en-CA"/>
        </w:rPr>
        <w:t>In conducting the analysis</w:t>
      </w:r>
      <w:r w:rsidR="001C5D4D">
        <w:rPr>
          <w:lang w:val="en-CA"/>
        </w:rPr>
        <w:t>,</w:t>
      </w:r>
      <w:r>
        <w:rPr>
          <w:lang w:val="en-CA"/>
        </w:rPr>
        <w:t xml:space="preserve"> a conservative assessment has been taken. Specifically, a number of sources of potential benefits have been omitted including:</w:t>
      </w:r>
    </w:p>
    <w:p w14:paraId="45505A5F" w14:textId="77777777" w:rsidR="00D8126B" w:rsidRPr="00A948AE" w:rsidRDefault="00D8126B" w:rsidP="00D8126B">
      <w:pPr>
        <w:pStyle w:val="BodyText"/>
        <w:numPr>
          <w:ilvl w:val="0"/>
          <w:numId w:val="46"/>
        </w:numPr>
      </w:pPr>
      <w:r w:rsidRPr="00A948AE">
        <w:t>No ben</w:t>
      </w:r>
      <w:r>
        <w:t>efits from existing DR auction (</w:t>
      </w:r>
      <w:r w:rsidRPr="00A948AE">
        <w:t>i.e</w:t>
      </w:r>
      <w:r>
        <w:t xml:space="preserve">. target MW are reduced by ~750 </w:t>
      </w:r>
      <w:r w:rsidRPr="00A948AE">
        <w:t>MW</w:t>
      </w:r>
      <w:r>
        <w:t>)</w:t>
      </w:r>
      <w:r w:rsidRPr="00A948AE">
        <w:t xml:space="preserve"> </w:t>
      </w:r>
      <w:r>
        <w:t>as it is assumed that the DR auction could continue to acquire similar quantities to what cleared in December 2018.  As such, this calculation only considers incremental capacity above the 750 MW.</w:t>
      </w:r>
    </w:p>
    <w:p w14:paraId="6CB25923" w14:textId="55752F32" w:rsidR="00651355" w:rsidRPr="00A948AE" w:rsidRDefault="00651355" w:rsidP="00D8126B">
      <w:pPr>
        <w:pStyle w:val="BodyText"/>
        <w:numPr>
          <w:ilvl w:val="0"/>
          <w:numId w:val="46"/>
        </w:numPr>
      </w:pPr>
      <w:r w:rsidRPr="00A948AE">
        <w:t xml:space="preserve">No integration benefits from </w:t>
      </w:r>
      <w:r w:rsidR="001C5D4D">
        <w:t xml:space="preserve">implementing the </w:t>
      </w:r>
      <w:r w:rsidRPr="00A948AE">
        <w:t>Single Schedule Market</w:t>
      </w:r>
      <w:r w:rsidR="001C5D4D">
        <w:t xml:space="preserve"> in 2022.</w:t>
      </w:r>
      <w:r w:rsidRPr="00A948AE">
        <w:t xml:space="preserve"> </w:t>
      </w:r>
    </w:p>
    <w:p w14:paraId="6CB25925" w14:textId="499C8A6E" w:rsidR="00651355" w:rsidRPr="00A948AE" w:rsidRDefault="00651355" w:rsidP="008628D0">
      <w:pPr>
        <w:pStyle w:val="BodyText"/>
        <w:numPr>
          <w:ilvl w:val="0"/>
          <w:numId w:val="46"/>
        </w:numPr>
      </w:pPr>
      <w:r>
        <w:t>Auction attracts</w:t>
      </w:r>
      <w:r w:rsidRPr="00A948AE">
        <w:t xml:space="preserve"> modest up</w:t>
      </w:r>
      <w:r w:rsidR="001C5D4D">
        <w:t>r</w:t>
      </w:r>
      <w:r w:rsidRPr="00A948AE">
        <w:t>ates (3% of fleet, versus 7-10% considered achievable)</w:t>
      </w:r>
      <w:r w:rsidR="00506528">
        <w:t xml:space="preserve"> to existing output of the current installed capacity in Ontario.</w:t>
      </w:r>
    </w:p>
    <w:p w14:paraId="6CB25926" w14:textId="1577739B" w:rsidR="00651355" w:rsidRPr="00A948AE" w:rsidRDefault="00651355" w:rsidP="008628D0">
      <w:pPr>
        <w:pStyle w:val="BodyText"/>
        <w:numPr>
          <w:ilvl w:val="0"/>
          <w:numId w:val="46"/>
        </w:numPr>
      </w:pPr>
      <w:r w:rsidRPr="00A948AE">
        <w:t xml:space="preserve">Auction prices </w:t>
      </w:r>
      <w:r>
        <w:t xml:space="preserve">rise from current levels and </w:t>
      </w:r>
      <w:r w:rsidRPr="00A948AE">
        <w:t xml:space="preserve">more than double to attract a </w:t>
      </w:r>
      <w:r w:rsidR="00506528">
        <w:t>combustion turbine</w:t>
      </w:r>
      <w:r w:rsidRPr="00A948AE">
        <w:t xml:space="preserve"> or existing gas asset to clear the TCA</w:t>
      </w:r>
      <w:r w:rsidR="001C5D4D">
        <w:t>.</w:t>
      </w:r>
      <w:r w:rsidRPr="00A948AE">
        <w:t xml:space="preserve"> </w:t>
      </w:r>
    </w:p>
    <w:p w14:paraId="6CB25927" w14:textId="77777777" w:rsidR="00651355" w:rsidRPr="00A948AE" w:rsidRDefault="00651355" w:rsidP="008628D0">
      <w:pPr>
        <w:pStyle w:val="BodyText"/>
        <w:numPr>
          <w:ilvl w:val="0"/>
          <w:numId w:val="46"/>
        </w:numPr>
      </w:pPr>
      <w:r w:rsidRPr="00A948AE">
        <w:t>Modest levels of imports consistent with Planning/Operations assumptions</w:t>
      </w:r>
    </w:p>
    <w:p w14:paraId="6CB25928" w14:textId="229ACC64" w:rsidR="00651355" w:rsidRDefault="00651355" w:rsidP="008628D0">
      <w:pPr>
        <w:pStyle w:val="BodyText"/>
        <w:numPr>
          <w:ilvl w:val="0"/>
          <w:numId w:val="46"/>
        </w:numPr>
      </w:pPr>
      <w:r w:rsidRPr="00A948AE">
        <w:t xml:space="preserve">No </w:t>
      </w:r>
      <w:r w:rsidR="001C5D4D">
        <w:t xml:space="preserve">reduction of </w:t>
      </w:r>
      <w:r w:rsidRPr="00A948AE">
        <w:t xml:space="preserve">benefits </w:t>
      </w:r>
      <w:r w:rsidR="001C5D4D">
        <w:t xml:space="preserve">for the “but for” procurement case </w:t>
      </w:r>
      <w:r w:rsidRPr="00A948AE">
        <w:t xml:space="preserve">from </w:t>
      </w:r>
      <w:r>
        <w:t>locking</w:t>
      </w:r>
      <w:r w:rsidR="001C5D4D">
        <w:t>-</w:t>
      </w:r>
      <w:r>
        <w:t>in resources</w:t>
      </w:r>
      <w:r w:rsidRPr="00A948AE">
        <w:t xml:space="preserve"> that subsequently </w:t>
      </w:r>
      <w:r w:rsidR="001C5D4D">
        <w:t xml:space="preserve">are </w:t>
      </w:r>
      <w:r w:rsidRPr="00A948AE">
        <w:t>not required</w:t>
      </w:r>
    </w:p>
    <w:p w14:paraId="6CB25929" w14:textId="77777777" w:rsidR="00651355" w:rsidRDefault="00651355" w:rsidP="008628D0">
      <w:pPr>
        <w:pStyle w:val="BodyText"/>
        <w:numPr>
          <w:ilvl w:val="0"/>
          <w:numId w:val="46"/>
        </w:numPr>
      </w:pPr>
      <w:r>
        <w:t>The “but for” procurement case assumes the IESO can procure DR at lower rates than under DR3 ($90,000 MW-</w:t>
      </w:r>
      <w:proofErr w:type="spellStart"/>
      <w:r>
        <w:t>yr</w:t>
      </w:r>
      <w:proofErr w:type="spellEnd"/>
      <w:r>
        <w:t xml:space="preserve"> versus $104,000 MW-</w:t>
      </w:r>
      <w:proofErr w:type="spellStart"/>
      <w:r>
        <w:t>yr</w:t>
      </w:r>
      <w:proofErr w:type="spellEnd"/>
      <w:r>
        <w:t xml:space="preserve">) </w:t>
      </w:r>
    </w:p>
    <w:p w14:paraId="6CB2592A" w14:textId="254514C3" w:rsidR="00651355" w:rsidRPr="00A948AE" w:rsidRDefault="00651355" w:rsidP="00651355">
      <w:pPr>
        <w:pStyle w:val="BodyText"/>
      </w:pPr>
      <w:r>
        <w:t xml:space="preserve">There is </w:t>
      </w:r>
      <w:r w:rsidR="00506528">
        <w:t>some</w:t>
      </w:r>
      <w:r w:rsidR="00D8126B">
        <w:t xml:space="preserve"> additional</w:t>
      </w:r>
      <w:r>
        <w:t xml:space="preserve"> sensitivity in developing the above calculation as the majority of the benefits accrue in the latter 2 years of the TCA when significant MWs are needed to meet system needs.  Should the TCA be less effective, or an RFP more effective than expected then </w:t>
      </w:r>
      <w:r>
        <w:lastRenderedPageBreak/>
        <w:t>the potential benefits would be reduced.  However, the experience from other jurisdictions and from Ontario is that once an annual auction mechanism is in place it has consistently exceeded expectations in its ability to attract low cost capacity resources that were previously not in the market</w:t>
      </w:r>
      <w:r w:rsidR="009C3721">
        <w:t>.</w:t>
      </w:r>
    </w:p>
    <w:p w14:paraId="6CB2592B" w14:textId="77777777" w:rsidR="00651355" w:rsidRDefault="00651355" w:rsidP="008628D0">
      <w:pPr>
        <w:pStyle w:val="BodyText"/>
      </w:pPr>
    </w:p>
    <w:p w14:paraId="7F9C103E" w14:textId="5238EEB0" w:rsidR="009C3721" w:rsidRDefault="009C3721" w:rsidP="008628D0">
      <w:pPr>
        <w:pStyle w:val="BodyText"/>
      </w:pPr>
      <w:r>
        <w:t>Detail</w:t>
      </w:r>
      <w:r w:rsidR="001C5D4D">
        <w:t>ed</w:t>
      </w:r>
      <w:r>
        <w:t xml:space="preserve"> benefit calculations are show in Appendix C.</w:t>
      </w:r>
    </w:p>
    <w:p w14:paraId="6CB2592C" w14:textId="77777777" w:rsidR="00651355" w:rsidRDefault="00651355" w:rsidP="008628D0">
      <w:pPr>
        <w:pStyle w:val="BodyText"/>
      </w:pPr>
    </w:p>
    <w:p w14:paraId="6CB25935" w14:textId="77777777" w:rsidR="004F2102" w:rsidRDefault="004F2102" w:rsidP="008628D0">
      <w:pPr>
        <w:pStyle w:val="BodyText"/>
      </w:pPr>
      <w:r>
        <w:t>Upon completion of the TCA Project the following business objectives are expected to be achieved:</w:t>
      </w:r>
    </w:p>
    <w:tbl>
      <w:tblPr>
        <w:tblStyle w:val="TableGrid"/>
        <w:tblW w:w="0" w:type="auto"/>
        <w:tblLook w:val="04A0" w:firstRow="1" w:lastRow="0" w:firstColumn="1" w:lastColumn="0" w:noHBand="0" w:noVBand="1"/>
      </w:tblPr>
      <w:tblGrid>
        <w:gridCol w:w="1278"/>
        <w:gridCol w:w="1402"/>
        <w:gridCol w:w="6660"/>
        <w:gridCol w:w="18"/>
      </w:tblGrid>
      <w:tr w:rsidR="004F2102" w14:paraId="6CB25939" w14:textId="77777777" w:rsidTr="005D7EFE">
        <w:trPr>
          <w:trHeight w:val="1178"/>
          <w:tblHeader/>
        </w:trPr>
        <w:tc>
          <w:tcPr>
            <w:tcW w:w="1278" w:type="dxa"/>
            <w:shd w:val="clear" w:color="auto" w:fill="F2F2F2" w:themeFill="background1" w:themeFillShade="F2"/>
          </w:tcPr>
          <w:p w14:paraId="6CB25936" w14:textId="77777777" w:rsidR="004F2102" w:rsidRDefault="004F2102" w:rsidP="00C008CB">
            <w:pPr>
              <w:pStyle w:val="TableHead"/>
            </w:pPr>
            <w:r>
              <w:t>Business Objective ID</w:t>
            </w:r>
          </w:p>
        </w:tc>
        <w:tc>
          <w:tcPr>
            <w:tcW w:w="1402" w:type="dxa"/>
            <w:shd w:val="clear" w:color="auto" w:fill="F2F2F2" w:themeFill="background1" w:themeFillShade="F2"/>
          </w:tcPr>
          <w:p w14:paraId="6CB25937" w14:textId="77777777" w:rsidR="004F2102" w:rsidRDefault="004F2102" w:rsidP="00C008CB">
            <w:pPr>
              <w:pStyle w:val="TableHead"/>
            </w:pPr>
            <w:r>
              <w:t>Component</w:t>
            </w:r>
          </w:p>
        </w:tc>
        <w:tc>
          <w:tcPr>
            <w:tcW w:w="6678" w:type="dxa"/>
            <w:gridSpan w:val="2"/>
            <w:shd w:val="clear" w:color="auto" w:fill="F2F2F2" w:themeFill="background1" w:themeFillShade="F2"/>
          </w:tcPr>
          <w:p w14:paraId="6CB25938" w14:textId="77777777" w:rsidR="004F2102" w:rsidRDefault="004F2102" w:rsidP="00C008CB">
            <w:pPr>
              <w:pStyle w:val="TableHead"/>
            </w:pPr>
            <w:r>
              <w:t>Business Objective</w:t>
            </w:r>
          </w:p>
        </w:tc>
      </w:tr>
      <w:tr w:rsidR="004F2102" w14:paraId="6CB2593D" w14:textId="77777777" w:rsidTr="00C008CB">
        <w:tc>
          <w:tcPr>
            <w:tcW w:w="1278" w:type="dxa"/>
          </w:tcPr>
          <w:p w14:paraId="6CB2593A" w14:textId="77777777" w:rsidR="004F2102" w:rsidRPr="000D2C0A" w:rsidRDefault="004F2102" w:rsidP="00C008CB">
            <w:pPr>
              <w:pStyle w:val="TableText"/>
            </w:pPr>
            <w:r w:rsidRPr="000D2C0A">
              <w:t>1</w:t>
            </w:r>
          </w:p>
        </w:tc>
        <w:tc>
          <w:tcPr>
            <w:tcW w:w="1402" w:type="dxa"/>
          </w:tcPr>
          <w:p w14:paraId="6CB2593B" w14:textId="77777777" w:rsidR="004F2102" w:rsidRPr="00CE1254" w:rsidRDefault="004F2102" w:rsidP="00C008CB">
            <w:pPr>
              <w:spacing w:after="200" w:line="276" w:lineRule="auto"/>
              <w:contextualSpacing/>
              <w:rPr>
                <w:rFonts w:ascii="Palatino Linotype" w:hAnsi="Palatino Linotype"/>
                <w:sz w:val="22"/>
              </w:rPr>
            </w:pPr>
            <w:r w:rsidRPr="00CE1254">
              <w:rPr>
                <w:rFonts w:ascii="Palatino Linotype" w:hAnsi="Palatino Linotype"/>
                <w:sz w:val="22"/>
              </w:rPr>
              <w:t>Phase 1</w:t>
            </w:r>
          </w:p>
        </w:tc>
        <w:tc>
          <w:tcPr>
            <w:tcW w:w="6678" w:type="dxa"/>
            <w:gridSpan w:val="2"/>
          </w:tcPr>
          <w:p w14:paraId="6CB2593C" w14:textId="650E8015" w:rsidR="006A262D" w:rsidRPr="000D2C0A" w:rsidRDefault="006A262D" w:rsidP="00D7193D">
            <w:pPr>
              <w:spacing w:after="200" w:line="276" w:lineRule="auto"/>
              <w:contextualSpacing/>
              <w:rPr>
                <w:rFonts w:ascii="Palatino Linotype" w:hAnsi="Palatino Linotype"/>
                <w:sz w:val="22"/>
                <w:szCs w:val="22"/>
                <w:lang w:eastAsia="en-CA"/>
              </w:rPr>
            </w:pPr>
            <w:r w:rsidRPr="00CE1254">
              <w:rPr>
                <w:rFonts w:ascii="Palatino Linotype" w:hAnsi="Palatino Linotype"/>
              </w:rPr>
              <w:t xml:space="preserve">Enable dispatchable, </w:t>
            </w:r>
            <w:r w:rsidR="001C5D4D">
              <w:rPr>
                <w:rFonts w:ascii="Palatino Linotype" w:hAnsi="Palatino Linotype"/>
                <w:sz w:val="22"/>
                <w:szCs w:val="22"/>
              </w:rPr>
              <w:t>n</w:t>
            </w:r>
            <w:r w:rsidR="00C7174F" w:rsidRPr="000D2C0A">
              <w:rPr>
                <w:rFonts w:ascii="Palatino Linotype" w:hAnsi="Palatino Linotype"/>
                <w:sz w:val="22"/>
                <w:szCs w:val="22"/>
              </w:rPr>
              <w:t>on</w:t>
            </w:r>
            <w:r w:rsidR="001C5D4D">
              <w:rPr>
                <w:rFonts w:ascii="Palatino Linotype" w:hAnsi="Palatino Linotype"/>
                <w:sz w:val="22"/>
                <w:szCs w:val="22"/>
              </w:rPr>
              <w:t>-</w:t>
            </w:r>
            <w:r w:rsidR="00C7174F" w:rsidRPr="000D2C0A">
              <w:rPr>
                <w:rFonts w:ascii="Palatino Linotype" w:hAnsi="Palatino Linotype"/>
                <w:sz w:val="22"/>
                <w:szCs w:val="22"/>
              </w:rPr>
              <w:t>committed</w:t>
            </w:r>
            <w:r w:rsidR="00D7193D" w:rsidRPr="000D2C0A">
              <w:rPr>
                <w:rFonts w:ascii="Palatino Linotype" w:hAnsi="Palatino Linotype"/>
                <w:sz w:val="22"/>
                <w:szCs w:val="22"/>
              </w:rPr>
              <w:t xml:space="preserve"> </w:t>
            </w:r>
            <w:r w:rsidRPr="00CE1254">
              <w:rPr>
                <w:rFonts w:ascii="Palatino Linotype" w:hAnsi="Palatino Linotype"/>
              </w:rPr>
              <w:t>generators to participate in TCA and to deliver capacity to meet May 2020 to April 2021 capacity need.</w:t>
            </w:r>
          </w:p>
        </w:tc>
      </w:tr>
      <w:tr w:rsidR="004F2102" w14:paraId="6CB25946" w14:textId="77777777" w:rsidTr="00C008CB">
        <w:trPr>
          <w:gridAfter w:val="1"/>
          <w:wAfter w:w="18" w:type="dxa"/>
        </w:trPr>
        <w:tc>
          <w:tcPr>
            <w:tcW w:w="1278" w:type="dxa"/>
          </w:tcPr>
          <w:p w14:paraId="6CB2593E" w14:textId="77777777" w:rsidR="004F2102" w:rsidRPr="000D2C0A" w:rsidRDefault="003B23EA" w:rsidP="00C008CB">
            <w:pPr>
              <w:pStyle w:val="TableText"/>
            </w:pPr>
            <w:r w:rsidRPr="000D2C0A">
              <w:t>2</w:t>
            </w:r>
          </w:p>
        </w:tc>
        <w:tc>
          <w:tcPr>
            <w:tcW w:w="1402" w:type="dxa"/>
          </w:tcPr>
          <w:p w14:paraId="6CB2593F" w14:textId="77777777" w:rsidR="004F2102" w:rsidRPr="00CE1254" w:rsidRDefault="004F2102" w:rsidP="00C008CB">
            <w:pPr>
              <w:rPr>
                <w:rFonts w:ascii="Palatino Linotype" w:hAnsi="Palatino Linotype"/>
                <w:sz w:val="22"/>
              </w:rPr>
            </w:pPr>
            <w:r w:rsidRPr="00CE1254">
              <w:rPr>
                <w:rFonts w:ascii="Palatino Linotype" w:hAnsi="Palatino Linotype"/>
                <w:sz w:val="22"/>
              </w:rPr>
              <w:t>Phase 2</w:t>
            </w:r>
          </w:p>
        </w:tc>
        <w:tc>
          <w:tcPr>
            <w:tcW w:w="6660" w:type="dxa"/>
          </w:tcPr>
          <w:p w14:paraId="6CB25940" w14:textId="77777777" w:rsidR="008429A0" w:rsidRPr="000D2C0A" w:rsidRDefault="008429A0" w:rsidP="00E9582D">
            <w:pPr>
              <w:pStyle w:val="TableText"/>
            </w:pPr>
            <w:r w:rsidRPr="000D2C0A">
              <w:t xml:space="preserve">Improve the capacity qualification process, as well </w:t>
            </w:r>
            <w:r w:rsidR="00712109" w:rsidRPr="000D2C0A">
              <w:t>as, enable</w:t>
            </w:r>
            <w:r w:rsidR="006A262D" w:rsidRPr="000D2C0A">
              <w:t>:</w:t>
            </w:r>
          </w:p>
          <w:p w14:paraId="6CB25941" w14:textId="77777777" w:rsidR="006A262D" w:rsidRPr="000D2C0A" w:rsidRDefault="006A262D" w:rsidP="008628D0">
            <w:pPr>
              <w:pStyle w:val="TableText"/>
              <w:numPr>
                <w:ilvl w:val="0"/>
                <w:numId w:val="37"/>
              </w:numPr>
            </w:pPr>
            <w:r w:rsidRPr="000D2C0A">
              <w:t>system-backed imports,</w:t>
            </w:r>
          </w:p>
          <w:p w14:paraId="6CB25942" w14:textId="77777777" w:rsidR="006A262D" w:rsidRPr="000D2C0A" w:rsidRDefault="006A262D" w:rsidP="008628D0">
            <w:pPr>
              <w:pStyle w:val="TableText"/>
              <w:numPr>
                <w:ilvl w:val="0"/>
                <w:numId w:val="37"/>
              </w:numPr>
            </w:pPr>
            <w:r w:rsidRPr="000D2C0A">
              <w:t>resource-backed imports,</w:t>
            </w:r>
          </w:p>
          <w:p w14:paraId="6CB25943" w14:textId="77777777" w:rsidR="006A262D" w:rsidRPr="000D2C0A" w:rsidRDefault="006A262D" w:rsidP="008628D0">
            <w:pPr>
              <w:pStyle w:val="TableText"/>
              <w:numPr>
                <w:ilvl w:val="0"/>
                <w:numId w:val="37"/>
              </w:numPr>
            </w:pPr>
            <w:r w:rsidRPr="000D2C0A">
              <w:t>up rates and remaining uncontracted plant capacity, and</w:t>
            </w:r>
          </w:p>
          <w:p w14:paraId="6CB25944" w14:textId="77777777" w:rsidR="006A262D" w:rsidRPr="000D2C0A" w:rsidRDefault="006A262D" w:rsidP="008628D0">
            <w:pPr>
              <w:pStyle w:val="TableText"/>
              <w:numPr>
                <w:ilvl w:val="0"/>
                <w:numId w:val="37"/>
              </w:numPr>
            </w:pPr>
            <w:r w:rsidRPr="000D2C0A">
              <w:t>self-scheduling</w:t>
            </w:r>
            <w:r w:rsidR="003314C8" w:rsidRPr="000D2C0A">
              <w:t xml:space="preserve"> resources</w:t>
            </w:r>
            <w:r w:rsidRPr="000D2C0A">
              <w:t xml:space="preserve"> </w:t>
            </w:r>
          </w:p>
          <w:p w14:paraId="6CB25945" w14:textId="77777777" w:rsidR="006A262D" w:rsidRPr="000D2C0A" w:rsidDel="00EE67D3" w:rsidRDefault="006A262D" w:rsidP="00A86372">
            <w:pPr>
              <w:pStyle w:val="TableText"/>
            </w:pPr>
            <w:proofErr w:type="gramStart"/>
            <w:r w:rsidRPr="000D2C0A">
              <w:t>to</w:t>
            </w:r>
            <w:proofErr w:type="gramEnd"/>
            <w:r w:rsidRPr="000D2C0A">
              <w:t xml:space="preserve"> participate in TCAs and to deliver capacity to meet May 2021 to April 2025 capacity need. </w:t>
            </w:r>
          </w:p>
        </w:tc>
      </w:tr>
    </w:tbl>
    <w:p w14:paraId="6CB25947" w14:textId="77777777" w:rsidR="004F2102" w:rsidRDefault="004F2102" w:rsidP="004F2102">
      <w:pPr>
        <w:pStyle w:val="BodyText"/>
        <w:ind w:left="1440"/>
      </w:pPr>
    </w:p>
    <w:p w14:paraId="6CB25948" w14:textId="77777777" w:rsidR="004F2102" w:rsidRDefault="004F2102" w:rsidP="00851BF4">
      <w:pPr>
        <w:pStyle w:val="BodyText"/>
      </w:pPr>
    </w:p>
    <w:p w14:paraId="6CB25949" w14:textId="77777777" w:rsidR="00851BF4" w:rsidRDefault="00851BF4" w:rsidP="00C83E1C">
      <w:pPr>
        <w:ind w:left="1296"/>
        <w:rPr>
          <w:rFonts w:ascii="Palatino Linotype" w:hAnsi="Palatino Linotype"/>
          <w:i/>
          <w:color w:val="2E74B5" w:themeColor="accent1" w:themeShade="BF"/>
          <w:sz w:val="22"/>
          <w:szCs w:val="22"/>
        </w:rPr>
      </w:pPr>
    </w:p>
    <w:p w14:paraId="758675C8" w14:textId="77777777" w:rsidR="006C6656" w:rsidRDefault="006C6656">
      <w:pPr>
        <w:spacing w:before="0"/>
        <w:rPr>
          <w:rFonts w:ascii="Cambria" w:eastAsiaTheme="majorEastAsia" w:hAnsi="Cambria" w:cstheme="majorBidi"/>
          <w:b/>
          <w:sz w:val="24"/>
          <w:szCs w:val="24"/>
        </w:rPr>
      </w:pPr>
      <w:r>
        <w:br w:type="page"/>
      </w:r>
    </w:p>
    <w:p w14:paraId="6CB2594A" w14:textId="25E5A20C" w:rsidR="00431EBF" w:rsidRPr="00E04AFE" w:rsidRDefault="00431EBF" w:rsidP="006A6B49">
      <w:pPr>
        <w:pStyle w:val="Heading2"/>
      </w:pPr>
      <w:r w:rsidRPr="00E04AFE">
        <w:lastRenderedPageBreak/>
        <w:t>Measures for Business Objectives</w:t>
      </w:r>
      <w:r>
        <w:t xml:space="preserve"> </w:t>
      </w:r>
    </w:p>
    <w:p w14:paraId="6CB2594B" w14:textId="77777777" w:rsidR="003D3E45" w:rsidRPr="00851BF4" w:rsidRDefault="003D3E45" w:rsidP="003D3E45">
      <w:pPr>
        <w:pStyle w:val="BodyText"/>
      </w:pPr>
      <w:r>
        <w:t>TCA project business objectives will be measured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4"/>
        <w:gridCol w:w="1276"/>
        <w:gridCol w:w="4135"/>
        <w:gridCol w:w="2971"/>
      </w:tblGrid>
      <w:tr w:rsidR="00357A88" w14:paraId="6CB25950" w14:textId="77777777" w:rsidTr="00B67B37">
        <w:trPr>
          <w:cantSplit/>
          <w:tblHeader/>
        </w:trPr>
        <w:tc>
          <w:tcPr>
            <w:tcW w:w="1194" w:type="dxa"/>
            <w:shd w:val="clear" w:color="auto" w:fill="F2F2F2"/>
            <w:vAlign w:val="center"/>
          </w:tcPr>
          <w:p w14:paraId="6CB2594C" w14:textId="77777777" w:rsidR="00357A88" w:rsidRDefault="00CA5D2A" w:rsidP="008C08B6">
            <w:pPr>
              <w:pStyle w:val="TableHead"/>
            </w:pPr>
            <w:r>
              <w:t>Business Objective Measure  ID</w:t>
            </w:r>
          </w:p>
        </w:tc>
        <w:tc>
          <w:tcPr>
            <w:tcW w:w="1276" w:type="dxa"/>
            <w:shd w:val="clear" w:color="auto" w:fill="F2F2F2"/>
            <w:vAlign w:val="center"/>
          </w:tcPr>
          <w:p w14:paraId="6CB2594D" w14:textId="77777777" w:rsidR="00357A88" w:rsidRDefault="00357A88" w:rsidP="008C08B6">
            <w:pPr>
              <w:pStyle w:val="TableHead"/>
            </w:pPr>
            <w:r>
              <w:t>Business Objective #</w:t>
            </w:r>
          </w:p>
        </w:tc>
        <w:tc>
          <w:tcPr>
            <w:tcW w:w="4135" w:type="dxa"/>
            <w:shd w:val="clear" w:color="auto" w:fill="F2F2F2"/>
            <w:vAlign w:val="center"/>
          </w:tcPr>
          <w:p w14:paraId="6CB2594E" w14:textId="77777777" w:rsidR="00357A88" w:rsidRDefault="00357A88" w:rsidP="008C08B6">
            <w:pPr>
              <w:pStyle w:val="TableHead"/>
            </w:pPr>
            <w:r>
              <w:t>Procedure for Measures</w:t>
            </w:r>
            <w:r>
              <w:br/>
              <w:t>(identify how the performance will be measured)</w:t>
            </w:r>
          </w:p>
        </w:tc>
        <w:tc>
          <w:tcPr>
            <w:tcW w:w="2971" w:type="dxa"/>
            <w:shd w:val="clear" w:color="auto" w:fill="F2F2F2"/>
            <w:vAlign w:val="center"/>
          </w:tcPr>
          <w:p w14:paraId="6CB2594F" w14:textId="77777777" w:rsidR="00357A88" w:rsidRDefault="00357A88" w:rsidP="008C08B6">
            <w:pPr>
              <w:pStyle w:val="TableHead"/>
              <w:tabs>
                <w:tab w:val="center" w:pos="4275"/>
              </w:tabs>
              <w:jc w:val="left"/>
            </w:pPr>
            <w:r>
              <w:t>Measured when and by whom?</w:t>
            </w:r>
          </w:p>
        </w:tc>
      </w:tr>
      <w:tr w:rsidR="00810FC6" w14:paraId="6CB25955" w14:textId="77777777" w:rsidTr="001F1512">
        <w:trPr>
          <w:cantSplit/>
        </w:trPr>
        <w:tc>
          <w:tcPr>
            <w:tcW w:w="1194" w:type="dxa"/>
            <w:vAlign w:val="center"/>
          </w:tcPr>
          <w:p w14:paraId="6CB25951" w14:textId="77777777" w:rsidR="00810FC6" w:rsidRDefault="00810FC6" w:rsidP="00E90BCE">
            <w:pPr>
              <w:pStyle w:val="TableText"/>
              <w:jc w:val="center"/>
            </w:pPr>
            <w:r>
              <w:t>1</w:t>
            </w:r>
          </w:p>
        </w:tc>
        <w:tc>
          <w:tcPr>
            <w:tcW w:w="1276" w:type="dxa"/>
            <w:vAlign w:val="center"/>
          </w:tcPr>
          <w:p w14:paraId="6CB25952" w14:textId="77777777" w:rsidR="00810FC6" w:rsidRDefault="00810FC6" w:rsidP="001F1512">
            <w:pPr>
              <w:pStyle w:val="TableText"/>
              <w:jc w:val="center"/>
            </w:pPr>
            <w:r>
              <w:t>1</w:t>
            </w:r>
          </w:p>
        </w:tc>
        <w:tc>
          <w:tcPr>
            <w:tcW w:w="4135" w:type="dxa"/>
          </w:tcPr>
          <w:p w14:paraId="6CB25953" w14:textId="77777777" w:rsidR="00810FC6" w:rsidRDefault="00EC0893" w:rsidP="00EE67D3">
            <w:pPr>
              <w:pStyle w:val="ListBullet"/>
              <w:numPr>
                <w:ilvl w:val="0"/>
                <w:numId w:val="0"/>
              </w:numPr>
              <w:spacing w:before="60" w:after="60"/>
            </w:pPr>
            <w:r w:rsidRPr="001F1512">
              <w:rPr>
                <w:rFonts w:ascii="Palatino Linotype" w:hAnsi="Palatino Linotype"/>
                <w:sz w:val="22"/>
                <w:szCs w:val="22"/>
                <w:lang w:eastAsia="en-CA"/>
              </w:rPr>
              <w:t>T</w:t>
            </w:r>
            <w:r w:rsidR="00EE67D3">
              <w:rPr>
                <w:rFonts w:ascii="Palatino Linotype" w:hAnsi="Palatino Linotype"/>
                <w:sz w:val="22"/>
                <w:szCs w:val="22"/>
                <w:lang w:eastAsia="en-CA"/>
              </w:rPr>
              <w:t xml:space="preserve">ransitional </w:t>
            </w:r>
            <w:r w:rsidRPr="001F1512">
              <w:rPr>
                <w:rFonts w:ascii="Palatino Linotype" w:hAnsi="Palatino Linotype"/>
                <w:sz w:val="22"/>
                <w:szCs w:val="22"/>
                <w:lang w:eastAsia="en-CA"/>
              </w:rPr>
              <w:t>C</w:t>
            </w:r>
            <w:r w:rsidR="00EE67D3">
              <w:rPr>
                <w:rFonts w:ascii="Palatino Linotype" w:hAnsi="Palatino Linotype"/>
                <w:sz w:val="22"/>
                <w:szCs w:val="22"/>
                <w:lang w:eastAsia="en-CA"/>
              </w:rPr>
              <w:t xml:space="preserve">apacity </w:t>
            </w:r>
            <w:r w:rsidRPr="001F1512">
              <w:rPr>
                <w:rFonts w:ascii="Palatino Linotype" w:hAnsi="Palatino Linotype"/>
                <w:sz w:val="22"/>
                <w:szCs w:val="22"/>
                <w:lang w:eastAsia="en-CA"/>
              </w:rPr>
              <w:t>A</w:t>
            </w:r>
            <w:r w:rsidR="00EE67D3">
              <w:rPr>
                <w:rFonts w:ascii="Palatino Linotype" w:hAnsi="Palatino Linotype"/>
                <w:sz w:val="22"/>
                <w:szCs w:val="22"/>
                <w:lang w:eastAsia="en-CA"/>
              </w:rPr>
              <w:t>uction</w:t>
            </w:r>
            <w:r w:rsidRPr="001F1512">
              <w:rPr>
                <w:rFonts w:ascii="Palatino Linotype" w:hAnsi="Palatino Linotype"/>
                <w:sz w:val="22"/>
                <w:szCs w:val="22"/>
                <w:lang w:eastAsia="en-CA"/>
              </w:rPr>
              <w:t xml:space="preserve"> is </w:t>
            </w:r>
            <w:r w:rsidR="00EE67D3">
              <w:rPr>
                <w:rFonts w:ascii="Palatino Linotype" w:hAnsi="Palatino Linotype"/>
                <w:sz w:val="22"/>
                <w:szCs w:val="22"/>
                <w:lang w:eastAsia="en-CA"/>
              </w:rPr>
              <w:t xml:space="preserve">successfully </w:t>
            </w:r>
            <w:r w:rsidRPr="001F1512">
              <w:rPr>
                <w:rFonts w:ascii="Palatino Linotype" w:hAnsi="Palatino Linotype"/>
                <w:sz w:val="22"/>
                <w:szCs w:val="22"/>
                <w:lang w:eastAsia="en-CA"/>
              </w:rPr>
              <w:t xml:space="preserve">implemented and </w:t>
            </w:r>
            <w:r w:rsidR="00EE67D3">
              <w:rPr>
                <w:rFonts w:ascii="Palatino Linotype" w:hAnsi="Palatino Linotype"/>
                <w:sz w:val="22"/>
                <w:szCs w:val="22"/>
                <w:lang w:eastAsia="en-CA"/>
              </w:rPr>
              <w:t>operated to</w:t>
            </w:r>
            <w:r w:rsidRPr="001F1512">
              <w:rPr>
                <w:rFonts w:ascii="Palatino Linotype" w:hAnsi="Palatino Linotype"/>
                <w:sz w:val="22"/>
                <w:szCs w:val="22"/>
                <w:lang w:eastAsia="en-CA"/>
              </w:rPr>
              <w:t xml:space="preserve"> acquire the required target capacity</w:t>
            </w:r>
            <w:r w:rsidR="00180FEB">
              <w:rPr>
                <w:rFonts w:ascii="Palatino Linotype" w:hAnsi="Palatino Linotype"/>
                <w:sz w:val="22"/>
                <w:szCs w:val="22"/>
                <w:lang w:eastAsia="en-CA"/>
              </w:rPr>
              <w:t xml:space="preserve"> through 2019 TCA</w:t>
            </w:r>
            <w:r w:rsidRPr="001F1512">
              <w:rPr>
                <w:rFonts w:ascii="Palatino Linotype" w:hAnsi="Palatino Linotype"/>
                <w:sz w:val="22"/>
                <w:szCs w:val="22"/>
                <w:lang w:eastAsia="en-CA"/>
              </w:rPr>
              <w:t>.</w:t>
            </w:r>
            <w:r>
              <w:t xml:space="preserve"> </w:t>
            </w:r>
          </w:p>
        </w:tc>
        <w:tc>
          <w:tcPr>
            <w:tcW w:w="2971" w:type="dxa"/>
          </w:tcPr>
          <w:p w14:paraId="6CB25954" w14:textId="77777777" w:rsidR="00810FC6" w:rsidRDefault="00A808F1" w:rsidP="008C08B6">
            <w:pPr>
              <w:pStyle w:val="TableText"/>
              <w:spacing w:before="60" w:after="60"/>
            </w:pPr>
            <w:r>
              <w:t xml:space="preserve">December 2019 – ongoing for each auction – Director, Power System Assessments </w:t>
            </w:r>
          </w:p>
        </w:tc>
      </w:tr>
      <w:tr w:rsidR="00FE3430" w14:paraId="6CB2595A" w14:textId="77777777" w:rsidTr="001F1512">
        <w:trPr>
          <w:cantSplit/>
        </w:trPr>
        <w:tc>
          <w:tcPr>
            <w:tcW w:w="1194" w:type="dxa"/>
            <w:vAlign w:val="center"/>
          </w:tcPr>
          <w:p w14:paraId="6CB25956" w14:textId="77777777" w:rsidR="00FE3430" w:rsidRDefault="00FE3430" w:rsidP="00E90BCE">
            <w:pPr>
              <w:pStyle w:val="TableText"/>
              <w:jc w:val="center"/>
            </w:pPr>
            <w:r>
              <w:t>2</w:t>
            </w:r>
          </w:p>
        </w:tc>
        <w:tc>
          <w:tcPr>
            <w:tcW w:w="1276" w:type="dxa"/>
            <w:vAlign w:val="center"/>
          </w:tcPr>
          <w:p w14:paraId="6CB25957" w14:textId="77777777" w:rsidR="00FE3430" w:rsidRDefault="00FE3430" w:rsidP="004F02DD">
            <w:pPr>
              <w:pStyle w:val="TableText"/>
              <w:jc w:val="center"/>
            </w:pPr>
            <w:r>
              <w:t>1</w:t>
            </w:r>
          </w:p>
        </w:tc>
        <w:tc>
          <w:tcPr>
            <w:tcW w:w="4135" w:type="dxa"/>
          </w:tcPr>
          <w:p w14:paraId="6CB25958" w14:textId="785493FF" w:rsidR="00FE3430" w:rsidRPr="004F02DD" w:rsidRDefault="00FE3430" w:rsidP="00A5297C">
            <w:pPr>
              <w:pStyle w:val="ListBullet"/>
              <w:numPr>
                <w:ilvl w:val="0"/>
                <w:numId w:val="0"/>
              </w:numPr>
              <w:spacing w:before="60" w:after="60"/>
              <w:rPr>
                <w:rFonts w:ascii="Palatino Linotype" w:hAnsi="Palatino Linotype"/>
                <w:sz w:val="22"/>
                <w:szCs w:val="22"/>
                <w:lang w:eastAsia="en-CA"/>
              </w:rPr>
            </w:pPr>
            <w:r>
              <w:rPr>
                <w:rFonts w:ascii="Palatino Linotype" w:hAnsi="Palatino Linotype"/>
                <w:sz w:val="22"/>
                <w:szCs w:val="22"/>
                <w:lang w:eastAsia="en-CA"/>
              </w:rPr>
              <w:t>D</w:t>
            </w:r>
            <w:r w:rsidRPr="0059735C">
              <w:rPr>
                <w:rFonts w:ascii="Palatino Linotype" w:hAnsi="Palatino Linotype"/>
                <w:sz w:val="22"/>
                <w:szCs w:val="22"/>
                <w:lang w:eastAsia="en-CA"/>
              </w:rPr>
              <w:t xml:space="preserve">ispatchable, </w:t>
            </w:r>
            <w:r w:rsidR="00B352B9">
              <w:rPr>
                <w:rFonts w:ascii="Palatino Linotype" w:hAnsi="Palatino Linotype"/>
                <w:sz w:val="22"/>
                <w:szCs w:val="22"/>
              </w:rPr>
              <w:t>n</w:t>
            </w:r>
            <w:r w:rsidR="00C7174F">
              <w:rPr>
                <w:rFonts w:ascii="Palatino Linotype" w:hAnsi="Palatino Linotype"/>
                <w:sz w:val="22"/>
                <w:szCs w:val="22"/>
              </w:rPr>
              <w:t>on</w:t>
            </w:r>
            <w:r w:rsidR="00B352B9">
              <w:rPr>
                <w:rFonts w:ascii="Palatino Linotype" w:hAnsi="Palatino Linotype"/>
                <w:sz w:val="22"/>
                <w:szCs w:val="22"/>
              </w:rPr>
              <w:t>-</w:t>
            </w:r>
            <w:r w:rsidR="00C7174F">
              <w:rPr>
                <w:rFonts w:ascii="Palatino Linotype" w:hAnsi="Palatino Linotype"/>
                <w:sz w:val="22"/>
                <w:szCs w:val="22"/>
              </w:rPr>
              <w:t>committed</w:t>
            </w:r>
            <w:r w:rsidR="00EF749B">
              <w:rPr>
                <w:rFonts w:ascii="Palatino Linotype" w:hAnsi="Palatino Linotype"/>
                <w:sz w:val="22"/>
                <w:szCs w:val="22"/>
              </w:rPr>
              <w:t xml:space="preserve"> </w:t>
            </w:r>
            <w:r w:rsidRPr="0059735C">
              <w:rPr>
                <w:rFonts w:ascii="Palatino Linotype" w:hAnsi="Palatino Linotype"/>
                <w:sz w:val="22"/>
                <w:szCs w:val="22"/>
                <w:lang w:eastAsia="en-CA"/>
              </w:rPr>
              <w:t xml:space="preserve">generators </w:t>
            </w:r>
            <w:r>
              <w:rPr>
                <w:rFonts w:ascii="Palatino Linotype" w:hAnsi="Palatino Linotype"/>
                <w:sz w:val="22"/>
                <w:szCs w:val="22"/>
                <w:lang w:eastAsia="en-CA"/>
              </w:rPr>
              <w:t>are able to participate in</w:t>
            </w:r>
            <w:r w:rsidRPr="0059735C">
              <w:rPr>
                <w:rFonts w:ascii="Palatino Linotype" w:hAnsi="Palatino Linotype"/>
                <w:sz w:val="22"/>
                <w:szCs w:val="22"/>
                <w:lang w:eastAsia="en-CA"/>
              </w:rPr>
              <w:t xml:space="preserve"> December 2019 TCA</w:t>
            </w:r>
            <w:r>
              <w:rPr>
                <w:rFonts w:ascii="Palatino Linotype" w:hAnsi="Palatino Linotype"/>
                <w:sz w:val="22"/>
                <w:szCs w:val="22"/>
                <w:lang w:eastAsia="en-CA"/>
              </w:rPr>
              <w:t>.</w:t>
            </w:r>
          </w:p>
        </w:tc>
        <w:tc>
          <w:tcPr>
            <w:tcW w:w="2971" w:type="dxa"/>
          </w:tcPr>
          <w:p w14:paraId="6CB25959" w14:textId="77777777" w:rsidR="00FE3430" w:rsidRPr="004F02DD" w:rsidRDefault="00FE3430" w:rsidP="00975336">
            <w:pPr>
              <w:pStyle w:val="ListBullet"/>
              <w:numPr>
                <w:ilvl w:val="0"/>
                <w:numId w:val="0"/>
              </w:numPr>
              <w:spacing w:before="60" w:after="60"/>
              <w:rPr>
                <w:rFonts w:ascii="Palatino Linotype" w:hAnsi="Palatino Linotype"/>
                <w:sz w:val="22"/>
                <w:szCs w:val="22"/>
                <w:lang w:eastAsia="en-CA"/>
              </w:rPr>
            </w:pPr>
            <w:r w:rsidRPr="004F02DD">
              <w:rPr>
                <w:rFonts w:ascii="Palatino Linotype" w:hAnsi="Palatino Linotype"/>
                <w:sz w:val="22"/>
                <w:szCs w:val="22"/>
                <w:lang w:eastAsia="en-CA"/>
              </w:rPr>
              <w:t>December 2019 – ongoing for each auction – Director, Power System Assessments</w:t>
            </w:r>
          </w:p>
        </w:tc>
      </w:tr>
      <w:tr w:rsidR="00FE3430" w14:paraId="6CB2595F" w14:textId="77777777" w:rsidTr="001F1512">
        <w:trPr>
          <w:cantSplit/>
        </w:trPr>
        <w:tc>
          <w:tcPr>
            <w:tcW w:w="1194" w:type="dxa"/>
            <w:vAlign w:val="center"/>
          </w:tcPr>
          <w:p w14:paraId="6CB2595B" w14:textId="77777777" w:rsidR="00FE3430" w:rsidDel="00FE3430" w:rsidRDefault="00FE3430" w:rsidP="00E90BCE">
            <w:pPr>
              <w:pStyle w:val="TableText"/>
              <w:jc w:val="center"/>
              <w:rPr>
                <w:rStyle w:val="CommentReference"/>
              </w:rPr>
            </w:pPr>
            <w:r>
              <w:t>3</w:t>
            </w:r>
          </w:p>
        </w:tc>
        <w:tc>
          <w:tcPr>
            <w:tcW w:w="1276" w:type="dxa"/>
            <w:vAlign w:val="center"/>
          </w:tcPr>
          <w:p w14:paraId="6CB2595C" w14:textId="77777777" w:rsidR="00FE3430" w:rsidRPr="00CE1254" w:rsidDel="00E17328" w:rsidRDefault="003F450C" w:rsidP="008C08B6">
            <w:pPr>
              <w:pStyle w:val="ListBullet"/>
              <w:numPr>
                <w:ilvl w:val="0"/>
                <w:numId w:val="0"/>
              </w:numPr>
              <w:jc w:val="center"/>
              <w:rPr>
                <w:rFonts w:ascii="Palatino Linotype" w:hAnsi="Palatino Linotype"/>
                <w:sz w:val="22"/>
              </w:rPr>
            </w:pPr>
            <w:r w:rsidRPr="00CE1254">
              <w:rPr>
                <w:rFonts w:ascii="Palatino Linotype" w:hAnsi="Palatino Linotype"/>
                <w:sz w:val="22"/>
              </w:rPr>
              <w:t>1,2</w:t>
            </w:r>
          </w:p>
        </w:tc>
        <w:tc>
          <w:tcPr>
            <w:tcW w:w="4135" w:type="dxa"/>
          </w:tcPr>
          <w:p w14:paraId="6CB2595D" w14:textId="77777777" w:rsidR="00FE3430" w:rsidRPr="0059735C" w:rsidDel="00EE67D3" w:rsidRDefault="00FE3430" w:rsidP="00B10808">
            <w:pPr>
              <w:pStyle w:val="ListBullet"/>
              <w:numPr>
                <w:ilvl w:val="0"/>
                <w:numId w:val="0"/>
              </w:numPr>
              <w:spacing w:before="60" w:after="60"/>
              <w:rPr>
                <w:rFonts w:ascii="Palatino Linotype" w:hAnsi="Palatino Linotype"/>
                <w:sz w:val="22"/>
                <w:szCs w:val="22"/>
                <w:lang w:eastAsia="en-CA"/>
              </w:rPr>
            </w:pPr>
            <w:r>
              <w:rPr>
                <w:rFonts w:ascii="Palatino Linotype" w:hAnsi="Palatino Linotype"/>
                <w:sz w:val="22"/>
                <w:szCs w:val="22"/>
                <w:lang w:eastAsia="en-CA"/>
              </w:rPr>
              <w:t>All the processes, tools and rules are successfully implemented to enable successful auction participants to deliver the capacity obligation secured through TCA.</w:t>
            </w:r>
          </w:p>
        </w:tc>
        <w:tc>
          <w:tcPr>
            <w:tcW w:w="2971" w:type="dxa"/>
          </w:tcPr>
          <w:p w14:paraId="6CB2595E" w14:textId="77777777" w:rsidR="00FE3430" w:rsidRPr="004F02DD" w:rsidRDefault="00FE3430" w:rsidP="004F02DD">
            <w:pPr>
              <w:pStyle w:val="ListBullet"/>
              <w:numPr>
                <w:ilvl w:val="0"/>
                <w:numId w:val="0"/>
              </w:numPr>
              <w:spacing w:before="60" w:after="60"/>
              <w:rPr>
                <w:rFonts w:ascii="Palatino Linotype" w:hAnsi="Palatino Linotype"/>
                <w:sz w:val="22"/>
                <w:szCs w:val="22"/>
                <w:lang w:eastAsia="en-CA"/>
              </w:rPr>
            </w:pPr>
            <w:r w:rsidRPr="004F02DD">
              <w:rPr>
                <w:rFonts w:ascii="Palatino Linotype" w:hAnsi="Palatino Linotype"/>
                <w:sz w:val="22"/>
                <w:szCs w:val="22"/>
                <w:lang w:eastAsia="en-CA"/>
              </w:rPr>
              <w:t>December 2019 – ongoing for each auction – Director, Power System Assessments</w:t>
            </w:r>
          </w:p>
        </w:tc>
      </w:tr>
      <w:tr w:rsidR="00FE3430" w14:paraId="6CB25964" w14:textId="77777777" w:rsidTr="001F1512">
        <w:trPr>
          <w:cantSplit/>
        </w:trPr>
        <w:tc>
          <w:tcPr>
            <w:tcW w:w="1194" w:type="dxa"/>
            <w:vAlign w:val="center"/>
          </w:tcPr>
          <w:p w14:paraId="6CB25960" w14:textId="77777777" w:rsidR="00FE3430" w:rsidDel="00FE3430" w:rsidRDefault="00FE3430" w:rsidP="00E90BCE">
            <w:pPr>
              <w:pStyle w:val="TableText"/>
              <w:jc w:val="center"/>
              <w:rPr>
                <w:rStyle w:val="CommentReference"/>
              </w:rPr>
            </w:pPr>
            <w:r>
              <w:t>4</w:t>
            </w:r>
          </w:p>
        </w:tc>
        <w:tc>
          <w:tcPr>
            <w:tcW w:w="1276" w:type="dxa"/>
            <w:vAlign w:val="center"/>
          </w:tcPr>
          <w:p w14:paraId="6CB25961" w14:textId="77777777" w:rsidR="00FE3430" w:rsidRPr="00CE1254" w:rsidDel="00E17328" w:rsidRDefault="003F450C" w:rsidP="008C08B6">
            <w:pPr>
              <w:pStyle w:val="ListBullet"/>
              <w:numPr>
                <w:ilvl w:val="0"/>
                <w:numId w:val="0"/>
              </w:numPr>
              <w:jc w:val="center"/>
              <w:rPr>
                <w:rFonts w:ascii="Palatino Linotype" w:hAnsi="Palatino Linotype"/>
                <w:sz w:val="22"/>
                <w:szCs w:val="22"/>
              </w:rPr>
            </w:pPr>
            <w:r w:rsidRPr="00CE1254">
              <w:rPr>
                <w:rFonts w:ascii="Palatino Linotype" w:hAnsi="Palatino Linotype"/>
                <w:sz w:val="22"/>
                <w:szCs w:val="22"/>
              </w:rPr>
              <w:t>2</w:t>
            </w:r>
          </w:p>
        </w:tc>
        <w:tc>
          <w:tcPr>
            <w:tcW w:w="4135" w:type="dxa"/>
          </w:tcPr>
          <w:p w14:paraId="6CB25962" w14:textId="77777777" w:rsidR="00FE3430" w:rsidRPr="0059735C" w:rsidDel="00EE67D3" w:rsidRDefault="00FE3430" w:rsidP="00B10808">
            <w:pPr>
              <w:pStyle w:val="ListBullet"/>
              <w:numPr>
                <w:ilvl w:val="0"/>
                <w:numId w:val="0"/>
              </w:numPr>
              <w:spacing w:before="60" w:after="60"/>
              <w:rPr>
                <w:rFonts w:ascii="Palatino Linotype" w:hAnsi="Palatino Linotype"/>
                <w:sz w:val="22"/>
                <w:szCs w:val="22"/>
                <w:lang w:eastAsia="en-CA"/>
              </w:rPr>
            </w:pPr>
            <w:r w:rsidRPr="001F1512">
              <w:rPr>
                <w:rFonts w:ascii="Palatino Linotype" w:hAnsi="Palatino Linotype"/>
                <w:sz w:val="22"/>
                <w:szCs w:val="22"/>
                <w:lang w:eastAsia="en-CA"/>
              </w:rPr>
              <w:t>T</w:t>
            </w:r>
            <w:r>
              <w:rPr>
                <w:rFonts w:ascii="Palatino Linotype" w:hAnsi="Palatino Linotype"/>
                <w:sz w:val="22"/>
                <w:szCs w:val="22"/>
                <w:lang w:eastAsia="en-CA"/>
              </w:rPr>
              <w:t xml:space="preserve">ransitional </w:t>
            </w:r>
            <w:r w:rsidRPr="001F1512">
              <w:rPr>
                <w:rFonts w:ascii="Palatino Linotype" w:hAnsi="Palatino Linotype"/>
                <w:sz w:val="22"/>
                <w:szCs w:val="22"/>
                <w:lang w:eastAsia="en-CA"/>
              </w:rPr>
              <w:t>C</w:t>
            </w:r>
            <w:r>
              <w:rPr>
                <w:rFonts w:ascii="Palatino Linotype" w:hAnsi="Palatino Linotype"/>
                <w:sz w:val="22"/>
                <w:szCs w:val="22"/>
                <w:lang w:eastAsia="en-CA"/>
              </w:rPr>
              <w:t xml:space="preserve">apacity </w:t>
            </w:r>
            <w:r w:rsidRPr="001F1512">
              <w:rPr>
                <w:rFonts w:ascii="Palatino Linotype" w:hAnsi="Palatino Linotype"/>
                <w:sz w:val="22"/>
                <w:szCs w:val="22"/>
                <w:lang w:eastAsia="en-CA"/>
              </w:rPr>
              <w:t>A</w:t>
            </w:r>
            <w:r>
              <w:rPr>
                <w:rFonts w:ascii="Palatino Linotype" w:hAnsi="Palatino Linotype"/>
                <w:sz w:val="22"/>
                <w:szCs w:val="22"/>
                <w:lang w:eastAsia="en-CA"/>
              </w:rPr>
              <w:t>uctions</w:t>
            </w:r>
            <w:r w:rsidRPr="001F1512">
              <w:rPr>
                <w:rFonts w:ascii="Palatino Linotype" w:hAnsi="Palatino Linotype"/>
                <w:sz w:val="22"/>
                <w:szCs w:val="22"/>
                <w:lang w:eastAsia="en-CA"/>
              </w:rPr>
              <w:t xml:space="preserve"> </w:t>
            </w:r>
            <w:r>
              <w:rPr>
                <w:rFonts w:ascii="Palatino Linotype" w:hAnsi="Palatino Linotype"/>
                <w:sz w:val="22"/>
                <w:szCs w:val="22"/>
                <w:lang w:eastAsia="en-CA"/>
              </w:rPr>
              <w:t>are</w:t>
            </w:r>
            <w:r w:rsidRPr="001F1512">
              <w:rPr>
                <w:rFonts w:ascii="Palatino Linotype" w:hAnsi="Palatino Linotype"/>
                <w:sz w:val="22"/>
                <w:szCs w:val="22"/>
                <w:lang w:eastAsia="en-CA"/>
              </w:rPr>
              <w:t xml:space="preserve"> </w:t>
            </w:r>
            <w:r>
              <w:rPr>
                <w:rFonts w:ascii="Palatino Linotype" w:hAnsi="Palatino Linotype"/>
                <w:sz w:val="22"/>
                <w:szCs w:val="22"/>
                <w:lang w:eastAsia="en-CA"/>
              </w:rPr>
              <w:t xml:space="preserve">successfully </w:t>
            </w:r>
            <w:r w:rsidRPr="001F1512">
              <w:rPr>
                <w:rFonts w:ascii="Palatino Linotype" w:hAnsi="Palatino Linotype"/>
                <w:sz w:val="22"/>
                <w:szCs w:val="22"/>
                <w:lang w:eastAsia="en-CA"/>
              </w:rPr>
              <w:t xml:space="preserve">implemented and </w:t>
            </w:r>
            <w:r>
              <w:rPr>
                <w:rFonts w:ascii="Palatino Linotype" w:hAnsi="Palatino Linotype"/>
                <w:sz w:val="22"/>
                <w:szCs w:val="22"/>
                <w:lang w:eastAsia="en-CA"/>
              </w:rPr>
              <w:t>operated to</w:t>
            </w:r>
            <w:r w:rsidRPr="001F1512">
              <w:rPr>
                <w:rFonts w:ascii="Palatino Linotype" w:hAnsi="Palatino Linotype"/>
                <w:sz w:val="22"/>
                <w:szCs w:val="22"/>
                <w:lang w:eastAsia="en-CA"/>
              </w:rPr>
              <w:t xml:space="preserve"> acquire the required target capacity</w:t>
            </w:r>
            <w:r>
              <w:rPr>
                <w:rFonts w:ascii="Palatino Linotype" w:hAnsi="Palatino Linotype"/>
                <w:sz w:val="22"/>
                <w:szCs w:val="22"/>
                <w:lang w:eastAsia="en-CA"/>
              </w:rPr>
              <w:t xml:space="preserve"> through 2020-2021 TCAs</w:t>
            </w:r>
            <w:r w:rsidRPr="001F1512">
              <w:rPr>
                <w:rFonts w:ascii="Palatino Linotype" w:hAnsi="Palatino Linotype"/>
                <w:sz w:val="22"/>
                <w:szCs w:val="22"/>
                <w:lang w:eastAsia="en-CA"/>
              </w:rPr>
              <w:t>.</w:t>
            </w:r>
          </w:p>
        </w:tc>
        <w:tc>
          <w:tcPr>
            <w:tcW w:w="2971" w:type="dxa"/>
          </w:tcPr>
          <w:p w14:paraId="6CB25963" w14:textId="77777777" w:rsidR="00FE3430" w:rsidRPr="004F02DD" w:rsidRDefault="00FE3430" w:rsidP="004F02DD">
            <w:pPr>
              <w:pStyle w:val="ListBullet"/>
              <w:numPr>
                <w:ilvl w:val="0"/>
                <w:numId w:val="0"/>
              </w:numPr>
              <w:spacing w:before="60" w:after="60"/>
              <w:rPr>
                <w:rFonts w:ascii="Palatino Linotype" w:hAnsi="Palatino Linotype"/>
                <w:sz w:val="22"/>
                <w:szCs w:val="22"/>
                <w:lang w:eastAsia="en-CA"/>
              </w:rPr>
            </w:pPr>
            <w:r w:rsidRPr="004F02DD">
              <w:rPr>
                <w:rFonts w:ascii="Palatino Linotype" w:hAnsi="Palatino Linotype"/>
                <w:sz w:val="22"/>
                <w:szCs w:val="22"/>
                <w:lang w:eastAsia="en-CA"/>
              </w:rPr>
              <w:t>December 20</w:t>
            </w:r>
            <w:r>
              <w:rPr>
                <w:rFonts w:ascii="Palatino Linotype" w:hAnsi="Palatino Linotype"/>
                <w:sz w:val="22"/>
                <w:szCs w:val="22"/>
                <w:lang w:eastAsia="en-CA"/>
              </w:rPr>
              <w:t>20</w:t>
            </w:r>
            <w:r w:rsidRPr="004F02DD">
              <w:rPr>
                <w:rFonts w:ascii="Palatino Linotype" w:hAnsi="Palatino Linotype"/>
                <w:sz w:val="22"/>
                <w:szCs w:val="22"/>
                <w:lang w:eastAsia="en-CA"/>
              </w:rPr>
              <w:t xml:space="preserve"> – ongoing for each auction – Director, Power System Assessments</w:t>
            </w:r>
          </w:p>
        </w:tc>
      </w:tr>
      <w:tr w:rsidR="00FE3430" w14:paraId="6CB25969" w14:textId="77777777" w:rsidTr="001F1512">
        <w:trPr>
          <w:cantSplit/>
        </w:trPr>
        <w:tc>
          <w:tcPr>
            <w:tcW w:w="1194" w:type="dxa"/>
            <w:vAlign w:val="center"/>
          </w:tcPr>
          <w:p w14:paraId="6CB25965" w14:textId="77777777" w:rsidR="00FE3430" w:rsidDel="00FE3430" w:rsidRDefault="00FE3430" w:rsidP="00E90BCE">
            <w:pPr>
              <w:pStyle w:val="TableText"/>
              <w:jc w:val="center"/>
              <w:rPr>
                <w:rStyle w:val="CommentReference"/>
              </w:rPr>
            </w:pPr>
            <w:r>
              <w:t>5</w:t>
            </w:r>
          </w:p>
        </w:tc>
        <w:tc>
          <w:tcPr>
            <w:tcW w:w="1276" w:type="dxa"/>
            <w:vAlign w:val="center"/>
          </w:tcPr>
          <w:p w14:paraId="6CB25966" w14:textId="77777777" w:rsidR="00FE3430" w:rsidRPr="00CE1254" w:rsidDel="00E17328" w:rsidRDefault="003B23EA" w:rsidP="008C08B6">
            <w:pPr>
              <w:pStyle w:val="ListBullet"/>
              <w:numPr>
                <w:ilvl w:val="0"/>
                <w:numId w:val="0"/>
              </w:numPr>
              <w:jc w:val="center"/>
              <w:rPr>
                <w:rFonts w:ascii="Palatino Linotype" w:hAnsi="Palatino Linotype"/>
                <w:sz w:val="22"/>
                <w:szCs w:val="22"/>
              </w:rPr>
            </w:pPr>
            <w:r w:rsidRPr="00CE1254">
              <w:rPr>
                <w:rFonts w:ascii="Palatino Linotype" w:hAnsi="Palatino Linotype"/>
                <w:sz w:val="22"/>
                <w:szCs w:val="22"/>
              </w:rPr>
              <w:t>2</w:t>
            </w:r>
          </w:p>
        </w:tc>
        <w:tc>
          <w:tcPr>
            <w:tcW w:w="4135" w:type="dxa"/>
          </w:tcPr>
          <w:p w14:paraId="6CB25967" w14:textId="77777777" w:rsidR="00FE3430" w:rsidRPr="0059735C" w:rsidDel="00EE67D3" w:rsidRDefault="00FE3430" w:rsidP="00B10808">
            <w:pPr>
              <w:pStyle w:val="ListBullet"/>
              <w:numPr>
                <w:ilvl w:val="0"/>
                <w:numId w:val="0"/>
              </w:numPr>
              <w:spacing w:before="60" w:after="60"/>
              <w:rPr>
                <w:rFonts w:ascii="Palatino Linotype" w:hAnsi="Palatino Linotype"/>
                <w:sz w:val="22"/>
                <w:szCs w:val="22"/>
                <w:lang w:eastAsia="en-CA"/>
              </w:rPr>
            </w:pPr>
            <w:r>
              <w:rPr>
                <w:rFonts w:ascii="Palatino Linotype" w:hAnsi="Palatino Linotype"/>
                <w:sz w:val="22"/>
                <w:szCs w:val="22"/>
                <w:lang w:eastAsia="en-CA"/>
              </w:rPr>
              <w:t>Participants are able to offer</w:t>
            </w:r>
            <w:r w:rsidR="005F66D2">
              <w:rPr>
                <w:rFonts w:ascii="Palatino Linotype" w:hAnsi="Palatino Linotype"/>
                <w:sz w:val="22"/>
                <w:szCs w:val="22"/>
                <w:lang w:eastAsia="en-CA"/>
              </w:rPr>
              <w:t xml:space="preserve"> system-backed</w:t>
            </w:r>
            <w:r>
              <w:rPr>
                <w:rFonts w:ascii="Palatino Linotype" w:hAnsi="Palatino Linotype"/>
                <w:sz w:val="22"/>
                <w:szCs w:val="22"/>
                <w:lang w:eastAsia="en-CA"/>
              </w:rPr>
              <w:t xml:space="preserve"> import capacity into the 2020 TCA</w:t>
            </w:r>
          </w:p>
        </w:tc>
        <w:tc>
          <w:tcPr>
            <w:tcW w:w="2971" w:type="dxa"/>
          </w:tcPr>
          <w:p w14:paraId="6CB25968" w14:textId="77777777" w:rsidR="00FE3430" w:rsidRPr="004F02DD" w:rsidRDefault="004A6477" w:rsidP="00011165">
            <w:pPr>
              <w:pStyle w:val="ListBullet"/>
              <w:numPr>
                <w:ilvl w:val="0"/>
                <w:numId w:val="0"/>
              </w:numPr>
              <w:spacing w:before="60" w:after="60"/>
              <w:rPr>
                <w:rFonts w:ascii="Palatino Linotype" w:hAnsi="Palatino Linotype"/>
                <w:sz w:val="22"/>
                <w:szCs w:val="22"/>
                <w:lang w:eastAsia="en-CA"/>
              </w:rPr>
            </w:pPr>
            <w:r>
              <w:rPr>
                <w:rFonts w:ascii="Palatino Linotype" w:hAnsi="Palatino Linotype"/>
                <w:sz w:val="22"/>
                <w:szCs w:val="22"/>
                <w:lang w:eastAsia="en-CA"/>
              </w:rPr>
              <w:t>June</w:t>
            </w:r>
            <w:r w:rsidRPr="004F02DD">
              <w:rPr>
                <w:rFonts w:ascii="Palatino Linotype" w:hAnsi="Palatino Linotype"/>
                <w:sz w:val="22"/>
                <w:szCs w:val="22"/>
                <w:lang w:eastAsia="en-CA"/>
              </w:rPr>
              <w:t xml:space="preserve"> </w:t>
            </w:r>
            <w:r w:rsidR="00FE3430" w:rsidRPr="004F02DD">
              <w:rPr>
                <w:rFonts w:ascii="Palatino Linotype" w:hAnsi="Palatino Linotype"/>
                <w:sz w:val="22"/>
                <w:szCs w:val="22"/>
                <w:lang w:eastAsia="en-CA"/>
              </w:rPr>
              <w:t>20</w:t>
            </w:r>
            <w:r w:rsidR="00FE3430">
              <w:rPr>
                <w:rFonts w:ascii="Palatino Linotype" w:hAnsi="Palatino Linotype"/>
                <w:sz w:val="22"/>
                <w:szCs w:val="22"/>
                <w:lang w:eastAsia="en-CA"/>
              </w:rPr>
              <w:t>20</w:t>
            </w:r>
            <w:r w:rsidR="00011165">
              <w:rPr>
                <w:rFonts w:ascii="Palatino Linotype" w:hAnsi="Palatino Linotype"/>
                <w:sz w:val="22"/>
                <w:szCs w:val="22"/>
                <w:lang w:eastAsia="en-CA"/>
              </w:rPr>
              <w:t xml:space="preserve"> [TBC]</w:t>
            </w:r>
            <w:r w:rsidR="00FE3430" w:rsidRPr="004F02DD">
              <w:rPr>
                <w:rFonts w:ascii="Palatino Linotype" w:hAnsi="Palatino Linotype"/>
                <w:sz w:val="22"/>
                <w:szCs w:val="22"/>
                <w:lang w:eastAsia="en-CA"/>
              </w:rPr>
              <w:t>– ongoing for each auction – Director, Power System Assessments</w:t>
            </w:r>
          </w:p>
        </w:tc>
      </w:tr>
      <w:tr w:rsidR="005F66D2" w14:paraId="6CB2596E" w14:textId="77777777" w:rsidTr="001F1512">
        <w:trPr>
          <w:cantSplit/>
        </w:trPr>
        <w:tc>
          <w:tcPr>
            <w:tcW w:w="1194" w:type="dxa"/>
            <w:vAlign w:val="center"/>
          </w:tcPr>
          <w:p w14:paraId="6CB2596A" w14:textId="77777777" w:rsidR="005F66D2" w:rsidRDefault="005F66D2" w:rsidP="00E90BCE">
            <w:pPr>
              <w:pStyle w:val="TableText"/>
              <w:jc w:val="center"/>
            </w:pPr>
            <w:r>
              <w:t>6</w:t>
            </w:r>
          </w:p>
        </w:tc>
        <w:tc>
          <w:tcPr>
            <w:tcW w:w="1276" w:type="dxa"/>
            <w:vAlign w:val="center"/>
          </w:tcPr>
          <w:p w14:paraId="6CB2596B" w14:textId="77777777" w:rsidR="005F66D2" w:rsidRPr="00CE1254" w:rsidRDefault="005F66D2" w:rsidP="008C08B6">
            <w:pPr>
              <w:pStyle w:val="ListBullet"/>
              <w:numPr>
                <w:ilvl w:val="0"/>
                <w:numId w:val="0"/>
              </w:numPr>
              <w:jc w:val="center"/>
              <w:rPr>
                <w:rFonts w:ascii="Palatino Linotype" w:hAnsi="Palatino Linotype"/>
                <w:sz w:val="22"/>
                <w:szCs w:val="22"/>
              </w:rPr>
            </w:pPr>
            <w:r w:rsidRPr="00CE1254">
              <w:rPr>
                <w:rFonts w:ascii="Palatino Linotype" w:hAnsi="Palatino Linotype"/>
                <w:sz w:val="22"/>
                <w:szCs w:val="22"/>
              </w:rPr>
              <w:t>2</w:t>
            </w:r>
          </w:p>
        </w:tc>
        <w:tc>
          <w:tcPr>
            <w:tcW w:w="4135" w:type="dxa"/>
          </w:tcPr>
          <w:p w14:paraId="6CB2596C" w14:textId="77777777" w:rsidR="005F66D2" w:rsidRDefault="005F66D2" w:rsidP="00B10808">
            <w:pPr>
              <w:pStyle w:val="ListBullet"/>
              <w:numPr>
                <w:ilvl w:val="0"/>
                <w:numId w:val="0"/>
              </w:numPr>
              <w:spacing w:before="60" w:after="60"/>
              <w:rPr>
                <w:rFonts w:ascii="Palatino Linotype" w:hAnsi="Palatino Linotype"/>
                <w:sz w:val="22"/>
                <w:szCs w:val="22"/>
                <w:lang w:eastAsia="en-CA"/>
              </w:rPr>
            </w:pPr>
            <w:r w:rsidRPr="005F66D2">
              <w:rPr>
                <w:rFonts w:ascii="Palatino Linotype" w:hAnsi="Palatino Linotype"/>
                <w:sz w:val="22"/>
                <w:szCs w:val="22"/>
                <w:lang w:eastAsia="en-CA"/>
              </w:rPr>
              <w:t xml:space="preserve">Participants are able to offer </w:t>
            </w:r>
            <w:r>
              <w:rPr>
                <w:rFonts w:ascii="Palatino Linotype" w:hAnsi="Palatino Linotype"/>
                <w:sz w:val="22"/>
                <w:szCs w:val="22"/>
                <w:lang w:eastAsia="en-CA"/>
              </w:rPr>
              <w:t xml:space="preserve">resource-backed </w:t>
            </w:r>
            <w:r w:rsidRPr="005F66D2">
              <w:rPr>
                <w:rFonts w:ascii="Palatino Linotype" w:hAnsi="Palatino Linotype"/>
                <w:sz w:val="22"/>
                <w:szCs w:val="22"/>
                <w:lang w:eastAsia="en-CA"/>
              </w:rPr>
              <w:t>import capacity into the 2020 TCA</w:t>
            </w:r>
          </w:p>
        </w:tc>
        <w:tc>
          <w:tcPr>
            <w:tcW w:w="2971" w:type="dxa"/>
          </w:tcPr>
          <w:p w14:paraId="6CB2596D" w14:textId="77777777" w:rsidR="005F66D2" w:rsidRDefault="005F66D2" w:rsidP="00011165">
            <w:pPr>
              <w:pStyle w:val="ListBullet"/>
              <w:numPr>
                <w:ilvl w:val="0"/>
                <w:numId w:val="0"/>
              </w:numPr>
              <w:spacing w:before="60" w:after="60"/>
              <w:rPr>
                <w:rFonts w:ascii="Palatino Linotype" w:hAnsi="Palatino Linotype"/>
                <w:sz w:val="22"/>
                <w:szCs w:val="22"/>
                <w:lang w:eastAsia="en-CA"/>
              </w:rPr>
            </w:pPr>
            <w:r>
              <w:rPr>
                <w:rFonts w:ascii="Palatino Linotype" w:hAnsi="Palatino Linotype"/>
                <w:sz w:val="22"/>
                <w:szCs w:val="22"/>
                <w:lang w:eastAsia="en-CA"/>
              </w:rPr>
              <w:t>Dec</w:t>
            </w:r>
            <w:r w:rsidRPr="004F02DD">
              <w:rPr>
                <w:rFonts w:ascii="Palatino Linotype" w:hAnsi="Palatino Linotype"/>
                <w:sz w:val="22"/>
                <w:szCs w:val="22"/>
                <w:lang w:eastAsia="en-CA"/>
              </w:rPr>
              <w:t xml:space="preserve"> 20</w:t>
            </w:r>
            <w:r>
              <w:rPr>
                <w:rFonts w:ascii="Palatino Linotype" w:hAnsi="Palatino Linotype"/>
                <w:sz w:val="22"/>
                <w:szCs w:val="22"/>
                <w:lang w:eastAsia="en-CA"/>
              </w:rPr>
              <w:t>20 [TBC]</w:t>
            </w:r>
            <w:r w:rsidRPr="004F02DD">
              <w:rPr>
                <w:rFonts w:ascii="Palatino Linotype" w:hAnsi="Palatino Linotype"/>
                <w:sz w:val="22"/>
                <w:szCs w:val="22"/>
                <w:lang w:eastAsia="en-CA"/>
              </w:rPr>
              <w:t>– ongoing for each auction – Director, Power System Assessments</w:t>
            </w:r>
          </w:p>
        </w:tc>
      </w:tr>
    </w:tbl>
    <w:p w14:paraId="6CB2596F" w14:textId="77777777" w:rsidR="0059735C" w:rsidRPr="0059735C" w:rsidRDefault="0059735C" w:rsidP="0059735C"/>
    <w:p w14:paraId="2DE65D31" w14:textId="77777777" w:rsidR="006C6656" w:rsidRDefault="006C6656">
      <w:pPr>
        <w:spacing w:before="0"/>
        <w:rPr>
          <w:rFonts w:ascii="Cambria" w:hAnsi="Cambria"/>
          <w:b/>
          <w:sz w:val="28"/>
          <w:szCs w:val="28"/>
        </w:rPr>
      </w:pPr>
      <w:r>
        <w:br w:type="page"/>
      </w:r>
    </w:p>
    <w:p w14:paraId="6CB25970" w14:textId="4261682D" w:rsidR="00BE4D8E" w:rsidRDefault="00BE4D8E" w:rsidP="00BE4D8E">
      <w:pPr>
        <w:pStyle w:val="Heading1"/>
      </w:pPr>
      <w:r>
        <w:lastRenderedPageBreak/>
        <w:t>Project Overview</w:t>
      </w:r>
    </w:p>
    <w:p w14:paraId="6CB25971" w14:textId="77777777" w:rsidR="00043482" w:rsidRPr="0005728D" w:rsidRDefault="00ED4DBD" w:rsidP="00E023BA">
      <w:pPr>
        <w:pStyle w:val="BodyText"/>
      </w:pPr>
      <w:r>
        <w:t xml:space="preserve">The following sections will describe </w:t>
      </w:r>
      <w:r w:rsidR="00942E1A">
        <w:t>project scope, h</w:t>
      </w:r>
      <w:r w:rsidR="00AA608F">
        <w:t>igh level impact assessment, timeline, cost, and resource need.</w:t>
      </w:r>
    </w:p>
    <w:p w14:paraId="6CB25972" w14:textId="77777777" w:rsidR="00851BF4" w:rsidRPr="00B76153" w:rsidRDefault="00851BF4" w:rsidP="00851BF4">
      <w:pPr>
        <w:pStyle w:val="BodyText"/>
      </w:pPr>
    </w:p>
    <w:p w14:paraId="6CB25973" w14:textId="77777777" w:rsidR="00BE4D8E" w:rsidRDefault="00BE4D8E" w:rsidP="00BE4D8E">
      <w:pPr>
        <w:pStyle w:val="Heading2"/>
      </w:pPr>
      <w:r>
        <w:t>Project Scope</w:t>
      </w:r>
    </w:p>
    <w:p w14:paraId="6CB25974" w14:textId="77777777" w:rsidR="00CA5D2A" w:rsidRDefault="00CA5D2A" w:rsidP="003F6A51">
      <w:pPr>
        <w:spacing w:before="120" w:after="120"/>
        <w:rPr>
          <w:rFonts w:ascii="Palatino Linotype" w:hAnsi="Palatino Linotype"/>
          <w:sz w:val="22"/>
          <w:szCs w:val="22"/>
          <w:lang w:eastAsia="en-CA"/>
        </w:rPr>
      </w:pPr>
      <w:r w:rsidRPr="00CA5D2A">
        <w:rPr>
          <w:rFonts w:ascii="Palatino Linotype" w:hAnsi="Palatino Linotype"/>
          <w:sz w:val="22"/>
          <w:szCs w:val="22"/>
          <w:lang w:eastAsia="en-CA"/>
        </w:rPr>
        <w:t>The scope of</w:t>
      </w:r>
      <w:r>
        <w:rPr>
          <w:rFonts w:ascii="Palatino Linotype" w:hAnsi="Palatino Linotype"/>
          <w:sz w:val="22"/>
          <w:szCs w:val="22"/>
          <w:lang w:eastAsia="en-CA"/>
        </w:rPr>
        <w:t xml:space="preserve"> TCA is </w:t>
      </w:r>
      <w:r w:rsidR="00762835">
        <w:rPr>
          <w:rFonts w:ascii="Palatino Linotype" w:hAnsi="Palatino Linotype"/>
          <w:sz w:val="22"/>
          <w:szCs w:val="22"/>
          <w:lang w:eastAsia="en-CA"/>
        </w:rPr>
        <w:t xml:space="preserve">outlined in the following table.  Up-to-date scope listing is found on TCA SharePoint site:  </w:t>
      </w:r>
      <w:hyperlink r:id="rId14" w:history="1">
        <w:r w:rsidR="002D2A53">
          <w:rPr>
            <w:rStyle w:val="Hyperlink"/>
          </w:rPr>
          <w:t>http://intranet/collaboration/Projects/TCA/SitePages/Home.aspx</w:t>
        </w:r>
      </w:hyperlink>
      <w:r w:rsidR="002D2A53">
        <w:rPr>
          <w:color w:val="1F497D"/>
        </w:rPr>
        <w:t>,</w:t>
      </w:r>
      <w:r w:rsidR="002D2A53" w:rsidRPr="002D2A53">
        <w:rPr>
          <w:rFonts w:ascii="Palatino Linotype" w:hAnsi="Palatino Linotype"/>
          <w:sz w:val="22"/>
          <w:szCs w:val="22"/>
          <w:lang w:eastAsia="en-CA"/>
        </w:rPr>
        <w:t xml:space="preserve"> </w:t>
      </w:r>
      <w:r w:rsidR="002D2A53">
        <w:rPr>
          <w:rFonts w:ascii="Palatino Linotype" w:hAnsi="Palatino Linotype"/>
          <w:sz w:val="22"/>
          <w:szCs w:val="22"/>
          <w:lang w:eastAsia="en-CA"/>
        </w:rPr>
        <w:t>TCA_Scope.xls</w:t>
      </w:r>
    </w:p>
    <w:p w14:paraId="6CB25975" w14:textId="77777777" w:rsidR="00CD2712" w:rsidRDefault="00CD2712" w:rsidP="00A5106D">
      <w:pPr>
        <w:spacing w:before="120" w:after="120"/>
        <w:rPr>
          <w:rFonts w:ascii="Palatino Linotype" w:hAnsi="Palatino Linotype"/>
          <w:sz w:val="22"/>
          <w:szCs w:val="22"/>
          <w:lang w:eastAsia="en-CA"/>
        </w:rPr>
      </w:pPr>
      <w:r>
        <w:rPr>
          <w:rFonts w:ascii="Palatino Linotype" w:hAnsi="Palatino Linotype"/>
          <w:sz w:val="22"/>
          <w:szCs w:val="22"/>
          <w:lang w:eastAsia="en-CA"/>
        </w:rPr>
        <w:t>This project will only seek to enable resources that can currently participate in the IESO’s energy market.  If other initiatives of the IESO enable new entrants then the TCA may seek to incorporate these entrants into the auction as appropriate.</w:t>
      </w:r>
    </w:p>
    <w:p w14:paraId="6CB25976" w14:textId="77777777" w:rsidR="00292112" w:rsidRDefault="00292112" w:rsidP="00A5106D">
      <w:pPr>
        <w:spacing w:before="120" w:after="120"/>
        <w:rPr>
          <w:rFonts w:ascii="Palatino Linotype" w:hAnsi="Palatino Linotype"/>
          <w:sz w:val="22"/>
          <w:szCs w:val="22"/>
          <w:lang w:eastAsia="en-CA"/>
        </w:rPr>
      </w:pPr>
    </w:p>
    <w:p w14:paraId="6CB25977" w14:textId="77777777" w:rsidR="00292112" w:rsidRDefault="00292112" w:rsidP="00A5106D">
      <w:pPr>
        <w:spacing w:before="120" w:after="120"/>
        <w:rPr>
          <w:rFonts w:ascii="Palatino Linotype" w:hAnsi="Palatino Linotype"/>
          <w:color w:val="000000"/>
          <w:sz w:val="22"/>
          <w:szCs w:val="22"/>
          <w:lang w:val="en-CA" w:eastAsia="en-CA"/>
        </w:rPr>
      </w:pPr>
      <w:r>
        <w:rPr>
          <w:rFonts w:ascii="Palatino Linotype" w:hAnsi="Palatino Linotype"/>
          <w:sz w:val="22"/>
          <w:szCs w:val="22"/>
          <w:lang w:eastAsia="en-CA"/>
        </w:rPr>
        <w:t xml:space="preserve">Phase 1 scope includes design and implementation changes to </w:t>
      </w:r>
      <w:r>
        <w:rPr>
          <w:rFonts w:ascii="Palatino Linotype" w:hAnsi="Palatino Linotype"/>
          <w:color w:val="000000"/>
          <w:sz w:val="22"/>
          <w:szCs w:val="22"/>
          <w:lang w:val="en-CA" w:eastAsia="en-CA"/>
        </w:rPr>
        <w:t>e</w:t>
      </w:r>
      <w:r w:rsidRPr="002D2A53">
        <w:rPr>
          <w:rFonts w:ascii="Palatino Linotype" w:hAnsi="Palatino Linotype"/>
          <w:color w:val="000000"/>
          <w:sz w:val="22"/>
          <w:szCs w:val="22"/>
          <w:lang w:val="en-CA" w:eastAsia="en-CA"/>
        </w:rPr>
        <w:t xml:space="preserve">nable </w:t>
      </w:r>
      <w:proofErr w:type="spellStart"/>
      <w:r w:rsidRPr="002D2A53">
        <w:rPr>
          <w:rFonts w:ascii="Palatino Linotype" w:hAnsi="Palatino Linotype"/>
          <w:color w:val="000000"/>
          <w:sz w:val="22"/>
          <w:szCs w:val="22"/>
          <w:lang w:val="en-CA" w:eastAsia="en-CA"/>
        </w:rPr>
        <w:t>dispatchable</w:t>
      </w:r>
      <w:proofErr w:type="spellEnd"/>
      <w:r w:rsidRPr="002D2A53">
        <w:rPr>
          <w:rFonts w:ascii="Palatino Linotype" w:hAnsi="Palatino Linotype"/>
          <w:color w:val="000000"/>
          <w:sz w:val="22"/>
          <w:szCs w:val="22"/>
          <w:lang w:val="en-CA" w:eastAsia="en-CA"/>
        </w:rPr>
        <w:t xml:space="preserve">, </w:t>
      </w:r>
      <w:proofErr w:type="spellStart"/>
      <w:proofErr w:type="gramStart"/>
      <w:r w:rsidR="00C7174F">
        <w:rPr>
          <w:rFonts w:ascii="Palatino Linotype" w:hAnsi="Palatino Linotype"/>
          <w:sz w:val="22"/>
          <w:szCs w:val="22"/>
        </w:rPr>
        <w:t>Noncommitted</w:t>
      </w:r>
      <w:proofErr w:type="spellEnd"/>
      <w:proofErr w:type="gramEnd"/>
      <w:r w:rsidR="00C74BC1" w:rsidRPr="002D2A53">
        <w:rPr>
          <w:rFonts w:ascii="Palatino Linotype" w:hAnsi="Palatino Linotype"/>
          <w:color w:val="000000"/>
          <w:sz w:val="22"/>
          <w:szCs w:val="22"/>
          <w:lang w:val="en-CA" w:eastAsia="en-CA"/>
        </w:rPr>
        <w:t xml:space="preserve"> </w:t>
      </w:r>
      <w:r w:rsidRPr="002D2A53">
        <w:rPr>
          <w:rFonts w:ascii="Palatino Linotype" w:hAnsi="Palatino Linotype"/>
          <w:color w:val="000000"/>
          <w:sz w:val="22"/>
          <w:szCs w:val="22"/>
          <w:lang w:val="en-CA" w:eastAsia="en-CA"/>
        </w:rPr>
        <w:t>generators to participate in TCA</w:t>
      </w:r>
      <w:r w:rsidR="006B22F3">
        <w:rPr>
          <w:rFonts w:ascii="Palatino Linotype" w:hAnsi="Palatino Linotype"/>
          <w:color w:val="000000"/>
          <w:sz w:val="22"/>
          <w:szCs w:val="22"/>
          <w:lang w:val="en-CA" w:eastAsia="en-CA"/>
        </w:rPr>
        <w:t>, and provide an incremental improvement to the reliability aspects of TCA participants</w:t>
      </w:r>
      <w:r>
        <w:rPr>
          <w:rFonts w:ascii="Palatino Linotype" w:hAnsi="Palatino Linotype"/>
          <w:color w:val="000000"/>
          <w:sz w:val="22"/>
          <w:szCs w:val="22"/>
          <w:lang w:val="en-CA" w:eastAsia="en-CA"/>
        </w:rPr>
        <w:t>.</w:t>
      </w:r>
    </w:p>
    <w:p w14:paraId="6CB25978" w14:textId="77777777" w:rsidR="00292112" w:rsidRDefault="00292112" w:rsidP="00A5106D">
      <w:pPr>
        <w:spacing w:before="120" w:after="120"/>
        <w:rPr>
          <w:rFonts w:ascii="Palatino Linotype" w:hAnsi="Palatino Linotype"/>
          <w:color w:val="000000"/>
          <w:sz w:val="22"/>
          <w:szCs w:val="22"/>
          <w:lang w:val="en-CA" w:eastAsia="en-CA"/>
        </w:rPr>
      </w:pPr>
    </w:p>
    <w:p w14:paraId="6CB25979" w14:textId="77777777" w:rsidR="00292112" w:rsidRDefault="00292112" w:rsidP="00A5106D">
      <w:pPr>
        <w:spacing w:before="120" w:after="120"/>
        <w:rPr>
          <w:rFonts w:ascii="Palatino Linotype" w:hAnsi="Palatino Linotype"/>
          <w:color w:val="000000"/>
          <w:sz w:val="22"/>
          <w:szCs w:val="22"/>
          <w:lang w:val="en-CA" w:eastAsia="en-CA"/>
        </w:rPr>
      </w:pPr>
      <w:r>
        <w:rPr>
          <w:rFonts w:ascii="Palatino Linotype" w:hAnsi="Palatino Linotype"/>
          <w:color w:val="000000"/>
          <w:sz w:val="22"/>
          <w:szCs w:val="22"/>
          <w:lang w:val="en-CA" w:eastAsia="en-CA"/>
        </w:rPr>
        <w:t>Phase 2 scope includes design and implementation changes to:</w:t>
      </w:r>
    </w:p>
    <w:p w14:paraId="6CB2597A" w14:textId="77777777" w:rsidR="00292112" w:rsidRDefault="00292112" w:rsidP="009C3721">
      <w:pPr>
        <w:pStyle w:val="ListParagraph"/>
        <w:numPr>
          <w:ilvl w:val="0"/>
          <w:numId w:val="38"/>
        </w:numPr>
        <w:spacing w:before="120" w:after="120"/>
        <w:rPr>
          <w:rFonts w:ascii="Palatino Linotype" w:hAnsi="Palatino Linotype"/>
          <w:sz w:val="22"/>
          <w:szCs w:val="22"/>
          <w:lang w:eastAsia="en-CA"/>
        </w:rPr>
      </w:pPr>
      <w:r>
        <w:rPr>
          <w:rFonts w:ascii="Palatino Linotype" w:hAnsi="Palatino Linotype"/>
          <w:sz w:val="22"/>
          <w:szCs w:val="22"/>
          <w:lang w:eastAsia="en-CA"/>
        </w:rPr>
        <w:t>Enable system-backed imports</w:t>
      </w:r>
    </w:p>
    <w:p w14:paraId="6CB2597B" w14:textId="77777777" w:rsidR="00292112" w:rsidRDefault="00292112" w:rsidP="009C3721">
      <w:pPr>
        <w:pStyle w:val="ListParagraph"/>
        <w:numPr>
          <w:ilvl w:val="0"/>
          <w:numId w:val="38"/>
        </w:numPr>
        <w:spacing w:before="120" w:after="120"/>
        <w:rPr>
          <w:rFonts w:ascii="Palatino Linotype" w:hAnsi="Palatino Linotype"/>
          <w:sz w:val="22"/>
          <w:szCs w:val="22"/>
          <w:lang w:eastAsia="en-CA"/>
        </w:rPr>
      </w:pPr>
      <w:r>
        <w:rPr>
          <w:rFonts w:ascii="Palatino Linotype" w:hAnsi="Palatino Linotype"/>
          <w:sz w:val="22"/>
          <w:szCs w:val="22"/>
          <w:lang w:eastAsia="en-CA"/>
        </w:rPr>
        <w:t>Enable resource-backed imports</w:t>
      </w:r>
    </w:p>
    <w:p w14:paraId="6CB2597C" w14:textId="77777777" w:rsidR="00292112" w:rsidRDefault="00292112" w:rsidP="009C3721">
      <w:pPr>
        <w:pStyle w:val="ListParagraph"/>
        <w:numPr>
          <w:ilvl w:val="0"/>
          <w:numId w:val="38"/>
        </w:numPr>
        <w:spacing w:before="120" w:after="120"/>
        <w:rPr>
          <w:rFonts w:ascii="Palatino Linotype" w:hAnsi="Palatino Linotype"/>
          <w:sz w:val="22"/>
          <w:szCs w:val="22"/>
          <w:lang w:eastAsia="en-CA"/>
        </w:rPr>
      </w:pPr>
      <w:r>
        <w:rPr>
          <w:rFonts w:ascii="Palatino Linotype" w:hAnsi="Palatino Linotype"/>
          <w:sz w:val="22"/>
          <w:szCs w:val="22"/>
          <w:lang w:eastAsia="en-CA"/>
        </w:rPr>
        <w:t>Enable other resources as appropriate</w:t>
      </w:r>
    </w:p>
    <w:p w14:paraId="6CB2597D" w14:textId="77777777" w:rsidR="00292112" w:rsidRPr="00FC7441" w:rsidRDefault="00292112" w:rsidP="009C3721">
      <w:pPr>
        <w:pStyle w:val="ListParagraph"/>
        <w:numPr>
          <w:ilvl w:val="0"/>
          <w:numId w:val="38"/>
        </w:numPr>
        <w:spacing w:before="120" w:after="120"/>
        <w:rPr>
          <w:rFonts w:ascii="Palatino Linotype" w:hAnsi="Palatino Linotype"/>
          <w:sz w:val="22"/>
          <w:szCs w:val="22"/>
          <w:lang w:eastAsia="en-CA"/>
        </w:rPr>
      </w:pPr>
      <w:r>
        <w:rPr>
          <w:rFonts w:ascii="Palatino Linotype" w:hAnsi="Palatino Linotype"/>
          <w:sz w:val="22"/>
          <w:szCs w:val="22"/>
          <w:lang w:eastAsia="en-CA"/>
        </w:rPr>
        <w:t>Phase in appropriate ICA design elements</w:t>
      </w:r>
      <w:r w:rsidR="00623E7C">
        <w:rPr>
          <w:rFonts w:ascii="Palatino Linotype" w:hAnsi="Palatino Linotype"/>
          <w:sz w:val="22"/>
          <w:szCs w:val="22"/>
          <w:lang w:eastAsia="en-CA"/>
        </w:rPr>
        <w:t>, including enhancement to capacity qualification process</w:t>
      </w:r>
    </w:p>
    <w:p w14:paraId="6CB2597E" w14:textId="77777777" w:rsidR="002951BC" w:rsidRDefault="004820E9" w:rsidP="00A5106D">
      <w:pPr>
        <w:spacing w:before="120" w:after="120"/>
      </w:pPr>
      <w:r w:rsidRPr="0018481A" w:rsidDel="003F6A51">
        <w:t xml:space="preserve"> </w:t>
      </w:r>
    </w:p>
    <w:p w14:paraId="6CB2597F" w14:textId="77777777" w:rsidR="002D2A53" w:rsidRPr="00851BF4" w:rsidRDefault="002D2A53" w:rsidP="00A5106D">
      <w:pPr>
        <w:spacing w:before="120" w:after="120"/>
      </w:pPr>
    </w:p>
    <w:p w14:paraId="6D88F6EF" w14:textId="77777777" w:rsidR="006C6656" w:rsidRDefault="006C6656">
      <w:pPr>
        <w:spacing w:before="0"/>
        <w:rPr>
          <w:rFonts w:ascii="Cambria" w:eastAsiaTheme="majorEastAsia" w:hAnsi="Cambria" w:cstheme="majorBidi"/>
          <w:b/>
          <w:sz w:val="24"/>
          <w:szCs w:val="24"/>
        </w:rPr>
      </w:pPr>
      <w:r>
        <w:br w:type="page"/>
      </w:r>
    </w:p>
    <w:p w14:paraId="6CB25980" w14:textId="7991E847" w:rsidR="00BE4D8E" w:rsidRDefault="00BE4D8E" w:rsidP="00613184">
      <w:pPr>
        <w:pStyle w:val="Heading2"/>
      </w:pPr>
      <w:r>
        <w:lastRenderedPageBreak/>
        <w:t>High Level Assessment of Impacted Business Processes, Systems and Governing Documents</w:t>
      </w:r>
    </w:p>
    <w:p w14:paraId="6CB25981" w14:textId="77777777" w:rsidR="00BE4D8E" w:rsidRDefault="00BE4D8E" w:rsidP="00613184">
      <w:pPr>
        <w:pStyle w:val="Heading3"/>
      </w:pPr>
      <w:r>
        <w:t>Processes</w:t>
      </w:r>
    </w:p>
    <w:p w14:paraId="6CB25982" w14:textId="77777777" w:rsidR="00A5106D" w:rsidRDefault="00A5106D" w:rsidP="00A5106D">
      <w:pPr>
        <w:spacing w:before="0"/>
        <w:ind w:firstLine="576"/>
        <w:rPr>
          <w:rFonts w:ascii="Palatino Linotype" w:hAnsi="Palatino Linotype"/>
          <w:sz w:val="22"/>
          <w:szCs w:val="22"/>
        </w:rPr>
      </w:pPr>
    </w:p>
    <w:p w14:paraId="6CB25983" w14:textId="77777777" w:rsidR="00A5106D" w:rsidRPr="00781134" w:rsidRDefault="00A5106D" w:rsidP="00A5106D">
      <w:pPr>
        <w:spacing w:before="0"/>
        <w:ind w:firstLine="576"/>
        <w:rPr>
          <w:rFonts w:ascii="Palatino Linotype" w:hAnsi="Palatino Linotype"/>
          <w:b/>
          <w:sz w:val="22"/>
          <w:szCs w:val="22"/>
        </w:rPr>
      </w:pPr>
      <w:r w:rsidRPr="00781134">
        <w:rPr>
          <w:rFonts w:ascii="Palatino Linotype" w:hAnsi="Palatino Linotype"/>
          <w:b/>
          <w:sz w:val="22"/>
          <w:szCs w:val="22"/>
        </w:rPr>
        <w:t>Phase 1</w:t>
      </w:r>
      <w:r w:rsidR="00CB2D06" w:rsidRPr="00781134">
        <w:rPr>
          <w:rFonts w:ascii="Palatino Linotype" w:hAnsi="Palatino Linotype"/>
          <w:b/>
          <w:sz w:val="22"/>
          <w:szCs w:val="22"/>
        </w:rPr>
        <w:tab/>
      </w:r>
      <w:r w:rsidR="00CB2D06" w:rsidRPr="00781134">
        <w:rPr>
          <w:rFonts w:ascii="Palatino Linotype" w:hAnsi="Palatino Linotype"/>
          <w:b/>
          <w:sz w:val="22"/>
          <w:szCs w:val="22"/>
        </w:rPr>
        <w:tab/>
      </w:r>
    </w:p>
    <w:tbl>
      <w:tblPr>
        <w:tblStyle w:val="TableGrid"/>
        <w:tblW w:w="0" w:type="auto"/>
        <w:tblInd w:w="720" w:type="dxa"/>
        <w:tblLook w:val="04A0" w:firstRow="1" w:lastRow="0" w:firstColumn="1" w:lastColumn="0" w:noHBand="0" w:noVBand="1"/>
      </w:tblPr>
      <w:tblGrid>
        <w:gridCol w:w="2718"/>
        <w:gridCol w:w="6138"/>
      </w:tblGrid>
      <w:tr w:rsidR="00A5106D" w14:paraId="6CB25986" w14:textId="77777777" w:rsidTr="009600B8">
        <w:tc>
          <w:tcPr>
            <w:tcW w:w="2718" w:type="dxa"/>
            <w:shd w:val="clear" w:color="auto" w:fill="A6A6A6" w:themeFill="background1" w:themeFillShade="A6"/>
          </w:tcPr>
          <w:p w14:paraId="6CB25984" w14:textId="77777777" w:rsidR="00A5106D" w:rsidRPr="00A5106D" w:rsidRDefault="00CB2D06" w:rsidP="00A5106D">
            <w:pPr>
              <w:pStyle w:val="TableHead"/>
            </w:pPr>
            <w:r>
              <w:tab/>
            </w:r>
            <w:r w:rsidR="00A5106D" w:rsidRPr="00A5106D">
              <w:t>Process</w:t>
            </w:r>
          </w:p>
        </w:tc>
        <w:tc>
          <w:tcPr>
            <w:tcW w:w="6138" w:type="dxa"/>
            <w:shd w:val="clear" w:color="auto" w:fill="A6A6A6" w:themeFill="background1" w:themeFillShade="A6"/>
          </w:tcPr>
          <w:p w14:paraId="6CB25985" w14:textId="77777777" w:rsidR="00A5106D" w:rsidRPr="00A5106D" w:rsidRDefault="00A5106D" w:rsidP="00A5106D">
            <w:pPr>
              <w:pStyle w:val="TableHead"/>
            </w:pPr>
            <w:r w:rsidRPr="00A5106D">
              <w:t>Impact</w:t>
            </w:r>
          </w:p>
        </w:tc>
      </w:tr>
      <w:tr w:rsidR="00A5106D" w14:paraId="6CB2598A" w14:textId="77777777" w:rsidTr="009600B8">
        <w:tc>
          <w:tcPr>
            <w:tcW w:w="2718" w:type="dxa"/>
          </w:tcPr>
          <w:p w14:paraId="6CB25987" w14:textId="77777777" w:rsidR="00A5106D" w:rsidRPr="00E9582D" w:rsidRDefault="00A5106D" w:rsidP="009600B8">
            <w:pPr>
              <w:rPr>
                <w:rFonts w:ascii="Palatino Linotype" w:hAnsi="Palatino Linotype"/>
              </w:rPr>
            </w:pPr>
            <w:r w:rsidRPr="00E9582D">
              <w:rPr>
                <w:rFonts w:ascii="Palatino Linotype" w:hAnsi="Palatino Linotype"/>
              </w:rPr>
              <w:t>Qualify Capacity</w:t>
            </w:r>
          </w:p>
        </w:tc>
        <w:tc>
          <w:tcPr>
            <w:tcW w:w="6138" w:type="dxa"/>
          </w:tcPr>
          <w:p w14:paraId="6CB25988" w14:textId="2C2D9023" w:rsidR="00A5106D" w:rsidRPr="00E9582D" w:rsidRDefault="00A5106D" w:rsidP="009600B8">
            <w:pPr>
              <w:rPr>
                <w:rFonts w:ascii="Palatino Linotype" w:hAnsi="Palatino Linotype"/>
              </w:rPr>
            </w:pPr>
            <w:r w:rsidRPr="00E9582D">
              <w:rPr>
                <w:rFonts w:ascii="Palatino Linotype" w:hAnsi="Palatino Linotype"/>
              </w:rPr>
              <w:t xml:space="preserve">Update the process to allow participants to specify the type of resource (generator </w:t>
            </w:r>
            <w:r w:rsidR="0035013A">
              <w:rPr>
                <w:rFonts w:ascii="Palatino Linotype" w:hAnsi="Palatino Linotype"/>
              </w:rPr>
              <w:t>v</w:t>
            </w:r>
            <w:r w:rsidRPr="00E9582D">
              <w:rPr>
                <w:rFonts w:ascii="Palatino Linotype" w:hAnsi="Palatino Linotype"/>
              </w:rPr>
              <w:t xml:space="preserve">s. </w:t>
            </w:r>
            <w:r w:rsidR="0035013A">
              <w:rPr>
                <w:rFonts w:ascii="Palatino Linotype" w:hAnsi="Palatino Linotype"/>
              </w:rPr>
              <w:t>l</w:t>
            </w:r>
            <w:r w:rsidRPr="00E9582D">
              <w:rPr>
                <w:rFonts w:ascii="Palatino Linotype" w:hAnsi="Palatino Linotype"/>
              </w:rPr>
              <w:t>oad) that will deliver the capacity that may be secured through the auction</w:t>
            </w:r>
          </w:p>
          <w:p w14:paraId="6CB25989" w14:textId="77777777" w:rsidR="00A5106D" w:rsidRPr="00E9582D" w:rsidRDefault="00A5106D" w:rsidP="009600B8">
            <w:pPr>
              <w:pStyle w:val="ListParagraph"/>
              <w:ind w:left="0"/>
              <w:rPr>
                <w:rFonts w:ascii="Palatino Linotype" w:hAnsi="Palatino Linotype"/>
              </w:rPr>
            </w:pPr>
          </w:p>
        </w:tc>
      </w:tr>
      <w:tr w:rsidR="00A5106D" w14:paraId="6CB2598D" w14:textId="77777777" w:rsidTr="009600B8">
        <w:tc>
          <w:tcPr>
            <w:tcW w:w="2718" w:type="dxa"/>
          </w:tcPr>
          <w:p w14:paraId="6CB2598B" w14:textId="77777777" w:rsidR="00A5106D" w:rsidRPr="00E9582D" w:rsidRDefault="00A5106D" w:rsidP="009600B8">
            <w:pPr>
              <w:pStyle w:val="ListParagraph"/>
              <w:ind w:left="0"/>
              <w:rPr>
                <w:rFonts w:ascii="Palatino Linotype" w:hAnsi="Palatino Linotype"/>
              </w:rPr>
            </w:pPr>
            <w:r w:rsidRPr="00E9582D">
              <w:rPr>
                <w:rFonts w:ascii="Palatino Linotype" w:hAnsi="Palatino Linotype"/>
              </w:rPr>
              <w:t>Record Equipment</w:t>
            </w:r>
          </w:p>
        </w:tc>
        <w:tc>
          <w:tcPr>
            <w:tcW w:w="6138" w:type="dxa"/>
          </w:tcPr>
          <w:p w14:paraId="6CB2598C" w14:textId="77777777" w:rsidR="00A5106D" w:rsidRPr="00E9582D" w:rsidRDefault="00A5106D" w:rsidP="00835859">
            <w:pPr>
              <w:pStyle w:val="ListParagraph"/>
              <w:ind w:left="0"/>
              <w:rPr>
                <w:rFonts w:ascii="Palatino Linotype" w:hAnsi="Palatino Linotype"/>
              </w:rPr>
            </w:pPr>
            <w:r w:rsidRPr="00E9582D">
              <w:rPr>
                <w:rFonts w:ascii="Palatino Linotype" w:hAnsi="Palatino Linotype"/>
              </w:rPr>
              <w:t xml:space="preserve">Update the process to create a task for </w:t>
            </w:r>
            <w:r w:rsidR="00835859" w:rsidRPr="00E9582D">
              <w:rPr>
                <w:rFonts w:ascii="Palatino Linotype" w:hAnsi="Palatino Linotype"/>
              </w:rPr>
              <w:t xml:space="preserve">Contract Management </w:t>
            </w:r>
            <w:r w:rsidRPr="00E9582D">
              <w:rPr>
                <w:rFonts w:ascii="Palatino Linotype" w:hAnsi="Palatino Linotype"/>
              </w:rPr>
              <w:t xml:space="preserve">group to verify </w:t>
            </w:r>
            <w:r w:rsidR="00835859" w:rsidRPr="00E9582D">
              <w:rPr>
                <w:rFonts w:ascii="Palatino Linotype" w:hAnsi="Palatino Linotype"/>
              </w:rPr>
              <w:t>that the selected generator resources do not have any active contracts within the commitment period.</w:t>
            </w:r>
          </w:p>
        </w:tc>
      </w:tr>
    </w:tbl>
    <w:p w14:paraId="6CB2598E" w14:textId="77777777" w:rsidR="00BE4D8E" w:rsidRDefault="00BE4D8E" w:rsidP="00BE4D8E">
      <w:pPr>
        <w:spacing w:before="0"/>
        <w:ind w:left="720" w:firstLine="576"/>
        <w:rPr>
          <w:rFonts w:ascii="Palatino Linotype" w:hAnsi="Palatino Linotype"/>
          <w:sz w:val="22"/>
          <w:szCs w:val="22"/>
        </w:rPr>
      </w:pPr>
    </w:p>
    <w:p w14:paraId="6CB2598F" w14:textId="77777777" w:rsidR="00A5106D" w:rsidRDefault="00A5106D" w:rsidP="00A5106D">
      <w:pPr>
        <w:spacing w:before="0"/>
        <w:ind w:firstLine="576"/>
        <w:rPr>
          <w:rFonts w:ascii="Palatino Linotype" w:hAnsi="Palatino Linotype"/>
          <w:b/>
          <w:sz w:val="22"/>
          <w:szCs w:val="22"/>
        </w:rPr>
      </w:pPr>
      <w:r w:rsidRPr="00781134">
        <w:rPr>
          <w:rFonts w:ascii="Palatino Linotype" w:hAnsi="Palatino Linotype"/>
          <w:b/>
          <w:sz w:val="22"/>
          <w:szCs w:val="22"/>
        </w:rPr>
        <w:t>Phase 2</w:t>
      </w:r>
      <w:r w:rsidR="002B6C3E">
        <w:rPr>
          <w:rFonts w:ascii="Palatino Linotype" w:hAnsi="Palatino Linotype"/>
          <w:b/>
          <w:sz w:val="22"/>
          <w:szCs w:val="22"/>
        </w:rPr>
        <w:t xml:space="preserve"> – TBD:  To be updated in later version of Project Charter</w:t>
      </w:r>
    </w:p>
    <w:tbl>
      <w:tblPr>
        <w:tblStyle w:val="TableGrid"/>
        <w:tblW w:w="0" w:type="auto"/>
        <w:tblInd w:w="720" w:type="dxa"/>
        <w:tblLook w:val="04A0" w:firstRow="1" w:lastRow="0" w:firstColumn="1" w:lastColumn="0" w:noHBand="0" w:noVBand="1"/>
      </w:tblPr>
      <w:tblGrid>
        <w:gridCol w:w="2718"/>
        <w:gridCol w:w="6138"/>
      </w:tblGrid>
      <w:tr w:rsidR="00781134" w14:paraId="6CB25992" w14:textId="77777777" w:rsidTr="009600B8">
        <w:tc>
          <w:tcPr>
            <w:tcW w:w="2718" w:type="dxa"/>
            <w:shd w:val="clear" w:color="auto" w:fill="A6A6A6" w:themeFill="background1" w:themeFillShade="A6"/>
          </w:tcPr>
          <w:p w14:paraId="6CB25990" w14:textId="77777777" w:rsidR="00781134" w:rsidRPr="00A5106D" w:rsidRDefault="00781134" w:rsidP="009600B8">
            <w:pPr>
              <w:pStyle w:val="TableHead"/>
            </w:pPr>
            <w:r>
              <w:tab/>
            </w:r>
            <w:r w:rsidRPr="00A5106D">
              <w:t>Process</w:t>
            </w:r>
          </w:p>
        </w:tc>
        <w:tc>
          <w:tcPr>
            <w:tcW w:w="6138" w:type="dxa"/>
            <w:shd w:val="clear" w:color="auto" w:fill="A6A6A6" w:themeFill="background1" w:themeFillShade="A6"/>
          </w:tcPr>
          <w:p w14:paraId="6CB25991" w14:textId="77777777" w:rsidR="00781134" w:rsidRPr="00A5106D" w:rsidRDefault="00781134" w:rsidP="009600B8">
            <w:pPr>
              <w:pStyle w:val="TableHead"/>
            </w:pPr>
            <w:r w:rsidRPr="00A5106D">
              <w:t>Impact</w:t>
            </w:r>
          </w:p>
        </w:tc>
      </w:tr>
      <w:tr w:rsidR="00781134" w14:paraId="6CB25995" w14:textId="77777777" w:rsidTr="009600B8">
        <w:tc>
          <w:tcPr>
            <w:tcW w:w="2718" w:type="dxa"/>
          </w:tcPr>
          <w:p w14:paraId="6CB25993" w14:textId="77777777" w:rsidR="00781134" w:rsidRDefault="00781134" w:rsidP="009600B8"/>
        </w:tc>
        <w:tc>
          <w:tcPr>
            <w:tcW w:w="6138" w:type="dxa"/>
          </w:tcPr>
          <w:p w14:paraId="6CB25994" w14:textId="77777777" w:rsidR="00781134" w:rsidRDefault="00781134" w:rsidP="009600B8">
            <w:pPr>
              <w:pStyle w:val="ListParagraph"/>
              <w:ind w:left="0"/>
            </w:pPr>
          </w:p>
        </w:tc>
      </w:tr>
      <w:tr w:rsidR="00781134" w14:paraId="6CB25998" w14:textId="77777777" w:rsidTr="009600B8">
        <w:tc>
          <w:tcPr>
            <w:tcW w:w="2718" w:type="dxa"/>
          </w:tcPr>
          <w:p w14:paraId="6CB25996" w14:textId="77777777" w:rsidR="00781134" w:rsidRDefault="00781134" w:rsidP="009600B8">
            <w:pPr>
              <w:pStyle w:val="ListParagraph"/>
              <w:ind w:left="0"/>
            </w:pPr>
          </w:p>
        </w:tc>
        <w:tc>
          <w:tcPr>
            <w:tcW w:w="6138" w:type="dxa"/>
          </w:tcPr>
          <w:p w14:paraId="6CB25997" w14:textId="77777777" w:rsidR="00781134" w:rsidRDefault="00781134" w:rsidP="009600B8">
            <w:pPr>
              <w:pStyle w:val="ListParagraph"/>
              <w:ind w:left="0"/>
            </w:pPr>
          </w:p>
        </w:tc>
      </w:tr>
    </w:tbl>
    <w:p w14:paraId="6CB25999" w14:textId="393516F2" w:rsidR="006C6656" w:rsidRDefault="006C6656" w:rsidP="00A5106D">
      <w:pPr>
        <w:spacing w:before="0"/>
        <w:ind w:firstLine="576"/>
        <w:rPr>
          <w:rFonts w:ascii="Palatino Linotype" w:hAnsi="Palatino Linotype"/>
          <w:b/>
          <w:sz w:val="22"/>
          <w:szCs w:val="22"/>
        </w:rPr>
      </w:pPr>
    </w:p>
    <w:p w14:paraId="44BE20D9" w14:textId="77777777" w:rsidR="006C6656" w:rsidRDefault="006C6656">
      <w:pPr>
        <w:spacing w:before="0"/>
        <w:rPr>
          <w:rFonts w:ascii="Palatino Linotype" w:hAnsi="Palatino Linotype"/>
          <w:b/>
          <w:sz w:val="22"/>
          <w:szCs w:val="22"/>
        </w:rPr>
      </w:pPr>
      <w:r>
        <w:rPr>
          <w:rFonts w:ascii="Palatino Linotype" w:hAnsi="Palatino Linotype"/>
          <w:b/>
          <w:sz w:val="22"/>
          <w:szCs w:val="22"/>
        </w:rPr>
        <w:br w:type="page"/>
      </w:r>
    </w:p>
    <w:p w14:paraId="6CB2599A" w14:textId="77777777" w:rsidR="00BE4D8E" w:rsidRDefault="00BE4D8E" w:rsidP="00613184">
      <w:pPr>
        <w:pStyle w:val="Heading3"/>
      </w:pPr>
      <w:r>
        <w:lastRenderedPageBreak/>
        <w:t>Systems</w:t>
      </w:r>
    </w:p>
    <w:p w14:paraId="6CB2599B" w14:textId="77777777" w:rsidR="00A5106D" w:rsidRDefault="00A5106D" w:rsidP="00CB2D06">
      <w:pPr>
        <w:spacing w:before="0"/>
        <w:ind w:left="720" w:firstLine="576"/>
        <w:rPr>
          <w:rFonts w:ascii="Palatino Linotype" w:hAnsi="Palatino Linotype"/>
          <w:sz w:val="22"/>
          <w:szCs w:val="22"/>
        </w:rPr>
      </w:pPr>
    </w:p>
    <w:p w14:paraId="6CB2599D" w14:textId="384CF640" w:rsidR="00A5106D" w:rsidRPr="000C12D3" w:rsidRDefault="00A5106D" w:rsidP="000C12D3">
      <w:pPr>
        <w:spacing w:before="0"/>
        <w:ind w:firstLine="540"/>
        <w:rPr>
          <w:rFonts w:ascii="Palatino Linotype" w:hAnsi="Palatino Linotype"/>
          <w:sz w:val="22"/>
          <w:szCs w:val="22"/>
        </w:rPr>
      </w:pPr>
      <w:r w:rsidRPr="00781134">
        <w:rPr>
          <w:rFonts w:ascii="Palatino Linotype" w:hAnsi="Palatino Linotype"/>
          <w:b/>
          <w:sz w:val="22"/>
          <w:szCs w:val="22"/>
        </w:rPr>
        <w:t>Phase 1</w:t>
      </w:r>
    </w:p>
    <w:tbl>
      <w:tblPr>
        <w:tblStyle w:val="TableGrid"/>
        <w:tblW w:w="0" w:type="auto"/>
        <w:tblInd w:w="720" w:type="dxa"/>
        <w:tblLook w:val="04A0" w:firstRow="1" w:lastRow="0" w:firstColumn="1" w:lastColumn="0" w:noHBand="0" w:noVBand="1"/>
      </w:tblPr>
      <w:tblGrid>
        <w:gridCol w:w="2718"/>
        <w:gridCol w:w="6138"/>
      </w:tblGrid>
      <w:tr w:rsidR="00A5106D" w14:paraId="6CB259A0" w14:textId="77777777" w:rsidTr="009600B8">
        <w:tc>
          <w:tcPr>
            <w:tcW w:w="2718" w:type="dxa"/>
            <w:shd w:val="clear" w:color="auto" w:fill="A6A6A6" w:themeFill="background1" w:themeFillShade="A6"/>
          </w:tcPr>
          <w:p w14:paraId="6CB2599E" w14:textId="77777777" w:rsidR="00A5106D" w:rsidRPr="00A5106D" w:rsidRDefault="00A5106D" w:rsidP="00A5106D">
            <w:pPr>
              <w:pStyle w:val="TableHead"/>
            </w:pPr>
            <w:r w:rsidRPr="00A5106D">
              <w:t>Solution</w:t>
            </w:r>
          </w:p>
        </w:tc>
        <w:tc>
          <w:tcPr>
            <w:tcW w:w="6138" w:type="dxa"/>
            <w:shd w:val="clear" w:color="auto" w:fill="A6A6A6" w:themeFill="background1" w:themeFillShade="A6"/>
          </w:tcPr>
          <w:p w14:paraId="6CB2599F" w14:textId="77777777" w:rsidR="00A5106D" w:rsidRPr="00A5106D" w:rsidRDefault="00A5106D" w:rsidP="00A5106D">
            <w:pPr>
              <w:pStyle w:val="TableHead"/>
            </w:pPr>
            <w:r w:rsidRPr="00A5106D">
              <w:t>Impact</w:t>
            </w:r>
          </w:p>
        </w:tc>
      </w:tr>
      <w:tr w:rsidR="00A5106D" w14:paraId="6CB259A9" w14:textId="77777777" w:rsidTr="009600B8">
        <w:tc>
          <w:tcPr>
            <w:tcW w:w="2718" w:type="dxa"/>
          </w:tcPr>
          <w:p w14:paraId="6CB259A1" w14:textId="77777777" w:rsidR="00A5106D" w:rsidRPr="00E9582D" w:rsidRDefault="00A5106D" w:rsidP="009600B8">
            <w:pPr>
              <w:rPr>
                <w:rFonts w:ascii="Palatino Linotype" w:hAnsi="Palatino Linotype"/>
              </w:rPr>
            </w:pPr>
            <w:r w:rsidRPr="00E9582D">
              <w:rPr>
                <w:rFonts w:ascii="Palatino Linotype" w:hAnsi="Palatino Linotype"/>
              </w:rPr>
              <w:t>Online IESO</w:t>
            </w:r>
          </w:p>
          <w:p w14:paraId="6CB259A2" w14:textId="77777777" w:rsidR="00A5106D" w:rsidRPr="00E9582D" w:rsidRDefault="00A5106D" w:rsidP="009600B8">
            <w:pPr>
              <w:rPr>
                <w:rFonts w:ascii="Palatino Linotype" w:hAnsi="Palatino Linotype"/>
              </w:rPr>
            </w:pPr>
          </w:p>
        </w:tc>
        <w:tc>
          <w:tcPr>
            <w:tcW w:w="6138" w:type="dxa"/>
          </w:tcPr>
          <w:p w14:paraId="6CB259A3" w14:textId="77777777" w:rsidR="00A5106D" w:rsidRPr="00E9582D" w:rsidRDefault="00A5106D" w:rsidP="009C3721">
            <w:pPr>
              <w:pStyle w:val="ListParagraph"/>
              <w:numPr>
                <w:ilvl w:val="0"/>
                <w:numId w:val="14"/>
              </w:numPr>
              <w:spacing w:before="0"/>
              <w:ind w:left="353"/>
              <w:rPr>
                <w:rFonts w:ascii="Palatino Linotype" w:hAnsi="Palatino Linotype"/>
              </w:rPr>
            </w:pPr>
            <w:r w:rsidRPr="00E9582D">
              <w:rPr>
                <w:rFonts w:ascii="Palatino Linotype" w:hAnsi="Palatino Linotype"/>
              </w:rPr>
              <w:t xml:space="preserve">Rename all </w:t>
            </w:r>
            <w:r w:rsidR="00FA687F" w:rsidRPr="00E9582D">
              <w:rPr>
                <w:rFonts w:ascii="Palatino Linotype" w:hAnsi="Palatino Linotype"/>
              </w:rPr>
              <w:t>occurrences</w:t>
            </w:r>
            <w:r w:rsidRPr="00E9582D">
              <w:rPr>
                <w:rFonts w:ascii="Palatino Linotype" w:hAnsi="Palatino Linotype"/>
              </w:rPr>
              <w:t xml:space="preserve"> of “Demand Response Auction” to “Transitional Capacity Auction”</w:t>
            </w:r>
          </w:p>
          <w:p w14:paraId="6CB259A4" w14:textId="77777777" w:rsidR="00F65100" w:rsidRPr="00E9582D" w:rsidRDefault="00F65100" w:rsidP="009C3721">
            <w:pPr>
              <w:pStyle w:val="ListParagraph"/>
              <w:numPr>
                <w:ilvl w:val="0"/>
                <w:numId w:val="14"/>
              </w:numPr>
              <w:spacing w:before="0"/>
              <w:ind w:left="353"/>
              <w:rPr>
                <w:rFonts w:ascii="Palatino Linotype" w:hAnsi="Palatino Linotype"/>
              </w:rPr>
            </w:pPr>
            <w:r w:rsidRPr="00E9582D">
              <w:rPr>
                <w:rFonts w:ascii="Palatino Linotype" w:hAnsi="Palatino Linotype"/>
              </w:rPr>
              <w:t>Allow generation participants to submit authorization request</w:t>
            </w:r>
            <w:r w:rsidR="00994810" w:rsidRPr="00E9582D">
              <w:rPr>
                <w:rFonts w:ascii="Palatino Linotype" w:hAnsi="Palatino Linotype"/>
              </w:rPr>
              <w:t>s</w:t>
            </w:r>
            <w:r w:rsidRPr="00E9582D">
              <w:rPr>
                <w:rFonts w:ascii="Palatino Linotype" w:hAnsi="Palatino Linotype"/>
              </w:rPr>
              <w:t xml:space="preserve"> to become an auction participant</w:t>
            </w:r>
          </w:p>
          <w:p w14:paraId="6CB259A5" w14:textId="77777777" w:rsidR="00A5106D" w:rsidRPr="00E9582D" w:rsidRDefault="00A5106D" w:rsidP="009C3721">
            <w:pPr>
              <w:pStyle w:val="ListParagraph"/>
              <w:numPr>
                <w:ilvl w:val="0"/>
                <w:numId w:val="14"/>
              </w:numPr>
              <w:spacing w:before="0"/>
              <w:ind w:left="353"/>
              <w:rPr>
                <w:rFonts w:ascii="Palatino Linotype" w:hAnsi="Palatino Linotype"/>
              </w:rPr>
            </w:pPr>
            <w:r w:rsidRPr="00E9582D">
              <w:rPr>
                <w:rFonts w:ascii="Palatino Linotype" w:hAnsi="Palatino Linotype"/>
              </w:rPr>
              <w:t xml:space="preserve">Allow Auction participants to specify the type of resource during </w:t>
            </w:r>
            <w:r w:rsidR="00FA687F" w:rsidRPr="00E9582D">
              <w:rPr>
                <w:rFonts w:ascii="Palatino Linotype" w:hAnsi="Palatino Linotype"/>
              </w:rPr>
              <w:t>qualification</w:t>
            </w:r>
            <w:r w:rsidRPr="00E9582D">
              <w:rPr>
                <w:rFonts w:ascii="Palatino Linotype" w:hAnsi="Palatino Linotype"/>
              </w:rPr>
              <w:t xml:space="preserve"> process that will deliver the capacity</w:t>
            </w:r>
          </w:p>
          <w:p w14:paraId="6CB259A6" w14:textId="77777777" w:rsidR="00A5106D" w:rsidRPr="00E9582D" w:rsidRDefault="00A5106D" w:rsidP="009C3721">
            <w:pPr>
              <w:pStyle w:val="ListParagraph"/>
              <w:numPr>
                <w:ilvl w:val="0"/>
                <w:numId w:val="14"/>
              </w:numPr>
              <w:spacing w:before="0"/>
              <w:ind w:left="353"/>
              <w:rPr>
                <w:rFonts w:ascii="Palatino Linotype" w:hAnsi="Palatino Linotype"/>
              </w:rPr>
            </w:pPr>
            <w:r w:rsidRPr="00E9582D">
              <w:rPr>
                <w:rFonts w:ascii="Palatino Linotype" w:hAnsi="Palatino Linotype"/>
              </w:rPr>
              <w:t>Allow generator participants to associate generator resource</w:t>
            </w:r>
            <w:r w:rsidR="00994810" w:rsidRPr="00E9582D">
              <w:rPr>
                <w:rFonts w:ascii="Palatino Linotype" w:hAnsi="Palatino Linotype"/>
              </w:rPr>
              <w:t>s</w:t>
            </w:r>
            <w:r w:rsidRPr="00E9582D">
              <w:rPr>
                <w:rFonts w:ascii="Palatino Linotype" w:hAnsi="Palatino Linotype"/>
              </w:rPr>
              <w:t xml:space="preserve"> to </w:t>
            </w:r>
            <w:r w:rsidR="00994810" w:rsidRPr="00E9582D">
              <w:rPr>
                <w:rFonts w:ascii="Palatino Linotype" w:hAnsi="Palatino Linotype"/>
              </w:rPr>
              <w:t xml:space="preserve">a </w:t>
            </w:r>
            <w:r w:rsidRPr="00E9582D">
              <w:rPr>
                <w:rFonts w:ascii="Palatino Linotype" w:hAnsi="Palatino Linotype"/>
              </w:rPr>
              <w:t>capacity obligation</w:t>
            </w:r>
            <w:r w:rsidR="00994810" w:rsidRPr="00E9582D">
              <w:rPr>
                <w:rFonts w:ascii="Palatino Linotype" w:hAnsi="Palatino Linotype"/>
              </w:rPr>
              <w:t>,</w:t>
            </w:r>
            <w:r w:rsidRPr="00E9582D">
              <w:rPr>
                <w:rFonts w:ascii="Palatino Linotype" w:hAnsi="Palatino Linotype"/>
              </w:rPr>
              <w:t xml:space="preserve"> if required</w:t>
            </w:r>
          </w:p>
          <w:p w14:paraId="6CB259A7" w14:textId="77777777" w:rsidR="00A5106D" w:rsidRPr="00E9582D" w:rsidRDefault="00A5106D" w:rsidP="009C3721">
            <w:pPr>
              <w:pStyle w:val="ListParagraph"/>
              <w:numPr>
                <w:ilvl w:val="0"/>
                <w:numId w:val="14"/>
              </w:numPr>
              <w:spacing w:before="0"/>
              <w:ind w:left="353"/>
              <w:rPr>
                <w:rFonts w:ascii="Palatino Linotype" w:hAnsi="Palatino Linotype"/>
              </w:rPr>
            </w:pPr>
            <w:r w:rsidRPr="00E9582D">
              <w:rPr>
                <w:rFonts w:ascii="Palatino Linotype" w:hAnsi="Palatino Linotype"/>
              </w:rPr>
              <w:t xml:space="preserve">Implement </w:t>
            </w:r>
            <w:r w:rsidR="00994810" w:rsidRPr="00E9582D">
              <w:rPr>
                <w:rFonts w:ascii="Palatino Linotype" w:hAnsi="Palatino Linotype"/>
              </w:rPr>
              <w:t xml:space="preserve">business </w:t>
            </w:r>
            <w:r w:rsidRPr="00E9582D">
              <w:rPr>
                <w:rFonts w:ascii="Palatino Linotype" w:hAnsi="Palatino Linotype"/>
              </w:rPr>
              <w:t>rules to allow participants to associate only the previously selected resource types to be associated with a capacity obligation</w:t>
            </w:r>
          </w:p>
          <w:p w14:paraId="6CB259A8" w14:textId="77777777" w:rsidR="00A5106D" w:rsidRPr="00E9582D" w:rsidRDefault="00A5106D" w:rsidP="009C3721">
            <w:pPr>
              <w:pStyle w:val="ListParagraph"/>
              <w:numPr>
                <w:ilvl w:val="0"/>
                <w:numId w:val="14"/>
              </w:numPr>
              <w:spacing w:before="0"/>
              <w:ind w:left="353"/>
              <w:rPr>
                <w:rFonts w:ascii="Palatino Linotype" w:hAnsi="Palatino Linotype"/>
              </w:rPr>
            </w:pPr>
            <w:r w:rsidRPr="00E9582D">
              <w:rPr>
                <w:rFonts w:ascii="Palatino Linotype" w:hAnsi="Palatino Linotype"/>
              </w:rPr>
              <w:t xml:space="preserve">Implement new tasks for </w:t>
            </w:r>
            <w:r w:rsidR="00994810" w:rsidRPr="00E9582D">
              <w:rPr>
                <w:rFonts w:ascii="Palatino Linotype" w:hAnsi="Palatino Linotype"/>
              </w:rPr>
              <w:t xml:space="preserve">Contract Management </w:t>
            </w:r>
            <w:r w:rsidRPr="00E9582D">
              <w:rPr>
                <w:rFonts w:ascii="Palatino Linotype" w:hAnsi="Palatino Linotype"/>
              </w:rPr>
              <w:t xml:space="preserve">to ensure that the selected generator resources do not have any </w:t>
            </w:r>
            <w:r w:rsidR="00994810" w:rsidRPr="00E9582D">
              <w:rPr>
                <w:rFonts w:ascii="Palatino Linotype" w:hAnsi="Palatino Linotype"/>
              </w:rPr>
              <w:t xml:space="preserve">active </w:t>
            </w:r>
            <w:r w:rsidRPr="00E9582D">
              <w:rPr>
                <w:rFonts w:ascii="Palatino Linotype" w:hAnsi="Palatino Linotype"/>
              </w:rPr>
              <w:t>contracts</w:t>
            </w:r>
            <w:r w:rsidR="00994810" w:rsidRPr="00E9582D">
              <w:rPr>
                <w:rFonts w:ascii="Palatino Linotype" w:hAnsi="Palatino Linotype"/>
              </w:rPr>
              <w:t xml:space="preserve"> within the commitment period</w:t>
            </w:r>
            <w:r w:rsidRPr="00E9582D">
              <w:rPr>
                <w:rFonts w:ascii="Palatino Linotype" w:hAnsi="Palatino Linotype"/>
              </w:rPr>
              <w:t>.</w:t>
            </w:r>
          </w:p>
        </w:tc>
      </w:tr>
      <w:tr w:rsidR="00A5106D" w14:paraId="6CB259AC" w14:textId="77777777" w:rsidTr="009600B8">
        <w:tc>
          <w:tcPr>
            <w:tcW w:w="2718" w:type="dxa"/>
          </w:tcPr>
          <w:p w14:paraId="6CB259AA" w14:textId="77777777" w:rsidR="00A5106D" w:rsidRPr="00E9582D" w:rsidRDefault="00A5106D" w:rsidP="009600B8">
            <w:pPr>
              <w:rPr>
                <w:rFonts w:ascii="Palatino Linotype" w:hAnsi="Palatino Linotype"/>
              </w:rPr>
            </w:pPr>
            <w:r w:rsidRPr="00E9582D">
              <w:rPr>
                <w:rFonts w:ascii="Palatino Linotype" w:hAnsi="Palatino Linotype"/>
              </w:rPr>
              <w:t>Post Auction Reports</w:t>
            </w:r>
          </w:p>
        </w:tc>
        <w:tc>
          <w:tcPr>
            <w:tcW w:w="6138" w:type="dxa"/>
          </w:tcPr>
          <w:p w14:paraId="6CB259AB" w14:textId="77777777" w:rsidR="00A5106D" w:rsidRPr="00E9582D" w:rsidRDefault="00A5106D" w:rsidP="009600B8">
            <w:pPr>
              <w:rPr>
                <w:rFonts w:ascii="Palatino Linotype" w:hAnsi="Palatino Linotype"/>
              </w:rPr>
            </w:pPr>
            <w:r w:rsidRPr="00E9582D">
              <w:rPr>
                <w:rFonts w:ascii="Palatino Linotype" w:hAnsi="Palatino Linotype"/>
              </w:rPr>
              <w:t>Add additional information related to generator resources in the post auction report</w:t>
            </w:r>
          </w:p>
        </w:tc>
      </w:tr>
      <w:tr w:rsidR="00A5106D" w14:paraId="6CB259AF" w14:textId="77777777" w:rsidTr="009600B8">
        <w:tc>
          <w:tcPr>
            <w:tcW w:w="2718" w:type="dxa"/>
          </w:tcPr>
          <w:p w14:paraId="6CB259AD" w14:textId="313DA6C2" w:rsidR="00A5106D" w:rsidRPr="00E9582D" w:rsidRDefault="0035013A" w:rsidP="009600B8">
            <w:pPr>
              <w:rPr>
                <w:rFonts w:ascii="Palatino Linotype" w:hAnsi="Palatino Linotype"/>
              </w:rPr>
            </w:pPr>
            <w:r>
              <w:rPr>
                <w:rFonts w:ascii="Palatino Linotype" w:hAnsi="Palatino Linotype"/>
              </w:rPr>
              <w:t>Commercial Reconciliation System (</w:t>
            </w:r>
            <w:r w:rsidR="00A5106D" w:rsidRPr="00E9582D">
              <w:rPr>
                <w:rFonts w:ascii="Palatino Linotype" w:hAnsi="Palatino Linotype"/>
              </w:rPr>
              <w:t>CRS</w:t>
            </w:r>
            <w:r>
              <w:rPr>
                <w:rFonts w:ascii="Palatino Linotype" w:hAnsi="Palatino Linotype"/>
              </w:rPr>
              <w:t>)</w:t>
            </w:r>
            <w:r w:rsidR="00A5106D" w:rsidRPr="00E9582D">
              <w:rPr>
                <w:rFonts w:ascii="Palatino Linotype" w:hAnsi="Palatino Linotype"/>
              </w:rPr>
              <w:t xml:space="preserve"> </w:t>
            </w:r>
          </w:p>
        </w:tc>
        <w:tc>
          <w:tcPr>
            <w:tcW w:w="6138" w:type="dxa"/>
          </w:tcPr>
          <w:p w14:paraId="6CB259AE" w14:textId="77777777" w:rsidR="00A5106D" w:rsidRPr="00E9582D" w:rsidRDefault="000E6EE5" w:rsidP="000E6EE5">
            <w:pPr>
              <w:rPr>
                <w:rFonts w:ascii="Palatino Linotype" w:hAnsi="Palatino Linotype"/>
              </w:rPr>
            </w:pPr>
            <w:r w:rsidRPr="00E9582D">
              <w:rPr>
                <w:rFonts w:ascii="Palatino Linotype" w:hAnsi="Palatino Linotype"/>
              </w:rPr>
              <w:t>E</w:t>
            </w:r>
            <w:r w:rsidR="00A5106D" w:rsidRPr="00E9582D">
              <w:rPr>
                <w:rFonts w:ascii="Palatino Linotype" w:hAnsi="Palatino Linotype"/>
              </w:rPr>
              <w:t>nable generation, modify availability charge and update capacity charge</w:t>
            </w:r>
          </w:p>
        </w:tc>
      </w:tr>
    </w:tbl>
    <w:p w14:paraId="6CB259B0" w14:textId="77777777" w:rsidR="00A5106D" w:rsidRDefault="00A5106D" w:rsidP="00CB2D06">
      <w:pPr>
        <w:spacing w:before="0"/>
        <w:ind w:left="720" w:firstLine="576"/>
        <w:rPr>
          <w:rFonts w:ascii="Palatino Linotype" w:hAnsi="Palatino Linotype"/>
          <w:sz w:val="22"/>
          <w:szCs w:val="22"/>
        </w:rPr>
      </w:pPr>
    </w:p>
    <w:p w14:paraId="6CB259B1" w14:textId="77777777" w:rsidR="00781134" w:rsidRPr="00781134" w:rsidRDefault="00A5106D" w:rsidP="00A5106D">
      <w:pPr>
        <w:spacing w:before="0"/>
        <w:ind w:firstLine="576"/>
        <w:rPr>
          <w:rFonts w:ascii="Palatino Linotype" w:hAnsi="Palatino Linotype"/>
          <w:b/>
          <w:sz w:val="22"/>
          <w:szCs w:val="22"/>
        </w:rPr>
      </w:pPr>
      <w:r w:rsidRPr="00781134">
        <w:rPr>
          <w:rFonts w:ascii="Palatino Linotype" w:hAnsi="Palatino Linotype"/>
          <w:b/>
          <w:sz w:val="22"/>
          <w:szCs w:val="22"/>
        </w:rPr>
        <w:t>Phase 2</w:t>
      </w:r>
      <w:r w:rsidR="00EC4DF7">
        <w:rPr>
          <w:rFonts w:ascii="Palatino Linotype" w:hAnsi="Palatino Linotype"/>
          <w:b/>
          <w:sz w:val="22"/>
          <w:szCs w:val="22"/>
        </w:rPr>
        <w:t xml:space="preserve"> - </w:t>
      </w:r>
      <w:r w:rsidR="002B6C3E">
        <w:rPr>
          <w:rFonts w:ascii="Palatino Linotype" w:hAnsi="Palatino Linotype"/>
          <w:b/>
          <w:sz w:val="22"/>
          <w:szCs w:val="22"/>
        </w:rPr>
        <w:t>TBD:  To be updated in later version of Project Charter</w:t>
      </w:r>
      <w:r w:rsidR="00CB2D06" w:rsidRPr="00781134">
        <w:rPr>
          <w:rFonts w:ascii="Palatino Linotype" w:hAnsi="Palatino Linotype"/>
          <w:b/>
          <w:sz w:val="22"/>
          <w:szCs w:val="22"/>
        </w:rPr>
        <w:tab/>
      </w:r>
      <w:r w:rsidR="00CB2D06" w:rsidRPr="00781134">
        <w:rPr>
          <w:rFonts w:ascii="Palatino Linotype" w:hAnsi="Palatino Linotype"/>
          <w:b/>
          <w:sz w:val="22"/>
          <w:szCs w:val="22"/>
        </w:rPr>
        <w:tab/>
      </w:r>
    </w:p>
    <w:tbl>
      <w:tblPr>
        <w:tblStyle w:val="TableGrid"/>
        <w:tblW w:w="0" w:type="auto"/>
        <w:tblInd w:w="720" w:type="dxa"/>
        <w:tblLook w:val="04A0" w:firstRow="1" w:lastRow="0" w:firstColumn="1" w:lastColumn="0" w:noHBand="0" w:noVBand="1"/>
      </w:tblPr>
      <w:tblGrid>
        <w:gridCol w:w="2718"/>
        <w:gridCol w:w="6138"/>
      </w:tblGrid>
      <w:tr w:rsidR="00781134" w14:paraId="6CB259B4" w14:textId="77777777" w:rsidTr="009600B8">
        <w:tc>
          <w:tcPr>
            <w:tcW w:w="2718" w:type="dxa"/>
            <w:shd w:val="clear" w:color="auto" w:fill="A6A6A6" w:themeFill="background1" w:themeFillShade="A6"/>
          </w:tcPr>
          <w:p w14:paraId="6CB259B2" w14:textId="77777777" w:rsidR="00781134" w:rsidRPr="00A5106D" w:rsidRDefault="00781134" w:rsidP="009600B8">
            <w:pPr>
              <w:pStyle w:val="TableHead"/>
            </w:pPr>
            <w:r w:rsidRPr="00A5106D">
              <w:t>Solution</w:t>
            </w:r>
          </w:p>
        </w:tc>
        <w:tc>
          <w:tcPr>
            <w:tcW w:w="6138" w:type="dxa"/>
            <w:shd w:val="clear" w:color="auto" w:fill="A6A6A6" w:themeFill="background1" w:themeFillShade="A6"/>
          </w:tcPr>
          <w:p w14:paraId="6CB259B3" w14:textId="77777777" w:rsidR="00781134" w:rsidRPr="00A5106D" w:rsidRDefault="00781134" w:rsidP="009600B8">
            <w:pPr>
              <w:pStyle w:val="TableHead"/>
            </w:pPr>
            <w:r w:rsidRPr="00A5106D">
              <w:t>Impact</w:t>
            </w:r>
          </w:p>
        </w:tc>
      </w:tr>
      <w:tr w:rsidR="00781134" w14:paraId="6CB259B7" w14:textId="77777777" w:rsidTr="009600B8">
        <w:tc>
          <w:tcPr>
            <w:tcW w:w="2718" w:type="dxa"/>
          </w:tcPr>
          <w:p w14:paraId="6CB259B5" w14:textId="77777777" w:rsidR="00781134" w:rsidRPr="00E9582D" w:rsidRDefault="00D95568" w:rsidP="009600B8">
            <w:pPr>
              <w:rPr>
                <w:rFonts w:ascii="Palatino Linotype" w:hAnsi="Palatino Linotype"/>
              </w:rPr>
            </w:pPr>
            <w:r w:rsidRPr="00E9582D">
              <w:rPr>
                <w:rFonts w:ascii="Palatino Linotype" w:hAnsi="Palatino Linotype"/>
              </w:rPr>
              <w:t>Demand Response Auction Tool (</w:t>
            </w:r>
            <w:proofErr w:type="spellStart"/>
            <w:r w:rsidRPr="00E9582D">
              <w:rPr>
                <w:rFonts w:ascii="Palatino Linotype" w:hAnsi="Palatino Linotype"/>
              </w:rPr>
              <w:t>Matlab</w:t>
            </w:r>
            <w:proofErr w:type="spellEnd"/>
            <w:r w:rsidRPr="00E9582D">
              <w:rPr>
                <w:rFonts w:ascii="Palatino Linotype" w:hAnsi="Palatino Linotype"/>
              </w:rPr>
              <w:t>)</w:t>
            </w:r>
          </w:p>
        </w:tc>
        <w:tc>
          <w:tcPr>
            <w:tcW w:w="6138" w:type="dxa"/>
          </w:tcPr>
          <w:p w14:paraId="6CB259B6" w14:textId="77777777" w:rsidR="00781134" w:rsidRPr="00E9582D" w:rsidRDefault="00D95568" w:rsidP="009600B8">
            <w:pPr>
              <w:pStyle w:val="ListParagraph"/>
              <w:ind w:left="0"/>
              <w:rPr>
                <w:rFonts w:ascii="Palatino Linotype" w:hAnsi="Palatino Linotype"/>
              </w:rPr>
            </w:pPr>
            <w:r w:rsidRPr="00E9582D">
              <w:rPr>
                <w:rFonts w:ascii="Palatino Linotype" w:hAnsi="Palatino Linotype"/>
              </w:rPr>
              <w:t>Add constraints for zonal min as a downward sloping curve.</w:t>
            </w:r>
          </w:p>
        </w:tc>
      </w:tr>
      <w:tr w:rsidR="00781134" w14:paraId="6CB259BA" w14:textId="77777777" w:rsidTr="009600B8">
        <w:tc>
          <w:tcPr>
            <w:tcW w:w="2718" w:type="dxa"/>
          </w:tcPr>
          <w:p w14:paraId="6CB259B8" w14:textId="77777777" w:rsidR="00781134" w:rsidRDefault="00781134" w:rsidP="009600B8"/>
        </w:tc>
        <w:tc>
          <w:tcPr>
            <w:tcW w:w="6138" w:type="dxa"/>
          </w:tcPr>
          <w:p w14:paraId="6CB259B9" w14:textId="77777777" w:rsidR="00781134" w:rsidRDefault="00781134" w:rsidP="009600B8"/>
        </w:tc>
      </w:tr>
      <w:tr w:rsidR="00781134" w14:paraId="6CB259BD" w14:textId="77777777" w:rsidTr="009600B8">
        <w:tc>
          <w:tcPr>
            <w:tcW w:w="2718" w:type="dxa"/>
          </w:tcPr>
          <w:p w14:paraId="6CB259BB" w14:textId="77777777" w:rsidR="00781134" w:rsidRDefault="00781134" w:rsidP="009600B8"/>
        </w:tc>
        <w:tc>
          <w:tcPr>
            <w:tcW w:w="6138" w:type="dxa"/>
          </w:tcPr>
          <w:p w14:paraId="6CB259BC" w14:textId="77777777" w:rsidR="00781134" w:rsidRDefault="00781134" w:rsidP="009600B8"/>
        </w:tc>
      </w:tr>
    </w:tbl>
    <w:p w14:paraId="6CB259BE" w14:textId="77777777" w:rsidR="00CB2D06" w:rsidRPr="00CB2D06" w:rsidRDefault="00CB2D06" w:rsidP="00A5106D">
      <w:pPr>
        <w:spacing w:before="0"/>
        <w:ind w:firstLine="576"/>
        <w:rPr>
          <w:rFonts w:ascii="Palatino Linotype" w:hAnsi="Palatino Linotype"/>
          <w:sz w:val="22"/>
          <w:szCs w:val="22"/>
        </w:rPr>
      </w:pPr>
      <w:r>
        <w:rPr>
          <w:rFonts w:ascii="Palatino Linotype" w:hAnsi="Palatino Linotype"/>
          <w:sz w:val="22"/>
          <w:szCs w:val="22"/>
        </w:rPr>
        <w:tab/>
      </w:r>
    </w:p>
    <w:p w14:paraId="52FDA595" w14:textId="77777777" w:rsidR="000C12D3" w:rsidRDefault="000C12D3">
      <w:pPr>
        <w:spacing w:before="0"/>
        <w:rPr>
          <w:rFonts w:ascii="Cambria" w:hAnsi="Cambria"/>
          <w:b/>
          <w:sz w:val="22"/>
          <w:szCs w:val="22"/>
        </w:rPr>
      </w:pPr>
      <w:r>
        <w:br w:type="page"/>
      </w:r>
    </w:p>
    <w:p w14:paraId="6CB259BF" w14:textId="7B8FB41D" w:rsidR="00BE4D8E" w:rsidRDefault="00BE4D8E" w:rsidP="00613184">
      <w:pPr>
        <w:pStyle w:val="Heading3"/>
      </w:pPr>
      <w:r>
        <w:lastRenderedPageBreak/>
        <w:t>Governing Documents</w:t>
      </w:r>
    </w:p>
    <w:p w14:paraId="6CB259C0" w14:textId="77777777" w:rsidR="00911F9D" w:rsidRDefault="00CB2D06" w:rsidP="00911F9D">
      <w:pPr>
        <w:spacing w:before="0"/>
        <w:ind w:firstLine="576"/>
        <w:rPr>
          <w:rFonts w:ascii="Palatino Linotype" w:hAnsi="Palatino Linotype"/>
          <w:sz w:val="22"/>
          <w:szCs w:val="22"/>
        </w:rPr>
      </w:pP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p>
    <w:p w14:paraId="6CB259C1" w14:textId="77777777" w:rsidR="00911F9D" w:rsidRPr="00781134" w:rsidRDefault="00911F9D" w:rsidP="00911F9D">
      <w:pPr>
        <w:spacing w:before="0"/>
        <w:ind w:firstLine="576"/>
        <w:rPr>
          <w:rFonts w:ascii="Palatino Linotype" w:hAnsi="Palatino Linotype"/>
          <w:b/>
          <w:sz w:val="22"/>
          <w:szCs w:val="22"/>
        </w:rPr>
      </w:pPr>
      <w:r w:rsidRPr="00781134">
        <w:rPr>
          <w:rFonts w:ascii="Palatino Linotype" w:hAnsi="Palatino Linotype"/>
          <w:b/>
          <w:sz w:val="22"/>
          <w:szCs w:val="22"/>
        </w:rPr>
        <w:t>Phase 1</w:t>
      </w:r>
    </w:p>
    <w:tbl>
      <w:tblPr>
        <w:tblStyle w:val="TableGrid"/>
        <w:tblW w:w="0" w:type="auto"/>
        <w:tblInd w:w="720" w:type="dxa"/>
        <w:tblLook w:val="04A0" w:firstRow="1" w:lastRow="0" w:firstColumn="1" w:lastColumn="0" w:noHBand="0" w:noVBand="1"/>
      </w:tblPr>
      <w:tblGrid>
        <w:gridCol w:w="3348"/>
        <w:gridCol w:w="5508"/>
      </w:tblGrid>
      <w:tr w:rsidR="007D5133" w14:paraId="6CB259C4" w14:textId="77777777" w:rsidTr="007D5133">
        <w:trPr>
          <w:tblHeader/>
        </w:trPr>
        <w:tc>
          <w:tcPr>
            <w:tcW w:w="3348" w:type="dxa"/>
            <w:shd w:val="clear" w:color="auto" w:fill="A6A6A6" w:themeFill="background1" w:themeFillShade="A6"/>
          </w:tcPr>
          <w:p w14:paraId="6CB259C2" w14:textId="77777777" w:rsidR="007D5133" w:rsidRPr="00A5106D" w:rsidRDefault="007D5133" w:rsidP="007D5133">
            <w:pPr>
              <w:pStyle w:val="TableHead"/>
            </w:pPr>
            <w:r>
              <w:t>Market Rules Chapter, Section</w:t>
            </w:r>
          </w:p>
        </w:tc>
        <w:tc>
          <w:tcPr>
            <w:tcW w:w="5508" w:type="dxa"/>
            <w:shd w:val="clear" w:color="auto" w:fill="A6A6A6" w:themeFill="background1" w:themeFillShade="A6"/>
          </w:tcPr>
          <w:p w14:paraId="6CB259C3" w14:textId="77777777" w:rsidR="007D5133" w:rsidRPr="00A5106D" w:rsidRDefault="007D5133" w:rsidP="007D5133">
            <w:pPr>
              <w:pStyle w:val="TableHead"/>
            </w:pPr>
            <w:r w:rsidRPr="00A5106D">
              <w:t>Impact</w:t>
            </w:r>
          </w:p>
        </w:tc>
      </w:tr>
      <w:tr w:rsidR="007D5133" w14:paraId="6CB259C8" w14:textId="77777777" w:rsidTr="007D5133">
        <w:tc>
          <w:tcPr>
            <w:tcW w:w="3348" w:type="dxa"/>
          </w:tcPr>
          <w:p w14:paraId="6CB259C5" w14:textId="77777777" w:rsidR="007D5133" w:rsidRPr="00E9582D" w:rsidRDefault="007D5133" w:rsidP="007D5133">
            <w:pPr>
              <w:rPr>
                <w:rFonts w:ascii="Palatino Linotype" w:hAnsi="Palatino Linotype"/>
              </w:rPr>
            </w:pPr>
            <w:r w:rsidRPr="00E9582D">
              <w:rPr>
                <w:rFonts w:ascii="Palatino Linotype" w:hAnsi="Palatino Linotype"/>
              </w:rPr>
              <w:t>Chapter 7, Section 18 Demand Response Auction</w:t>
            </w:r>
          </w:p>
        </w:tc>
        <w:tc>
          <w:tcPr>
            <w:tcW w:w="5508" w:type="dxa"/>
          </w:tcPr>
          <w:p w14:paraId="6CB259C6" w14:textId="77777777" w:rsidR="007D5133" w:rsidRPr="00E9582D" w:rsidRDefault="007D5133" w:rsidP="007D5133">
            <w:pPr>
              <w:rPr>
                <w:rFonts w:ascii="Palatino Linotype" w:hAnsi="Palatino Linotype"/>
                <w:b/>
              </w:rPr>
            </w:pPr>
            <w:r w:rsidRPr="00E9582D">
              <w:rPr>
                <w:rFonts w:ascii="Palatino Linotype" w:hAnsi="Palatino Linotype"/>
              </w:rPr>
              <w:t>Rename section to Transitional Capacity Auction</w:t>
            </w:r>
          </w:p>
          <w:p w14:paraId="6CB259C7" w14:textId="77777777" w:rsidR="007D5133" w:rsidRPr="00E9582D" w:rsidRDefault="00835859" w:rsidP="00835859">
            <w:pPr>
              <w:rPr>
                <w:rFonts w:ascii="Palatino Linotype" w:hAnsi="Palatino Linotype"/>
              </w:rPr>
            </w:pPr>
            <w:r w:rsidRPr="00E9582D">
              <w:rPr>
                <w:rFonts w:ascii="Palatino Linotype" w:hAnsi="Palatino Linotype"/>
              </w:rPr>
              <w:t>Change references from Demand Response Auction to Transitional Capacity Auction</w:t>
            </w:r>
          </w:p>
        </w:tc>
      </w:tr>
      <w:tr w:rsidR="007D5133" w14:paraId="6CB259CB" w14:textId="77777777" w:rsidTr="007D5133">
        <w:tc>
          <w:tcPr>
            <w:tcW w:w="3348" w:type="dxa"/>
          </w:tcPr>
          <w:p w14:paraId="6CB259C9" w14:textId="77777777" w:rsidR="007D5133" w:rsidRPr="00E9582D" w:rsidRDefault="007D5133" w:rsidP="007D5133">
            <w:pPr>
              <w:rPr>
                <w:rFonts w:ascii="Palatino Linotype" w:hAnsi="Palatino Linotype"/>
              </w:rPr>
            </w:pPr>
            <w:r w:rsidRPr="00E9582D">
              <w:rPr>
                <w:rFonts w:ascii="Palatino Linotype" w:hAnsi="Palatino Linotype"/>
              </w:rPr>
              <w:t>Chapter 7, Section 18.1 Purpose of Demand Response Auctions</w:t>
            </w:r>
          </w:p>
        </w:tc>
        <w:tc>
          <w:tcPr>
            <w:tcW w:w="5508" w:type="dxa"/>
          </w:tcPr>
          <w:p w14:paraId="6CB259CA" w14:textId="77777777" w:rsidR="007D5133" w:rsidRPr="00E9582D" w:rsidRDefault="007D5133" w:rsidP="00835859">
            <w:pPr>
              <w:rPr>
                <w:rFonts w:ascii="Palatino Linotype" w:hAnsi="Palatino Linotype"/>
              </w:rPr>
            </w:pPr>
            <w:r w:rsidRPr="00E9582D">
              <w:rPr>
                <w:rFonts w:ascii="Palatino Linotype" w:hAnsi="Palatino Linotype"/>
              </w:rPr>
              <w:t xml:space="preserve">Change references from </w:t>
            </w:r>
            <w:r w:rsidR="00835859" w:rsidRPr="00E9582D">
              <w:rPr>
                <w:rFonts w:ascii="Palatino Linotype" w:hAnsi="Palatino Linotype"/>
              </w:rPr>
              <w:t xml:space="preserve">Demand Response Auction </w:t>
            </w:r>
            <w:r w:rsidRPr="00E9582D">
              <w:rPr>
                <w:rFonts w:ascii="Palatino Linotype" w:hAnsi="Palatino Linotype"/>
              </w:rPr>
              <w:t xml:space="preserve">to </w:t>
            </w:r>
            <w:r w:rsidR="00835859" w:rsidRPr="00E9582D">
              <w:rPr>
                <w:rFonts w:ascii="Palatino Linotype" w:hAnsi="Palatino Linotype"/>
              </w:rPr>
              <w:t>Transitional Capacity Auction</w:t>
            </w:r>
          </w:p>
        </w:tc>
      </w:tr>
      <w:tr w:rsidR="007D5133" w14:paraId="6CB259D0" w14:textId="77777777" w:rsidTr="007D5133">
        <w:tc>
          <w:tcPr>
            <w:tcW w:w="3348" w:type="dxa"/>
          </w:tcPr>
          <w:p w14:paraId="6CB259CC" w14:textId="77777777" w:rsidR="007D5133" w:rsidRPr="00E9582D" w:rsidRDefault="007D5133" w:rsidP="007D5133">
            <w:pPr>
              <w:rPr>
                <w:rFonts w:ascii="Palatino Linotype" w:hAnsi="Palatino Linotype"/>
              </w:rPr>
            </w:pPr>
            <w:r w:rsidRPr="00E9582D">
              <w:rPr>
                <w:rFonts w:ascii="Palatino Linotype" w:hAnsi="Palatino Linotype"/>
              </w:rPr>
              <w:t>Chapter 11 Definitions</w:t>
            </w:r>
          </w:p>
        </w:tc>
        <w:tc>
          <w:tcPr>
            <w:tcW w:w="5508" w:type="dxa"/>
          </w:tcPr>
          <w:p w14:paraId="6CB259CD" w14:textId="77777777" w:rsidR="00835859" w:rsidRPr="00E9582D" w:rsidRDefault="00835859" w:rsidP="007D5133">
            <w:pPr>
              <w:rPr>
                <w:rFonts w:ascii="Palatino Linotype" w:hAnsi="Palatino Linotype"/>
              </w:rPr>
            </w:pPr>
            <w:r w:rsidRPr="00E9582D">
              <w:rPr>
                <w:rFonts w:ascii="Palatino Linotype" w:hAnsi="Palatino Linotype"/>
              </w:rPr>
              <w:t>Change references from Demand Response Auction to Transitional Capacity Auction</w:t>
            </w:r>
          </w:p>
          <w:p w14:paraId="6CB259CE" w14:textId="77777777" w:rsidR="007D5133" w:rsidRPr="00E9582D" w:rsidRDefault="007D5133" w:rsidP="007D5133">
            <w:pPr>
              <w:rPr>
                <w:rFonts w:ascii="Palatino Linotype" w:hAnsi="Palatino Linotype"/>
              </w:rPr>
            </w:pPr>
            <w:r w:rsidRPr="00E9582D">
              <w:rPr>
                <w:rFonts w:ascii="Palatino Linotype" w:hAnsi="Palatino Linotype"/>
              </w:rPr>
              <w:t>Change definition of commitment period</w:t>
            </w:r>
          </w:p>
          <w:p w14:paraId="6CB259CF" w14:textId="77777777" w:rsidR="007D5133" w:rsidRPr="00E9582D" w:rsidRDefault="007D5133" w:rsidP="007D5133">
            <w:pPr>
              <w:rPr>
                <w:rFonts w:ascii="Palatino Linotype" w:hAnsi="Palatino Linotype"/>
              </w:rPr>
            </w:pPr>
            <w:r w:rsidRPr="00E9582D">
              <w:rPr>
                <w:rFonts w:ascii="Palatino Linotype" w:hAnsi="Palatino Linotype"/>
              </w:rPr>
              <w:t>Add definition for obligation period</w:t>
            </w:r>
          </w:p>
        </w:tc>
      </w:tr>
      <w:tr w:rsidR="007D5133" w14:paraId="6CB259D3" w14:textId="77777777" w:rsidTr="007D5133">
        <w:tc>
          <w:tcPr>
            <w:tcW w:w="3348" w:type="dxa"/>
          </w:tcPr>
          <w:p w14:paraId="6CB259D1" w14:textId="77777777" w:rsidR="007D5133" w:rsidRPr="00E9582D" w:rsidRDefault="007D5133" w:rsidP="007D5133">
            <w:pPr>
              <w:rPr>
                <w:rFonts w:ascii="Palatino Linotype" w:hAnsi="Palatino Linotype"/>
              </w:rPr>
            </w:pPr>
            <w:r w:rsidRPr="00E9582D">
              <w:rPr>
                <w:rFonts w:ascii="Palatino Linotype" w:hAnsi="Palatino Linotype"/>
              </w:rPr>
              <w:t>Chapter 2, Section 2.1.1..10</w:t>
            </w:r>
          </w:p>
        </w:tc>
        <w:tc>
          <w:tcPr>
            <w:tcW w:w="5508" w:type="dxa"/>
          </w:tcPr>
          <w:p w14:paraId="6CB259D2" w14:textId="77777777" w:rsidR="007D5133" w:rsidRPr="00E9582D" w:rsidRDefault="007D5133" w:rsidP="007D5133">
            <w:pPr>
              <w:rPr>
                <w:rFonts w:ascii="Palatino Linotype" w:hAnsi="Palatino Linotype"/>
              </w:rPr>
            </w:pPr>
            <w:r w:rsidRPr="00E9582D">
              <w:rPr>
                <w:rFonts w:ascii="Palatino Linotype" w:hAnsi="Palatino Linotype"/>
              </w:rPr>
              <w:t>Update the list of classes of market participants to by changing “demand response auction participants” to “capacity auction market participants”</w:t>
            </w:r>
          </w:p>
        </w:tc>
      </w:tr>
      <w:tr w:rsidR="007D5133" w14:paraId="6CB259D7" w14:textId="77777777" w:rsidTr="007D5133">
        <w:tc>
          <w:tcPr>
            <w:tcW w:w="3348" w:type="dxa"/>
          </w:tcPr>
          <w:p w14:paraId="6CB259D4" w14:textId="77777777" w:rsidR="007D5133" w:rsidRPr="00E9582D" w:rsidRDefault="007D5133" w:rsidP="007D5133">
            <w:pPr>
              <w:rPr>
                <w:rFonts w:ascii="Palatino Linotype" w:hAnsi="Palatino Linotype"/>
              </w:rPr>
            </w:pPr>
            <w:r w:rsidRPr="00E9582D">
              <w:rPr>
                <w:rFonts w:ascii="Palatino Linotype" w:hAnsi="Palatino Linotype"/>
              </w:rPr>
              <w:t>Chapter 7, Section 18 (throughout)</w:t>
            </w:r>
          </w:p>
        </w:tc>
        <w:tc>
          <w:tcPr>
            <w:tcW w:w="5508" w:type="dxa"/>
          </w:tcPr>
          <w:p w14:paraId="6CB259D5" w14:textId="77777777" w:rsidR="00835859" w:rsidRPr="00E9582D" w:rsidRDefault="00835859" w:rsidP="00835859">
            <w:pPr>
              <w:rPr>
                <w:rFonts w:ascii="Palatino Linotype" w:hAnsi="Palatino Linotype"/>
              </w:rPr>
            </w:pPr>
            <w:r w:rsidRPr="00E9582D">
              <w:rPr>
                <w:rFonts w:ascii="Palatino Linotype" w:hAnsi="Palatino Linotype"/>
              </w:rPr>
              <w:t>Change references from Demand Response Auction to Transitional Capacity Auction</w:t>
            </w:r>
          </w:p>
          <w:p w14:paraId="6CB259D6" w14:textId="77777777" w:rsidR="007D5133" w:rsidRPr="00E9582D" w:rsidRDefault="007D5133" w:rsidP="00835859">
            <w:pPr>
              <w:rPr>
                <w:rFonts w:ascii="Palatino Linotype" w:hAnsi="Palatino Linotype"/>
              </w:rPr>
            </w:pPr>
            <w:r w:rsidRPr="00E9582D">
              <w:rPr>
                <w:rFonts w:ascii="Palatino Linotype" w:hAnsi="Palatino Linotype"/>
              </w:rPr>
              <w:t>Change references from demand response auction participant to capacity auction participant</w:t>
            </w:r>
          </w:p>
        </w:tc>
      </w:tr>
      <w:tr w:rsidR="007D5133" w14:paraId="6CB259DA" w14:textId="77777777" w:rsidTr="007D5133">
        <w:tc>
          <w:tcPr>
            <w:tcW w:w="3348" w:type="dxa"/>
          </w:tcPr>
          <w:p w14:paraId="6CB259D8" w14:textId="77777777" w:rsidR="007D5133" w:rsidRPr="00E9582D" w:rsidRDefault="007D5133" w:rsidP="007D5133">
            <w:pPr>
              <w:rPr>
                <w:rFonts w:ascii="Palatino Linotype" w:hAnsi="Palatino Linotype"/>
              </w:rPr>
            </w:pPr>
            <w:r w:rsidRPr="00E9582D">
              <w:rPr>
                <w:rFonts w:ascii="Palatino Linotype" w:hAnsi="Palatino Linotype"/>
              </w:rPr>
              <w:t>Chapter 7, Section 18.2.2 Participation in Demand Response Auctions</w:t>
            </w:r>
          </w:p>
        </w:tc>
        <w:tc>
          <w:tcPr>
            <w:tcW w:w="5508" w:type="dxa"/>
          </w:tcPr>
          <w:p w14:paraId="6CB259D9" w14:textId="77777777" w:rsidR="007D5133" w:rsidRPr="00E9582D" w:rsidRDefault="007D5133" w:rsidP="007D5133">
            <w:pPr>
              <w:rPr>
                <w:rFonts w:ascii="Palatino Linotype" w:hAnsi="Palatino Linotype"/>
              </w:rPr>
            </w:pPr>
            <w:r w:rsidRPr="00E9582D">
              <w:rPr>
                <w:rFonts w:ascii="Palatino Linotype" w:hAnsi="Palatino Linotype"/>
              </w:rPr>
              <w:t>Language added to differentiate between requirements for demand response providers and generators</w:t>
            </w:r>
          </w:p>
        </w:tc>
      </w:tr>
      <w:tr w:rsidR="007D5133" w14:paraId="6CB259DD" w14:textId="77777777" w:rsidTr="007D5133">
        <w:tc>
          <w:tcPr>
            <w:tcW w:w="3348" w:type="dxa"/>
          </w:tcPr>
          <w:p w14:paraId="6CB259DB" w14:textId="77777777" w:rsidR="007D5133" w:rsidRPr="00E9582D" w:rsidRDefault="007D5133" w:rsidP="007D5133">
            <w:pPr>
              <w:rPr>
                <w:rFonts w:ascii="Palatino Linotype" w:hAnsi="Palatino Linotype"/>
              </w:rPr>
            </w:pPr>
            <w:r w:rsidRPr="00E9582D">
              <w:rPr>
                <w:rFonts w:ascii="Palatino Linotype" w:hAnsi="Palatino Linotype"/>
              </w:rPr>
              <w:t>Chapter 7, Section 18.5 Demand Response Auction Parameters</w:t>
            </w:r>
          </w:p>
        </w:tc>
        <w:tc>
          <w:tcPr>
            <w:tcW w:w="5508" w:type="dxa"/>
          </w:tcPr>
          <w:p w14:paraId="6CB259DC" w14:textId="77777777" w:rsidR="007D5133" w:rsidRPr="00E9582D" w:rsidRDefault="00835859" w:rsidP="007D5133">
            <w:pPr>
              <w:rPr>
                <w:rFonts w:ascii="Palatino Linotype" w:hAnsi="Palatino Linotype"/>
              </w:rPr>
            </w:pPr>
            <w:r w:rsidRPr="00E9582D">
              <w:rPr>
                <w:rFonts w:ascii="Palatino Linotype" w:hAnsi="Palatino Linotype"/>
              </w:rPr>
              <w:t>Change references from Demand Response Auction to Transitional Capacity Auction</w:t>
            </w:r>
          </w:p>
        </w:tc>
      </w:tr>
      <w:tr w:rsidR="007D5133" w14:paraId="6CB259E0" w14:textId="77777777" w:rsidTr="007D5133">
        <w:tc>
          <w:tcPr>
            <w:tcW w:w="3348" w:type="dxa"/>
          </w:tcPr>
          <w:p w14:paraId="6CB259DE" w14:textId="77777777" w:rsidR="007D5133" w:rsidRPr="00E9582D" w:rsidRDefault="007D5133" w:rsidP="007D5133">
            <w:pPr>
              <w:rPr>
                <w:rFonts w:ascii="Palatino Linotype" w:hAnsi="Palatino Linotype"/>
              </w:rPr>
            </w:pPr>
            <w:r w:rsidRPr="00E9582D">
              <w:rPr>
                <w:rFonts w:ascii="Palatino Linotype" w:hAnsi="Palatino Linotype"/>
              </w:rPr>
              <w:t>Chapter 7, Section 18.6 Demand Response Auction Parameters</w:t>
            </w:r>
          </w:p>
        </w:tc>
        <w:tc>
          <w:tcPr>
            <w:tcW w:w="5508" w:type="dxa"/>
          </w:tcPr>
          <w:p w14:paraId="6CB259DF" w14:textId="77777777" w:rsidR="007D5133" w:rsidRPr="00E9582D" w:rsidRDefault="00835859" w:rsidP="007D5133">
            <w:pPr>
              <w:rPr>
                <w:rFonts w:ascii="Palatino Linotype" w:hAnsi="Palatino Linotype"/>
              </w:rPr>
            </w:pPr>
            <w:r w:rsidRPr="00E9582D">
              <w:rPr>
                <w:rFonts w:ascii="Palatino Linotype" w:hAnsi="Palatino Linotype"/>
              </w:rPr>
              <w:t>Change references from Demand Response Auction to Transitional Capacity Auction</w:t>
            </w:r>
          </w:p>
        </w:tc>
      </w:tr>
      <w:tr w:rsidR="00835859" w14:paraId="6CB259E3" w14:textId="77777777" w:rsidTr="007D5133">
        <w:tc>
          <w:tcPr>
            <w:tcW w:w="3348" w:type="dxa"/>
          </w:tcPr>
          <w:p w14:paraId="6CB259E1" w14:textId="77777777" w:rsidR="00835859" w:rsidRPr="00E9582D" w:rsidRDefault="00835859" w:rsidP="007D5133">
            <w:pPr>
              <w:rPr>
                <w:rFonts w:ascii="Palatino Linotype" w:hAnsi="Palatino Linotype"/>
              </w:rPr>
            </w:pPr>
            <w:r w:rsidRPr="00E9582D">
              <w:rPr>
                <w:rFonts w:ascii="Palatino Linotype" w:hAnsi="Palatino Linotype"/>
              </w:rPr>
              <w:t>Chapter 7, Section 18.2.3</w:t>
            </w:r>
          </w:p>
        </w:tc>
        <w:tc>
          <w:tcPr>
            <w:tcW w:w="5508" w:type="dxa"/>
          </w:tcPr>
          <w:p w14:paraId="6CB259E2" w14:textId="77777777" w:rsidR="00835859" w:rsidRPr="00E9582D" w:rsidRDefault="00835859" w:rsidP="007D5133">
            <w:pPr>
              <w:rPr>
                <w:rFonts w:ascii="Palatino Linotype" w:hAnsi="Palatino Linotype"/>
              </w:rPr>
            </w:pPr>
            <w:r w:rsidRPr="00E9582D">
              <w:rPr>
                <w:rFonts w:ascii="Palatino Linotype" w:hAnsi="Palatino Linotype"/>
              </w:rPr>
              <w:t>Change references from Demand Response Auction to Transitional Capacity Auction</w:t>
            </w:r>
          </w:p>
        </w:tc>
      </w:tr>
      <w:tr w:rsidR="00835859" w14:paraId="6CB259E6" w14:textId="77777777" w:rsidTr="007D5133">
        <w:tc>
          <w:tcPr>
            <w:tcW w:w="3348" w:type="dxa"/>
          </w:tcPr>
          <w:p w14:paraId="6CB259E4" w14:textId="77777777" w:rsidR="00835859" w:rsidRPr="00E9582D" w:rsidRDefault="00835859" w:rsidP="007D5133">
            <w:pPr>
              <w:rPr>
                <w:rFonts w:ascii="Palatino Linotype" w:hAnsi="Palatino Linotype"/>
              </w:rPr>
            </w:pPr>
            <w:r w:rsidRPr="00E9582D">
              <w:rPr>
                <w:rFonts w:ascii="Palatino Linotype" w:hAnsi="Palatino Linotype"/>
              </w:rPr>
              <w:t>Chapter 2, section 5B</w:t>
            </w:r>
          </w:p>
        </w:tc>
        <w:tc>
          <w:tcPr>
            <w:tcW w:w="5508" w:type="dxa"/>
          </w:tcPr>
          <w:p w14:paraId="6CB259E5" w14:textId="77777777" w:rsidR="00835859" w:rsidRPr="00E9582D" w:rsidRDefault="00835859" w:rsidP="007D5133">
            <w:pPr>
              <w:rPr>
                <w:rFonts w:ascii="Palatino Linotype" w:hAnsi="Palatino Linotype"/>
              </w:rPr>
            </w:pPr>
            <w:r w:rsidRPr="00E9582D">
              <w:rPr>
                <w:rFonts w:ascii="Palatino Linotype" w:hAnsi="Palatino Linotype"/>
              </w:rPr>
              <w:t>Change references from Demand Response Auction to Transitional Capacity Auction</w:t>
            </w:r>
          </w:p>
        </w:tc>
      </w:tr>
      <w:tr w:rsidR="00835859" w14:paraId="6CB259E9" w14:textId="77777777" w:rsidTr="007D5133">
        <w:tc>
          <w:tcPr>
            <w:tcW w:w="3348" w:type="dxa"/>
          </w:tcPr>
          <w:p w14:paraId="6CB259E7" w14:textId="77777777" w:rsidR="00835859" w:rsidRPr="00E9582D" w:rsidRDefault="00835859" w:rsidP="007D5133">
            <w:pPr>
              <w:rPr>
                <w:rFonts w:ascii="Palatino Linotype" w:hAnsi="Palatino Linotype"/>
              </w:rPr>
            </w:pPr>
            <w:r w:rsidRPr="00E9582D">
              <w:rPr>
                <w:rFonts w:ascii="Palatino Linotype" w:hAnsi="Palatino Linotype"/>
              </w:rPr>
              <w:t>Chapter 2, Section 5.1</w:t>
            </w:r>
          </w:p>
        </w:tc>
        <w:tc>
          <w:tcPr>
            <w:tcW w:w="5508" w:type="dxa"/>
          </w:tcPr>
          <w:p w14:paraId="6CB259E8" w14:textId="77777777" w:rsidR="00835859" w:rsidRPr="00E9582D" w:rsidRDefault="00835859" w:rsidP="007D5133">
            <w:pPr>
              <w:rPr>
                <w:rFonts w:ascii="Palatino Linotype" w:hAnsi="Palatino Linotype"/>
              </w:rPr>
            </w:pPr>
            <w:r w:rsidRPr="00E9582D">
              <w:rPr>
                <w:rFonts w:ascii="Palatino Linotype" w:hAnsi="Palatino Linotype"/>
              </w:rPr>
              <w:t>Change references from Demand Response Auction to Transitional Capacity Auction</w:t>
            </w:r>
          </w:p>
        </w:tc>
      </w:tr>
      <w:tr w:rsidR="000B56FE" w14:paraId="6CB259EC" w14:textId="77777777" w:rsidTr="007D5133">
        <w:tc>
          <w:tcPr>
            <w:tcW w:w="3348" w:type="dxa"/>
          </w:tcPr>
          <w:p w14:paraId="6CB259EA" w14:textId="77777777" w:rsidR="000B56FE" w:rsidRPr="00E9582D" w:rsidRDefault="000B56FE" w:rsidP="007D5133">
            <w:pPr>
              <w:rPr>
                <w:rFonts w:ascii="Palatino Linotype" w:hAnsi="Palatino Linotype"/>
              </w:rPr>
            </w:pPr>
            <w:r w:rsidRPr="00E9582D">
              <w:rPr>
                <w:rFonts w:ascii="Palatino Linotype" w:hAnsi="Palatino Linotype"/>
              </w:rPr>
              <w:lastRenderedPageBreak/>
              <w:t>Chapter 2 Appendices</w:t>
            </w:r>
          </w:p>
        </w:tc>
        <w:tc>
          <w:tcPr>
            <w:tcW w:w="5508" w:type="dxa"/>
          </w:tcPr>
          <w:p w14:paraId="6CB259EB" w14:textId="77777777" w:rsidR="000B56FE" w:rsidRPr="00E9582D" w:rsidRDefault="000B56FE" w:rsidP="007D5133">
            <w:pPr>
              <w:rPr>
                <w:rFonts w:ascii="Palatino Linotype" w:hAnsi="Palatino Linotype"/>
              </w:rPr>
            </w:pPr>
            <w:r w:rsidRPr="00E9582D">
              <w:rPr>
                <w:rFonts w:ascii="Palatino Linotype" w:hAnsi="Palatino Linotype"/>
              </w:rPr>
              <w:t>Change references from Demand Response Auction to Transitional Capacity Auction</w:t>
            </w:r>
          </w:p>
        </w:tc>
      </w:tr>
      <w:tr w:rsidR="007D5133" w14:paraId="6CB259EF" w14:textId="77777777" w:rsidTr="007D5133">
        <w:tc>
          <w:tcPr>
            <w:tcW w:w="3348" w:type="dxa"/>
          </w:tcPr>
          <w:p w14:paraId="6CB259ED" w14:textId="77777777" w:rsidR="007D5133" w:rsidRPr="00E9582D" w:rsidRDefault="007D5133" w:rsidP="007D5133">
            <w:pPr>
              <w:rPr>
                <w:rFonts w:ascii="Palatino Linotype" w:hAnsi="Palatino Linotype"/>
              </w:rPr>
            </w:pPr>
            <w:r w:rsidRPr="00E9582D">
              <w:rPr>
                <w:rFonts w:ascii="Palatino Linotype" w:hAnsi="Palatino Linotype"/>
              </w:rPr>
              <w:t>Chapter 7, S. 19 Demand Response Market Participants with Demand Response Capacity Obligations</w:t>
            </w:r>
          </w:p>
        </w:tc>
        <w:tc>
          <w:tcPr>
            <w:tcW w:w="5508" w:type="dxa"/>
          </w:tcPr>
          <w:p w14:paraId="6CB259EE" w14:textId="6AFF5080" w:rsidR="007D5133" w:rsidRPr="0035013A" w:rsidRDefault="003B1497" w:rsidP="007D5133">
            <w:pPr>
              <w:rPr>
                <w:rFonts w:ascii="Palatino Linotype" w:hAnsi="Palatino Linotype"/>
              </w:rPr>
            </w:pPr>
            <w:r w:rsidRPr="0035013A">
              <w:rPr>
                <w:rFonts w:ascii="Palatino Linotype" w:hAnsi="Palatino Linotype"/>
              </w:rPr>
              <w:t xml:space="preserve">Change references from Demand Response Auction to Transitional Capacity Auction in19.1.2, add that dispatchable, </w:t>
            </w:r>
            <w:r w:rsidR="0035013A" w:rsidRPr="00CE1254">
              <w:rPr>
                <w:rFonts w:ascii="Palatino Linotype" w:hAnsi="Palatino Linotype"/>
              </w:rPr>
              <w:t>n</w:t>
            </w:r>
            <w:r w:rsidR="00C7174F" w:rsidRPr="00CE1254">
              <w:rPr>
                <w:rFonts w:ascii="Palatino Linotype" w:hAnsi="Palatino Linotype"/>
              </w:rPr>
              <w:t>on</w:t>
            </w:r>
            <w:r w:rsidR="0035013A" w:rsidRPr="00CE1254">
              <w:rPr>
                <w:rFonts w:ascii="Palatino Linotype" w:hAnsi="Palatino Linotype"/>
              </w:rPr>
              <w:t>-</w:t>
            </w:r>
            <w:r w:rsidR="00C7174F" w:rsidRPr="00CE1254">
              <w:rPr>
                <w:rFonts w:ascii="Palatino Linotype" w:hAnsi="Palatino Linotype"/>
              </w:rPr>
              <w:t>committed</w:t>
            </w:r>
            <w:r w:rsidRPr="00CE1254">
              <w:rPr>
                <w:rFonts w:ascii="Palatino Linotype" w:hAnsi="Palatino Linotype"/>
              </w:rPr>
              <w:t xml:space="preserve"> </w:t>
            </w:r>
            <w:r w:rsidRPr="0035013A">
              <w:rPr>
                <w:rFonts w:ascii="Palatino Linotype" w:hAnsi="Palatino Linotype"/>
              </w:rPr>
              <w:t>resources can register</w:t>
            </w:r>
          </w:p>
        </w:tc>
      </w:tr>
      <w:tr w:rsidR="007D5133" w14:paraId="6CB259F2" w14:textId="77777777" w:rsidTr="007D5133">
        <w:tc>
          <w:tcPr>
            <w:tcW w:w="3348" w:type="dxa"/>
          </w:tcPr>
          <w:p w14:paraId="6CB259F0" w14:textId="77777777" w:rsidR="007D5133" w:rsidRPr="00E9582D" w:rsidRDefault="007D5133" w:rsidP="007D5133">
            <w:pPr>
              <w:rPr>
                <w:rFonts w:ascii="Palatino Linotype" w:hAnsi="Palatino Linotype"/>
              </w:rPr>
            </w:pPr>
            <w:r w:rsidRPr="00E9582D">
              <w:rPr>
                <w:rFonts w:ascii="Palatino Linotype" w:hAnsi="Palatino Linotype"/>
              </w:rPr>
              <w:t>Chapter 7, S. 19.6 (New)</w:t>
            </w:r>
          </w:p>
        </w:tc>
        <w:tc>
          <w:tcPr>
            <w:tcW w:w="5508" w:type="dxa"/>
          </w:tcPr>
          <w:p w14:paraId="6CB259F1" w14:textId="77777777" w:rsidR="007D5133" w:rsidRPr="00E9582D" w:rsidRDefault="007D5133" w:rsidP="007D5133">
            <w:pPr>
              <w:rPr>
                <w:rFonts w:ascii="Palatino Linotype" w:hAnsi="Palatino Linotype"/>
              </w:rPr>
            </w:pPr>
            <w:r w:rsidRPr="00E9582D">
              <w:rPr>
                <w:rFonts w:ascii="Palatino Linotype" w:hAnsi="Palatino Linotype"/>
              </w:rPr>
              <w:t>Create a new section that describes the Eligibility Requirements for Generators with a Capacity Obligation</w:t>
            </w:r>
          </w:p>
        </w:tc>
      </w:tr>
      <w:tr w:rsidR="007D5133" w14:paraId="6CB259F5" w14:textId="77777777" w:rsidTr="007D5133">
        <w:tc>
          <w:tcPr>
            <w:tcW w:w="3348" w:type="dxa"/>
          </w:tcPr>
          <w:p w14:paraId="6CB259F3" w14:textId="77777777" w:rsidR="007D5133" w:rsidRPr="00E9582D" w:rsidRDefault="007D5133" w:rsidP="007D5133">
            <w:pPr>
              <w:rPr>
                <w:rFonts w:ascii="Palatino Linotype" w:hAnsi="Palatino Linotype"/>
              </w:rPr>
            </w:pPr>
            <w:r w:rsidRPr="00E9582D">
              <w:rPr>
                <w:rFonts w:ascii="Palatino Linotype" w:hAnsi="Palatino Linotype"/>
              </w:rPr>
              <w:t>Chapter 7, Section 18.9 Demand Response Capacity Obligation Transfers</w:t>
            </w:r>
          </w:p>
        </w:tc>
        <w:tc>
          <w:tcPr>
            <w:tcW w:w="5508" w:type="dxa"/>
          </w:tcPr>
          <w:p w14:paraId="6CB259F4" w14:textId="77777777" w:rsidR="007D5133" w:rsidRPr="00E9582D" w:rsidRDefault="00835859" w:rsidP="007D5133">
            <w:pPr>
              <w:rPr>
                <w:rFonts w:ascii="Palatino Linotype" w:hAnsi="Palatino Linotype"/>
              </w:rPr>
            </w:pPr>
            <w:r w:rsidRPr="00E9582D">
              <w:rPr>
                <w:rFonts w:ascii="Palatino Linotype" w:hAnsi="Palatino Linotype"/>
              </w:rPr>
              <w:t>Change references from Demand Response Auction to Transitional Capacity Auction</w:t>
            </w:r>
          </w:p>
        </w:tc>
      </w:tr>
      <w:tr w:rsidR="007D5133" w14:paraId="6CB259F8" w14:textId="77777777" w:rsidTr="007D5133">
        <w:tc>
          <w:tcPr>
            <w:tcW w:w="3348" w:type="dxa"/>
          </w:tcPr>
          <w:p w14:paraId="6CB259F6" w14:textId="77777777" w:rsidR="007D5133" w:rsidRPr="00E9582D" w:rsidRDefault="007D5133" w:rsidP="007D5133">
            <w:pPr>
              <w:rPr>
                <w:rFonts w:ascii="Palatino Linotype" w:hAnsi="Palatino Linotype"/>
              </w:rPr>
            </w:pPr>
            <w:r w:rsidRPr="00E9582D">
              <w:rPr>
                <w:rFonts w:ascii="Palatino Linotype" w:hAnsi="Palatino Linotype"/>
              </w:rPr>
              <w:t>Chapter 2, Section 3</w:t>
            </w:r>
          </w:p>
        </w:tc>
        <w:tc>
          <w:tcPr>
            <w:tcW w:w="5508" w:type="dxa"/>
          </w:tcPr>
          <w:p w14:paraId="6CB259F7" w14:textId="77777777" w:rsidR="007D5133" w:rsidRPr="00E9582D" w:rsidRDefault="007D5133" w:rsidP="007D5133">
            <w:pPr>
              <w:rPr>
                <w:rFonts w:ascii="Palatino Linotype" w:hAnsi="Palatino Linotype"/>
              </w:rPr>
            </w:pPr>
            <w:r w:rsidRPr="00E9582D">
              <w:rPr>
                <w:rFonts w:ascii="Palatino Linotype" w:hAnsi="Palatino Linotype"/>
              </w:rPr>
              <w:t>No changes anticipated</w:t>
            </w:r>
          </w:p>
        </w:tc>
      </w:tr>
      <w:tr w:rsidR="00112C6C" w14:paraId="6CB259FB" w14:textId="77777777" w:rsidTr="007D5133">
        <w:tc>
          <w:tcPr>
            <w:tcW w:w="3348" w:type="dxa"/>
          </w:tcPr>
          <w:p w14:paraId="6CB259F9" w14:textId="77777777" w:rsidR="00112C6C" w:rsidRPr="00E9582D" w:rsidRDefault="00112C6C" w:rsidP="007D5133">
            <w:pPr>
              <w:rPr>
                <w:rFonts w:ascii="Palatino Linotype" w:hAnsi="Palatino Linotype"/>
              </w:rPr>
            </w:pPr>
            <w:r w:rsidRPr="00E9582D">
              <w:rPr>
                <w:rFonts w:ascii="Palatino Linotype" w:hAnsi="Palatino Linotype"/>
              </w:rPr>
              <w:t>Chapter 3, Section 6.3</w:t>
            </w:r>
          </w:p>
        </w:tc>
        <w:tc>
          <w:tcPr>
            <w:tcW w:w="5508" w:type="dxa"/>
          </w:tcPr>
          <w:p w14:paraId="6CB259FA" w14:textId="77777777" w:rsidR="00112C6C" w:rsidRPr="00E9582D" w:rsidRDefault="00112C6C" w:rsidP="007D5133">
            <w:pPr>
              <w:rPr>
                <w:rFonts w:ascii="Palatino Linotype" w:hAnsi="Palatino Linotype"/>
              </w:rPr>
            </w:pPr>
            <w:r w:rsidRPr="00E9582D">
              <w:rPr>
                <w:rFonts w:ascii="Palatino Linotype" w:hAnsi="Palatino Linotype"/>
              </w:rPr>
              <w:t>Events of default</w:t>
            </w:r>
          </w:p>
        </w:tc>
      </w:tr>
    </w:tbl>
    <w:p w14:paraId="6CB259FC" w14:textId="77777777" w:rsidR="00960C4D" w:rsidRDefault="00960C4D" w:rsidP="00DC7FB3">
      <w:pPr>
        <w:spacing w:before="0"/>
        <w:rPr>
          <w:rFonts w:ascii="Palatino Linotype" w:hAnsi="Palatino Linotype"/>
          <w:sz w:val="22"/>
          <w:szCs w:val="22"/>
        </w:rPr>
      </w:pPr>
    </w:p>
    <w:p w14:paraId="6CB259FD" w14:textId="77777777" w:rsidR="001D033F" w:rsidRDefault="001D033F" w:rsidP="00960C4D">
      <w:pPr>
        <w:spacing w:before="0"/>
        <w:ind w:firstLine="576"/>
        <w:rPr>
          <w:rFonts w:ascii="Palatino Linotype" w:hAnsi="Palatino Linotype"/>
          <w:b/>
          <w:sz w:val="22"/>
          <w:szCs w:val="22"/>
        </w:rPr>
      </w:pPr>
    </w:p>
    <w:p w14:paraId="6CB259FE" w14:textId="77777777" w:rsidR="001D033F" w:rsidRDefault="001D033F" w:rsidP="00960C4D">
      <w:pPr>
        <w:spacing w:before="0"/>
        <w:ind w:firstLine="576"/>
        <w:rPr>
          <w:rFonts w:ascii="Palatino Linotype" w:hAnsi="Palatino Linotype"/>
          <w:b/>
          <w:sz w:val="22"/>
          <w:szCs w:val="22"/>
        </w:rPr>
      </w:pPr>
    </w:p>
    <w:p w14:paraId="6CB259FF" w14:textId="67C6384B" w:rsidR="00960C4D" w:rsidRPr="00781134" w:rsidRDefault="0068463A" w:rsidP="00FC7441">
      <w:pPr>
        <w:spacing w:before="0"/>
        <w:rPr>
          <w:rFonts w:ascii="Palatino Linotype" w:hAnsi="Palatino Linotype"/>
          <w:b/>
          <w:sz w:val="22"/>
          <w:szCs w:val="22"/>
        </w:rPr>
      </w:pPr>
      <w:r>
        <w:rPr>
          <w:rFonts w:ascii="Palatino Linotype" w:hAnsi="Palatino Linotype"/>
          <w:b/>
          <w:sz w:val="22"/>
          <w:szCs w:val="22"/>
        </w:rPr>
        <w:tab/>
      </w:r>
      <w:r w:rsidR="00960C4D" w:rsidRPr="00781134">
        <w:rPr>
          <w:rFonts w:ascii="Palatino Linotype" w:hAnsi="Palatino Linotype"/>
          <w:b/>
          <w:sz w:val="22"/>
          <w:szCs w:val="22"/>
        </w:rPr>
        <w:t xml:space="preserve">Phase </w:t>
      </w:r>
      <w:r w:rsidR="00960C4D">
        <w:rPr>
          <w:rFonts w:ascii="Palatino Linotype" w:hAnsi="Palatino Linotype"/>
          <w:b/>
          <w:sz w:val="22"/>
          <w:szCs w:val="22"/>
        </w:rPr>
        <w:t xml:space="preserve">2 - </w:t>
      </w:r>
      <w:r w:rsidR="002B6C3E">
        <w:rPr>
          <w:rFonts w:ascii="Palatino Linotype" w:hAnsi="Palatino Linotype"/>
          <w:b/>
          <w:sz w:val="22"/>
          <w:szCs w:val="22"/>
        </w:rPr>
        <w:t>TBD:  To be updated in later version of Project Charter</w:t>
      </w:r>
    </w:p>
    <w:p w14:paraId="6CB25A00" w14:textId="77777777" w:rsidR="00960C4D" w:rsidRDefault="00960C4D" w:rsidP="00DC7FB3">
      <w:pPr>
        <w:spacing w:before="0"/>
        <w:rPr>
          <w:rFonts w:ascii="Palatino Linotype" w:hAnsi="Palatino Linotype"/>
          <w:sz w:val="22"/>
          <w:szCs w:val="22"/>
        </w:rPr>
      </w:pPr>
    </w:p>
    <w:tbl>
      <w:tblPr>
        <w:tblStyle w:val="TableGrid"/>
        <w:tblW w:w="0" w:type="auto"/>
        <w:tblInd w:w="720" w:type="dxa"/>
        <w:tblLook w:val="04A0" w:firstRow="1" w:lastRow="0" w:firstColumn="1" w:lastColumn="0" w:noHBand="0" w:noVBand="1"/>
      </w:tblPr>
      <w:tblGrid>
        <w:gridCol w:w="2319"/>
        <w:gridCol w:w="5889"/>
      </w:tblGrid>
      <w:tr w:rsidR="002C2A2D" w14:paraId="6CB25A03" w14:textId="77777777" w:rsidTr="00FC7441">
        <w:tc>
          <w:tcPr>
            <w:tcW w:w="2319" w:type="dxa"/>
            <w:shd w:val="clear" w:color="auto" w:fill="A6A6A6" w:themeFill="background1" w:themeFillShade="A6"/>
          </w:tcPr>
          <w:p w14:paraId="6CB25A01" w14:textId="77777777" w:rsidR="002C2A2D" w:rsidRPr="00A5106D" w:rsidRDefault="002C2A2D" w:rsidP="00BC63AE">
            <w:pPr>
              <w:pStyle w:val="TableHead"/>
            </w:pPr>
            <w:r>
              <w:t>Market Rules Chapter, Section</w:t>
            </w:r>
          </w:p>
        </w:tc>
        <w:tc>
          <w:tcPr>
            <w:tcW w:w="5889" w:type="dxa"/>
            <w:shd w:val="clear" w:color="auto" w:fill="A6A6A6" w:themeFill="background1" w:themeFillShade="A6"/>
          </w:tcPr>
          <w:p w14:paraId="6CB25A02" w14:textId="77777777" w:rsidR="002C2A2D" w:rsidRPr="00A5106D" w:rsidRDefault="002C2A2D" w:rsidP="00BC63AE">
            <w:pPr>
              <w:pStyle w:val="TableHead"/>
            </w:pPr>
            <w:r w:rsidRPr="00A5106D">
              <w:t>Impact</w:t>
            </w:r>
          </w:p>
        </w:tc>
      </w:tr>
      <w:tr w:rsidR="002C2A2D" w14:paraId="6CB25A06" w14:textId="77777777" w:rsidTr="00FC7441">
        <w:tc>
          <w:tcPr>
            <w:tcW w:w="2319" w:type="dxa"/>
          </w:tcPr>
          <w:p w14:paraId="6CB25A04" w14:textId="77777777" w:rsidR="002C2A2D" w:rsidRDefault="002C2A2D" w:rsidP="00BC63AE"/>
        </w:tc>
        <w:tc>
          <w:tcPr>
            <w:tcW w:w="5889" w:type="dxa"/>
          </w:tcPr>
          <w:p w14:paraId="6CB25A05" w14:textId="77777777" w:rsidR="002C2A2D" w:rsidRDefault="002C2A2D" w:rsidP="00BC63AE">
            <w:pPr>
              <w:pStyle w:val="ListParagraph"/>
              <w:spacing w:before="0"/>
              <w:ind w:left="353"/>
            </w:pPr>
          </w:p>
        </w:tc>
      </w:tr>
      <w:tr w:rsidR="002C2A2D" w14:paraId="6CB25A09" w14:textId="77777777" w:rsidTr="00FC7441">
        <w:tc>
          <w:tcPr>
            <w:tcW w:w="2319" w:type="dxa"/>
          </w:tcPr>
          <w:p w14:paraId="6CB25A07" w14:textId="77777777" w:rsidR="002C2A2D" w:rsidRDefault="002C2A2D" w:rsidP="00BC63AE"/>
        </w:tc>
        <w:tc>
          <w:tcPr>
            <w:tcW w:w="5889" w:type="dxa"/>
          </w:tcPr>
          <w:p w14:paraId="6CB25A08" w14:textId="77777777" w:rsidR="002C2A2D" w:rsidRDefault="002C2A2D" w:rsidP="00BC63AE"/>
        </w:tc>
      </w:tr>
      <w:tr w:rsidR="002C2A2D" w14:paraId="6CB25A0C" w14:textId="77777777" w:rsidTr="00FC7441">
        <w:tc>
          <w:tcPr>
            <w:tcW w:w="2319" w:type="dxa"/>
          </w:tcPr>
          <w:p w14:paraId="6CB25A0A" w14:textId="77777777" w:rsidR="002C2A2D" w:rsidRDefault="002C2A2D" w:rsidP="00BC63AE"/>
        </w:tc>
        <w:tc>
          <w:tcPr>
            <w:tcW w:w="5889" w:type="dxa"/>
          </w:tcPr>
          <w:p w14:paraId="6CB25A0B" w14:textId="77777777" w:rsidR="002C2A2D" w:rsidRDefault="002C2A2D" w:rsidP="00BC63AE"/>
        </w:tc>
      </w:tr>
    </w:tbl>
    <w:p w14:paraId="6CB25A0D" w14:textId="77777777" w:rsidR="00960C4D" w:rsidRDefault="00960C4D">
      <w:pPr>
        <w:spacing w:before="0"/>
        <w:rPr>
          <w:rFonts w:ascii="Palatino Linotype" w:hAnsi="Palatino Linotype"/>
          <w:sz w:val="22"/>
          <w:szCs w:val="22"/>
        </w:rPr>
      </w:pPr>
    </w:p>
    <w:p w14:paraId="213FC4A4" w14:textId="77777777" w:rsidR="000C12D3" w:rsidRDefault="000C12D3">
      <w:pPr>
        <w:spacing w:before="0"/>
        <w:rPr>
          <w:rFonts w:ascii="Palatino Linotype" w:hAnsi="Palatino Linotype"/>
          <w:b/>
          <w:sz w:val="22"/>
          <w:szCs w:val="22"/>
        </w:rPr>
      </w:pPr>
      <w:r>
        <w:rPr>
          <w:rFonts w:ascii="Palatino Linotype" w:hAnsi="Palatino Linotype"/>
          <w:b/>
          <w:sz w:val="22"/>
          <w:szCs w:val="22"/>
        </w:rPr>
        <w:br w:type="page"/>
      </w:r>
    </w:p>
    <w:p w14:paraId="6CB25A0E" w14:textId="3A6A760E" w:rsidR="001D033F" w:rsidRPr="00781134" w:rsidRDefault="001D033F" w:rsidP="001D033F">
      <w:pPr>
        <w:spacing w:before="0"/>
        <w:ind w:firstLine="576"/>
        <w:rPr>
          <w:rFonts w:ascii="Palatino Linotype" w:hAnsi="Palatino Linotype"/>
          <w:b/>
          <w:sz w:val="22"/>
          <w:szCs w:val="22"/>
        </w:rPr>
      </w:pPr>
      <w:r w:rsidRPr="00781134">
        <w:rPr>
          <w:rFonts w:ascii="Palatino Linotype" w:hAnsi="Palatino Linotype"/>
          <w:b/>
          <w:sz w:val="22"/>
          <w:szCs w:val="22"/>
        </w:rPr>
        <w:lastRenderedPageBreak/>
        <w:t xml:space="preserve">Phase </w:t>
      </w:r>
      <w:r>
        <w:rPr>
          <w:rFonts w:ascii="Palatino Linotype" w:hAnsi="Palatino Linotype"/>
          <w:b/>
          <w:sz w:val="22"/>
          <w:szCs w:val="22"/>
        </w:rPr>
        <w:t>1</w:t>
      </w:r>
    </w:p>
    <w:p w14:paraId="6CB25A0F" w14:textId="77777777" w:rsidR="001D033F" w:rsidRDefault="001D033F">
      <w:pPr>
        <w:spacing w:before="0"/>
        <w:rPr>
          <w:rFonts w:ascii="Palatino Linotype" w:hAnsi="Palatino Linotype"/>
          <w:sz w:val="22"/>
          <w:szCs w:val="22"/>
        </w:rPr>
      </w:pPr>
    </w:p>
    <w:tbl>
      <w:tblPr>
        <w:tblStyle w:val="TableGrid"/>
        <w:tblW w:w="0" w:type="auto"/>
        <w:tblInd w:w="720" w:type="dxa"/>
        <w:tblLook w:val="04A0" w:firstRow="1" w:lastRow="0" w:firstColumn="1" w:lastColumn="0" w:noHBand="0" w:noVBand="1"/>
      </w:tblPr>
      <w:tblGrid>
        <w:gridCol w:w="2344"/>
        <w:gridCol w:w="3361"/>
        <w:gridCol w:w="3151"/>
      </w:tblGrid>
      <w:tr w:rsidR="007D5133" w:rsidRPr="00A5106D" w14:paraId="6CB25A13" w14:textId="77777777" w:rsidTr="007D5133">
        <w:trPr>
          <w:tblHeader/>
        </w:trPr>
        <w:tc>
          <w:tcPr>
            <w:tcW w:w="2344" w:type="dxa"/>
            <w:shd w:val="clear" w:color="auto" w:fill="A6A6A6" w:themeFill="background1" w:themeFillShade="A6"/>
          </w:tcPr>
          <w:p w14:paraId="6CB25A10" w14:textId="77777777" w:rsidR="007D5133" w:rsidRPr="00A5106D" w:rsidRDefault="007D5133" w:rsidP="007D5133">
            <w:pPr>
              <w:pStyle w:val="TableHead"/>
            </w:pPr>
            <w:r>
              <w:t>Market Manuals</w:t>
            </w:r>
          </w:p>
        </w:tc>
        <w:tc>
          <w:tcPr>
            <w:tcW w:w="3361" w:type="dxa"/>
            <w:shd w:val="clear" w:color="auto" w:fill="A6A6A6" w:themeFill="background1" w:themeFillShade="A6"/>
          </w:tcPr>
          <w:p w14:paraId="6CB25A11" w14:textId="77777777" w:rsidR="007D5133" w:rsidRPr="00A5106D" w:rsidRDefault="007D5133" w:rsidP="007D5133">
            <w:pPr>
              <w:pStyle w:val="TableHead"/>
            </w:pPr>
            <w:r>
              <w:t>Title</w:t>
            </w:r>
          </w:p>
        </w:tc>
        <w:tc>
          <w:tcPr>
            <w:tcW w:w="3151" w:type="dxa"/>
            <w:shd w:val="clear" w:color="auto" w:fill="A6A6A6" w:themeFill="background1" w:themeFillShade="A6"/>
          </w:tcPr>
          <w:p w14:paraId="6CB25A12" w14:textId="77777777" w:rsidR="007D5133" w:rsidRDefault="007D5133" w:rsidP="007D5133">
            <w:pPr>
              <w:pStyle w:val="TableHead"/>
            </w:pPr>
            <w:r>
              <w:t>Impact</w:t>
            </w:r>
          </w:p>
        </w:tc>
      </w:tr>
      <w:tr w:rsidR="007D5133" w14:paraId="6CB25A17" w14:textId="77777777" w:rsidTr="007D5133">
        <w:tc>
          <w:tcPr>
            <w:tcW w:w="2344" w:type="dxa"/>
          </w:tcPr>
          <w:p w14:paraId="6CB25A14" w14:textId="77777777" w:rsidR="007D5133" w:rsidRPr="00E9582D" w:rsidRDefault="007D5133" w:rsidP="007D5133">
            <w:pPr>
              <w:rPr>
                <w:rFonts w:ascii="Palatino Linotype" w:hAnsi="Palatino Linotype"/>
              </w:rPr>
            </w:pPr>
            <w:r w:rsidRPr="00E9582D">
              <w:rPr>
                <w:rFonts w:ascii="Palatino Linotype" w:hAnsi="Palatino Linotype"/>
              </w:rPr>
              <w:t>MM 1.1, Section 2</w:t>
            </w:r>
          </w:p>
        </w:tc>
        <w:tc>
          <w:tcPr>
            <w:tcW w:w="3361" w:type="dxa"/>
          </w:tcPr>
          <w:p w14:paraId="6CB25A15" w14:textId="77777777" w:rsidR="007D5133" w:rsidRPr="00E9582D" w:rsidRDefault="007D5133" w:rsidP="007D5133">
            <w:pPr>
              <w:spacing w:before="0"/>
              <w:rPr>
                <w:rFonts w:ascii="Palatino Linotype" w:hAnsi="Palatino Linotype"/>
              </w:rPr>
            </w:pPr>
            <w:r w:rsidRPr="00E9582D">
              <w:rPr>
                <w:rFonts w:ascii="Palatino Linotype" w:hAnsi="Palatino Linotype"/>
              </w:rPr>
              <w:t>Participant Authorization, Maintenance &amp; Exit</w:t>
            </w:r>
          </w:p>
        </w:tc>
        <w:tc>
          <w:tcPr>
            <w:tcW w:w="3151" w:type="dxa"/>
          </w:tcPr>
          <w:p w14:paraId="6CB25A16" w14:textId="77777777" w:rsidR="007D5133" w:rsidRPr="00E9582D" w:rsidRDefault="007D5133" w:rsidP="007D5133">
            <w:pPr>
              <w:rPr>
                <w:rFonts w:ascii="Palatino Linotype" w:hAnsi="Palatino Linotype"/>
              </w:rPr>
            </w:pPr>
            <w:r w:rsidRPr="00E9582D">
              <w:rPr>
                <w:rFonts w:ascii="Palatino Linotype" w:hAnsi="Palatino Linotype"/>
              </w:rPr>
              <w:t>Replace use of "Demand Response" and update description (if required).</w:t>
            </w:r>
          </w:p>
        </w:tc>
      </w:tr>
      <w:tr w:rsidR="007D5133" w14:paraId="6CB25A1B" w14:textId="77777777" w:rsidTr="007D5133">
        <w:tc>
          <w:tcPr>
            <w:tcW w:w="2344" w:type="dxa"/>
          </w:tcPr>
          <w:p w14:paraId="6CB25A18" w14:textId="77777777" w:rsidR="007D5133" w:rsidRPr="00E9582D" w:rsidRDefault="007D5133" w:rsidP="007D5133">
            <w:pPr>
              <w:rPr>
                <w:rFonts w:ascii="Palatino Linotype" w:hAnsi="Palatino Linotype"/>
              </w:rPr>
            </w:pPr>
            <w:r w:rsidRPr="00E9582D">
              <w:rPr>
                <w:rFonts w:ascii="Palatino Linotype" w:hAnsi="Palatino Linotype"/>
              </w:rPr>
              <w:t>MM 1.2, Section 6</w:t>
            </w:r>
          </w:p>
        </w:tc>
        <w:tc>
          <w:tcPr>
            <w:tcW w:w="3361" w:type="dxa"/>
          </w:tcPr>
          <w:p w14:paraId="6CB25A19" w14:textId="77777777" w:rsidR="007D5133" w:rsidRPr="00E9582D" w:rsidRDefault="007D5133" w:rsidP="007D5133">
            <w:pPr>
              <w:rPr>
                <w:rFonts w:ascii="Palatino Linotype" w:hAnsi="Palatino Linotype"/>
              </w:rPr>
            </w:pPr>
            <w:r w:rsidRPr="00E9582D">
              <w:rPr>
                <w:rFonts w:ascii="Palatino Linotype" w:hAnsi="Palatino Linotype"/>
              </w:rPr>
              <w:t>Facility Registration, Maintenance and De-registration</w:t>
            </w:r>
          </w:p>
        </w:tc>
        <w:tc>
          <w:tcPr>
            <w:tcW w:w="3151" w:type="dxa"/>
          </w:tcPr>
          <w:p w14:paraId="6CB25A1A" w14:textId="77777777" w:rsidR="007D5133" w:rsidRPr="00E9582D" w:rsidRDefault="007D5133" w:rsidP="007D5133">
            <w:pPr>
              <w:rPr>
                <w:rFonts w:ascii="Palatino Linotype" w:hAnsi="Palatino Linotype"/>
              </w:rPr>
            </w:pPr>
            <w:r w:rsidRPr="00E9582D">
              <w:rPr>
                <w:rFonts w:ascii="Palatino Linotype" w:hAnsi="Palatino Linotype"/>
              </w:rPr>
              <w:t>Update DR section to include any generation specific registration requirements and replace use of "Demand Response". For 2020 and beyond, registration changes might be required but operational experience from 2019 change will provide greater clarity on the overall need.</w:t>
            </w:r>
          </w:p>
        </w:tc>
      </w:tr>
      <w:tr w:rsidR="007D5133" w14:paraId="6CB25A24" w14:textId="77777777" w:rsidTr="007D5133">
        <w:tc>
          <w:tcPr>
            <w:tcW w:w="2344" w:type="dxa"/>
          </w:tcPr>
          <w:p w14:paraId="6CB25A1C" w14:textId="77777777" w:rsidR="007D5133" w:rsidRPr="00E9582D" w:rsidRDefault="007D5133" w:rsidP="007D5133">
            <w:pPr>
              <w:rPr>
                <w:rFonts w:ascii="Palatino Linotype" w:hAnsi="Palatino Linotype"/>
              </w:rPr>
            </w:pPr>
            <w:r w:rsidRPr="00E9582D">
              <w:rPr>
                <w:rFonts w:ascii="Palatino Linotype" w:hAnsi="Palatino Linotype"/>
              </w:rPr>
              <w:t>MM 12</w:t>
            </w:r>
          </w:p>
        </w:tc>
        <w:tc>
          <w:tcPr>
            <w:tcW w:w="3361" w:type="dxa"/>
          </w:tcPr>
          <w:p w14:paraId="6CB25A1D" w14:textId="77777777" w:rsidR="007D5133" w:rsidRPr="00E9582D" w:rsidRDefault="007D5133" w:rsidP="007D5133">
            <w:pPr>
              <w:rPr>
                <w:rFonts w:ascii="Palatino Linotype" w:hAnsi="Palatino Linotype"/>
              </w:rPr>
            </w:pPr>
            <w:r w:rsidRPr="00E9582D">
              <w:rPr>
                <w:rFonts w:ascii="Palatino Linotype" w:hAnsi="Palatino Linotype"/>
              </w:rPr>
              <w:t>Demand Response Auction</w:t>
            </w:r>
          </w:p>
        </w:tc>
        <w:tc>
          <w:tcPr>
            <w:tcW w:w="3151" w:type="dxa"/>
          </w:tcPr>
          <w:p w14:paraId="6CB25A1E" w14:textId="77777777" w:rsidR="007D5133" w:rsidRPr="00E9582D" w:rsidRDefault="007D5133" w:rsidP="007D5133">
            <w:pPr>
              <w:rPr>
                <w:rFonts w:ascii="Palatino Linotype" w:hAnsi="Palatino Linotype"/>
              </w:rPr>
            </w:pPr>
            <w:r w:rsidRPr="00E9582D">
              <w:rPr>
                <w:rFonts w:ascii="Palatino Linotype" w:hAnsi="Palatino Linotype"/>
              </w:rPr>
              <w:t>1) Replace use of "DR/Demand Response"</w:t>
            </w:r>
          </w:p>
          <w:p w14:paraId="6CB25A1F" w14:textId="77777777" w:rsidR="007D5133" w:rsidRPr="00E9582D" w:rsidRDefault="007D5133" w:rsidP="007D5133">
            <w:pPr>
              <w:rPr>
                <w:rFonts w:ascii="Palatino Linotype" w:hAnsi="Palatino Linotype"/>
              </w:rPr>
            </w:pPr>
            <w:r w:rsidRPr="00E9582D">
              <w:rPr>
                <w:rFonts w:ascii="Palatino Linotype" w:hAnsi="Palatino Linotype"/>
              </w:rPr>
              <w:t>2) Updates to reflect changes in the Registration process and Settlements (Charges, non-performance factor update) for enabling generation</w:t>
            </w:r>
          </w:p>
          <w:p w14:paraId="6CB25A20" w14:textId="77777777" w:rsidR="007D5133" w:rsidRPr="00E9582D" w:rsidRDefault="007D5133" w:rsidP="007D5133">
            <w:pPr>
              <w:rPr>
                <w:rFonts w:ascii="Palatino Linotype" w:hAnsi="Palatino Linotype"/>
              </w:rPr>
            </w:pPr>
            <w:r w:rsidRPr="00E9582D">
              <w:rPr>
                <w:rFonts w:ascii="Palatino Linotype" w:hAnsi="Palatino Linotype"/>
              </w:rPr>
              <w:t>3) Update demand curve elements description (Target Capacity Calculation, Zonal Min. Treatment)</w:t>
            </w:r>
          </w:p>
          <w:p w14:paraId="6CB25A21" w14:textId="77777777" w:rsidR="007D5133" w:rsidRPr="00E9582D" w:rsidRDefault="007D5133" w:rsidP="007D5133">
            <w:pPr>
              <w:rPr>
                <w:rFonts w:ascii="Palatino Linotype" w:hAnsi="Palatino Linotype"/>
              </w:rPr>
            </w:pPr>
            <w:r w:rsidRPr="00E9582D">
              <w:rPr>
                <w:rFonts w:ascii="Palatino Linotype" w:hAnsi="Palatino Linotype"/>
              </w:rPr>
              <w:t>4) Review and update DR timelines (if required)</w:t>
            </w:r>
          </w:p>
          <w:p w14:paraId="6CB25A22" w14:textId="77777777" w:rsidR="007D5133" w:rsidRPr="00E9582D" w:rsidRDefault="007D5133" w:rsidP="007D5133">
            <w:pPr>
              <w:rPr>
                <w:rFonts w:ascii="Palatino Linotype" w:hAnsi="Palatino Linotype"/>
              </w:rPr>
            </w:pPr>
            <w:r w:rsidRPr="00E9582D">
              <w:rPr>
                <w:rFonts w:ascii="Palatino Linotype" w:hAnsi="Palatino Linotype"/>
              </w:rPr>
              <w:t>5) Add criteria for capacity obligation transfer from the IM 12.1</w:t>
            </w:r>
          </w:p>
          <w:p w14:paraId="6CB25A23" w14:textId="77777777" w:rsidR="007D5133" w:rsidRPr="00E9582D" w:rsidRDefault="007D5133" w:rsidP="007D5133">
            <w:pPr>
              <w:rPr>
                <w:rFonts w:ascii="Palatino Linotype" w:hAnsi="Palatino Linotype"/>
              </w:rPr>
            </w:pPr>
            <w:r w:rsidRPr="00E9582D">
              <w:rPr>
                <w:rFonts w:ascii="Palatino Linotype" w:hAnsi="Palatino Linotype"/>
              </w:rPr>
              <w:t>6) Update buy-out process timeline and eligibility, if applicable</w:t>
            </w:r>
          </w:p>
        </w:tc>
      </w:tr>
      <w:tr w:rsidR="007D5133" w14:paraId="6CB25A28" w14:textId="77777777" w:rsidTr="007D5133">
        <w:tc>
          <w:tcPr>
            <w:tcW w:w="2344" w:type="dxa"/>
          </w:tcPr>
          <w:p w14:paraId="6CB25A25" w14:textId="77777777" w:rsidR="007D5133" w:rsidRPr="00E9582D" w:rsidRDefault="007D5133" w:rsidP="007D5133">
            <w:pPr>
              <w:rPr>
                <w:rFonts w:ascii="Palatino Linotype" w:hAnsi="Palatino Linotype"/>
              </w:rPr>
            </w:pPr>
            <w:r w:rsidRPr="00E9582D">
              <w:rPr>
                <w:rFonts w:ascii="Palatino Linotype" w:hAnsi="Palatino Linotype"/>
              </w:rPr>
              <w:t>MM 7.3, Section 4.2.4</w:t>
            </w:r>
          </w:p>
        </w:tc>
        <w:tc>
          <w:tcPr>
            <w:tcW w:w="3361" w:type="dxa"/>
          </w:tcPr>
          <w:p w14:paraId="6CB25A26" w14:textId="77777777" w:rsidR="007D5133" w:rsidRPr="00E9582D" w:rsidRDefault="007D5133" w:rsidP="007D5133">
            <w:pPr>
              <w:rPr>
                <w:rFonts w:ascii="Palatino Linotype" w:hAnsi="Palatino Linotype"/>
              </w:rPr>
            </w:pPr>
            <w:r w:rsidRPr="00E9582D">
              <w:rPr>
                <w:rFonts w:ascii="Palatino Linotype" w:hAnsi="Palatino Linotype"/>
              </w:rPr>
              <w:t>Outage Management</w:t>
            </w:r>
          </w:p>
        </w:tc>
        <w:tc>
          <w:tcPr>
            <w:tcW w:w="3151" w:type="dxa"/>
          </w:tcPr>
          <w:p w14:paraId="6CB25A27" w14:textId="77777777" w:rsidR="007D5133" w:rsidRPr="00E9582D" w:rsidRDefault="007D5133" w:rsidP="007D5133">
            <w:pPr>
              <w:rPr>
                <w:rFonts w:ascii="Palatino Linotype" w:hAnsi="Palatino Linotype"/>
              </w:rPr>
            </w:pPr>
            <w:r w:rsidRPr="00E9582D">
              <w:rPr>
                <w:rFonts w:ascii="Palatino Linotype" w:hAnsi="Palatino Linotype"/>
              </w:rPr>
              <w:t xml:space="preserve">Include test activation requirements for generation </w:t>
            </w:r>
            <w:r w:rsidRPr="00E9582D">
              <w:rPr>
                <w:rFonts w:ascii="Palatino Linotype" w:hAnsi="Palatino Linotype"/>
              </w:rPr>
              <w:lastRenderedPageBreak/>
              <w:t>resources.</w:t>
            </w:r>
          </w:p>
        </w:tc>
      </w:tr>
      <w:tr w:rsidR="007D5133" w14:paraId="6CB25A2C" w14:textId="77777777" w:rsidTr="007D5133">
        <w:tc>
          <w:tcPr>
            <w:tcW w:w="2344" w:type="dxa"/>
          </w:tcPr>
          <w:p w14:paraId="6CB25A29" w14:textId="77777777" w:rsidR="007D5133" w:rsidRPr="00E9582D" w:rsidRDefault="007D5133" w:rsidP="007D5133">
            <w:pPr>
              <w:rPr>
                <w:rFonts w:ascii="Palatino Linotype" w:hAnsi="Palatino Linotype"/>
              </w:rPr>
            </w:pPr>
            <w:r w:rsidRPr="00E9582D">
              <w:rPr>
                <w:rFonts w:ascii="Palatino Linotype" w:hAnsi="Palatino Linotype"/>
              </w:rPr>
              <w:lastRenderedPageBreak/>
              <w:t>MM 2 Part 2.1 Section 5.3</w:t>
            </w:r>
          </w:p>
        </w:tc>
        <w:tc>
          <w:tcPr>
            <w:tcW w:w="3361" w:type="dxa"/>
          </w:tcPr>
          <w:p w14:paraId="6CB25A2A" w14:textId="77777777" w:rsidR="007D5133" w:rsidRPr="00E9582D" w:rsidRDefault="007D5133" w:rsidP="007D5133">
            <w:pPr>
              <w:rPr>
                <w:rFonts w:ascii="Palatino Linotype" w:hAnsi="Palatino Linotype"/>
              </w:rPr>
            </w:pPr>
            <w:r w:rsidRPr="00E9582D">
              <w:rPr>
                <w:rFonts w:ascii="Palatino Linotype" w:hAnsi="Palatino Linotype"/>
              </w:rPr>
              <w:t>Dispute Resolution</w:t>
            </w:r>
          </w:p>
        </w:tc>
        <w:tc>
          <w:tcPr>
            <w:tcW w:w="3151" w:type="dxa"/>
          </w:tcPr>
          <w:p w14:paraId="6CB25A2B" w14:textId="77777777" w:rsidR="007D5133" w:rsidRPr="00E9582D" w:rsidRDefault="007D5133" w:rsidP="007D5133">
            <w:pPr>
              <w:rPr>
                <w:rFonts w:ascii="Palatino Linotype" w:hAnsi="Palatino Linotype"/>
              </w:rPr>
            </w:pPr>
            <w:r w:rsidRPr="00E9582D">
              <w:rPr>
                <w:rFonts w:ascii="Palatino Linotype" w:hAnsi="Palatino Linotype"/>
              </w:rPr>
              <w:t>Remove SIA requirement for DR participants. No SIA is required to participate in TCA (since physical resources participating in TCA should have already have gone through the connection assessment process).</w:t>
            </w:r>
          </w:p>
        </w:tc>
      </w:tr>
      <w:tr w:rsidR="007D5133" w14:paraId="6CB25A30" w14:textId="77777777" w:rsidTr="007D5133">
        <w:tc>
          <w:tcPr>
            <w:tcW w:w="2344" w:type="dxa"/>
          </w:tcPr>
          <w:p w14:paraId="6CB25A2D" w14:textId="77777777" w:rsidR="007D5133" w:rsidRPr="00E9582D" w:rsidRDefault="007D5133" w:rsidP="007D5133">
            <w:pPr>
              <w:rPr>
                <w:rFonts w:ascii="Palatino Linotype" w:hAnsi="Palatino Linotype"/>
              </w:rPr>
            </w:pPr>
            <w:r w:rsidRPr="00E9582D">
              <w:rPr>
                <w:rFonts w:ascii="Palatino Linotype" w:hAnsi="Palatino Linotype"/>
              </w:rPr>
              <w:t>MM 2 Part 2.1 Section 8.4.2</w:t>
            </w:r>
          </w:p>
        </w:tc>
        <w:tc>
          <w:tcPr>
            <w:tcW w:w="3361" w:type="dxa"/>
          </w:tcPr>
          <w:p w14:paraId="6CB25A2E" w14:textId="77777777" w:rsidR="007D5133" w:rsidRPr="00E9582D" w:rsidRDefault="007D5133" w:rsidP="007D5133">
            <w:pPr>
              <w:rPr>
                <w:rFonts w:ascii="Palatino Linotype" w:hAnsi="Palatino Linotype"/>
              </w:rPr>
            </w:pPr>
            <w:r w:rsidRPr="00E9582D">
              <w:rPr>
                <w:rFonts w:ascii="Palatino Linotype" w:hAnsi="Palatino Linotype"/>
              </w:rPr>
              <w:t>Dispute Resolution</w:t>
            </w:r>
          </w:p>
        </w:tc>
        <w:tc>
          <w:tcPr>
            <w:tcW w:w="3151" w:type="dxa"/>
          </w:tcPr>
          <w:p w14:paraId="6CB25A2F" w14:textId="77777777" w:rsidR="007D5133" w:rsidRPr="00E9582D" w:rsidRDefault="007D5133" w:rsidP="007D5133">
            <w:pPr>
              <w:rPr>
                <w:rFonts w:ascii="Palatino Linotype" w:hAnsi="Palatino Linotype"/>
              </w:rPr>
            </w:pPr>
            <w:r w:rsidRPr="00E9582D">
              <w:rPr>
                <w:rFonts w:ascii="Palatino Linotype" w:hAnsi="Palatino Linotype"/>
              </w:rPr>
              <w:t>Remove SIA requirement for DR participants. No SIA is required to participate in TCA (since physical resources participating in TCA should have already have gone through the connection assessment process).</w:t>
            </w:r>
          </w:p>
        </w:tc>
      </w:tr>
      <w:tr w:rsidR="007D5133" w14:paraId="6CB25A34" w14:textId="77777777" w:rsidTr="007D5133">
        <w:tc>
          <w:tcPr>
            <w:tcW w:w="2344" w:type="dxa"/>
          </w:tcPr>
          <w:p w14:paraId="6CB25A31" w14:textId="77777777" w:rsidR="007D5133" w:rsidRPr="00E9582D" w:rsidRDefault="007D5133" w:rsidP="007D5133">
            <w:pPr>
              <w:rPr>
                <w:rFonts w:ascii="Palatino Linotype" w:hAnsi="Palatino Linotype"/>
              </w:rPr>
            </w:pPr>
            <w:r w:rsidRPr="00E9582D">
              <w:rPr>
                <w:rFonts w:ascii="Palatino Linotype" w:hAnsi="Palatino Linotype"/>
              </w:rPr>
              <w:t>MM 4.2 Section 2.4.1</w:t>
            </w:r>
          </w:p>
        </w:tc>
        <w:tc>
          <w:tcPr>
            <w:tcW w:w="3361" w:type="dxa"/>
          </w:tcPr>
          <w:p w14:paraId="6CB25A32" w14:textId="77777777" w:rsidR="007D5133" w:rsidRPr="00E9582D" w:rsidRDefault="007D5133" w:rsidP="007D5133">
            <w:pPr>
              <w:rPr>
                <w:rFonts w:ascii="Palatino Linotype" w:hAnsi="Palatino Linotype"/>
              </w:rPr>
            </w:pPr>
            <w:r w:rsidRPr="00E9582D">
              <w:rPr>
                <w:rFonts w:ascii="Palatino Linotype" w:hAnsi="Palatino Linotype"/>
              </w:rPr>
              <w:t>Submission of Dispatch Data in the Real-Time Energy and Operating Reserve Markets</w:t>
            </w:r>
          </w:p>
        </w:tc>
        <w:tc>
          <w:tcPr>
            <w:tcW w:w="3151" w:type="dxa"/>
          </w:tcPr>
          <w:p w14:paraId="6CB25A33" w14:textId="77777777" w:rsidR="007D5133" w:rsidRPr="00E9582D" w:rsidRDefault="007D5133" w:rsidP="007D5133">
            <w:pPr>
              <w:rPr>
                <w:rFonts w:ascii="Palatino Linotype" w:hAnsi="Palatino Linotype"/>
              </w:rPr>
            </w:pPr>
            <w:r w:rsidRPr="00E9582D">
              <w:rPr>
                <w:rFonts w:ascii="Palatino Linotype" w:hAnsi="Palatino Linotype"/>
              </w:rPr>
              <w:t>For 2019, update to include generation resources.</w:t>
            </w:r>
          </w:p>
        </w:tc>
      </w:tr>
      <w:tr w:rsidR="007D5133" w14:paraId="6CB25A38" w14:textId="77777777" w:rsidTr="007D5133">
        <w:tc>
          <w:tcPr>
            <w:tcW w:w="2344" w:type="dxa"/>
          </w:tcPr>
          <w:p w14:paraId="6CB25A35" w14:textId="77777777" w:rsidR="007D5133" w:rsidRPr="00E9582D" w:rsidRDefault="007D5133" w:rsidP="007D5133">
            <w:pPr>
              <w:rPr>
                <w:rFonts w:ascii="Palatino Linotype" w:hAnsi="Palatino Linotype"/>
              </w:rPr>
            </w:pPr>
            <w:r w:rsidRPr="00E9582D">
              <w:rPr>
                <w:rFonts w:ascii="Palatino Linotype" w:hAnsi="Palatino Linotype"/>
              </w:rPr>
              <w:t>MM 7.4 Section 3, 3.1</w:t>
            </w:r>
          </w:p>
        </w:tc>
        <w:tc>
          <w:tcPr>
            <w:tcW w:w="3361" w:type="dxa"/>
          </w:tcPr>
          <w:p w14:paraId="6CB25A36" w14:textId="77777777" w:rsidR="007D5133" w:rsidRPr="00E9582D" w:rsidRDefault="007D5133" w:rsidP="007D5133">
            <w:pPr>
              <w:rPr>
                <w:rFonts w:ascii="Palatino Linotype" w:hAnsi="Palatino Linotype"/>
              </w:rPr>
            </w:pPr>
            <w:r w:rsidRPr="00E9582D">
              <w:rPr>
                <w:rFonts w:ascii="Palatino Linotype" w:hAnsi="Palatino Linotype"/>
              </w:rPr>
              <w:t>IESO-Controlled Grid Operating Policies</w:t>
            </w:r>
          </w:p>
        </w:tc>
        <w:tc>
          <w:tcPr>
            <w:tcW w:w="3151" w:type="dxa"/>
          </w:tcPr>
          <w:p w14:paraId="6CB25A37" w14:textId="77777777" w:rsidR="007D5133" w:rsidRPr="00E9582D" w:rsidRDefault="007D5133" w:rsidP="007D5133">
            <w:pPr>
              <w:rPr>
                <w:rFonts w:ascii="Palatino Linotype" w:hAnsi="Palatino Linotype"/>
              </w:rPr>
            </w:pPr>
            <w:r w:rsidRPr="00E9582D">
              <w:rPr>
                <w:rFonts w:ascii="Palatino Linotype" w:hAnsi="Palatino Linotype"/>
              </w:rPr>
              <w:t>Mentions demand response for availability forecast. Add/Update with "capacity/auctioned capacity".</w:t>
            </w:r>
          </w:p>
        </w:tc>
      </w:tr>
      <w:tr w:rsidR="007D5133" w14:paraId="6CB25A3C" w14:textId="77777777" w:rsidTr="007D5133">
        <w:tc>
          <w:tcPr>
            <w:tcW w:w="2344" w:type="dxa"/>
          </w:tcPr>
          <w:p w14:paraId="6CB25A39" w14:textId="77777777" w:rsidR="007D5133" w:rsidRPr="00E9582D" w:rsidRDefault="007D5133" w:rsidP="007D5133">
            <w:pPr>
              <w:rPr>
                <w:rFonts w:ascii="Palatino Linotype" w:hAnsi="Palatino Linotype"/>
              </w:rPr>
            </w:pPr>
            <w:r w:rsidRPr="00E9582D">
              <w:rPr>
                <w:rFonts w:ascii="Palatino Linotype" w:hAnsi="Palatino Linotype"/>
              </w:rPr>
              <w:t>MM5 Part 5.4</w:t>
            </w:r>
          </w:p>
        </w:tc>
        <w:tc>
          <w:tcPr>
            <w:tcW w:w="3361" w:type="dxa"/>
          </w:tcPr>
          <w:p w14:paraId="6CB25A3A" w14:textId="77777777" w:rsidR="007D5133" w:rsidRPr="00E9582D" w:rsidRDefault="007D5133" w:rsidP="007D5133">
            <w:pPr>
              <w:rPr>
                <w:rFonts w:ascii="Palatino Linotype" w:hAnsi="Palatino Linotype"/>
              </w:rPr>
            </w:pPr>
            <w:r w:rsidRPr="00E9582D">
              <w:rPr>
                <w:rFonts w:ascii="Palatino Linotype" w:hAnsi="Palatino Linotype"/>
              </w:rPr>
              <w:t>Prudential Support</w:t>
            </w:r>
          </w:p>
        </w:tc>
        <w:tc>
          <w:tcPr>
            <w:tcW w:w="3151" w:type="dxa"/>
          </w:tcPr>
          <w:p w14:paraId="6CB25A3B" w14:textId="77777777" w:rsidR="007D5133" w:rsidRPr="00E9582D" w:rsidRDefault="007D5133" w:rsidP="007D5133">
            <w:pPr>
              <w:rPr>
                <w:rFonts w:ascii="Palatino Linotype" w:hAnsi="Palatino Linotype"/>
              </w:rPr>
            </w:pPr>
            <w:r w:rsidRPr="00E9582D">
              <w:rPr>
                <w:rFonts w:ascii="Palatino Linotype" w:hAnsi="Palatino Linotype"/>
              </w:rPr>
              <w:t>Replace use of "DR/Demand Response"</w:t>
            </w:r>
          </w:p>
        </w:tc>
      </w:tr>
      <w:tr w:rsidR="007D5133" w14:paraId="6CB25A41" w14:textId="77777777" w:rsidTr="007D5133">
        <w:tc>
          <w:tcPr>
            <w:tcW w:w="2344" w:type="dxa"/>
          </w:tcPr>
          <w:p w14:paraId="6CB25A3D" w14:textId="77777777" w:rsidR="007D5133" w:rsidRPr="00E9582D" w:rsidRDefault="007D5133" w:rsidP="007D5133">
            <w:pPr>
              <w:rPr>
                <w:rFonts w:ascii="Palatino Linotype" w:hAnsi="Palatino Linotype"/>
              </w:rPr>
            </w:pPr>
            <w:r w:rsidRPr="00E9582D">
              <w:rPr>
                <w:rFonts w:ascii="Palatino Linotype" w:hAnsi="Palatino Linotype"/>
              </w:rPr>
              <w:t>MM 5.5</w:t>
            </w:r>
          </w:p>
        </w:tc>
        <w:tc>
          <w:tcPr>
            <w:tcW w:w="3361" w:type="dxa"/>
          </w:tcPr>
          <w:p w14:paraId="6CB25A3E" w14:textId="77777777" w:rsidR="007D5133" w:rsidRPr="00E9582D" w:rsidRDefault="007D5133" w:rsidP="007D5133">
            <w:pPr>
              <w:rPr>
                <w:rFonts w:ascii="Palatino Linotype" w:hAnsi="Palatino Linotype"/>
              </w:rPr>
            </w:pPr>
            <w:r w:rsidRPr="00E9582D">
              <w:rPr>
                <w:rFonts w:ascii="Palatino Linotype" w:hAnsi="Palatino Linotype"/>
              </w:rPr>
              <w:t>Physical Markets Settlement Statements</w:t>
            </w:r>
          </w:p>
        </w:tc>
        <w:tc>
          <w:tcPr>
            <w:tcW w:w="3151" w:type="dxa"/>
          </w:tcPr>
          <w:p w14:paraId="6CB25A3F" w14:textId="77777777" w:rsidR="007D5133" w:rsidRPr="00E9582D" w:rsidRDefault="007D5133" w:rsidP="007D5133">
            <w:pPr>
              <w:rPr>
                <w:rFonts w:ascii="Palatino Linotype" w:hAnsi="Palatino Linotype"/>
              </w:rPr>
            </w:pPr>
            <w:r w:rsidRPr="00E9582D">
              <w:rPr>
                <w:rFonts w:ascii="Palatino Linotype" w:hAnsi="Palatino Linotype"/>
              </w:rPr>
              <w:t>1) Replace use of "DR/Demand Response"</w:t>
            </w:r>
          </w:p>
          <w:p w14:paraId="6CB25A40" w14:textId="77777777" w:rsidR="007D5133" w:rsidRPr="00E9582D" w:rsidRDefault="007D5133" w:rsidP="007D5133">
            <w:pPr>
              <w:rPr>
                <w:rFonts w:ascii="Palatino Linotype" w:hAnsi="Palatino Linotype"/>
              </w:rPr>
            </w:pPr>
            <w:r w:rsidRPr="00E9582D">
              <w:rPr>
                <w:rFonts w:ascii="Palatino Linotype" w:hAnsi="Palatino Linotype"/>
              </w:rPr>
              <w:t>2) Add charges for generation resource</w:t>
            </w:r>
          </w:p>
        </w:tc>
      </w:tr>
      <w:tr w:rsidR="007D5133" w14:paraId="6CB25A48" w14:textId="77777777" w:rsidTr="007D5133">
        <w:tc>
          <w:tcPr>
            <w:tcW w:w="2344" w:type="dxa"/>
          </w:tcPr>
          <w:p w14:paraId="6CB25A42" w14:textId="77777777" w:rsidR="007D5133" w:rsidRPr="00E9582D" w:rsidRDefault="007D5133" w:rsidP="007D5133">
            <w:pPr>
              <w:rPr>
                <w:rFonts w:ascii="Palatino Linotype" w:hAnsi="Palatino Linotype"/>
              </w:rPr>
            </w:pPr>
            <w:r w:rsidRPr="00E9582D">
              <w:rPr>
                <w:rFonts w:ascii="Palatino Linotype" w:hAnsi="Palatino Linotype"/>
              </w:rPr>
              <w:t>IM 12.1</w:t>
            </w:r>
          </w:p>
        </w:tc>
        <w:tc>
          <w:tcPr>
            <w:tcW w:w="3361" w:type="dxa"/>
          </w:tcPr>
          <w:p w14:paraId="6CB25A43" w14:textId="77777777" w:rsidR="007D5133" w:rsidRPr="00E9582D" w:rsidRDefault="007D5133" w:rsidP="007D5133">
            <w:pPr>
              <w:rPr>
                <w:rFonts w:ascii="Palatino Linotype" w:hAnsi="Palatino Linotype"/>
              </w:rPr>
            </w:pPr>
            <w:r w:rsidRPr="00E9582D">
              <w:rPr>
                <w:rFonts w:ascii="Palatino Linotype" w:hAnsi="Palatino Linotype"/>
              </w:rPr>
              <w:t>Demand Response Auction</w:t>
            </w:r>
          </w:p>
        </w:tc>
        <w:tc>
          <w:tcPr>
            <w:tcW w:w="3151" w:type="dxa"/>
          </w:tcPr>
          <w:p w14:paraId="6CB25A44" w14:textId="77777777" w:rsidR="007D5133" w:rsidRPr="00E9582D" w:rsidRDefault="007D5133" w:rsidP="007D5133">
            <w:pPr>
              <w:rPr>
                <w:rFonts w:ascii="Palatino Linotype" w:hAnsi="Palatino Linotype"/>
              </w:rPr>
            </w:pPr>
            <w:r w:rsidRPr="00E9582D">
              <w:rPr>
                <w:rFonts w:ascii="Palatino Linotype" w:hAnsi="Palatino Linotype"/>
              </w:rPr>
              <w:t>1) Replace use of "DR/Demand Response"</w:t>
            </w:r>
          </w:p>
          <w:p w14:paraId="6CB25A45" w14:textId="77777777" w:rsidR="007D5133" w:rsidRPr="00E9582D" w:rsidRDefault="007D5133" w:rsidP="007D5133">
            <w:pPr>
              <w:rPr>
                <w:rFonts w:ascii="Palatino Linotype" w:hAnsi="Palatino Linotype"/>
              </w:rPr>
            </w:pPr>
            <w:r w:rsidRPr="00E9582D">
              <w:rPr>
                <w:rFonts w:ascii="Palatino Linotype" w:hAnsi="Palatino Linotype"/>
              </w:rPr>
              <w:t>2) Update group names as per organization chart</w:t>
            </w:r>
          </w:p>
          <w:p w14:paraId="6CB25A46" w14:textId="77777777" w:rsidR="007D5133" w:rsidRPr="00E9582D" w:rsidRDefault="007D5133" w:rsidP="007D5133">
            <w:pPr>
              <w:rPr>
                <w:rFonts w:ascii="Palatino Linotype" w:hAnsi="Palatino Linotype"/>
              </w:rPr>
            </w:pPr>
            <w:r w:rsidRPr="00E9582D">
              <w:rPr>
                <w:rFonts w:ascii="Palatino Linotype" w:hAnsi="Palatino Linotype"/>
              </w:rPr>
              <w:t>3) Update templates and descriptions as per updated process</w:t>
            </w:r>
          </w:p>
          <w:p w14:paraId="6CB25A47" w14:textId="77777777" w:rsidR="007D5133" w:rsidRPr="00E9582D" w:rsidRDefault="007D5133" w:rsidP="007D5133">
            <w:pPr>
              <w:rPr>
                <w:rFonts w:ascii="Palatino Linotype" w:hAnsi="Palatino Linotype"/>
              </w:rPr>
            </w:pPr>
            <w:r w:rsidRPr="00E9582D">
              <w:rPr>
                <w:rFonts w:ascii="Palatino Linotype" w:hAnsi="Palatino Linotype"/>
              </w:rPr>
              <w:lastRenderedPageBreak/>
              <w:t>4) Update timelines for Settlements and IT related work</w:t>
            </w:r>
          </w:p>
        </w:tc>
      </w:tr>
    </w:tbl>
    <w:p w14:paraId="6CB25A49" w14:textId="77777777" w:rsidR="000A3DA1" w:rsidRDefault="000A3DA1" w:rsidP="00DC7FB3">
      <w:pPr>
        <w:spacing w:before="0"/>
        <w:rPr>
          <w:rFonts w:ascii="Palatino Linotype" w:hAnsi="Palatino Linotype"/>
          <w:sz w:val="22"/>
          <w:szCs w:val="22"/>
        </w:rPr>
      </w:pPr>
    </w:p>
    <w:p w14:paraId="6CB25A4A" w14:textId="77777777" w:rsidR="000A3DA1" w:rsidRDefault="000A3DA1" w:rsidP="00DC7FB3">
      <w:pPr>
        <w:spacing w:before="0"/>
        <w:rPr>
          <w:rFonts w:ascii="Palatino Linotype" w:hAnsi="Palatino Linotype"/>
          <w:sz w:val="22"/>
          <w:szCs w:val="22"/>
        </w:rPr>
      </w:pPr>
    </w:p>
    <w:p w14:paraId="6CB25A4B" w14:textId="77777777" w:rsidR="00DC7FB3" w:rsidRDefault="00DC7FB3" w:rsidP="00DC7FB3">
      <w:pPr>
        <w:spacing w:before="0"/>
        <w:ind w:firstLine="576"/>
        <w:rPr>
          <w:rFonts w:ascii="Palatino Linotype" w:hAnsi="Palatino Linotype"/>
          <w:b/>
          <w:sz w:val="22"/>
          <w:szCs w:val="22"/>
        </w:rPr>
      </w:pPr>
      <w:r w:rsidRPr="00781134">
        <w:rPr>
          <w:rFonts w:ascii="Palatino Linotype" w:hAnsi="Palatino Linotype"/>
          <w:b/>
          <w:sz w:val="22"/>
          <w:szCs w:val="22"/>
        </w:rPr>
        <w:t xml:space="preserve">Phase </w:t>
      </w:r>
      <w:r>
        <w:rPr>
          <w:rFonts w:ascii="Palatino Linotype" w:hAnsi="Palatino Linotype"/>
          <w:b/>
          <w:sz w:val="22"/>
          <w:szCs w:val="22"/>
        </w:rPr>
        <w:t>2</w:t>
      </w:r>
      <w:r w:rsidR="00EC4DF7">
        <w:rPr>
          <w:rFonts w:ascii="Palatino Linotype" w:hAnsi="Palatino Linotype"/>
          <w:b/>
          <w:sz w:val="22"/>
          <w:szCs w:val="22"/>
        </w:rPr>
        <w:t xml:space="preserve"> </w:t>
      </w:r>
      <w:r w:rsidR="00B67B37">
        <w:rPr>
          <w:rFonts w:ascii="Palatino Linotype" w:hAnsi="Palatino Linotype"/>
          <w:b/>
          <w:sz w:val="22"/>
          <w:szCs w:val="22"/>
        </w:rPr>
        <w:t>–</w:t>
      </w:r>
      <w:r w:rsidR="00EC4DF7">
        <w:rPr>
          <w:rFonts w:ascii="Palatino Linotype" w:hAnsi="Palatino Linotype"/>
          <w:b/>
          <w:sz w:val="22"/>
          <w:szCs w:val="22"/>
        </w:rPr>
        <w:t xml:space="preserve"> </w:t>
      </w:r>
      <w:r w:rsidR="002B6C3E">
        <w:rPr>
          <w:rFonts w:ascii="Palatino Linotype" w:hAnsi="Palatino Linotype"/>
          <w:b/>
          <w:sz w:val="22"/>
          <w:szCs w:val="22"/>
        </w:rPr>
        <w:t>TBD:  To be updated in later version of Project Charter</w:t>
      </w:r>
    </w:p>
    <w:tbl>
      <w:tblPr>
        <w:tblStyle w:val="TableGrid"/>
        <w:tblW w:w="0" w:type="auto"/>
        <w:tblInd w:w="720" w:type="dxa"/>
        <w:tblLook w:val="04A0" w:firstRow="1" w:lastRow="0" w:firstColumn="1" w:lastColumn="0" w:noHBand="0" w:noVBand="1"/>
      </w:tblPr>
      <w:tblGrid>
        <w:gridCol w:w="2344"/>
        <w:gridCol w:w="3361"/>
        <w:gridCol w:w="3151"/>
      </w:tblGrid>
      <w:tr w:rsidR="00B67B37" w:rsidRPr="00A5106D" w14:paraId="6CB25A4F" w14:textId="77777777" w:rsidTr="00BC63AE">
        <w:tc>
          <w:tcPr>
            <w:tcW w:w="2344" w:type="dxa"/>
            <w:shd w:val="clear" w:color="auto" w:fill="A6A6A6" w:themeFill="background1" w:themeFillShade="A6"/>
          </w:tcPr>
          <w:p w14:paraId="6CB25A4C" w14:textId="77777777" w:rsidR="00B67B37" w:rsidRPr="00A5106D" w:rsidRDefault="00B67B37" w:rsidP="00BC63AE">
            <w:pPr>
              <w:pStyle w:val="TableHead"/>
            </w:pPr>
            <w:r>
              <w:t>Market Manuals</w:t>
            </w:r>
          </w:p>
        </w:tc>
        <w:tc>
          <w:tcPr>
            <w:tcW w:w="3361" w:type="dxa"/>
            <w:shd w:val="clear" w:color="auto" w:fill="A6A6A6" w:themeFill="background1" w:themeFillShade="A6"/>
          </w:tcPr>
          <w:p w14:paraId="6CB25A4D" w14:textId="77777777" w:rsidR="00B67B37" w:rsidRPr="00A5106D" w:rsidRDefault="00B67B37" w:rsidP="00BC63AE">
            <w:pPr>
              <w:pStyle w:val="TableHead"/>
            </w:pPr>
            <w:r>
              <w:t>Title</w:t>
            </w:r>
          </w:p>
        </w:tc>
        <w:tc>
          <w:tcPr>
            <w:tcW w:w="3151" w:type="dxa"/>
            <w:shd w:val="clear" w:color="auto" w:fill="A6A6A6" w:themeFill="background1" w:themeFillShade="A6"/>
          </w:tcPr>
          <w:p w14:paraId="6CB25A4E" w14:textId="77777777" w:rsidR="00B67B37" w:rsidRDefault="00B67B37" w:rsidP="00BC63AE">
            <w:pPr>
              <w:pStyle w:val="TableHead"/>
            </w:pPr>
            <w:r>
              <w:t>Impact</w:t>
            </w:r>
          </w:p>
        </w:tc>
      </w:tr>
      <w:tr w:rsidR="00B67B37" w14:paraId="6CB25A53" w14:textId="77777777" w:rsidTr="00BC63AE">
        <w:tc>
          <w:tcPr>
            <w:tcW w:w="2344" w:type="dxa"/>
          </w:tcPr>
          <w:p w14:paraId="6CB25A50" w14:textId="77777777" w:rsidR="00B67B37" w:rsidRDefault="00B67B37" w:rsidP="00BC63AE"/>
        </w:tc>
        <w:tc>
          <w:tcPr>
            <w:tcW w:w="3361" w:type="dxa"/>
          </w:tcPr>
          <w:p w14:paraId="6CB25A51" w14:textId="77777777" w:rsidR="00B67B37" w:rsidRDefault="00B67B37" w:rsidP="00BC63AE">
            <w:pPr>
              <w:pStyle w:val="ListParagraph"/>
              <w:spacing w:before="0"/>
              <w:ind w:left="353"/>
            </w:pPr>
          </w:p>
        </w:tc>
        <w:tc>
          <w:tcPr>
            <w:tcW w:w="3151" w:type="dxa"/>
          </w:tcPr>
          <w:p w14:paraId="6CB25A52" w14:textId="77777777" w:rsidR="00B67B37" w:rsidRDefault="00B67B37" w:rsidP="00BC63AE">
            <w:pPr>
              <w:pStyle w:val="ListParagraph"/>
              <w:spacing w:before="0"/>
              <w:ind w:left="353"/>
            </w:pPr>
          </w:p>
        </w:tc>
      </w:tr>
      <w:tr w:rsidR="00B67B37" w14:paraId="6CB25A57" w14:textId="77777777" w:rsidTr="00BC63AE">
        <w:tc>
          <w:tcPr>
            <w:tcW w:w="2344" w:type="dxa"/>
          </w:tcPr>
          <w:p w14:paraId="6CB25A54" w14:textId="77777777" w:rsidR="00B67B37" w:rsidRDefault="00B67B37" w:rsidP="00BC63AE"/>
        </w:tc>
        <w:tc>
          <w:tcPr>
            <w:tcW w:w="3361" w:type="dxa"/>
          </w:tcPr>
          <w:p w14:paraId="6CB25A55" w14:textId="77777777" w:rsidR="00B67B37" w:rsidRDefault="00B67B37" w:rsidP="00BC63AE"/>
        </w:tc>
        <w:tc>
          <w:tcPr>
            <w:tcW w:w="3151" w:type="dxa"/>
          </w:tcPr>
          <w:p w14:paraId="6CB25A56" w14:textId="77777777" w:rsidR="00B67B37" w:rsidRDefault="00B67B37" w:rsidP="00BC63AE"/>
        </w:tc>
      </w:tr>
      <w:tr w:rsidR="00B67B37" w14:paraId="6CB25A5B" w14:textId="77777777" w:rsidTr="00BC63AE">
        <w:tc>
          <w:tcPr>
            <w:tcW w:w="2344" w:type="dxa"/>
          </w:tcPr>
          <w:p w14:paraId="6CB25A58" w14:textId="77777777" w:rsidR="00B67B37" w:rsidRDefault="00B67B37" w:rsidP="00BC63AE"/>
        </w:tc>
        <w:tc>
          <w:tcPr>
            <w:tcW w:w="3361" w:type="dxa"/>
          </w:tcPr>
          <w:p w14:paraId="6CB25A59" w14:textId="77777777" w:rsidR="00B67B37" w:rsidRDefault="00B67B37" w:rsidP="00BC63AE"/>
        </w:tc>
        <w:tc>
          <w:tcPr>
            <w:tcW w:w="3151" w:type="dxa"/>
          </w:tcPr>
          <w:p w14:paraId="6CB25A5A" w14:textId="77777777" w:rsidR="00B67B37" w:rsidRDefault="00B67B37" w:rsidP="00BC63AE"/>
        </w:tc>
      </w:tr>
      <w:tr w:rsidR="00B67B37" w14:paraId="6CB25A5F" w14:textId="77777777" w:rsidTr="00BC63AE">
        <w:tc>
          <w:tcPr>
            <w:tcW w:w="2344" w:type="dxa"/>
          </w:tcPr>
          <w:p w14:paraId="6CB25A5C" w14:textId="77777777" w:rsidR="00B67B37" w:rsidRDefault="00B67B37" w:rsidP="00BC63AE"/>
        </w:tc>
        <w:tc>
          <w:tcPr>
            <w:tcW w:w="3361" w:type="dxa"/>
          </w:tcPr>
          <w:p w14:paraId="6CB25A5D" w14:textId="77777777" w:rsidR="00B67B37" w:rsidRDefault="00B67B37" w:rsidP="00BC63AE"/>
        </w:tc>
        <w:tc>
          <w:tcPr>
            <w:tcW w:w="3151" w:type="dxa"/>
          </w:tcPr>
          <w:p w14:paraId="6CB25A5E" w14:textId="77777777" w:rsidR="00B67B37" w:rsidRDefault="00B67B37" w:rsidP="00BC63AE"/>
        </w:tc>
      </w:tr>
    </w:tbl>
    <w:p w14:paraId="6CB25A60" w14:textId="77777777" w:rsidR="00DC7FB3" w:rsidRPr="00CB2D06" w:rsidRDefault="00DC7FB3" w:rsidP="00CB2D06">
      <w:pPr>
        <w:spacing w:before="0"/>
        <w:ind w:left="720" w:firstLine="576"/>
        <w:rPr>
          <w:rFonts w:ascii="Palatino Linotype" w:hAnsi="Palatino Linotype"/>
          <w:sz w:val="22"/>
          <w:szCs w:val="22"/>
        </w:rPr>
      </w:pPr>
    </w:p>
    <w:p w14:paraId="6CB25A61" w14:textId="77777777" w:rsidR="00BE4D8E" w:rsidRDefault="00BE4D8E" w:rsidP="00613184">
      <w:pPr>
        <w:pStyle w:val="Heading2"/>
      </w:pPr>
      <w:r>
        <w:t>Out of Scope</w:t>
      </w:r>
    </w:p>
    <w:p w14:paraId="6CB25A62" w14:textId="77777777" w:rsidR="005B09E4" w:rsidRDefault="0095550A" w:rsidP="00A02EDF">
      <w:pPr>
        <w:spacing w:before="120" w:after="120"/>
        <w:ind w:left="720"/>
        <w:rPr>
          <w:rFonts w:ascii="Palatino Linotype" w:hAnsi="Palatino Linotype"/>
          <w:sz w:val="22"/>
          <w:szCs w:val="22"/>
          <w:lang w:eastAsia="en-CA"/>
        </w:rPr>
      </w:pPr>
      <w:r>
        <w:rPr>
          <w:rFonts w:ascii="Palatino Linotype" w:hAnsi="Palatino Linotype"/>
          <w:sz w:val="22"/>
          <w:szCs w:val="22"/>
          <w:lang w:eastAsia="en-CA"/>
        </w:rPr>
        <w:t>The following items are out of scope for the</w:t>
      </w:r>
      <w:r w:rsidR="00FB22D8">
        <w:rPr>
          <w:rFonts w:ascii="Palatino Linotype" w:hAnsi="Palatino Linotype"/>
          <w:sz w:val="22"/>
          <w:szCs w:val="22"/>
          <w:lang w:eastAsia="en-CA"/>
        </w:rPr>
        <w:t xml:space="preserve"> entire</w:t>
      </w:r>
      <w:r>
        <w:rPr>
          <w:rFonts w:ascii="Palatino Linotype" w:hAnsi="Palatino Linotype"/>
          <w:sz w:val="22"/>
          <w:szCs w:val="22"/>
          <w:lang w:eastAsia="en-CA"/>
        </w:rPr>
        <w:t xml:space="preserve"> </w:t>
      </w:r>
      <w:r w:rsidR="00E21A3D">
        <w:rPr>
          <w:rFonts w:ascii="Palatino Linotype" w:hAnsi="Palatino Linotype"/>
          <w:sz w:val="22"/>
          <w:szCs w:val="22"/>
          <w:lang w:eastAsia="en-CA"/>
        </w:rPr>
        <w:t xml:space="preserve">TCA </w:t>
      </w:r>
      <w:r>
        <w:rPr>
          <w:rFonts w:ascii="Palatino Linotype" w:hAnsi="Palatino Linotype"/>
          <w:sz w:val="22"/>
          <w:szCs w:val="22"/>
          <w:lang w:eastAsia="en-CA"/>
        </w:rPr>
        <w:t>project</w:t>
      </w:r>
      <w:r w:rsidR="005B09E4">
        <w:rPr>
          <w:rFonts w:ascii="Palatino Linotype" w:hAnsi="Palatino Linotype"/>
          <w:sz w:val="22"/>
          <w:szCs w:val="22"/>
          <w:lang w:eastAsia="en-CA"/>
        </w:rPr>
        <w:t>:</w:t>
      </w:r>
    </w:p>
    <w:p w14:paraId="6CB25A63" w14:textId="77777777" w:rsidR="005B09E4" w:rsidRPr="008429A0" w:rsidRDefault="0095550A" w:rsidP="009C3721">
      <w:pPr>
        <w:pStyle w:val="ListParagraph"/>
        <w:numPr>
          <w:ilvl w:val="0"/>
          <w:numId w:val="39"/>
        </w:numPr>
        <w:spacing w:before="120" w:after="120"/>
        <w:rPr>
          <w:rFonts w:ascii="Palatino Linotype" w:hAnsi="Palatino Linotype"/>
          <w:sz w:val="22"/>
          <w:szCs w:val="22"/>
          <w:lang w:eastAsia="en-CA"/>
        </w:rPr>
      </w:pPr>
      <w:r w:rsidRPr="00E9582D">
        <w:rPr>
          <w:rFonts w:ascii="Palatino Linotype" w:hAnsi="Palatino Linotype"/>
        </w:rPr>
        <w:t xml:space="preserve">Market rule, market manual, and system changes to </w:t>
      </w:r>
      <w:r w:rsidR="005B09E4" w:rsidRPr="00E9582D">
        <w:rPr>
          <w:rFonts w:ascii="Palatino Linotype" w:hAnsi="Palatino Linotype"/>
        </w:rPr>
        <w:t xml:space="preserve">enabling </w:t>
      </w:r>
      <w:r w:rsidRPr="00E9582D">
        <w:rPr>
          <w:rFonts w:ascii="Palatino Linotype" w:hAnsi="Palatino Linotype"/>
        </w:rPr>
        <w:t xml:space="preserve">participation of </w:t>
      </w:r>
      <w:r w:rsidR="005B09E4" w:rsidRPr="00E9582D">
        <w:rPr>
          <w:rFonts w:ascii="Palatino Linotype" w:hAnsi="Palatino Linotype"/>
        </w:rPr>
        <w:t xml:space="preserve">new entrants </w:t>
      </w:r>
      <w:r w:rsidRPr="00E9582D">
        <w:rPr>
          <w:rFonts w:ascii="Palatino Linotype" w:hAnsi="Palatino Linotype"/>
        </w:rPr>
        <w:t xml:space="preserve">in </w:t>
      </w:r>
      <w:r w:rsidR="005B09E4" w:rsidRPr="00E9582D">
        <w:rPr>
          <w:rFonts w:ascii="Palatino Linotype" w:hAnsi="Palatino Linotype"/>
        </w:rPr>
        <w:t>the IESO</w:t>
      </w:r>
      <w:r w:rsidRPr="00E9582D">
        <w:rPr>
          <w:rFonts w:ascii="Palatino Linotype" w:hAnsi="Palatino Linotype"/>
        </w:rPr>
        <w:t>–administered markets</w:t>
      </w:r>
    </w:p>
    <w:p w14:paraId="6CB25A64" w14:textId="77777777" w:rsidR="005B09E4" w:rsidRPr="008429A0" w:rsidRDefault="0095550A" w:rsidP="009C3721">
      <w:pPr>
        <w:pStyle w:val="ListParagraph"/>
        <w:numPr>
          <w:ilvl w:val="0"/>
          <w:numId w:val="39"/>
        </w:numPr>
        <w:spacing w:before="120" w:after="120"/>
        <w:rPr>
          <w:rFonts w:ascii="Palatino Linotype" w:hAnsi="Palatino Linotype"/>
          <w:sz w:val="22"/>
          <w:szCs w:val="22"/>
          <w:lang w:eastAsia="en-CA"/>
        </w:rPr>
      </w:pPr>
      <w:r w:rsidRPr="00E9582D">
        <w:rPr>
          <w:rFonts w:ascii="Palatino Linotype" w:hAnsi="Palatino Linotype"/>
        </w:rPr>
        <w:t xml:space="preserve">Pre-auction </w:t>
      </w:r>
      <w:r w:rsidR="005B09E4" w:rsidRPr="00E9582D">
        <w:rPr>
          <w:rFonts w:ascii="Palatino Linotype" w:hAnsi="Palatino Linotype"/>
        </w:rPr>
        <w:t xml:space="preserve">capacity </w:t>
      </w:r>
      <w:r w:rsidRPr="00E9582D">
        <w:rPr>
          <w:rFonts w:ascii="Palatino Linotype" w:hAnsi="Palatino Linotype"/>
        </w:rPr>
        <w:t xml:space="preserve">verification for individual resources as part of capacity </w:t>
      </w:r>
      <w:r w:rsidR="005B09E4" w:rsidRPr="00E9582D">
        <w:rPr>
          <w:rFonts w:ascii="Palatino Linotype" w:hAnsi="Palatino Linotype"/>
        </w:rPr>
        <w:t>qualification.</w:t>
      </w:r>
    </w:p>
    <w:p w14:paraId="6CB25A65" w14:textId="77777777" w:rsidR="005B09E4" w:rsidRPr="008429A0" w:rsidRDefault="005B09E4" w:rsidP="009C3721">
      <w:pPr>
        <w:pStyle w:val="ListParagraph"/>
        <w:numPr>
          <w:ilvl w:val="0"/>
          <w:numId w:val="39"/>
        </w:numPr>
        <w:spacing w:before="120" w:after="120"/>
        <w:rPr>
          <w:rFonts w:ascii="Palatino Linotype" w:hAnsi="Palatino Linotype"/>
          <w:sz w:val="22"/>
          <w:szCs w:val="22"/>
          <w:lang w:eastAsia="en-CA"/>
        </w:rPr>
      </w:pPr>
      <w:r w:rsidRPr="00E9582D">
        <w:rPr>
          <w:rFonts w:ascii="Palatino Linotype" w:hAnsi="Palatino Linotype"/>
        </w:rPr>
        <w:t>Work related to minimum hour of dispatch.</w:t>
      </w:r>
    </w:p>
    <w:p w14:paraId="6CB25A66" w14:textId="77777777" w:rsidR="005B09E4" w:rsidRPr="008429A0" w:rsidRDefault="0095550A" w:rsidP="009C3721">
      <w:pPr>
        <w:pStyle w:val="ListParagraph"/>
        <w:numPr>
          <w:ilvl w:val="0"/>
          <w:numId w:val="39"/>
        </w:numPr>
        <w:spacing w:before="120" w:after="120"/>
        <w:rPr>
          <w:rFonts w:ascii="Palatino Linotype" w:hAnsi="Palatino Linotype"/>
          <w:sz w:val="22"/>
          <w:szCs w:val="22"/>
          <w:lang w:eastAsia="en-CA"/>
        </w:rPr>
      </w:pPr>
      <w:r w:rsidRPr="00E9582D">
        <w:rPr>
          <w:rFonts w:ascii="Palatino Linotype" w:hAnsi="Palatino Linotype"/>
        </w:rPr>
        <w:t xml:space="preserve">Seasonal </w:t>
      </w:r>
      <w:r w:rsidR="005B09E4" w:rsidRPr="00E9582D">
        <w:rPr>
          <w:rFonts w:ascii="Palatino Linotype" w:hAnsi="Palatino Linotype"/>
        </w:rPr>
        <w:t>co-optimization</w:t>
      </w:r>
      <w:r w:rsidRPr="00E9582D">
        <w:rPr>
          <w:rFonts w:ascii="Palatino Linotype" w:hAnsi="Palatino Linotype"/>
        </w:rPr>
        <w:t xml:space="preserve"> within the auction engine</w:t>
      </w:r>
      <w:r w:rsidR="005B09E4" w:rsidRPr="00E9582D">
        <w:rPr>
          <w:rFonts w:ascii="Palatino Linotype" w:hAnsi="Palatino Linotype"/>
        </w:rPr>
        <w:t>.</w:t>
      </w:r>
    </w:p>
    <w:p w14:paraId="6CB25A67" w14:textId="77777777" w:rsidR="005B09E4" w:rsidRPr="008429A0" w:rsidRDefault="0095550A" w:rsidP="009C3721">
      <w:pPr>
        <w:pStyle w:val="ListParagraph"/>
        <w:numPr>
          <w:ilvl w:val="0"/>
          <w:numId w:val="39"/>
        </w:numPr>
        <w:spacing w:before="120" w:after="120"/>
        <w:rPr>
          <w:rFonts w:ascii="Palatino Linotype" w:hAnsi="Palatino Linotype"/>
          <w:sz w:val="22"/>
          <w:szCs w:val="22"/>
          <w:lang w:eastAsia="en-CA"/>
        </w:rPr>
      </w:pPr>
      <w:r w:rsidRPr="00E9582D">
        <w:rPr>
          <w:rFonts w:ascii="Palatino Linotype" w:hAnsi="Palatino Linotype"/>
        </w:rPr>
        <w:t>R</w:t>
      </w:r>
      <w:r w:rsidR="005B09E4" w:rsidRPr="00E9582D">
        <w:rPr>
          <w:rFonts w:ascii="Palatino Linotype" w:hAnsi="Palatino Linotype"/>
        </w:rPr>
        <w:t>ebalancing auctions</w:t>
      </w:r>
      <w:r w:rsidRPr="00E9582D">
        <w:rPr>
          <w:rFonts w:ascii="Palatino Linotype" w:hAnsi="Palatino Linotype"/>
        </w:rPr>
        <w:t xml:space="preserve"> in between TCA auctions</w:t>
      </w:r>
      <w:r w:rsidR="005B09E4" w:rsidRPr="00E9582D">
        <w:rPr>
          <w:rFonts w:ascii="Palatino Linotype" w:hAnsi="Palatino Linotype"/>
        </w:rPr>
        <w:t xml:space="preserve">.   </w:t>
      </w:r>
    </w:p>
    <w:p w14:paraId="6CB25A68" w14:textId="77777777" w:rsidR="005B09E4" w:rsidRPr="008429A0" w:rsidRDefault="0095550A" w:rsidP="009C3721">
      <w:pPr>
        <w:pStyle w:val="ListParagraph"/>
        <w:numPr>
          <w:ilvl w:val="0"/>
          <w:numId w:val="39"/>
        </w:numPr>
        <w:spacing w:before="120" w:after="120"/>
        <w:rPr>
          <w:rFonts w:ascii="Palatino Linotype" w:hAnsi="Palatino Linotype"/>
          <w:sz w:val="22"/>
          <w:szCs w:val="22"/>
          <w:lang w:eastAsia="en-CA"/>
        </w:rPr>
      </w:pPr>
      <w:r w:rsidRPr="00E9582D">
        <w:rPr>
          <w:rFonts w:ascii="Palatino Linotype" w:hAnsi="Palatino Linotype"/>
        </w:rPr>
        <w:t>Enabling participation in the auction by new-build generation facilities.</w:t>
      </w:r>
    </w:p>
    <w:p w14:paraId="6CB25A69" w14:textId="77777777" w:rsidR="005B09E4" w:rsidRPr="008429A0" w:rsidRDefault="0095550A" w:rsidP="009C3721">
      <w:pPr>
        <w:pStyle w:val="ListParagraph"/>
        <w:numPr>
          <w:ilvl w:val="0"/>
          <w:numId w:val="39"/>
        </w:numPr>
        <w:spacing w:before="120" w:after="120"/>
        <w:rPr>
          <w:rFonts w:ascii="Palatino Linotype" w:hAnsi="Palatino Linotype"/>
          <w:sz w:val="22"/>
          <w:szCs w:val="22"/>
          <w:lang w:eastAsia="en-CA"/>
        </w:rPr>
      </w:pPr>
      <w:r w:rsidRPr="00E9582D">
        <w:rPr>
          <w:rFonts w:ascii="Palatino Linotype" w:hAnsi="Palatino Linotype"/>
        </w:rPr>
        <w:t>Delisting processes for existing generators</w:t>
      </w:r>
      <w:r w:rsidR="005B09E4" w:rsidRPr="00E9582D">
        <w:rPr>
          <w:rFonts w:ascii="Palatino Linotype" w:hAnsi="Palatino Linotype"/>
        </w:rPr>
        <w:t>.</w:t>
      </w:r>
    </w:p>
    <w:p w14:paraId="6CB25A6A" w14:textId="77777777" w:rsidR="00E21A3D" w:rsidRPr="008429A0" w:rsidRDefault="00E2741F" w:rsidP="009C3721">
      <w:pPr>
        <w:pStyle w:val="ListParagraph"/>
        <w:numPr>
          <w:ilvl w:val="0"/>
          <w:numId w:val="39"/>
        </w:numPr>
        <w:spacing w:before="120" w:after="120"/>
        <w:rPr>
          <w:rFonts w:ascii="Palatino Linotype" w:hAnsi="Palatino Linotype"/>
          <w:sz w:val="22"/>
          <w:szCs w:val="22"/>
          <w:lang w:eastAsia="en-CA"/>
        </w:rPr>
      </w:pPr>
      <w:r w:rsidRPr="00E9582D">
        <w:rPr>
          <w:rFonts w:ascii="Palatino Linotype" w:hAnsi="Palatino Linotype"/>
        </w:rPr>
        <w:t>E</w:t>
      </w:r>
      <w:r w:rsidR="005B09E4" w:rsidRPr="00E9582D">
        <w:rPr>
          <w:rFonts w:ascii="Palatino Linotype" w:hAnsi="Palatino Linotype"/>
        </w:rPr>
        <w:t xml:space="preserve">nhancing </w:t>
      </w:r>
      <w:r w:rsidRPr="00E9582D">
        <w:rPr>
          <w:rFonts w:ascii="Palatino Linotype" w:hAnsi="Palatino Linotype"/>
        </w:rPr>
        <w:t xml:space="preserve">performance </w:t>
      </w:r>
      <w:r w:rsidR="005B09E4" w:rsidRPr="00E9582D">
        <w:rPr>
          <w:rFonts w:ascii="Palatino Linotype" w:hAnsi="Palatino Linotype"/>
        </w:rPr>
        <w:t>obligations, assessment and non-performance implications.</w:t>
      </w:r>
    </w:p>
    <w:p w14:paraId="6CB25A6B" w14:textId="77777777" w:rsidR="005B09E4" w:rsidRPr="008429A0" w:rsidRDefault="005B09E4" w:rsidP="00A02EDF">
      <w:pPr>
        <w:spacing w:before="120" w:after="120"/>
        <w:ind w:left="720"/>
        <w:rPr>
          <w:rFonts w:ascii="Palatino Linotype" w:hAnsi="Palatino Linotype"/>
          <w:sz w:val="22"/>
          <w:szCs w:val="22"/>
          <w:lang w:eastAsia="en-CA"/>
        </w:rPr>
      </w:pPr>
    </w:p>
    <w:p w14:paraId="6AE5B9E3" w14:textId="77777777" w:rsidR="000C12D3" w:rsidRDefault="000C12D3">
      <w:pPr>
        <w:spacing w:before="0"/>
        <w:rPr>
          <w:rFonts w:ascii="Cambria" w:eastAsiaTheme="majorEastAsia" w:hAnsi="Cambria" w:cstheme="majorBidi"/>
          <w:b/>
          <w:sz w:val="24"/>
          <w:szCs w:val="24"/>
        </w:rPr>
      </w:pPr>
      <w:r>
        <w:br w:type="page"/>
      </w:r>
    </w:p>
    <w:p w14:paraId="6CB25A6C" w14:textId="26677AFB" w:rsidR="00BE4D8E" w:rsidRPr="00C83E1C" w:rsidRDefault="00BE4D8E" w:rsidP="00613184">
      <w:pPr>
        <w:pStyle w:val="Heading2"/>
      </w:pPr>
      <w:r>
        <w:lastRenderedPageBreak/>
        <w:t>Overall Project Timeline</w:t>
      </w:r>
    </w:p>
    <w:p w14:paraId="6CB25A6D" w14:textId="77777777" w:rsidR="00851BF4" w:rsidRDefault="00851BF4" w:rsidP="00851BF4">
      <w:pPr>
        <w:spacing w:before="0"/>
        <w:ind w:left="720" w:firstLine="576"/>
        <w:rPr>
          <w:rFonts w:ascii="Palatino Linotype" w:hAnsi="Palatino Linotype"/>
          <w:sz w:val="22"/>
          <w:szCs w:val="22"/>
        </w:rPr>
      </w:pPr>
      <w:r>
        <w:rPr>
          <w:rFonts w:ascii="Palatino Linotype" w:hAnsi="Palatino Linotype"/>
          <w:sz w:val="22"/>
          <w:szCs w:val="22"/>
        </w:rPr>
        <w:tab/>
      </w:r>
    </w:p>
    <w:p w14:paraId="6CB25A6E" w14:textId="77777777" w:rsidR="008C08B6" w:rsidRPr="00BA3A2C" w:rsidRDefault="008C08B6" w:rsidP="00851BF4">
      <w:pPr>
        <w:spacing w:before="0"/>
        <w:ind w:left="720" w:firstLine="576"/>
        <w:rPr>
          <w:rFonts w:ascii="Palatino Linotype" w:hAnsi="Palatino Linotype"/>
          <w:b/>
          <w:sz w:val="22"/>
          <w:szCs w:val="22"/>
        </w:rPr>
      </w:pPr>
      <w:r w:rsidRPr="00BA3A2C">
        <w:rPr>
          <w:rFonts w:ascii="Palatino Linotype" w:hAnsi="Palatino Linotype"/>
          <w:b/>
          <w:sz w:val="22"/>
          <w:szCs w:val="22"/>
        </w:rPr>
        <w:t>TCA Schedule Phase 1</w:t>
      </w:r>
      <w:r w:rsidR="00BA3A2C" w:rsidRPr="00BA3A2C">
        <w:rPr>
          <w:rFonts w:ascii="Palatino Linotype" w:hAnsi="Palatino Linotype"/>
          <w:b/>
          <w:sz w:val="22"/>
          <w:szCs w:val="22"/>
        </w:rPr>
        <w:t>:</w:t>
      </w:r>
    </w:p>
    <w:p w14:paraId="6CB25A71" w14:textId="77777777" w:rsidR="008C08B6" w:rsidRDefault="008C08B6" w:rsidP="00851BF4">
      <w:pPr>
        <w:spacing w:before="0"/>
        <w:ind w:left="720" w:firstLine="576"/>
        <w:rPr>
          <w:rFonts w:ascii="Palatino Linotype" w:hAnsi="Palatino Linotype"/>
          <w:sz w:val="22"/>
          <w:szCs w:val="22"/>
        </w:rPr>
      </w:pPr>
    </w:p>
    <w:p w14:paraId="6CB25A72" w14:textId="77777777" w:rsidR="00BA3A2C" w:rsidRDefault="00BA3A2C" w:rsidP="00BA3A2C">
      <w:pPr>
        <w:spacing w:before="0"/>
        <w:ind w:left="720" w:firstLine="576"/>
        <w:rPr>
          <w:rFonts w:ascii="Palatino Linotype" w:hAnsi="Palatino Linotype"/>
          <w:sz w:val="22"/>
          <w:szCs w:val="22"/>
        </w:rPr>
      </w:pPr>
    </w:p>
    <w:p w14:paraId="6CB25A73" w14:textId="77777777" w:rsidR="00BA3A2C" w:rsidRDefault="003C1E09" w:rsidP="00BA3A2C">
      <w:pPr>
        <w:spacing w:before="0"/>
        <w:ind w:left="720" w:firstLine="576"/>
        <w:rPr>
          <w:rFonts w:ascii="Palatino Linotype" w:hAnsi="Palatino Linotype"/>
          <w:sz w:val="22"/>
          <w:szCs w:val="22"/>
        </w:rPr>
      </w:pPr>
      <w:r w:rsidRPr="003C1E09">
        <w:rPr>
          <w:noProof/>
          <w:lang w:val="en-CA" w:eastAsia="en-CA"/>
        </w:rPr>
        <w:drawing>
          <wp:inline distT="0" distB="0" distL="0" distR="0" wp14:anchorId="6CB25CEB" wp14:editId="6CB25CEC">
            <wp:extent cx="5943600" cy="4625471"/>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625471"/>
                    </a:xfrm>
                    <a:prstGeom prst="rect">
                      <a:avLst/>
                    </a:prstGeom>
                    <a:noFill/>
                    <a:ln>
                      <a:noFill/>
                    </a:ln>
                  </pic:spPr>
                </pic:pic>
              </a:graphicData>
            </a:graphic>
          </wp:inline>
        </w:drawing>
      </w:r>
    </w:p>
    <w:p w14:paraId="6CB25A74" w14:textId="77777777" w:rsidR="00BA3A2C" w:rsidRDefault="00BA3A2C" w:rsidP="00BA3A2C">
      <w:pPr>
        <w:spacing w:before="0"/>
        <w:ind w:left="720" w:firstLine="576"/>
        <w:rPr>
          <w:rFonts w:ascii="Palatino Linotype" w:hAnsi="Palatino Linotype"/>
          <w:sz w:val="22"/>
          <w:szCs w:val="22"/>
        </w:rPr>
      </w:pPr>
    </w:p>
    <w:p w14:paraId="6CB25A75" w14:textId="77777777" w:rsidR="00BA3A2C" w:rsidRDefault="00BA3A2C" w:rsidP="00BA3A2C">
      <w:pPr>
        <w:spacing w:before="0"/>
        <w:ind w:left="720" w:firstLine="576"/>
        <w:rPr>
          <w:rFonts w:ascii="Palatino Linotype" w:hAnsi="Palatino Linotype"/>
          <w:sz w:val="22"/>
          <w:szCs w:val="22"/>
        </w:rPr>
      </w:pPr>
    </w:p>
    <w:p w14:paraId="6CB25A76" w14:textId="77777777" w:rsidR="00BA3A2C" w:rsidRDefault="00BA3A2C" w:rsidP="00BA3A2C">
      <w:pPr>
        <w:spacing w:before="0"/>
        <w:ind w:left="720" w:firstLine="576"/>
        <w:rPr>
          <w:rFonts w:ascii="Palatino Linotype" w:hAnsi="Palatino Linotype"/>
          <w:sz w:val="22"/>
          <w:szCs w:val="22"/>
        </w:rPr>
      </w:pPr>
    </w:p>
    <w:p w14:paraId="6CB25A77" w14:textId="77777777" w:rsidR="00D42CEE" w:rsidRDefault="00D42CEE" w:rsidP="00AA7508">
      <w:pPr>
        <w:tabs>
          <w:tab w:val="left" w:pos="900"/>
          <w:tab w:val="left" w:pos="1260"/>
        </w:tabs>
        <w:spacing w:before="0"/>
        <w:ind w:left="1260"/>
        <w:rPr>
          <w:rFonts w:ascii="Palatino Linotype" w:hAnsi="Palatino Linotype"/>
          <w:sz w:val="22"/>
          <w:szCs w:val="22"/>
        </w:rPr>
      </w:pPr>
      <w:r>
        <w:rPr>
          <w:rFonts w:ascii="Palatino Linotype" w:hAnsi="Palatino Linotype"/>
          <w:sz w:val="22"/>
          <w:szCs w:val="22"/>
        </w:rPr>
        <w:t>Phase 1 schedule: March 01 2019 to December 31 2019</w:t>
      </w:r>
    </w:p>
    <w:p w14:paraId="6CB25A78" w14:textId="77777777" w:rsidR="00BA3A2C" w:rsidRDefault="00D42CEE" w:rsidP="00AA7508">
      <w:pPr>
        <w:spacing w:before="0"/>
        <w:ind w:left="1260"/>
        <w:rPr>
          <w:rFonts w:ascii="Palatino Linotype" w:hAnsi="Palatino Linotype"/>
          <w:sz w:val="22"/>
          <w:szCs w:val="22"/>
        </w:rPr>
      </w:pPr>
      <w:r>
        <w:rPr>
          <w:rFonts w:ascii="Palatino Linotype" w:hAnsi="Palatino Linotype"/>
          <w:sz w:val="22"/>
          <w:szCs w:val="22"/>
        </w:rPr>
        <w:t>Phase 1 s</w:t>
      </w:r>
      <w:r w:rsidR="00332F54">
        <w:rPr>
          <w:rFonts w:ascii="Palatino Linotype" w:hAnsi="Palatino Linotype"/>
          <w:sz w:val="22"/>
          <w:szCs w:val="22"/>
        </w:rPr>
        <w:t>chedule contingency:  Jan 1,</w:t>
      </w:r>
      <w:r>
        <w:rPr>
          <w:rFonts w:ascii="Palatino Linotype" w:hAnsi="Palatino Linotype"/>
          <w:sz w:val="22"/>
          <w:szCs w:val="22"/>
        </w:rPr>
        <w:t xml:space="preserve"> 2020 to Apr</w:t>
      </w:r>
      <w:r w:rsidR="00332F54">
        <w:rPr>
          <w:rFonts w:ascii="Palatino Linotype" w:hAnsi="Palatino Linotype"/>
          <w:sz w:val="22"/>
          <w:szCs w:val="22"/>
        </w:rPr>
        <w:t xml:space="preserve"> 3</w:t>
      </w:r>
      <w:r>
        <w:rPr>
          <w:rFonts w:ascii="Palatino Linotype" w:hAnsi="Palatino Linotype"/>
          <w:sz w:val="22"/>
          <w:szCs w:val="22"/>
        </w:rPr>
        <w:t>0</w:t>
      </w:r>
      <w:r w:rsidR="00332F54">
        <w:rPr>
          <w:rFonts w:ascii="Palatino Linotype" w:hAnsi="Palatino Linotype"/>
          <w:sz w:val="22"/>
          <w:szCs w:val="22"/>
        </w:rPr>
        <w:t>, 202</w:t>
      </w:r>
      <w:r>
        <w:rPr>
          <w:rFonts w:ascii="Palatino Linotype" w:hAnsi="Palatino Linotype"/>
          <w:sz w:val="22"/>
          <w:szCs w:val="22"/>
        </w:rPr>
        <w:t>1</w:t>
      </w:r>
      <w:r w:rsidR="00E71D54">
        <w:rPr>
          <w:rFonts w:ascii="Palatino Linotype" w:hAnsi="Palatino Linotype"/>
          <w:sz w:val="22"/>
          <w:szCs w:val="22"/>
        </w:rPr>
        <w:t xml:space="preserve"> (when commitment period starts)</w:t>
      </w:r>
    </w:p>
    <w:p w14:paraId="6CB25A79" w14:textId="77777777" w:rsidR="00BA3A2C" w:rsidRDefault="00BA3A2C" w:rsidP="00BA3A2C">
      <w:pPr>
        <w:spacing w:before="0"/>
        <w:ind w:left="720" w:firstLine="576"/>
        <w:rPr>
          <w:rFonts w:ascii="Palatino Linotype" w:hAnsi="Palatino Linotype"/>
          <w:sz w:val="22"/>
          <w:szCs w:val="22"/>
        </w:rPr>
      </w:pPr>
    </w:p>
    <w:p w14:paraId="6CB25A7A" w14:textId="77777777" w:rsidR="00BA3A2C" w:rsidRDefault="00BA3A2C" w:rsidP="00BA3A2C">
      <w:pPr>
        <w:spacing w:before="0"/>
        <w:ind w:left="720" w:firstLine="576"/>
        <w:rPr>
          <w:rFonts w:ascii="Palatino Linotype" w:hAnsi="Palatino Linotype"/>
          <w:sz w:val="22"/>
          <w:szCs w:val="22"/>
        </w:rPr>
      </w:pPr>
    </w:p>
    <w:p w14:paraId="6CB25A7B" w14:textId="77777777" w:rsidR="00BA3A2C" w:rsidRDefault="00BA3A2C" w:rsidP="00BA3A2C">
      <w:pPr>
        <w:spacing w:before="0"/>
        <w:ind w:left="720" w:firstLine="576"/>
        <w:rPr>
          <w:rFonts w:ascii="Palatino Linotype" w:hAnsi="Palatino Linotype"/>
          <w:sz w:val="22"/>
          <w:szCs w:val="22"/>
        </w:rPr>
      </w:pPr>
    </w:p>
    <w:p w14:paraId="6CB25A7C" w14:textId="77777777" w:rsidR="00BA3A2C" w:rsidRDefault="00BA3A2C" w:rsidP="00BA3A2C">
      <w:pPr>
        <w:spacing w:before="0"/>
        <w:ind w:left="720" w:firstLine="576"/>
        <w:rPr>
          <w:rFonts w:ascii="Palatino Linotype" w:hAnsi="Palatino Linotype"/>
          <w:sz w:val="22"/>
          <w:szCs w:val="22"/>
        </w:rPr>
      </w:pPr>
    </w:p>
    <w:p w14:paraId="6CB25A7E" w14:textId="0A1916FB" w:rsidR="00BA3A2C" w:rsidRDefault="00BA3A2C" w:rsidP="00CE1254">
      <w:pPr>
        <w:spacing w:before="0"/>
        <w:rPr>
          <w:rFonts w:ascii="Palatino Linotype" w:hAnsi="Palatino Linotype"/>
          <w:b/>
          <w:sz w:val="22"/>
          <w:szCs w:val="22"/>
        </w:rPr>
      </w:pPr>
      <w:r w:rsidRPr="00BA3A2C">
        <w:rPr>
          <w:rFonts w:ascii="Palatino Linotype" w:hAnsi="Palatino Linotype"/>
          <w:b/>
          <w:sz w:val="22"/>
          <w:szCs w:val="22"/>
        </w:rPr>
        <w:lastRenderedPageBreak/>
        <w:t>TCA Schedule Phase 2:</w:t>
      </w:r>
    </w:p>
    <w:p w14:paraId="4CFF03FE" w14:textId="77777777" w:rsidR="006C6656" w:rsidRDefault="006C6656" w:rsidP="00CE1254">
      <w:pPr>
        <w:spacing w:before="0"/>
        <w:rPr>
          <w:rFonts w:ascii="Palatino Linotype" w:hAnsi="Palatino Linotype"/>
          <w:b/>
          <w:sz w:val="22"/>
          <w:szCs w:val="22"/>
        </w:rPr>
      </w:pPr>
    </w:p>
    <w:p w14:paraId="6E48F4F9" w14:textId="77777777" w:rsidR="006C6656" w:rsidRPr="00BA3A2C" w:rsidRDefault="006C6656" w:rsidP="00CE1254">
      <w:pPr>
        <w:spacing w:before="0"/>
        <w:rPr>
          <w:rFonts w:ascii="Palatino Linotype" w:hAnsi="Palatino Linotype"/>
          <w:b/>
          <w:sz w:val="22"/>
          <w:szCs w:val="22"/>
        </w:rPr>
      </w:pPr>
    </w:p>
    <w:p w14:paraId="6CB25A7F" w14:textId="77777777" w:rsidR="00261D9B" w:rsidRDefault="00261D9B" w:rsidP="00BA3A2C">
      <w:pPr>
        <w:spacing w:before="0"/>
        <w:ind w:left="720" w:firstLine="576"/>
        <w:rPr>
          <w:rFonts w:ascii="Palatino Linotype" w:hAnsi="Palatino Linotype"/>
          <w:sz w:val="22"/>
          <w:szCs w:val="22"/>
        </w:rPr>
      </w:pPr>
      <w:r w:rsidRPr="00261D9B">
        <w:rPr>
          <w:noProof/>
          <w:lang w:val="en-CA" w:eastAsia="en-CA"/>
        </w:rPr>
        <w:drawing>
          <wp:inline distT="0" distB="0" distL="0" distR="0" wp14:anchorId="6CB25CED" wp14:editId="6CB25CEE">
            <wp:extent cx="5943600" cy="4102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102925"/>
                    </a:xfrm>
                    <a:prstGeom prst="rect">
                      <a:avLst/>
                    </a:prstGeom>
                    <a:noFill/>
                    <a:ln>
                      <a:noFill/>
                    </a:ln>
                  </pic:spPr>
                </pic:pic>
              </a:graphicData>
            </a:graphic>
          </wp:inline>
        </w:drawing>
      </w:r>
    </w:p>
    <w:p w14:paraId="6CB25A80" w14:textId="77777777" w:rsidR="00261D9B" w:rsidRDefault="00261D9B" w:rsidP="00261D9B">
      <w:pPr>
        <w:spacing w:before="0"/>
        <w:ind w:left="720" w:firstLine="576"/>
        <w:rPr>
          <w:rFonts w:ascii="Palatino Linotype" w:hAnsi="Palatino Linotype"/>
          <w:sz w:val="22"/>
          <w:szCs w:val="22"/>
        </w:rPr>
      </w:pPr>
    </w:p>
    <w:p w14:paraId="7FEADC27" w14:textId="77777777" w:rsidR="006C6656" w:rsidRDefault="006C6656" w:rsidP="005B485E">
      <w:pPr>
        <w:spacing w:before="0"/>
        <w:ind w:left="1260"/>
        <w:rPr>
          <w:rFonts w:ascii="Palatino Linotype" w:hAnsi="Palatino Linotype"/>
          <w:sz w:val="22"/>
          <w:szCs w:val="22"/>
        </w:rPr>
      </w:pPr>
    </w:p>
    <w:p w14:paraId="700CD35A" w14:textId="77777777" w:rsidR="006C6656" w:rsidRDefault="006C6656" w:rsidP="005B485E">
      <w:pPr>
        <w:spacing w:before="0"/>
        <w:ind w:left="1260"/>
        <w:rPr>
          <w:rFonts w:ascii="Palatino Linotype" w:hAnsi="Palatino Linotype"/>
          <w:sz w:val="22"/>
          <w:szCs w:val="22"/>
        </w:rPr>
      </w:pPr>
    </w:p>
    <w:p w14:paraId="37152865" w14:textId="77777777" w:rsidR="006C6656" w:rsidRDefault="006C6656" w:rsidP="005B485E">
      <w:pPr>
        <w:spacing w:before="0"/>
        <w:ind w:left="1260"/>
        <w:rPr>
          <w:rFonts w:ascii="Palatino Linotype" w:hAnsi="Palatino Linotype"/>
          <w:sz w:val="22"/>
          <w:szCs w:val="22"/>
        </w:rPr>
      </w:pPr>
    </w:p>
    <w:p w14:paraId="6CB25A81" w14:textId="77777777" w:rsidR="00261D9B" w:rsidRDefault="00261D9B" w:rsidP="005B485E">
      <w:pPr>
        <w:spacing w:before="0"/>
        <w:ind w:left="1260"/>
        <w:rPr>
          <w:rFonts w:ascii="Palatino Linotype" w:hAnsi="Palatino Linotype"/>
          <w:sz w:val="22"/>
          <w:szCs w:val="22"/>
        </w:rPr>
      </w:pPr>
      <w:r>
        <w:rPr>
          <w:rFonts w:ascii="Palatino Linotype" w:hAnsi="Palatino Linotype"/>
          <w:sz w:val="22"/>
          <w:szCs w:val="22"/>
        </w:rPr>
        <w:t xml:space="preserve">Phase 2a (Jun 2020 auction) schedule: April 01, 2019 to </w:t>
      </w:r>
      <w:r w:rsidR="002F6235">
        <w:rPr>
          <w:rFonts w:ascii="Palatino Linotype" w:hAnsi="Palatino Linotype"/>
          <w:sz w:val="22"/>
          <w:szCs w:val="22"/>
        </w:rPr>
        <w:t>Dec 31,</w:t>
      </w:r>
      <w:r>
        <w:rPr>
          <w:rFonts w:ascii="Palatino Linotype" w:hAnsi="Palatino Linotype"/>
          <w:sz w:val="22"/>
          <w:szCs w:val="22"/>
        </w:rPr>
        <w:t xml:space="preserve"> 2020</w:t>
      </w:r>
    </w:p>
    <w:p w14:paraId="6CB25A82" w14:textId="77777777" w:rsidR="00261D9B" w:rsidRDefault="00261D9B" w:rsidP="005B485E">
      <w:pPr>
        <w:spacing w:before="0"/>
        <w:ind w:left="1260"/>
        <w:rPr>
          <w:rFonts w:ascii="Palatino Linotype" w:hAnsi="Palatino Linotype"/>
          <w:sz w:val="22"/>
          <w:szCs w:val="22"/>
        </w:rPr>
      </w:pPr>
      <w:r>
        <w:rPr>
          <w:rFonts w:ascii="Palatino Linotype" w:hAnsi="Palatino Linotype"/>
          <w:sz w:val="22"/>
          <w:szCs w:val="22"/>
        </w:rPr>
        <w:t xml:space="preserve">Phase 2a (Jun 2020 auction) schedule contingency:  </w:t>
      </w:r>
      <w:r w:rsidR="002F6235">
        <w:rPr>
          <w:rFonts w:ascii="Palatino Linotype" w:hAnsi="Palatino Linotype"/>
          <w:sz w:val="22"/>
          <w:szCs w:val="22"/>
        </w:rPr>
        <w:t>Jan</w:t>
      </w:r>
      <w:r>
        <w:rPr>
          <w:rFonts w:ascii="Palatino Linotype" w:hAnsi="Palatino Linotype"/>
          <w:sz w:val="22"/>
          <w:szCs w:val="22"/>
        </w:rPr>
        <w:t xml:space="preserve"> 2021</w:t>
      </w:r>
      <w:r w:rsidR="002F6235">
        <w:rPr>
          <w:rFonts w:ascii="Palatino Linotype" w:hAnsi="Palatino Linotype"/>
          <w:sz w:val="22"/>
          <w:szCs w:val="22"/>
        </w:rPr>
        <w:t xml:space="preserve"> to May</w:t>
      </w:r>
      <w:r>
        <w:rPr>
          <w:rFonts w:ascii="Palatino Linotype" w:hAnsi="Palatino Linotype"/>
          <w:sz w:val="22"/>
          <w:szCs w:val="22"/>
        </w:rPr>
        <w:t xml:space="preserve"> 2021</w:t>
      </w:r>
      <w:r w:rsidR="00E71D54">
        <w:rPr>
          <w:rFonts w:ascii="Palatino Linotype" w:hAnsi="Palatino Linotype"/>
          <w:sz w:val="22"/>
          <w:szCs w:val="22"/>
        </w:rPr>
        <w:t xml:space="preserve"> (when commitment period starts)</w:t>
      </w:r>
    </w:p>
    <w:p w14:paraId="6CB25A83" w14:textId="77777777" w:rsidR="00261D9B" w:rsidRDefault="00261D9B" w:rsidP="00BA3A2C">
      <w:pPr>
        <w:spacing w:before="0"/>
        <w:ind w:left="720" w:firstLine="576"/>
        <w:rPr>
          <w:rFonts w:ascii="Palatino Linotype" w:hAnsi="Palatino Linotype"/>
          <w:sz w:val="22"/>
          <w:szCs w:val="22"/>
        </w:rPr>
      </w:pPr>
    </w:p>
    <w:p w14:paraId="6CB25A84" w14:textId="77777777" w:rsidR="00BA3A2C" w:rsidRDefault="00261D9B" w:rsidP="00BA3A2C">
      <w:pPr>
        <w:spacing w:before="0"/>
        <w:ind w:left="720" w:firstLine="576"/>
        <w:rPr>
          <w:rFonts w:ascii="Palatino Linotype" w:hAnsi="Palatino Linotype"/>
          <w:sz w:val="22"/>
          <w:szCs w:val="22"/>
        </w:rPr>
      </w:pPr>
      <w:r w:rsidRPr="00261D9B">
        <w:rPr>
          <w:noProof/>
          <w:lang w:val="en-CA" w:eastAsia="en-CA"/>
        </w:rPr>
        <w:lastRenderedPageBreak/>
        <w:drawing>
          <wp:inline distT="0" distB="0" distL="0" distR="0" wp14:anchorId="6CB25CEF" wp14:editId="6CB25CF0">
            <wp:extent cx="5943600" cy="432532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325323"/>
                    </a:xfrm>
                    <a:prstGeom prst="rect">
                      <a:avLst/>
                    </a:prstGeom>
                    <a:noFill/>
                    <a:ln>
                      <a:noFill/>
                    </a:ln>
                  </pic:spPr>
                </pic:pic>
              </a:graphicData>
            </a:graphic>
          </wp:inline>
        </w:drawing>
      </w:r>
    </w:p>
    <w:p w14:paraId="41BB788B" w14:textId="77777777" w:rsidR="006C6656" w:rsidRDefault="006C6656" w:rsidP="005B485E">
      <w:pPr>
        <w:spacing w:before="0"/>
        <w:ind w:left="1260"/>
        <w:rPr>
          <w:rFonts w:ascii="Palatino Linotype" w:hAnsi="Palatino Linotype"/>
          <w:sz w:val="22"/>
          <w:szCs w:val="22"/>
        </w:rPr>
      </w:pPr>
    </w:p>
    <w:p w14:paraId="500C3BC5" w14:textId="77777777" w:rsidR="006C6656" w:rsidRDefault="006C6656" w:rsidP="005B485E">
      <w:pPr>
        <w:spacing w:before="0"/>
        <w:ind w:left="1260"/>
        <w:rPr>
          <w:rFonts w:ascii="Palatino Linotype" w:hAnsi="Palatino Linotype"/>
          <w:sz w:val="22"/>
          <w:szCs w:val="22"/>
        </w:rPr>
      </w:pPr>
    </w:p>
    <w:p w14:paraId="6CB25A85" w14:textId="77777777" w:rsidR="00261D9B" w:rsidRDefault="00261D9B" w:rsidP="005B485E">
      <w:pPr>
        <w:spacing w:before="0"/>
        <w:ind w:left="1260"/>
        <w:rPr>
          <w:rFonts w:ascii="Palatino Linotype" w:hAnsi="Palatino Linotype"/>
          <w:sz w:val="22"/>
          <w:szCs w:val="22"/>
        </w:rPr>
      </w:pPr>
      <w:r>
        <w:rPr>
          <w:rFonts w:ascii="Palatino Linotype" w:hAnsi="Palatino Linotype"/>
          <w:sz w:val="22"/>
          <w:szCs w:val="22"/>
        </w:rPr>
        <w:t>Phase 2b (Dec 2020 auction) schedule: Q3 2019 to Q3 2021</w:t>
      </w:r>
    </w:p>
    <w:p w14:paraId="6CB25A86" w14:textId="77777777" w:rsidR="00261D9B" w:rsidRDefault="00261D9B" w:rsidP="005B485E">
      <w:pPr>
        <w:spacing w:before="0"/>
        <w:ind w:left="1260"/>
        <w:rPr>
          <w:rFonts w:ascii="Palatino Linotype" w:hAnsi="Palatino Linotype"/>
          <w:sz w:val="22"/>
          <w:szCs w:val="22"/>
        </w:rPr>
      </w:pPr>
      <w:r>
        <w:rPr>
          <w:rFonts w:ascii="Palatino Linotype" w:hAnsi="Palatino Linotype"/>
          <w:sz w:val="22"/>
          <w:szCs w:val="22"/>
        </w:rPr>
        <w:t>Phase 2b (Dec 2020 auction) schedule contingency:  Q4 2021 to Q</w:t>
      </w:r>
      <w:r w:rsidR="002F6235">
        <w:rPr>
          <w:rFonts w:ascii="Palatino Linotype" w:hAnsi="Palatino Linotype"/>
          <w:sz w:val="22"/>
          <w:szCs w:val="22"/>
        </w:rPr>
        <w:t>2</w:t>
      </w:r>
      <w:r>
        <w:rPr>
          <w:rFonts w:ascii="Palatino Linotype" w:hAnsi="Palatino Linotype"/>
          <w:sz w:val="22"/>
          <w:szCs w:val="22"/>
        </w:rPr>
        <w:t xml:space="preserve"> 2022</w:t>
      </w:r>
      <w:r w:rsidR="00E71D54">
        <w:rPr>
          <w:rFonts w:ascii="Palatino Linotype" w:hAnsi="Palatino Linotype"/>
          <w:sz w:val="22"/>
          <w:szCs w:val="22"/>
        </w:rPr>
        <w:t xml:space="preserve"> (when commitment period starts)</w:t>
      </w:r>
    </w:p>
    <w:p w14:paraId="6CB25A87" w14:textId="77777777" w:rsidR="008C08B6" w:rsidRPr="00851BF4" w:rsidRDefault="008C08B6" w:rsidP="00851BF4">
      <w:pPr>
        <w:spacing w:before="0"/>
        <w:ind w:left="720" w:firstLine="576"/>
        <w:rPr>
          <w:rFonts w:ascii="Palatino Linotype" w:hAnsi="Palatino Linotype"/>
          <w:sz w:val="22"/>
          <w:szCs w:val="22"/>
        </w:rPr>
      </w:pPr>
    </w:p>
    <w:p w14:paraId="2AC6F1D1" w14:textId="77777777" w:rsidR="006C6656" w:rsidRDefault="006C6656">
      <w:pPr>
        <w:spacing w:before="0"/>
        <w:rPr>
          <w:rFonts w:ascii="Cambria" w:eastAsiaTheme="majorEastAsia" w:hAnsi="Cambria" w:cstheme="majorBidi"/>
          <w:b/>
          <w:sz w:val="24"/>
          <w:szCs w:val="24"/>
        </w:rPr>
      </w:pPr>
      <w:r>
        <w:br w:type="page"/>
      </w:r>
    </w:p>
    <w:p w14:paraId="6CB25A88" w14:textId="005DD527" w:rsidR="00BE4D8E" w:rsidRDefault="00BE4D8E" w:rsidP="00613184">
      <w:pPr>
        <w:pStyle w:val="Heading2"/>
      </w:pPr>
      <w:r>
        <w:lastRenderedPageBreak/>
        <w:t>Cost</w:t>
      </w:r>
    </w:p>
    <w:p w14:paraId="6CB25A89" w14:textId="77777777" w:rsidR="00A02EDF" w:rsidRPr="00927FF4" w:rsidRDefault="00943CF4" w:rsidP="00927FF4">
      <w:pPr>
        <w:rPr>
          <w:sz w:val="22"/>
          <w:szCs w:val="22"/>
        </w:rPr>
      </w:pPr>
      <w:r w:rsidRPr="00927FF4">
        <w:rPr>
          <w:rFonts w:ascii="Palatino Linotype" w:hAnsi="Palatino Linotype"/>
          <w:sz w:val="22"/>
          <w:szCs w:val="22"/>
        </w:rPr>
        <w:t xml:space="preserve">The </w:t>
      </w:r>
      <w:r w:rsidR="000B3B73" w:rsidRPr="00927FF4">
        <w:rPr>
          <w:rFonts w:ascii="Palatino Linotype" w:hAnsi="Palatino Linotype"/>
          <w:sz w:val="22"/>
          <w:szCs w:val="22"/>
        </w:rPr>
        <w:t xml:space="preserve">estimated </w:t>
      </w:r>
      <w:r w:rsidR="00E54A9B" w:rsidRPr="00927FF4">
        <w:rPr>
          <w:rFonts w:ascii="Palatino Linotype" w:hAnsi="Palatino Linotype"/>
          <w:sz w:val="22"/>
          <w:szCs w:val="22"/>
        </w:rPr>
        <w:t xml:space="preserve">cost </w:t>
      </w:r>
      <w:r w:rsidR="003320E8">
        <w:rPr>
          <w:rFonts w:ascii="Palatino Linotype" w:hAnsi="Palatino Linotype"/>
          <w:sz w:val="22"/>
          <w:szCs w:val="22"/>
        </w:rPr>
        <w:t xml:space="preserve">breakdown </w:t>
      </w:r>
      <w:r w:rsidR="00E54A9B" w:rsidRPr="00927FF4">
        <w:rPr>
          <w:rFonts w:ascii="Palatino Linotype" w:hAnsi="Palatino Linotype"/>
          <w:sz w:val="22"/>
          <w:szCs w:val="22"/>
        </w:rPr>
        <w:t>of the project</w:t>
      </w:r>
      <w:r w:rsidR="00016992" w:rsidRPr="00927FF4">
        <w:rPr>
          <w:rFonts w:ascii="Palatino Linotype" w:hAnsi="Palatino Linotype"/>
          <w:sz w:val="22"/>
          <w:szCs w:val="22"/>
        </w:rPr>
        <w:t xml:space="preserve"> </w:t>
      </w:r>
      <w:r w:rsidR="00E54A9B" w:rsidRPr="00927FF4">
        <w:rPr>
          <w:rFonts w:ascii="Palatino Linotype" w:hAnsi="Palatino Linotype"/>
          <w:sz w:val="22"/>
          <w:szCs w:val="22"/>
        </w:rPr>
        <w:t>is</w:t>
      </w:r>
      <w:r w:rsidR="00B7733F">
        <w:rPr>
          <w:rFonts w:ascii="Palatino Linotype" w:hAnsi="Palatino Linotype"/>
          <w:sz w:val="22"/>
          <w:szCs w:val="22"/>
        </w:rPr>
        <w:t xml:space="preserve"> presented in table below:</w:t>
      </w:r>
      <w:r w:rsidR="00C458AB" w:rsidRPr="00927FF4">
        <w:rPr>
          <w:sz w:val="22"/>
          <w:szCs w:val="22"/>
        </w:rPr>
        <w:t xml:space="preserve">  </w:t>
      </w:r>
    </w:p>
    <w:p w14:paraId="6CB25A8A" w14:textId="77777777" w:rsidR="00707435" w:rsidRPr="00707435" w:rsidRDefault="00707435" w:rsidP="00707435">
      <w:r>
        <w:tab/>
      </w:r>
      <w:r w:rsidR="00B7733F">
        <w:rPr>
          <w:noProof/>
          <w:lang w:val="en-CA" w:eastAsia="en-CA"/>
        </w:rPr>
        <w:drawing>
          <wp:inline distT="0" distB="0" distL="0" distR="0" wp14:anchorId="6CB25CF1" wp14:editId="6CB25CF2">
            <wp:extent cx="5480685" cy="3578860"/>
            <wp:effectExtent l="0" t="0" r="571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0685" cy="3578860"/>
                    </a:xfrm>
                    <a:prstGeom prst="rect">
                      <a:avLst/>
                    </a:prstGeom>
                    <a:noFill/>
                  </pic:spPr>
                </pic:pic>
              </a:graphicData>
            </a:graphic>
          </wp:inline>
        </w:drawing>
      </w:r>
      <w:r>
        <w:tab/>
      </w:r>
    </w:p>
    <w:p w14:paraId="6CB25A8B" w14:textId="77777777" w:rsidR="00851BF4" w:rsidRPr="00851BF4" w:rsidRDefault="00851BF4" w:rsidP="00851BF4">
      <w:pPr>
        <w:spacing w:before="0"/>
        <w:ind w:left="720" w:firstLine="576"/>
        <w:rPr>
          <w:rFonts w:ascii="Palatino Linotype" w:hAnsi="Palatino Linotype"/>
          <w:sz w:val="22"/>
          <w:szCs w:val="22"/>
        </w:rPr>
      </w:pPr>
      <w:r>
        <w:rPr>
          <w:rFonts w:ascii="Palatino Linotype" w:hAnsi="Palatino Linotype"/>
          <w:sz w:val="22"/>
          <w:szCs w:val="22"/>
        </w:rPr>
        <w:tab/>
      </w:r>
      <w:r w:rsidRPr="00CB2D06">
        <w:rPr>
          <w:rFonts w:ascii="Palatino Linotype" w:hAnsi="Palatino Linotype"/>
          <w:sz w:val="22"/>
          <w:szCs w:val="22"/>
        </w:rPr>
        <w:t xml:space="preserve"> </w:t>
      </w:r>
    </w:p>
    <w:p w14:paraId="6CB25A8C" w14:textId="77777777" w:rsidR="00BE4D8E" w:rsidRDefault="00BE4D8E" w:rsidP="00613184">
      <w:pPr>
        <w:pStyle w:val="Heading2"/>
      </w:pPr>
      <w:r>
        <w:t>Key Resource Needs</w:t>
      </w:r>
    </w:p>
    <w:p w14:paraId="6CB25A8D" w14:textId="77777777" w:rsidR="00186604" w:rsidRDefault="00186604" w:rsidP="00186604"/>
    <w:p w14:paraId="6CB25A8E" w14:textId="77777777" w:rsidR="00186604" w:rsidRPr="00A95540" w:rsidRDefault="00E54A9B" w:rsidP="00186604">
      <w:pPr>
        <w:rPr>
          <w:rFonts w:ascii="Palatino Linotype" w:hAnsi="Palatino Linotype"/>
          <w:sz w:val="22"/>
          <w:szCs w:val="22"/>
        </w:rPr>
      </w:pPr>
      <w:r w:rsidRPr="00A95540">
        <w:rPr>
          <w:rFonts w:ascii="Palatino Linotype" w:hAnsi="Palatino Linotype"/>
          <w:sz w:val="22"/>
          <w:szCs w:val="22"/>
        </w:rPr>
        <w:t>The following identifies the key resources required to support the project in 2019.</w:t>
      </w:r>
      <w:r w:rsidR="00186604" w:rsidRPr="00A95540">
        <w:rPr>
          <w:rFonts w:ascii="Palatino Linotype" w:hAnsi="Palatino Linotype"/>
          <w:sz w:val="22"/>
          <w:szCs w:val="22"/>
        </w:rPr>
        <w:t xml:space="preserve">  An updated 2019 resource plan along with an estimated 2020 resource plan will be provided as a part of the Project Plan.</w:t>
      </w:r>
      <w:r w:rsidR="00D41AFD" w:rsidRPr="00A95540">
        <w:rPr>
          <w:rFonts w:ascii="Palatino Linotype" w:hAnsi="Palatino Linotype"/>
          <w:sz w:val="22"/>
          <w:szCs w:val="22"/>
        </w:rPr>
        <w:t xml:space="preserve">  </w:t>
      </w:r>
    </w:p>
    <w:p w14:paraId="6CB25A8F" w14:textId="77777777" w:rsidR="00186604" w:rsidRDefault="00851BF4" w:rsidP="003D0F0B">
      <w:pPr>
        <w:spacing w:before="0"/>
        <w:ind w:left="720" w:firstLine="576"/>
        <w:rPr>
          <w:rFonts w:ascii="Palatino Linotype" w:hAnsi="Palatino Linotype"/>
          <w:sz w:val="22"/>
          <w:szCs w:val="22"/>
        </w:rPr>
      </w:pPr>
      <w:r>
        <w:rPr>
          <w:rFonts w:ascii="Palatino Linotype" w:hAnsi="Palatino Linotype"/>
          <w:sz w:val="22"/>
          <w:szCs w:val="22"/>
        </w:rPr>
        <w:tab/>
      </w:r>
      <w:r w:rsidRPr="00CB2D06">
        <w:rPr>
          <w:rFonts w:ascii="Palatino Linotype" w:hAnsi="Palatino Linotype"/>
          <w:sz w:val="22"/>
          <w:szCs w:val="22"/>
        </w:rPr>
        <w:t xml:space="preserve"> </w:t>
      </w:r>
    </w:p>
    <w:p w14:paraId="6CB25A90" w14:textId="77777777" w:rsidR="009D229E" w:rsidRDefault="00450E75" w:rsidP="00D41AFD">
      <w:pPr>
        <w:spacing w:before="0"/>
        <w:rPr>
          <w:rFonts w:ascii="Palatino Linotype" w:hAnsi="Palatino Linotype"/>
          <w:sz w:val="22"/>
          <w:szCs w:val="22"/>
        </w:rPr>
      </w:pPr>
      <w:r>
        <w:rPr>
          <w:rFonts w:ascii="Palatino Linotype" w:hAnsi="Palatino Linotype"/>
          <w:sz w:val="22"/>
          <w:szCs w:val="22"/>
        </w:rPr>
        <w:t xml:space="preserve"> </w:t>
      </w:r>
      <w:r w:rsidR="009D229E">
        <w:rPr>
          <w:rFonts w:ascii="Palatino Linotype" w:hAnsi="Palatino Linotype"/>
          <w:sz w:val="22"/>
          <w:szCs w:val="22"/>
        </w:rPr>
        <w:t>List of resources required and names identified</w:t>
      </w:r>
      <w:r w:rsidR="00381215">
        <w:rPr>
          <w:rFonts w:ascii="Palatino Linotype" w:hAnsi="Palatino Linotype"/>
          <w:sz w:val="22"/>
          <w:szCs w:val="22"/>
        </w:rPr>
        <w:t>, if any</w:t>
      </w:r>
      <w:r w:rsidR="009D229E">
        <w:rPr>
          <w:rFonts w:ascii="Palatino Linotype" w:hAnsi="Palatino Linotype"/>
          <w:sz w:val="22"/>
          <w:szCs w:val="22"/>
        </w:rPr>
        <w:t>:</w:t>
      </w:r>
    </w:p>
    <w:p w14:paraId="6CB25A91" w14:textId="77777777" w:rsidR="005A1264" w:rsidRDefault="005A1264"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Accenture Contract Services (CRS)</w:t>
      </w:r>
    </w:p>
    <w:p w14:paraId="6CB25A92" w14:textId="77777777" w:rsidR="00256FBE" w:rsidRDefault="005A1264"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 xml:space="preserve">CD – Business </w:t>
      </w:r>
      <w:r w:rsidR="00381215">
        <w:rPr>
          <w:rFonts w:ascii="Palatino Linotype" w:hAnsi="Palatino Linotype"/>
          <w:sz w:val="22"/>
          <w:szCs w:val="22"/>
        </w:rPr>
        <w:t xml:space="preserve">Lead (Imports) [Dina </w:t>
      </w:r>
      <w:r>
        <w:rPr>
          <w:rFonts w:ascii="Palatino Linotype" w:hAnsi="Palatino Linotype"/>
          <w:sz w:val="22"/>
          <w:szCs w:val="22"/>
        </w:rPr>
        <w:t>Shoukri]</w:t>
      </w:r>
    </w:p>
    <w:p w14:paraId="6CB25A93" w14:textId="77777777" w:rsidR="00256FBE" w:rsidRDefault="00256FBE"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CIM - Solution Analyst (Online IESO)</w:t>
      </w:r>
    </w:p>
    <w:p w14:paraId="6CB25A94" w14:textId="77777777" w:rsidR="00256FBE" w:rsidRDefault="00256FBE"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Connection Assessments - SME</w:t>
      </w:r>
    </w:p>
    <w:p w14:paraId="6CB25A95" w14:textId="77777777" w:rsidR="00C17618" w:rsidRDefault="00256FBE"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Contracts – SME [Emanuel Movchovitch]</w:t>
      </w:r>
    </w:p>
    <w:p w14:paraId="6CB25A96" w14:textId="77777777" w:rsidR="00C17618" w:rsidRDefault="00C17618"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Customer Stakeholder &amp; Community Engagement – SME [Dale Fitzgerald]</w:t>
      </w:r>
    </w:p>
    <w:p w14:paraId="6CB25A97" w14:textId="77777777" w:rsidR="00C17618" w:rsidRDefault="00C17618"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 xml:space="preserve">EC – Business Analyst [Esther Kim-Reece, Sunil </w:t>
      </w:r>
      <w:proofErr w:type="spellStart"/>
      <w:r>
        <w:rPr>
          <w:rFonts w:ascii="Palatino Linotype" w:hAnsi="Palatino Linotype"/>
          <w:sz w:val="22"/>
          <w:szCs w:val="22"/>
        </w:rPr>
        <w:t>Maniyappan</w:t>
      </w:r>
      <w:proofErr w:type="spellEnd"/>
      <w:r w:rsidR="00010E4A">
        <w:rPr>
          <w:rFonts w:ascii="Palatino Linotype" w:hAnsi="Palatino Linotype"/>
          <w:sz w:val="22"/>
          <w:szCs w:val="22"/>
        </w:rPr>
        <w:t xml:space="preserve">, Mike </w:t>
      </w:r>
      <w:proofErr w:type="spellStart"/>
      <w:r w:rsidR="00010E4A">
        <w:rPr>
          <w:rFonts w:ascii="Palatino Linotype" w:hAnsi="Palatino Linotype"/>
          <w:sz w:val="22"/>
          <w:szCs w:val="22"/>
        </w:rPr>
        <w:t>Poznanski</w:t>
      </w:r>
      <w:proofErr w:type="spellEnd"/>
      <w:r>
        <w:rPr>
          <w:rFonts w:ascii="Palatino Linotype" w:hAnsi="Palatino Linotype"/>
          <w:sz w:val="22"/>
          <w:szCs w:val="22"/>
        </w:rPr>
        <w:t>]</w:t>
      </w:r>
    </w:p>
    <w:p w14:paraId="6CB25A98" w14:textId="77777777" w:rsidR="001D056A" w:rsidRDefault="00C17618"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Finance</w:t>
      </w:r>
    </w:p>
    <w:p w14:paraId="6CB25A99" w14:textId="77777777" w:rsidR="001D056A" w:rsidRDefault="001D056A"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lastRenderedPageBreak/>
        <w:t xml:space="preserve">IT – Appian Developer (Reports) </w:t>
      </w:r>
    </w:p>
    <w:p w14:paraId="6CB25A9A" w14:textId="77777777" w:rsidR="007B2041" w:rsidRDefault="001D056A"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IT – Appian Developer [</w:t>
      </w:r>
      <w:proofErr w:type="spellStart"/>
      <w:r>
        <w:rPr>
          <w:rFonts w:ascii="Palatino Linotype" w:hAnsi="Palatino Linotype"/>
          <w:sz w:val="22"/>
          <w:szCs w:val="22"/>
        </w:rPr>
        <w:t>Jin</w:t>
      </w:r>
      <w:proofErr w:type="spellEnd"/>
      <w:r>
        <w:rPr>
          <w:rFonts w:ascii="Palatino Linotype" w:hAnsi="Palatino Linotype"/>
          <w:sz w:val="22"/>
          <w:szCs w:val="22"/>
        </w:rPr>
        <w:t xml:space="preserve"> Lee, Rachel Zhao]</w:t>
      </w:r>
    </w:p>
    <w:p w14:paraId="6CB25A9B" w14:textId="77777777" w:rsidR="007B2041" w:rsidRDefault="007B2041"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Legal [James Hunter, Julie Bedford]</w:t>
      </w:r>
    </w:p>
    <w:p w14:paraId="6CB25A9C" w14:textId="77777777" w:rsidR="00042FBE" w:rsidRDefault="007B2041"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MACD SME</w:t>
      </w:r>
    </w:p>
    <w:p w14:paraId="6CB25A9D" w14:textId="77777777" w:rsidR="00042FBE" w:rsidRDefault="00042FBE"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PAO:M&amp;TI – SME [Shilpan Desai]</w:t>
      </w:r>
    </w:p>
    <w:p w14:paraId="6CB25A9E" w14:textId="77777777" w:rsidR="00042FBE" w:rsidRDefault="00042FBE"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Market Rules – SME [Robert Doyle]</w:t>
      </w:r>
    </w:p>
    <w:p w14:paraId="6CB25A9F" w14:textId="77777777" w:rsidR="00E61B68" w:rsidRDefault="00940A79"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 xml:space="preserve">Market Settlements – SME [Jonathan Paredes, Karan </w:t>
      </w:r>
      <w:proofErr w:type="spellStart"/>
      <w:r>
        <w:rPr>
          <w:rFonts w:ascii="Palatino Linotype" w:hAnsi="Palatino Linotype"/>
          <w:sz w:val="22"/>
          <w:szCs w:val="22"/>
        </w:rPr>
        <w:t>Ujla</w:t>
      </w:r>
      <w:proofErr w:type="spellEnd"/>
      <w:r>
        <w:rPr>
          <w:rFonts w:ascii="Palatino Linotype" w:hAnsi="Palatino Linotype"/>
          <w:sz w:val="22"/>
          <w:szCs w:val="22"/>
        </w:rPr>
        <w:t>]</w:t>
      </w:r>
    </w:p>
    <w:p w14:paraId="6CB25AA0" w14:textId="77777777" w:rsidR="00E61B68" w:rsidRDefault="00E61B68"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 xml:space="preserve">ICA [Danielle D’Souza, </w:t>
      </w:r>
      <w:proofErr w:type="spellStart"/>
      <w:r>
        <w:rPr>
          <w:rFonts w:ascii="Palatino Linotype" w:hAnsi="Palatino Linotype"/>
          <w:sz w:val="22"/>
          <w:szCs w:val="22"/>
        </w:rPr>
        <w:t>Angeli</w:t>
      </w:r>
      <w:proofErr w:type="spellEnd"/>
      <w:r>
        <w:rPr>
          <w:rFonts w:ascii="Palatino Linotype" w:hAnsi="Palatino Linotype"/>
          <w:sz w:val="22"/>
          <w:szCs w:val="22"/>
        </w:rPr>
        <w:t xml:space="preserve"> </w:t>
      </w:r>
      <w:proofErr w:type="spellStart"/>
      <w:r>
        <w:rPr>
          <w:rFonts w:ascii="Palatino Linotype" w:hAnsi="Palatino Linotype"/>
          <w:sz w:val="22"/>
          <w:szCs w:val="22"/>
        </w:rPr>
        <w:t>Jaipargas</w:t>
      </w:r>
      <w:proofErr w:type="spellEnd"/>
      <w:r>
        <w:rPr>
          <w:rFonts w:ascii="Palatino Linotype" w:hAnsi="Palatino Linotype"/>
          <w:sz w:val="22"/>
          <w:szCs w:val="22"/>
        </w:rPr>
        <w:t xml:space="preserve">, Michael </w:t>
      </w:r>
      <w:proofErr w:type="spellStart"/>
      <w:r>
        <w:rPr>
          <w:rFonts w:ascii="Palatino Linotype" w:hAnsi="Palatino Linotype"/>
          <w:sz w:val="22"/>
          <w:szCs w:val="22"/>
        </w:rPr>
        <w:t>Falvo</w:t>
      </w:r>
      <w:proofErr w:type="spellEnd"/>
      <w:r>
        <w:rPr>
          <w:rFonts w:ascii="Palatino Linotype" w:hAnsi="Palatino Linotype"/>
          <w:sz w:val="22"/>
          <w:szCs w:val="22"/>
        </w:rPr>
        <w:t>, Mohamed Ahmed]</w:t>
      </w:r>
    </w:p>
    <w:p w14:paraId="6CB25AA1" w14:textId="77777777" w:rsidR="00411062" w:rsidRDefault="00D55583"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 xml:space="preserve">MRP QA SME [Joseph </w:t>
      </w:r>
      <w:proofErr w:type="spellStart"/>
      <w:r>
        <w:rPr>
          <w:rFonts w:ascii="Palatino Linotype" w:hAnsi="Palatino Linotype"/>
          <w:sz w:val="22"/>
          <w:szCs w:val="22"/>
        </w:rPr>
        <w:t>Rampersad</w:t>
      </w:r>
      <w:proofErr w:type="spellEnd"/>
      <w:r>
        <w:rPr>
          <w:rFonts w:ascii="Palatino Linotype" w:hAnsi="Palatino Linotype"/>
          <w:sz w:val="22"/>
          <w:szCs w:val="22"/>
        </w:rPr>
        <w:t>]</w:t>
      </w:r>
    </w:p>
    <w:p w14:paraId="6CB25AA2" w14:textId="77777777" w:rsidR="00007C72" w:rsidRDefault="00007C72"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Operations Integrations - SME</w:t>
      </w:r>
    </w:p>
    <w:p w14:paraId="6CB25AA3" w14:textId="77777777" w:rsidR="004C6C58" w:rsidRDefault="00007C72"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PAO:MF&amp;I SME</w:t>
      </w:r>
    </w:p>
    <w:p w14:paraId="6CB25AA4" w14:textId="77777777" w:rsidR="004C6C58" w:rsidRDefault="004C6C58"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PAO:PSL SME</w:t>
      </w:r>
    </w:p>
    <w:p w14:paraId="6CB25AA5" w14:textId="77777777" w:rsidR="004C6C58" w:rsidRDefault="004C6C58"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Planning [Anna Lafoyiannis]</w:t>
      </w:r>
    </w:p>
    <w:p w14:paraId="6CB25AA6" w14:textId="77777777" w:rsidR="004C6C58" w:rsidRDefault="004C6C58"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Project Manager [Samantha Tam]</w:t>
      </w:r>
    </w:p>
    <w:p w14:paraId="6CB25AA7" w14:textId="77777777" w:rsidR="004C6C58" w:rsidRDefault="004C6C58"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Procurement</w:t>
      </w:r>
      <w:r w:rsidR="00007C72">
        <w:rPr>
          <w:rFonts w:ascii="Palatino Linotype" w:hAnsi="Palatino Linotype"/>
          <w:sz w:val="22"/>
          <w:szCs w:val="22"/>
        </w:rPr>
        <w:t xml:space="preserve"> SME</w:t>
      </w:r>
    </w:p>
    <w:p w14:paraId="6CB25AA8" w14:textId="77777777" w:rsidR="004C6C58" w:rsidRDefault="004C6C58" w:rsidP="009C3721">
      <w:pPr>
        <w:pStyle w:val="ListParagraph"/>
        <w:numPr>
          <w:ilvl w:val="0"/>
          <w:numId w:val="40"/>
        </w:numPr>
        <w:spacing w:before="0"/>
        <w:rPr>
          <w:rFonts w:ascii="Palatino Linotype" w:hAnsi="Palatino Linotype"/>
          <w:sz w:val="22"/>
          <w:szCs w:val="22"/>
        </w:rPr>
      </w:pPr>
      <w:r>
        <w:rPr>
          <w:rFonts w:ascii="Palatino Linotype" w:hAnsi="Palatino Linotype"/>
          <w:sz w:val="22"/>
          <w:szCs w:val="22"/>
        </w:rPr>
        <w:t>RMSS – Solution Analyst [Rob Sinclair]</w:t>
      </w:r>
    </w:p>
    <w:p w14:paraId="6CB25AA9" w14:textId="77777777" w:rsidR="004C6C58" w:rsidRDefault="004C6C58" w:rsidP="009C3721">
      <w:pPr>
        <w:pStyle w:val="ListParagraph"/>
        <w:numPr>
          <w:ilvl w:val="0"/>
          <w:numId w:val="40"/>
        </w:numPr>
        <w:spacing w:before="0"/>
        <w:rPr>
          <w:rFonts w:ascii="Palatino Linotype" w:hAnsi="Palatino Linotype"/>
          <w:sz w:val="22"/>
          <w:szCs w:val="22"/>
        </w:rPr>
      </w:pPr>
      <w:proofErr w:type="spellStart"/>
      <w:r>
        <w:rPr>
          <w:rFonts w:ascii="Palatino Linotype" w:hAnsi="Palatino Linotype"/>
          <w:sz w:val="22"/>
          <w:szCs w:val="22"/>
        </w:rPr>
        <w:t>Vendor:Brattle</w:t>
      </w:r>
      <w:proofErr w:type="spellEnd"/>
    </w:p>
    <w:p w14:paraId="6CB25AAA" w14:textId="1A1D1241" w:rsidR="004C6C58" w:rsidRPr="00FC7441" w:rsidRDefault="004C6C58" w:rsidP="009C3721">
      <w:pPr>
        <w:pStyle w:val="ListParagraph"/>
        <w:numPr>
          <w:ilvl w:val="0"/>
          <w:numId w:val="40"/>
        </w:numPr>
        <w:spacing w:before="0"/>
        <w:rPr>
          <w:rFonts w:ascii="Palatino Linotype" w:hAnsi="Palatino Linotype"/>
          <w:sz w:val="22"/>
          <w:szCs w:val="22"/>
        </w:rPr>
      </w:pPr>
      <w:r w:rsidRPr="00381215">
        <w:rPr>
          <w:rFonts w:ascii="Palatino Linotype" w:hAnsi="Palatino Linotype"/>
          <w:sz w:val="22"/>
          <w:szCs w:val="22"/>
        </w:rPr>
        <w:t>Operational Assessments – Man</w:t>
      </w:r>
      <w:r w:rsidR="00C943DA">
        <w:rPr>
          <w:rFonts w:ascii="Palatino Linotype" w:hAnsi="Palatino Linotype"/>
          <w:sz w:val="22"/>
          <w:szCs w:val="22"/>
        </w:rPr>
        <w:t>a</w:t>
      </w:r>
      <w:r w:rsidRPr="00381215">
        <w:rPr>
          <w:rFonts w:ascii="Palatino Linotype" w:hAnsi="Palatino Linotype"/>
          <w:sz w:val="22"/>
          <w:szCs w:val="22"/>
        </w:rPr>
        <w:t>ger [Jessica Tang]</w:t>
      </w:r>
    </w:p>
    <w:p w14:paraId="6CB25AAB" w14:textId="77777777" w:rsidR="009D229E" w:rsidRDefault="009D229E" w:rsidP="00D41AFD">
      <w:pPr>
        <w:spacing w:before="0"/>
        <w:rPr>
          <w:rFonts w:ascii="Palatino Linotype" w:hAnsi="Palatino Linotype"/>
          <w:sz w:val="22"/>
          <w:szCs w:val="22"/>
        </w:rPr>
      </w:pPr>
    </w:p>
    <w:p w14:paraId="6CB25AB1" w14:textId="2D379EB1" w:rsidR="00186604" w:rsidRDefault="00186604" w:rsidP="00D41AFD">
      <w:pPr>
        <w:spacing w:before="0"/>
        <w:rPr>
          <w:i/>
          <w:szCs w:val="22"/>
        </w:rPr>
      </w:pPr>
    </w:p>
    <w:p w14:paraId="6CB25AB2" w14:textId="77777777" w:rsidR="00BE4D8E" w:rsidRDefault="00943CF4" w:rsidP="00BE4D8E">
      <w:pPr>
        <w:pStyle w:val="Heading2"/>
      </w:pPr>
      <w:r>
        <w:t>Approval Detail for the Current Project Charter</w:t>
      </w:r>
    </w:p>
    <w:p w14:paraId="6CB25AB3" w14:textId="77777777" w:rsidR="00BE4D8E" w:rsidRDefault="00BE4D8E" w:rsidP="00BE4D8E">
      <w:pPr>
        <w:pStyle w:val="Heading3"/>
      </w:pPr>
      <w:r>
        <w:t>Timeline</w:t>
      </w:r>
    </w:p>
    <w:p w14:paraId="6CB25AB4" w14:textId="77777777" w:rsidR="006A1DAC" w:rsidRDefault="006A1DAC" w:rsidP="00D95568">
      <w:pPr>
        <w:spacing w:before="0"/>
        <w:ind w:left="2304" w:firstLine="576"/>
        <w:rPr>
          <w:rFonts w:ascii="Palatino Linotype" w:hAnsi="Palatino Linotype"/>
          <w:sz w:val="22"/>
          <w:szCs w:val="22"/>
        </w:rPr>
      </w:pPr>
    </w:p>
    <w:p w14:paraId="6CB25AB5" w14:textId="77777777" w:rsidR="006A1DAC" w:rsidRDefault="007E1D15" w:rsidP="00D95568">
      <w:pPr>
        <w:spacing w:before="0"/>
        <w:ind w:left="2304" w:firstLine="576"/>
        <w:rPr>
          <w:rFonts w:ascii="Palatino Linotype" w:hAnsi="Palatino Linotype"/>
          <w:sz w:val="22"/>
          <w:szCs w:val="22"/>
        </w:rPr>
      </w:pPr>
      <w:r>
        <w:rPr>
          <w:rFonts w:ascii="Palatino Linotype" w:hAnsi="Palatino Linotype"/>
          <w:sz w:val="22"/>
          <w:szCs w:val="22"/>
        </w:rPr>
        <w:t>T</w:t>
      </w:r>
      <w:r w:rsidR="006A1DAC">
        <w:rPr>
          <w:rFonts w:ascii="Palatino Linotype" w:hAnsi="Palatino Linotype"/>
          <w:sz w:val="22"/>
          <w:szCs w:val="22"/>
        </w:rPr>
        <w:t>he funds requested</w:t>
      </w:r>
      <w:r w:rsidR="004909AA">
        <w:rPr>
          <w:rFonts w:ascii="Palatino Linotype" w:hAnsi="Palatino Linotype"/>
          <w:sz w:val="22"/>
          <w:szCs w:val="22"/>
        </w:rPr>
        <w:t xml:space="preserve"> </w:t>
      </w:r>
      <w:r w:rsidR="006A1DAC">
        <w:rPr>
          <w:rFonts w:ascii="Palatino Linotype" w:hAnsi="Palatino Linotype"/>
          <w:sz w:val="22"/>
          <w:szCs w:val="22"/>
        </w:rPr>
        <w:t xml:space="preserve">in the current version of the Project Charter </w:t>
      </w:r>
      <w:r w:rsidR="0093609C">
        <w:rPr>
          <w:rFonts w:ascii="Palatino Linotype" w:hAnsi="Palatino Linotype"/>
          <w:sz w:val="22"/>
          <w:szCs w:val="22"/>
        </w:rPr>
        <w:t xml:space="preserve">are </w:t>
      </w:r>
      <w:r w:rsidR="006A1DAC">
        <w:rPr>
          <w:rFonts w:ascii="Palatino Linotype" w:hAnsi="Palatino Linotype"/>
          <w:sz w:val="22"/>
          <w:szCs w:val="22"/>
        </w:rPr>
        <w:t>to be used from now until Dec 2019.</w:t>
      </w:r>
    </w:p>
    <w:p w14:paraId="6CB25AB6" w14:textId="77777777" w:rsidR="00255B1C" w:rsidRDefault="00255B1C" w:rsidP="00D95568">
      <w:pPr>
        <w:spacing w:before="0"/>
        <w:ind w:left="2304" w:firstLine="576"/>
        <w:rPr>
          <w:rFonts w:ascii="Palatino Linotype" w:hAnsi="Palatino Linotype"/>
          <w:sz w:val="22"/>
          <w:szCs w:val="22"/>
        </w:rPr>
      </w:pPr>
    </w:p>
    <w:p w14:paraId="6CB25AB7" w14:textId="77777777" w:rsidR="00255B1C" w:rsidRDefault="00255B1C" w:rsidP="00D95568">
      <w:pPr>
        <w:spacing w:before="0"/>
        <w:ind w:left="2304" w:firstLine="576"/>
        <w:rPr>
          <w:rFonts w:ascii="Palatino Linotype" w:hAnsi="Palatino Linotype"/>
          <w:sz w:val="22"/>
          <w:szCs w:val="22"/>
        </w:rPr>
      </w:pPr>
      <w:r>
        <w:rPr>
          <w:rFonts w:ascii="Palatino Linotype" w:hAnsi="Palatino Linotype"/>
          <w:sz w:val="22"/>
          <w:szCs w:val="22"/>
        </w:rPr>
        <w:t>Key milestones are outlined in Section 3.4.</w:t>
      </w:r>
    </w:p>
    <w:p w14:paraId="6CB25AB8" w14:textId="77777777" w:rsidR="006A1DAC" w:rsidRDefault="006A1DAC" w:rsidP="00D95568">
      <w:pPr>
        <w:spacing w:before="0"/>
        <w:ind w:left="2304" w:firstLine="576"/>
        <w:rPr>
          <w:rFonts w:ascii="Palatino Linotype" w:hAnsi="Palatino Linotype"/>
          <w:sz w:val="22"/>
          <w:szCs w:val="22"/>
        </w:rPr>
      </w:pPr>
    </w:p>
    <w:p w14:paraId="6CB25AB9" w14:textId="77777777" w:rsidR="00851BF4" w:rsidRPr="00851BF4" w:rsidRDefault="00851BF4" w:rsidP="00D95568">
      <w:pPr>
        <w:spacing w:before="0"/>
        <w:ind w:left="2304" w:firstLine="576"/>
        <w:rPr>
          <w:rFonts w:ascii="Palatino Linotype" w:hAnsi="Palatino Linotype"/>
          <w:sz w:val="22"/>
          <w:szCs w:val="22"/>
        </w:rPr>
      </w:pPr>
    </w:p>
    <w:p w14:paraId="6CB25ABA" w14:textId="77777777" w:rsidR="00BE4D8E" w:rsidRDefault="00BE4D8E" w:rsidP="00BE4D8E">
      <w:pPr>
        <w:pStyle w:val="Heading3"/>
      </w:pPr>
      <w:r>
        <w:t>Cost</w:t>
      </w:r>
    </w:p>
    <w:p w14:paraId="6CB25ABB" w14:textId="77777777" w:rsidR="00920443" w:rsidRDefault="00920443" w:rsidP="00D95568">
      <w:pPr>
        <w:spacing w:before="0"/>
        <w:ind w:left="2880"/>
        <w:rPr>
          <w:rFonts w:ascii="Palatino Linotype" w:hAnsi="Palatino Linotype"/>
          <w:sz w:val="22"/>
          <w:szCs w:val="22"/>
        </w:rPr>
      </w:pPr>
    </w:p>
    <w:p w14:paraId="6CB25ABC" w14:textId="77777777" w:rsidR="00920443" w:rsidRDefault="00864CB9" w:rsidP="00D95568">
      <w:pPr>
        <w:spacing w:before="0"/>
        <w:ind w:left="2880"/>
        <w:rPr>
          <w:rFonts w:ascii="Palatino Linotype" w:hAnsi="Palatino Linotype"/>
          <w:sz w:val="22"/>
          <w:szCs w:val="22"/>
        </w:rPr>
      </w:pPr>
      <w:r>
        <w:rPr>
          <w:rFonts w:ascii="Palatino Linotype" w:hAnsi="Palatino Linotype"/>
          <w:sz w:val="22"/>
          <w:szCs w:val="22"/>
        </w:rPr>
        <w:t>Please see Section 3.5.</w:t>
      </w:r>
    </w:p>
    <w:p w14:paraId="6CB25ABD" w14:textId="77777777" w:rsidR="00F92DCE" w:rsidRPr="00851BF4" w:rsidRDefault="00F92DCE" w:rsidP="00D95568">
      <w:pPr>
        <w:spacing w:before="0"/>
        <w:ind w:left="2880"/>
        <w:rPr>
          <w:rFonts w:ascii="Palatino Linotype" w:hAnsi="Palatino Linotype"/>
          <w:sz w:val="22"/>
          <w:szCs w:val="22"/>
        </w:rPr>
      </w:pPr>
    </w:p>
    <w:p w14:paraId="6CB25ABE" w14:textId="77777777" w:rsidR="00BE4D8E" w:rsidRDefault="00BE4D8E" w:rsidP="00CB2D06">
      <w:pPr>
        <w:pStyle w:val="Heading3"/>
      </w:pPr>
      <w:r>
        <w:t xml:space="preserve">Resources </w:t>
      </w:r>
    </w:p>
    <w:p w14:paraId="6CB25ABF" w14:textId="77777777" w:rsidR="00864CB9" w:rsidRDefault="00864CB9" w:rsidP="00864CB9">
      <w:pPr>
        <w:pStyle w:val="ListParagraph"/>
        <w:spacing w:before="0"/>
        <w:ind w:left="2880"/>
        <w:rPr>
          <w:rFonts w:ascii="Palatino Linotype" w:hAnsi="Palatino Linotype"/>
          <w:sz w:val="22"/>
          <w:szCs w:val="22"/>
        </w:rPr>
      </w:pPr>
    </w:p>
    <w:p w14:paraId="6CB25AC0" w14:textId="77777777" w:rsidR="00044BA4" w:rsidRPr="00044BA4" w:rsidRDefault="0093609C" w:rsidP="00864CB9">
      <w:pPr>
        <w:pStyle w:val="ListParagraph"/>
        <w:spacing w:before="0"/>
        <w:ind w:left="2880"/>
        <w:rPr>
          <w:rFonts w:ascii="Palatino Linotype" w:hAnsi="Palatino Linotype"/>
          <w:sz w:val="22"/>
          <w:szCs w:val="22"/>
        </w:rPr>
      </w:pPr>
      <w:r>
        <w:rPr>
          <w:rFonts w:ascii="Palatino Linotype" w:hAnsi="Palatino Linotype"/>
          <w:sz w:val="22"/>
          <w:szCs w:val="22"/>
        </w:rPr>
        <w:t>Please see resource details from Section 3.6.</w:t>
      </w:r>
    </w:p>
    <w:p w14:paraId="6CB25AC1" w14:textId="77777777" w:rsidR="004B3B10" w:rsidRDefault="00851BF4" w:rsidP="00851BF4">
      <w:pPr>
        <w:rPr>
          <w:rFonts w:ascii="Palatino Linotype" w:hAnsi="Palatino Linotype"/>
          <w:i/>
          <w:color w:val="2E74B5" w:themeColor="accent1" w:themeShade="BF"/>
          <w:sz w:val="22"/>
          <w:szCs w:val="22"/>
        </w:rPr>
      </w:pPr>
      <w:r>
        <w:tab/>
      </w:r>
      <w:r>
        <w:tab/>
      </w:r>
    </w:p>
    <w:p w14:paraId="6CB25AC2" w14:textId="77777777" w:rsidR="00851BF4" w:rsidRDefault="00D92A3A" w:rsidP="00851BF4">
      <w:pPr>
        <w:pStyle w:val="Heading1"/>
      </w:pPr>
      <w:r>
        <w:lastRenderedPageBreak/>
        <w:t>Key Stakeholders (Internal and External)</w:t>
      </w:r>
    </w:p>
    <w:p w14:paraId="6CB25AC3" w14:textId="77777777" w:rsidR="00851BF4" w:rsidRDefault="00851BF4" w:rsidP="00851BF4">
      <w:pPr>
        <w:spacing w:before="0"/>
        <w:ind w:left="720" w:firstLine="576"/>
        <w:rPr>
          <w:rFonts w:ascii="Palatino Linotype" w:hAnsi="Palatino Linotype"/>
          <w:sz w:val="22"/>
          <w:szCs w:val="22"/>
        </w:rPr>
      </w:pPr>
    </w:p>
    <w:p w14:paraId="6CB25AC4" w14:textId="77777777" w:rsidR="001520D2" w:rsidRPr="001520D2" w:rsidRDefault="001520D2" w:rsidP="001520D2">
      <w:pPr>
        <w:spacing w:before="0"/>
        <w:ind w:left="432"/>
        <w:rPr>
          <w:rFonts w:ascii="Palatino Linotype" w:hAnsi="Palatino Linotype"/>
          <w:sz w:val="22"/>
          <w:szCs w:val="22"/>
        </w:rPr>
      </w:pPr>
      <w:r w:rsidRPr="001520D2">
        <w:rPr>
          <w:rFonts w:ascii="Palatino Linotype" w:hAnsi="Palatino Linotype"/>
          <w:sz w:val="22"/>
          <w:szCs w:val="22"/>
        </w:rPr>
        <w:t xml:space="preserve">Stakeholders include: </w:t>
      </w:r>
    </w:p>
    <w:p w14:paraId="6CB25AC5" w14:textId="77777777" w:rsidR="001520D2" w:rsidRDefault="001520D2" w:rsidP="001520D2">
      <w:pPr>
        <w:spacing w:before="0"/>
        <w:ind w:left="720" w:firstLine="576"/>
        <w:rPr>
          <w:rFonts w:ascii="Palatino Linotype" w:hAnsi="Palatino Linotype"/>
          <w:sz w:val="22"/>
          <w:szCs w:val="22"/>
        </w:rPr>
      </w:pPr>
    </w:p>
    <w:p w14:paraId="6CB25AC6" w14:textId="77777777" w:rsidR="001520D2" w:rsidRPr="001520D2" w:rsidRDefault="001520D2" w:rsidP="00FC7441">
      <w:pPr>
        <w:pStyle w:val="BodyText"/>
        <w:ind w:left="432"/>
      </w:pPr>
      <w:r w:rsidRPr="001520D2">
        <w:t>•</w:t>
      </w:r>
      <w:r w:rsidRPr="001520D2">
        <w:tab/>
        <w:t>D - Direct Customer Stakeholder Group(s):  Direct customer stakeholder groups receive the benefit or harm of the change initiative.</w:t>
      </w:r>
    </w:p>
    <w:p w14:paraId="6CB25AC7" w14:textId="77777777" w:rsidR="001520D2" w:rsidRPr="001520D2" w:rsidRDefault="001520D2" w:rsidP="00FC7441">
      <w:pPr>
        <w:pStyle w:val="BodyText"/>
        <w:ind w:left="432"/>
      </w:pPr>
      <w:r w:rsidRPr="001520D2">
        <w:t>•</w:t>
      </w:r>
      <w:r w:rsidRPr="001520D2">
        <w:tab/>
        <w:t>I - Indirect Customer Stakeholder Group(s):  Indirect customer stakeholder groups are once removed from the direct impact of a change.  They are noted when it is possible they will experience an indirect benefit or harm resulting from the change initiative.  This impact should be considered during Analyze and Design.</w:t>
      </w:r>
    </w:p>
    <w:p w14:paraId="6CB25AC8" w14:textId="77777777" w:rsidR="001520D2" w:rsidRPr="001520D2" w:rsidRDefault="001520D2" w:rsidP="00FC7441">
      <w:pPr>
        <w:pStyle w:val="BodyText"/>
        <w:ind w:left="432"/>
      </w:pPr>
      <w:r w:rsidRPr="001520D2">
        <w:t>•</w:t>
      </w:r>
      <w:r w:rsidRPr="001520D2">
        <w:tab/>
        <w:t>M - Manager Stakeholder(s):  Listed by job title, manager stakeholders have the authority to authorize the addition, change or removal of processes, systems, or governing documents.</w:t>
      </w:r>
    </w:p>
    <w:p w14:paraId="6CB25AC9" w14:textId="77777777" w:rsidR="001520D2" w:rsidRPr="001520D2" w:rsidRDefault="001520D2" w:rsidP="00FC7441">
      <w:pPr>
        <w:pStyle w:val="BodyText"/>
        <w:ind w:left="432"/>
      </w:pPr>
      <w:r w:rsidRPr="001520D2">
        <w:t>•</w:t>
      </w:r>
      <w:r w:rsidRPr="001520D2">
        <w:tab/>
        <w:t>B - Builder Stakeholder Group(s):  Listed by group, builder stakeholders are those who provide the resources to do the work to implement the change</w:t>
      </w:r>
    </w:p>
    <w:p w14:paraId="6CB25ACA" w14:textId="77777777" w:rsidR="001520D2" w:rsidRDefault="001520D2" w:rsidP="001520D2">
      <w:pPr>
        <w:spacing w:before="0"/>
        <w:ind w:left="720" w:firstLine="576"/>
        <w:rPr>
          <w:rFonts w:ascii="Palatino Linotype" w:hAnsi="Palatino Linotype"/>
          <w:sz w:val="22"/>
          <w:szCs w:val="22"/>
        </w:rPr>
      </w:pPr>
    </w:p>
    <w:p w14:paraId="6CB25ACB" w14:textId="77777777" w:rsidR="001520D2" w:rsidRPr="00851BF4" w:rsidRDefault="001520D2" w:rsidP="001520D2">
      <w:pPr>
        <w:spacing w:before="0"/>
        <w:ind w:firstLine="576"/>
        <w:rPr>
          <w:rFonts w:ascii="Palatino Linotype" w:hAnsi="Palatino Linotype"/>
          <w:sz w:val="22"/>
          <w:szCs w:val="22"/>
        </w:rPr>
      </w:pPr>
      <w:r w:rsidRPr="001520D2">
        <w:rPr>
          <w:rFonts w:ascii="Palatino Linotype" w:hAnsi="Palatino Linotype"/>
          <w:sz w:val="22"/>
          <w:szCs w:val="22"/>
        </w:rPr>
        <w:t>A stakeholder group can belong to both Customer and Builder groups.</w:t>
      </w:r>
    </w:p>
    <w:p w14:paraId="6CB25ACC" w14:textId="77777777" w:rsidR="00D92A3A" w:rsidRPr="00B76153" w:rsidRDefault="00D92A3A" w:rsidP="00D92A3A">
      <w:pPr>
        <w:pStyle w:val="Caption"/>
        <w:spacing w:before="160" w:after="0"/>
        <w:rPr>
          <w:rFonts w:ascii="Palatino Linotype" w:hAnsi="Palatino Linotype"/>
        </w:rPr>
      </w:pPr>
      <w:proofErr w:type="gramStart"/>
      <w:r w:rsidRPr="00B76153">
        <w:rPr>
          <w:rFonts w:ascii="Palatino Linotype" w:hAnsi="Palatino Linotype"/>
        </w:rPr>
        <w:t xml:space="preserve">Table </w:t>
      </w:r>
      <w:r w:rsidRPr="00B76153">
        <w:rPr>
          <w:rFonts w:ascii="Palatino Linotype" w:hAnsi="Palatino Linotype"/>
        </w:rPr>
        <w:fldChar w:fldCharType="begin"/>
      </w:r>
      <w:r w:rsidRPr="00B76153">
        <w:rPr>
          <w:rFonts w:ascii="Palatino Linotype" w:hAnsi="Palatino Linotype"/>
        </w:rPr>
        <w:instrText xml:space="preserve"> SEQ Table \* ARABIC </w:instrText>
      </w:r>
      <w:r w:rsidRPr="00B76153">
        <w:rPr>
          <w:rFonts w:ascii="Palatino Linotype" w:hAnsi="Palatino Linotype"/>
        </w:rPr>
        <w:fldChar w:fldCharType="separate"/>
      </w:r>
      <w:r w:rsidR="009F6CF5">
        <w:rPr>
          <w:rFonts w:ascii="Palatino Linotype" w:hAnsi="Palatino Linotype"/>
          <w:noProof/>
        </w:rPr>
        <w:t>1</w:t>
      </w:r>
      <w:r w:rsidRPr="00B76153">
        <w:rPr>
          <w:rFonts w:ascii="Palatino Linotype" w:hAnsi="Palatino Linotype"/>
          <w:noProof/>
        </w:rPr>
        <w:fldChar w:fldCharType="end"/>
      </w:r>
      <w:r w:rsidRPr="00B76153">
        <w:rPr>
          <w:rFonts w:ascii="Palatino Linotype" w:hAnsi="Palatino Linotype"/>
        </w:rPr>
        <w:t>.</w:t>
      </w:r>
      <w:proofErr w:type="gramEnd"/>
      <w:r w:rsidRPr="00B76153">
        <w:rPr>
          <w:rFonts w:ascii="Palatino Linotype" w:hAnsi="Palatino Linotype"/>
        </w:rPr>
        <w:t xml:space="preserve"> </w:t>
      </w:r>
      <w:r>
        <w:rPr>
          <w:rFonts w:ascii="Palatino Linotype" w:hAnsi="Palatino Linotype"/>
        </w:rPr>
        <w:t xml:space="preserve">Key </w:t>
      </w:r>
      <w:r w:rsidRPr="00B76153">
        <w:rPr>
          <w:rFonts w:ascii="Palatino Linotype" w:hAnsi="Palatino Linotype"/>
        </w:rPr>
        <w:t>Stakeholder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right w:w="115" w:type="dxa"/>
        </w:tblCellMar>
        <w:tblLook w:val="01E0" w:firstRow="1" w:lastRow="1" w:firstColumn="1" w:lastColumn="1" w:noHBand="0" w:noVBand="0"/>
      </w:tblPr>
      <w:tblGrid>
        <w:gridCol w:w="2363"/>
        <w:gridCol w:w="1802"/>
        <w:gridCol w:w="4705"/>
      </w:tblGrid>
      <w:tr w:rsidR="00D92A3A" w:rsidRPr="00B76153" w14:paraId="6CB25AD0" w14:textId="77777777" w:rsidTr="008C08B6">
        <w:trPr>
          <w:tblHeader/>
        </w:trPr>
        <w:tc>
          <w:tcPr>
            <w:tcW w:w="2363" w:type="dxa"/>
          </w:tcPr>
          <w:p w14:paraId="6CB25ACD" w14:textId="77777777" w:rsidR="00D92A3A" w:rsidRPr="00B76153" w:rsidRDefault="00D92A3A" w:rsidP="000B097E">
            <w:pPr>
              <w:pStyle w:val="TableHead"/>
            </w:pPr>
            <w:r>
              <w:t>Stakeholder</w:t>
            </w:r>
          </w:p>
        </w:tc>
        <w:tc>
          <w:tcPr>
            <w:tcW w:w="1802" w:type="dxa"/>
          </w:tcPr>
          <w:p w14:paraId="6CB25ACE" w14:textId="77777777" w:rsidR="00D92A3A" w:rsidRPr="00B76153" w:rsidRDefault="00D92A3A" w:rsidP="000B097E">
            <w:pPr>
              <w:pStyle w:val="TableHead"/>
            </w:pPr>
            <w:r w:rsidRPr="00B76153">
              <w:t>Stakeholder Role</w:t>
            </w:r>
          </w:p>
        </w:tc>
        <w:tc>
          <w:tcPr>
            <w:tcW w:w="4705" w:type="dxa"/>
          </w:tcPr>
          <w:p w14:paraId="6CB25ACF" w14:textId="77777777" w:rsidR="00D92A3A" w:rsidRPr="00B76153" w:rsidRDefault="00D92A3A" w:rsidP="000B097E">
            <w:pPr>
              <w:pStyle w:val="TableHead"/>
            </w:pPr>
            <w:r w:rsidRPr="00B76153">
              <w:t>How They Are Affected or How They Are Participating</w:t>
            </w:r>
          </w:p>
        </w:tc>
      </w:tr>
      <w:tr w:rsidR="00D92A3A" w:rsidRPr="00B76153" w14:paraId="6CB25ADF" w14:textId="77777777" w:rsidTr="008C08B6">
        <w:tc>
          <w:tcPr>
            <w:tcW w:w="2363" w:type="dxa"/>
          </w:tcPr>
          <w:p w14:paraId="6CB25AD1" w14:textId="77777777" w:rsidR="001E37F6" w:rsidRPr="00DF0F7C" w:rsidRDefault="00A145B2" w:rsidP="00A145B2">
            <w:pPr>
              <w:pStyle w:val="CellBodyL"/>
              <w:rPr>
                <w:rFonts w:ascii="Palatino Linotype" w:hAnsi="Palatino Linotype"/>
                <w:sz w:val="22"/>
                <w:szCs w:val="22"/>
              </w:rPr>
            </w:pPr>
            <w:r w:rsidRPr="00DF0F7C">
              <w:rPr>
                <w:rFonts w:ascii="Palatino Linotype" w:hAnsi="Palatino Linotype"/>
                <w:sz w:val="22"/>
                <w:szCs w:val="22"/>
              </w:rPr>
              <w:t>Power System Assessments</w:t>
            </w:r>
          </w:p>
        </w:tc>
        <w:tc>
          <w:tcPr>
            <w:tcW w:w="1802" w:type="dxa"/>
          </w:tcPr>
          <w:p w14:paraId="6CB25AD2" w14:textId="77777777" w:rsidR="00D92A3A" w:rsidRPr="00DF0F7C" w:rsidRDefault="00A145B2" w:rsidP="00A145B2">
            <w:pPr>
              <w:pStyle w:val="CellBodyL"/>
              <w:rPr>
                <w:rFonts w:ascii="Palatino Linotype" w:hAnsi="Palatino Linotype"/>
                <w:sz w:val="22"/>
                <w:szCs w:val="22"/>
              </w:rPr>
            </w:pPr>
            <w:r w:rsidRPr="00DF0F7C">
              <w:rPr>
                <w:rFonts w:ascii="Palatino Linotype" w:hAnsi="Palatino Linotype"/>
                <w:sz w:val="22"/>
                <w:szCs w:val="22"/>
              </w:rPr>
              <w:t>Direct Customer Stakeholder Group</w:t>
            </w:r>
          </w:p>
        </w:tc>
        <w:tc>
          <w:tcPr>
            <w:tcW w:w="4705" w:type="dxa"/>
          </w:tcPr>
          <w:p w14:paraId="6CB25AD3" w14:textId="77777777" w:rsidR="00A145B2" w:rsidRPr="00A145B2" w:rsidRDefault="00A145B2" w:rsidP="009C3721">
            <w:pPr>
              <w:pStyle w:val="BodyText0"/>
              <w:numPr>
                <w:ilvl w:val="0"/>
                <w:numId w:val="17"/>
              </w:numPr>
              <w:spacing w:before="80" w:after="80"/>
              <w:rPr>
                <w:i w:val="0"/>
                <w:color w:val="auto"/>
              </w:rPr>
            </w:pPr>
            <w:r w:rsidRPr="00A145B2">
              <w:rPr>
                <w:i w:val="0"/>
                <w:color w:val="auto"/>
              </w:rPr>
              <w:t xml:space="preserve">Qualify Capacity </w:t>
            </w:r>
          </w:p>
          <w:p w14:paraId="6CB25AD4" w14:textId="77777777" w:rsidR="00A145B2" w:rsidRPr="00A145B2" w:rsidRDefault="00A145B2" w:rsidP="009C3721">
            <w:pPr>
              <w:pStyle w:val="BodyText0"/>
              <w:numPr>
                <w:ilvl w:val="0"/>
                <w:numId w:val="17"/>
              </w:numPr>
              <w:spacing w:before="80" w:after="80"/>
              <w:rPr>
                <w:i w:val="0"/>
                <w:color w:val="auto"/>
              </w:rPr>
            </w:pPr>
            <w:r w:rsidRPr="00A145B2">
              <w:rPr>
                <w:i w:val="0"/>
                <w:color w:val="auto"/>
              </w:rPr>
              <w:t xml:space="preserve">Acquire Capacity </w:t>
            </w:r>
          </w:p>
          <w:p w14:paraId="6CB25AD5" w14:textId="77777777" w:rsidR="00A145B2" w:rsidRPr="00A145B2" w:rsidRDefault="00A145B2" w:rsidP="009C3721">
            <w:pPr>
              <w:pStyle w:val="BodyText0"/>
              <w:numPr>
                <w:ilvl w:val="0"/>
                <w:numId w:val="18"/>
              </w:numPr>
              <w:spacing w:before="80" w:after="80"/>
              <w:rPr>
                <w:i w:val="0"/>
                <w:color w:val="auto"/>
              </w:rPr>
            </w:pPr>
            <w:r w:rsidRPr="00A145B2">
              <w:rPr>
                <w:i w:val="0"/>
                <w:color w:val="auto"/>
              </w:rPr>
              <w:t>Conduct Auction</w:t>
            </w:r>
          </w:p>
          <w:p w14:paraId="6CB25AD6" w14:textId="77777777" w:rsidR="00A145B2" w:rsidRPr="00A145B2" w:rsidRDefault="00A145B2" w:rsidP="009C3721">
            <w:pPr>
              <w:pStyle w:val="BodyText0"/>
              <w:numPr>
                <w:ilvl w:val="0"/>
                <w:numId w:val="18"/>
              </w:numPr>
              <w:spacing w:before="80" w:after="80"/>
              <w:rPr>
                <w:i w:val="0"/>
                <w:color w:val="auto"/>
              </w:rPr>
            </w:pPr>
            <w:r w:rsidRPr="00A145B2">
              <w:rPr>
                <w:i w:val="0"/>
                <w:color w:val="auto"/>
              </w:rPr>
              <w:t>Monitor Capacity Readiness</w:t>
            </w:r>
          </w:p>
          <w:p w14:paraId="6CB25AD7" w14:textId="77777777" w:rsidR="00A145B2" w:rsidRPr="00A145B2" w:rsidRDefault="00A145B2" w:rsidP="009C3721">
            <w:pPr>
              <w:pStyle w:val="BodyText0"/>
              <w:numPr>
                <w:ilvl w:val="0"/>
                <w:numId w:val="17"/>
              </w:numPr>
              <w:spacing w:before="80" w:after="80"/>
              <w:rPr>
                <w:i w:val="0"/>
                <w:color w:val="auto"/>
              </w:rPr>
            </w:pPr>
            <w:r w:rsidRPr="00A145B2">
              <w:rPr>
                <w:i w:val="0"/>
                <w:color w:val="auto"/>
              </w:rPr>
              <w:t>Market facing documentation</w:t>
            </w:r>
          </w:p>
          <w:p w14:paraId="6CB25AD8" w14:textId="77777777" w:rsidR="00A145B2" w:rsidRPr="00A145B2" w:rsidRDefault="00A145B2" w:rsidP="009C3721">
            <w:pPr>
              <w:pStyle w:val="BodyText0"/>
              <w:numPr>
                <w:ilvl w:val="0"/>
                <w:numId w:val="17"/>
              </w:numPr>
              <w:spacing w:before="80" w:after="80"/>
              <w:rPr>
                <w:i w:val="0"/>
                <w:color w:val="auto"/>
              </w:rPr>
            </w:pPr>
            <w:r w:rsidRPr="00A145B2">
              <w:rPr>
                <w:i w:val="0"/>
                <w:color w:val="auto"/>
              </w:rPr>
              <w:t xml:space="preserve">Manage Enrolment Request </w:t>
            </w:r>
          </w:p>
          <w:p w14:paraId="6CB25AD9" w14:textId="77777777" w:rsidR="00A145B2" w:rsidRPr="00A145B2" w:rsidRDefault="00A145B2" w:rsidP="009C3721">
            <w:pPr>
              <w:pStyle w:val="BodyText0"/>
              <w:numPr>
                <w:ilvl w:val="0"/>
                <w:numId w:val="17"/>
              </w:numPr>
              <w:spacing w:before="80" w:after="80"/>
              <w:rPr>
                <w:i w:val="0"/>
                <w:color w:val="auto"/>
              </w:rPr>
            </w:pPr>
            <w:r w:rsidRPr="00A145B2">
              <w:rPr>
                <w:i w:val="0"/>
                <w:color w:val="auto"/>
              </w:rPr>
              <w:t>Authorize Market and Program Participation (Auction Participant)</w:t>
            </w:r>
          </w:p>
          <w:p w14:paraId="6CB25ADA" w14:textId="77777777" w:rsidR="00A145B2" w:rsidRPr="00A145B2" w:rsidRDefault="00A145B2" w:rsidP="009C3721">
            <w:pPr>
              <w:pStyle w:val="BodyText0"/>
              <w:numPr>
                <w:ilvl w:val="0"/>
                <w:numId w:val="17"/>
              </w:numPr>
              <w:spacing w:before="80" w:after="80"/>
              <w:rPr>
                <w:i w:val="0"/>
                <w:color w:val="auto"/>
              </w:rPr>
            </w:pPr>
            <w:r w:rsidRPr="00A145B2">
              <w:rPr>
                <w:i w:val="0"/>
                <w:color w:val="auto"/>
              </w:rPr>
              <w:t>Manage Enrolment Request to Authorize for the Physical Market (</w:t>
            </w:r>
            <w:r w:rsidR="00965808">
              <w:rPr>
                <w:i w:val="0"/>
                <w:color w:val="auto"/>
              </w:rPr>
              <w:t>Auction</w:t>
            </w:r>
            <w:r w:rsidRPr="00A145B2">
              <w:rPr>
                <w:i w:val="0"/>
                <w:color w:val="auto"/>
              </w:rPr>
              <w:t xml:space="preserve"> Market Participant)</w:t>
            </w:r>
          </w:p>
          <w:p w14:paraId="6CB25ADB" w14:textId="77777777" w:rsidR="00A145B2" w:rsidRPr="00A145B2" w:rsidRDefault="00A145B2" w:rsidP="009C3721">
            <w:pPr>
              <w:pStyle w:val="BodyText0"/>
              <w:numPr>
                <w:ilvl w:val="0"/>
                <w:numId w:val="17"/>
              </w:numPr>
              <w:spacing w:before="80" w:after="80"/>
              <w:rPr>
                <w:i w:val="0"/>
                <w:color w:val="auto"/>
              </w:rPr>
            </w:pPr>
            <w:r w:rsidRPr="00A145B2">
              <w:rPr>
                <w:i w:val="0"/>
                <w:color w:val="auto"/>
              </w:rPr>
              <w:t xml:space="preserve">Register Facilities (both physical and virtual facilities) </w:t>
            </w:r>
          </w:p>
          <w:p w14:paraId="6CB25ADC" w14:textId="77777777" w:rsidR="00A145B2" w:rsidRPr="00A145B2" w:rsidRDefault="00A145B2" w:rsidP="009C3721">
            <w:pPr>
              <w:pStyle w:val="BodyText0"/>
              <w:numPr>
                <w:ilvl w:val="1"/>
                <w:numId w:val="17"/>
              </w:numPr>
              <w:spacing w:before="80" w:after="80"/>
              <w:rPr>
                <w:i w:val="0"/>
                <w:color w:val="auto"/>
              </w:rPr>
            </w:pPr>
            <w:r w:rsidRPr="00A145B2">
              <w:rPr>
                <w:i w:val="0"/>
                <w:color w:val="auto"/>
              </w:rPr>
              <w:lastRenderedPageBreak/>
              <w:t xml:space="preserve">Physical </w:t>
            </w:r>
            <w:r w:rsidR="00965808">
              <w:rPr>
                <w:i w:val="0"/>
                <w:color w:val="auto"/>
              </w:rPr>
              <w:t>Generator</w:t>
            </w:r>
            <w:r w:rsidR="00965808" w:rsidRPr="00A145B2">
              <w:rPr>
                <w:i w:val="0"/>
                <w:color w:val="auto"/>
              </w:rPr>
              <w:t xml:space="preserve"> </w:t>
            </w:r>
            <w:r w:rsidRPr="00A145B2">
              <w:rPr>
                <w:i w:val="0"/>
                <w:color w:val="auto"/>
              </w:rPr>
              <w:t>Facility;</w:t>
            </w:r>
          </w:p>
          <w:p w14:paraId="6CB25ADD" w14:textId="77777777" w:rsidR="002337E6" w:rsidRDefault="002337E6" w:rsidP="009C3721">
            <w:pPr>
              <w:pStyle w:val="BodyText0"/>
              <w:numPr>
                <w:ilvl w:val="0"/>
                <w:numId w:val="17"/>
              </w:numPr>
              <w:spacing w:before="80" w:after="80"/>
              <w:rPr>
                <w:i w:val="0"/>
                <w:color w:val="auto"/>
              </w:rPr>
            </w:pPr>
            <w:r>
              <w:rPr>
                <w:i w:val="0"/>
                <w:color w:val="auto"/>
              </w:rPr>
              <w:t xml:space="preserve">Market facing </w:t>
            </w:r>
            <w:r w:rsidR="00710E7E">
              <w:rPr>
                <w:i w:val="0"/>
                <w:color w:val="auto"/>
              </w:rPr>
              <w:t>documentation</w:t>
            </w:r>
          </w:p>
          <w:p w14:paraId="6CB25ADE" w14:textId="77777777" w:rsidR="001E37F6" w:rsidRPr="00B76153" w:rsidRDefault="001E37F6" w:rsidP="002337E6">
            <w:pPr>
              <w:pStyle w:val="BodyText0"/>
              <w:spacing w:before="80" w:after="80"/>
              <w:ind w:left="360"/>
            </w:pPr>
          </w:p>
        </w:tc>
      </w:tr>
      <w:tr w:rsidR="00D92A3A" w:rsidRPr="00B76153" w14:paraId="6CB25AE7" w14:textId="77777777" w:rsidTr="008C08B6">
        <w:tc>
          <w:tcPr>
            <w:tcW w:w="2363" w:type="dxa"/>
          </w:tcPr>
          <w:p w14:paraId="6CB25AE0" w14:textId="77777777" w:rsidR="00D92A3A" w:rsidRPr="00315CD7" w:rsidRDefault="002337E6" w:rsidP="001E37F6">
            <w:pPr>
              <w:pStyle w:val="CellBodyL"/>
              <w:rPr>
                <w:rFonts w:ascii="Palatino Linotype" w:hAnsi="Palatino Linotype"/>
                <w:sz w:val="22"/>
                <w:szCs w:val="22"/>
              </w:rPr>
            </w:pPr>
            <w:r w:rsidRPr="00710E7E">
              <w:rPr>
                <w:rFonts w:ascii="Palatino Linotype" w:hAnsi="Palatino Linotype"/>
                <w:sz w:val="22"/>
                <w:szCs w:val="22"/>
              </w:rPr>
              <w:lastRenderedPageBreak/>
              <w:t>Market Operations – Market Forecasts &amp; Integration</w:t>
            </w:r>
          </w:p>
        </w:tc>
        <w:tc>
          <w:tcPr>
            <w:tcW w:w="1802" w:type="dxa"/>
          </w:tcPr>
          <w:p w14:paraId="6CB25AE1" w14:textId="77777777" w:rsidR="00D92A3A" w:rsidRPr="00B76153" w:rsidRDefault="002337E6" w:rsidP="008C08B6">
            <w:pPr>
              <w:pStyle w:val="CellBodyL"/>
              <w:rPr>
                <w:rFonts w:ascii="Palatino Linotype" w:hAnsi="Palatino Linotype"/>
              </w:rPr>
            </w:pPr>
            <w:r w:rsidRPr="00DF0F7C">
              <w:rPr>
                <w:rFonts w:ascii="Palatino Linotype" w:hAnsi="Palatino Linotype"/>
                <w:sz w:val="22"/>
                <w:szCs w:val="22"/>
              </w:rPr>
              <w:t>Direct Customer Stakeholder Group</w:t>
            </w:r>
          </w:p>
        </w:tc>
        <w:tc>
          <w:tcPr>
            <w:tcW w:w="4705" w:type="dxa"/>
          </w:tcPr>
          <w:p w14:paraId="6CB25AE2" w14:textId="77777777" w:rsidR="002337E6" w:rsidRPr="002337E6" w:rsidRDefault="002337E6" w:rsidP="009C3721">
            <w:pPr>
              <w:pStyle w:val="BodyText0"/>
              <w:numPr>
                <w:ilvl w:val="0"/>
                <w:numId w:val="19"/>
              </w:numPr>
              <w:spacing w:before="80" w:after="80"/>
              <w:rPr>
                <w:i w:val="0"/>
                <w:color w:val="auto"/>
              </w:rPr>
            </w:pPr>
            <w:r w:rsidRPr="002337E6">
              <w:rPr>
                <w:i w:val="0"/>
                <w:color w:val="auto"/>
              </w:rPr>
              <w:t>Determine in-market capacity available for planning horizon</w:t>
            </w:r>
          </w:p>
          <w:p w14:paraId="6CB25AE3" w14:textId="77777777" w:rsidR="002337E6" w:rsidRPr="002337E6" w:rsidRDefault="002337E6" w:rsidP="009C3721">
            <w:pPr>
              <w:pStyle w:val="BodyText0"/>
              <w:numPr>
                <w:ilvl w:val="0"/>
                <w:numId w:val="19"/>
              </w:numPr>
              <w:spacing w:before="80" w:after="80"/>
              <w:rPr>
                <w:i w:val="0"/>
                <w:color w:val="auto"/>
              </w:rPr>
            </w:pPr>
            <w:r w:rsidRPr="002337E6">
              <w:rPr>
                <w:i w:val="0"/>
                <w:color w:val="auto"/>
              </w:rPr>
              <w:t>Utilize available in-market capacity for day-ahead commitment</w:t>
            </w:r>
          </w:p>
          <w:p w14:paraId="6CB25AE4" w14:textId="77777777" w:rsidR="002337E6" w:rsidRDefault="002337E6" w:rsidP="009C3721">
            <w:pPr>
              <w:pStyle w:val="BodyText0"/>
              <w:numPr>
                <w:ilvl w:val="0"/>
                <w:numId w:val="19"/>
              </w:numPr>
              <w:spacing w:before="80" w:after="80"/>
              <w:rPr>
                <w:i w:val="0"/>
                <w:color w:val="auto"/>
              </w:rPr>
            </w:pPr>
            <w:r w:rsidRPr="002337E6">
              <w:rPr>
                <w:i w:val="0"/>
                <w:color w:val="auto"/>
              </w:rPr>
              <w:t xml:space="preserve">Outage/Unavailability of </w:t>
            </w:r>
            <w:r w:rsidR="00FB06B3">
              <w:rPr>
                <w:i w:val="0"/>
                <w:color w:val="auto"/>
              </w:rPr>
              <w:t>TCA</w:t>
            </w:r>
            <w:r w:rsidRPr="002337E6">
              <w:rPr>
                <w:i w:val="0"/>
                <w:color w:val="auto"/>
              </w:rPr>
              <w:t xml:space="preserve"> resources </w:t>
            </w:r>
          </w:p>
          <w:p w14:paraId="6CB25AE5" w14:textId="77777777" w:rsidR="002337E6" w:rsidRPr="002337E6" w:rsidRDefault="002337E6" w:rsidP="009C3721">
            <w:pPr>
              <w:pStyle w:val="BodyText0"/>
              <w:numPr>
                <w:ilvl w:val="0"/>
                <w:numId w:val="19"/>
              </w:numPr>
              <w:spacing w:before="80" w:after="80"/>
              <w:rPr>
                <w:i w:val="0"/>
                <w:color w:val="auto"/>
              </w:rPr>
            </w:pPr>
            <w:r>
              <w:rPr>
                <w:i w:val="0"/>
                <w:color w:val="auto"/>
              </w:rPr>
              <w:t>Market facing documentation</w:t>
            </w:r>
          </w:p>
          <w:p w14:paraId="6CB25AE6" w14:textId="77777777" w:rsidR="00D92A3A" w:rsidRPr="00B76153" w:rsidRDefault="00D92A3A" w:rsidP="002337E6">
            <w:pPr>
              <w:pStyle w:val="BodyText0"/>
              <w:spacing w:before="80" w:after="80"/>
              <w:ind w:left="360"/>
            </w:pPr>
          </w:p>
        </w:tc>
      </w:tr>
      <w:tr w:rsidR="00C454F0" w:rsidRPr="00B76153" w14:paraId="6CB25AED" w14:textId="77777777" w:rsidTr="008C08B6">
        <w:tc>
          <w:tcPr>
            <w:tcW w:w="2363" w:type="dxa"/>
          </w:tcPr>
          <w:p w14:paraId="6CB25AE8" w14:textId="77777777" w:rsidR="00C454F0" w:rsidRPr="00315CD7" w:rsidRDefault="00C454F0" w:rsidP="008C08B6">
            <w:pPr>
              <w:pStyle w:val="CellBodyL"/>
              <w:rPr>
                <w:rFonts w:ascii="Palatino Linotype" w:hAnsi="Palatino Linotype"/>
                <w:sz w:val="22"/>
                <w:szCs w:val="22"/>
              </w:rPr>
            </w:pPr>
            <w:r w:rsidRPr="00315CD7">
              <w:rPr>
                <w:rFonts w:ascii="Palatino Linotype" w:hAnsi="Palatino Linotype"/>
                <w:sz w:val="22"/>
                <w:szCs w:val="22"/>
              </w:rPr>
              <w:t>Market Operations – System Operations</w:t>
            </w:r>
          </w:p>
        </w:tc>
        <w:tc>
          <w:tcPr>
            <w:tcW w:w="1802" w:type="dxa"/>
          </w:tcPr>
          <w:p w14:paraId="6CB25AE9" w14:textId="77777777" w:rsidR="00C454F0" w:rsidRPr="00B76153" w:rsidRDefault="00C454F0" w:rsidP="008C08B6">
            <w:pPr>
              <w:pStyle w:val="CellBodyL"/>
              <w:rPr>
                <w:rFonts w:ascii="Palatino Linotype" w:hAnsi="Palatino Linotype"/>
              </w:rPr>
            </w:pPr>
            <w:r w:rsidRPr="00DF0F7C">
              <w:rPr>
                <w:rFonts w:ascii="Palatino Linotype" w:hAnsi="Palatino Linotype"/>
                <w:sz w:val="22"/>
                <w:szCs w:val="22"/>
              </w:rPr>
              <w:t>Direct Customer Stakeholder Group</w:t>
            </w:r>
          </w:p>
        </w:tc>
        <w:tc>
          <w:tcPr>
            <w:tcW w:w="4705" w:type="dxa"/>
          </w:tcPr>
          <w:p w14:paraId="6CB25AEA" w14:textId="77777777" w:rsidR="00C454F0" w:rsidRPr="003B6E21" w:rsidRDefault="00C454F0" w:rsidP="009C3721">
            <w:pPr>
              <w:pStyle w:val="BodyText0"/>
              <w:numPr>
                <w:ilvl w:val="0"/>
                <w:numId w:val="20"/>
              </w:numPr>
              <w:spacing w:before="80" w:after="80"/>
              <w:rPr>
                <w:i w:val="0"/>
                <w:color w:val="auto"/>
              </w:rPr>
            </w:pPr>
            <w:r w:rsidRPr="003B6E21">
              <w:rPr>
                <w:i w:val="0"/>
                <w:color w:val="auto"/>
              </w:rPr>
              <w:t>Utilize available in-market capacity for dispatch scheduling to manage reliability</w:t>
            </w:r>
          </w:p>
          <w:p w14:paraId="6CB25AEB" w14:textId="77777777" w:rsidR="00C454F0" w:rsidRPr="003B6E21" w:rsidRDefault="00C454F0" w:rsidP="009C3721">
            <w:pPr>
              <w:pStyle w:val="BodyText0"/>
              <w:numPr>
                <w:ilvl w:val="0"/>
                <w:numId w:val="20"/>
              </w:numPr>
              <w:spacing w:before="80" w:after="80"/>
              <w:rPr>
                <w:i w:val="0"/>
                <w:color w:val="auto"/>
              </w:rPr>
            </w:pPr>
            <w:r w:rsidRPr="003B6E21">
              <w:rPr>
                <w:i w:val="0"/>
                <w:color w:val="auto"/>
              </w:rPr>
              <w:t xml:space="preserve">Confirm or adjust available in-market capacity as part of ex-post activity </w:t>
            </w:r>
          </w:p>
          <w:p w14:paraId="6CB25AEC" w14:textId="77777777" w:rsidR="00C454F0" w:rsidRPr="00B76153" w:rsidRDefault="00C454F0" w:rsidP="009C3721">
            <w:pPr>
              <w:pStyle w:val="BodyText0"/>
              <w:numPr>
                <w:ilvl w:val="0"/>
                <w:numId w:val="20"/>
              </w:numPr>
              <w:spacing w:before="80" w:after="80"/>
            </w:pPr>
            <w:r w:rsidRPr="003B6E21">
              <w:rPr>
                <w:i w:val="0"/>
                <w:color w:val="auto"/>
              </w:rPr>
              <w:t>Market facing documentation</w:t>
            </w:r>
          </w:p>
        </w:tc>
      </w:tr>
      <w:tr w:rsidR="00C454F0" w:rsidRPr="00B76153" w14:paraId="6CB25AF3" w14:textId="77777777" w:rsidTr="00C03370">
        <w:tc>
          <w:tcPr>
            <w:tcW w:w="2363" w:type="dxa"/>
            <w:vAlign w:val="center"/>
          </w:tcPr>
          <w:p w14:paraId="6CB25AEE" w14:textId="77777777" w:rsidR="00C454F0" w:rsidRPr="00315CD7" w:rsidRDefault="00C454F0" w:rsidP="008C08B6">
            <w:pPr>
              <w:pStyle w:val="CellBodyL"/>
              <w:rPr>
                <w:rFonts w:ascii="Palatino Linotype" w:hAnsi="Palatino Linotype"/>
                <w:sz w:val="22"/>
                <w:szCs w:val="22"/>
              </w:rPr>
            </w:pPr>
            <w:r w:rsidRPr="00315CD7">
              <w:rPr>
                <w:rFonts w:ascii="Palatino Linotype" w:hAnsi="Palatino Linotype"/>
                <w:sz w:val="22"/>
                <w:szCs w:val="22"/>
              </w:rPr>
              <w:t>Market Settlements</w:t>
            </w:r>
          </w:p>
        </w:tc>
        <w:tc>
          <w:tcPr>
            <w:tcW w:w="1802" w:type="dxa"/>
          </w:tcPr>
          <w:p w14:paraId="6CB25AEF" w14:textId="77777777" w:rsidR="00C454F0" w:rsidRPr="00B76153" w:rsidRDefault="00C454F0" w:rsidP="008C08B6">
            <w:pPr>
              <w:pStyle w:val="CellBodyL"/>
              <w:rPr>
                <w:rFonts w:ascii="Palatino Linotype" w:hAnsi="Palatino Linotype"/>
              </w:rPr>
            </w:pPr>
            <w:r w:rsidRPr="00DF0F7C">
              <w:rPr>
                <w:rFonts w:ascii="Palatino Linotype" w:hAnsi="Palatino Linotype"/>
                <w:sz w:val="22"/>
                <w:szCs w:val="22"/>
              </w:rPr>
              <w:t>Direct Customer Stakeholder Group</w:t>
            </w:r>
          </w:p>
        </w:tc>
        <w:tc>
          <w:tcPr>
            <w:tcW w:w="4705" w:type="dxa"/>
            <w:vAlign w:val="center"/>
          </w:tcPr>
          <w:p w14:paraId="6CB25AF0" w14:textId="77777777" w:rsidR="00C454F0" w:rsidRPr="003B6E21" w:rsidRDefault="00C454F0" w:rsidP="009C3721">
            <w:pPr>
              <w:pStyle w:val="BodyText0"/>
              <w:numPr>
                <w:ilvl w:val="0"/>
                <w:numId w:val="21"/>
              </w:numPr>
              <w:spacing w:before="80" w:after="80"/>
              <w:rPr>
                <w:i w:val="0"/>
                <w:color w:val="auto"/>
              </w:rPr>
            </w:pPr>
            <w:r w:rsidRPr="003B6E21">
              <w:rPr>
                <w:i w:val="0"/>
                <w:color w:val="auto"/>
              </w:rPr>
              <w:t xml:space="preserve">Settle payments, set-offs, </w:t>
            </w:r>
            <w:proofErr w:type="spellStart"/>
            <w:r w:rsidRPr="003B6E21">
              <w:rPr>
                <w:i w:val="0"/>
                <w:color w:val="auto"/>
              </w:rPr>
              <w:t>clawbacks</w:t>
            </w:r>
            <w:proofErr w:type="spellEnd"/>
            <w:r w:rsidRPr="003B6E21">
              <w:rPr>
                <w:i w:val="0"/>
                <w:color w:val="auto"/>
              </w:rPr>
              <w:t>, cost recovery</w:t>
            </w:r>
          </w:p>
          <w:p w14:paraId="6CB25AF1" w14:textId="77777777" w:rsidR="00C454F0" w:rsidRPr="003B6E21" w:rsidRDefault="00C454F0" w:rsidP="009C3721">
            <w:pPr>
              <w:pStyle w:val="BodyText0"/>
              <w:numPr>
                <w:ilvl w:val="0"/>
                <w:numId w:val="21"/>
              </w:numPr>
              <w:spacing w:before="80" w:after="80"/>
              <w:rPr>
                <w:i w:val="0"/>
                <w:color w:val="auto"/>
              </w:rPr>
            </w:pPr>
            <w:r w:rsidRPr="003B6E21">
              <w:rPr>
                <w:i w:val="0"/>
                <w:color w:val="auto"/>
              </w:rPr>
              <w:t>Create new charge types to facilitate settlement of payments, set-offs and cost recovery as required</w:t>
            </w:r>
          </w:p>
          <w:p w14:paraId="6CB25AF2" w14:textId="77777777" w:rsidR="00C454F0" w:rsidRPr="00B76153" w:rsidRDefault="00C454F0" w:rsidP="009C3721">
            <w:pPr>
              <w:pStyle w:val="BodyText0"/>
              <w:numPr>
                <w:ilvl w:val="0"/>
                <w:numId w:val="21"/>
              </w:numPr>
              <w:spacing w:before="80" w:after="80"/>
            </w:pPr>
            <w:r w:rsidRPr="003B6E21">
              <w:rPr>
                <w:i w:val="0"/>
                <w:color w:val="auto"/>
              </w:rPr>
              <w:t>Market facing documentation</w:t>
            </w:r>
          </w:p>
        </w:tc>
      </w:tr>
      <w:tr w:rsidR="00C454F0" w:rsidRPr="00B76153" w14:paraId="6CB25AF8" w14:textId="77777777" w:rsidTr="00C03370">
        <w:tc>
          <w:tcPr>
            <w:tcW w:w="2363" w:type="dxa"/>
            <w:vAlign w:val="center"/>
          </w:tcPr>
          <w:p w14:paraId="6CB25AF4" w14:textId="77777777" w:rsidR="00C454F0" w:rsidRPr="00315CD7" w:rsidRDefault="00C454F0" w:rsidP="008C08B6">
            <w:pPr>
              <w:pStyle w:val="CellBodyL"/>
              <w:rPr>
                <w:rFonts w:ascii="Palatino Linotype" w:hAnsi="Palatino Linotype"/>
                <w:sz w:val="22"/>
                <w:szCs w:val="22"/>
              </w:rPr>
            </w:pPr>
            <w:r w:rsidRPr="00315CD7">
              <w:rPr>
                <w:rFonts w:ascii="Palatino Linotype" w:hAnsi="Palatino Linotype"/>
                <w:sz w:val="22"/>
                <w:szCs w:val="22"/>
              </w:rPr>
              <w:t>Meter Data Management</w:t>
            </w:r>
          </w:p>
        </w:tc>
        <w:tc>
          <w:tcPr>
            <w:tcW w:w="1802" w:type="dxa"/>
          </w:tcPr>
          <w:p w14:paraId="6CB25AF5" w14:textId="77777777" w:rsidR="00C454F0" w:rsidRPr="00B76153" w:rsidRDefault="00C454F0" w:rsidP="008C08B6">
            <w:pPr>
              <w:pStyle w:val="CellBodyL"/>
              <w:rPr>
                <w:rFonts w:ascii="Palatino Linotype" w:hAnsi="Palatino Linotype"/>
              </w:rPr>
            </w:pPr>
            <w:r w:rsidRPr="00DF0F7C">
              <w:rPr>
                <w:rFonts w:ascii="Palatino Linotype" w:hAnsi="Palatino Linotype"/>
                <w:sz w:val="22"/>
                <w:szCs w:val="22"/>
              </w:rPr>
              <w:t>Direct Customer Stakeholder Group</w:t>
            </w:r>
          </w:p>
        </w:tc>
        <w:tc>
          <w:tcPr>
            <w:tcW w:w="4705" w:type="dxa"/>
            <w:vAlign w:val="center"/>
          </w:tcPr>
          <w:p w14:paraId="6CB25AF6" w14:textId="77777777" w:rsidR="00C454F0" w:rsidRPr="003B6E21" w:rsidRDefault="00C454F0" w:rsidP="009C3721">
            <w:pPr>
              <w:pStyle w:val="BodyText0"/>
              <w:numPr>
                <w:ilvl w:val="0"/>
                <w:numId w:val="22"/>
              </w:numPr>
              <w:spacing w:before="80" w:after="80"/>
              <w:rPr>
                <w:i w:val="0"/>
                <w:color w:val="auto"/>
              </w:rPr>
            </w:pPr>
            <w:r w:rsidRPr="003B6E21">
              <w:rPr>
                <w:i w:val="0"/>
                <w:color w:val="auto"/>
              </w:rPr>
              <w:t xml:space="preserve">Register Revenue Meter Installation for </w:t>
            </w:r>
            <w:r w:rsidR="00D34AC2">
              <w:rPr>
                <w:i w:val="0"/>
                <w:color w:val="auto"/>
              </w:rPr>
              <w:t>Generator</w:t>
            </w:r>
            <w:r w:rsidRPr="003B6E21">
              <w:rPr>
                <w:i w:val="0"/>
                <w:color w:val="auto"/>
              </w:rPr>
              <w:t xml:space="preserve"> facilities</w:t>
            </w:r>
          </w:p>
          <w:p w14:paraId="6CB25AF7" w14:textId="77777777" w:rsidR="00C454F0" w:rsidRPr="00B76153" w:rsidRDefault="00C454F0" w:rsidP="009C3721">
            <w:pPr>
              <w:pStyle w:val="BodyText0"/>
              <w:numPr>
                <w:ilvl w:val="0"/>
                <w:numId w:val="22"/>
              </w:numPr>
              <w:spacing w:before="80" w:after="80"/>
            </w:pPr>
            <w:r w:rsidRPr="003B6E21">
              <w:rPr>
                <w:i w:val="0"/>
                <w:color w:val="auto"/>
              </w:rPr>
              <w:t>Market facing documentation</w:t>
            </w:r>
          </w:p>
        </w:tc>
      </w:tr>
      <w:tr w:rsidR="00C454F0" w:rsidRPr="00B76153" w14:paraId="6CB25AFF" w14:textId="77777777" w:rsidTr="00C03370">
        <w:tc>
          <w:tcPr>
            <w:tcW w:w="2363" w:type="dxa"/>
            <w:vAlign w:val="center"/>
          </w:tcPr>
          <w:p w14:paraId="6CB25AF9" w14:textId="77777777" w:rsidR="00C454F0" w:rsidRPr="00315CD7" w:rsidRDefault="00C454F0" w:rsidP="008C08B6">
            <w:pPr>
              <w:pStyle w:val="CellBodyL"/>
              <w:rPr>
                <w:rFonts w:ascii="Palatino Linotype" w:hAnsi="Palatino Linotype"/>
                <w:sz w:val="22"/>
                <w:szCs w:val="22"/>
              </w:rPr>
            </w:pPr>
            <w:r w:rsidRPr="00315CD7">
              <w:rPr>
                <w:rFonts w:ascii="Palatino Linotype" w:hAnsi="Palatino Linotype"/>
                <w:sz w:val="22"/>
                <w:szCs w:val="22"/>
              </w:rPr>
              <w:t xml:space="preserve"> Finance &amp; Treasury</w:t>
            </w:r>
          </w:p>
        </w:tc>
        <w:tc>
          <w:tcPr>
            <w:tcW w:w="1802" w:type="dxa"/>
          </w:tcPr>
          <w:p w14:paraId="6CB25AFA" w14:textId="77777777" w:rsidR="00C454F0" w:rsidRPr="00B76153" w:rsidRDefault="00C454F0" w:rsidP="008C08B6">
            <w:pPr>
              <w:pStyle w:val="CellBodyL"/>
              <w:rPr>
                <w:rFonts w:ascii="Palatino Linotype" w:hAnsi="Palatino Linotype"/>
              </w:rPr>
            </w:pPr>
            <w:r w:rsidRPr="00DF0F7C">
              <w:rPr>
                <w:rFonts w:ascii="Palatino Linotype" w:hAnsi="Palatino Linotype"/>
                <w:sz w:val="22"/>
                <w:szCs w:val="22"/>
              </w:rPr>
              <w:t>Direct Customer Stakeholder Group</w:t>
            </w:r>
          </w:p>
        </w:tc>
        <w:tc>
          <w:tcPr>
            <w:tcW w:w="4705" w:type="dxa"/>
            <w:vAlign w:val="center"/>
          </w:tcPr>
          <w:p w14:paraId="6CB25AFB" w14:textId="77777777" w:rsidR="00C454F0" w:rsidRPr="003B6E21" w:rsidRDefault="00C454F0" w:rsidP="009C3721">
            <w:pPr>
              <w:pStyle w:val="BodyText0"/>
              <w:numPr>
                <w:ilvl w:val="0"/>
                <w:numId w:val="23"/>
              </w:numPr>
              <w:spacing w:before="80" w:after="80"/>
              <w:rPr>
                <w:i w:val="0"/>
                <w:color w:val="auto"/>
              </w:rPr>
            </w:pPr>
            <w:r w:rsidRPr="003B6E21">
              <w:rPr>
                <w:i w:val="0"/>
                <w:color w:val="auto"/>
              </w:rPr>
              <w:t>Determine Auction Deposit</w:t>
            </w:r>
          </w:p>
          <w:p w14:paraId="6CB25AFC" w14:textId="77777777" w:rsidR="00C454F0" w:rsidRPr="003B6E21" w:rsidRDefault="00C454F0" w:rsidP="009C3721">
            <w:pPr>
              <w:pStyle w:val="BodyText0"/>
              <w:numPr>
                <w:ilvl w:val="0"/>
                <w:numId w:val="23"/>
              </w:numPr>
              <w:spacing w:before="80" w:after="80"/>
              <w:rPr>
                <w:i w:val="0"/>
                <w:color w:val="auto"/>
              </w:rPr>
            </w:pPr>
            <w:r w:rsidRPr="003B6E21">
              <w:rPr>
                <w:i w:val="0"/>
                <w:color w:val="auto"/>
              </w:rPr>
              <w:t>Collect, track, disburse deposit as required</w:t>
            </w:r>
          </w:p>
          <w:p w14:paraId="6CB25AFD" w14:textId="77777777" w:rsidR="00C454F0" w:rsidRPr="003B6E21" w:rsidRDefault="00C454F0" w:rsidP="009C3721">
            <w:pPr>
              <w:pStyle w:val="BodyText0"/>
              <w:numPr>
                <w:ilvl w:val="0"/>
                <w:numId w:val="23"/>
              </w:numPr>
              <w:spacing w:before="80" w:after="80"/>
              <w:rPr>
                <w:i w:val="0"/>
                <w:color w:val="auto"/>
              </w:rPr>
            </w:pPr>
            <w:r w:rsidRPr="003B6E21">
              <w:rPr>
                <w:i w:val="0"/>
                <w:color w:val="auto"/>
              </w:rPr>
              <w:t xml:space="preserve">Set Prudential Support for </w:t>
            </w:r>
            <w:r w:rsidR="006D0770">
              <w:rPr>
                <w:i w:val="0"/>
                <w:color w:val="auto"/>
              </w:rPr>
              <w:t>Capacity</w:t>
            </w:r>
            <w:r w:rsidR="0040285B">
              <w:rPr>
                <w:i w:val="0"/>
                <w:color w:val="auto"/>
              </w:rPr>
              <w:t xml:space="preserve"> </w:t>
            </w:r>
            <w:r w:rsidRPr="003B6E21">
              <w:rPr>
                <w:i w:val="0"/>
                <w:color w:val="auto"/>
              </w:rPr>
              <w:t>market participation</w:t>
            </w:r>
          </w:p>
          <w:p w14:paraId="6CB25AFE" w14:textId="77777777" w:rsidR="00C454F0" w:rsidRPr="00B76153" w:rsidRDefault="00C454F0" w:rsidP="009C3721">
            <w:pPr>
              <w:pStyle w:val="BodyText0"/>
              <w:numPr>
                <w:ilvl w:val="0"/>
                <w:numId w:val="23"/>
              </w:numPr>
              <w:spacing w:before="80" w:after="80"/>
            </w:pPr>
            <w:r w:rsidRPr="003B6E21">
              <w:rPr>
                <w:i w:val="0"/>
                <w:color w:val="auto"/>
              </w:rPr>
              <w:lastRenderedPageBreak/>
              <w:t>Market facing documentation</w:t>
            </w:r>
          </w:p>
        </w:tc>
      </w:tr>
      <w:tr w:rsidR="00C454F0" w:rsidRPr="00B76153" w14:paraId="6CB25B04" w14:textId="77777777" w:rsidTr="00C03370">
        <w:tc>
          <w:tcPr>
            <w:tcW w:w="2363" w:type="dxa"/>
            <w:vAlign w:val="center"/>
          </w:tcPr>
          <w:p w14:paraId="6CB25B00" w14:textId="77777777" w:rsidR="00C454F0" w:rsidRPr="00315CD7" w:rsidRDefault="00C454F0" w:rsidP="008C08B6">
            <w:pPr>
              <w:pStyle w:val="CellBodyL"/>
              <w:rPr>
                <w:rFonts w:ascii="Palatino Linotype" w:hAnsi="Palatino Linotype"/>
                <w:sz w:val="22"/>
                <w:szCs w:val="22"/>
              </w:rPr>
            </w:pPr>
            <w:r w:rsidRPr="00315CD7">
              <w:rPr>
                <w:rFonts w:ascii="Palatino Linotype" w:hAnsi="Palatino Linotype"/>
                <w:sz w:val="22"/>
                <w:szCs w:val="22"/>
              </w:rPr>
              <w:lastRenderedPageBreak/>
              <w:t>Information Technology &amp; Services</w:t>
            </w:r>
          </w:p>
        </w:tc>
        <w:tc>
          <w:tcPr>
            <w:tcW w:w="1802" w:type="dxa"/>
          </w:tcPr>
          <w:p w14:paraId="6CB25B01" w14:textId="77777777" w:rsidR="00C454F0" w:rsidRPr="00B76153" w:rsidRDefault="00C454F0" w:rsidP="008C08B6">
            <w:pPr>
              <w:pStyle w:val="CellBodyL"/>
              <w:rPr>
                <w:rFonts w:ascii="Palatino Linotype" w:hAnsi="Palatino Linotype"/>
              </w:rPr>
            </w:pPr>
            <w:r w:rsidRPr="00DF0F7C">
              <w:rPr>
                <w:rFonts w:ascii="Palatino Linotype" w:hAnsi="Palatino Linotype"/>
                <w:sz w:val="22"/>
                <w:szCs w:val="22"/>
              </w:rPr>
              <w:t>Direct Customer Stakeholder Group</w:t>
            </w:r>
          </w:p>
        </w:tc>
        <w:tc>
          <w:tcPr>
            <w:tcW w:w="4705" w:type="dxa"/>
            <w:vAlign w:val="center"/>
          </w:tcPr>
          <w:p w14:paraId="6CB25B02" w14:textId="77777777" w:rsidR="00C454F0" w:rsidRPr="003B6E21" w:rsidRDefault="00C454F0" w:rsidP="009C3721">
            <w:pPr>
              <w:pStyle w:val="BodyText0"/>
              <w:numPr>
                <w:ilvl w:val="0"/>
                <w:numId w:val="24"/>
              </w:numPr>
              <w:spacing w:before="80" w:after="80"/>
              <w:rPr>
                <w:i w:val="0"/>
                <w:color w:val="auto"/>
              </w:rPr>
            </w:pPr>
            <w:r w:rsidRPr="003B6E21">
              <w:rPr>
                <w:i w:val="0"/>
                <w:color w:val="auto"/>
              </w:rPr>
              <w:t>Publish pre auction and post auction reports as required</w:t>
            </w:r>
          </w:p>
          <w:p w14:paraId="6CB25B03" w14:textId="77777777" w:rsidR="00C454F0" w:rsidRPr="00B76153" w:rsidRDefault="00C454F0" w:rsidP="009C3721">
            <w:pPr>
              <w:pStyle w:val="BodyText0"/>
              <w:numPr>
                <w:ilvl w:val="0"/>
                <w:numId w:val="24"/>
              </w:numPr>
              <w:spacing w:before="80" w:after="80"/>
            </w:pPr>
            <w:r w:rsidRPr="003B6E21">
              <w:rPr>
                <w:i w:val="0"/>
                <w:color w:val="auto"/>
              </w:rPr>
              <w:t>Modify applications as required</w:t>
            </w:r>
          </w:p>
        </w:tc>
      </w:tr>
      <w:tr w:rsidR="00C454F0" w:rsidRPr="00B76153" w14:paraId="6CB25B09" w14:textId="77777777" w:rsidTr="00C03370">
        <w:tc>
          <w:tcPr>
            <w:tcW w:w="2363" w:type="dxa"/>
            <w:vAlign w:val="center"/>
          </w:tcPr>
          <w:p w14:paraId="6CB25B05" w14:textId="77777777" w:rsidR="00C454F0" w:rsidRPr="00315CD7" w:rsidRDefault="00C454F0" w:rsidP="008C08B6">
            <w:pPr>
              <w:pStyle w:val="CellBodyL"/>
              <w:rPr>
                <w:rFonts w:ascii="Palatino Linotype" w:hAnsi="Palatino Linotype"/>
                <w:sz w:val="22"/>
                <w:szCs w:val="22"/>
              </w:rPr>
            </w:pPr>
            <w:r w:rsidRPr="00315CD7">
              <w:rPr>
                <w:rFonts w:ascii="Palatino Linotype" w:hAnsi="Palatino Linotype"/>
                <w:sz w:val="22"/>
                <w:szCs w:val="22"/>
              </w:rPr>
              <w:t>MACD</w:t>
            </w:r>
          </w:p>
        </w:tc>
        <w:tc>
          <w:tcPr>
            <w:tcW w:w="1802" w:type="dxa"/>
          </w:tcPr>
          <w:p w14:paraId="6CB25B06" w14:textId="77777777" w:rsidR="00C454F0" w:rsidRPr="00B76153" w:rsidRDefault="00C454F0" w:rsidP="008C08B6">
            <w:pPr>
              <w:pStyle w:val="CellBodyL"/>
              <w:rPr>
                <w:rFonts w:ascii="Palatino Linotype" w:hAnsi="Palatino Linotype"/>
              </w:rPr>
            </w:pPr>
            <w:r w:rsidRPr="00DF0F7C">
              <w:rPr>
                <w:rFonts w:ascii="Palatino Linotype" w:hAnsi="Palatino Linotype"/>
                <w:sz w:val="22"/>
                <w:szCs w:val="22"/>
              </w:rPr>
              <w:t>Direct Customer Stakeholder Group</w:t>
            </w:r>
          </w:p>
        </w:tc>
        <w:tc>
          <w:tcPr>
            <w:tcW w:w="4705" w:type="dxa"/>
            <w:vAlign w:val="center"/>
          </w:tcPr>
          <w:p w14:paraId="6CB25B07" w14:textId="77777777" w:rsidR="00C454F0" w:rsidRPr="00E3648F" w:rsidRDefault="00C454F0" w:rsidP="009C3721">
            <w:pPr>
              <w:pStyle w:val="BodyText0"/>
              <w:numPr>
                <w:ilvl w:val="0"/>
                <w:numId w:val="25"/>
              </w:numPr>
              <w:spacing w:before="80" w:after="80"/>
              <w:rPr>
                <w:i w:val="0"/>
                <w:color w:val="auto"/>
              </w:rPr>
            </w:pPr>
            <w:r w:rsidRPr="00E3648F">
              <w:rPr>
                <w:i w:val="0"/>
                <w:color w:val="auto"/>
              </w:rPr>
              <w:t>Monitor for patterns of non-compliance and anomalies for cleared capacity, in-market capacity, and settlement amounts</w:t>
            </w:r>
          </w:p>
          <w:p w14:paraId="6CB25B08" w14:textId="77777777" w:rsidR="00C454F0" w:rsidRPr="00B76153" w:rsidRDefault="00C454F0" w:rsidP="009C3721">
            <w:pPr>
              <w:pStyle w:val="BodyText0"/>
              <w:numPr>
                <w:ilvl w:val="0"/>
                <w:numId w:val="25"/>
              </w:numPr>
              <w:spacing w:before="80" w:after="80"/>
            </w:pPr>
            <w:r w:rsidRPr="00E3648F">
              <w:rPr>
                <w:i w:val="0"/>
                <w:color w:val="auto"/>
              </w:rPr>
              <w:t>Enforce non-compliance</w:t>
            </w:r>
            <w:r>
              <w:t xml:space="preserve"> </w:t>
            </w:r>
          </w:p>
        </w:tc>
      </w:tr>
      <w:tr w:rsidR="00E42C31" w:rsidRPr="00B76153" w14:paraId="6CB25B0E" w14:textId="77777777" w:rsidTr="00C03370">
        <w:tc>
          <w:tcPr>
            <w:tcW w:w="2363" w:type="dxa"/>
            <w:vAlign w:val="center"/>
          </w:tcPr>
          <w:p w14:paraId="6CB25B0A" w14:textId="77777777" w:rsidR="00E42C31" w:rsidRPr="00315CD7" w:rsidRDefault="00E42C31" w:rsidP="008C08B6">
            <w:pPr>
              <w:pStyle w:val="CellBodyL"/>
              <w:rPr>
                <w:rFonts w:ascii="Palatino Linotype" w:hAnsi="Palatino Linotype"/>
                <w:sz w:val="22"/>
                <w:szCs w:val="22"/>
              </w:rPr>
            </w:pPr>
            <w:r w:rsidRPr="00315CD7">
              <w:rPr>
                <w:rFonts w:ascii="Palatino Linotype" w:hAnsi="Palatino Linotype"/>
                <w:sz w:val="22"/>
                <w:szCs w:val="22"/>
              </w:rPr>
              <w:t>Customer Outreach</w:t>
            </w:r>
          </w:p>
        </w:tc>
        <w:tc>
          <w:tcPr>
            <w:tcW w:w="1802" w:type="dxa"/>
          </w:tcPr>
          <w:p w14:paraId="6CB25B0B" w14:textId="77777777" w:rsidR="00E42C31" w:rsidRPr="00B76153" w:rsidRDefault="00E42C31" w:rsidP="008C08B6">
            <w:pPr>
              <w:pStyle w:val="CellBodyL"/>
              <w:rPr>
                <w:rFonts w:ascii="Palatino Linotype" w:hAnsi="Palatino Linotype"/>
              </w:rPr>
            </w:pPr>
            <w:r w:rsidRPr="00DF0F7C">
              <w:rPr>
                <w:rFonts w:ascii="Palatino Linotype" w:hAnsi="Palatino Linotype"/>
                <w:sz w:val="22"/>
                <w:szCs w:val="22"/>
              </w:rPr>
              <w:t>Direct Customer Stakeholder Group</w:t>
            </w:r>
          </w:p>
        </w:tc>
        <w:tc>
          <w:tcPr>
            <w:tcW w:w="4705" w:type="dxa"/>
            <w:vAlign w:val="center"/>
          </w:tcPr>
          <w:p w14:paraId="6CB25B0C" w14:textId="77777777" w:rsidR="00E42C31" w:rsidRPr="00804F55" w:rsidRDefault="00E42C31" w:rsidP="009C3721">
            <w:pPr>
              <w:pStyle w:val="BodyText0"/>
              <w:numPr>
                <w:ilvl w:val="0"/>
                <w:numId w:val="26"/>
              </w:numPr>
              <w:spacing w:before="80" w:after="80"/>
              <w:rPr>
                <w:i w:val="0"/>
                <w:color w:val="auto"/>
              </w:rPr>
            </w:pPr>
            <w:r w:rsidRPr="00804F55">
              <w:rPr>
                <w:i w:val="0"/>
                <w:color w:val="auto"/>
              </w:rPr>
              <w:t>New market participants to train</w:t>
            </w:r>
          </w:p>
          <w:p w14:paraId="6CB25B0D" w14:textId="77777777" w:rsidR="00E42C31" w:rsidRPr="00B76153" w:rsidRDefault="00E42C31" w:rsidP="009C3721">
            <w:pPr>
              <w:pStyle w:val="BodyText0"/>
              <w:numPr>
                <w:ilvl w:val="0"/>
                <w:numId w:val="26"/>
              </w:numPr>
              <w:spacing w:before="80" w:after="80"/>
            </w:pPr>
            <w:r w:rsidRPr="00804F55">
              <w:rPr>
                <w:i w:val="0"/>
                <w:color w:val="auto"/>
              </w:rPr>
              <w:t xml:space="preserve">Potentially increase in the volume of work as a result of new participants </w:t>
            </w:r>
          </w:p>
        </w:tc>
      </w:tr>
      <w:tr w:rsidR="00E42C31" w:rsidRPr="00B76153" w14:paraId="6CB25B12" w14:textId="77777777" w:rsidTr="00C03370">
        <w:tc>
          <w:tcPr>
            <w:tcW w:w="2363" w:type="dxa"/>
            <w:vAlign w:val="center"/>
          </w:tcPr>
          <w:p w14:paraId="6CB25B0F" w14:textId="77777777" w:rsidR="00E42C31" w:rsidRPr="00315CD7" w:rsidRDefault="00E42C31" w:rsidP="008C08B6">
            <w:pPr>
              <w:pStyle w:val="CellBodyL"/>
              <w:rPr>
                <w:rFonts w:ascii="Palatino Linotype" w:hAnsi="Palatino Linotype"/>
                <w:sz w:val="22"/>
                <w:szCs w:val="22"/>
              </w:rPr>
            </w:pPr>
            <w:r w:rsidRPr="00315CD7">
              <w:rPr>
                <w:rFonts w:ascii="Palatino Linotype" w:hAnsi="Palatino Linotype"/>
                <w:sz w:val="22"/>
                <w:szCs w:val="22"/>
              </w:rPr>
              <w:t>Customer Response</w:t>
            </w:r>
          </w:p>
        </w:tc>
        <w:tc>
          <w:tcPr>
            <w:tcW w:w="1802" w:type="dxa"/>
          </w:tcPr>
          <w:p w14:paraId="6CB25B10" w14:textId="77777777" w:rsidR="00E42C31" w:rsidRPr="00B76153" w:rsidRDefault="00E42C31" w:rsidP="008C08B6">
            <w:pPr>
              <w:pStyle w:val="CellBodyL"/>
              <w:rPr>
                <w:rFonts w:ascii="Palatino Linotype" w:hAnsi="Palatino Linotype"/>
              </w:rPr>
            </w:pPr>
            <w:r w:rsidRPr="00DF0F7C">
              <w:rPr>
                <w:rFonts w:ascii="Palatino Linotype" w:hAnsi="Palatino Linotype"/>
                <w:sz w:val="22"/>
                <w:szCs w:val="22"/>
              </w:rPr>
              <w:t>Direct Customer Stakeholder Group</w:t>
            </w:r>
          </w:p>
        </w:tc>
        <w:tc>
          <w:tcPr>
            <w:tcW w:w="4705" w:type="dxa"/>
            <w:vAlign w:val="center"/>
          </w:tcPr>
          <w:p w14:paraId="6CB25B11" w14:textId="77777777" w:rsidR="00E42C31" w:rsidRPr="00B76153" w:rsidRDefault="00E42C31" w:rsidP="00D34AC2">
            <w:pPr>
              <w:pStyle w:val="CellBodyL"/>
              <w:rPr>
                <w:rFonts w:ascii="Palatino Linotype" w:hAnsi="Palatino Linotype"/>
              </w:rPr>
            </w:pPr>
            <w:r w:rsidRPr="00804F55">
              <w:rPr>
                <w:rFonts w:ascii="Palatino Linotype" w:hAnsi="Palatino Linotype"/>
                <w:sz w:val="22"/>
                <w:lang w:eastAsia="en-CA"/>
              </w:rPr>
              <w:t xml:space="preserve">Training </w:t>
            </w:r>
            <w:r w:rsidR="00D34AC2">
              <w:rPr>
                <w:rFonts w:ascii="Palatino Linotype" w:hAnsi="Palatino Linotype"/>
                <w:sz w:val="22"/>
                <w:lang w:eastAsia="en-CA"/>
              </w:rPr>
              <w:t>Capacity Market Participants</w:t>
            </w:r>
            <w:r w:rsidR="00D34AC2" w:rsidRPr="00804F55">
              <w:rPr>
                <w:rFonts w:ascii="Palatino Linotype" w:hAnsi="Palatino Linotype"/>
                <w:sz w:val="22"/>
                <w:lang w:eastAsia="en-CA"/>
              </w:rPr>
              <w:t xml:space="preserve"> </w:t>
            </w:r>
            <w:r w:rsidRPr="00804F55">
              <w:rPr>
                <w:rFonts w:ascii="Palatino Linotype" w:hAnsi="Palatino Linotype"/>
                <w:sz w:val="22"/>
                <w:lang w:eastAsia="en-CA"/>
              </w:rPr>
              <w:t>(energy market participation, Online IESO tool, accessing reports site, produce training materials etc.)</w:t>
            </w:r>
          </w:p>
        </w:tc>
      </w:tr>
      <w:tr w:rsidR="00E42C31" w:rsidRPr="00B76153" w14:paraId="6CB25B16" w14:textId="77777777" w:rsidTr="00C03370">
        <w:tc>
          <w:tcPr>
            <w:tcW w:w="2363" w:type="dxa"/>
            <w:vAlign w:val="center"/>
          </w:tcPr>
          <w:p w14:paraId="6CB25B13" w14:textId="77777777" w:rsidR="00E42C31" w:rsidRPr="00315CD7" w:rsidRDefault="00E42C31" w:rsidP="008C08B6">
            <w:pPr>
              <w:pStyle w:val="CellBodyL"/>
              <w:rPr>
                <w:rFonts w:ascii="Palatino Linotype" w:hAnsi="Palatino Linotype"/>
                <w:sz w:val="22"/>
                <w:szCs w:val="22"/>
              </w:rPr>
            </w:pPr>
            <w:r w:rsidRPr="00315CD7">
              <w:rPr>
                <w:rFonts w:ascii="Palatino Linotype" w:hAnsi="Palatino Linotype"/>
                <w:sz w:val="22"/>
                <w:szCs w:val="22"/>
              </w:rPr>
              <w:t>IT Service Desk</w:t>
            </w:r>
          </w:p>
        </w:tc>
        <w:tc>
          <w:tcPr>
            <w:tcW w:w="1802" w:type="dxa"/>
          </w:tcPr>
          <w:p w14:paraId="6CB25B14" w14:textId="77777777" w:rsidR="00E42C31" w:rsidRPr="00B76153" w:rsidRDefault="00E42C31" w:rsidP="008C08B6">
            <w:pPr>
              <w:pStyle w:val="CellBodyL"/>
              <w:rPr>
                <w:rFonts w:ascii="Palatino Linotype" w:hAnsi="Palatino Linotype"/>
              </w:rPr>
            </w:pPr>
            <w:r w:rsidRPr="00DF0F7C">
              <w:rPr>
                <w:rFonts w:ascii="Palatino Linotype" w:hAnsi="Palatino Linotype"/>
                <w:sz w:val="22"/>
                <w:szCs w:val="22"/>
              </w:rPr>
              <w:t>Direct Customer Stakeholder Group</w:t>
            </w:r>
          </w:p>
        </w:tc>
        <w:tc>
          <w:tcPr>
            <w:tcW w:w="4705" w:type="dxa"/>
            <w:vAlign w:val="center"/>
          </w:tcPr>
          <w:p w14:paraId="6CB25B15" w14:textId="77777777" w:rsidR="00E42C31" w:rsidRPr="00B76153" w:rsidRDefault="00E42C31" w:rsidP="00D34AC2">
            <w:pPr>
              <w:pStyle w:val="CellBodyL"/>
              <w:rPr>
                <w:rFonts w:ascii="Palatino Linotype" w:hAnsi="Palatino Linotype"/>
              </w:rPr>
            </w:pPr>
            <w:r w:rsidRPr="00804F55">
              <w:rPr>
                <w:rFonts w:ascii="Palatino Linotype" w:hAnsi="Palatino Linotype"/>
                <w:sz w:val="22"/>
                <w:lang w:eastAsia="en-CA"/>
              </w:rPr>
              <w:t xml:space="preserve">Support new </w:t>
            </w:r>
            <w:r w:rsidR="00D34AC2">
              <w:rPr>
                <w:rFonts w:ascii="Palatino Linotype" w:hAnsi="Palatino Linotype"/>
                <w:sz w:val="22"/>
                <w:lang w:eastAsia="en-CA"/>
              </w:rPr>
              <w:t>CMPs</w:t>
            </w:r>
            <w:r w:rsidR="00D34AC2" w:rsidRPr="00804F55">
              <w:rPr>
                <w:rFonts w:ascii="Palatino Linotype" w:hAnsi="Palatino Linotype"/>
                <w:sz w:val="22"/>
                <w:lang w:eastAsia="en-CA"/>
              </w:rPr>
              <w:t xml:space="preserve"> </w:t>
            </w:r>
            <w:r w:rsidRPr="00804F55">
              <w:rPr>
                <w:rFonts w:ascii="Palatino Linotype" w:hAnsi="Palatino Linotype"/>
                <w:sz w:val="22"/>
                <w:lang w:eastAsia="en-CA"/>
              </w:rPr>
              <w:t>who are using external facing IESO systems</w:t>
            </w:r>
          </w:p>
        </w:tc>
      </w:tr>
      <w:tr w:rsidR="00E42C31" w:rsidRPr="00B76153" w14:paraId="6CB25B1A" w14:textId="77777777" w:rsidTr="00C03370">
        <w:tc>
          <w:tcPr>
            <w:tcW w:w="2363" w:type="dxa"/>
            <w:vAlign w:val="center"/>
          </w:tcPr>
          <w:p w14:paraId="6CB25B17" w14:textId="77777777" w:rsidR="00E42C31" w:rsidRPr="00315CD7" w:rsidRDefault="00E42C31" w:rsidP="008C08B6">
            <w:pPr>
              <w:pStyle w:val="CellBodyL"/>
              <w:rPr>
                <w:rFonts w:ascii="Palatino Linotype" w:hAnsi="Palatino Linotype"/>
                <w:sz w:val="22"/>
                <w:szCs w:val="22"/>
              </w:rPr>
            </w:pPr>
            <w:r w:rsidRPr="00315CD7">
              <w:rPr>
                <w:rFonts w:ascii="Palatino Linotype" w:hAnsi="Palatino Linotype"/>
                <w:sz w:val="22"/>
                <w:szCs w:val="22"/>
              </w:rPr>
              <w:t>Auction participants</w:t>
            </w:r>
          </w:p>
        </w:tc>
        <w:tc>
          <w:tcPr>
            <w:tcW w:w="1802" w:type="dxa"/>
          </w:tcPr>
          <w:p w14:paraId="6CB25B18" w14:textId="77777777" w:rsidR="00E42C31" w:rsidRPr="00B76153" w:rsidRDefault="00E42C31" w:rsidP="008C08B6">
            <w:pPr>
              <w:pStyle w:val="CellBodyL"/>
              <w:rPr>
                <w:rFonts w:ascii="Palatino Linotype" w:hAnsi="Palatino Linotype"/>
              </w:rPr>
            </w:pPr>
            <w:r w:rsidRPr="00DF0F7C">
              <w:rPr>
                <w:rFonts w:ascii="Palatino Linotype" w:hAnsi="Palatino Linotype"/>
                <w:sz w:val="22"/>
                <w:szCs w:val="22"/>
              </w:rPr>
              <w:t>Direct Customer Stakeholder Group</w:t>
            </w:r>
          </w:p>
        </w:tc>
        <w:tc>
          <w:tcPr>
            <w:tcW w:w="4705" w:type="dxa"/>
            <w:vAlign w:val="center"/>
          </w:tcPr>
          <w:p w14:paraId="6CB25B19" w14:textId="77777777" w:rsidR="00E42C31" w:rsidRPr="00804F55" w:rsidRDefault="00E42C31" w:rsidP="008C08B6">
            <w:pPr>
              <w:pStyle w:val="CellBodyL"/>
              <w:rPr>
                <w:rFonts w:ascii="Palatino Linotype" w:hAnsi="Palatino Linotype"/>
                <w:sz w:val="22"/>
                <w:lang w:eastAsia="en-CA"/>
              </w:rPr>
            </w:pPr>
            <w:r w:rsidRPr="00804F55">
              <w:rPr>
                <w:rFonts w:ascii="Palatino Linotype" w:hAnsi="Palatino Linotype"/>
                <w:sz w:val="22"/>
                <w:lang w:eastAsia="en-CA"/>
              </w:rPr>
              <w:t xml:space="preserve">Participate in pre-auction, auction and post-auction activities and deliver capacity obligation in the real time energy market during the commitment period </w:t>
            </w:r>
          </w:p>
        </w:tc>
      </w:tr>
      <w:tr w:rsidR="00E42C31" w:rsidRPr="00B76153" w14:paraId="6CB25B1E" w14:textId="77777777" w:rsidTr="00C03370">
        <w:tc>
          <w:tcPr>
            <w:tcW w:w="2363" w:type="dxa"/>
            <w:vAlign w:val="center"/>
          </w:tcPr>
          <w:p w14:paraId="6CB25B1B" w14:textId="77777777" w:rsidR="00E42C31" w:rsidRPr="00315CD7" w:rsidRDefault="00E42C31" w:rsidP="008C08B6">
            <w:pPr>
              <w:pStyle w:val="CellBodyL"/>
              <w:rPr>
                <w:rFonts w:ascii="Palatino Linotype" w:hAnsi="Palatino Linotype"/>
                <w:sz w:val="22"/>
                <w:szCs w:val="22"/>
              </w:rPr>
            </w:pPr>
            <w:r w:rsidRPr="00315CD7">
              <w:rPr>
                <w:rFonts w:ascii="Palatino Linotype" w:hAnsi="Palatino Linotype"/>
                <w:sz w:val="22"/>
                <w:szCs w:val="22"/>
              </w:rPr>
              <w:t>Markets</w:t>
            </w:r>
          </w:p>
        </w:tc>
        <w:tc>
          <w:tcPr>
            <w:tcW w:w="1802" w:type="dxa"/>
          </w:tcPr>
          <w:p w14:paraId="6CB25B1C" w14:textId="77777777" w:rsidR="00E42C31" w:rsidRPr="00B76153" w:rsidRDefault="00E42C31" w:rsidP="008C08B6">
            <w:pPr>
              <w:pStyle w:val="CellBodyL"/>
              <w:rPr>
                <w:rFonts w:ascii="Palatino Linotype" w:hAnsi="Palatino Linotype"/>
              </w:rPr>
            </w:pPr>
            <w:r w:rsidRPr="00DF0F7C">
              <w:rPr>
                <w:rFonts w:ascii="Palatino Linotype" w:hAnsi="Palatino Linotype"/>
                <w:sz w:val="22"/>
                <w:szCs w:val="22"/>
              </w:rPr>
              <w:t>Direct Customer Stakeholder Group</w:t>
            </w:r>
          </w:p>
        </w:tc>
        <w:tc>
          <w:tcPr>
            <w:tcW w:w="4705" w:type="dxa"/>
            <w:vAlign w:val="center"/>
          </w:tcPr>
          <w:p w14:paraId="6CB25B1D" w14:textId="77777777" w:rsidR="00E42C31" w:rsidRPr="00804F55" w:rsidRDefault="00E42C31" w:rsidP="008C08B6">
            <w:pPr>
              <w:pStyle w:val="CellBodyL"/>
              <w:rPr>
                <w:rFonts w:ascii="Palatino Linotype" w:hAnsi="Palatino Linotype"/>
                <w:sz w:val="22"/>
                <w:lang w:eastAsia="en-CA"/>
              </w:rPr>
            </w:pPr>
            <w:r w:rsidRPr="00804F55">
              <w:rPr>
                <w:rFonts w:ascii="Palatino Linotype" w:hAnsi="Palatino Linotype"/>
                <w:sz w:val="22"/>
                <w:lang w:eastAsia="en-CA"/>
              </w:rPr>
              <w:t>Establish and lead design work</w:t>
            </w:r>
          </w:p>
        </w:tc>
      </w:tr>
      <w:tr w:rsidR="00E42C31" w:rsidRPr="00B76153" w14:paraId="6CB25B22" w14:textId="77777777" w:rsidTr="00C03370">
        <w:tc>
          <w:tcPr>
            <w:tcW w:w="2363" w:type="dxa"/>
            <w:vAlign w:val="center"/>
          </w:tcPr>
          <w:p w14:paraId="6CB25B1F" w14:textId="77777777" w:rsidR="00E42C31" w:rsidRPr="00315CD7" w:rsidRDefault="00E42C31" w:rsidP="008C08B6">
            <w:pPr>
              <w:pStyle w:val="CellBodyL"/>
              <w:rPr>
                <w:rFonts w:ascii="Palatino Linotype" w:hAnsi="Palatino Linotype"/>
                <w:sz w:val="22"/>
                <w:szCs w:val="22"/>
              </w:rPr>
            </w:pPr>
            <w:r w:rsidRPr="00315CD7">
              <w:rPr>
                <w:rFonts w:ascii="Palatino Linotype" w:hAnsi="Palatino Linotype"/>
                <w:sz w:val="22"/>
                <w:szCs w:val="22"/>
              </w:rPr>
              <w:t>IESO Market Participants</w:t>
            </w:r>
          </w:p>
        </w:tc>
        <w:tc>
          <w:tcPr>
            <w:tcW w:w="1802" w:type="dxa"/>
          </w:tcPr>
          <w:p w14:paraId="6CB25B20" w14:textId="77777777" w:rsidR="00E42C31" w:rsidRPr="00315CD7" w:rsidRDefault="00B6216B" w:rsidP="00FB06B3">
            <w:pPr>
              <w:pStyle w:val="CellBodyL"/>
              <w:rPr>
                <w:rFonts w:ascii="Palatino Linotype" w:hAnsi="Palatino Linotype"/>
                <w:sz w:val="22"/>
                <w:szCs w:val="22"/>
              </w:rPr>
            </w:pPr>
            <w:r>
              <w:rPr>
                <w:rFonts w:ascii="Palatino Linotype" w:hAnsi="Palatino Linotype"/>
                <w:sz w:val="22"/>
                <w:szCs w:val="22"/>
              </w:rPr>
              <w:t>D</w:t>
            </w:r>
            <w:r w:rsidRPr="00315CD7">
              <w:rPr>
                <w:rFonts w:ascii="Palatino Linotype" w:hAnsi="Palatino Linotype"/>
                <w:sz w:val="22"/>
                <w:szCs w:val="22"/>
              </w:rPr>
              <w:t xml:space="preserve">irect </w:t>
            </w:r>
            <w:r w:rsidR="00E42C31" w:rsidRPr="00315CD7">
              <w:rPr>
                <w:rFonts w:ascii="Palatino Linotype" w:hAnsi="Palatino Linotype"/>
                <w:sz w:val="22"/>
                <w:szCs w:val="22"/>
              </w:rPr>
              <w:t>Customer Stakeholder Group</w:t>
            </w:r>
          </w:p>
        </w:tc>
        <w:tc>
          <w:tcPr>
            <w:tcW w:w="4705" w:type="dxa"/>
            <w:vAlign w:val="center"/>
          </w:tcPr>
          <w:p w14:paraId="6CB25B21" w14:textId="77777777" w:rsidR="00E42C31" w:rsidRPr="00804F55" w:rsidRDefault="00E42C31" w:rsidP="00FB06B3">
            <w:pPr>
              <w:pStyle w:val="CellBodyL"/>
              <w:rPr>
                <w:rFonts w:ascii="Palatino Linotype" w:hAnsi="Palatino Linotype"/>
                <w:sz w:val="22"/>
                <w:lang w:eastAsia="en-CA"/>
              </w:rPr>
            </w:pPr>
            <w:r w:rsidRPr="00804F55">
              <w:rPr>
                <w:rFonts w:ascii="Palatino Linotype" w:hAnsi="Palatino Linotype"/>
                <w:sz w:val="22"/>
                <w:lang w:eastAsia="en-CA"/>
              </w:rPr>
              <w:t xml:space="preserve">Changes may create </w:t>
            </w:r>
            <w:r w:rsidR="00FB06B3">
              <w:rPr>
                <w:rFonts w:ascii="Palatino Linotype" w:hAnsi="Palatino Linotype"/>
                <w:sz w:val="22"/>
                <w:lang w:eastAsia="en-CA"/>
              </w:rPr>
              <w:t>d</w:t>
            </w:r>
            <w:r w:rsidRPr="00804F55">
              <w:rPr>
                <w:rFonts w:ascii="Palatino Linotype" w:hAnsi="Palatino Linotype"/>
                <w:sz w:val="22"/>
                <w:lang w:eastAsia="en-CA"/>
              </w:rPr>
              <w:t xml:space="preserve">irect impacts </w:t>
            </w:r>
          </w:p>
        </w:tc>
      </w:tr>
      <w:tr w:rsidR="00E42C31" w:rsidRPr="00B76153" w14:paraId="6CB25B27" w14:textId="77777777" w:rsidTr="00C03370">
        <w:tc>
          <w:tcPr>
            <w:tcW w:w="2363" w:type="dxa"/>
            <w:vAlign w:val="center"/>
          </w:tcPr>
          <w:p w14:paraId="6CB25B23" w14:textId="77777777" w:rsidR="00E42C31" w:rsidRPr="00315CD7" w:rsidRDefault="00E42C31" w:rsidP="008C08B6">
            <w:pPr>
              <w:pStyle w:val="CellBodyL"/>
              <w:rPr>
                <w:rFonts w:ascii="Palatino Linotype" w:hAnsi="Palatino Linotype"/>
                <w:sz w:val="22"/>
                <w:szCs w:val="22"/>
              </w:rPr>
            </w:pPr>
            <w:r w:rsidRPr="00315CD7">
              <w:rPr>
                <w:rFonts w:ascii="Palatino Linotype" w:hAnsi="Palatino Linotype"/>
                <w:sz w:val="22"/>
                <w:szCs w:val="22"/>
              </w:rPr>
              <w:lastRenderedPageBreak/>
              <w:t>Local Distribution Companies</w:t>
            </w:r>
          </w:p>
        </w:tc>
        <w:tc>
          <w:tcPr>
            <w:tcW w:w="1802" w:type="dxa"/>
          </w:tcPr>
          <w:p w14:paraId="6CB25B24" w14:textId="77777777" w:rsidR="00E42C31" w:rsidRPr="00315CD7" w:rsidRDefault="00E42C31" w:rsidP="008C08B6">
            <w:pPr>
              <w:pStyle w:val="CellBodyL"/>
              <w:rPr>
                <w:rFonts w:ascii="Palatino Linotype" w:hAnsi="Palatino Linotype"/>
                <w:sz w:val="22"/>
                <w:szCs w:val="22"/>
              </w:rPr>
            </w:pPr>
            <w:r w:rsidRPr="00315CD7">
              <w:rPr>
                <w:rFonts w:ascii="Palatino Linotype" w:hAnsi="Palatino Linotype"/>
                <w:sz w:val="22"/>
                <w:szCs w:val="22"/>
              </w:rPr>
              <w:t>Indirect Customer Stakeholder Group</w:t>
            </w:r>
          </w:p>
        </w:tc>
        <w:tc>
          <w:tcPr>
            <w:tcW w:w="4705" w:type="dxa"/>
            <w:vAlign w:val="center"/>
          </w:tcPr>
          <w:p w14:paraId="6CB25B25" w14:textId="77777777" w:rsidR="00E42C31" w:rsidRPr="000C7137" w:rsidRDefault="00E42C31" w:rsidP="009C3721">
            <w:pPr>
              <w:pStyle w:val="BodyText0"/>
              <w:numPr>
                <w:ilvl w:val="0"/>
                <w:numId w:val="27"/>
              </w:numPr>
              <w:spacing w:before="80" w:after="80"/>
              <w:rPr>
                <w:i w:val="0"/>
                <w:color w:val="auto"/>
              </w:rPr>
            </w:pPr>
            <w:r w:rsidRPr="000C7137">
              <w:rPr>
                <w:i w:val="0"/>
                <w:color w:val="auto"/>
              </w:rPr>
              <w:t>Cleared capacity participants may request measurement data from LDCs</w:t>
            </w:r>
          </w:p>
          <w:p w14:paraId="6CB25B26" w14:textId="77777777" w:rsidR="00E42C31" w:rsidRPr="00B76153" w:rsidRDefault="00E42C31" w:rsidP="009C3721">
            <w:pPr>
              <w:pStyle w:val="BodyText0"/>
              <w:numPr>
                <w:ilvl w:val="0"/>
                <w:numId w:val="27"/>
              </w:numPr>
              <w:spacing w:before="80" w:after="80"/>
            </w:pPr>
            <w:r w:rsidRPr="000C7137">
              <w:rPr>
                <w:i w:val="0"/>
                <w:color w:val="auto"/>
              </w:rPr>
              <w:t>Aggregators may request acknowledgement from LDCs regarding location of demand response contributors</w:t>
            </w:r>
            <w:r>
              <w:t xml:space="preserve"> </w:t>
            </w:r>
          </w:p>
        </w:tc>
      </w:tr>
      <w:tr w:rsidR="00E42C31" w:rsidRPr="00B76153" w14:paraId="6CB25B31" w14:textId="77777777" w:rsidTr="008C08B6">
        <w:tc>
          <w:tcPr>
            <w:tcW w:w="2363" w:type="dxa"/>
          </w:tcPr>
          <w:p w14:paraId="6CB25B28" w14:textId="77777777" w:rsidR="00E42C31" w:rsidRPr="00315CD7" w:rsidRDefault="00D53456" w:rsidP="008C08B6">
            <w:pPr>
              <w:pStyle w:val="CellBodyL"/>
              <w:rPr>
                <w:rFonts w:ascii="Palatino Linotype" w:hAnsi="Palatino Linotype"/>
                <w:sz w:val="22"/>
                <w:szCs w:val="22"/>
              </w:rPr>
            </w:pPr>
            <w:r w:rsidRPr="00315CD7">
              <w:rPr>
                <w:rFonts w:ascii="Palatino Linotype" w:hAnsi="Palatino Linotype"/>
                <w:sz w:val="22"/>
                <w:szCs w:val="22"/>
              </w:rPr>
              <w:t>Director Planning and Assessments</w:t>
            </w:r>
          </w:p>
        </w:tc>
        <w:tc>
          <w:tcPr>
            <w:tcW w:w="1802" w:type="dxa"/>
          </w:tcPr>
          <w:p w14:paraId="6CB25B29" w14:textId="77777777" w:rsidR="00E42C31" w:rsidRPr="00315CD7" w:rsidRDefault="00D53456" w:rsidP="008C08B6">
            <w:pPr>
              <w:pStyle w:val="CellBodyL"/>
              <w:rPr>
                <w:rFonts w:ascii="Palatino Linotype" w:hAnsi="Palatino Linotype"/>
                <w:sz w:val="22"/>
                <w:szCs w:val="22"/>
              </w:rPr>
            </w:pPr>
            <w:r w:rsidRPr="00315CD7">
              <w:rPr>
                <w:rFonts w:ascii="Palatino Linotype" w:hAnsi="Palatino Linotype"/>
                <w:sz w:val="22"/>
                <w:szCs w:val="22"/>
              </w:rPr>
              <w:t>Manager Stakeholder</w:t>
            </w:r>
          </w:p>
        </w:tc>
        <w:tc>
          <w:tcPr>
            <w:tcW w:w="4705" w:type="dxa"/>
          </w:tcPr>
          <w:p w14:paraId="6CB25B2A" w14:textId="77777777" w:rsidR="001D11F9" w:rsidRPr="00CA36BB" w:rsidRDefault="001D11F9" w:rsidP="009C3721">
            <w:pPr>
              <w:pStyle w:val="BodyText0"/>
              <w:numPr>
                <w:ilvl w:val="0"/>
                <w:numId w:val="28"/>
              </w:numPr>
              <w:spacing w:before="80" w:after="80"/>
              <w:rPr>
                <w:i w:val="0"/>
                <w:color w:val="auto"/>
              </w:rPr>
            </w:pPr>
            <w:r w:rsidRPr="00CA36BB">
              <w:rPr>
                <w:i w:val="0"/>
                <w:color w:val="auto"/>
              </w:rPr>
              <w:t>Manage Enrolment Request</w:t>
            </w:r>
          </w:p>
          <w:p w14:paraId="6CB25B2B" w14:textId="77777777" w:rsidR="001D11F9" w:rsidRPr="00CA36BB" w:rsidRDefault="001D11F9" w:rsidP="009C3721">
            <w:pPr>
              <w:pStyle w:val="BodyText0"/>
              <w:numPr>
                <w:ilvl w:val="0"/>
                <w:numId w:val="28"/>
              </w:numPr>
              <w:spacing w:before="80" w:after="80"/>
              <w:rPr>
                <w:i w:val="0"/>
                <w:color w:val="auto"/>
              </w:rPr>
            </w:pPr>
            <w:r w:rsidRPr="00CA36BB">
              <w:rPr>
                <w:i w:val="0"/>
                <w:color w:val="auto"/>
              </w:rPr>
              <w:t>Authorize Market and Program Participation</w:t>
            </w:r>
          </w:p>
          <w:p w14:paraId="6CB25B2C" w14:textId="77777777" w:rsidR="001D11F9" w:rsidRPr="00CA36BB" w:rsidRDefault="001D11F9" w:rsidP="009C3721">
            <w:pPr>
              <w:pStyle w:val="BodyText0"/>
              <w:numPr>
                <w:ilvl w:val="0"/>
                <w:numId w:val="28"/>
              </w:numPr>
              <w:spacing w:before="80" w:after="80"/>
              <w:rPr>
                <w:i w:val="0"/>
                <w:color w:val="auto"/>
              </w:rPr>
            </w:pPr>
            <w:r w:rsidRPr="00CA36BB">
              <w:rPr>
                <w:i w:val="0"/>
                <w:color w:val="auto"/>
              </w:rPr>
              <w:t>Qualify Capacity</w:t>
            </w:r>
            <w:r w:rsidR="00304544">
              <w:rPr>
                <w:i w:val="0"/>
                <w:color w:val="auto"/>
              </w:rPr>
              <w:t xml:space="preserve"> (TBC)</w:t>
            </w:r>
          </w:p>
          <w:p w14:paraId="6CB25B2D" w14:textId="77777777" w:rsidR="001D11F9" w:rsidRPr="00CA36BB" w:rsidRDefault="001D11F9" w:rsidP="009C3721">
            <w:pPr>
              <w:pStyle w:val="BodyText0"/>
              <w:numPr>
                <w:ilvl w:val="0"/>
                <w:numId w:val="28"/>
              </w:numPr>
              <w:spacing w:before="80" w:after="80"/>
              <w:rPr>
                <w:i w:val="0"/>
                <w:color w:val="auto"/>
              </w:rPr>
            </w:pPr>
            <w:r w:rsidRPr="00CA36BB">
              <w:rPr>
                <w:i w:val="0"/>
                <w:color w:val="auto"/>
              </w:rPr>
              <w:t>Acquire Capacity</w:t>
            </w:r>
            <w:r w:rsidR="00304544">
              <w:rPr>
                <w:i w:val="0"/>
                <w:color w:val="auto"/>
              </w:rPr>
              <w:t xml:space="preserve"> (TBC)</w:t>
            </w:r>
          </w:p>
          <w:p w14:paraId="6CB25B2E" w14:textId="77777777" w:rsidR="001D11F9" w:rsidRPr="00CA36BB" w:rsidRDefault="001D11F9" w:rsidP="009C3721">
            <w:pPr>
              <w:pStyle w:val="BodyText0"/>
              <w:numPr>
                <w:ilvl w:val="0"/>
                <w:numId w:val="28"/>
              </w:numPr>
              <w:spacing w:before="80" w:after="80"/>
              <w:rPr>
                <w:i w:val="0"/>
                <w:color w:val="auto"/>
              </w:rPr>
            </w:pPr>
            <w:r w:rsidRPr="00CA36BB">
              <w:rPr>
                <w:i w:val="0"/>
                <w:color w:val="auto"/>
              </w:rPr>
              <w:t>Conduct Capacity Auction</w:t>
            </w:r>
          </w:p>
          <w:p w14:paraId="6CB25B2F" w14:textId="77777777" w:rsidR="00E42C31" w:rsidRPr="00BB0365" w:rsidRDefault="001D11F9" w:rsidP="009C3721">
            <w:pPr>
              <w:pStyle w:val="BodyText0"/>
              <w:numPr>
                <w:ilvl w:val="0"/>
                <w:numId w:val="28"/>
              </w:numPr>
              <w:spacing w:before="80" w:after="80"/>
            </w:pPr>
            <w:r w:rsidRPr="00CA36BB">
              <w:rPr>
                <w:i w:val="0"/>
                <w:color w:val="auto"/>
              </w:rPr>
              <w:t>Register Facility</w:t>
            </w:r>
          </w:p>
          <w:p w14:paraId="6CB25B30" w14:textId="77777777" w:rsidR="00304544" w:rsidRPr="00B76153" w:rsidRDefault="00304544" w:rsidP="009C3721">
            <w:pPr>
              <w:pStyle w:val="BodyText0"/>
              <w:numPr>
                <w:ilvl w:val="0"/>
                <w:numId w:val="28"/>
              </w:numPr>
              <w:spacing w:before="80" w:after="80"/>
            </w:pPr>
            <w:r>
              <w:rPr>
                <w:i w:val="0"/>
                <w:color w:val="auto"/>
              </w:rPr>
              <w:t>Establish import limits, when appropriate</w:t>
            </w:r>
          </w:p>
        </w:tc>
      </w:tr>
      <w:tr w:rsidR="001D11F9" w:rsidRPr="00B76153" w14:paraId="6CB25B36" w14:textId="77777777" w:rsidTr="008C08B6">
        <w:tc>
          <w:tcPr>
            <w:tcW w:w="2363" w:type="dxa"/>
          </w:tcPr>
          <w:p w14:paraId="6CB25B32" w14:textId="77777777" w:rsidR="001D11F9" w:rsidRPr="00315CD7" w:rsidRDefault="001D11F9" w:rsidP="008C08B6">
            <w:pPr>
              <w:pStyle w:val="CellBodyL"/>
              <w:rPr>
                <w:rFonts w:ascii="Palatino Linotype" w:hAnsi="Palatino Linotype"/>
                <w:sz w:val="22"/>
                <w:szCs w:val="22"/>
              </w:rPr>
            </w:pPr>
            <w:r w:rsidRPr="00315CD7">
              <w:rPr>
                <w:rFonts w:ascii="Palatino Linotype" w:hAnsi="Palatino Linotype"/>
                <w:sz w:val="22"/>
                <w:szCs w:val="22"/>
              </w:rPr>
              <w:t>Director Market Operations</w:t>
            </w:r>
          </w:p>
        </w:tc>
        <w:tc>
          <w:tcPr>
            <w:tcW w:w="1802" w:type="dxa"/>
          </w:tcPr>
          <w:p w14:paraId="6CB25B33" w14:textId="77777777" w:rsidR="001D11F9" w:rsidRPr="00315CD7" w:rsidRDefault="001D11F9" w:rsidP="008C08B6">
            <w:pPr>
              <w:pStyle w:val="CellBodyL"/>
              <w:rPr>
                <w:rFonts w:ascii="Palatino Linotype" w:hAnsi="Palatino Linotype"/>
                <w:sz w:val="22"/>
                <w:szCs w:val="22"/>
              </w:rPr>
            </w:pPr>
            <w:r w:rsidRPr="00315CD7">
              <w:rPr>
                <w:rFonts w:ascii="Palatino Linotype" w:hAnsi="Palatino Linotype"/>
                <w:sz w:val="22"/>
                <w:szCs w:val="22"/>
              </w:rPr>
              <w:t>Manager Stakeholder</w:t>
            </w:r>
          </w:p>
        </w:tc>
        <w:tc>
          <w:tcPr>
            <w:tcW w:w="4705" w:type="dxa"/>
          </w:tcPr>
          <w:p w14:paraId="6CB25B34" w14:textId="77777777" w:rsidR="001D11F9" w:rsidRPr="00CA36BB" w:rsidRDefault="001D11F9" w:rsidP="009C3721">
            <w:pPr>
              <w:pStyle w:val="BodyText0"/>
              <w:numPr>
                <w:ilvl w:val="0"/>
                <w:numId w:val="29"/>
              </w:numPr>
              <w:spacing w:before="80" w:after="80"/>
              <w:rPr>
                <w:i w:val="0"/>
                <w:color w:val="auto"/>
              </w:rPr>
            </w:pPr>
            <w:r w:rsidRPr="00CA36BB">
              <w:rPr>
                <w:i w:val="0"/>
                <w:color w:val="auto"/>
              </w:rPr>
              <w:t>Plan Operations</w:t>
            </w:r>
          </w:p>
          <w:p w14:paraId="6CB25B35" w14:textId="77777777" w:rsidR="001D11F9" w:rsidRPr="00B76153" w:rsidRDefault="001D11F9" w:rsidP="009C3721">
            <w:pPr>
              <w:pStyle w:val="BodyText0"/>
              <w:numPr>
                <w:ilvl w:val="0"/>
                <w:numId w:val="29"/>
              </w:numPr>
              <w:spacing w:before="80" w:after="80"/>
            </w:pPr>
            <w:r w:rsidRPr="00CA36BB">
              <w:rPr>
                <w:i w:val="0"/>
                <w:color w:val="auto"/>
              </w:rPr>
              <w:t>Direct Short-Term Operations</w:t>
            </w:r>
          </w:p>
        </w:tc>
      </w:tr>
      <w:tr w:rsidR="001D11F9" w:rsidRPr="00B76153" w14:paraId="6CB25B3A" w14:textId="77777777" w:rsidTr="008C08B6">
        <w:tc>
          <w:tcPr>
            <w:tcW w:w="2363" w:type="dxa"/>
          </w:tcPr>
          <w:p w14:paraId="6CB25B37" w14:textId="77777777" w:rsidR="001D11F9" w:rsidRPr="00315CD7" w:rsidRDefault="001D11F9" w:rsidP="008C08B6">
            <w:pPr>
              <w:pStyle w:val="CellBodyL"/>
              <w:rPr>
                <w:rFonts w:ascii="Palatino Linotype" w:hAnsi="Palatino Linotype"/>
                <w:sz w:val="22"/>
                <w:szCs w:val="22"/>
              </w:rPr>
            </w:pPr>
            <w:r w:rsidRPr="00315CD7">
              <w:rPr>
                <w:rFonts w:ascii="Palatino Linotype" w:hAnsi="Palatino Linotype"/>
                <w:sz w:val="22"/>
                <w:szCs w:val="22"/>
              </w:rPr>
              <w:t>Director Settlements</w:t>
            </w:r>
          </w:p>
        </w:tc>
        <w:tc>
          <w:tcPr>
            <w:tcW w:w="1802" w:type="dxa"/>
          </w:tcPr>
          <w:p w14:paraId="6CB25B38" w14:textId="77777777" w:rsidR="001D11F9" w:rsidRPr="00315CD7" w:rsidRDefault="001D11F9" w:rsidP="008C08B6">
            <w:pPr>
              <w:pStyle w:val="CellBodyL"/>
              <w:rPr>
                <w:rFonts w:ascii="Palatino Linotype" w:hAnsi="Palatino Linotype"/>
                <w:sz w:val="22"/>
                <w:szCs w:val="22"/>
              </w:rPr>
            </w:pPr>
            <w:r w:rsidRPr="00315CD7">
              <w:rPr>
                <w:rFonts w:ascii="Palatino Linotype" w:hAnsi="Palatino Linotype"/>
                <w:sz w:val="22"/>
                <w:szCs w:val="22"/>
              </w:rPr>
              <w:t>Manager Stakeholder</w:t>
            </w:r>
          </w:p>
        </w:tc>
        <w:tc>
          <w:tcPr>
            <w:tcW w:w="4705" w:type="dxa"/>
          </w:tcPr>
          <w:p w14:paraId="6CB25B39" w14:textId="77777777" w:rsidR="001D11F9" w:rsidRPr="00B76153" w:rsidRDefault="001D11F9" w:rsidP="009C3721">
            <w:pPr>
              <w:pStyle w:val="BodyText0"/>
              <w:numPr>
                <w:ilvl w:val="0"/>
                <w:numId w:val="30"/>
              </w:numPr>
              <w:spacing w:before="80" w:after="80"/>
            </w:pPr>
            <w:r w:rsidRPr="00CA36BB">
              <w:rPr>
                <w:i w:val="0"/>
                <w:color w:val="auto"/>
              </w:rPr>
              <w:t>Settle Markets and Programs</w:t>
            </w:r>
          </w:p>
        </w:tc>
      </w:tr>
      <w:tr w:rsidR="001D11F9" w:rsidRPr="00B76153" w14:paraId="6CB25B3F" w14:textId="77777777" w:rsidTr="008C08B6">
        <w:tc>
          <w:tcPr>
            <w:tcW w:w="2363" w:type="dxa"/>
          </w:tcPr>
          <w:p w14:paraId="6CB25B3B" w14:textId="77777777" w:rsidR="001D11F9" w:rsidRPr="00315CD7" w:rsidRDefault="001D11F9" w:rsidP="008C08B6">
            <w:pPr>
              <w:pStyle w:val="CellBodyL"/>
              <w:rPr>
                <w:rFonts w:ascii="Palatino Linotype" w:hAnsi="Palatino Linotype"/>
                <w:sz w:val="22"/>
                <w:szCs w:val="22"/>
              </w:rPr>
            </w:pPr>
            <w:r w:rsidRPr="00315CD7">
              <w:rPr>
                <w:rFonts w:ascii="Palatino Linotype" w:hAnsi="Palatino Linotype"/>
                <w:sz w:val="22"/>
                <w:szCs w:val="22"/>
              </w:rPr>
              <w:t>Director MACD</w:t>
            </w:r>
          </w:p>
        </w:tc>
        <w:tc>
          <w:tcPr>
            <w:tcW w:w="1802" w:type="dxa"/>
          </w:tcPr>
          <w:p w14:paraId="6CB25B3C" w14:textId="77777777" w:rsidR="001D11F9" w:rsidRPr="00315CD7" w:rsidRDefault="001D11F9" w:rsidP="008C08B6">
            <w:pPr>
              <w:pStyle w:val="CellBodyL"/>
              <w:rPr>
                <w:rFonts w:ascii="Palatino Linotype" w:hAnsi="Palatino Linotype"/>
                <w:sz w:val="22"/>
                <w:szCs w:val="22"/>
              </w:rPr>
            </w:pPr>
            <w:r w:rsidRPr="00315CD7">
              <w:rPr>
                <w:rFonts w:ascii="Palatino Linotype" w:hAnsi="Palatino Linotype"/>
                <w:sz w:val="22"/>
                <w:szCs w:val="22"/>
              </w:rPr>
              <w:t>Manager Stakeholder</w:t>
            </w:r>
          </w:p>
        </w:tc>
        <w:tc>
          <w:tcPr>
            <w:tcW w:w="4705" w:type="dxa"/>
          </w:tcPr>
          <w:p w14:paraId="6CB25B3D" w14:textId="77777777" w:rsidR="001D11F9" w:rsidRPr="00CA36BB" w:rsidRDefault="001D11F9" w:rsidP="009C3721">
            <w:pPr>
              <w:pStyle w:val="BodyText0"/>
              <w:numPr>
                <w:ilvl w:val="0"/>
                <w:numId w:val="31"/>
              </w:numPr>
              <w:spacing w:before="80" w:after="80"/>
              <w:rPr>
                <w:i w:val="0"/>
                <w:color w:val="auto"/>
              </w:rPr>
            </w:pPr>
            <w:r w:rsidRPr="00CA36BB">
              <w:rPr>
                <w:i w:val="0"/>
                <w:color w:val="auto"/>
              </w:rPr>
              <w:t>Detect Non-Compliance</w:t>
            </w:r>
          </w:p>
          <w:p w14:paraId="6CB25B3E" w14:textId="77777777" w:rsidR="001D11F9" w:rsidRPr="00B76153" w:rsidRDefault="001D11F9" w:rsidP="009C3721">
            <w:pPr>
              <w:pStyle w:val="BodyText0"/>
              <w:numPr>
                <w:ilvl w:val="0"/>
                <w:numId w:val="31"/>
              </w:numPr>
              <w:spacing w:before="80" w:after="80"/>
            </w:pPr>
            <w:r w:rsidRPr="00CA36BB">
              <w:rPr>
                <w:i w:val="0"/>
                <w:color w:val="auto"/>
              </w:rPr>
              <w:t>Enforce Non-Compliance</w:t>
            </w:r>
          </w:p>
        </w:tc>
      </w:tr>
      <w:tr w:rsidR="001D11F9" w:rsidRPr="00B76153" w14:paraId="6CB25B44" w14:textId="77777777" w:rsidTr="008C08B6">
        <w:tc>
          <w:tcPr>
            <w:tcW w:w="2363" w:type="dxa"/>
          </w:tcPr>
          <w:p w14:paraId="6CB25B40" w14:textId="77777777" w:rsidR="001D11F9" w:rsidRPr="00315CD7" w:rsidRDefault="00B14CA1" w:rsidP="00B14CA1">
            <w:pPr>
              <w:pStyle w:val="CellBodyL"/>
              <w:rPr>
                <w:rFonts w:ascii="Palatino Linotype" w:hAnsi="Palatino Linotype"/>
                <w:sz w:val="22"/>
                <w:szCs w:val="22"/>
              </w:rPr>
            </w:pPr>
            <w:r>
              <w:rPr>
                <w:rFonts w:ascii="Palatino Linotype" w:hAnsi="Palatino Linotype"/>
                <w:sz w:val="22"/>
                <w:szCs w:val="22"/>
              </w:rPr>
              <w:t>Director, Finance, Corporate Controller &amp; Treasury</w:t>
            </w:r>
            <w:r w:rsidR="001D11F9" w:rsidRPr="00315CD7">
              <w:rPr>
                <w:rFonts w:ascii="Palatino Linotype" w:hAnsi="Palatino Linotype"/>
                <w:sz w:val="22"/>
                <w:szCs w:val="22"/>
              </w:rPr>
              <w:t xml:space="preserve">, </w:t>
            </w:r>
          </w:p>
        </w:tc>
        <w:tc>
          <w:tcPr>
            <w:tcW w:w="1802" w:type="dxa"/>
          </w:tcPr>
          <w:p w14:paraId="6CB25B41" w14:textId="77777777" w:rsidR="001D11F9" w:rsidRPr="00315CD7" w:rsidRDefault="001D11F9" w:rsidP="008C08B6">
            <w:pPr>
              <w:pStyle w:val="CellBodyL"/>
              <w:rPr>
                <w:rFonts w:ascii="Palatino Linotype" w:hAnsi="Palatino Linotype"/>
                <w:sz w:val="22"/>
                <w:szCs w:val="22"/>
              </w:rPr>
            </w:pPr>
            <w:r w:rsidRPr="00315CD7">
              <w:rPr>
                <w:rFonts w:ascii="Palatino Linotype" w:hAnsi="Palatino Linotype"/>
                <w:sz w:val="22"/>
                <w:szCs w:val="22"/>
              </w:rPr>
              <w:t>Manager Stakeholder</w:t>
            </w:r>
          </w:p>
        </w:tc>
        <w:tc>
          <w:tcPr>
            <w:tcW w:w="4705" w:type="dxa"/>
          </w:tcPr>
          <w:p w14:paraId="6CB25B42" w14:textId="77777777" w:rsidR="001D11F9" w:rsidRPr="00CA36BB" w:rsidRDefault="001D11F9" w:rsidP="009C3721">
            <w:pPr>
              <w:pStyle w:val="BodyText0"/>
              <w:numPr>
                <w:ilvl w:val="0"/>
                <w:numId w:val="32"/>
              </w:numPr>
              <w:spacing w:before="80" w:after="80"/>
              <w:rPr>
                <w:i w:val="0"/>
                <w:color w:val="auto"/>
              </w:rPr>
            </w:pPr>
            <w:r w:rsidRPr="00CA36BB">
              <w:rPr>
                <w:i w:val="0"/>
                <w:color w:val="auto"/>
              </w:rPr>
              <w:t>Set Prudential Support</w:t>
            </w:r>
          </w:p>
          <w:p w14:paraId="6CB25B43" w14:textId="77777777" w:rsidR="001D11F9" w:rsidRPr="00B76153" w:rsidRDefault="001D11F9" w:rsidP="009C3721">
            <w:pPr>
              <w:pStyle w:val="BodyText0"/>
              <w:numPr>
                <w:ilvl w:val="0"/>
                <w:numId w:val="32"/>
              </w:numPr>
              <w:spacing w:before="80" w:after="80"/>
            </w:pPr>
            <w:r w:rsidRPr="00CA36BB">
              <w:rPr>
                <w:i w:val="0"/>
                <w:color w:val="auto"/>
              </w:rPr>
              <w:t>Set and Collect Auction Deposit</w:t>
            </w:r>
          </w:p>
        </w:tc>
      </w:tr>
      <w:tr w:rsidR="001D11F9" w:rsidRPr="00B76153" w14:paraId="6CB25B49" w14:textId="77777777" w:rsidTr="008C08B6">
        <w:tc>
          <w:tcPr>
            <w:tcW w:w="2363" w:type="dxa"/>
          </w:tcPr>
          <w:p w14:paraId="6CB25B45" w14:textId="77777777" w:rsidR="001D11F9" w:rsidRPr="00315CD7" w:rsidRDefault="006964B3" w:rsidP="006964B3">
            <w:pPr>
              <w:pStyle w:val="CellBodyL"/>
              <w:rPr>
                <w:rFonts w:ascii="Palatino Linotype" w:hAnsi="Palatino Linotype"/>
                <w:sz w:val="22"/>
                <w:szCs w:val="22"/>
              </w:rPr>
            </w:pPr>
            <w:r>
              <w:rPr>
                <w:rFonts w:ascii="Palatino Linotype" w:hAnsi="Palatino Linotype"/>
                <w:sz w:val="22"/>
                <w:szCs w:val="22"/>
              </w:rPr>
              <w:t>Director Business Solutions</w:t>
            </w:r>
          </w:p>
        </w:tc>
        <w:tc>
          <w:tcPr>
            <w:tcW w:w="1802" w:type="dxa"/>
          </w:tcPr>
          <w:p w14:paraId="6CB25B46" w14:textId="77777777" w:rsidR="001D11F9" w:rsidRPr="00315CD7" w:rsidRDefault="001D11F9" w:rsidP="008C08B6">
            <w:pPr>
              <w:pStyle w:val="CellBodyL"/>
              <w:rPr>
                <w:rFonts w:ascii="Palatino Linotype" w:hAnsi="Palatino Linotype"/>
                <w:sz w:val="22"/>
                <w:szCs w:val="22"/>
              </w:rPr>
            </w:pPr>
            <w:r w:rsidRPr="00315CD7">
              <w:rPr>
                <w:rFonts w:ascii="Palatino Linotype" w:hAnsi="Palatino Linotype"/>
                <w:sz w:val="22"/>
                <w:szCs w:val="22"/>
              </w:rPr>
              <w:t>Manager Stakeholder</w:t>
            </w:r>
          </w:p>
        </w:tc>
        <w:tc>
          <w:tcPr>
            <w:tcW w:w="4705" w:type="dxa"/>
          </w:tcPr>
          <w:p w14:paraId="6CB25B47" w14:textId="77777777" w:rsidR="001D11F9" w:rsidRPr="00CA36BB" w:rsidRDefault="001D11F9" w:rsidP="009C3721">
            <w:pPr>
              <w:pStyle w:val="BodyText0"/>
              <w:numPr>
                <w:ilvl w:val="0"/>
                <w:numId w:val="33"/>
              </w:numPr>
              <w:spacing w:before="80" w:after="80"/>
              <w:rPr>
                <w:i w:val="0"/>
                <w:color w:val="auto"/>
              </w:rPr>
            </w:pPr>
            <w:r w:rsidRPr="00CA36BB">
              <w:rPr>
                <w:i w:val="0"/>
                <w:color w:val="auto"/>
              </w:rPr>
              <w:t>Operate Technology</w:t>
            </w:r>
          </w:p>
          <w:p w14:paraId="6CB25B48" w14:textId="77777777" w:rsidR="001D11F9" w:rsidRPr="00B76153" w:rsidRDefault="001D11F9" w:rsidP="009C3721">
            <w:pPr>
              <w:pStyle w:val="BodyText0"/>
              <w:numPr>
                <w:ilvl w:val="0"/>
                <w:numId w:val="33"/>
              </w:numPr>
              <w:spacing w:before="80" w:after="80"/>
            </w:pPr>
            <w:r w:rsidRPr="00CA36BB">
              <w:rPr>
                <w:i w:val="0"/>
                <w:color w:val="auto"/>
              </w:rPr>
              <w:t>Publish Reports</w:t>
            </w:r>
          </w:p>
        </w:tc>
      </w:tr>
      <w:tr w:rsidR="001D11F9" w:rsidRPr="00B76153" w14:paraId="6CB25B4E" w14:textId="77777777" w:rsidTr="008C08B6">
        <w:tc>
          <w:tcPr>
            <w:tcW w:w="2363" w:type="dxa"/>
          </w:tcPr>
          <w:p w14:paraId="6CB25B4A" w14:textId="77777777" w:rsidR="001D11F9" w:rsidRPr="00315CD7" w:rsidRDefault="004F7614" w:rsidP="004F7614">
            <w:pPr>
              <w:pStyle w:val="CellBodyL"/>
              <w:rPr>
                <w:rFonts w:ascii="Palatino Linotype" w:hAnsi="Palatino Linotype"/>
                <w:sz w:val="22"/>
                <w:szCs w:val="22"/>
              </w:rPr>
            </w:pPr>
            <w:r>
              <w:rPr>
                <w:rFonts w:ascii="Palatino Linotype" w:hAnsi="Palatino Linotype"/>
                <w:sz w:val="22"/>
                <w:szCs w:val="22"/>
              </w:rPr>
              <w:t>Director, Corporate &amp; Regulatory Affairs</w:t>
            </w:r>
          </w:p>
        </w:tc>
        <w:tc>
          <w:tcPr>
            <w:tcW w:w="1802" w:type="dxa"/>
          </w:tcPr>
          <w:p w14:paraId="6CB25B4B" w14:textId="77777777" w:rsidR="001D11F9" w:rsidRPr="00315CD7" w:rsidRDefault="001D11F9" w:rsidP="008C08B6">
            <w:pPr>
              <w:pStyle w:val="CellBodyL"/>
              <w:rPr>
                <w:rFonts w:ascii="Palatino Linotype" w:hAnsi="Palatino Linotype"/>
                <w:sz w:val="22"/>
                <w:szCs w:val="22"/>
              </w:rPr>
            </w:pPr>
            <w:r w:rsidRPr="00315CD7">
              <w:rPr>
                <w:rFonts w:ascii="Palatino Linotype" w:hAnsi="Palatino Linotype"/>
                <w:sz w:val="22"/>
                <w:szCs w:val="22"/>
              </w:rPr>
              <w:t>Manager Stakeholder</w:t>
            </w:r>
          </w:p>
        </w:tc>
        <w:tc>
          <w:tcPr>
            <w:tcW w:w="4705" w:type="dxa"/>
          </w:tcPr>
          <w:p w14:paraId="6CB25B4C" w14:textId="77777777" w:rsidR="001D11F9" w:rsidRPr="00CA36BB" w:rsidRDefault="001D11F9" w:rsidP="009C3721">
            <w:pPr>
              <w:pStyle w:val="BodyText0"/>
              <w:numPr>
                <w:ilvl w:val="0"/>
                <w:numId w:val="34"/>
              </w:numPr>
              <w:spacing w:before="80" w:after="80"/>
              <w:rPr>
                <w:i w:val="0"/>
                <w:color w:val="auto"/>
              </w:rPr>
            </w:pPr>
            <w:r w:rsidRPr="00CA36BB">
              <w:rPr>
                <w:i w:val="0"/>
                <w:color w:val="auto"/>
              </w:rPr>
              <w:t>Deliver Marketplace Training</w:t>
            </w:r>
          </w:p>
          <w:p w14:paraId="6CB25B4D" w14:textId="77777777" w:rsidR="001D11F9" w:rsidRPr="00B76153" w:rsidRDefault="001D11F9" w:rsidP="009C3721">
            <w:pPr>
              <w:pStyle w:val="BodyText0"/>
              <w:numPr>
                <w:ilvl w:val="0"/>
                <w:numId w:val="34"/>
              </w:numPr>
              <w:spacing w:before="80" w:after="80"/>
            </w:pPr>
            <w:r w:rsidRPr="00CA36BB">
              <w:rPr>
                <w:i w:val="0"/>
                <w:color w:val="auto"/>
              </w:rPr>
              <w:t>Corporate communications and customer service</w:t>
            </w:r>
          </w:p>
        </w:tc>
      </w:tr>
      <w:tr w:rsidR="001D11F9" w:rsidRPr="00B76153" w14:paraId="6CB25B52" w14:textId="77777777" w:rsidTr="008C08B6">
        <w:tc>
          <w:tcPr>
            <w:tcW w:w="2363" w:type="dxa"/>
          </w:tcPr>
          <w:p w14:paraId="6CB25B4F" w14:textId="77777777" w:rsidR="001D11F9" w:rsidRPr="00315CD7" w:rsidRDefault="003866C7" w:rsidP="003866C7">
            <w:pPr>
              <w:pStyle w:val="CellBodyL"/>
              <w:rPr>
                <w:rFonts w:ascii="Palatino Linotype" w:hAnsi="Palatino Linotype"/>
                <w:sz w:val="22"/>
                <w:szCs w:val="22"/>
              </w:rPr>
            </w:pPr>
            <w:r>
              <w:rPr>
                <w:rFonts w:ascii="Palatino Linotype" w:hAnsi="Palatino Linotype"/>
                <w:sz w:val="22"/>
                <w:szCs w:val="22"/>
              </w:rPr>
              <w:t>TCA Design Manager</w:t>
            </w:r>
          </w:p>
        </w:tc>
        <w:tc>
          <w:tcPr>
            <w:tcW w:w="1802" w:type="dxa"/>
          </w:tcPr>
          <w:p w14:paraId="6CB25B50" w14:textId="77777777" w:rsidR="001D11F9" w:rsidRPr="00315CD7" w:rsidRDefault="006A2BB9" w:rsidP="008C08B6">
            <w:pPr>
              <w:pStyle w:val="CellBodyL"/>
              <w:rPr>
                <w:rFonts w:ascii="Palatino Linotype" w:hAnsi="Palatino Linotype"/>
                <w:sz w:val="22"/>
                <w:szCs w:val="22"/>
              </w:rPr>
            </w:pPr>
            <w:r w:rsidRPr="001520D2">
              <w:rPr>
                <w:rFonts w:ascii="Palatino Linotype" w:hAnsi="Palatino Linotype"/>
                <w:sz w:val="22"/>
                <w:szCs w:val="22"/>
              </w:rPr>
              <w:t xml:space="preserve">Builder </w:t>
            </w:r>
            <w:r w:rsidRPr="001520D2">
              <w:rPr>
                <w:rFonts w:ascii="Palatino Linotype" w:hAnsi="Palatino Linotype"/>
                <w:sz w:val="22"/>
                <w:szCs w:val="22"/>
              </w:rPr>
              <w:lastRenderedPageBreak/>
              <w:t>Stakeholder</w:t>
            </w:r>
          </w:p>
        </w:tc>
        <w:tc>
          <w:tcPr>
            <w:tcW w:w="4705" w:type="dxa"/>
          </w:tcPr>
          <w:p w14:paraId="6CB25B51" w14:textId="77777777" w:rsidR="001D11F9" w:rsidRPr="00315CD7" w:rsidRDefault="006A2BB9" w:rsidP="008C08B6">
            <w:pPr>
              <w:pStyle w:val="CellBodyL"/>
              <w:rPr>
                <w:rFonts w:ascii="Palatino Linotype" w:hAnsi="Palatino Linotype"/>
                <w:sz w:val="22"/>
                <w:lang w:eastAsia="en-CA"/>
              </w:rPr>
            </w:pPr>
            <w:r w:rsidRPr="00315CD7">
              <w:rPr>
                <w:rFonts w:ascii="Palatino Linotype" w:hAnsi="Palatino Linotype"/>
                <w:sz w:val="22"/>
                <w:lang w:eastAsia="en-CA"/>
              </w:rPr>
              <w:lastRenderedPageBreak/>
              <w:t>Project Design Lead</w:t>
            </w:r>
          </w:p>
        </w:tc>
      </w:tr>
      <w:tr w:rsidR="006A2BB9" w:rsidRPr="00B76153" w14:paraId="6CB25B56" w14:textId="77777777" w:rsidTr="00C03370">
        <w:tc>
          <w:tcPr>
            <w:tcW w:w="2363" w:type="dxa"/>
            <w:vAlign w:val="center"/>
          </w:tcPr>
          <w:p w14:paraId="6CB25B53" w14:textId="77777777" w:rsidR="006A2BB9" w:rsidRPr="00315CD7" w:rsidRDefault="00F219B0" w:rsidP="00F219B0">
            <w:pPr>
              <w:pStyle w:val="CellBodyL"/>
              <w:rPr>
                <w:rFonts w:ascii="Palatino Linotype" w:hAnsi="Palatino Linotype"/>
                <w:sz w:val="22"/>
                <w:szCs w:val="22"/>
              </w:rPr>
            </w:pPr>
            <w:r>
              <w:rPr>
                <w:rFonts w:ascii="Palatino Linotype" w:hAnsi="Palatino Linotype"/>
                <w:sz w:val="22"/>
                <w:szCs w:val="22"/>
              </w:rPr>
              <w:lastRenderedPageBreak/>
              <w:t>Enterprise Change</w:t>
            </w:r>
          </w:p>
        </w:tc>
        <w:tc>
          <w:tcPr>
            <w:tcW w:w="1802" w:type="dxa"/>
          </w:tcPr>
          <w:p w14:paraId="6CB25B54" w14:textId="77777777" w:rsidR="006A2BB9" w:rsidRPr="00315CD7" w:rsidRDefault="006A2BB9" w:rsidP="008C08B6">
            <w:pPr>
              <w:pStyle w:val="CellBodyL"/>
              <w:rPr>
                <w:rFonts w:ascii="Palatino Linotype" w:hAnsi="Palatino Linotype"/>
                <w:sz w:val="22"/>
                <w:szCs w:val="22"/>
              </w:rPr>
            </w:pPr>
            <w:r w:rsidRPr="001520D2">
              <w:rPr>
                <w:rFonts w:ascii="Palatino Linotype" w:hAnsi="Palatino Linotype"/>
                <w:sz w:val="22"/>
                <w:szCs w:val="22"/>
              </w:rPr>
              <w:t>Builder Stakeholder</w:t>
            </w:r>
          </w:p>
        </w:tc>
        <w:tc>
          <w:tcPr>
            <w:tcW w:w="4705" w:type="dxa"/>
            <w:vAlign w:val="center"/>
          </w:tcPr>
          <w:p w14:paraId="6CB25B55" w14:textId="77777777" w:rsidR="006A2BB9" w:rsidRPr="00315CD7" w:rsidRDefault="006A2BB9" w:rsidP="008C08B6">
            <w:pPr>
              <w:pStyle w:val="CellBodyL"/>
              <w:rPr>
                <w:rFonts w:ascii="Palatino Linotype" w:hAnsi="Palatino Linotype"/>
                <w:sz w:val="22"/>
                <w:lang w:eastAsia="en-CA"/>
              </w:rPr>
            </w:pPr>
            <w:r w:rsidRPr="00315CD7">
              <w:rPr>
                <w:rFonts w:ascii="Palatino Linotype" w:hAnsi="Palatino Linotype"/>
                <w:sz w:val="22"/>
                <w:lang w:eastAsia="en-CA"/>
              </w:rPr>
              <w:t>Project Manager</w:t>
            </w:r>
          </w:p>
        </w:tc>
      </w:tr>
      <w:tr w:rsidR="006A2BB9" w:rsidRPr="00B76153" w14:paraId="6CB25B5A" w14:textId="77777777" w:rsidTr="00C03370">
        <w:tc>
          <w:tcPr>
            <w:tcW w:w="2363" w:type="dxa"/>
            <w:vAlign w:val="center"/>
          </w:tcPr>
          <w:p w14:paraId="6CB25B57" w14:textId="77777777" w:rsidR="006A2BB9" w:rsidRPr="00315CD7" w:rsidRDefault="006A2BB9" w:rsidP="008C08B6">
            <w:pPr>
              <w:pStyle w:val="CellBodyL"/>
              <w:rPr>
                <w:rFonts w:ascii="Palatino Linotype" w:hAnsi="Palatino Linotype"/>
                <w:sz w:val="22"/>
                <w:szCs w:val="22"/>
              </w:rPr>
            </w:pPr>
            <w:r w:rsidRPr="00315CD7">
              <w:rPr>
                <w:rFonts w:ascii="Palatino Linotype" w:hAnsi="Palatino Linotype"/>
                <w:sz w:val="22"/>
                <w:szCs w:val="22"/>
              </w:rPr>
              <w:t>Customer Information Management</w:t>
            </w:r>
          </w:p>
        </w:tc>
        <w:tc>
          <w:tcPr>
            <w:tcW w:w="1802" w:type="dxa"/>
          </w:tcPr>
          <w:p w14:paraId="6CB25B58" w14:textId="77777777" w:rsidR="006A2BB9" w:rsidRPr="00315CD7" w:rsidRDefault="006A2BB9" w:rsidP="008C08B6">
            <w:pPr>
              <w:pStyle w:val="CellBodyL"/>
              <w:rPr>
                <w:rFonts w:ascii="Palatino Linotype" w:hAnsi="Palatino Linotype"/>
                <w:sz w:val="22"/>
                <w:szCs w:val="22"/>
              </w:rPr>
            </w:pPr>
            <w:r w:rsidRPr="001520D2">
              <w:rPr>
                <w:rFonts w:ascii="Palatino Linotype" w:hAnsi="Palatino Linotype"/>
                <w:sz w:val="22"/>
                <w:szCs w:val="22"/>
              </w:rPr>
              <w:t>Builder Stakeholder</w:t>
            </w:r>
          </w:p>
        </w:tc>
        <w:tc>
          <w:tcPr>
            <w:tcW w:w="4705" w:type="dxa"/>
            <w:vAlign w:val="center"/>
          </w:tcPr>
          <w:p w14:paraId="6CB25B59" w14:textId="77777777" w:rsidR="006A2BB9" w:rsidRPr="00315CD7" w:rsidRDefault="006A2BB9" w:rsidP="008C08B6">
            <w:pPr>
              <w:pStyle w:val="CellBodyL"/>
              <w:rPr>
                <w:rFonts w:ascii="Palatino Linotype" w:hAnsi="Palatino Linotype"/>
                <w:sz w:val="22"/>
                <w:lang w:eastAsia="en-CA"/>
              </w:rPr>
            </w:pPr>
            <w:r w:rsidRPr="00315CD7">
              <w:rPr>
                <w:rFonts w:ascii="Palatino Linotype" w:hAnsi="Palatino Linotype"/>
                <w:sz w:val="22"/>
                <w:lang w:eastAsia="en-CA"/>
              </w:rPr>
              <w:t>Solution Analyst</w:t>
            </w:r>
          </w:p>
        </w:tc>
      </w:tr>
      <w:tr w:rsidR="006A2BB9" w:rsidRPr="00B76153" w14:paraId="6CB25B5E" w14:textId="77777777" w:rsidTr="00C03370">
        <w:tc>
          <w:tcPr>
            <w:tcW w:w="2363" w:type="dxa"/>
            <w:vAlign w:val="center"/>
          </w:tcPr>
          <w:p w14:paraId="6CB25B5B" w14:textId="77777777" w:rsidR="006A2BB9" w:rsidRPr="00315CD7" w:rsidRDefault="006A2BB9" w:rsidP="008C08B6">
            <w:pPr>
              <w:pStyle w:val="CellBodyL"/>
              <w:rPr>
                <w:rFonts w:ascii="Palatino Linotype" w:hAnsi="Palatino Linotype"/>
                <w:sz w:val="22"/>
                <w:szCs w:val="22"/>
              </w:rPr>
            </w:pPr>
            <w:r w:rsidRPr="00315CD7">
              <w:rPr>
                <w:rFonts w:ascii="Palatino Linotype" w:hAnsi="Palatino Linotype"/>
                <w:sz w:val="22"/>
                <w:szCs w:val="22"/>
              </w:rPr>
              <w:t>Technology Support</w:t>
            </w:r>
          </w:p>
        </w:tc>
        <w:tc>
          <w:tcPr>
            <w:tcW w:w="1802" w:type="dxa"/>
          </w:tcPr>
          <w:p w14:paraId="6CB25B5C" w14:textId="77777777" w:rsidR="006A2BB9" w:rsidRPr="00315CD7" w:rsidRDefault="006A2BB9" w:rsidP="008C08B6">
            <w:pPr>
              <w:pStyle w:val="CellBodyL"/>
              <w:rPr>
                <w:rFonts w:ascii="Palatino Linotype" w:hAnsi="Palatino Linotype"/>
                <w:sz w:val="22"/>
                <w:szCs w:val="22"/>
              </w:rPr>
            </w:pPr>
            <w:r w:rsidRPr="001520D2">
              <w:rPr>
                <w:rFonts w:ascii="Palatino Linotype" w:hAnsi="Palatino Linotype"/>
                <w:sz w:val="22"/>
                <w:szCs w:val="22"/>
              </w:rPr>
              <w:t>Builder Stakeholder</w:t>
            </w:r>
          </w:p>
        </w:tc>
        <w:tc>
          <w:tcPr>
            <w:tcW w:w="4705" w:type="dxa"/>
            <w:vAlign w:val="center"/>
          </w:tcPr>
          <w:p w14:paraId="6CB25B5D" w14:textId="77777777" w:rsidR="006A2BB9" w:rsidRPr="00315CD7" w:rsidRDefault="006A2BB9" w:rsidP="008C08B6">
            <w:pPr>
              <w:pStyle w:val="CellBodyL"/>
              <w:rPr>
                <w:rFonts w:ascii="Palatino Linotype" w:hAnsi="Palatino Linotype"/>
                <w:sz w:val="22"/>
                <w:lang w:eastAsia="en-CA"/>
              </w:rPr>
            </w:pPr>
            <w:r w:rsidRPr="00315CD7">
              <w:rPr>
                <w:rFonts w:ascii="Palatino Linotype" w:hAnsi="Palatino Linotype"/>
                <w:sz w:val="22"/>
                <w:lang w:eastAsia="en-CA"/>
              </w:rPr>
              <w:t>Technical Analyst, Technical Specialists, Database administrators</w:t>
            </w:r>
          </w:p>
        </w:tc>
      </w:tr>
      <w:tr w:rsidR="006A2BB9" w:rsidRPr="00B76153" w14:paraId="6CB25B62" w14:textId="77777777" w:rsidTr="00C03370">
        <w:tc>
          <w:tcPr>
            <w:tcW w:w="2363" w:type="dxa"/>
            <w:vAlign w:val="center"/>
          </w:tcPr>
          <w:p w14:paraId="6CB25B5F" w14:textId="77777777" w:rsidR="006A2BB9" w:rsidRPr="00315CD7" w:rsidRDefault="006A2BB9" w:rsidP="008C08B6">
            <w:pPr>
              <w:pStyle w:val="CellBodyL"/>
              <w:rPr>
                <w:rFonts w:ascii="Palatino Linotype" w:hAnsi="Palatino Linotype"/>
                <w:sz w:val="22"/>
                <w:szCs w:val="22"/>
              </w:rPr>
            </w:pPr>
            <w:r w:rsidRPr="00315CD7">
              <w:rPr>
                <w:rFonts w:ascii="Palatino Linotype" w:hAnsi="Palatino Linotype"/>
                <w:sz w:val="22"/>
                <w:szCs w:val="22"/>
              </w:rPr>
              <w:t>Business Solutions</w:t>
            </w:r>
          </w:p>
        </w:tc>
        <w:tc>
          <w:tcPr>
            <w:tcW w:w="1802" w:type="dxa"/>
          </w:tcPr>
          <w:p w14:paraId="6CB25B60" w14:textId="77777777" w:rsidR="006A2BB9" w:rsidRPr="00315CD7" w:rsidRDefault="006A2BB9" w:rsidP="008C08B6">
            <w:pPr>
              <w:pStyle w:val="CellBodyL"/>
              <w:rPr>
                <w:rFonts w:ascii="Palatino Linotype" w:hAnsi="Palatino Linotype"/>
                <w:sz w:val="22"/>
                <w:szCs w:val="22"/>
              </w:rPr>
            </w:pPr>
            <w:r w:rsidRPr="001520D2">
              <w:rPr>
                <w:rFonts w:ascii="Palatino Linotype" w:hAnsi="Palatino Linotype"/>
                <w:sz w:val="22"/>
                <w:szCs w:val="22"/>
              </w:rPr>
              <w:t>Builder Stakeholder</w:t>
            </w:r>
          </w:p>
        </w:tc>
        <w:tc>
          <w:tcPr>
            <w:tcW w:w="4705" w:type="dxa"/>
            <w:vAlign w:val="center"/>
          </w:tcPr>
          <w:p w14:paraId="6CB25B61" w14:textId="77777777" w:rsidR="006A2BB9" w:rsidRPr="00315CD7" w:rsidRDefault="006A2BB9" w:rsidP="008C08B6">
            <w:pPr>
              <w:pStyle w:val="CellBodyL"/>
              <w:rPr>
                <w:rFonts w:ascii="Palatino Linotype" w:hAnsi="Palatino Linotype"/>
                <w:sz w:val="22"/>
                <w:lang w:eastAsia="en-CA"/>
              </w:rPr>
            </w:pPr>
            <w:r w:rsidRPr="00315CD7">
              <w:rPr>
                <w:rFonts w:ascii="Palatino Linotype" w:hAnsi="Palatino Linotype"/>
                <w:sz w:val="22"/>
                <w:lang w:eastAsia="en-CA"/>
              </w:rPr>
              <w:t>Solution Analysts, Solution Specialists, Developers</w:t>
            </w:r>
          </w:p>
        </w:tc>
      </w:tr>
      <w:tr w:rsidR="006A2BB9" w:rsidRPr="00B76153" w14:paraId="6CB25B66" w14:textId="77777777" w:rsidTr="00C03370">
        <w:tc>
          <w:tcPr>
            <w:tcW w:w="2363" w:type="dxa"/>
            <w:vAlign w:val="center"/>
          </w:tcPr>
          <w:p w14:paraId="6CB25B63" w14:textId="77777777" w:rsidR="006A2BB9" w:rsidRPr="00315CD7" w:rsidRDefault="006A2BB9" w:rsidP="008C08B6">
            <w:pPr>
              <w:pStyle w:val="CellBodyL"/>
              <w:rPr>
                <w:rFonts w:ascii="Palatino Linotype" w:hAnsi="Palatino Linotype"/>
                <w:sz w:val="22"/>
                <w:szCs w:val="22"/>
              </w:rPr>
            </w:pPr>
            <w:r w:rsidRPr="00315CD7">
              <w:rPr>
                <w:rFonts w:ascii="Palatino Linotype" w:hAnsi="Palatino Linotype"/>
                <w:sz w:val="22"/>
                <w:szCs w:val="22"/>
              </w:rPr>
              <w:t>Business Analysis Services</w:t>
            </w:r>
          </w:p>
        </w:tc>
        <w:tc>
          <w:tcPr>
            <w:tcW w:w="1802" w:type="dxa"/>
          </w:tcPr>
          <w:p w14:paraId="6CB25B64" w14:textId="77777777" w:rsidR="006A2BB9" w:rsidRPr="00315CD7" w:rsidRDefault="006A2BB9" w:rsidP="008C08B6">
            <w:pPr>
              <w:pStyle w:val="CellBodyL"/>
              <w:rPr>
                <w:rFonts w:ascii="Palatino Linotype" w:hAnsi="Palatino Linotype"/>
                <w:sz w:val="22"/>
                <w:szCs w:val="22"/>
              </w:rPr>
            </w:pPr>
            <w:r w:rsidRPr="001520D2">
              <w:rPr>
                <w:rFonts w:ascii="Palatino Linotype" w:hAnsi="Palatino Linotype"/>
                <w:sz w:val="22"/>
                <w:szCs w:val="22"/>
              </w:rPr>
              <w:t>Builder Stakeholder</w:t>
            </w:r>
          </w:p>
        </w:tc>
        <w:tc>
          <w:tcPr>
            <w:tcW w:w="4705" w:type="dxa"/>
            <w:vAlign w:val="center"/>
          </w:tcPr>
          <w:p w14:paraId="6CB25B65" w14:textId="77777777" w:rsidR="006A2BB9" w:rsidRPr="00315CD7" w:rsidRDefault="006A2BB9" w:rsidP="008C08B6">
            <w:pPr>
              <w:pStyle w:val="CellBodyL"/>
              <w:rPr>
                <w:rFonts w:ascii="Palatino Linotype" w:hAnsi="Palatino Linotype"/>
                <w:sz w:val="22"/>
                <w:lang w:eastAsia="en-CA"/>
              </w:rPr>
            </w:pPr>
            <w:r w:rsidRPr="00315CD7">
              <w:rPr>
                <w:rFonts w:ascii="Palatino Linotype" w:hAnsi="Palatino Linotype"/>
                <w:sz w:val="22"/>
                <w:lang w:eastAsia="en-CA"/>
              </w:rPr>
              <w:t>Business Analyst</w:t>
            </w:r>
          </w:p>
        </w:tc>
      </w:tr>
      <w:tr w:rsidR="006A2BB9" w:rsidRPr="00B76153" w14:paraId="6CB25B6A" w14:textId="77777777" w:rsidTr="00C03370">
        <w:tc>
          <w:tcPr>
            <w:tcW w:w="2363" w:type="dxa"/>
            <w:vAlign w:val="center"/>
          </w:tcPr>
          <w:p w14:paraId="6CB25B67" w14:textId="77777777" w:rsidR="006A2BB9" w:rsidRPr="00315CD7" w:rsidRDefault="006A2BB9" w:rsidP="008C08B6">
            <w:pPr>
              <w:pStyle w:val="CellBodyL"/>
              <w:rPr>
                <w:rFonts w:ascii="Palatino Linotype" w:hAnsi="Palatino Linotype"/>
                <w:sz w:val="22"/>
                <w:szCs w:val="22"/>
              </w:rPr>
            </w:pPr>
            <w:r w:rsidRPr="00315CD7">
              <w:rPr>
                <w:rFonts w:ascii="Palatino Linotype" w:hAnsi="Palatino Linotype"/>
                <w:sz w:val="22"/>
                <w:szCs w:val="22"/>
              </w:rPr>
              <w:t>Market Registration</w:t>
            </w:r>
          </w:p>
        </w:tc>
        <w:tc>
          <w:tcPr>
            <w:tcW w:w="1802" w:type="dxa"/>
          </w:tcPr>
          <w:p w14:paraId="6CB25B68" w14:textId="77777777" w:rsidR="006A2BB9" w:rsidRPr="00315CD7" w:rsidRDefault="006A2BB9" w:rsidP="008C08B6">
            <w:pPr>
              <w:pStyle w:val="CellBodyL"/>
              <w:rPr>
                <w:rFonts w:ascii="Palatino Linotype" w:hAnsi="Palatino Linotype"/>
                <w:sz w:val="22"/>
                <w:szCs w:val="22"/>
              </w:rPr>
            </w:pPr>
            <w:r w:rsidRPr="001520D2">
              <w:rPr>
                <w:rFonts w:ascii="Palatino Linotype" w:hAnsi="Palatino Linotype"/>
                <w:sz w:val="22"/>
                <w:szCs w:val="22"/>
              </w:rPr>
              <w:t>Builder Stakeholder</w:t>
            </w:r>
          </w:p>
        </w:tc>
        <w:tc>
          <w:tcPr>
            <w:tcW w:w="4705" w:type="dxa"/>
            <w:vAlign w:val="center"/>
          </w:tcPr>
          <w:p w14:paraId="6CB25B69" w14:textId="77777777" w:rsidR="006A2BB9" w:rsidRPr="00315CD7" w:rsidRDefault="006A2BB9" w:rsidP="008C08B6">
            <w:pPr>
              <w:pStyle w:val="CellBodyL"/>
              <w:rPr>
                <w:rFonts w:ascii="Palatino Linotype" w:hAnsi="Palatino Linotype"/>
                <w:sz w:val="22"/>
                <w:lang w:eastAsia="en-CA"/>
              </w:rPr>
            </w:pPr>
            <w:r w:rsidRPr="00315CD7">
              <w:rPr>
                <w:rFonts w:ascii="Palatino Linotype" w:hAnsi="Palatino Linotype"/>
                <w:sz w:val="22"/>
                <w:lang w:eastAsia="en-CA"/>
              </w:rPr>
              <w:t>Process subject matter experts</w:t>
            </w:r>
          </w:p>
        </w:tc>
      </w:tr>
      <w:tr w:rsidR="006A2BB9" w:rsidRPr="00B76153" w14:paraId="6CB25B6E" w14:textId="77777777" w:rsidTr="00C03370">
        <w:tc>
          <w:tcPr>
            <w:tcW w:w="2363" w:type="dxa"/>
            <w:vAlign w:val="center"/>
          </w:tcPr>
          <w:p w14:paraId="6CB25B6B" w14:textId="77777777" w:rsidR="006A2BB9" w:rsidRPr="00315CD7" w:rsidRDefault="006A2BB9" w:rsidP="008C08B6">
            <w:pPr>
              <w:pStyle w:val="CellBodyL"/>
              <w:rPr>
                <w:rFonts w:ascii="Palatino Linotype" w:hAnsi="Palatino Linotype"/>
                <w:sz w:val="22"/>
                <w:szCs w:val="22"/>
              </w:rPr>
            </w:pPr>
            <w:r w:rsidRPr="00315CD7">
              <w:rPr>
                <w:rFonts w:ascii="Palatino Linotype" w:hAnsi="Palatino Linotype"/>
                <w:sz w:val="22"/>
                <w:szCs w:val="22"/>
              </w:rPr>
              <w:t>Power System Assessments</w:t>
            </w:r>
          </w:p>
        </w:tc>
        <w:tc>
          <w:tcPr>
            <w:tcW w:w="1802" w:type="dxa"/>
          </w:tcPr>
          <w:p w14:paraId="6CB25B6C" w14:textId="77777777" w:rsidR="006A2BB9" w:rsidRPr="00315CD7" w:rsidRDefault="006A2BB9" w:rsidP="008C08B6">
            <w:pPr>
              <w:pStyle w:val="CellBodyL"/>
              <w:rPr>
                <w:rFonts w:ascii="Palatino Linotype" w:hAnsi="Palatino Linotype"/>
                <w:sz w:val="22"/>
                <w:szCs w:val="22"/>
              </w:rPr>
            </w:pPr>
            <w:r w:rsidRPr="001520D2">
              <w:rPr>
                <w:rFonts w:ascii="Palatino Linotype" w:hAnsi="Palatino Linotype"/>
                <w:sz w:val="22"/>
                <w:szCs w:val="22"/>
              </w:rPr>
              <w:t>Builder Stakeholder</w:t>
            </w:r>
          </w:p>
        </w:tc>
        <w:tc>
          <w:tcPr>
            <w:tcW w:w="4705" w:type="dxa"/>
            <w:vAlign w:val="center"/>
          </w:tcPr>
          <w:p w14:paraId="6CB25B6D" w14:textId="77777777" w:rsidR="006A2BB9" w:rsidRPr="00315CD7" w:rsidRDefault="006A2BB9" w:rsidP="008C08B6">
            <w:pPr>
              <w:pStyle w:val="CellBodyL"/>
              <w:rPr>
                <w:rFonts w:ascii="Palatino Linotype" w:hAnsi="Palatino Linotype"/>
                <w:sz w:val="22"/>
                <w:lang w:eastAsia="en-CA"/>
              </w:rPr>
            </w:pPr>
            <w:r w:rsidRPr="00315CD7">
              <w:rPr>
                <w:rFonts w:ascii="Palatino Linotype" w:hAnsi="Palatino Linotype"/>
                <w:sz w:val="22"/>
                <w:lang w:eastAsia="en-CA"/>
              </w:rPr>
              <w:t>Process subject matter experts</w:t>
            </w:r>
          </w:p>
        </w:tc>
      </w:tr>
      <w:tr w:rsidR="006A2BB9" w:rsidRPr="00B76153" w14:paraId="6CB25B72" w14:textId="77777777" w:rsidTr="00C03370">
        <w:tc>
          <w:tcPr>
            <w:tcW w:w="2363" w:type="dxa"/>
            <w:vAlign w:val="center"/>
          </w:tcPr>
          <w:p w14:paraId="6CB25B6F" w14:textId="77777777" w:rsidR="006A2BB9" w:rsidRPr="00315CD7" w:rsidRDefault="006A2BB9" w:rsidP="008C08B6">
            <w:pPr>
              <w:pStyle w:val="CellBodyL"/>
              <w:rPr>
                <w:rFonts w:ascii="Palatino Linotype" w:hAnsi="Palatino Linotype"/>
                <w:sz w:val="22"/>
                <w:szCs w:val="22"/>
              </w:rPr>
            </w:pPr>
            <w:r w:rsidRPr="00315CD7">
              <w:rPr>
                <w:rFonts w:ascii="Palatino Linotype" w:hAnsi="Palatino Linotype"/>
                <w:sz w:val="22"/>
                <w:szCs w:val="22"/>
              </w:rPr>
              <w:t>Market Operations</w:t>
            </w:r>
          </w:p>
        </w:tc>
        <w:tc>
          <w:tcPr>
            <w:tcW w:w="1802" w:type="dxa"/>
          </w:tcPr>
          <w:p w14:paraId="6CB25B70" w14:textId="77777777" w:rsidR="006A2BB9" w:rsidRPr="00315CD7" w:rsidRDefault="006A2BB9" w:rsidP="008C08B6">
            <w:pPr>
              <w:pStyle w:val="CellBodyL"/>
              <w:rPr>
                <w:rFonts w:ascii="Palatino Linotype" w:hAnsi="Palatino Linotype"/>
                <w:sz w:val="22"/>
                <w:szCs w:val="22"/>
              </w:rPr>
            </w:pPr>
            <w:r w:rsidRPr="001520D2">
              <w:rPr>
                <w:rFonts w:ascii="Palatino Linotype" w:hAnsi="Palatino Linotype"/>
                <w:sz w:val="22"/>
                <w:szCs w:val="22"/>
              </w:rPr>
              <w:t>Builder Stakeholder</w:t>
            </w:r>
          </w:p>
        </w:tc>
        <w:tc>
          <w:tcPr>
            <w:tcW w:w="4705" w:type="dxa"/>
            <w:vAlign w:val="center"/>
          </w:tcPr>
          <w:p w14:paraId="6CB25B71" w14:textId="77777777" w:rsidR="006A2BB9" w:rsidRPr="00315CD7" w:rsidRDefault="006A2BB9" w:rsidP="008C08B6">
            <w:pPr>
              <w:pStyle w:val="CellBodyL"/>
              <w:rPr>
                <w:rFonts w:ascii="Palatino Linotype" w:hAnsi="Palatino Linotype"/>
                <w:sz w:val="22"/>
                <w:lang w:eastAsia="en-CA"/>
              </w:rPr>
            </w:pPr>
            <w:r w:rsidRPr="00315CD7">
              <w:rPr>
                <w:rFonts w:ascii="Palatino Linotype" w:hAnsi="Palatino Linotype"/>
                <w:sz w:val="22"/>
                <w:lang w:eastAsia="en-CA"/>
              </w:rPr>
              <w:t>Process subject matter experts</w:t>
            </w:r>
          </w:p>
        </w:tc>
      </w:tr>
      <w:tr w:rsidR="006A2BB9" w:rsidRPr="00B76153" w14:paraId="6CB25B76" w14:textId="77777777" w:rsidTr="00C03370">
        <w:tc>
          <w:tcPr>
            <w:tcW w:w="2363" w:type="dxa"/>
            <w:vAlign w:val="center"/>
          </w:tcPr>
          <w:p w14:paraId="6CB25B73" w14:textId="77777777" w:rsidR="006A2BB9" w:rsidRPr="00315CD7" w:rsidRDefault="006A2BB9" w:rsidP="008C08B6">
            <w:pPr>
              <w:pStyle w:val="CellBodyL"/>
              <w:rPr>
                <w:rFonts w:ascii="Palatino Linotype" w:hAnsi="Palatino Linotype"/>
                <w:sz w:val="22"/>
                <w:szCs w:val="22"/>
              </w:rPr>
            </w:pPr>
            <w:r w:rsidRPr="00315CD7">
              <w:rPr>
                <w:rFonts w:ascii="Palatino Linotype" w:hAnsi="Palatino Linotype"/>
                <w:sz w:val="22"/>
                <w:szCs w:val="22"/>
              </w:rPr>
              <w:t>Market Settlements</w:t>
            </w:r>
          </w:p>
        </w:tc>
        <w:tc>
          <w:tcPr>
            <w:tcW w:w="1802" w:type="dxa"/>
          </w:tcPr>
          <w:p w14:paraId="6CB25B74" w14:textId="77777777" w:rsidR="006A2BB9" w:rsidRPr="00315CD7" w:rsidRDefault="006A2BB9" w:rsidP="008C08B6">
            <w:pPr>
              <w:pStyle w:val="CellBodyL"/>
              <w:rPr>
                <w:rFonts w:ascii="Palatino Linotype" w:hAnsi="Palatino Linotype"/>
                <w:sz w:val="22"/>
                <w:szCs w:val="22"/>
              </w:rPr>
            </w:pPr>
            <w:r w:rsidRPr="001520D2">
              <w:rPr>
                <w:rFonts w:ascii="Palatino Linotype" w:hAnsi="Palatino Linotype"/>
                <w:sz w:val="22"/>
                <w:szCs w:val="22"/>
              </w:rPr>
              <w:t>Builder Stakeholder</w:t>
            </w:r>
          </w:p>
        </w:tc>
        <w:tc>
          <w:tcPr>
            <w:tcW w:w="4705" w:type="dxa"/>
            <w:vAlign w:val="center"/>
          </w:tcPr>
          <w:p w14:paraId="6CB25B75" w14:textId="77777777" w:rsidR="006A2BB9" w:rsidRPr="00315CD7" w:rsidRDefault="006A2BB9" w:rsidP="008C08B6">
            <w:pPr>
              <w:pStyle w:val="CellBodyL"/>
              <w:rPr>
                <w:rFonts w:ascii="Palatino Linotype" w:hAnsi="Palatino Linotype"/>
                <w:sz w:val="22"/>
                <w:lang w:eastAsia="en-CA"/>
              </w:rPr>
            </w:pPr>
            <w:r w:rsidRPr="00315CD7">
              <w:rPr>
                <w:rFonts w:ascii="Palatino Linotype" w:hAnsi="Palatino Linotype"/>
                <w:sz w:val="22"/>
                <w:lang w:eastAsia="en-CA"/>
              </w:rPr>
              <w:t>Process subject matter experts</w:t>
            </w:r>
          </w:p>
        </w:tc>
      </w:tr>
      <w:tr w:rsidR="006A2BB9" w:rsidRPr="00B76153" w14:paraId="6CB25B7A" w14:textId="77777777" w:rsidTr="00C03370">
        <w:tc>
          <w:tcPr>
            <w:tcW w:w="2363" w:type="dxa"/>
            <w:vAlign w:val="center"/>
          </w:tcPr>
          <w:p w14:paraId="6CB25B77" w14:textId="77777777" w:rsidR="006A2BB9" w:rsidRPr="00315CD7" w:rsidRDefault="006A2BB9" w:rsidP="008C08B6">
            <w:pPr>
              <w:pStyle w:val="CellBodyL"/>
              <w:rPr>
                <w:rFonts w:ascii="Palatino Linotype" w:hAnsi="Palatino Linotype"/>
                <w:sz w:val="22"/>
                <w:szCs w:val="22"/>
              </w:rPr>
            </w:pPr>
            <w:r w:rsidRPr="00315CD7">
              <w:rPr>
                <w:rFonts w:ascii="Palatino Linotype" w:hAnsi="Palatino Linotype"/>
                <w:sz w:val="22"/>
                <w:szCs w:val="22"/>
              </w:rPr>
              <w:t>Meter Data Management</w:t>
            </w:r>
          </w:p>
        </w:tc>
        <w:tc>
          <w:tcPr>
            <w:tcW w:w="1802" w:type="dxa"/>
          </w:tcPr>
          <w:p w14:paraId="6CB25B78" w14:textId="77777777" w:rsidR="006A2BB9" w:rsidRPr="00315CD7" w:rsidRDefault="006A2BB9" w:rsidP="008C08B6">
            <w:pPr>
              <w:pStyle w:val="CellBodyL"/>
              <w:rPr>
                <w:rFonts w:ascii="Palatino Linotype" w:hAnsi="Palatino Linotype"/>
                <w:sz w:val="22"/>
                <w:szCs w:val="22"/>
              </w:rPr>
            </w:pPr>
            <w:r w:rsidRPr="001520D2">
              <w:rPr>
                <w:rFonts w:ascii="Palatino Linotype" w:hAnsi="Palatino Linotype"/>
                <w:sz w:val="22"/>
                <w:szCs w:val="22"/>
              </w:rPr>
              <w:t>Builder Stakeholder</w:t>
            </w:r>
          </w:p>
        </w:tc>
        <w:tc>
          <w:tcPr>
            <w:tcW w:w="4705" w:type="dxa"/>
            <w:vAlign w:val="center"/>
          </w:tcPr>
          <w:p w14:paraId="6CB25B79" w14:textId="77777777" w:rsidR="006A2BB9" w:rsidRPr="00315CD7" w:rsidRDefault="006A2BB9" w:rsidP="008C08B6">
            <w:pPr>
              <w:pStyle w:val="CellBodyL"/>
              <w:rPr>
                <w:rFonts w:ascii="Palatino Linotype" w:hAnsi="Palatino Linotype"/>
                <w:sz w:val="22"/>
                <w:lang w:eastAsia="en-CA"/>
              </w:rPr>
            </w:pPr>
            <w:r w:rsidRPr="00315CD7">
              <w:rPr>
                <w:rFonts w:ascii="Palatino Linotype" w:hAnsi="Palatino Linotype"/>
                <w:sz w:val="22"/>
                <w:lang w:eastAsia="en-CA"/>
              </w:rPr>
              <w:t>Process subject matter experts</w:t>
            </w:r>
          </w:p>
        </w:tc>
      </w:tr>
      <w:tr w:rsidR="006A2BB9" w:rsidRPr="00B76153" w14:paraId="6CB25B7E" w14:textId="77777777" w:rsidTr="00C03370">
        <w:tc>
          <w:tcPr>
            <w:tcW w:w="2363" w:type="dxa"/>
            <w:vAlign w:val="center"/>
          </w:tcPr>
          <w:p w14:paraId="6CB25B7B" w14:textId="77777777" w:rsidR="006A2BB9" w:rsidRPr="00315CD7" w:rsidRDefault="006A2BB9" w:rsidP="008C08B6">
            <w:pPr>
              <w:pStyle w:val="CellBodyL"/>
              <w:rPr>
                <w:rFonts w:ascii="Palatino Linotype" w:hAnsi="Palatino Linotype"/>
                <w:sz w:val="22"/>
                <w:szCs w:val="22"/>
              </w:rPr>
            </w:pPr>
            <w:r w:rsidRPr="00315CD7">
              <w:rPr>
                <w:rFonts w:ascii="Palatino Linotype" w:hAnsi="Palatino Linotype"/>
                <w:sz w:val="22"/>
                <w:szCs w:val="22"/>
              </w:rPr>
              <w:t>Treasury and Finance</w:t>
            </w:r>
          </w:p>
        </w:tc>
        <w:tc>
          <w:tcPr>
            <w:tcW w:w="1802" w:type="dxa"/>
          </w:tcPr>
          <w:p w14:paraId="6CB25B7C" w14:textId="77777777" w:rsidR="006A2BB9" w:rsidRPr="00315CD7" w:rsidRDefault="006A2BB9" w:rsidP="008C08B6">
            <w:pPr>
              <w:pStyle w:val="CellBodyL"/>
              <w:rPr>
                <w:rFonts w:ascii="Palatino Linotype" w:hAnsi="Palatino Linotype"/>
                <w:sz w:val="22"/>
                <w:szCs w:val="22"/>
              </w:rPr>
            </w:pPr>
            <w:r w:rsidRPr="001520D2">
              <w:rPr>
                <w:rFonts w:ascii="Palatino Linotype" w:hAnsi="Palatino Linotype"/>
                <w:sz w:val="22"/>
                <w:szCs w:val="22"/>
              </w:rPr>
              <w:t>Builder Stakeholder</w:t>
            </w:r>
          </w:p>
        </w:tc>
        <w:tc>
          <w:tcPr>
            <w:tcW w:w="4705" w:type="dxa"/>
            <w:vAlign w:val="center"/>
          </w:tcPr>
          <w:p w14:paraId="6CB25B7D" w14:textId="77777777" w:rsidR="006A2BB9" w:rsidRPr="00315CD7" w:rsidRDefault="006A2BB9" w:rsidP="008C08B6">
            <w:pPr>
              <w:pStyle w:val="CellBodyL"/>
              <w:rPr>
                <w:rFonts w:ascii="Palatino Linotype" w:hAnsi="Palatino Linotype"/>
                <w:sz w:val="22"/>
                <w:lang w:eastAsia="en-CA"/>
              </w:rPr>
            </w:pPr>
            <w:r w:rsidRPr="00315CD7">
              <w:rPr>
                <w:rFonts w:ascii="Palatino Linotype" w:hAnsi="Palatino Linotype"/>
                <w:sz w:val="22"/>
                <w:lang w:eastAsia="en-CA"/>
              </w:rPr>
              <w:t>Process subject matter experts</w:t>
            </w:r>
          </w:p>
        </w:tc>
      </w:tr>
      <w:tr w:rsidR="006A2BB9" w:rsidRPr="00B76153" w14:paraId="6CB25B82" w14:textId="77777777" w:rsidTr="00C03370">
        <w:tc>
          <w:tcPr>
            <w:tcW w:w="2363" w:type="dxa"/>
            <w:vAlign w:val="center"/>
          </w:tcPr>
          <w:p w14:paraId="6CB25B7F" w14:textId="77777777" w:rsidR="006A2BB9" w:rsidRPr="00315CD7" w:rsidRDefault="006A2BB9" w:rsidP="008C08B6">
            <w:pPr>
              <w:pStyle w:val="CellBodyL"/>
              <w:rPr>
                <w:rFonts w:ascii="Palatino Linotype" w:hAnsi="Palatino Linotype"/>
                <w:sz w:val="22"/>
                <w:szCs w:val="22"/>
              </w:rPr>
            </w:pPr>
            <w:r w:rsidRPr="00315CD7">
              <w:rPr>
                <w:rFonts w:ascii="Palatino Linotype" w:hAnsi="Palatino Linotype"/>
                <w:sz w:val="22"/>
                <w:szCs w:val="22"/>
              </w:rPr>
              <w:t>Stakeholder and Public Affairs</w:t>
            </w:r>
          </w:p>
        </w:tc>
        <w:tc>
          <w:tcPr>
            <w:tcW w:w="1802" w:type="dxa"/>
          </w:tcPr>
          <w:p w14:paraId="6CB25B80" w14:textId="77777777" w:rsidR="006A2BB9" w:rsidRPr="00315CD7" w:rsidRDefault="006A2BB9" w:rsidP="008C08B6">
            <w:pPr>
              <w:pStyle w:val="CellBodyL"/>
              <w:rPr>
                <w:rFonts w:ascii="Palatino Linotype" w:hAnsi="Palatino Linotype"/>
                <w:sz w:val="22"/>
                <w:szCs w:val="22"/>
              </w:rPr>
            </w:pPr>
            <w:r w:rsidRPr="001520D2">
              <w:rPr>
                <w:rFonts w:ascii="Palatino Linotype" w:hAnsi="Palatino Linotype"/>
                <w:sz w:val="22"/>
                <w:szCs w:val="22"/>
              </w:rPr>
              <w:t>Builder Stakeholder</w:t>
            </w:r>
          </w:p>
        </w:tc>
        <w:tc>
          <w:tcPr>
            <w:tcW w:w="4705" w:type="dxa"/>
            <w:vAlign w:val="center"/>
          </w:tcPr>
          <w:p w14:paraId="6CB25B81" w14:textId="77777777" w:rsidR="006A2BB9" w:rsidRPr="00315CD7" w:rsidRDefault="006A2BB9" w:rsidP="008C08B6">
            <w:pPr>
              <w:pStyle w:val="CellBodyL"/>
              <w:rPr>
                <w:rFonts w:ascii="Palatino Linotype" w:hAnsi="Palatino Linotype"/>
                <w:sz w:val="22"/>
                <w:lang w:eastAsia="en-CA"/>
              </w:rPr>
            </w:pPr>
            <w:r w:rsidRPr="00315CD7">
              <w:rPr>
                <w:rFonts w:ascii="Palatino Linotype" w:hAnsi="Palatino Linotype"/>
                <w:sz w:val="22"/>
                <w:lang w:eastAsia="en-CA"/>
              </w:rPr>
              <w:t>Process subject matter experts</w:t>
            </w:r>
          </w:p>
        </w:tc>
      </w:tr>
    </w:tbl>
    <w:p w14:paraId="2418F2DC" w14:textId="60C3222E" w:rsidR="00924F70" w:rsidRDefault="00924F70" w:rsidP="00924F70">
      <w:pPr>
        <w:pStyle w:val="Heading1"/>
        <w:numPr>
          <w:ilvl w:val="0"/>
          <w:numId w:val="0"/>
        </w:numPr>
        <w:ind w:left="432"/>
      </w:pPr>
    </w:p>
    <w:p w14:paraId="390323DD" w14:textId="77777777" w:rsidR="00924F70" w:rsidRDefault="00924F70">
      <w:pPr>
        <w:spacing w:before="0"/>
        <w:rPr>
          <w:rFonts w:ascii="Cambria" w:hAnsi="Cambria"/>
          <w:b/>
          <w:sz w:val="28"/>
          <w:szCs w:val="28"/>
        </w:rPr>
      </w:pPr>
      <w:r>
        <w:br w:type="page"/>
      </w:r>
    </w:p>
    <w:p w14:paraId="6CB25B83" w14:textId="464D71F1" w:rsidR="00C83E1C" w:rsidRPr="00B76153" w:rsidRDefault="0027288D" w:rsidP="0027288D">
      <w:pPr>
        <w:pStyle w:val="Heading1"/>
      </w:pPr>
      <w:r>
        <w:lastRenderedPageBreak/>
        <w:t>Project Governance Structure</w:t>
      </w:r>
    </w:p>
    <w:p w14:paraId="6CB25B84" w14:textId="77777777" w:rsidR="00763E7B" w:rsidRDefault="00763E7B" w:rsidP="005F71CC">
      <w:pPr>
        <w:pStyle w:val="ListParagraph"/>
        <w:ind w:left="0"/>
      </w:pPr>
      <w:r>
        <w:t>Project Steering Committee approves TCA project decision</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02EDF" w:rsidRPr="006D5488" w14:paraId="6CB25B88" w14:textId="77777777" w:rsidTr="00AF366F">
        <w:trPr>
          <w:cantSplit/>
          <w:tblHeader/>
          <w:jc w:val="center"/>
        </w:trPr>
        <w:tc>
          <w:tcPr>
            <w:tcW w:w="3192" w:type="dxa"/>
            <w:shd w:val="clear" w:color="auto" w:fill="BFBFBF" w:themeFill="background1" w:themeFillShade="BF"/>
          </w:tcPr>
          <w:p w14:paraId="6CB25B85" w14:textId="77777777" w:rsidR="00A02EDF" w:rsidRPr="000B097E" w:rsidRDefault="00A02EDF" w:rsidP="000B097E">
            <w:pPr>
              <w:pStyle w:val="TableHead"/>
            </w:pPr>
            <w:r w:rsidRPr="006D5488">
              <w:t>Member Name</w:t>
            </w:r>
          </w:p>
        </w:tc>
        <w:tc>
          <w:tcPr>
            <w:tcW w:w="3192" w:type="dxa"/>
            <w:shd w:val="clear" w:color="auto" w:fill="BFBFBF" w:themeFill="background1" w:themeFillShade="BF"/>
          </w:tcPr>
          <w:p w14:paraId="6CB25B86" w14:textId="77777777" w:rsidR="00A02EDF" w:rsidRPr="000B097E" w:rsidRDefault="00A02EDF" w:rsidP="000B097E">
            <w:pPr>
              <w:pStyle w:val="TableHead"/>
            </w:pPr>
            <w:r w:rsidRPr="006D5488">
              <w:t>Title</w:t>
            </w:r>
          </w:p>
        </w:tc>
        <w:tc>
          <w:tcPr>
            <w:tcW w:w="3192" w:type="dxa"/>
            <w:shd w:val="clear" w:color="auto" w:fill="BFBFBF" w:themeFill="background1" w:themeFillShade="BF"/>
          </w:tcPr>
          <w:p w14:paraId="6CB25B87" w14:textId="77777777" w:rsidR="00A02EDF" w:rsidRPr="000B097E" w:rsidRDefault="00A02EDF" w:rsidP="000B097E">
            <w:pPr>
              <w:pStyle w:val="TableHead"/>
            </w:pPr>
            <w:r w:rsidRPr="006D5488">
              <w:t>Representing</w:t>
            </w:r>
          </w:p>
        </w:tc>
      </w:tr>
      <w:tr w:rsidR="00A02EDF" w14:paraId="6CB25B8C" w14:textId="77777777" w:rsidTr="00AF366F">
        <w:trPr>
          <w:jc w:val="center"/>
        </w:trPr>
        <w:tc>
          <w:tcPr>
            <w:tcW w:w="3192" w:type="dxa"/>
          </w:tcPr>
          <w:p w14:paraId="6CB25B89" w14:textId="77777777" w:rsidR="00A02EDF" w:rsidRPr="000E6EA2" w:rsidRDefault="00A02EDF" w:rsidP="00C03370">
            <w:pPr>
              <w:autoSpaceDE w:val="0"/>
              <w:autoSpaceDN w:val="0"/>
              <w:spacing w:line="288" w:lineRule="auto"/>
              <w:rPr>
                <w:rFonts w:ascii="Palatino Linotype" w:hAnsi="Palatino Linotype"/>
              </w:rPr>
            </w:pPr>
            <w:r w:rsidRPr="000E6EA2">
              <w:rPr>
                <w:rFonts w:ascii="Palatino Linotype" w:hAnsi="Palatino Linotype"/>
              </w:rPr>
              <w:t xml:space="preserve">Leonard Kula  </w:t>
            </w:r>
          </w:p>
        </w:tc>
        <w:tc>
          <w:tcPr>
            <w:tcW w:w="3192" w:type="dxa"/>
          </w:tcPr>
          <w:p w14:paraId="6CB25B8A" w14:textId="77777777" w:rsidR="00A02EDF" w:rsidRPr="000E6EA2" w:rsidRDefault="00A02EDF" w:rsidP="00C03370">
            <w:pPr>
              <w:autoSpaceDE w:val="0"/>
              <w:autoSpaceDN w:val="0"/>
              <w:spacing w:line="288" w:lineRule="auto"/>
              <w:rPr>
                <w:rFonts w:ascii="Palatino Linotype" w:hAnsi="Palatino Linotype"/>
              </w:rPr>
            </w:pPr>
            <w:r w:rsidRPr="000E6EA2">
              <w:rPr>
                <w:rFonts w:ascii="Palatino Linotype" w:hAnsi="Palatino Linotype"/>
              </w:rPr>
              <w:t>VP Planning, Acquisition and Operations/COO</w:t>
            </w:r>
          </w:p>
        </w:tc>
        <w:tc>
          <w:tcPr>
            <w:tcW w:w="3192" w:type="dxa"/>
          </w:tcPr>
          <w:p w14:paraId="6CB25B8B" w14:textId="77777777" w:rsidR="00A02EDF" w:rsidRPr="000E6EA2" w:rsidRDefault="00A02EDF" w:rsidP="00C03370">
            <w:pPr>
              <w:autoSpaceDE w:val="0"/>
              <w:autoSpaceDN w:val="0"/>
              <w:spacing w:line="288" w:lineRule="auto"/>
              <w:rPr>
                <w:rFonts w:ascii="Palatino Linotype" w:hAnsi="Palatino Linotype"/>
              </w:rPr>
            </w:pPr>
            <w:r w:rsidRPr="000E6EA2">
              <w:rPr>
                <w:rFonts w:ascii="Palatino Linotype" w:hAnsi="Palatino Linotype"/>
              </w:rPr>
              <w:t>Planning, Acquisition and Operations, Market Renewal</w:t>
            </w:r>
          </w:p>
        </w:tc>
      </w:tr>
      <w:tr w:rsidR="00A02EDF" w14:paraId="6CB25B90" w14:textId="77777777" w:rsidTr="00AF366F">
        <w:trPr>
          <w:jc w:val="center"/>
        </w:trPr>
        <w:tc>
          <w:tcPr>
            <w:tcW w:w="3192" w:type="dxa"/>
          </w:tcPr>
          <w:p w14:paraId="6CB25B8D" w14:textId="77777777" w:rsidR="00A02EDF" w:rsidRPr="000E6EA2" w:rsidRDefault="00A02EDF" w:rsidP="00C03370">
            <w:pPr>
              <w:autoSpaceDE w:val="0"/>
              <w:autoSpaceDN w:val="0"/>
              <w:spacing w:line="288" w:lineRule="auto"/>
              <w:rPr>
                <w:rFonts w:ascii="Palatino Linotype" w:hAnsi="Palatino Linotype"/>
              </w:rPr>
            </w:pPr>
            <w:r w:rsidRPr="000E6EA2">
              <w:rPr>
                <w:rFonts w:ascii="Palatino Linotype" w:hAnsi="Palatino Linotype"/>
              </w:rPr>
              <w:t>Alex Foord                      </w:t>
            </w:r>
          </w:p>
        </w:tc>
        <w:tc>
          <w:tcPr>
            <w:tcW w:w="3192" w:type="dxa"/>
          </w:tcPr>
          <w:p w14:paraId="6CB25B8E" w14:textId="77777777" w:rsidR="00A02EDF" w:rsidRPr="000E6EA2" w:rsidRDefault="00A02EDF" w:rsidP="00C03370">
            <w:pPr>
              <w:autoSpaceDE w:val="0"/>
              <w:autoSpaceDN w:val="0"/>
              <w:spacing w:line="288" w:lineRule="auto"/>
              <w:rPr>
                <w:rFonts w:ascii="Palatino Linotype" w:hAnsi="Palatino Linotype"/>
              </w:rPr>
            </w:pPr>
            <w:r w:rsidRPr="000E6EA2">
              <w:rPr>
                <w:rFonts w:ascii="Palatino Linotype" w:hAnsi="Palatino Linotype"/>
              </w:rPr>
              <w:t>VP Information &amp; Technology Services/CIO</w:t>
            </w:r>
          </w:p>
        </w:tc>
        <w:tc>
          <w:tcPr>
            <w:tcW w:w="3192" w:type="dxa"/>
          </w:tcPr>
          <w:p w14:paraId="6CB25B8F" w14:textId="77777777" w:rsidR="00A02EDF" w:rsidRPr="000E6EA2" w:rsidRDefault="00A02EDF" w:rsidP="00C03370">
            <w:pPr>
              <w:autoSpaceDE w:val="0"/>
              <w:autoSpaceDN w:val="0"/>
              <w:spacing w:line="288" w:lineRule="auto"/>
              <w:rPr>
                <w:rFonts w:ascii="Palatino Linotype" w:hAnsi="Palatino Linotype"/>
              </w:rPr>
            </w:pPr>
            <w:r w:rsidRPr="000E6EA2">
              <w:rPr>
                <w:rFonts w:ascii="Palatino Linotype" w:hAnsi="Palatino Linotype"/>
              </w:rPr>
              <w:t>Information &amp; Technology Services</w:t>
            </w:r>
          </w:p>
        </w:tc>
      </w:tr>
      <w:tr w:rsidR="00A02EDF" w14:paraId="6CB25B94" w14:textId="77777777" w:rsidTr="00AF366F">
        <w:trPr>
          <w:jc w:val="center"/>
        </w:trPr>
        <w:tc>
          <w:tcPr>
            <w:tcW w:w="3192" w:type="dxa"/>
          </w:tcPr>
          <w:p w14:paraId="6CB25B91" w14:textId="77777777" w:rsidR="00A02EDF" w:rsidRPr="000E6EA2" w:rsidRDefault="005801D0" w:rsidP="00C03370">
            <w:pPr>
              <w:autoSpaceDE w:val="0"/>
              <w:autoSpaceDN w:val="0"/>
              <w:spacing w:line="288" w:lineRule="auto"/>
              <w:rPr>
                <w:rFonts w:ascii="Palatino Linotype" w:hAnsi="Palatino Linotype"/>
              </w:rPr>
            </w:pPr>
            <w:r w:rsidRPr="00C26E85">
              <w:rPr>
                <w:rFonts w:ascii="Palatino Linotype" w:hAnsi="Palatino Linotype"/>
              </w:rPr>
              <w:t>Mike Lyle</w:t>
            </w:r>
          </w:p>
        </w:tc>
        <w:tc>
          <w:tcPr>
            <w:tcW w:w="3192" w:type="dxa"/>
          </w:tcPr>
          <w:p w14:paraId="6CB25B92" w14:textId="77777777" w:rsidR="00A02EDF" w:rsidRPr="000E6EA2" w:rsidRDefault="005801D0" w:rsidP="00C03370">
            <w:pPr>
              <w:autoSpaceDE w:val="0"/>
              <w:autoSpaceDN w:val="0"/>
              <w:spacing w:line="288" w:lineRule="auto"/>
              <w:rPr>
                <w:rFonts w:ascii="Palatino Linotype" w:hAnsi="Palatino Linotype"/>
              </w:rPr>
            </w:pPr>
            <w:r w:rsidRPr="000E6EA2">
              <w:rPr>
                <w:rFonts w:ascii="Palatino Linotype" w:hAnsi="Palatino Linotype"/>
              </w:rPr>
              <w:t>VP Legal Resources and Corporate Governance</w:t>
            </w:r>
          </w:p>
        </w:tc>
        <w:tc>
          <w:tcPr>
            <w:tcW w:w="3192" w:type="dxa"/>
          </w:tcPr>
          <w:p w14:paraId="6CB25B93" w14:textId="77777777" w:rsidR="00A02EDF" w:rsidRPr="000E6EA2" w:rsidRDefault="005801D0" w:rsidP="00C03370">
            <w:pPr>
              <w:autoSpaceDE w:val="0"/>
              <w:autoSpaceDN w:val="0"/>
              <w:spacing w:line="288" w:lineRule="auto"/>
              <w:rPr>
                <w:rFonts w:ascii="Palatino Linotype" w:hAnsi="Palatino Linotype"/>
              </w:rPr>
            </w:pPr>
            <w:r w:rsidRPr="000E6EA2">
              <w:rPr>
                <w:rFonts w:ascii="Palatino Linotype" w:hAnsi="Palatino Linotype"/>
              </w:rPr>
              <w:t>Legal</w:t>
            </w:r>
          </w:p>
        </w:tc>
      </w:tr>
      <w:tr w:rsidR="00A02EDF" w14:paraId="6CB25B98" w14:textId="77777777" w:rsidTr="00AF366F">
        <w:trPr>
          <w:jc w:val="center"/>
        </w:trPr>
        <w:tc>
          <w:tcPr>
            <w:tcW w:w="3192" w:type="dxa"/>
          </w:tcPr>
          <w:p w14:paraId="6CB25B95" w14:textId="77777777" w:rsidR="00A02EDF" w:rsidRPr="00765204" w:rsidRDefault="00FC01EB" w:rsidP="00FC01EB">
            <w:pPr>
              <w:autoSpaceDE w:val="0"/>
              <w:autoSpaceDN w:val="0"/>
              <w:spacing w:line="288" w:lineRule="auto"/>
              <w:rPr>
                <w:rFonts w:ascii="Palatino Linotype" w:hAnsi="Palatino Linotype"/>
              </w:rPr>
            </w:pPr>
            <w:r w:rsidRPr="00C26E85">
              <w:rPr>
                <w:rFonts w:ascii="Palatino Linotype" w:hAnsi="Palatino Linotype"/>
              </w:rPr>
              <w:t>Barbara Anderson</w:t>
            </w:r>
            <w:r w:rsidR="00A02EDF" w:rsidRPr="00C26E85">
              <w:rPr>
                <w:rFonts w:ascii="Palatino Linotype" w:hAnsi="Palatino Linotype"/>
              </w:rPr>
              <w:t xml:space="preserve">                         </w:t>
            </w:r>
          </w:p>
        </w:tc>
        <w:tc>
          <w:tcPr>
            <w:tcW w:w="3192" w:type="dxa"/>
          </w:tcPr>
          <w:p w14:paraId="6CB25B96" w14:textId="77777777" w:rsidR="00A02EDF" w:rsidRPr="00765204" w:rsidRDefault="00A02EDF" w:rsidP="00C03370">
            <w:pPr>
              <w:autoSpaceDE w:val="0"/>
              <w:autoSpaceDN w:val="0"/>
              <w:spacing w:line="288" w:lineRule="auto"/>
              <w:rPr>
                <w:rFonts w:ascii="Palatino Linotype" w:hAnsi="Palatino Linotype"/>
              </w:rPr>
            </w:pPr>
            <w:r w:rsidRPr="00765204">
              <w:rPr>
                <w:rFonts w:ascii="Palatino Linotype" w:hAnsi="Palatino Linotype"/>
              </w:rPr>
              <w:t>VP</w:t>
            </w:r>
            <w:r w:rsidR="00FC01EB" w:rsidRPr="00765204">
              <w:rPr>
                <w:rFonts w:ascii="Palatino Linotype" w:hAnsi="Palatino Linotype"/>
              </w:rPr>
              <w:t xml:space="preserve"> </w:t>
            </w:r>
            <w:r w:rsidRPr="00765204">
              <w:rPr>
                <w:rFonts w:ascii="Palatino Linotype" w:hAnsi="Palatino Linotype"/>
              </w:rPr>
              <w:t>Corporate Services/CFO</w:t>
            </w:r>
          </w:p>
        </w:tc>
        <w:tc>
          <w:tcPr>
            <w:tcW w:w="3192" w:type="dxa"/>
          </w:tcPr>
          <w:p w14:paraId="6CB25B97" w14:textId="77777777" w:rsidR="00A02EDF" w:rsidRPr="00765204" w:rsidRDefault="00A02EDF" w:rsidP="00C03370">
            <w:pPr>
              <w:autoSpaceDE w:val="0"/>
              <w:autoSpaceDN w:val="0"/>
              <w:spacing w:line="288" w:lineRule="auto"/>
              <w:rPr>
                <w:rFonts w:ascii="Palatino Linotype" w:hAnsi="Palatino Linotype"/>
              </w:rPr>
            </w:pPr>
            <w:r w:rsidRPr="00765204">
              <w:rPr>
                <w:rFonts w:ascii="Palatino Linotype" w:hAnsi="Palatino Linotype"/>
              </w:rPr>
              <w:t xml:space="preserve">Finance </w:t>
            </w:r>
          </w:p>
        </w:tc>
      </w:tr>
      <w:tr w:rsidR="00A02EDF" w14:paraId="6CB25B9C" w14:textId="77777777" w:rsidTr="00AF366F">
        <w:trPr>
          <w:jc w:val="center"/>
        </w:trPr>
        <w:tc>
          <w:tcPr>
            <w:tcW w:w="3192" w:type="dxa"/>
          </w:tcPr>
          <w:p w14:paraId="6CB25B99" w14:textId="77777777" w:rsidR="00A02EDF" w:rsidRPr="00765204" w:rsidRDefault="00A02EDF" w:rsidP="00C03370">
            <w:pPr>
              <w:autoSpaceDE w:val="0"/>
              <w:autoSpaceDN w:val="0"/>
              <w:spacing w:line="288" w:lineRule="auto"/>
              <w:rPr>
                <w:rFonts w:ascii="Palatino Linotype" w:hAnsi="Palatino Linotype"/>
              </w:rPr>
            </w:pPr>
            <w:r w:rsidRPr="00C26E85">
              <w:rPr>
                <w:rFonts w:ascii="Palatino Linotype" w:hAnsi="Palatino Linotype"/>
              </w:rPr>
              <w:t xml:space="preserve">Terry Young                          </w:t>
            </w:r>
          </w:p>
        </w:tc>
        <w:tc>
          <w:tcPr>
            <w:tcW w:w="3192" w:type="dxa"/>
          </w:tcPr>
          <w:p w14:paraId="6CB25B9A" w14:textId="77777777" w:rsidR="00A02EDF" w:rsidRPr="00765204" w:rsidRDefault="00A02EDF" w:rsidP="00556986">
            <w:pPr>
              <w:autoSpaceDE w:val="0"/>
              <w:autoSpaceDN w:val="0"/>
              <w:spacing w:line="288" w:lineRule="auto"/>
              <w:rPr>
                <w:rFonts w:ascii="Palatino Linotype" w:hAnsi="Palatino Linotype"/>
              </w:rPr>
            </w:pPr>
            <w:r w:rsidRPr="00765204">
              <w:rPr>
                <w:rFonts w:ascii="Palatino Linotype" w:hAnsi="Palatino Linotype"/>
              </w:rPr>
              <w:t xml:space="preserve">VP </w:t>
            </w:r>
            <w:r w:rsidR="00556986" w:rsidRPr="00765204">
              <w:rPr>
                <w:rFonts w:ascii="Palatino Linotype" w:hAnsi="Palatino Linotype"/>
              </w:rPr>
              <w:t>Policy, Engagement and Innovation</w:t>
            </w:r>
          </w:p>
        </w:tc>
        <w:tc>
          <w:tcPr>
            <w:tcW w:w="3192" w:type="dxa"/>
          </w:tcPr>
          <w:p w14:paraId="6CB25B9B" w14:textId="77777777" w:rsidR="00A02EDF" w:rsidRPr="00765204" w:rsidRDefault="00A02EDF" w:rsidP="00C03370">
            <w:pPr>
              <w:autoSpaceDE w:val="0"/>
              <w:autoSpaceDN w:val="0"/>
              <w:spacing w:line="288" w:lineRule="auto"/>
              <w:rPr>
                <w:rFonts w:ascii="Palatino Linotype" w:hAnsi="Palatino Linotype"/>
              </w:rPr>
            </w:pPr>
            <w:r w:rsidRPr="00765204">
              <w:rPr>
                <w:rFonts w:ascii="Palatino Linotype" w:hAnsi="Palatino Linotype"/>
              </w:rPr>
              <w:t>External Stakeholders</w:t>
            </w:r>
          </w:p>
        </w:tc>
      </w:tr>
      <w:tr w:rsidR="00A02EDF" w14:paraId="6CB25BA0" w14:textId="77777777" w:rsidTr="00AF366F">
        <w:trPr>
          <w:jc w:val="center"/>
        </w:trPr>
        <w:tc>
          <w:tcPr>
            <w:tcW w:w="3192" w:type="dxa"/>
          </w:tcPr>
          <w:p w14:paraId="6CB25B9D" w14:textId="77777777" w:rsidR="00A02EDF" w:rsidRPr="00765204" w:rsidRDefault="00A02EDF" w:rsidP="00C03370">
            <w:pPr>
              <w:rPr>
                <w:rFonts w:ascii="Palatino Linotype" w:hAnsi="Palatino Linotype"/>
              </w:rPr>
            </w:pPr>
            <w:r w:rsidRPr="00765204">
              <w:rPr>
                <w:rFonts w:ascii="Palatino Linotype" w:hAnsi="Palatino Linotype"/>
              </w:rPr>
              <w:t xml:space="preserve">Glenn McDonald                  </w:t>
            </w:r>
          </w:p>
        </w:tc>
        <w:tc>
          <w:tcPr>
            <w:tcW w:w="3192" w:type="dxa"/>
          </w:tcPr>
          <w:p w14:paraId="6CB25B9E" w14:textId="77777777" w:rsidR="00A02EDF" w:rsidRPr="00765204" w:rsidRDefault="00A02EDF" w:rsidP="00C03370">
            <w:pPr>
              <w:rPr>
                <w:rFonts w:ascii="Palatino Linotype" w:hAnsi="Palatino Linotype"/>
              </w:rPr>
            </w:pPr>
            <w:r w:rsidRPr="00765204">
              <w:rPr>
                <w:rFonts w:ascii="Palatino Linotype" w:hAnsi="Palatino Linotype"/>
              </w:rPr>
              <w:t>Director MACD</w:t>
            </w:r>
          </w:p>
        </w:tc>
        <w:tc>
          <w:tcPr>
            <w:tcW w:w="3192" w:type="dxa"/>
          </w:tcPr>
          <w:p w14:paraId="6CB25B9F" w14:textId="77777777" w:rsidR="00A02EDF" w:rsidRPr="00765204" w:rsidRDefault="00A02EDF" w:rsidP="00C03370">
            <w:pPr>
              <w:rPr>
                <w:rFonts w:ascii="Palatino Linotype" w:hAnsi="Palatino Linotype"/>
              </w:rPr>
            </w:pPr>
            <w:r w:rsidRPr="00765204">
              <w:rPr>
                <w:rFonts w:ascii="Palatino Linotype" w:hAnsi="Palatino Linotype"/>
              </w:rPr>
              <w:t>Market Assessment &amp; Compliance</w:t>
            </w:r>
          </w:p>
        </w:tc>
      </w:tr>
    </w:tbl>
    <w:p w14:paraId="4883B75E" w14:textId="77777777" w:rsidR="00924F70" w:rsidRDefault="00924F70" w:rsidP="00924F70">
      <w:pPr>
        <w:pStyle w:val="Heading1"/>
        <w:numPr>
          <w:ilvl w:val="0"/>
          <w:numId w:val="0"/>
        </w:numPr>
        <w:ind w:left="432"/>
      </w:pPr>
    </w:p>
    <w:p w14:paraId="6CB25BA1" w14:textId="77777777" w:rsidR="0027288D" w:rsidRDefault="0027288D" w:rsidP="00550997">
      <w:pPr>
        <w:pStyle w:val="Heading1"/>
      </w:pPr>
      <w:r>
        <w:t>Delivery Approach</w:t>
      </w:r>
    </w:p>
    <w:p w14:paraId="6CB25BA2" w14:textId="77777777" w:rsidR="004820E9" w:rsidRPr="0005728D" w:rsidRDefault="004820E9" w:rsidP="004820E9">
      <w:pPr>
        <w:spacing w:before="120" w:after="120"/>
        <w:rPr>
          <w:rFonts w:ascii="Palatino Linotype" w:hAnsi="Palatino Linotype"/>
          <w:sz w:val="22"/>
          <w:szCs w:val="22"/>
        </w:rPr>
      </w:pPr>
      <w:r w:rsidRPr="0005728D">
        <w:rPr>
          <w:rFonts w:ascii="Palatino Linotype" w:hAnsi="Palatino Linotype"/>
          <w:sz w:val="22"/>
          <w:szCs w:val="22"/>
        </w:rPr>
        <w:t>Due to a need for a commitment of resources as early as 2020, the DR Auction will evolve in a phased approach</w:t>
      </w:r>
      <w:r w:rsidR="002347FD">
        <w:rPr>
          <w:rFonts w:ascii="Palatino Linotype" w:hAnsi="Palatino Linotype"/>
          <w:sz w:val="22"/>
          <w:szCs w:val="22"/>
        </w:rPr>
        <w:t>:</w:t>
      </w:r>
    </w:p>
    <w:p w14:paraId="6CB25BA3" w14:textId="6A35B389" w:rsidR="004820E9" w:rsidRPr="0005728D" w:rsidRDefault="004820E9" w:rsidP="004820E9">
      <w:pPr>
        <w:spacing w:before="120" w:after="120"/>
        <w:rPr>
          <w:rFonts w:ascii="Palatino Linotype" w:hAnsi="Palatino Linotype"/>
          <w:sz w:val="22"/>
          <w:szCs w:val="22"/>
        </w:rPr>
      </w:pPr>
      <w:r w:rsidRPr="0005728D">
        <w:rPr>
          <w:rFonts w:ascii="Palatino Linotype" w:hAnsi="Palatino Linotype"/>
          <w:b/>
          <w:sz w:val="22"/>
          <w:szCs w:val="22"/>
        </w:rPr>
        <w:t>Phase 1:</w:t>
      </w:r>
      <w:r w:rsidRPr="0005728D">
        <w:rPr>
          <w:rFonts w:ascii="Palatino Linotype" w:hAnsi="Palatino Linotype"/>
          <w:sz w:val="22"/>
          <w:szCs w:val="22"/>
        </w:rPr>
        <w:t xml:space="preserve">  Add dispatchable, </w:t>
      </w:r>
      <w:r w:rsidR="00C943DA">
        <w:rPr>
          <w:rFonts w:ascii="Palatino Linotype" w:hAnsi="Palatino Linotype"/>
          <w:sz w:val="22"/>
          <w:szCs w:val="22"/>
        </w:rPr>
        <w:t>n</w:t>
      </w:r>
      <w:r w:rsidR="00C7174F">
        <w:rPr>
          <w:rFonts w:ascii="Palatino Linotype" w:hAnsi="Palatino Linotype"/>
          <w:sz w:val="22"/>
          <w:szCs w:val="22"/>
        </w:rPr>
        <w:t>on</w:t>
      </w:r>
      <w:r w:rsidR="00C943DA">
        <w:rPr>
          <w:rFonts w:ascii="Palatino Linotype" w:hAnsi="Palatino Linotype"/>
          <w:sz w:val="22"/>
          <w:szCs w:val="22"/>
        </w:rPr>
        <w:t>-</w:t>
      </w:r>
      <w:r w:rsidR="00C7174F">
        <w:rPr>
          <w:rFonts w:ascii="Palatino Linotype" w:hAnsi="Palatino Linotype"/>
          <w:sz w:val="22"/>
          <w:szCs w:val="22"/>
        </w:rPr>
        <w:t>committed</w:t>
      </w:r>
      <w:r w:rsidR="00F04E50">
        <w:rPr>
          <w:rFonts w:ascii="Palatino Linotype" w:hAnsi="Palatino Linotype"/>
          <w:sz w:val="22"/>
          <w:szCs w:val="22"/>
        </w:rPr>
        <w:t xml:space="preserve"> </w:t>
      </w:r>
      <w:r w:rsidRPr="0005728D">
        <w:rPr>
          <w:rFonts w:ascii="Palatino Linotype" w:hAnsi="Palatino Linotype"/>
          <w:sz w:val="22"/>
          <w:szCs w:val="22"/>
        </w:rPr>
        <w:t xml:space="preserve">generators to current eligible DR participants for the December 2019 TCA for a 2020/2021 commitment period.  </w:t>
      </w:r>
      <w:r w:rsidR="002F7012">
        <w:rPr>
          <w:rFonts w:ascii="Palatino Linotype" w:hAnsi="Palatino Linotype"/>
          <w:sz w:val="22"/>
          <w:szCs w:val="22"/>
        </w:rPr>
        <w:t xml:space="preserve">Agile development method will be used for registration tool (i.e. </w:t>
      </w:r>
      <w:proofErr w:type="spellStart"/>
      <w:r w:rsidR="002F7012">
        <w:rPr>
          <w:rFonts w:ascii="Palatino Linotype" w:hAnsi="Palatino Linotype"/>
          <w:sz w:val="22"/>
          <w:szCs w:val="22"/>
        </w:rPr>
        <w:t>OnlineIESO</w:t>
      </w:r>
      <w:proofErr w:type="spellEnd"/>
      <w:r w:rsidR="002F7012">
        <w:rPr>
          <w:rFonts w:ascii="Palatino Linotype" w:hAnsi="Palatino Linotype"/>
          <w:sz w:val="22"/>
          <w:szCs w:val="22"/>
        </w:rPr>
        <w:t>) changes while all other tool development will be done using waterfall method.</w:t>
      </w:r>
    </w:p>
    <w:p w14:paraId="6CB25BA4" w14:textId="77777777" w:rsidR="002F7012" w:rsidRDefault="004820E9" w:rsidP="004820E9">
      <w:pPr>
        <w:pStyle w:val="BodyText"/>
      </w:pPr>
      <w:r w:rsidRPr="0005728D">
        <w:rPr>
          <w:b/>
          <w:color w:val="000000"/>
        </w:rPr>
        <w:t>Phase 2:</w:t>
      </w:r>
      <w:r w:rsidRPr="0005728D">
        <w:rPr>
          <w:color w:val="000000"/>
        </w:rPr>
        <w:t xml:space="preserve"> Add additional resources </w:t>
      </w:r>
      <w:r w:rsidR="00D70415">
        <w:rPr>
          <w:color w:val="000000"/>
        </w:rPr>
        <w:t xml:space="preserve">and design features </w:t>
      </w:r>
      <w:r w:rsidRPr="0005728D">
        <w:rPr>
          <w:color w:val="000000"/>
        </w:rPr>
        <w:t>factoring project effort against capacity value.</w:t>
      </w:r>
      <w:r w:rsidR="00011F7F">
        <w:rPr>
          <w:color w:val="000000"/>
        </w:rPr>
        <w:t xml:space="preserve">  There will likely be more than one set of design changes spread out over multiple auctions within Phase 2.</w:t>
      </w:r>
      <w:r w:rsidR="002F7012">
        <w:rPr>
          <w:color w:val="000000"/>
        </w:rPr>
        <w:t xml:space="preserve">  </w:t>
      </w:r>
      <w:r w:rsidR="002F7012">
        <w:t xml:space="preserve">Agile development method will be used for registration tool (i.e. </w:t>
      </w:r>
      <w:proofErr w:type="spellStart"/>
      <w:r w:rsidR="002F7012">
        <w:t>OnlineIESO</w:t>
      </w:r>
      <w:proofErr w:type="spellEnd"/>
      <w:r w:rsidR="002F7012">
        <w:t>) changes while all other tool development will be done using waterfall method.</w:t>
      </w:r>
    </w:p>
    <w:p w14:paraId="6CB25BA5" w14:textId="77777777" w:rsidR="00CF78B6" w:rsidRDefault="00CF78B6" w:rsidP="004820E9">
      <w:pPr>
        <w:pStyle w:val="BodyText"/>
      </w:pPr>
    </w:p>
    <w:p w14:paraId="6CB25BA6" w14:textId="77777777" w:rsidR="00CF78B6" w:rsidRDefault="008D1A9D" w:rsidP="004820E9">
      <w:pPr>
        <w:pStyle w:val="BodyText"/>
      </w:pPr>
      <w:r>
        <w:rPr>
          <w:b/>
          <w:color w:val="000000"/>
        </w:rPr>
        <w:t xml:space="preserve">External </w:t>
      </w:r>
      <w:r w:rsidR="00CF78B6">
        <w:rPr>
          <w:b/>
          <w:color w:val="000000"/>
        </w:rPr>
        <w:t xml:space="preserve">Communication: </w:t>
      </w:r>
    </w:p>
    <w:p w14:paraId="6CB25BA7" w14:textId="77777777" w:rsidR="00CF78B6" w:rsidRDefault="00CF78B6" w:rsidP="00CE1254">
      <w:pPr>
        <w:pStyle w:val="BodyText"/>
        <w:numPr>
          <w:ilvl w:val="0"/>
          <w:numId w:val="41"/>
        </w:numPr>
        <w:rPr>
          <w:color w:val="000000"/>
        </w:rPr>
      </w:pPr>
      <w:r>
        <w:rPr>
          <w:color w:val="000000"/>
        </w:rPr>
        <w:t>Phase 1 and 2 design do</w:t>
      </w:r>
      <w:r w:rsidR="008D1A9D">
        <w:rPr>
          <w:color w:val="000000"/>
        </w:rPr>
        <w:t xml:space="preserve">cuments will be used </w:t>
      </w:r>
      <w:r>
        <w:rPr>
          <w:color w:val="000000"/>
        </w:rPr>
        <w:t xml:space="preserve">for </w:t>
      </w:r>
      <w:r w:rsidR="004E49BC">
        <w:rPr>
          <w:color w:val="000000"/>
        </w:rPr>
        <w:t>documenting</w:t>
      </w:r>
      <w:r>
        <w:rPr>
          <w:color w:val="000000"/>
        </w:rPr>
        <w:t xml:space="preserve"> official design decisions mad</w:t>
      </w:r>
      <w:r w:rsidR="008D1A9D">
        <w:rPr>
          <w:color w:val="000000"/>
        </w:rPr>
        <w:t xml:space="preserve">e.  </w:t>
      </w:r>
      <w:r w:rsidR="004E49BC">
        <w:rPr>
          <w:color w:val="000000"/>
        </w:rPr>
        <w:t>Market Rules and Market Manuals will be the enduring official documents detailing the changes.</w:t>
      </w:r>
    </w:p>
    <w:p w14:paraId="6CB25BA8" w14:textId="77777777" w:rsidR="008D1A9D" w:rsidRDefault="008D1A9D" w:rsidP="00CE1254">
      <w:pPr>
        <w:pStyle w:val="BodyText"/>
        <w:numPr>
          <w:ilvl w:val="0"/>
          <w:numId w:val="41"/>
        </w:numPr>
        <w:rPr>
          <w:color w:val="000000"/>
        </w:rPr>
      </w:pPr>
      <w:r>
        <w:rPr>
          <w:color w:val="000000"/>
        </w:rPr>
        <w:lastRenderedPageBreak/>
        <w:t>Interim design discussions could be discussed at TCA SE, SAC and DRWG</w:t>
      </w:r>
    </w:p>
    <w:p w14:paraId="6CB25BA9" w14:textId="77777777" w:rsidR="008D1A9D" w:rsidRDefault="00FF75D8" w:rsidP="00CE1254">
      <w:pPr>
        <w:pStyle w:val="BodyText"/>
        <w:numPr>
          <w:ilvl w:val="0"/>
          <w:numId w:val="41"/>
        </w:numPr>
        <w:rPr>
          <w:color w:val="000000"/>
        </w:rPr>
      </w:pPr>
      <w:r>
        <w:rPr>
          <w:color w:val="000000"/>
        </w:rPr>
        <w:t>Written stakeholder feedback from design documents review and stakeholder meetings will be reviewed</w:t>
      </w:r>
      <w:r w:rsidR="008B1AAD">
        <w:rPr>
          <w:color w:val="000000"/>
        </w:rPr>
        <w:t>,</w:t>
      </w:r>
      <w:r>
        <w:rPr>
          <w:color w:val="000000"/>
        </w:rPr>
        <w:t xml:space="preserve"> and</w:t>
      </w:r>
      <w:r w:rsidR="008B1AAD">
        <w:rPr>
          <w:color w:val="000000"/>
        </w:rPr>
        <w:t xml:space="preserve"> IESO</w:t>
      </w:r>
      <w:r>
        <w:rPr>
          <w:color w:val="000000"/>
        </w:rPr>
        <w:t xml:space="preserve"> response</w:t>
      </w:r>
      <w:r w:rsidR="004E49BC">
        <w:rPr>
          <w:color w:val="000000"/>
        </w:rPr>
        <w:t xml:space="preserve"> to stakeholder feedback</w:t>
      </w:r>
      <w:r>
        <w:rPr>
          <w:color w:val="000000"/>
        </w:rPr>
        <w:t xml:space="preserve"> will be posted.</w:t>
      </w:r>
    </w:p>
    <w:p w14:paraId="6CB25BAA" w14:textId="77777777" w:rsidR="00FF75D8" w:rsidRDefault="00FF75D8" w:rsidP="00FF75D8">
      <w:pPr>
        <w:pStyle w:val="BodyText"/>
        <w:rPr>
          <w:color w:val="000000"/>
        </w:rPr>
      </w:pPr>
    </w:p>
    <w:p w14:paraId="6CB25BAB" w14:textId="77777777" w:rsidR="004234DE" w:rsidRDefault="00FF75D8" w:rsidP="00FF75D8">
      <w:pPr>
        <w:pStyle w:val="BodyText"/>
        <w:rPr>
          <w:color w:val="000000"/>
        </w:rPr>
      </w:pPr>
      <w:r w:rsidRPr="00396401">
        <w:rPr>
          <w:b/>
          <w:color w:val="000000"/>
        </w:rPr>
        <w:t>Internal Communication:</w:t>
      </w:r>
      <w:r w:rsidR="006B61C3">
        <w:rPr>
          <w:color w:val="000000"/>
        </w:rPr>
        <w:t xml:space="preserve">  </w:t>
      </w:r>
    </w:p>
    <w:p w14:paraId="6CB25BAC" w14:textId="77777777" w:rsidR="00FF75D8" w:rsidRDefault="006B61C3" w:rsidP="00396401">
      <w:pPr>
        <w:pStyle w:val="BodyText"/>
        <w:ind w:firstLine="360"/>
        <w:rPr>
          <w:color w:val="000000"/>
        </w:rPr>
      </w:pPr>
      <w:r>
        <w:rPr>
          <w:color w:val="000000"/>
        </w:rPr>
        <w:t>Decisions made are communicated internally:</w:t>
      </w:r>
    </w:p>
    <w:p w14:paraId="6CB25BAD" w14:textId="77777777" w:rsidR="00FF75D8" w:rsidRDefault="00FF75D8" w:rsidP="009C3721">
      <w:pPr>
        <w:pStyle w:val="BodyText"/>
        <w:numPr>
          <w:ilvl w:val="0"/>
          <w:numId w:val="42"/>
        </w:numPr>
        <w:rPr>
          <w:color w:val="000000"/>
        </w:rPr>
      </w:pPr>
      <w:r>
        <w:rPr>
          <w:color w:val="000000"/>
        </w:rPr>
        <w:t>P</w:t>
      </w:r>
      <w:r w:rsidR="006B61C3">
        <w:rPr>
          <w:color w:val="000000"/>
        </w:rPr>
        <w:t>roject sponsor informs ELT biweekly as needed</w:t>
      </w:r>
    </w:p>
    <w:p w14:paraId="6CB25BAE" w14:textId="77777777" w:rsidR="00FF75D8" w:rsidRDefault="00FF75D8" w:rsidP="009C3721">
      <w:pPr>
        <w:pStyle w:val="BodyText"/>
        <w:numPr>
          <w:ilvl w:val="0"/>
          <w:numId w:val="42"/>
        </w:numPr>
        <w:rPr>
          <w:color w:val="000000"/>
        </w:rPr>
      </w:pPr>
      <w:r>
        <w:rPr>
          <w:color w:val="000000"/>
        </w:rPr>
        <w:t xml:space="preserve">Business lead informs managers </w:t>
      </w:r>
      <w:r w:rsidR="006B61C3">
        <w:rPr>
          <w:color w:val="000000"/>
        </w:rPr>
        <w:t>and directors regularly</w:t>
      </w:r>
    </w:p>
    <w:p w14:paraId="6CB25BAF" w14:textId="77777777" w:rsidR="006B61C3" w:rsidRDefault="006B61C3" w:rsidP="009C3721">
      <w:pPr>
        <w:pStyle w:val="BodyText"/>
        <w:numPr>
          <w:ilvl w:val="0"/>
          <w:numId w:val="42"/>
        </w:numPr>
        <w:rPr>
          <w:color w:val="000000"/>
        </w:rPr>
      </w:pPr>
      <w:r>
        <w:rPr>
          <w:color w:val="000000"/>
        </w:rPr>
        <w:t>Project team meets with ICA project team biweekly.  Items discussed</w:t>
      </w:r>
      <w:r w:rsidR="008B1AAD">
        <w:rPr>
          <w:color w:val="000000"/>
        </w:rPr>
        <w:t xml:space="preserve"> and decisions made</w:t>
      </w:r>
      <w:r>
        <w:rPr>
          <w:color w:val="000000"/>
        </w:rPr>
        <w:t xml:space="preserve"> are documented  </w:t>
      </w:r>
    </w:p>
    <w:p w14:paraId="6CB25BB0" w14:textId="77777777" w:rsidR="006B61C3" w:rsidRDefault="006B61C3" w:rsidP="009C3721">
      <w:pPr>
        <w:pStyle w:val="BodyText"/>
        <w:numPr>
          <w:ilvl w:val="0"/>
          <w:numId w:val="42"/>
        </w:numPr>
        <w:rPr>
          <w:color w:val="000000"/>
        </w:rPr>
      </w:pPr>
      <w:r>
        <w:rPr>
          <w:color w:val="000000"/>
        </w:rPr>
        <w:t>Project sponsor, business lead and project manager meet monthly with PSC.  Meeting minutes are documented.</w:t>
      </w:r>
    </w:p>
    <w:p w14:paraId="001E6213" w14:textId="77777777" w:rsidR="00924F70" w:rsidRPr="008D1A9D" w:rsidRDefault="00924F70" w:rsidP="00924F70">
      <w:pPr>
        <w:pStyle w:val="BodyText"/>
        <w:ind w:left="720"/>
        <w:rPr>
          <w:color w:val="000000"/>
        </w:rPr>
      </w:pPr>
    </w:p>
    <w:p w14:paraId="6CB25BB1" w14:textId="77777777" w:rsidR="003D0F0B" w:rsidRDefault="0027288D" w:rsidP="003D0F0B">
      <w:pPr>
        <w:pStyle w:val="Heading1"/>
      </w:pPr>
      <w:r>
        <w:t>Assumptions</w:t>
      </w:r>
      <w:r w:rsidR="00713DE7">
        <w:t xml:space="preserve">, </w:t>
      </w:r>
      <w:r w:rsidR="00A15F36">
        <w:t>Constraints</w:t>
      </w:r>
      <w:r w:rsidR="00713DE7" w:rsidRPr="00713DE7">
        <w:t xml:space="preserve"> </w:t>
      </w:r>
      <w:r w:rsidR="00713DE7">
        <w:t>and Potential Risks</w:t>
      </w:r>
    </w:p>
    <w:p w14:paraId="6CB25BB2" w14:textId="77777777" w:rsidR="00C83E1C" w:rsidRDefault="0027288D" w:rsidP="003D0F0B">
      <w:pPr>
        <w:pStyle w:val="Heading2"/>
        <w:ind w:left="1440"/>
      </w:pPr>
      <w:r>
        <w:t>Project Assumptions</w:t>
      </w:r>
    </w:p>
    <w:p w14:paraId="6CB25BB3" w14:textId="05422913" w:rsidR="00656187" w:rsidRPr="00656187" w:rsidRDefault="00656187" w:rsidP="009C3721">
      <w:pPr>
        <w:pStyle w:val="ListParagraph"/>
        <w:numPr>
          <w:ilvl w:val="0"/>
          <w:numId w:val="13"/>
        </w:numPr>
        <w:rPr>
          <w:rFonts w:ascii="Palatino Linotype" w:hAnsi="Palatino Linotype"/>
          <w:b/>
          <w:i/>
          <w:color w:val="2E74B5" w:themeColor="accent1" w:themeShade="BF"/>
          <w:sz w:val="22"/>
          <w:szCs w:val="22"/>
        </w:rPr>
      </w:pPr>
      <w:r>
        <w:rPr>
          <w:rFonts w:ascii="Palatino Linotype" w:hAnsi="Palatino Linotype"/>
          <w:sz w:val="22"/>
          <w:szCs w:val="22"/>
        </w:rPr>
        <w:t xml:space="preserve">For Phase 1, new eligible participants are limited to </w:t>
      </w:r>
      <w:r w:rsidR="00C943DA">
        <w:rPr>
          <w:rFonts w:ascii="Palatino Linotype" w:hAnsi="Palatino Linotype"/>
          <w:sz w:val="22"/>
          <w:szCs w:val="22"/>
        </w:rPr>
        <w:t>n</w:t>
      </w:r>
      <w:r w:rsidR="00C7174F">
        <w:rPr>
          <w:rFonts w:ascii="Palatino Linotype" w:hAnsi="Palatino Linotype"/>
          <w:sz w:val="22"/>
          <w:szCs w:val="22"/>
        </w:rPr>
        <w:t>on</w:t>
      </w:r>
      <w:r w:rsidR="00C943DA">
        <w:rPr>
          <w:rFonts w:ascii="Palatino Linotype" w:hAnsi="Palatino Linotype"/>
          <w:sz w:val="22"/>
          <w:szCs w:val="22"/>
        </w:rPr>
        <w:t>-</w:t>
      </w:r>
      <w:r w:rsidR="00C7174F">
        <w:rPr>
          <w:rFonts w:ascii="Palatino Linotype" w:hAnsi="Palatino Linotype"/>
          <w:sz w:val="22"/>
          <w:szCs w:val="22"/>
        </w:rPr>
        <w:t>committed</w:t>
      </w:r>
      <w:r w:rsidR="00F04E50">
        <w:rPr>
          <w:rFonts w:ascii="Palatino Linotype" w:hAnsi="Palatino Linotype"/>
          <w:sz w:val="22"/>
          <w:szCs w:val="22"/>
        </w:rPr>
        <w:t xml:space="preserve"> </w:t>
      </w:r>
      <w:r w:rsidRPr="00656187">
        <w:rPr>
          <w:rFonts w:ascii="Palatino Linotype" w:hAnsi="Palatino Linotype"/>
          <w:sz w:val="22"/>
          <w:szCs w:val="22"/>
        </w:rPr>
        <w:t xml:space="preserve">and non-regulated dispatchable generators </w:t>
      </w:r>
    </w:p>
    <w:p w14:paraId="6CB25BB4" w14:textId="77777777" w:rsidR="00656187" w:rsidRPr="00656187" w:rsidRDefault="00656187" w:rsidP="009C3721">
      <w:pPr>
        <w:pStyle w:val="ListParagraph"/>
        <w:numPr>
          <w:ilvl w:val="0"/>
          <w:numId w:val="13"/>
        </w:numPr>
        <w:rPr>
          <w:rFonts w:ascii="Palatino Linotype" w:hAnsi="Palatino Linotype"/>
          <w:b/>
          <w:i/>
          <w:color w:val="2E74B5" w:themeColor="accent1" w:themeShade="BF"/>
          <w:sz w:val="22"/>
          <w:szCs w:val="22"/>
        </w:rPr>
      </w:pPr>
      <w:r>
        <w:rPr>
          <w:rFonts w:ascii="Palatino Linotype" w:hAnsi="Palatino Linotype"/>
          <w:sz w:val="22"/>
          <w:szCs w:val="22"/>
        </w:rPr>
        <w:t>Adequate IESO internal resources and support.</w:t>
      </w:r>
    </w:p>
    <w:p w14:paraId="6CB25BB5" w14:textId="77777777" w:rsidR="00656187" w:rsidRPr="00656187" w:rsidRDefault="00656187" w:rsidP="009C3721">
      <w:pPr>
        <w:pStyle w:val="ListParagraph"/>
        <w:numPr>
          <w:ilvl w:val="0"/>
          <w:numId w:val="13"/>
        </w:numPr>
        <w:rPr>
          <w:rFonts w:ascii="Palatino Linotype" w:hAnsi="Palatino Linotype"/>
          <w:b/>
          <w:i/>
          <w:color w:val="2E74B5" w:themeColor="accent1" w:themeShade="BF"/>
          <w:sz w:val="22"/>
          <w:szCs w:val="22"/>
        </w:rPr>
      </w:pPr>
      <w:r>
        <w:rPr>
          <w:rFonts w:ascii="Palatino Linotype" w:hAnsi="Palatino Linotype"/>
          <w:sz w:val="22"/>
          <w:szCs w:val="22"/>
        </w:rPr>
        <w:t>No “showstoppers” from external/internal stakeholders.</w:t>
      </w:r>
    </w:p>
    <w:p w14:paraId="6CB25BB6" w14:textId="77777777" w:rsidR="003D0F0B" w:rsidRPr="00656187" w:rsidRDefault="00656187" w:rsidP="009C3721">
      <w:pPr>
        <w:pStyle w:val="ListParagraph"/>
        <w:numPr>
          <w:ilvl w:val="0"/>
          <w:numId w:val="13"/>
        </w:numPr>
        <w:rPr>
          <w:rFonts w:ascii="Palatino Linotype" w:hAnsi="Palatino Linotype"/>
          <w:b/>
          <w:i/>
          <w:color w:val="2E74B5" w:themeColor="accent1" w:themeShade="BF"/>
          <w:sz w:val="22"/>
          <w:szCs w:val="22"/>
        </w:rPr>
      </w:pPr>
      <w:r>
        <w:rPr>
          <w:rFonts w:ascii="Palatino Linotype" w:hAnsi="Palatino Linotype"/>
          <w:sz w:val="22"/>
          <w:szCs w:val="22"/>
        </w:rPr>
        <w:t>Design maturity can be reached to start writing business requirements in March/April 2019 and supporting IT tool development beginning no later than mid-May</w:t>
      </w:r>
    </w:p>
    <w:p w14:paraId="6CB25BB7" w14:textId="77777777" w:rsidR="00A15F36" w:rsidRDefault="00A15F36" w:rsidP="004B3B10">
      <w:pPr>
        <w:pStyle w:val="Heading2"/>
        <w:ind w:left="1440"/>
      </w:pPr>
      <w:r>
        <w:t>Project Constraints</w:t>
      </w:r>
    </w:p>
    <w:p w14:paraId="6CB25BB8" w14:textId="77777777" w:rsidR="00763E7B" w:rsidRPr="003D0F0B" w:rsidRDefault="001165E5" w:rsidP="009C3721">
      <w:pPr>
        <w:pStyle w:val="ListParagraph"/>
        <w:numPr>
          <w:ilvl w:val="0"/>
          <w:numId w:val="16"/>
        </w:numPr>
      </w:pPr>
      <w:r>
        <w:rPr>
          <w:rFonts w:ascii="Palatino Linotype" w:hAnsi="Palatino Linotype"/>
          <w:sz w:val="22"/>
          <w:szCs w:val="22"/>
        </w:rPr>
        <w:t xml:space="preserve">First </w:t>
      </w:r>
      <w:r w:rsidR="00E2741F">
        <w:rPr>
          <w:rFonts w:ascii="Palatino Linotype" w:hAnsi="Palatino Linotype"/>
          <w:sz w:val="22"/>
          <w:szCs w:val="22"/>
        </w:rPr>
        <w:t>a</w:t>
      </w:r>
      <w:r>
        <w:rPr>
          <w:rFonts w:ascii="Palatino Linotype" w:hAnsi="Palatino Linotype"/>
          <w:sz w:val="22"/>
          <w:szCs w:val="22"/>
        </w:rPr>
        <w:t>uction for Phase 1 is December 2019</w:t>
      </w:r>
    </w:p>
    <w:p w14:paraId="63BB1D87" w14:textId="77777777" w:rsidR="00924F70" w:rsidRDefault="00924F70">
      <w:pPr>
        <w:spacing w:before="0"/>
        <w:rPr>
          <w:rFonts w:ascii="Cambria" w:eastAsiaTheme="majorEastAsia" w:hAnsi="Cambria" w:cstheme="majorBidi"/>
          <w:b/>
          <w:sz w:val="24"/>
          <w:szCs w:val="24"/>
        </w:rPr>
      </w:pPr>
      <w:r>
        <w:br w:type="page"/>
      </w:r>
    </w:p>
    <w:p w14:paraId="6CB25BB9" w14:textId="28A52CF9" w:rsidR="0027288D" w:rsidRDefault="00C243E8" w:rsidP="004B3B10">
      <w:pPr>
        <w:pStyle w:val="Heading2"/>
        <w:ind w:left="1440"/>
      </w:pPr>
      <w:r>
        <w:lastRenderedPageBreak/>
        <w:t>Potential</w:t>
      </w:r>
      <w:r w:rsidR="0027288D">
        <w:t xml:space="preserve"> Project Risks and</w:t>
      </w:r>
      <w:r w:rsidR="00E368EF">
        <w:t xml:space="preserve"> Mitigation Actions</w:t>
      </w:r>
      <w:r w:rsidR="0027288D">
        <w:t xml:space="preserve"> </w:t>
      </w:r>
    </w:p>
    <w:p w14:paraId="6CB25BBA" w14:textId="77777777" w:rsidR="002D391D" w:rsidRDefault="002D391D" w:rsidP="003D0F0B">
      <w:pPr>
        <w:pStyle w:val="TableCaption"/>
        <w:ind w:left="1440"/>
        <w:jc w:val="left"/>
      </w:pPr>
      <w:r>
        <w:t>Table 2:  Risk Summary</w:t>
      </w:r>
    </w:p>
    <w:tbl>
      <w:tblPr>
        <w:tblStyle w:val="TableGrid"/>
        <w:tblW w:w="0" w:type="auto"/>
        <w:tblInd w:w="103" w:type="dxa"/>
        <w:tblLook w:val="04A0" w:firstRow="1" w:lastRow="0" w:firstColumn="1" w:lastColumn="0" w:noHBand="0" w:noVBand="1"/>
      </w:tblPr>
      <w:tblGrid>
        <w:gridCol w:w="1504"/>
        <w:gridCol w:w="2361"/>
        <w:gridCol w:w="904"/>
        <w:gridCol w:w="1831"/>
        <w:gridCol w:w="1573"/>
        <w:gridCol w:w="1300"/>
      </w:tblGrid>
      <w:tr w:rsidR="00BF49EA" w:rsidRPr="005B485E" w14:paraId="6CB25BC2" w14:textId="77777777" w:rsidTr="00CE1254">
        <w:trPr>
          <w:cantSplit/>
          <w:trHeight w:val="1097"/>
          <w:tblHeader/>
        </w:trPr>
        <w:tc>
          <w:tcPr>
            <w:tcW w:w="1504" w:type="dxa"/>
            <w:vAlign w:val="center"/>
          </w:tcPr>
          <w:p w14:paraId="6CB25BBB" w14:textId="77777777" w:rsidR="00BF49EA" w:rsidRPr="00765204" w:rsidRDefault="00BF49EA" w:rsidP="003C1D07">
            <w:pPr>
              <w:spacing w:after="120"/>
              <w:jc w:val="center"/>
              <w:rPr>
                <w:rFonts w:ascii="Palatino Linotype" w:hAnsi="Palatino Linotype"/>
                <w:b/>
                <w:sz w:val="22"/>
                <w:szCs w:val="22"/>
              </w:rPr>
            </w:pPr>
            <w:r w:rsidRPr="00765204">
              <w:rPr>
                <w:rFonts w:ascii="Palatino Linotype" w:hAnsi="Palatino Linotype"/>
                <w:b/>
                <w:sz w:val="22"/>
                <w:szCs w:val="22"/>
              </w:rPr>
              <w:t>Risk ID</w:t>
            </w:r>
          </w:p>
        </w:tc>
        <w:tc>
          <w:tcPr>
            <w:tcW w:w="2361" w:type="dxa"/>
            <w:vAlign w:val="center"/>
          </w:tcPr>
          <w:p w14:paraId="6CB25BBC" w14:textId="77777777" w:rsidR="00BF49EA" w:rsidRPr="00765204" w:rsidRDefault="00BF49EA" w:rsidP="003C1D07">
            <w:pPr>
              <w:spacing w:after="120"/>
              <w:jc w:val="center"/>
              <w:rPr>
                <w:rFonts w:ascii="Palatino Linotype" w:hAnsi="Palatino Linotype"/>
                <w:b/>
                <w:sz w:val="22"/>
                <w:szCs w:val="22"/>
              </w:rPr>
            </w:pPr>
            <w:r w:rsidRPr="00765204">
              <w:rPr>
                <w:rFonts w:ascii="Palatino Linotype" w:hAnsi="Palatino Linotype"/>
                <w:b/>
                <w:sz w:val="22"/>
                <w:szCs w:val="22"/>
              </w:rPr>
              <w:t>Risk Description</w:t>
            </w:r>
          </w:p>
        </w:tc>
        <w:tc>
          <w:tcPr>
            <w:tcW w:w="904" w:type="dxa"/>
            <w:vAlign w:val="center"/>
          </w:tcPr>
          <w:p w14:paraId="6CB25BBD" w14:textId="77777777" w:rsidR="00BF49EA" w:rsidRPr="00765204" w:rsidRDefault="00BF49EA" w:rsidP="003C1D07">
            <w:pPr>
              <w:spacing w:after="120"/>
              <w:jc w:val="center"/>
              <w:rPr>
                <w:rFonts w:ascii="Palatino Linotype" w:hAnsi="Palatino Linotype"/>
                <w:b/>
                <w:sz w:val="22"/>
                <w:szCs w:val="22"/>
              </w:rPr>
            </w:pPr>
            <w:r w:rsidRPr="00765204">
              <w:rPr>
                <w:rFonts w:ascii="Palatino Linotype" w:hAnsi="Palatino Linotype"/>
                <w:b/>
                <w:sz w:val="22"/>
                <w:szCs w:val="22"/>
              </w:rPr>
              <w:t>Initial Risk Level</w:t>
            </w:r>
          </w:p>
        </w:tc>
        <w:tc>
          <w:tcPr>
            <w:tcW w:w="1831" w:type="dxa"/>
            <w:vAlign w:val="center"/>
          </w:tcPr>
          <w:p w14:paraId="6CB25BBE" w14:textId="77777777" w:rsidR="00BF49EA" w:rsidRPr="00765204" w:rsidRDefault="00BF49EA" w:rsidP="003C1D07">
            <w:pPr>
              <w:spacing w:after="120"/>
              <w:jc w:val="center"/>
              <w:rPr>
                <w:rFonts w:ascii="Palatino Linotype" w:hAnsi="Palatino Linotype"/>
                <w:b/>
                <w:sz w:val="22"/>
                <w:szCs w:val="22"/>
              </w:rPr>
            </w:pPr>
            <w:r w:rsidRPr="00765204">
              <w:rPr>
                <w:rFonts w:ascii="Palatino Linotype" w:hAnsi="Palatino Linotype"/>
                <w:b/>
                <w:sz w:val="22"/>
                <w:szCs w:val="22"/>
              </w:rPr>
              <w:t>Mitigation Tasks</w:t>
            </w:r>
          </w:p>
        </w:tc>
        <w:tc>
          <w:tcPr>
            <w:tcW w:w="1573" w:type="dxa"/>
          </w:tcPr>
          <w:p w14:paraId="6CB25BBF" w14:textId="77777777" w:rsidR="00402CE9" w:rsidRPr="00765204" w:rsidRDefault="00402CE9" w:rsidP="00402CE9">
            <w:pPr>
              <w:spacing w:after="120"/>
              <w:jc w:val="center"/>
              <w:rPr>
                <w:rFonts w:ascii="Palatino Linotype" w:hAnsi="Palatino Linotype"/>
                <w:b/>
                <w:sz w:val="22"/>
                <w:szCs w:val="22"/>
              </w:rPr>
            </w:pPr>
            <w:r w:rsidRPr="00765204">
              <w:rPr>
                <w:rFonts w:ascii="Palatino Linotype" w:hAnsi="Palatino Linotype"/>
                <w:b/>
                <w:sz w:val="22"/>
                <w:szCs w:val="22"/>
              </w:rPr>
              <w:t>Mitigation Tasks Implemented</w:t>
            </w:r>
          </w:p>
          <w:p w14:paraId="6CB25BC0" w14:textId="77777777" w:rsidR="00BF49EA" w:rsidRPr="00765204" w:rsidRDefault="00402CE9" w:rsidP="00402CE9">
            <w:pPr>
              <w:spacing w:after="120"/>
              <w:jc w:val="center"/>
              <w:rPr>
                <w:rFonts w:ascii="Palatino Linotype" w:hAnsi="Palatino Linotype"/>
                <w:b/>
                <w:sz w:val="22"/>
                <w:szCs w:val="22"/>
              </w:rPr>
            </w:pPr>
            <w:r w:rsidRPr="00765204">
              <w:rPr>
                <w:rFonts w:ascii="Palatino Linotype" w:hAnsi="Palatino Linotype"/>
                <w:b/>
                <w:sz w:val="22"/>
                <w:szCs w:val="22"/>
              </w:rPr>
              <w:t>(Yes/No)</w:t>
            </w:r>
          </w:p>
        </w:tc>
        <w:tc>
          <w:tcPr>
            <w:tcW w:w="1300" w:type="dxa"/>
            <w:vAlign w:val="center"/>
          </w:tcPr>
          <w:p w14:paraId="6CB25BC1" w14:textId="77777777" w:rsidR="00BF49EA" w:rsidRPr="00765204" w:rsidRDefault="00402CE9" w:rsidP="003C1D07">
            <w:pPr>
              <w:spacing w:after="120"/>
              <w:jc w:val="center"/>
              <w:rPr>
                <w:rFonts w:ascii="Palatino Linotype" w:hAnsi="Palatino Linotype"/>
                <w:b/>
                <w:sz w:val="22"/>
                <w:szCs w:val="22"/>
              </w:rPr>
            </w:pPr>
            <w:r w:rsidRPr="00765204">
              <w:rPr>
                <w:rFonts w:ascii="Palatino Linotype" w:hAnsi="Palatino Linotype"/>
                <w:b/>
                <w:sz w:val="22"/>
                <w:szCs w:val="22"/>
              </w:rPr>
              <w:t>Mitigated Risk Level</w:t>
            </w:r>
          </w:p>
        </w:tc>
      </w:tr>
      <w:tr w:rsidR="00A951DB" w:rsidRPr="005B485E" w14:paraId="27D08F4C" w14:textId="77777777" w:rsidTr="00CE1254">
        <w:trPr>
          <w:trHeight w:val="1050"/>
        </w:trPr>
        <w:tc>
          <w:tcPr>
            <w:tcW w:w="1504" w:type="dxa"/>
          </w:tcPr>
          <w:p w14:paraId="37C6D44C" w14:textId="2EDDBC03" w:rsidR="00A951DB" w:rsidRPr="00765204" w:rsidRDefault="00A951DB">
            <w:pPr>
              <w:rPr>
                <w:rFonts w:ascii="Palatino Linotype" w:hAnsi="Palatino Linotype"/>
              </w:rPr>
            </w:pPr>
            <w:r>
              <w:rPr>
                <w:rFonts w:ascii="Palatino Linotype" w:hAnsi="Palatino Linotype"/>
              </w:rPr>
              <w:t>R001c</w:t>
            </w:r>
          </w:p>
        </w:tc>
        <w:tc>
          <w:tcPr>
            <w:tcW w:w="2361" w:type="dxa"/>
          </w:tcPr>
          <w:p w14:paraId="61CB3994" w14:textId="00C36368" w:rsidR="00A951DB" w:rsidRPr="00765204" w:rsidRDefault="00A951DB">
            <w:pPr>
              <w:rPr>
                <w:rFonts w:ascii="Palatino Linotype" w:hAnsi="Palatino Linotype"/>
              </w:rPr>
            </w:pPr>
            <w:r w:rsidRPr="000868A7">
              <w:rPr>
                <w:rFonts w:ascii="Palatino Linotype" w:hAnsi="Palatino Linotype"/>
              </w:rPr>
              <w:t>Compressed timelines for stakeholder engagement affect the quality of the overall design considerations needed to develop a robust TCA.</w:t>
            </w:r>
          </w:p>
        </w:tc>
        <w:tc>
          <w:tcPr>
            <w:tcW w:w="904" w:type="dxa"/>
          </w:tcPr>
          <w:p w14:paraId="4C6CD807" w14:textId="62C9304C" w:rsidR="00A951DB" w:rsidRPr="00765204" w:rsidRDefault="00A951DB">
            <w:pPr>
              <w:rPr>
                <w:rFonts w:ascii="Palatino Linotype" w:hAnsi="Palatino Linotype"/>
              </w:rPr>
            </w:pPr>
            <w:r>
              <w:rPr>
                <w:rFonts w:ascii="Palatino Linotype" w:hAnsi="Palatino Linotype"/>
              </w:rPr>
              <w:t>Critical</w:t>
            </w:r>
          </w:p>
        </w:tc>
        <w:tc>
          <w:tcPr>
            <w:tcW w:w="1831" w:type="dxa"/>
          </w:tcPr>
          <w:p w14:paraId="06A868A7" w14:textId="2829A478" w:rsidR="00A951DB" w:rsidRPr="00765204" w:rsidRDefault="00A951DB" w:rsidP="00F04996">
            <w:pPr>
              <w:rPr>
                <w:rFonts w:ascii="Palatino Linotype" w:hAnsi="Palatino Linotype"/>
              </w:rPr>
            </w:pPr>
            <w:r w:rsidRPr="000868A7">
              <w:rPr>
                <w:rFonts w:ascii="Palatino Linotype" w:hAnsi="Palatino Linotype"/>
              </w:rPr>
              <w:t xml:space="preserve">Additional time and cost have been added to the project.  Some inefficiency </w:t>
            </w:r>
            <w:r>
              <w:rPr>
                <w:rFonts w:ascii="Palatino Linotype" w:hAnsi="Palatino Linotype"/>
              </w:rPr>
              <w:t>is</w:t>
            </w:r>
            <w:r w:rsidRPr="000868A7">
              <w:rPr>
                <w:rFonts w:ascii="Palatino Linotype" w:hAnsi="Palatino Linotype"/>
              </w:rPr>
              <w:t xml:space="preserve"> acceptable given </w:t>
            </w:r>
            <w:r w:rsidR="001E666A">
              <w:rPr>
                <w:rFonts w:ascii="Palatino Linotype" w:hAnsi="Palatino Linotype"/>
              </w:rPr>
              <w:t xml:space="preserve">reliability needs and </w:t>
            </w:r>
            <w:r w:rsidRPr="000868A7">
              <w:rPr>
                <w:rFonts w:ascii="Palatino Linotype" w:hAnsi="Palatino Linotype"/>
              </w:rPr>
              <w:t>the evolving nature of the TCA project.  Issues discovered may be corrected in a future auction</w:t>
            </w:r>
            <w:r>
              <w:rPr>
                <w:rFonts w:ascii="Palatino Linotype" w:hAnsi="Palatino Linotype"/>
              </w:rPr>
              <w:t>.</w:t>
            </w:r>
          </w:p>
        </w:tc>
        <w:tc>
          <w:tcPr>
            <w:tcW w:w="1573" w:type="dxa"/>
          </w:tcPr>
          <w:p w14:paraId="05C3758F" w14:textId="74F0AB72" w:rsidR="00A951DB" w:rsidRPr="00765204" w:rsidRDefault="00A951DB">
            <w:pPr>
              <w:rPr>
                <w:rFonts w:ascii="Palatino Linotype" w:hAnsi="Palatino Linotype"/>
              </w:rPr>
            </w:pPr>
            <w:r>
              <w:rPr>
                <w:rFonts w:ascii="Palatino Linotype" w:hAnsi="Palatino Linotype"/>
              </w:rPr>
              <w:t>Yes</w:t>
            </w:r>
          </w:p>
        </w:tc>
        <w:tc>
          <w:tcPr>
            <w:tcW w:w="1300" w:type="dxa"/>
          </w:tcPr>
          <w:p w14:paraId="3681ACD7" w14:textId="4FEE1DEA" w:rsidR="00A951DB" w:rsidRPr="00765204" w:rsidRDefault="00A951DB">
            <w:pPr>
              <w:rPr>
                <w:rFonts w:ascii="Palatino Linotype" w:hAnsi="Palatino Linotype"/>
              </w:rPr>
            </w:pPr>
            <w:r>
              <w:rPr>
                <w:rFonts w:ascii="Palatino Linotype" w:hAnsi="Palatino Linotype"/>
              </w:rPr>
              <w:t>High</w:t>
            </w:r>
          </w:p>
        </w:tc>
      </w:tr>
      <w:tr w:rsidR="00A951DB" w:rsidRPr="005B485E" w14:paraId="3590F75E" w14:textId="77777777" w:rsidTr="00CE1254">
        <w:trPr>
          <w:trHeight w:val="1050"/>
        </w:trPr>
        <w:tc>
          <w:tcPr>
            <w:tcW w:w="1504" w:type="dxa"/>
          </w:tcPr>
          <w:p w14:paraId="302994AB" w14:textId="01170DC0" w:rsidR="00A951DB" w:rsidRPr="00765204" w:rsidRDefault="00A951DB">
            <w:pPr>
              <w:rPr>
                <w:rFonts w:ascii="Palatino Linotype" w:hAnsi="Palatino Linotype"/>
              </w:rPr>
            </w:pPr>
            <w:r>
              <w:rPr>
                <w:rFonts w:ascii="Palatino Linotype" w:hAnsi="Palatino Linotype"/>
              </w:rPr>
              <w:t>R001d</w:t>
            </w:r>
          </w:p>
        </w:tc>
        <w:tc>
          <w:tcPr>
            <w:tcW w:w="2361" w:type="dxa"/>
          </w:tcPr>
          <w:p w14:paraId="46392F0D" w14:textId="6C7739CB" w:rsidR="00A951DB" w:rsidRPr="00765204" w:rsidRDefault="00A951DB">
            <w:pPr>
              <w:rPr>
                <w:rFonts w:ascii="Palatino Linotype" w:hAnsi="Palatino Linotype"/>
              </w:rPr>
            </w:pPr>
            <w:r w:rsidRPr="000868A7">
              <w:rPr>
                <w:rFonts w:ascii="Palatino Linotype" w:hAnsi="Palatino Linotype"/>
              </w:rPr>
              <w:t>Stakeholder lacks understanding on the capacity need requirements for 2020 and the urgency to implement auction mechanism by end of 2019 Q4 leads to slow stakeholder buy in.</w:t>
            </w:r>
          </w:p>
        </w:tc>
        <w:tc>
          <w:tcPr>
            <w:tcW w:w="904" w:type="dxa"/>
          </w:tcPr>
          <w:p w14:paraId="1ACED1C7" w14:textId="34F0FFAF" w:rsidR="00A951DB" w:rsidRPr="00765204" w:rsidRDefault="00A951DB">
            <w:pPr>
              <w:rPr>
                <w:rFonts w:ascii="Palatino Linotype" w:hAnsi="Palatino Linotype"/>
              </w:rPr>
            </w:pPr>
            <w:r>
              <w:rPr>
                <w:rFonts w:ascii="Palatino Linotype" w:hAnsi="Palatino Linotype"/>
              </w:rPr>
              <w:t>Critical</w:t>
            </w:r>
          </w:p>
        </w:tc>
        <w:tc>
          <w:tcPr>
            <w:tcW w:w="1831" w:type="dxa"/>
          </w:tcPr>
          <w:p w14:paraId="1C8DA0D6" w14:textId="77777777" w:rsidR="00A951DB" w:rsidRPr="000868A7" w:rsidRDefault="00A951DB" w:rsidP="000C12D3">
            <w:pPr>
              <w:rPr>
                <w:rFonts w:ascii="Palatino Linotype" w:hAnsi="Palatino Linotype"/>
              </w:rPr>
            </w:pPr>
            <w:r w:rsidRPr="000868A7">
              <w:rPr>
                <w:rFonts w:ascii="Palatino Linotype" w:hAnsi="Palatino Linotype"/>
              </w:rPr>
              <w:t xml:space="preserve">Executive outreach is used to build relationships and understand areas of concern and support.  </w:t>
            </w:r>
          </w:p>
          <w:p w14:paraId="005FF76E" w14:textId="77777777" w:rsidR="00A951DB" w:rsidRPr="000868A7" w:rsidRDefault="00A951DB" w:rsidP="000C12D3">
            <w:pPr>
              <w:rPr>
                <w:rFonts w:ascii="Palatino Linotype" w:hAnsi="Palatino Linotype"/>
              </w:rPr>
            </w:pPr>
          </w:p>
          <w:p w14:paraId="0B5280C9" w14:textId="625AEA76" w:rsidR="00A951DB" w:rsidRPr="00765204" w:rsidRDefault="00A951DB" w:rsidP="00F04996">
            <w:pPr>
              <w:rPr>
                <w:rFonts w:ascii="Palatino Linotype" w:hAnsi="Palatino Linotype"/>
              </w:rPr>
            </w:pPr>
            <w:r w:rsidRPr="000868A7">
              <w:rPr>
                <w:rFonts w:ascii="Palatino Linotype" w:hAnsi="Palatino Linotype"/>
              </w:rPr>
              <w:t>Stakeholder engagement to provide SE plan</w:t>
            </w:r>
            <w:r w:rsidR="001E666A">
              <w:rPr>
                <w:rFonts w:ascii="Palatino Linotype" w:hAnsi="Palatino Linotype"/>
              </w:rPr>
              <w:t xml:space="preserve"> to ensure participation from affected participants and consideration of their input</w:t>
            </w:r>
            <w:r w:rsidRPr="000868A7">
              <w:rPr>
                <w:rFonts w:ascii="Palatino Linotype" w:hAnsi="Palatino Linotype"/>
              </w:rPr>
              <w:t>.</w:t>
            </w:r>
          </w:p>
        </w:tc>
        <w:tc>
          <w:tcPr>
            <w:tcW w:w="1573" w:type="dxa"/>
          </w:tcPr>
          <w:p w14:paraId="7723490D" w14:textId="36F86147" w:rsidR="00A951DB" w:rsidRPr="00765204" w:rsidRDefault="00A951DB">
            <w:pPr>
              <w:rPr>
                <w:rFonts w:ascii="Palatino Linotype" w:hAnsi="Palatino Linotype"/>
              </w:rPr>
            </w:pPr>
            <w:r>
              <w:rPr>
                <w:rFonts w:ascii="Palatino Linotype" w:hAnsi="Palatino Linotype"/>
              </w:rPr>
              <w:t>Yes</w:t>
            </w:r>
          </w:p>
        </w:tc>
        <w:tc>
          <w:tcPr>
            <w:tcW w:w="1300" w:type="dxa"/>
          </w:tcPr>
          <w:p w14:paraId="1FB6741B" w14:textId="71B8A55A" w:rsidR="00A951DB" w:rsidRPr="00765204" w:rsidRDefault="00A951DB">
            <w:pPr>
              <w:rPr>
                <w:rFonts w:ascii="Palatino Linotype" w:hAnsi="Palatino Linotype"/>
              </w:rPr>
            </w:pPr>
            <w:r>
              <w:rPr>
                <w:rFonts w:ascii="Palatino Linotype" w:hAnsi="Palatino Linotype"/>
              </w:rPr>
              <w:t>High</w:t>
            </w:r>
          </w:p>
        </w:tc>
      </w:tr>
      <w:tr w:rsidR="00A951DB" w:rsidRPr="005B485E" w14:paraId="6CB25BD6" w14:textId="77777777" w:rsidTr="00CE1254">
        <w:trPr>
          <w:trHeight w:val="1050"/>
        </w:trPr>
        <w:tc>
          <w:tcPr>
            <w:tcW w:w="1504" w:type="dxa"/>
          </w:tcPr>
          <w:p w14:paraId="6CB25BD0" w14:textId="77777777" w:rsidR="00A951DB" w:rsidRPr="00765204" w:rsidRDefault="00A951DB">
            <w:pPr>
              <w:rPr>
                <w:rFonts w:ascii="Palatino Linotype" w:hAnsi="Palatino Linotype"/>
              </w:rPr>
            </w:pPr>
            <w:r w:rsidRPr="00765204">
              <w:rPr>
                <w:rFonts w:ascii="Palatino Linotype" w:hAnsi="Palatino Linotype"/>
              </w:rPr>
              <w:lastRenderedPageBreak/>
              <w:t>R005</w:t>
            </w:r>
          </w:p>
        </w:tc>
        <w:tc>
          <w:tcPr>
            <w:tcW w:w="2361" w:type="dxa"/>
          </w:tcPr>
          <w:p w14:paraId="6CB25BD1" w14:textId="562E73B3" w:rsidR="00A951DB" w:rsidRPr="00765204" w:rsidRDefault="00A951DB">
            <w:pPr>
              <w:rPr>
                <w:rFonts w:ascii="Palatino Linotype" w:hAnsi="Palatino Linotype"/>
              </w:rPr>
            </w:pPr>
            <w:r w:rsidRPr="00765204">
              <w:rPr>
                <w:rFonts w:ascii="Palatino Linotype" w:hAnsi="Palatino Linotype"/>
              </w:rPr>
              <w:t xml:space="preserve">IESO </w:t>
            </w:r>
            <w:r>
              <w:rPr>
                <w:rFonts w:ascii="Palatino Linotype" w:hAnsi="Palatino Linotype"/>
              </w:rPr>
              <w:t>h</w:t>
            </w:r>
            <w:r w:rsidRPr="00765204">
              <w:rPr>
                <w:rFonts w:ascii="Palatino Linotype" w:hAnsi="Palatino Linotype"/>
              </w:rPr>
              <w:t>uman resources are limited.</w:t>
            </w:r>
          </w:p>
        </w:tc>
        <w:tc>
          <w:tcPr>
            <w:tcW w:w="904" w:type="dxa"/>
          </w:tcPr>
          <w:p w14:paraId="6CB25BD2" w14:textId="77777777" w:rsidR="00A951DB" w:rsidRPr="00765204" w:rsidRDefault="00A951DB">
            <w:pPr>
              <w:rPr>
                <w:rFonts w:ascii="Palatino Linotype" w:hAnsi="Palatino Linotype"/>
              </w:rPr>
            </w:pPr>
            <w:r w:rsidRPr="00765204">
              <w:rPr>
                <w:rFonts w:ascii="Palatino Linotype" w:hAnsi="Palatino Linotype"/>
              </w:rPr>
              <w:t>Critical</w:t>
            </w:r>
          </w:p>
        </w:tc>
        <w:tc>
          <w:tcPr>
            <w:tcW w:w="1831" w:type="dxa"/>
          </w:tcPr>
          <w:p w14:paraId="6CB25BD3" w14:textId="4F1983E7" w:rsidR="00A951DB" w:rsidRPr="00765204" w:rsidRDefault="00A951DB" w:rsidP="00F04996">
            <w:pPr>
              <w:rPr>
                <w:rFonts w:ascii="Palatino Linotype" w:hAnsi="Palatino Linotype"/>
              </w:rPr>
            </w:pPr>
            <w:r w:rsidRPr="00765204">
              <w:rPr>
                <w:rFonts w:ascii="Palatino Linotype" w:hAnsi="Palatino Linotype"/>
              </w:rPr>
              <w:t>Reflect this project priority properly and communicate human resourcing need as early as possible.  Mitigated by formal project ranking and it is approved in the 2019 Project Portfolio.</w:t>
            </w:r>
          </w:p>
        </w:tc>
        <w:tc>
          <w:tcPr>
            <w:tcW w:w="1573" w:type="dxa"/>
          </w:tcPr>
          <w:p w14:paraId="6CB25BD4" w14:textId="77777777" w:rsidR="00A951DB" w:rsidRPr="00765204" w:rsidRDefault="00A951DB">
            <w:pPr>
              <w:rPr>
                <w:rFonts w:ascii="Palatino Linotype" w:hAnsi="Palatino Linotype"/>
              </w:rPr>
            </w:pPr>
            <w:r w:rsidRPr="00765204">
              <w:rPr>
                <w:rFonts w:ascii="Palatino Linotype" w:hAnsi="Palatino Linotype"/>
              </w:rPr>
              <w:t>Yes</w:t>
            </w:r>
          </w:p>
        </w:tc>
        <w:tc>
          <w:tcPr>
            <w:tcW w:w="1300" w:type="dxa"/>
          </w:tcPr>
          <w:p w14:paraId="6CB25BD5" w14:textId="77777777" w:rsidR="00A951DB" w:rsidRPr="00765204" w:rsidRDefault="00A951DB">
            <w:pPr>
              <w:rPr>
                <w:rFonts w:ascii="Palatino Linotype" w:hAnsi="Palatino Linotype"/>
              </w:rPr>
            </w:pPr>
            <w:r w:rsidRPr="00765204">
              <w:rPr>
                <w:rFonts w:ascii="Palatino Linotype" w:hAnsi="Palatino Linotype"/>
              </w:rPr>
              <w:t>Medium</w:t>
            </w:r>
          </w:p>
        </w:tc>
      </w:tr>
      <w:tr w:rsidR="00A951DB" w:rsidRPr="005B485E" w14:paraId="6CB25BDD" w14:textId="77777777" w:rsidTr="00CE1254">
        <w:trPr>
          <w:trHeight w:val="1050"/>
        </w:trPr>
        <w:tc>
          <w:tcPr>
            <w:tcW w:w="1504" w:type="dxa"/>
            <w:hideMark/>
          </w:tcPr>
          <w:p w14:paraId="6CB25BD7" w14:textId="77777777" w:rsidR="00A951DB" w:rsidRPr="00765204" w:rsidRDefault="00A951DB">
            <w:pPr>
              <w:rPr>
                <w:rFonts w:ascii="Palatino Linotype" w:hAnsi="Palatino Linotype"/>
              </w:rPr>
            </w:pPr>
            <w:r w:rsidRPr="00765204">
              <w:rPr>
                <w:rFonts w:ascii="Palatino Linotype" w:hAnsi="Palatino Linotype"/>
              </w:rPr>
              <w:t>R015</w:t>
            </w:r>
          </w:p>
        </w:tc>
        <w:tc>
          <w:tcPr>
            <w:tcW w:w="2361" w:type="dxa"/>
            <w:hideMark/>
          </w:tcPr>
          <w:p w14:paraId="6CB25BD8" w14:textId="77777777" w:rsidR="00A951DB" w:rsidRPr="00765204" w:rsidRDefault="00A951DB">
            <w:pPr>
              <w:rPr>
                <w:rFonts w:ascii="Palatino Linotype" w:hAnsi="Palatino Linotype"/>
              </w:rPr>
            </w:pPr>
            <w:r w:rsidRPr="00765204">
              <w:rPr>
                <w:rFonts w:ascii="Palatino Linotype" w:hAnsi="Palatino Linotype"/>
              </w:rPr>
              <w:t>Gaps in design due to aggressive timeline</w:t>
            </w:r>
          </w:p>
        </w:tc>
        <w:tc>
          <w:tcPr>
            <w:tcW w:w="904" w:type="dxa"/>
            <w:hideMark/>
          </w:tcPr>
          <w:p w14:paraId="6CB25BD9" w14:textId="77777777" w:rsidR="00A951DB" w:rsidRPr="00765204" w:rsidRDefault="00A951DB">
            <w:pPr>
              <w:rPr>
                <w:rFonts w:ascii="Palatino Linotype" w:hAnsi="Palatino Linotype"/>
              </w:rPr>
            </w:pPr>
            <w:r w:rsidRPr="00765204">
              <w:rPr>
                <w:rFonts w:ascii="Palatino Linotype" w:hAnsi="Palatino Linotype"/>
              </w:rPr>
              <w:t>High</w:t>
            </w:r>
          </w:p>
        </w:tc>
        <w:tc>
          <w:tcPr>
            <w:tcW w:w="1831" w:type="dxa"/>
            <w:hideMark/>
          </w:tcPr>
          <w:p w14:paraId="6CB25BDA" w14:textId="77777777" w:rsidR="00A951DB" w:rsidRPr="00765204" w:rsidRDefault="00A951DB">
            <w:pPr>
              <w:rPr>
                <w:rFonts w:ascii="Palatino Linotype" w:hAnsi="Palatino Linotype"/>
              </w:rPr>
            </w:pPr>
            <w:r w:rsidRPr="00765204">
              <w:rPr>
                <w:rFonts w:ascii="Palatino Linotype" w:hAnsi="Palatino Linotype"/>
              </w:rPr>
              <w:t>Accepted for Phase 1.  For Phase 2, if gaps are identified subsequently prioritize design requirements and roll them into the following TCAs as appropriate.</w:t>
            </w:r>
          </w:p>
        </w:tc>
        <w:tc>
          <w:tcPr>
            <w:tcW w:w="1573" w:type="dxa"/>
          </w:tcPr>
          <w:p w14:paraId="6CB25BDB" w14:textId="77777777" w:rsidR="00A951DB" w:rsidRPr="00765204" w:rsidRDefault="00A951DB">
            <w:pPr>
              <w:rPr>
                <w:rFonts w:ascii="Palatino Linotype" w:hAnsi="Palatino Linotype"/>
              </w:rPr>
            </w:pPr>
            <w:r w:rsidRPr="00765204">
              <w:rPr>
                <w:rFonts w:ascii="Palatino Linotype" w:hAnsi="Palatino Linotype"/>
              </w:rPr>
              <w:t>Yes</w:t>
            </w:r>
          </w:p>
        </w:tc>
        <w:tc>
          <w:tcPr>
            <w:tcW w:w="1300" w:type="dxa"/>
            <w:hideMark/>
          </w:tcPr>
          <w:p w14:paraId="6CB25BDC" w14:textId="77777777" w:rsidR="00A951DB" w:rsidRPr="00765204" w:rsidRDefault="00A951DB">
            <w:pPr>
              <w:rPr>
                <w:rFonts w:ascii="Palatino Linotype" w:hAnsi="Palatino Linotype"/>
              </w:rPr>
            </w:pPr>
            <w:r w:rsidRPr="00765204">
              <w:rPr>
                <w:rFonts w:ascii="Palatino Linotype" w:hAnsi="Palatino Linotype"/>
              </w:rPr>
              <w:t>High</w:t>
            </w:r>
          </w:p>
        </w:tc>
      </w:tr>
      <w:tr w:rsidR="00A951DB" w:rsidRPr="005B485E" w14:paraId="6CB25BE4" w14:textId="77777777" w:rsidTr="00CE1254">
        <w:trPr>
          <w:trHeight w:val="1050"/>
        </w:trPr>
        <w:tc>
          <w:tcPr>
            <w:tcW w:w="1504" w:type="dxa"/>
            <w:hideMark/>
          </w:tcPr>
          <w:p w14:paraId="6CB25BDE" w14:textId="77777777" w:rsidR="00A951DB" w:rsidRPr="00765204" w:rsidRDefault="00A951DB">
            <w:pPr>
              <w:rPr>
                <w:rFonts w:ascii="Palatino Linotype" w:hAnsi="Palatino Linotype"/>
              </w:rPr>
            </w:pPr>
            <w:r w:rsidRPr="00765204">
              <w:rPr>
                <w:rFonts w:ascii="Palatino Linotype" w:hAnsi="Palatino Linotype"/>
              </w:rPr>
              <w:t>R016</w:t>
            </w:r>
          </w:p>
        </w:tc>
        <w:tc>
          <w:tcPr>
            <w:tcW w:w="2361" w:type="dxa"/>
            <w:hideMark/>
          </w:tcPr>
          <w:p w14:paraId="6CB25BDF" w14:textId="77777777" w:rsidR="00A951DB" w:rsidRPr="00765204" w:rsidRDefault="00A951DB">
            <w:pPr>
              <w:rPr>
                <w:rFonts w:ascii="Palatino Linotype" w:hAnsi="Palatino Linotype"/>
              </w:rPr>
            </w:pPr>
            <w:r w:rsidRPr="00765204">
              <w:rPr>
                <w:rFonts w:ascii="Palatino Linotype" w:hAnsi="Palatino Linotype"/>
              </w:rPr>
              <w:t>Gaps in testing due to aggressive timeline</w:t>
            </w:r>
          </w:p>
        </w:tc>
        <w:tc>
          <w:tcPr>
            <w:tcW w:w="904" w:type="dxa"/>
            <w:hideMark/>
          </w:tcPr>
          <w:p w14:paraId="6CB25BE0" w14:textId="77777777" w:rsidR="00A951DB" w:rsidRPr="00765204" w:rsidRDefault="00A951DB">
            <w:pPr>
              <w:rPr>
                <w:rFonts w:ascii="Palatino Linotype" w:hAnsi="Palatino Linotype"/>
              </w:rPr>
            </w:pPr>
            <w:r w:rsidRPr="00765204">
              <w:rPr>
                <w:rFonts w:ascii="Palatino Linotype" w:hAnsi="Palatino Linotype"/>
              </w:rPr>
              <w:t>High</w:t>
            </w:r>
          </w:p>
        </w:tc>
        <w:tc>
          <w:tcPr>
            <w:tcW w:w="1831" w:type="dxa"/>
            <w:hideMark/>
          </w:tcPr>
          <w:p w14:paraId="6CB25BE1" w14:textId="77777777" w:rsidR="00A951DB" w:rsidRPr="00765204" w:rsidRDefault="00A951DB">
            <w:pPr>
              <w:rPr>
                <w:rFonts w:ascii="Palatino Linotype" w:hAnsi="Palatino Linotype"/>
              </w:rPr>
            </w:pPr>
            <w:r w:rsidRPr="00765204">
              <w:rPr>
                <w:rFonts w:ascii="Palatino Linotype" w:hAnsi="Palatino Linotype"/>
              </w:rPr>
              <w:t>Work with IT QA to come up with Project QA plan.  Plan and prioritize rework for later project phases.</w:t>
            </w:r>
          </w:p>
        </w:tc>
        <w:tc>
          <w:tcPr>
            <w:tcW w:w="1573" w:type="dxa"/>
          </w:tcPr>
          <w:p w14:paraId="6CB25BE2" w14:textId="77777777" w:rsidR="00A951DB" w:rsidRPr="00765204" w:rsidRDefault="00A951DB">
            <w:pPr>
              <w:rPr>
                <w:rFonts w:ascii="Palatino Linotype" w:hAnsi="Palatino Linotype"/>
              </w:rPr>
            </w:pPr>
            <w:r w:rsidRPr="00765204">
              <w:rPr>
                <w:rFonts w:ascii="Palatino Linotype" w:hAnsi="Palatino Linotype"/>
              </w:rPr>
              <w:t>Yes</w:t>
            </w:r>
          </w:p>
        </w:tc>
        <w:tc>
          <w:tcPr>
            <w:tcW w:w="1300" w:type="dxa"/>
            <w:hideMark/>
          </w:tcPr>
          <w:p w14:paraId="6CB25BE3" w14:textId="77777777" w:rsidR="00A951DB" w:rsidRPr="00765204" w:rsidRDefault="00A951DB">
            <w:pPr>
              <w:rPr>
                <w:rFonts w:ascii="Palatino Linotype" w:hAnsi="Palatino Linotype"/>
              </w:rPr>
            </w:pPr>
            <w:r w:rsidRPr="00765204">
              <w:rPr>
                <w:rFonts w:ascii="Palatino Linotype" w:hAnsi="Palatino Linotype"/>
              </w:rPr>
              <w:t>Medium</w:t>
            </w:r>
          </w:p>
        </w:tc>
      </w:tr>
      <w:tr w:rsidR="00A951DB" w:rsidRPr="005B485E" w14:paraId="6CB25BEB" w14:textId="77777777" w:rsidTr="00CE1254">
        <w:trPr>
          <w:trHeight w:val="525"/>
        </w:trPr>
        <w:tc>
          <w:tcPr>
            <w:tcW w:w="1504" w:type="dxa"/>
            <w:hideMark/>
          </w:tcPr>
          <w:p w14:paraId="6CB25BE5" w14:textId="77777777" w:rsidR="00A951DB" w:rsidRPr="00765204" w:rsidRDefault="00A951DB">
            <w:pPr>
              <w:rPr>
                <w:rFonts w:ascii="Palatino Linotype" w:hAnsi="Palatino Linotype"/>
              </w:rPr>
            </w:pPr>
            <w:r w:rsidRPr="00765204">
              <w:rPr>
                <w:rFonts w:ascii="Palatino Linotype" w:hAnsi="Palatino Linotype"/>
              </w:rPr>
              <w:t>R019</w:t>
            </w:r>
          </w:p>
        </w:tc>
        <w:tc>
          <w:tcPr>
            <w:tcW w:w="2361" w:type="dxa"/>
            <w:hideMark/>
          </w:tcPr>
          <w:p w14:paraId="6CB25BE6" w14:textId="77777777" w:rsidR="00A951DB" w:rsidRPr="00765204" w:rsidRDefault="00A951DB">
            <w:pPr>
              <w:rPr>
                <w:rFonts w:ascii="Palatino Linotype" w:hAnsi="Palatino Linotype"/>
              </w:rPr>
            </w:pPr>
            <w:r w:rsidRPr="00765204">
              <w:rPr>
                <w:rFonts w:ascii="Palatino Linotype" w:hAnsi="Palatino Linotype"/>
              </w:rPr>
              <w:t>IT tool changes are delayed.</w:t>
            </w:r>
          </w:p>
        </w:tc>
        <w:tc>
          <w:tcPr>
            <w:tcW w:w="904" w:type="dxa"/>
            <w:hideMark/>
          </w:tcPr>
          <w:p w14:paraId="6CB25BE7" w14:textId="77777777" w:rsidR="00A951DB" w:rsidRPr="00765204" w:rsidRDefault="00A951DB">
            <w:pPr>
              <w:rPr>
                <w:rFonts w:ascii="Palatino Linotype" w:hAnsi="Palatino Linotype"/>
              </w:rPr>
            </w:pPr>
            <w:r w:rsidRPr="00765204">
              <w:rPr>
                <w:rFonts w:ascii="Palatino Linotype" w:hAnsi="Palatino Linotype"/>
              </w:rPr>
              <w:t>High</w:t>
            </w:r>
          </w:p>
        </w:tc>
        <w:tc>
          <w:tcPr>
            <w:tcW w:w="1831" w:type="dxa"/>
            <w:hideMark/>
          </w:tcPr>
          <w:p w14:paraId="6CB25BE8" w14:textId="77777777" w:rsidR="00A951DB" w:rsidRPr="00765204" w:rsidRDefault="00A951DB">
            <w:pPr>
              <w:rPr>
                <w:rFonts w:ascii="Palatino Linotype" w:hAnsi="Palatino Linotype"/>
              </w:rPr>
            </w:pPr>
            <w:r w:rsidRPr="00765204">
              <w:rPr>
                <w:rFonts w:ascii="Palatino Linotype" w:hAnsi="Palatino Linotype"/>
              </w:rPr>
              <w:t>Limit and prioritize scope as required.</w:t>
            </w:r>
          </w:p>
        </w:tc>
        <w:tc>
          <w:tcPr>
            <w:tcW w:w="1573" w:type="dxa"/>
          </w:tcPr>
          <w:p w14:paraId="6CB25BE9" w14:textId="77777777" w:rsidR="00A951DB" w:rsidRPr="00765204" w:rsidRDefault="00A951DB">
            <w:pPr>
              <w:rPr>
                <w:rFonts w:ascii="Palatino Linotype" w:hAnsi="Palatino Linotype"/>
              </w:rPr>
            </w:pPr>
            <w:r w:rsidRPr="00765204">
              <w:rPr>
                <w:rFonts w:ascii="Palatino Linotype" w:hAnsi="Palatino Linotype"/>
              </w:rPr>
              <w:t>Yes</w:t>
            </w:r>
          </w:p>
        </w:tc>
        <w:tc>
          <w:tcPr>
            <w:tcW w:w="1300" w:type="dxa"/>
            <w:hideMark/>
          </w:tcPr>
          <w:p w14:paraId="6CB25BEA" w14:textId="77777777" w:rsidR="00A951DB" w:rsidRPr="00765204" w:rsidRDefault="00A951DB">
            <w:pPr>
              <w:rPr>
                <w:rFonts w:ascii="Palatino Linotype" w:hAnsi="Palatino Linotype"/>
              </w:rPr>
            </w:pPr>
            <w:r w:rsidRPr="00765204">
              <w:rPr>
                <w:rFonts w:ascii="Palatino Linotype" w:hAnsi="Palatino Linotype"/>
              </w:rPr>
              <w:t>Medium</w:t>
            </w:r>
          </w:p>
        </w:tc>
      </w:tr>
      <w:tr w:rsidR="00A951DB" w:rsidRPr="005B485E" w14:paraId="6CB25BF2" w14:textId="77777777" w:rsidTr="00CE1254">
        <w:trPr>
          <w:trHeight w:val="1050"/>
        </w:trPr>
        <w:tc>
          <w:tcPr>
            <w:tcW w:w="1504" w:type="dxa"/>
            <w:hideMark/>
          </w:tcPr>
          <w:p w14:paraId="6CB25BEC" w14:textId="77777777" w:rsidR="00A951DB" w:rsidRPr="00765204" w:rsidRDefault="00A951DB">
            <w:pPr>
              <w:rPr>
                <w:rFonts w:ascii="Palatino Linotype" w:hAnsi="Palatino Linotype"/>
              </w:rPr>
            </w:pPr>
            <w:r w:rsidRPr="00765204">
              <w:rPr>
                <w:rFonts w:ascii="Palatino Linotype" w:hAnsi="Palatino Linotype"/>
              </w:rPr>
              <w:lastRenderedPageBreak/>
              <w:t>R023</w:t>
            </w:r>
          </w:p>
        </w:tc>
        <w:tc>
          <w:tcPr>
            <w:tcW w:w="2361" w:type="dxa"/>
            <w:hideMark/>
          </w:tcPr>
          <w:p w14:paraId="6CB25BED" w14:textId="77777777" w:rsidR="00A951DB" w:rsidRPr="00765204" w:rsidRDefault="00A951DB">
            <w:pPr>
              <w:rPr>
                <w:rFonts w:ascii="Palatino Linotype" w:hAnsi="Palatino Linotype"/>
              </w:rPr>
            </w:pPr>
            <w:r w:rsidRPr="00765204">
              <w:rPr>
                <w:rFonts w:ascii="Palatino Linotype" w:hAnsi="Palatino Linotype"/>
              </w:rPr>
              <w:t xml:space="preserve">If </w:t>
            </w:r>
            <w:proofErr w:type="spellStart"/>
            <w:r w:rsidRPr="00765204">
              <w:rPr>
                <w:rFonts w:ascii="Palatino Linotype" w:hAnsi="Palatino Linotype"/>
              </w:rPr>
              <w:t>lCA</w:t>
            </w:r>
            <w:proofErr w:type="spellEnd"/>
            <w:r w:rsidRPr="00765204">
              <w:rPr>
                <w:rFonts w:ascii="Palatino Linotype" w:hAnsi="Palatino Linotype"/>
              </w:rPr>
              <w:t xml:space="preserve"> go-live is delayed, TCA does not support new build and might cause reliability issue.</w:t>
            </w:r>
          </w:p>
        </w:tc>
        <w:tc>
          <w:tcPr>
            <w:tcW w:w="904" w:type="dxa"/>
            <w:hideMark/>
          </w:tcPr>
          <w:p w14:paraId="6CB25BEE" w14:textId="77777777" w:rsidR="00A951DB" w:rsidRPr="00765204" w:rsidRDefault="00A951DB">
            <w:pPr>
              <w:rPr>
                <w:rFonts w:ascii="Palatino Linotype" w:hAnsi="Palatino Linotype"/>
              </w:rPr>
            </w:pPr>
            <w:r w:rsidRPr="00765204">
              <w:rPr>
                <w:rFonts w:ascii="Palatino Linotype" w:hAnsi="Palatino Linotype"/>
              </w:rPr>
              <w:t>Critical</w:t>
            </w:r>
          </w:p>
        </w:tc>
        <w:tc>
          <w:tcPr>
            <w:tcW w:w="1831" w:type="dxa"/>
            <w:hideMark/>
          </w:tcPr>
          <w:p w14:paraId="6CB25BEF" w14:textId="77777777" w:rsidR="00A951DB" w:rsidRPr="00765204" w:rsidRDefault="00A951DB" w:rsidP="00321F91">
            <w:pPr>
              <w:rPr>
                <w:rFonts w:ascii="Palatino Linotype" w:hAnsi="Palatino Linotype"/>
              </w:rPr>
            </w:pPr>
            <w:r w:rsidRPr="001A1ED2">
              <w:rPr>
                <w:rFonts w:ascii="Palatino Linotype" w:hAnsi="Palatino Linotype"/>
              </w:rPr>
              <w:t>Continue to work with ICA team to look for implementation of more advanced ICA design features in TCA if ICA project schedule is at significant risk.</w:t>
            </w:r>
          </w:p>
        </w:tc>
        <w:tc>
          <w:tcPr>
            <w:tcW w:w="1573" w:type="dxa"/>
          </w:tcPr>
          <w:p w14:paraId="6CB25BF0" w14:textId="77777777" w:rsidR="00A951DB" w:rsidRPr="00765204" w:rsidRDefault="00A951DB">
            <w:pPr>
              <w:rPr>
                <w:rFonts w:ascii="Palatino Linotype" w:hAnsi="Palatino Linotype"/>
              </w:rPr>
            </w:pPr>
            <w:r>
              <w:rPr>
                <w:rFonts w:ascii="Palatino Linotype" w:hAnsi="Palatino Linotype"/>
              </w:rPr>
              <w:t>Yes</w:t>
            </w:r>
          </w:p>
        </w:tc>
        <w:tc>
          <w:tcPr>
            <w:tcW w:w="1300" w:type="dxa"/>
            <w:hideMark/>
          </w:tcPr>
          <w:p w14:paraId="6CB25BF1" w14:textId="77777777" w:rsidR="00A951DB" w:rsidRPr="00765204" w:rsidRDefault="00A951DB" w:rsidP="001A1ED2">
            <w:pPr>
              <w:rPr>
                <w:rFonts w:ascii="Palatino Linotype" w:hAnsi="Palatino Linotype"/>
              </w:rPr>
            </w:pPr>
            <w:r>
              <w:rPr>
                <w:rFonts w:ascii="Palatino Linotype" w:hAnsi="Palatino Linotype"/>
              </w:rPr>
              <w:t>High</w:t>
            </w:r>
          </w:p>
        </w:tc>
      </w:tr>
      <w:tr w:rsidR="00A951DB" w:rsidRPr="005B485E" w14:paraId="6CB25BF9" w14:textId="77777777" w:rsidTr="00CE1254">
        <w:trPr>
          <w:trHeight w:val="1575"/>
        </w:trPr>
        <w:tc>
          <w:tcPr>
            <w:tcW w:w="1504" w:type="dxa"/>
            <w:hideMark/>
          </w:tcPr>
          <w:p w14:paraId="6CB25BF3" w14:textId="77777777" w:rsidR="00A951DB" w:rsidRPr="00765204" w:rsidRDefault="00A951DB">
            <w:pPr>
              <w:rPr>
                <w:rFonts w:ascii="Palatino Linotype" w:hAnsi="Palatino Linotype"/>
              </w:rPr>
            </w:pPr>
            <w:r w:rsidRPr="00765204">
              <w:rPr>
                <w:rFonts w:ascii="Palatino Linotype" w:hAnsi="Palatino Linotype"/>
              </w:rPr>
              <w:t>R025</w:t>
            </w:r>
          </w:p>
        </w:tc>
        <w:tc>
          <w:tcPr>
            <w:tcW w:w="2361" w:type="dxa"/>
            <w:hideMark/>
          </w:tcPr>
          <w:p w14:paraId="6CB25BF4" w14:textId="407CC77F" w:rsidR="00A951DB" w:rsidRPr="00765204" w:rsidRDefault="00A951DB">
            <w:pPr>
              <w:rPr>
                <w:rFonts w:ascii="Palatino Linotype" w:hAnsi="Palatino Linotype"/>
              </w:rPr>
            </w:pPr>
            <w:r w:rsidRPr="00765204">
              <w:rPr>
                <w:rFonts w:ascii="Palatino Linotype" w:hAnsi="Palatino Linotype"/>
              </w:rPr>
              <w:t>Stakeholder engagement</w:t>
            </w:r>
            <w:r>
              <w:rPr>
                <w:rFonts w:ascii="Palatino Linotype" w:hAnsi="Palatino Linotype"/>
              </w:rPr>
              <w:t xml:space="preserve"> (SE)</w:t>
            </w:r>
            <w:r w:rsidRPr="00765204">
              <w:rPr>
                <w:rFonts w:ascii="Palatino Linotype" w:hAnsi="Palatino Linotype"/>
              </w:rPr>
              <w:t xml:space="preserve"> for Design will not be completed before tool development begins.  If there are showstoppers from SE there will be rework and project delay.</w:t>
            </w:r>
          </w:p>
        </w:tc>
        <w:tc>
          <w:tcPr>
            <w:tcW w:w="904" w:type="dxa"/>
            <w:hideMark/>
          </w:tcPr>
          <w:p w14:paraId="6CB25BF5" w14:textId="77777777" w:rsidR="00A951DB" w:rsidRPr="00765204" w:rsidRDefault="00A951DB">
            <w:pPr>
              <w:rPr>
                <w:rFonts w:ascii="Palatino Linotype" w:hAnsi="Palatino Linotype"/>
              </w:rPr>
            </w:pPr>
            <w:r w:rsidRPr="00765204">
              <w:rPr>
                <w:rFonts w:ascii="Palatino Linotype" w:hAnsi="Palatino Linotype"/>
              </w:rPr>
              <w:t>High</w:t>
            </w:r>
          </w:p>
        </w:tc>
        <w:tc>
          <w:tcPr>
            <w:tcW w:w="1831" w:type="dxa"/>
            <w:hideMark/>
          </w:tcPr>
          <w:p w14:paraId="6CB25BF6" w14:textId="77777777" w:rsidR="00A951DB" w:rsidRPr="00765204" w:rsidRDefault="00A951DB">
            <w:pPr>
              <w:rPr>
                <w:rFonts w:ascii="Palatino Linotype" w:hAnsi="Palatino Linotype"/>
              </w:rPr>
            </w:pPr>
            <w:r w:rsidRPr="00765204">
              <w:rPr>
                <w:rFonts w:ascii="Palatino Linotype" w:hAnsi="Palatino Linotype"/>
              </w:rPr>
              <w:t>Accepted due to compressed timeline.  If showstoppers are encountered go-live date could be delayed.</w:t>
            </w:r>
          </w:p>
        </w:tc>
        <w:tc>
          <w:tcPr>
            <w:tcW w:w="1573" w:type="dxa"/>
          </w:tcPr>
          <w:p w14:paraId="6CB25BF7" w14:textId="77777777" w:rsidR="00A951DB" w:rsidRPr="00765204" w:rsidRDefault="00A951DB">
            <w:pPr>
              <w:rPr>
                <w:rFonts w:ascii="Palatino Linotype" w:hAnsi="Palatino Linotype"/>
              </w:rPr>
            </w:pPr>
            <w:r w:rsidRPr="00765204">
              <w:rPr>
                <w:rFonts w:ascii="Palatino Linotype" w:hAnsi="Palatino Linotype"/>
              </w:rPr>
              <w:t>No (Accepted Risk)</w:t>
            </w:r>
          </w:p>
        </w:tc>
        <w:tc>
          <w:tcPr>
            <w:tcW w:w="1300" w:type="dxa"/>
            <w:hideMark/>
          </w:tcPr>
          <w:p w14:paraId="6CB25BF8" w14:textId="77777777" w:rsidR="00A951DB" w:rsidRPr="00765204" w:rsidRDefault="00A951DB">
            <w:pPr>
              <w:rPr>
                <w:rFonts w:ascii="Palatino Linotype" w:hAnsi="Palatino Linotype"/>
              </w:rPr>
            </w:pPr>
            <w:r w:rsidRPr="00765204">
              <w:rPr>
                <w:rFonts w:ascii="Palatino Linotype" w:hAnsi="Palatino Linotype"/>
              </w:rPr>
              <w:t>High</w:t>
            </w:r>
          </w:p>
        </w:tc>
      </w:tr>
      <w:tr w:rsidR="00A951DB" w:rsidRPr="005B485E" w14:paraId="6CB25C00" w14:textId="77777777" w:rsidTr="00CE1254">
        <w:trPr>
          <w:trHeight w:val="2100"/>
        </w:trPr>
        <w:tc>
          <w:tcPr>
            <w:tcW w:w="1504" w:type="dxa"/>
            <w:hideMark/>
          </w:tcPr>
          <w:p w14:paraId="6CB25BFA" w14:textId="77777777" w:rsidR="00A951DB" w:rsidRPr="00765204" w:rsidRDefault="00A951DB">
            <w:pPr>
              <w:rPr>
                <w:rFonts w:ascii="Palatino Linotype" w:hAnsi="Palatino Linotype"/>
              </w:rPr>
            </w:pPr>
            <w:r w:rsidRPr="00765204">
              <w:rPr>
                <w:rFonts w:ascii="Palatino Linotype" w:hAnsi="Palatino Linotype"/>
              </w:rPr>
              <w:t>R028</w:t>
            </w:r>
          </w:p>
        </w:tc>
        <w:tc>
          <w:tcPr>
            <w:tcW w:w="2361" w:type="dxa"/>
            <w:hideMark/>
          </w:tcPr>
          <w:p w14:paraId="6CB25BFB" w14:textId="20E601A6" w:rsidR="00A951DB" w:rsidRPr="00765204" w:rsidRDefault="00A951DB" w:rsidP="00BE1519">
            <w:pPr>
              <w:rPr>
                <w:rFonts w:ascii="Palatino Linotype" w:hAnsi="Palatino Linotype"/>
              </w:rPr>
            </w:pPr>
            <w:r w:rsidRPr="00765204">
              <w:rPr>
                <w:rFonts w:ascii="Palatino Linotype" w:hAnsi="Palatino Linotype"/>
              </w:rPr>
              <w:t>Phased in approach means that the first auctions may not have the needed transparency, certainty and competition that the ICA would have, reducing both short-term and long-term efficiency</w:t>
            </w:r>
          </w:p>
        </w:tc>
        <w:tc>
          <w:tcPr>
            <w:tcW w:w="904" w:type="dxa"/>
            <w:hideMark/>
          </w:tcPr>
          <w:p w14:paraId="6CB25BFC" w14:textId="77777777" w:rsidR="00A951DB" w:rsidRPr="00765204" w:rsidRDefault="00A951DB">
            <w:pPr>
              <w:rPr>
                <w:rFonts w:ascii="Palatino Linotype" w:hAnsi="Palatino Linotype"/>
              </w:rPr>
            </w:pPr>
            <w:r w:rsidRPr="00765204">
              <w:rPr>
                <w:rFonts w:ascii="Palatino Linotype" w:hAnsi="Palatino Linotype"/>
              </w:rPr>
              <w:t>High</w:t>
            </w:r>
          </w:p>
        </w:tc>
        <w:tc>
          <w:tcPr>
            <w:tcW w:w="1831" w:type="dxa"/>
            <w:hideMark/>
          </w:tcPr>
          <w:p w14:paraId="6CB25BFD" w14:textId="77777777" w:rsidR="00A951DB" w:rsidRPr="00765204" w:rsidRDefault="00A951DB">
            <w:pPr>
              <w:rPr>
                <w:rFonts w:ascii="Palatino Linotype" w:hAnsi="Palatino Linotype"/>
              </w:rPr>
            </w:pPr>
            <w:r w:rsidRPr="00765204">
              <w:rPr>
                <w:rFonts w:ascii="Palatino Linotype" w:hAnsi="Palatino Linotype"/>
              </w:rPr>
              <w:t>IESO to make strong commitment that capacity auctions are main procurement tool and continuous evolution of auctions is a must</w:t>
            </w:r>
          </w:p>
        </w:tc>
        <w:tc>
          <w:tcPr>
            <w:tcW w:w="1573" w:type="dxa"/>
          </w:tcPr>
          <w:p w14:paraId="6CB25BFE" w14:textId="77777777" w:rsidR="00A951DB" w:rsidRPr="00765204" w:rsidRDefault="00A951DB">
            <w:pPr>
              <w:rPr>
                <w:rFonts w:ascii="Palatino Linotype" w:hAnsi="Palatino Linotype"/>
              </w:rPr>
            </w:pPr>
            <w:r w:rsidRPr="00765204">
              <w:rPr>
                <w:rFonts w:ascii="Palatino Linotype" w:hAnsi="Palatino Linotype"/>
              </w:rPr>
              <w:t>Yes</w:t>
            </w:r>
          </w:p>
        </w:tc>
        <w:tc>
          <w:tcPr>
            <w:tcW w:w="1300" w:type="dxa"/>
            <w:hideMark/>
          </w:tcPr>
          <w:p w14:paraId="6CB25BFF" w14:textId="77777777" w:rsidR="00A951DB" w:rsidRPr="00765204" w:rsidRDefault="00A951DB">
            <w:pPr>
              <w:rPr>
                <w:rFonts w:ascii="Palatino Linotype" w:hAnsi="Palatino Linotype"/>
              </w:rPr>
            </w:pPr>
            <w:r w:rsidRPr="00765204">
              <w:rPr>
                <w:rFonts w:ascii="Palatino Linotype" w:hAnsi="Palatino Linotype"/>
              </w:rPr>
              <w:t>Medium</w:t>
            </w:r>
          </w:p>
        </w:tc>
      </w:tr>
      <w:tr w:rsidR="00A951DB" w:rsidRPr="005B485E" w14:paraId="6CB25C07" w14:textId="77777777" w:rsidTr="00CE1254">
        <w:trPr>
          <w:trHeight w:val="1050"/>
        </w:trPr>
        <w:tc>
          <w:tcPr>
            <w:tcW w:w="1504" w:type="dxa"/>
            <w:hideMark/>
          </w:tcPr>
          <w:p w14:paraId="6CB25C01" w14:textId="77777777" w:rsidR="00A951DB" w:rsidRPr="00765204" w:rsidRDefault="00A951DB">
            <w:pPr>
              <w:rPr>
                <w:rFonts w:ascii="Palatino Linotype" w:hAnsi="Palatino Linotype"/>
              </w:rPr>
            </w:pPr>
            <w:r w:rsidRPr="00765204">
              <w:rPr>
                <w:rFonts w:ascii="Palatino Linotype" w:hAnsi="Palatino Linotype"/>
              </w:rPr>
              <w:t>R029</w:t>
            </w:r>
          </w:p>
        </w:tc>
        <w:tc>
          <w:tcPr>
            <w:tcW w:w="2361" w:type="dxa"/>
            <w:hideMark/>
          </w:tcPr>
          <w:p w14:paraId="6CB25C02" w14:textId="6DF6FA53" w:rsidR="00A951DB" w:rsidRPr="00765204" w:rsidRDefault="00A951DB" w:rsidP="00BE1519">
            <w:pPr>
              <w:rPr>
                <w:rFonts w:ascii="Palatino Linotype" w:hAnsi="Palatino Linotype"/>
              </w:rPr>
            </w:pPr>
            <w:r w:rsidRPr="00765204">
              <w:rPr>
                <w:rFonts w:ascii="Palatino Linotype" w:hAnsi="Palatino Linotype"/>
              </w:rPr>
              <w:t>Neighbouring jurisdiction</w:t>
            </w:r>
            <w:r>
              <w:rPr>
                <w:rFonts w:ascii="Palatino Linotype" w:hAnsi="Palatino Linotype"/>
              </w:rPr>
              <w:t>s</w:t>
            </w:r>
            <w:r w:rsidRPr="00765204">
              <w:rPr>
                <w:rFonts w:ascii="Palatino Linotype" w:hAnsi="Palatino Linotype"/>
              </w:rPr>
              <w:t xml:space="preserve"> may not provide sufficient or timely support for capacity imports, </w:t>
            </w:r>
            <w:r>
              <w:rPr>
                <w:rFonts w:ascii="Palatino Linotype" w:hAnsi="Palatino Linotype"/>
              </w:rPr>
              <w:t xml:space="preserve">limiting the amount of </w:t>
            </w:r>
            <w:r>
              <w:rPr>
                <w:rFonts w:ascii="Palatino Linotype" w:hAnsi="Palatino Linotype"/>
              </w:rPr>
              <w:lastRenderedPageBreak/>
              <w:t>import capacity available and reducing TCA effectiveness</w:t>
            </w:r>
            <w:r w:rsidRPr="00765204">
              <w:rPr>
                <w:rFonts w:ascii="Palatino Linotype" w:hAnsi="Palatino Linotype"/>
              </w:rPr>
              <w:t>.</w:t>
            </w:r>
          </w:p>
        </w:tc>
        <w:tc>
          <w:tcPr>
            <w:tcW w:w="904" w:type="dxa"/>
            <w:hideMark/>
          </w:tcPr>
          <w:p w14:paraId="6CB25C03" w14:textId="77777777" w:rsidR="00A951DB" w:rsidRPr="00765204" w:rsidRDefault="00A951DB">
            <w:pPr>
              <w:rPr>
                <w:rFonts w:ascii="Palatino Linotype" w:hAnsi="Palatino Linotype"/>
              </w:rPr>
            </w:pPr>
            <w:r w:rsidRPr="00765204">
              <w:rPr>
                <w:rFonts w:ascii="Palatino Linotype" w:hAnsi="Palatino Linotype"/>
              </w:rPr>
              <w:lastRenderedPageBreak/>
              <w:t>High</w:t>
            </w:r>
          </w:p>
        </w:tc>
        <w:tc>
          <w:tcPr>
            <w:tcW w:w="1831" w:type="dxa"/>
            <w:hideMark/>
          </w:tcPr>
          <w:p w14:paraId="6CB25C04" w14:textId="77777777" w:rsidR="00A951DB" w:rsidRPr="00765204" w:rsidRDefault="00A951DB">
            <w:pPr>
              <w:rPr>
                <w:rFonts w:ascii="Palatino Linotype" w:hAnsi="Palatino Linotype"/>
              </w:rPr>
            </w:pPr>
            <w:r w:rsidRPr="00765204">
              <w:rPr>
                <w:rFonts w:ascii="Palatino Linotype" w:hAnsi="Palatino Linotype"/>
              </w:rPr>
              <w:t>Develop strategy of working with ISO/RTOs, as well as stakeholders in neighbouring jurisdictions</w:t>
            </w:r>
          </w:p>
        </w:tc>
        <w:tc>
          <w:tcPr>
            <w:tcW w:w="1573" w:type="dxa"/>
          </w:tcPr>
          <w:p w14:paraId="6CB25C05" w14:textId="77777777" w:rsidR="00A951DB" w:rsidRPr="00765204" w:rsidRDefault="00A951DB">
            <w:pPr>
              <w:rPr>
                <w:rFonts w:ascii="Palatino Linotype" w:hAnsi="Palatino Linotype"/>
              </w:rPr>
            </w:pPr>
            <w:r w:rsidRPr="00765204">
              <w:rPr>
                <w:rFonts w:ascii="Palatino Linotype" w:hAnsi="Palatino Linotype"/>
              </w:rPr>
              <w:t>Yes</w:t>
            </w:r>
          </w:p>
        </w:tc>
        <w:tc>
          <w:tcPr>
            <w:tcW w:w="1300" w:type="dxa"/>
            <w:hideMark/>
          </w:tcPr>
          <w:p w14:paraId="6CB25C06" w14:textId="77777777" w:rsidR="00A951DB" w:rsidRPr="00765204" w:rsidRDefault="00A951DB">
            <w:pPr>
              <w:rPr>
                <w:rFonts w:ascii="Palatino Linotype" w:hAnsi="Palatino Linotype"/>
              </w:rPr>
            </w:pPr>
            <w:r w:rsidRPr="00765204">
              <w:rPr>
                <w:rFonts w:ascii="Palatino Linotype" w:hAnsi="Palatino Linotype"/>
              </w:rPr>
              <w:t>Medium</w:t>
            </w:r>
          </w:p>
        </w:tc>
      </w:tr>
      <w:tr w:rsidR="00A951DB" w:rsidRPr="005B485E" w14:paraId="6CB25C0E" w14:textId="77777777" w:rsidTr="00CE1254">
        <w:trPr>
          <w:trHeight w:val="1050"/>
        </w:trPr>
        <w:tc>
          <w:tcPr>
            <w:tcW w:w="1504" w:type="dxa"/>
            <w:hideMark/>
          </w:tcPr>
          <w:p w14:paraId="6CB25C08" w14:textId="77777777" w:rsidR="00A951DB" w:rsidRPr="00765204" w:rsidRDefault="00A951DB">
            <w:pPr>
              <w:rPr>
                <w:rFonts w:ascii="Palatino Linotype" w:hAnsi="Palatino Linotype"/>
              </w:rPr>
            </w:pPr>
            <w:r w:rsidRPr="00765204">
              <w:rPr>
                <w:rFonts w:ascii="Palatino Linotype" w:hAnsi="Palatino Linotype"/>
              </w:rPr>
              <w:lastRenderedPageBreak/>
              <w:t>R030</w:t>
            </w:r>
          </w:p>
        </w:tc>
        <w:tc>
          <w:tcPr>
            <w:tcW w:w="2361" w:type="dxa"/>
            <w:hideMark/>
          </w:tcPr>
          <w:p w14:paraId="6CB25C09" w14:textId="77777777" w:rsidR="00A951DB" w:rsidRPr="00765204" w:rsidRDefault="00A951DB" w:rsidP="00752A4A">
            <w:pPr>
              <w:rPr>
                <w:rFonts w:ascii="Palatino Linotype" w:hAnsi="Palatino Linotype"/>
              </w:rPr>
            </w:pPr>
            <w:r w:rsidRPr="00765204">
              <w:rPr>
                <w:rFonts w:ascii="Palatino Linotype" w:hAnsi="Palatino Linotype"/>
              </w:rPr>
              <w:t>There might not be enough capacity to meet the increased target capacity requirement.</w:t>
            </w:r>
          </w:p>
        </w:tc>
        <w:tc>
          <w:tcPr>
            <w:tcW w:w="904" w:type="dxa"/>
            <w:hideMark/>
          </w:tcPr>
          <w:p w14:paraId="6CB25C0A" w14:textId="77777777" w:rsidR="00A951DB" w:rsidRPr="00765204" w:rsidRDefault="00A951DB">
            <w:pPr>
              <w:rPr>
                <w:rFonts w:ascii="Palatino Linotype" w:hAnsi="Palatino Linotype"/>
              </w:rPr>
            </w:pPr>
            <w:r w:rsidRPr="00765204">
              <w:rPr>
                <w:rFonts w:ascii="Palatino Linotype" w:hAnsi="Palatino Linotype"/>
              </w:rPr>
              <w:t>High</w:t>
            </w:r>
          </w:p>
        </w:tc>
        <w:tc>
          <w:tcPr>
            <w:tcW w:w="1831" w:type="dxa"/>
            <w:hideMark/>
          </w:tcPr>
          <w:p w14:paraId="6CB25C0B" w14:textId="77777777" w:rsidR="00A951DB" w:rsidRPr="00765204" w:rsidRDefault="00A951DB">
            <w:pPr>
              <w:rPr>
                <w:rFonts w:ascii="Palatino Linotype" w:hAnsi="Palatino Linotype"/>
              </w:rPr>
            </w:pPr>
            <w:r w:rsidRPr="00765204">
              <w:rPr>
                <w:rFonts w:ascii="Palatino Linotype" w:hAnsi="Palatino Linotype"/>
              </w:rPr>
              <w:t>Develop transparent plan for enabling resources to understand potential and timing considerations</w:t>
            </w:r>
          </w:p>
        </w:tc>
        <w:tc>
          <w:tcPr>
            <w:tcW w:w="1573" w:type="dxa"/>
          </w:tcPr>
          <w:p w14:paraId="6CB25C0C" w14:textId="77777777" w:rsidR="00A951DB" w:rsidRPr="00765204" w:rsidRDefault="00A951DB">
            <w:pPr>
              <w:rPr>
                <w:rFonts w:ascii="Palatino Linotype" w:hAnsi="Palatino Linotype"/>
              </w:rPr>
            </w:pPr>
            <w:r w:rsidRPr="00765204">
              <w:rPr>
                <w:rFonts w:ascii="Palatino Linotype" w:hAnsi="Palatino Linotype"/>
              </w:rPr>
              <w:t>Yes</w:t>
            </w:r>
          </w:p>
        </w:tc>
        <w:tc>
          <w:tcPr>
            <w:tcW w:w="1300" w:type="dxa"/>
            <w:hideMark/>
          </w:tcPr>
          <w:p w14:paraId="6CB25C0D" w14:textId="77777777" w:rsidR="00A951DB" w:rsidRPr="00765204" w:rsidRDefault="00A951DB">
            <w:pPr>
              <w:rPr>
                <w:rFonts w:ascii="Palatino Linotype" w:hAnsi="Palatino Linotype"/>
              </w:rPr>
            </w:pPr>
            <w:r w:rsidRPr="00765204">
              <w:rPr>
                <w:rFonts w:ascii="Palatino Linotype" w:hAnsi="Palatino Linotype"/>
              </w:rPr>
              <w:t>Medium</w:t>
            </w:r>
          </w:p>
        </w:tc>
      </w:tr>
      <w:tr w:rsidR="00A951DB" w:rsidRPr="005B485E" w14:paraId="6CB25C17" w14:textId="77777777" w:rsidTr="00CE1254">
        <w:trPr>
          <w:trHeight w:val="2625"/>
        </w:trPr>
        <w:tc>
          <w:tcPr>
            <w:tcW w:w="1504" w:type="dxa"/>
            <w:hideMark/>
          </w:tcPr>
          <w:p w14:paraId="6CB25C0F" w14:textId="77777777" w:rsidR="00A951DB" w:rsidRPr="00765204" w:rsidRDefault="00A951DB">
            <w:pPr>
              <w:rPr>
                <w:rFonts w:ascii="Palatino Linotype" w:hAnsi="Palatino Linotype"/>
              </w:rPr>
            </w:pPr>
            <w:r w:rsidRPr="00765204">
              <w:rPr>
                <w:rFonts w:ascii="Palatino Linotype" w:hAnsi="Palatino Linotype"/>
              </w:rPr>
              <w:t>R031</w:t>
            </w:r>
          </w:p>
        </w:tc>
        <w:tc>
          <w:tcPr>
            <w:tcW w:w="2361" w:type="dxa"/>
            <w:hideMark/>
          </w:tcPr>
          <w:p w14:paraId="6CB25C10" w14:textId="77777777" w:rsidR="00A951DB" w:rsidRPr="00765204" w:rsidRDefault="00A951DB" w:rsidP="00725C81">
            <w:pPr>
              <w:rPr>
                <w:rFonts w:ascii="Palatino Linotype" w:hAnsi="Palatino Linotype"/>
              </w:rPr>
            </w:pPr>
            <w:r w:rsidRPr="00765204">
              <w:rPr>
                <w:rFonts w:ascii="Palatino Linotype" w:hAnsi="Palatino Linotype"/>
              </w:rPr>
              <w:t>Certain processes/features will likely have to be manual/more opaque.  This might cause:</w:t>
            </w:r>
          </w:p>
          <w:p w14:paraId="6CB25C11" w14:textId="77777777" w:rsidR="00A951DB" w:rsidRPr="00765204" w:rsidRDefault="00A951DB" w:rsidP="009C3721">
            <w:pPr>
              <w:pStyle w:val="ListParagraph"/>
              <w:numPr>
                <w:ilvl w:val="0"/>
                <w:numId w:val="43"/>
              </w:numPr>
              <w:rPr>
                <w:rFonts w:ascii="Palatino Linotype" w:hAnsi="Palatino Linotype"/>
              </w:rPr>
            </w:pPr>
            <w:r w:rsidRPr="00765204">
              <w:rPr>
                <w:rFonts w:ascii="Palatino Linotype" w:hAnsi="Palatino Linotype"/>
              </w:rPr>
              <w:t>Potential stakeholder pushback with compliance if it is not specified in market rules and manuals</w:t>
            </w:r>
          </w:p>
          <w:p w14:paraId="6CB25C12" w14:textId="77777777" w:rsidR="00A951DB" w:rsidRPr="00765204" w:rsidRDefault="00A951DB" w:rsidP="009C3721">
            <w:pPr>
              <w:pStyle w:val="ListParagraph"/>
              <w:numPr>
                <w:ilvl w:val="0"/>
                <w:numId w:val="43"/>
              </w:numPr>
              <w:rPr>
                <w:rFonts w:ascii="Palatino Linotype" w:hAnsi="Palatino Linotype"/>
              </w:rPr>
            </w:pPr>
            <w:r w:rsidRPr="00765204">
              <w:rPr>
                <w:rFonts w:ascii="Palatino Linotype" w:hAnsi="Palatino Linotype"/>
              </w:rPr>
              <w:t xml:space="preserve">Processes/features might be open to policy influence if they are not codified in market rules  </w:t>
            </w:r>
          </w:p>
        </w:tc>
        <w:tc>
          <w:tcPr>
            <w:tcW w:w="904" w:type="dxa"/>
            <w:hideMark/>
          </w:tcPr>
          <w:p w14:paraId="6CB25C13" w14:textId="77777777" w:rsidR="00A951DB" w:rsidRPr="00765204" w:rsidRDefault="00A951DB">
            <w:pPr>
              <w:rPr>
                <w:rFonts w:ascii="Palatino Linotype" w:hAnsi="Palatino Linotype"/>
              </w:rPr>
            </w:pPr>
            <w:r w:rsidRPr="00765204">
              <w:rPr>
                <w:rFonts w:ascii="Palatino Linotype" w:hAnsi="Palatino Linotype"/>
              </w:rPr>
              <w:t>High</w:t>
            </w:r>
          </w:p>
        </w:tc>
        <w:tc>
          <w:tcPr>
            <w:tcW w:w="1831" w:type="dxa"/>
            <w:hideMark/>
          </w:tcPr>
          <w:p w14:paraId="6CB25C14" w14:textId="77777777" w:rsidR="00A951DB" w:rsidRPr="00765204" w:rsidRDefault="00A951DB">
            <w:pPr>
              <w:rPr>
                <w:rFonts w:ascii="Palatino Linotype" w:hAnsi="Palatino Linotype"/>
              </w:rPr>
            </w:pPr>
            <w:r w:rsidRPr="00765204">
              <w:rPr>
                <w:rFonts w:ascii="Palatino Linotype" w:hAnsi="Palatino Linotype"/>
              </w:rPr>
              <w:t>Will continue re-evaluate process/features and make required changes as Phase 2 evolves.</w:t>
            </w:r>
          </w:p>
        </w:tc>
        <w:tc>
          <w:tcPr>
            <w:tcW w:w="1573" w:type="dxa"/>
          </w:tcPr>
          <w:p w14:paraId="6CB25C15" w14:textId="77777777" w:rsidR="00A951DB" w:rsidRPr="00765204" w:rsidRDefault="00A951DB">
            <w:pPr>
              <w:rPr>
                <w:rFonts w:ascii="Palatino Linotype" w:hAnsi="Palatino Linotype"/>
              </w:rPr>
            </w:pPr>
            <w:r w:rsidRPr="00765204">
              <w:rPr>
                <w:rFonts w:ascii="Palatino Linotype" w:hAnsi="Palatino Linotype"/>
              </w:rPr>
              <w:t>Yes</w:t>
            </w:r>
          </w:p>
        </w:tc>
        <w:tc>
          <w:tcPr>
            <w:tcW w:w="1300" w:type="dxa"/>
            <w:hideMark/>
          </w:tcPr>
          <w:p w14:paraId="6CB25C16" w14:textId="77777777" w:rsidR="00A951DB" w:rsidRPr="00765204" w:rsidRDefault="00A951DB">
            <w:pPr>
              <w:rPr>
                <w:rFonts w:ascii="Palatino Linotype" w:hAnsi="Palatino Linotype"/>
              </w:rPr>
            </w:pPr>
            <w:r w:rsidRPr="00765204">
              <w:rPr>
                <w:rFonts w:ascii="Palatino Linotype" w:hAnsi="Palatino Linotype"/>
              </w:rPr>
              <w:t>Medium</w:t>
            </w:r>
          </w:p>
        </w:tc>
      </w:tr>
      <w:tr w:rsidR="00A951DB" w:rsidRPr="005B485E" w14:paraId="6CB25C1E" w14:textId="77777777" w:rsidTr="00CE1254">
        <w:trPr>
          <w:trHeight w:val="1575"/>
        </w:trPr>
        <w:tc>
          <w:tcPr>
            <w:tcW w:w="1504" w:type="dxa"/>
            <w:hideMark/>
          </w:tcPr>
          <w:p w14:paraId="6CB25C18" w14:textId="77777777" w:rsidR="00A951DB" w:rsidRPr="00765204" w:rsidRDefault="00A951DB">
            <w:pPr>
              <w:rPr>
                <w:rFonts w:ascii="Palatino Linotype" w:hAnsi="Palatino Linotype"/>
              </w:rPr>
            </w:pPr>
            <w:r w:rsidRPr="00765204">
              <w:rPr>
                <w:rFonts w:ascii="Palatino Linotype" w:hAnsi="Palatino Linotype"/>
              </w:rPr>
              <w:t>R032</w:t>
            </w:r>
          </w:p>
        </w:tc>
        <w:tc>
          <w:tcPr>
            <w:tcW w:w="2361" w:type="dxa"/>
            <w:hideMark/>
          </w:tcPr>
          <w:p w14:paraId="6CB25C19" w14:textId="77777777" w:rsidR="00A951DB" w:rsidRPr="00765204" w:rsidRDefault="00A951DB" w:rsidP="00411038">
            <w:pPr>
              <w:rPr>
                <w:rFonts w:ascii="Palatino Linotype" w:hAnsi="Palatino Linotype"/>
              </w:rPr>
            </w:pPr>
            <w:r w:rsidRPr="00765204">
              <w:rPr>
                <w:rFonts w:ascii="Palatino Linotype" w:hAnsi="Palatino Linotype"/>
              </w:rPr>
              <w:t xml:space="preserve">Government policy development/changes may result in significant political risk to the viability of the auction </w:t>
            </w:r>
            <w:r w:rsidRPr="00765204">
              <w:rPr>
                <w:rFonts w:ascii="Palatino Linotype" w:hAnsi="Palatino Linotype"/>
              </w:rPr>
              <w:lastRenderedPageBreak/>
              <w:t>and reduce risk appetite of investors in Ontario</w:t>
            </w:r>
          </w:p>
        </w:tc>
        <w:tc>
          <w:tcPr>
            <w:tcW w:w="904" w:type="dxa"/>
            <w:hideMark/>
          </w:tcPr>
          <w:p w14:paraId="6CB25C1A" w14:textId="77777777" w:rsidR="00A951DB" w:rsidRPr="00765204" w:rsidRDefault="00A951DB">
            <w:pPr>
              <w:rPr>
                <w:rFonts w:ascii="Palatino Linotype" w:hAnsi="Palatino Linotype"/>
              </w:rPr>
            </w:pPr>
            <w:r w:rsidRPr="00765204">
              <w:rPr>
                <w:rFonts w:ascii="Palatino Linotype" w:hAnsi="Palatino Linotype"/>
              </w:rPr>
              <w:lastRenderedPageBreak/>
              <w:t>High</w:t>
            </w:r>
          </w:p>
        </w:tc>
        <w:tc>
          <w:tcPr>
            <w:tcW w:w="1831" w:type="dxa"/>
            <w:hideMark/>
          </w:tcPr>
          <w:p w14:paraId="6CB25C1B" w14:textId="77777777" w:rsidR="00A951DB" w:rsidRPr="00765204" w:rsidRDefault="00A951DB">
            <w:pPr>
              <w:rPr>
                <w:rFonts w:ascii="Palatino Linotype" w:hAnsi="Palatino Linotype"/>
              </w:rPr>
            </w:pPr>
            <w:r w:rsidRPr="00765204">
              <w:rPr>
                <w:rFonts w:ascii="Palatino Linotype" w:hAnsi="Palatino Linotype"/>
              </w:rPr>
              <w:t xml:space="preserve">Proactive government strategy needed; narrative and quantitative </w:t>
            </w:r>
            <w:r w:rsidRPr="00765204">
              <w:rPr>
                <w:rFonts w:ascii="Palatino Linotype" w:hAnsi="Palatino Linotype"/>
              </w:rPr>
              <w:lastRenderedPageBreak/>
              <w:t>analyses needed to support that IESO’s approach will deliver lowest cost outcome</w:t>
            </w:r>
          </w:p>
        </w:tc>
        <w:tc>
          <w:tcPr>
            <w:tcW w:w="1573" w:type="dxa"/>
          </w:tcPr>
          <w:p w14:paraId="6CB25C1C" w14:textId="77777777" w:rsidR="00A951DB" w:rsidRPr="00765204" w:rsidRDefault="00A951DB">
            <w:pPr>
              <w:rPr>
                <w:rFonts w:ascii="Palatino Linotype" w:hAnsi="Palatino Linotype"/>
              </w:rPr>
            </w:pPr>
            <w:r w:rsidRPr="00765204">
              <w:rPr>
                <w:rFonts w:ascii="Palatino Linotype" w:hAnsi="Palatino Linotype"/>
              </w:rPr>
              <w:lastRenderedPageBreak/>
              <w:t>Yes</w:t>
            </w:r>
          </w:p>
        </w:tc>
        <w:tc>
          <w:tcPr>
            <w:tcW w:w="1300" w:type="dxa"/>
            <w:hideMark/>
          </w:tcPr>
          <w:p w14:paraId="6CB25C1D" w14:textId="77777777" w:rsidR="00A951DB" w:rsidRPr="00765204" w:rsidRDefault="00A951DB">
            <w:pPr>
              <w:rPr>
                <w:rFonts w:ascii="Palatino Linotype" w:hAnsi="Palatino Linotype"/>
              </w:rPr>
            </w:pPr>
            <w:r w:rsidRPr="00765204">
              <w:rPr>
                <w:rFonts w:ascii="Palatino Linotype" w:hAnsi="Palatino Linotype"/>
              </w:rPr>
              <w:t>Medium</w:t>
            </w:r>
          </w:p>
        </w:tc>
      </w:tr>
      <w:tr w:rsidR="00A951DB" w:rsidRPr="005B485E" w14:paraId="6CB25C25" w14:textId="77777777" w:rsidTr="00CE1254">
        <w:trPr>
          <w:trHeight w:val="1050"/>
        </w:trPr>
        <w:tc>
          <w:tcPr>
            <w:tcW w:w="1504" w:type="dxa"/>
            <w:hideMark/>
          </w:tcPr>
          <w:p w14:paraId="6CB25C1F" w14:textId="77777777" w:rsidR="00A951DB" w:rsidRPr="00765204" w:rsidRDefault="00A951DB">
            <w:pPr>
              <w:rPr>
                <w:rFonts w:ascii="Palatino Linotype" w:hAnsi="Palatino Linotype"/>
              </w:rPr>
            </w:pPr>
            <w:r w:rsidRPr="00765204">
              <w:rPr>
                <w:rFonts w:ascii="Palatino Linotype" w:hAnsi="Palatino Linotype"/>
              </w:rPr>
              <w:lastRenderedPageBreak/>
              <w:t>R033</w:t>
            </w:r>
          </w:p>
        </w:tc>
        <w:tc>
          <w:tcPr>
            <w:tcW w:w="2361" w:type="dxa"/>
            <w:hideMark/>
          </w:tcPr>
          <w:p w14:paraId="6CB25C20" w14:textId="36EE41E8" w:rsidR="00A951DB" w:rsidRPr="00765204" w:rsidRDefault="00A951DB" w:rsidP="00BE1519">
            <w:pPr>
              <w:rPr>
                <w:rFonts w:ascii="Palatino Linotype" w:hAnsi="Palatino Linotype"/>
              </w:rPr>
            </w:pPr>
            <w:r w:rsidRPr="00765204">
              <w:rPr>
                <w:rFonts w:ascii="Palatino Linotype" w:hAnsi="Palatino Linotype"/>
              </w:rPr>
              <w:t>Timing between auction and MRP Energy coming into service may result in risks to participants. This is related to the revenue uncertainty due to the changeover from the current market to the renewed energy market.</w:t>
            </w:r>
          </w:p>
        </w:tc>
        <w:tc>
          <w:tcPr>
            <w:tcW w:w="904" w:type="dxa"/>
            <w:hideMark/>
          </w:tcPr>
          <w:p w14:paraId="6CB25C21" w14:textId="77777777" w:rsidR="00A951DB" w:rsidRPr="00765204" w:rsidRDefault="00A951DB">
            <w:pPr>
              <w:rPr>
                <w:rFonts w:ascii="Palatino Linotype" w:hAnsi="Palatino Linotype"/>
              </w:rPr>
            </w:pPr>
            <w:r w:rsidRPr="00765204">
              <w:rPr>
                <w:rFonts w:ascii="Palatino Linotype" w:hAnsi="Palatino Linotype"/>
              </w:rPr>
              <w:t>High</w:t>
            </w:r>
          </w:p>
        </w:tc>
        <w:tc>
          <w:tcPr>
            <w:tcW w:w="1831" w:type="dxa"/>
            <w:hideMark/>
          </w:tcPr>
          <w:p w14:paraId="6CB25C22" w14:textId="00C7B54F" w:rsidR="00A951DB" w:rsidRPr="00765204" w:rsidRDefault="00A951DB">
            <w:pPr>
              <w:rPr>
                <w:rFonts w:ascii="Palatino Linotype" w:hAnsi="Palatino Linotype"/>
              </w:rPr>
            </w:pPr>
            <w:r w:rsidRPr="00765204">
              <w:rPr>
                <w:rFonts w:ascii="Palatino Linotype" w:hAnsi="Palatino Linotype"/>
              </w:rPr>
              <w:t>Cannot be mitigated and accept risk.  TCA to continue working with MRP</w:t>
            </w:r>
            <w:r>
              <w:rPr>
                <w:rFonts w:ascii="Palatino Linotype" w:hAnsi="Palatino Linotype"/>
              </w:rPr>
              <w:t xml:space="preserve"> team</w:t>
            </w:r>
            <w:r w:rsidRPr="00765204">
              <w:rPr>
                <w:rFonts w:ascii="Palatino Linotype" w:hAnsi="Palatino Linotype"/>
              </w:rPr>
              <w:t>.</w:t>
            </w:r>
          </w:p>
        </w:tc>
        <w:tc>
          <w:tcPr>
            <w:tcW w:w="1573" w:type="dxa"/>
          </w:tcPr>
          <w:p w14:paraId="6CB25C23" w14:textId="77777777" w:rsidR="00A951DB" w:rsidRPr="00765204" w:rsidRDefault="00A951DB">
            <w:pPr>
              <w:rPr>
                <w:rFonts w:ascii="Palatino Linotype" w:hAnsi="Palatino Linotype"/>
              </w:rPr>
            </w:pPr>
            <w:r w:rsidRPr="00765204">
              <w:rPr>
                <w:rFonts w:ascii="Palatino Linotype" w:hAnsi="Palatino Linotype"/>
              </w:rPr>
              <w:t>No</w:t>
            </w:r>
          </w:p>
        </w:tc>
        <w:tc>
          <w:tcPr>
            <w:tcW w:w="1300" w:type="dxa"/>
            <w:hideMark/>
          </w:tcPr>
          <w:p w14:paraId="6CB25C24" w14:textId="77777777" w:rsidR="00A951DB" w:rsidRPr="00765204" w:rsidRDefault="00A951DB">
            <w:pPr>
              <w:rPr>
                <w:rFonts w:ascii="Palatino Linotype" w:hAnsi="Palatino Linotype"/>
              </w:rPr>
            </w:pPr>
            <w:r w:rsidRPr="00765204">
              <w:rPr>
                <w:rFonts w:ascii="Palatino Linotype" w:hAnsi="Palatino Linotype"/>
              </w:rPr>
              <w:t>High</w:t>
            </w:r>
          </w:p>
        </w:tc>
      </w:tr>
      <w:tr w:rsidR="00A951DB" w:rsidRPr="005B485E" w14:paraId="6CB25C2C" w14:textId="77777777" w:rsidTr="00CE1254">
        <w:trPr>
          <w:trHeight w:val="2625"/>
        </w:trPr>
        <w:tc>
          <w:tcPr>
            <w:tcW w:w="1504" w:type="dxa"/>
            <w:hideMark/>
          </w:tcPr>
          <w:p w14:paraId="6CB25C26" w14:textId="77777777" w:rsidR="00A951DB" w:rsidRPr="00765204" w:rsidRDefault="00A951DB">
            <w:pPr>
              <w:rPr>
                <w:rFonts w:ascii="Palatino Linotype" w:hAnsi="Palatino Linotype"/>
              </w:rPr>
            </w:pPr>
            <w:r w:rsidRPr="00765204">
              <w:rPr>
                <w:rFonts w:ascii="Palatino Linotype" w:hAnsi="Palatino Linotype"/>
              </w:rPr>
              <w:t>R034</w:t>
            </w:r>
          </w:p>
        </w:tc>
        <w:tc>
          <w:tcPr>
            <w:tcW w:w="2361" w:type="dxa"/>
            <w:hideMark/>
          </w:tcPr>
          <w:p w14:paraId="6CB25C27" w14:textId="6D632F94" w:rsidR="00A951DB" w:rsidRPr="00765204" w:rsidRDefault="00A951DB">
            <w:pPr>
              <w:rPr>
                <w:rFonts w:ascii="Palatino Linotype" w:hAnsi="Palatino Linotype"/>
              </w:rPr>
            </w:pPr>
            <w:r w:rsidRPr="00765204">
              <w:rPr>
                <w:rFonts w:ascii="Palatino Linotype" w:hAnsi="Palatino Linotype"/>
              </w:rPr>
              <w:t xml:space="preserve">Phased in approach will mean changing framework and rules, reducing certainty.  This adds risks to Market Participants as they are uncertain when or how they can optimally participate in TCA and thus the auction may not provide the appropriate business environment to enable and expand auction participation. </w:t>
            </w:r>
          </w:p>
        </w:tc>
        <w:tc>
          <w:tcPr>
            <w:tcW w:w="904" w:type="dxa"/>
            <w:hideMark/>
          </w:tcPr>
          <w:p w14:paraId="6CB25C28" w14:textId="77777777" w:rsidR="00A951DB" w:rsidRPr="00765204" w:rsidRDefault="00A951DB">
            <w:pPr>
              <w:rPr>
                <w:rFonts w:ascii="Palatino Linotype" w:hAnsi="Palatino Linotype"/>
              </w:rPr>
            </w:pPr>
            <w:r w:rsidRPr="00765204">
              <w:rPr>
                <w:rFonts w:ascii="Palatino Linotype" w:hAnsi="Palatino Linotype"/>
              </w:rPr>
              <w:t>High</w:t>
            </w:r>
          </w:p>
        </w:tc>
        <w:tc>
          <w:tcPr>
            <w:tcW w:w="1831" w:type="dxa"/>
            <w:hideMark/>
          </w:tcPr>
          <w:p w14:paraId="6CB25C29" w14:textId="77777777" w:rsidR="00A951DB" w:rsidRPr="00765204" w:rsidRDefault="00A951DB">
            <w:pPr>
              <w:rPr>
                <w:rFonts w:ascii="Palatino Linotype" w:hAnsi="Palatino Linotype"/>
              </w:rPr>
            </w:pPr>
            <w:r w:rsidRPr="00765204">
              <w:rPr>
                <w:rFonts w:ascii="Palatino Linotype" w:hAnsi="Palatino Linotype"/>
              </w:rPr>
              <w:t>ICA HLD will provide the vision and direction for comprehensive auction.</w:t>
            </w:r>
            <w:r w:rsidRPr="00765204">
              <w:rPr>
                <w:rFonts w:ascii="Palatino Linotype" w:hAnsi="Palatino Linotype"/>
              </w:rPr>
              <w:br/>
              <w:t>Ensure lessons learned are outlined and discussed transparently and built into the processes; need clear work plan for the next few years to give clarity and confidence through the transition</w:t>
            </w:r>
          </w:p>
        </w:tc>
        <w:tc>
          <w:tcPr>
            <w:tcW w:w="1573" w:type="dxa"/>
          </w:tcPr>
          <w:p w14:paraId="6CB25C2A" w14:textId="77777777" w:rsidR="00A951DB" w:rsidRPr="00765204" w:rsidRDefault="00A951DB">
            <w:pPr>
              <w:rPr>
                <w:rFonts w:ascii="Palatino Linotype" w:hAnsi="Palatino Linotype"/>
              </w:rPr>
            </w:pPr>
            <w:r w:rsidRPr="00765204">
              <w:rPr>
                <w:rFonts w:ascii="Palatino Linotype" w:hAnsi="Palatino Linotype"/>
              </w:rPr>
              <w:t>Yes</w:t>
            </w:r>
          </w:p>
        </w:tc>
        <w:tc>
          <w:tcPr>
            <w:tcW w:w="1300" w:type="dxa"/>
            <w:hideMark/>
          </w:tcPr>
          <w:p w14:paraId="6CB25C2B" w14:textId="77777777" w:rsidR="00A951DB" w:rsidRPr="00765204" w:rsidRDefault="00A951DB">
            <w:pPr>
              <w:rPr>
                <w:rFonts w:ascii="Palatino Linotype" w:hAnsi="Palatino Linotype"/>
              </w:rPr>
            </w:pPr>
            <w:r w:rsidRPr="00765204">
              <w:rPr>
                <w:rFonts w:ascii="Palatino Linotype" w:hAnsi="Palatino Linotype"/>
              </w:rPr>
              <w:t>Medium</w:t>
            </w:r>
          </w:p>
        </w:tc>
      </w:tr>
      <w:tr w:rsidR="00A951DB" w:rsidRPr="005B485E" w14:paraId="6CB25C33" w14:textId="77777777" w:rsidTr="00CE1254">
        <w:trPr>
          <w:trHeight w:val="1050"/>
        </w:trPr>
        <w:tc>
          <w:tcPr>
            <w:tcW w:w="1504" w:type="dxa"/>
            <w:hideMark/>
          </w:tcPr>
          <w:p w14:paraId="6CB25C2D" w14:textId="77777777" w:rsidR="00A951DB" w:rsidRPr="00765204" w:rsidRDefault="00A951DB">
            <w:pPr>
              <w:rPr>
                <w:rFonts w:ascii="Palatino Linotype" w:hAnsi="Palatino Linotype"/>
              </w:rPr>
            </w:pPr>
            <w:r w:rsidRPr="00765204">
              <w:rPr>
                <w:rFonts w:ascii="Palatino Linotype" w:hAnsi="Palatino Linotype"/>
              </w:rPr>
              <w:lastRenderedPageBreak/>
              <w:t>R035</w:t>
            </w:r>
          </w:p>
        </w:tc>
        <w:tc>
          <w:tcPr>
            <w:tcW w:w="2361" w:type="dxa"/>
            <w:hideMark/>
          </w:tcPr>
          <w:p w14:paraId="6CB25C2E" w14:textId="77777777" w:rsidR="00A951DB" w:rsidRPr="00765204" w:rsidRDefault="00A951DB">
            <w:pPr>
              <w:rPr>
                <w:rFonts w:ascii="Palatino Linotype" w:hAnsi="Palatino Linotype"/>
              </w:rPr>
            </w:pPr>
            <w:r w:rsidRPr="00765204">
              <w:rPr>
                <w:rFonts w:ascii="Palatino Linotype" w:hAnsi="Palatino Linotype"/>
              </w:rPr>
              <w:t>Transitional approach may not yield sufficient revenues for existing assets, resulting in shutdowns, and reducing future liquidity</w:t>
            </w:r>
          </w:p>
        </w:tc>
        <w:tc>
          <w:tcPr>
            <w:tcW w:w="904" w:type="dxa"/>
            <w:hideMark/>
          </w:tcPr>
          <w:p w14:paraId="6CB25C2F" w14:textId="77777777" w:rsidR="00A951DB" w:rsidRPr="00765204" w:rsidRDefault="00A951DB">
            <w:pPr>
              <w:rPr>
                <w:rFonts w:ascii="Palatino Linotype" w:hAnsi="Palatino Linotype"/>
              </w:rPr>
            </w:pPr>
            <w:r w:rsidRPr="00765204">
              <w:rPr>
                <w:rFonts w:ascii="Palatino Linotype" w:hAnsi="Palatino Linotype"/>
              </w:rPr>
              <w:t>High</w:t>
            </w:r>
          </w:p>
        </w:tc>
        <w:tc>
          <w:tcPr>
            <w:tcW w:w="1831" w:type="dxa"/>
            <w:hideMark/>
          </w:tcPr>
          <w:p w14:paraId="6CB25C30" w14:textId="77777777" w:rsidR="00A951DB" w:rsidRPr="00765204" w:rsidRDefault="00A951DB">
            <w:pPr>
              <w:rPr>
                <w:rFonts w:ascii="Palatino Linotype" w:hAnsi="Palatino Linotype"/>
              </w:rPr>
            </w:pPr>
            <w:r w:rsidRPr="00765204">
              <w:rPr>
                <w:rFonts w:ascii="Palatino Linotype" w:hAnsi="Palatino Linotype"/>
              </w:rPr>
              <w:t> Accept risk.  Will continue to work with demand curve parameters.</w:t>
            </w:r>
          </w:p>
        </w:tc>
        <w:tc>
          <w:tcPr>
            <w:tcW w:w="1573" w:type="dxa"/>
          </w:tcPr>
          <w:p w14:paraId="6CB25C31" w14:textId="77777777" w:rsidR="00A951DB" w:rsidRPr="00765204" w:rsidRDefault="00A951DB">
            <w:pPr>
              <w:rPr>
                <w:rFonts w:ascii="Palatino Linotype" w:hAnsi="Palatino Linotype"/>
              </w:rPr>
            </w:pPr>
            <w:r w:rsidRPr="00765204">
              <w:rPr>
                <w:rFonts w:ascii="Palatino Linotype" w:hAnsi="Palatino Linotype"/>
              </w:rPr>
              <w:t>No (Accept Risk).</w:t>
            </w:r>
          </w:p>
        </w:tc>
        <w:tc>
          <w:tcPr>
            <w:tcW w:w="1300" w:type="dxa"/>
            <w:hideMark/>
          </w:tcPr>
          <w:p w14:paraId="6CB25C32" w14:textId="77777777" w:rsidR="00A951DB" w:rsidRPr="00765204" w:rsidRDefault="00A951DB">
            <w:pPr>
              <w:rPr>
                <w:rFonts w:ascii="Palatino Linotype" w:hAnsi="Palatino Linotype"/>
              </w:rPr>
            </w:pPr>
            <w:r w:rsidRPr="00765204">
              <w:rPr>
                <w:rFonts w:ascii="Palatino Linotype" w:hAnsi="Palatino Linotype"/>
              </w:rPr>
              <w:t>High</w:t>
            </w:r>
          </w:p>
        </w:tc>
      </w:tr>
      <w:tr w:rsidR="00A951DB" w:rsidRPr="005B485E" w14:paraId="6CB25C41" w14:textId="77777777" w:rsidTr="00CE1254">
        <w:trPr>
          <w:trHeight w:val="525"/>
        </w:trPr>
        <w:tc>
          <w:tcPr>
            <w:tcW w:w="1504" w:type="dxa"/>
          </w:tcPr>
          <w:p w14:paraId="6CB25C3B" w14:textId="77777777" w:rsidR="00A951DB" w:rsidRPr="00765204" w:rsidRDefault="00A951DB">
            <w:pPr>
              <w:rPr>
                <w:rFonts w:ascii="Palatino Linotype" w:hAnsi="Palatino Linotype"/>
              </w:rPr>
            </w:pPr>
            <w:r w:rsidRPr="00765204">
              <w:rPr>
                <w:rFonts w:ascii="Palatino Linotype" w:hAnsi="Palatino Linotype"/>
              </w:rPr>
              <w:t>R037</w:t>
            </w:r>
          </w:p>
        </w:tc>
        <w:tc>
          <w:tcPr>
            <w:tcW w:w="2361" w:type="dxa"/>
          </w:tcPr>
          <w:p w14:paraId="6CB25C3C" w14:textId="77777777" w:rsidR="00A951DB" w:rsidRPr="00765204" w:rsidRDefault="00A951DB" w:rsidP="000C0A05">
            <w:pPr>
              <w:rPr>
                <w:rFonts w:ascii="Palatino Linotype" w:hAnsi="Palatino Linotype"/>
              </w:rPr>
            </w:pPr>
            <w:r w:rsidRPr="00765204">
              <w:rPr>
                <w:rFonts w:ascii="Palatino Linotype" w:hAnsi="Palatino Linotype"/>
              </w:rPr>
              <w:t>TCA is unable to meet objectives, eroding ICA support.</w:t>
            </w:r>
          </w:p>
        </w:tc>
        <w:tc>
          <w:tcPr>
            <w:tcW w:w="904" w:type="dxa"/>
          </w:tcPr>
          <w:p w14:paraId="6CB25C3D" w14:textId="77777777" w:rsidR="00A951DB" w:rsidRPr="00765204" w:rsidRDefault="00A951DB">
            <w:pPr>
              <w:rPr>
                <w:rFonts w:ascii="Palatino Linotype" w:hAnsi="Palatino Linotype"/>
              </w:rPr>
            </w:pPr>
            <w:r w:rsidRPr="00765204">
              <w:rPr>
                <w:rFonts w:ascii="Palatino Linotype" w:hAnsi="Palatino Linotype"/>
              </w:rPr>
              <w:t>High</w:t>
            </w:r>
          </w:p>
        </w:tc>
        <w:tc>
          <w:tcPr>
            <w:tcW w:w="1831" w:type="dxa"/>
          </w:tcPr>
          <w:p w14:paraId="6CB25C3E" w14:textId="77777777" w:rsidR="00A951DB" w:rsidRPr="00765204" w:rsidRDefault="00A951DB">
            <w:pPr>
              <w:rPr>
                <w:rFonts w:ascii="Palatino Linotype" w:hAnsi="Palatino Linotype"/>
              </w:rPr>
            </w:pPr>
            <w:r w:rsidRPr="00765204">
              <w:rPr>
                <w:rFonts w:ascii="Palatino Linotype" w:hAnsi="Palatino Linotype"/>
              </w:rPr>
              <w:t>See all documented risks and mitigation tasks.</w:t>
            </w:r>
          </w:p>
        </w:tc>
        <w:tc>
          <w:tcPr>
            <w:tcW w:w="1573" w:type="dxa"/>
          </w:tcPr>
          <w:p w14:paraId="6CB25C3F" w14:textId="77777777" w:rsidR="00A951DB" w:rsidRPr="00765204" w:rsidRDefault="00A951DB">
            <w:pPr>
              <w:rPr>
                <w:rFonts w:ascii="Palatino Linotype" w:hAnsi="Palatino Linotype"/>
              </w:rPr>
            </w:pPr>
            <w:r w:rsidRPr="00765204">
              <w:rPr>
                <w:rFonts w:ascii="Palatino Linotype" w:hAnsi="Palatino Linotype"/>
              </w:rPr>
              <w:t>Yes</w:t>
            </w:r>
          </w:p>
        </w:tc>
        <w:tc>
          <w:tcPr>
            <w:tcW w:w="1300" w:type="dxa"/>
          </w:tcPr>
          <w:p w14:paraId="6CB25C40" w14:textId="77777777" w:rsidR="00A951DB" w:rsidRPr="00765204" w:rsidRDefault="00A951DB">
            <w:pPr>
              <w:rPr>
                <w:rFonts w:ascii="Palatino Linotype" w:hAnsi="Palatino Linotype"/>
              </w:rPr>
            </w:pPr>
            <w:r w:rsidRPr="00765204">
              <w:rPr>
                <w:rFonts w:ascii="Palatino Linotype" w:hAnsi="Palatino Linotype"/>
              </w:rPr>
              <w:t>Medium</w:t>
            </w:r>
          </w:p>
        </w:tc>
      </w:tr>
    </w:tbl>
    <w:p w14:paraId="6CB25C42" w14:textId="77777777" w:rsidR="003C1D07" w:rsidRDefault="003C1D07" w:rsidP="003C1D07"/>
    <w:p w14:paraId="6CB25C43" w14:textId="77777777" w:rsidR="003C1D07" w:rsidRPr="003C1D07" w:rsidRDefault="003C1D07" w:rsidP="003C1D07"/>
    <w:p w14:paraId="6CB25C44" w14:textId="77777777" w:rsidR="002D391D" w:rsidRDefault="002D391D" w:rsidP="002D391D">
      <w:pPr>
        <w:pStyle w:val="Heading1"/>
      </w:pPr>
      <w:r>
        <w:t>Change Controls</w:t>
      </w:r>
    </w:p>
    <w:p w14:paraId="6CB25C45" w14:textId="77777777" w:rsidR="00DF6215" w:rsidRPr="002D391D" w:rsidRDefault="00DF6215" w:rsidP="00DF6215">
      <w:r w:rsidRPr="00DF6215">
        <w:rPr>
          <w:rFonts w:ascii="Palatino Linotype" w:hAnsi="Palatino Linotype"/>
          <w:sz w:val="22"/>
          <w:szCs w:val="22"/>
        </w:rPr>
        <w:t xml:space="preserve">Changes in the project that will impact/exceed tolerance levels for objectives, time and cost will be managed through the formal Project Change Management Process resulting in </w:t>
      </w:r>
      <w:r w:rsidR="00E2741F">
        <w:rPr>
          <w:rFonts w:ascii="Palatino Linotype" w:hAnsi="Palatino Linotype"/>
          <w:sz w:val="22"/>
          <w:szCs w:val="22"/>
        </w:rPr>
        <w:t>a</w:t>
      </w:r>
      <w:r w:rsidR="00E2741F" w:rsidRPr="00DF6215">
        <w:rPr>
          <w:rFonts w:ascii="Palatino Linotype" w:hAnsi="Palatino Linotype"/>
          <w:sz w:val="22"/>
          <w:szCs w:val="22"/>
        </w:rPr>
        <w:t xml:space="preserve"> </w:t>
      </w:r>
      <w:r w:rsidRPr="00DF6215">
        <w:rPr>
          <w:rFonts w:ascii="Palatino Linotype" w:hAnsi="Palatino Linotype"/>
          <w:sz w:val="22"/>
          <w:szCs w:val="22"/>
        </w:rPr>
        <w:t xml:space="preserve">Project Exception Report. The Project Exception </w:t>
      </w:r>
      <w:r w:rsidR="00AF315C" w:rsidRPr="00DF6215">
        <w:rPr>
          <w:rFonts w:ascii="Palatino Linotype" w:hAnsi="Palatino Linotype"/>
          <w:sz w:val="22"/>
          <w:szCs w:val="22"/>
        </w:rPr>
        <w:t>Report</w:t>
      </w:r>
      <w:r w:rsidR="00AF315C">
        <w:rPr>
          <w:rFonts w:ascii="Palatino Linotype" w:hAnsi="Palatino Linotype"/>
          <w:sz w:val="22"/>
          <w:szCs w:val="22"/>
        </w:rPr>
        <w:t>,</w:t>
      </w:r>
      <w:r w:rsidR="00AF315C" w:rsidRPr="00DF6215">
        <w:rPr>
          <w:rFonts w:ascii="Palatino Linotype" w:hAnsi="Palatino Linotype"/>
          <w:sz w:val="22"/>
          <w:szCs w:val="22"/>
        </w:rPr>
        <w:t xml:space="preserve"> if</w:t>
      </w:r>
      <w:r w:rsidRPr="00DF6215">
        <w:rPr>
          <w:rFonts w:ascii="Palatino Linotype" w:hAnsi="Palatino Linotype"/>
          <w:sz w:val="22"/>
          <w:szCs w:val="22"/>
        </w:rPr>
        <w:t xml:space="preserve"> approved</w:t>
      </w:r>
      <w:r w:rsidR="00E2741F">
        <w:rPr>
          <w:rFonts w:ascii="Palatino Linotype" w:hAnsi="Palatino Linotype"/>
          <w:sz w:val="22"/>
          <w:szCs w:val="22"/>
        </w:rPr>
        <w:t>,</w:t>
      </w:r>
      <w:r w:rsidR="00E2741F" w:rsidRPr="00DF6215">
        <w:rPr>
          <w:rFonts w:ascii="Palatino Linotype" w:hAnsi="Palatino Linotype"/>
          <w:sz w:val="22"/>
          <w:szCs w:val="22"/>
        </w:rPr>
        <w:t xml:space="preserve"> </w:t>
      </w:r>
      <w:r w:rsidRPr="00DF6215">
        <w:rPr>
          <w:rFonts w:ascii="Palatino Linotype" w:hAnsi="Palatino Linotype"/>
          <w:sz w:val="22"/>
          <w:szCs w:val="22"/>
        </w:rPr>
        <w:t>will result in the re-baselining of the project. Refer to the Project Exception Report for reference and additional details.</w:t>
      </w:r>
    </w:p>
    <w:p w14:paraId="6CB25C46" w14:textId="77777777" w:rsidR="009C6E4B" w:rsidRDefault="009C6E4B">
      <w:pPr>
        <w:spacing w:before="0"/>
      </w:pPr>
      <w:r>
        <w:br w:type="page"/>
      </w:r>
    </w:p>
    <w:p w14:paraId="6CB25C47" w14:textId="77777777" w:rsidR="008F4A6E" w:rsidRDefault="008F4A6E" w:rsidP="008F4A6E">
      <w:pPr>
        <w:pStyle w:val="Heading1"/>
        <w:numPr>
          <w:ilvl w:val="0"/>
          <w:numId w:val="0"/>
        </w:numPr>
        <w:ind w:left="432"/>
      </w:pPr>
      <w:r w:rsidRPr="002A30C1">
        <w:lastRenderedPageBreak/>
        <w:t>Appendix A: NPV Analysis and Cash Flow</w:t>
      </w:r>
      <w:r>
        <w:t xml:space="preserve"> </w:t>
      </w:r>
    </w:p>
    <w:p w14:paraId="6CB25C48" w14:textId="77777777" w:rsidR="008B46E0" w:rsidRDefault="008B46E0" w:rsidP="00FC7441"/>
    <w:p w14:paraId="70232213" w14:textId="112539DA" w:rsidR="0039790E" w:rsidRDefault="00E83F31" w:rsidP="00FC7441">
      <w:pPr>
        <w:rPr>
          <w:noProof/>
          <w:lang w:val="en-CA" w:eastAsia="en-CA"/>
        </w:rPr>
      </w:pPr>
      <w:r w:rsidRPr="00E83F31">
        <w:rPr>
          <w:noProof/>
          <w:lang w:val="en-CA" w:eastAsia="en-CA"/>
        </w:rPr>
        <w:t xml:space="preserve"> </w:t>
      </w:r>
      <w:r w:rsidR="0039790E">
        <w:rPr>
          <w:noProof/>
          <w:lang w:val="en-CA" w:eastAsia="en-CA"/>
        </w:rPr>
        <w:drawing>
          <wp:inline distT="0" distB="0" distL="0" distR="0" wp14:anchorId="5CC7E189" wp14:editId="233E5E45">
            <wp:extent cx="5943600" cy="49790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4979035"/>
                    </a:xfrm>
                    <a:prstGeom prst="rect">
                      <a:avLst/>
                    </a:prstGeom>
                  </pic:spPr>
                </pic:pic>
              </a:graphicData>
            </a:graphic>
          </wp:inline>
        </w:drawing>
      </w:r>
    </w:p>
    <w:p w14:paraId="6CB25C49" w14:textId="23CC8394" w:rsidR="00297206" w:rsidRDefault="0039790E" w:rsidP="00FC7441">
      <w:pPr>
        <w:rPr>
          <w:noProof/>
          <w:lang w:val="en-CA" w:eastAsia="en-CA"/>
        </w:rPr>
      </w:pPr>
      <w:r>
        <w:rPr>
          <w:noProof/>
          <w:lang w:val="en-CA" w:eastAsia="en-CA"/>
        </w:rPr>
        <w:lastRenderedPageBreak/>
        <w:drawing>
          <wp:inline distT="0" distB="0" distL="0" distR="0" wp14:anchorId="77E0814E" wp14:editId="560680B9">
            <wp:extent cx="5943600" cy="4457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4457700"/>
                    </a:xfrm>
                    <a:prstGeom prst="rect">
                      <a:avLst/>
                    </a:prstGeom>
                  </pic:spPr>
                </pic:pic>
              </a:graphicData>
            </a:graphic>
          </wp:inline>
        </w:drawing>
      </w:r>
      <w:r w:rsidR="00297206">
        <w:rPr>
          <w:noProof/>
          <w:lang w:val="en-CA" w:eastAsia="en-CA"/>
        </w:rPr>
        <w:t xml:space="preserve"> </w:t>
      </w:r>
    </w:p>
    <w:p w14:paraId="6CB25C4A" w14:textId="5C29280D" w:rsidR="004A2F4F" w:rsidRDefault="00297206" w:rsidP="00FC7441">
      <w:r>
        <w:rPr>
          <w:noProof/>
          <w:lang w:val="en-CA" w:eastAsia="en-CA"/>
        </w:rPr>
        <w:t xml:space="preserve"> </w:t>
      </w:r>
    </w:p>
    <w:p w14:paraId="6CB25C4B" w14:textId="77777777" w:rsidR="008B46E0" w:rsidRDefault="00AE79DE" w:rsidP="00FC7441">
      <w:r w:rsidRPr="00AE79DE">
        <w:rPr>
          <w:noProof/>
          <w:lang w:val="en-CA" w:eastAsia="en-CA"/>
        </w:rPr>
        <w:t xml:space="preserve"> </w:t>
      </w:r>
    </w:p>
    <w:p w14:paraId="6CB25C4C" w14:textId="77777777" w:rsidR="008F4A6E" w:rsidRPr="002D391D" w:rsidRDefault="008F4A6E" w:rsidP="00FC7441"/>
    <w:p w14:paraId="6CB25C4D" w14:textId="77777777" w:rsidR="0015038D" w:rsidRDefault="0015038D">
      <w:pPr>
        <w:spacing w:before="0"/>
        <w:rPr>
          <w:rFonts w:ascii="Cambria" w:hAnsi="Cambria"/>
          <w:b/>
          <w:sz w:val="28"/>
          <w:szCs w:val="28"/>
        </w:rPr>
      </w:pPr>
      <w:r>
        <w:br w:type="page"/>
      </w:r>
    </w:p>
    <w:p w14:paraId="6CB25C4E" w14:textId="77777777" w:rsidR="009C6E4B" w:rsidRDefault="00933CF7" w:rsidP="0015038D">
      <w:pPr>
        <w:pStyle w:val="Heading1"/>
        <w:numPr>
          <w:ilvl w:val="0"/>
          <w:numId w:val="0"/>
        </w:numPr>
        <w:ind w:left="432"/>
      </w:pPr>
      <w:r>
        <w:lastRenderedPageBreak/>
        <w:t>Appendix B</w:t>
      </w:r>
      <w:r w:rsidR="00BE7067">
        <w:t xml:space="preserve">:  </w:t>
      </w:r>
      <w:r w:rsidR="009C6E4B">
        <w:t xml:space="preserve"> </w:t>
      </w:r>
      <w:r w:rsidR="00BE7067">
        <w:t>Capacity Need</w:t>
      </w:r>
    </w:p>
    <w:p w14:paraId="6CB25C4F" w14:textId="77777777" w:rsidR="009C6E4B" w:rsidRDefault="009C6E4B" w:rsidP="0090325C"/>
    <w:p w14:paraId="6CB25C50" w14:textId="77777777" w:rsidR="009C6E4B" w:rsidRPr="009C6E4B" w:rsidRDefault="008A7576" w:rsidP="0090325C">
      <w:r>
        <w:rPr>
          <w:noProof/>
          <w:lang w:val="en-CA" w:eastAsia="en-CA"/>
        </w:rPr>
        <w:drawing>
          <wp:inline distT="0" distB="0" distL="0" distR="0" wp14:anchorId="6CB25CF7" wp14:editId="6CB25CF8">
            <wp:extent cx="4572635" cy="34296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r w:rsidR="009C6E4B">
        <w:rPr>
          <w:rStyle w:val="FootnoteReference"/>
        </w:rPr>
        <w:footnoteReference w:id="8"/>
      </w:r>
    </w:p>
    <w:p w14:paraId="6CB25C51" w14:textId="77777777" w:rsidR="009C6E4B" w:rsidRDefault="009C6E4B">
      <w:pPr>
        <w:spacing w:before="0"/>
      </w:pPr>
      <w:r>
        <w:br w:type="page"/>
      </w:r>
    </w:p>
    <w:p w14:paraId="6CB25C52" w14:textId="77777777" w:rsidR="00DF6215" w:rsidRPr="002D391D" w:rsidRDefault="008A7576" w:rsidP="006A6B49">
      <w:r>
        <w:rPr>
          <w:noProof/>
          <w:lang w:val="en-CA" w:eastAsia="en-CA"/>
        </w:rPr>
        <w:lastRenderedPageBreak/>
        <w:drawing>
          <wp:inline distT="0" distB="0" distL="0" distR="0" wp14:anchorId="6CB25CF9" wp14:editId="6CB25CFA">
            <wp:extent cx="4572635" cy="34296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r w:rsidR="00BE7067">
        <w:rPr>
          <w:rStyle w:val="FootnoteReference"/>
        </w:rPr>
        <w:footnoteReference w:id="9"/>
      </w:r>
    </w:p>
    <w:p w14:paraId="6CB25C53" w14:textId="77777777" w:rsidR="009B387A" w:rsidRDefault="009B387A">
      <w:pPr>
        <w:spacing w:before="0"/>
        <w:rPr>
          <w:rFonts w:ascii="Cambria" w:hAnsi="Cambria"/>
          <w:b/>
          <w:sz w:val="28"/>
          <w:szCs w:val="28"/>
        </w:rPr>
      </w:pPr>
      <w:r>
        <w:rPr>
          <w:rFonts w:ascii="Cambria" w:hAnsi="Cambria"/>
          <w:b/>
          <w:sz w:val="28"/>
          <w:szCs w:val="28"/>
        </w:rPr>
        <w:br w:type="page"/>
      </w:r>
    </w:p>
    <w:p w14:paraId="6CB25C54" w14:textId="77777777" w:rsidR="009B387A" w:rsidRDefault="009B387A" w:rsidP="009B387A">
      <w:pPr>
        <w:spacing w:before="0"/>
        <w:rPr>
          <w:rFonts w:ascii="Cambria" w:hAnsi="Cambria"/>
          <w:b/>
          <w:sz w:val="28"/>
          <w:szCs w:val="28"/>
        </w:rPr>
      </w:pPr>
      <w:r w:rsidRPr="009B387A">
        <w:rPr>
          <w:rFonts w:ascii="Cambria" w:hAnsi="Cambria"/>
          <w:b/>
          <w:sz w:val="28"/>
          <w:szCs w:val="28"/>
        </w:rPr>
        <w:lastRenderedPageBreak/>
        <w:t>Appendix C:   Benefits</w:t>
      </w:r>
      <w:r>
        <w:t xml:space="preserve"> </w:t>
      </w:r>
    </w:p>
    <w:p w14:paraId="6CB25C55" w14:textId="77777777" w:rsidR="001C0931" w:rsidRDefault="001C0931">
      <w:pPr>
        <w:spacing w:before="0"/>
        <w:rPr>
          <w:rFonts w:ascii="Cambria" w:hAnsi="Cambria"/>
          <w:b/>
          <w:sz w:val="28"/>
          <w:szCs w:val="28"/>
        </w:rPr>
      </w:pPr>
      <w:r>
        <w:rPr>
          <w:rFonts w:ascii="Cambria" w:hAnsi="Cambria"/>
          <w:b/>
          <w:sz w:val="28"/>
          <w:szCs w:val="28"/>
        </w:rPr>
        <w:t xml:space="preserve"> </w:t>
      </w:r>
    </w:p>
    <w:p w14:paraId="6CB25C56" w14:textId="39BF7D2F" w:rsidR="00FC2FFD" w:rsidRDefault="00874566">
      <w:pPr>
        <w:spacing w:before="0"/>
        <w:rPr>
          <w:rFonts w:ascii="Cambria" w:hAnsi="Cambria"/>
          <w:b/>
          <w:sz w:val="28"/>
          <w:szCs w:val="28"/>
        </w:rPr>
      </w:pPr>
      <w:r>
        <w:rPr>
          <w:noProof/>
          <w:lang w:val="en-CA" w:eastAsia="en-CA"/>
        </w:rPr>
        <w:drawing>
          <wp:inline distT="0" distB="0" distL="0" distR="0" wp14:anchorId="7159FCF1" wp14:editId="19CF90D8">
            <wp:extent cx="5943600" cy="20631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2063115"/>
                    </a:xfrm>
                    <a:prstGeom prst="rect">
                      <a:avLst/>
                    </a:prstGeom>
                  </pic:spPr>
                </pic:pic>
              </a:graphicData>
            </a:graphic>
          </wp:inline>
        </w:drawing>
      </w:r>
    </w:p>
    <w:p w14:paraId="6CB25C5A" w14:textId="586A690A" w:rsidR="00607889" w:rsidRDefault="001C0931">
      <w:pPr>
        <w:spacing w:before="0"/>
        <w:rPr>
          <w:rFonts w:ascii="Cambria" w:hAnsi="Cambria"/>
          <w:b/>
          <w:sz w:val="28"/>
          <w:szCs w:val="28"/>
        </w:rPr>
      </w:pPr>
      <w:r>
        <w:rPr>
          <w:rFonts w:ascii="Cambria" w:hAnsi="Cambria"/>
          <w:b/>
          <w:sz w:val="28"/>
          <w:szCs w:val="28"/>
        </w:rPr>
        <w:t xml:space="preserve"> </w:t>
      </w:r>
      <w:r w:rsidR="00874566">
        <w:rPr>
          <w:noProof/>
          <w:lang w:val="en-CA" w:eastAsia="en-CA"/>
        </w:rPr>
        <w:drawing>
          <wp:inline distT="0" distB="0" distL="0" distR="0" wp14:anchorId="4D97AEBD" wp14:editId="687460D6">
            <wp:extent cx="5943600" cy="21596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2159635"/>
                    </a:xfrm>
                    <a:prstGeom prst="rect">
                      <a:avLst/>
                    </a:prstGeom>
                  </pic:spPr>
                </pic:pic>
              </a:graphicData>
            </a:graphic>
          </wp:inline>
        </w:drawing>
      </w:r>
    </w:p>
    <w:p w14:paraId="6CB25C5B" w14:textId="77777777" w:rsidR="008D661B" w:rsidRDefault="008D661B">
      <w:pPr>
        <w:spacing w:before="0"/>
      </w:pPr>
      <w:r w:rsidRPr="008D661B">
        <w:t xml:space="preserve"> </w:t>
      </w:r>
    </w:p>
    <w:p w14:paraId="6CB25C5C" w14:textId="3F972167" w:rsidR="009B387A" w:rsidRDefault="008D661B">
      <w:pPr>
        <w:spacing w:before="0"/>
        <w:rPr>
          <w:rFonts w:ascii="Cambria" w:hAnsi="Cambria"/>
          <w:b/>
          <w:sz w:val="28"/>
          <w:szCs w:val="28"/>
          <w:lang w:eastAsia="en-CA"/>
        </w:rPr>
      </w:pPr>
      <w:r w:rsidRPr="008D661B">
        <w:t xml:space="preserve"> </w:t>
      </w:r>
      <w:r w:rsidR="00874566">
        <w:rPr>
          <w:noProof/>
          <w:lang w:val="en-CA" w:eastAsia="en-CA"/>
        </w:rPr>
        <w:drawing>
          <wp:inline distT="0" distB="0" distL="0" distR="0" wp14:anchorId="23E949A1" wp14:editId="3C7ED113">
            <wp:extent cx="3379622" cy="76944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381147" cy="769788"/>
                    </a:xfrm>
                    <a:prstGeom prst="rect">
                      <a:avLst/>
                    </a:prstGeom>
                  </pic:spPr>
                </pic:pic>
              </a:graphicData>
            </a:graphic>
          </wp:inline>
        </w:drawing>
      </w:r>
      <w:r w:rsidR="009B387A">
        <w:rPr>
          <w:rFonts w:ascii="Cambria" w:hAnsi="Cambria"/>
          <w:b/>
          <w:sz w:val="28"/>
          <w:szCs w:val="28"/>
        </w:rPr>
        <w:br w:type="page"/>
      </w:r>
    </w:p>
    <w:p w14:paraId="6CB25C5D" w14:textId="77777777" w:rsidR="0027288D" w:rsidRDefault="0027288D" w:rsidP="004B3B10">
      <w:pPr>
        <w:pStyle w:val="BodyText"/>
        <w:pageBreakBefore/>
        <w:rPr>
          <w:rFonts w:ascii="Cambria" w:hAnsi="Cambria"/>
          <w:b/>
          <w:sz w:val="28"/>
          <w:szCs w:val="28"/>
        </w:rPr>
      </w:pPr>
      <w:r>
        <w:rPr>
          <w:rFonts w:ascii="Cambria" w:hAnsi="Cambria"/>
          <w:b/>
          <w:sz w:val="28"/>
          <w:szCs w:val="28"/>
        </w:rPr>
        <w:lastRenderedPageBreak/>
        <w:t>Document Control</w:t>
      </w:r>
      <w:r w:rsidR="006C0A89">
        <w:rPr>
          <w:rFonts w:ascii="Cambria" w:hAnsi="Cambria"/>
          <w:b/>
          <w:sz w:val="28"/>
          <w:szCs w:val="28"/>
        </w:rPr>
        <w:t xml:space="preserve"> </w:t>
      </w:r>
    </w:p>
    <w:p w14:paraId="6CB25C5E" w14:textId="77777777" w:rsidR="0027288D" w:rsidRPr="00B76153" w:rsidRDefault="0027288D" w:rsidP="0027288D">
      <w:pPr>
        <w:pStyle w:val="DocumentControlSubHeading"/>
        <w:spacing w:after="120"/>
        <w:rPr>
          <w:rFonts w:ascii="Palatino Linotype" w:hAnsi="Palatino Linotype"/>
        </w:rPr>
      </w:pPr>
      <w:r w:rsidRPr="00B76153">
        <w:rPr>
          <w:rFonts w:ascii="Palatino Linotype" w:hAnsi="Palatino Linotype"/>
        </w:rPr>
        <w:t>Authors: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840"/>
      </w:tblGrid>
      <w:tr w:rsidR="0027288D" w:rsidRPr="00B76153" w14:paraId="6CB25C61" w14:textId="77777777" w:rsidTr="00FF25E2">
        <w:tc>
          <w:tcPr>
            <w:tcW w:w="2520" w:type="dxa"/>
          </w:tcPr>
          <w:p w14:paraId="6CB25C5F" w14:textId="77777777" w:rsidR="0027288D" w:rsidRPr="00B76153" w:rsidRDefault="0027288D" w:rsidP="00FF25E2">
            <w:pPr>
              <w:pStyle w:val="TableHead"/>
            </w:pPr>
            <w:r w:rsidRPr="00B76153">
              <w:t>Prepared By</w:t>
            </w:r>
          </w:p>
        </w:tc>
        <w:tc>
          <w:tcPr>
            <w:tcW w:w="6840" w:type="dxa"/>
          </w:tcPr>
          <w:p w14:paraId="6CB25C60" w14:textId="77777777" w:rsidR="0027288D" w:rsidRPr="00B76153" w:rsidRDefault="0027288D" w:rsidP="00FF25E2">
            <w:pPr>
              <w:pStyle w:val="TableHead"/>
            </w:pPr>
            <w:r w:rsidRPr="00B76153">
              <w:t>Role</w:t>
            </w:r>
          </w:p>
        </w:tc>
      </w:tr>
      <w:tr w:rsidR="0027288D" w:rsidRPr="00B76153" w14:paraId="6CB25C64" w14:textId="77777777" w:rsidTr="00FF25E2">
        <w:tc>
          <w:tcPr>
            <w:tcW w:w="2520" w:type="dxa"/>
          </w:tcPr>
          <w:p w14:paraId="6CB25C62" w14:textId="77777777" w:rsidR="0027288D" w:rsidRPr="00B76153" w:rsidRDefault="006C0A89" w:rsidP="00FF25E2">
            <w:pPr>
              <w:pStyle w:val="TableText"/>
            </w:pPr>
            <w:r>
              <w:t>*</w:t>
            </w:r>
            <w:r w:rsidR="00C1265D">
              <w:t>Samantha Tam</w:t>
            </w:r>
          </w:p>
        </w:tc>
        <w:tc>
          <w:tcPr>
            <w:tcW w:w="6840" w:type="dxa"/>
          </w:tcPr>
          <w:p w14:paraId="6CB25C63" w14:textId="77777777" w:rsidR="0027288D" w:rsidRPr="00B76153" w:rsidRDefault="0027288D" w:rsidP="00FF25E2">
            <w:pPr>
              <w:pStyle w:val="TableText"/>
            </w:pPr>
            <w:r w:rsidRPr="00B76153">
              <w:t>Project Manager</w:t>
            </w:r>
          </w:p>
        </w:tc>
      </w:tr>
      <w:tr w:rsidR="0027288D" w:rsidRPr="00B76153" w14:paraId="6CB25C67" w14:textId="77777777" w:rsidTr="00FF25E2">
        <w:tc>
          <w:tcPr>
            <w:tcW w:w="2520" w:type="dxa"/>
          </w:tcPr>
          <w:p w14:paraId="6CB25C65" w14:textId="77777777" w:rsidR="0027288D" w:rsidRPr="00B76153" w:rsidRDefault="00C1265D" w:rsidP="00FF25E2">
            <w:pPr>
              <w:pStyle w:val="TableText"/>
            </w:pPr>
            <w:r>
              <w:t xml:space="preserve">Sunil </w:t>
            </w:r>
            <w:proofErr w:type="spellStart"/>
            <w:r>
              <w:t>Maniyappan</w:t>
            </w:r>
            <w:proofErr w:type="spellEnd"/>
          </w:p>
        </w:tc>
        <w:tc>
          <w:tcPr>
            <w:tcW w:w="6840" w:type="dxa"/>
          </w:tcPr>
          <w:p w14:paraId="6CB25C66" w14:textId="77777777" w:rsidR="0027288D" w:rsidRPr="00B76153" w:rsidRDefault="0027288D" w:rsidP="00FF25E2">
            <w:pPr>
              <w:pStyle w:val="TableText"/>
            </w:pPr>
            <w:r w:rsidRPr="00B76153">
              <w:t>Business Analyst</w:t>
            </w:r>
          </w:p>
        </w:tc>
      </w:tr>
    </w:tbl>
    <w:p w14:paraId="6CB25C68" w14:textId="77777777" w:rsidR="0027288D" w:rsidRPr="00B76153" w:rsidRDefault="0027288D" w:rsidP="0027288D">
      <w:pPr>
        <w:pStyle w:val="DocumentControlSubHeading"/>
        <w:spacing w:before="240" w:after="120"/>
        <w:rPr>
          <w:rFonts w:ascii="Palatino Linotype" w:hAnsi="Palatino Linotype" w:cs="Arial"/>
          <w:b w:val="0"/>
          <w:i w:val="0"/>
          <w:szCs w:val="24"/>
        </w:rPr>
      </w:pPr>
      <w:r w:rsidRPr="00B76153">
        <w:rPr>
          <w:rFonts w:ascii="Palatino Linotype" w:hAnsi="Palatino Linotype"/>
        </w:rPr>
        <w:t>Project</w:t>
      </w:r>
      <w:r w:rsidRPr="00B76153">
        <w:rPr>
          <w:rFonts w:ascii="Palatino Linotype" w:hAnsi="Palatino Linotype" w:cs="Arial"/>
          <w:szCs w:val="24"/>
        </w:rPr>
        <w:t xml:space="preserve"> Management Adherence Review:</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840"/>
      </w:tblGrid>
      <w:tr w:rsidR="0027288D" w:rsidRPr="00B76153" w14:paraId="6CB25C6B" w14:textId="77777777" w:rsidTr="00FF25E2">
        <w:tc>
          <w:tcPr>
            <w:tcW w:w="2520" w:type="dxa"/>
          </w:tcPr>
          <w:p w14:paraId="6CB25C69" w14:textId="77777777" w:rsidR="0027288D" w:rsidRPr="00B76153" w:rsidRDefault="0027288D" w:rsidP="00FF25E2">
            <w:pPr>
              <w:pStyle w:val="TableHead"/>
              <w:jc w:val="left"/>
            </w:pPr>
            <w:r w:rsidRPr="00B76153">
              <w:t>Reviewed By</w:t>
            </w:r>
          </w:p>
        </w:tc>
        <w:tc>
          <w:tcPr>
            <w:tcW w:w="6840" w:type="dxa"/>
          </w:tcPr>
          <w:p w14:paraId="6CB25C6A" w14:textId="77777777" w:rsidR="0027288D" w:rsidRPr="00B76153" w:rsidRDefault="0027288D" w:rsidP="00FF25E2">
            <w:pPr>
              <w:pStyle w:val="TableHead"/>
            </w:pPr>
            <w:r w:rsidRPr="00B76153">
              <w:t>Role</w:t>
            </w:r>
          </w:p>
        </w:tc>
      </w:tr>
      <w:tr w:rsidR="0027288D" w:rsidRPr="00B76153" w14:paraId="6CB25C6E" w14:textId="77777777" w:rsidTr="00FF25E2">
        <w:tc>
          <w:tcPr>
            <w:tcW w:w="2520" w:type="dxa"/>
          </w:tcPr>
          <w:p w14:paraId="6CB25C6C" w14:textId="77777777" w:rsidR="0027288D" w:rsidRPr="00B76153" w:rsidRDefault="005C2387" w:rsidP="00FF25E2">
            <w:pPr>
              <w:pStyle w:val="TableText"/>
            </w:pPr>
            <w:r>
              <w:t>Anil Agrawal</w:t>
            </w:r>
          </w:p>
        </w:tc>
        <w:tc>
          <w:tcPr>
            <w:tcW w:w="6840" w:type="dxa"/>
          </w:tcPr>
          <w:p w14:paraId="6CB25C6D" w14:textId="77777777" w:rsidR="0027288D" w:rsidRPr="00B76153" w:rsidRDefault="0027288D" w:rsidP="00FF25E2">
            <w:pPr>
              <w:pStyle w:val="TableText"/>
            </w:pPr>
            <w:r w:rsidRPr="00B76153">
              <w:t>PMO Project Support</w:t>
            </w:r>
          </w:p>
        </w:tc>
      </w:tr>
    </w:tbl>
    <w:p w14:paraId="6CB25C6F" w14:textId="77777777" w:rsidR="0027288D" w:rsidRPr="00B76153" w:rsidRDefault="0027288D" w:rsidP="0027288D">
      <w:pPr>
        <w:pStyle w:val="DocumentControlSubHeading"/>
        <w:spacing w:before="240" w:after="120"/>
        <w:rPr>
          <w:rFonts w:ascii="Palatino Linotype" w:hAnsi="Palatino Linotype"/>
        </w:rPr>
      </w:pPr>
      <w:r w:rsidRPr="00B76153">
        <w:rPr>
          <w:rFonts w:ascii="Palatino Linotype" w:hAnsi="Palatino Linotype"/>
        </w:rPr>
        <w:t>Financial Review:</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840"/>
      </w:tblGrid>
      <w:tr w:rsidR="0027288D" w:rsidRPr="00B76153" w14:paraId="6CB25C72" w14:textId="77777777" w:rsidTr="00FF25E2">
        <w:tc>
          <w:tcPr>
            <w:tcW w:w="2520" w:type="dxa"/>
          </w:tcPr>
          <w:p w14:paraId="6CB25C70" w14:textId="77777777" w:rsidR="0027288D" w:rsidRPr="00B76153" w:rsidRDefault="0027288D" w:rsidP="00FF25E2">
            <w:pPr>
              <w:pStyle w:val="TableHead"/>
              <w:jc w:val="left"/>
            </w:pPr>
            <w:r w:rsidRPr="00B76153">
              <w:t>Reviewed By</w:t>
            </w:r>
          </w:p>
        </w:tc>
        <w:tc>
          <w:tcPr>
            <w:tcW w:w="6840" w:type="dxa"/>
          </w:tcPr>
          <w:p w14:paraId="6CB25C71" w14:textId="77777777" w:rsidR="0027288D" w:rsidRPr="00B76153" w:rsidRDefault="0027288D" w:rsidP="00FF25E2">
            <w:pPr>
              <w:pStyle w:val="TableHead"/>
            </w:pPr>
            <w:r w:rsidRPr="00B76153">
              <w:t>Role</w:t>
            </w:r>
          </w:p>
        </w:tc>
      </w:tr>
      <w:tr w:rsidR="0027288D" w:rsidRPr="00B76153" w14:paraId="6CB25C75" w14:textId="77777777" w:rsidTr="00FF25E2">
        <w:tc>
          <w:tcPr>
            <w:tcW w:w="2520" w:type="dxa"/>
          </w:tcPr>
          <w:p w14:paraId="6CB25C73" w14:textId="77777777" w:rsidR="0027288D" w:rsidRPr="00B76153" w:rsidRDefault="006B1610" w:rsidP="00FF25E2">
            <w:pPr>
              <w:pStyle w:val="TableText"/>
            </w:pPr>
            <w:r>
              <w:t>Anthony Martinello</w:t>
            </w:r>
          </w:p>
        </w:tc>
        <w:tc>
          <w:tcPr>
            <w:tcW w:w="6840" w:type="dxa"/>
            <w:vAlign w:val="center"/>
          </w:tcPr>
          <w:p w14:paraId="6CB25C74" w14:textId="77777777" w:rsidR="0027288D" w:rsidRPr="00B76153" w:rsidRDefault="00320251" w:rsidP="003D0F0B">
            <w:pPr>
              <w:pStyle w:val="DocumentControlTableText"/>
              <w:rPr>
                <w:rFonts w:ascii="Palatino Linotype" w:hAnsi="Palatino Linotype"/>
                <w:i/>
                <w:color w:val="0066FF"/>
                <w:sz w:val="20"/>
              </w:rPr>
            </w:pPr>
            <w:r>
              <w:rPr>
                <w:rFonts w:ascii="Palatino Linotype" w:hAnsi="Palatino Linotype"/>
                <w:szCs w:val="22"/>
              </w:rPr>
              <w:t>Director, Finance, Corporate Controller &amp; Treasury</w:t>
            </w:r>
          </w:p>
        </w:tc>
      </w:tr>
      <w:tr w:rsidR="0027288D" w:rsidRPr="00B76153" w14:paraId="6CB25C78" w14:textId="77777777" w:rsidTr="00FF25E2">
        <w:tc>
          <w:tcPr>
            <w:tcW w:w="2520" w:type="dxa"/>
          </w:tcPr>
          <w:p w14:paraId="6CB25C76" w14:textId="77777777" w:rsidR="0027288D" w:rsidRPr="00B76153" w:rsidRDefault="006C0A89" w:rsidP="00FF25E2">
            <w:pPr>
              <w:pStyle w:val="TableText"/>
            </w:pPr>
            <w:r>
              <w:t>*</w:t>
            </w:r>
            <w:r w:rsidR="006B1610">
              <w:t>Barbara Anderson</w:t>
            </w:r>
          </w:p>
        </w:tc>
        <w:tc>
          <w:tcPr>
            <w:tcW w:w="6840" w:type="dxa"/>
            <w:vAlign w:val="center"/>
          </w:tcPr>
          <w:p w14:paraId="6CB25C77" w14:textId="77777777" w:rsidR="0027288D" w:rsidRPr="00B76153" w:rsidRDefault="0027288D" w:rsidP="003D0F0B">
            <w:pPr>
              <w:pStyle w:val="DocumentControlTableText"/>
              <w:rPr>
                <w:rFonts w:ascii="Palatino Linotype" w:hAnsi="Palatino Linotype"/>
                <w:i/>
                <w:color w:val="0066FF"/>
                <w:sz w:val="20"/>
              </w:rPr>
            </w:pPr>
            <w:r w:rsidRPr="00B76153">
              <w:rPr>
                <w:rFonts w:ascii="Palatino Linotype" w:hAnsi="Palatino Linotype"/>
                <w:szCs w:val="22"/>
              </w:rPr>
              <w:t>VP – Finance &amp; CFO</w:t>
            </w:r>
            <w:r w:rsidR="00524C9C">
              <w:rPr>
                <w:rFonts w:ascii="Palatino Linotype" w:hAnsi="Palatino Linotype"/>
                <w:szCs w:val="22"/>
              </w:rPr>
              <w:t xml:space="preserve"> </w:t>
            </w:r>
            <w:r w:rsidR="007C5614">
              <w:rPr>
                <w:rFonts w:ascii="Palatino Linotype" w:hAnsi="Palatino Linotype"/>
                <w:szCs w:val="22"/>
              </w:rPr>
              <w:t>and Project Steering Committee Member</w:t>
            </w:r>
          </w:p>
        </w:tc>
      </w:tr>
    </w:tbl>
    <w:p w14:paraId="6CB25C79" w14:textId="77777777" w:rsidR="0027288D" w:rsidRPr="00B76153" w:rsidRDefault="0027288D" w:rsidP="0027288D">
      <w:pPr>
        <w:pStyle w:val="DocumentControlSubHeading"/>
        <w:spacing w:before="240" w:after="120"/>
        <w:rPr>
          <w:rFonts w:ascii="Palatino Linotype" w:hAnsi="Palatino Linotype"/>
        </w:rPr>
      </w:pPr>
      <w:r w:rsidRPr="00B76153">
        <w:rPr>
          <w:rFonts w:ascii="Palatino Linotype" w:hAnsi="Palatino Linotype"/>
        </w:rPr>
        <w:t>Content Reviewers: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840"/>
      </w:tblGrid>
      <w:tr w:rsidR="0027288D" w:rsidRPr="00B76153" w14:paraId="6CB25C7C" w14:textId="77777777" w:rsidTr="00FF25E2">
        <w:tc>
          <w:tcPr>
            <w:tcW w:w="2520" w:type="dxa"/>
          </w:tcPr>
          <w:p w14:paraId="6CB25C7A" w14:textId="77777777" w:rsidR="0027288D" w:rsidRPr="00B76153" w:rsidRDefault="0027288D" w:rsidP="00FF25E2">
            <w:pPr>
              <w:pStyle w:val="TableHead"/>
              <w:jc w:val="left"/>
            </w:pPr>
            <w:r w:rsidRPr="00B76153">
              <w:t>Reviewed By</w:t>
            </w:r>
          </w:p>
        </w:tc>
        <w:tc>
          <w:tcPr>
            <w:tcW w:w="6840" w:type="dxa"/>
          </w:tcPr>
          <w:p w14:paraId="6CB25C7B" w14:textId="77777777" w:rsidR="0027288D" w:rsidRPr="00B76153" w:rsidRDefault="0027288D" w:rsidP="00FF25E2">
            <w:pPr>
              <w:pStyle w:val="TableHead"/>
            </w:pPr>
            <w:r w:rsidRPr="00B76153">
              <w:t>Role</w:t>
            </w:r>
          </w:p>
        </w:tc>
      </w:tr>
      <w:tr w:rsidR="0027288D" w:rsidRPr="00B76153" w14:paraId="6CB25C7F" w14:textId="77777777" w:rsidTr="00FF25E2">
        <w:tc>
          <w:tcPr>
            <w:tcW w:w="2520" w:type="dxa"/>
          </w:tcPr>
          <w:p w14:paraId="6CB25C7D" w14:textId="77777777" w:rsidR="0027288D" w:rsidRPr="00B76153" w:rsidRDefault="00C1265D" w:rsidP="00FF25E2">
            <w:pPr>
              <w:pStyle w:val="TableText"/>
            </w:pPr>
            <w:r>
              <w:t>Jessica Tang</w:t>
            </w:r>
          </w:p>
        </w:tc>
        <w:tc>
          <w:tcPr>
            <w:tcW w:w="6840" w:type="dxa"/>
            <w:vAlign w:val="center"/>
          </w:tcPr>
          <w:p w14:paraId="6CB25C7E" w14:textId="77777777" w:rsidR="0027288D" w:rsidRPr="00B76153" w:rsidRDefault="0027288D" w:rsidP="00FF25E2">
            <w:pPr>
              <w:pStyle w:val="TableText"/>
            </w:pPr>
            <w:r w:rsidRPr="00B76153">
              <w:t>Business Lead</w:t>
            </w:r>
          </w:p>
        </w:tc>
      </w:tr>
      <w:tr w:rsidR="0027288D" w:rsidRPr="00B76153" w14:paraId="6CB25C82" w14:textId="77777777" w:rsidTr="00FF25E2">
        <w:tc>
          <w:tcPr>
            <w:tcW w:w="2520" w:type="dxa"/>
          </w:tcPr>
          <w:p w14:paraId="6CB25C80" w14:textId="77777777" w:rsidR="0027288D" w:rsidRPr="00B76153" w:rsidRDefault="006B1610" w:rsidP="00FF25E2">
            <w:pPr>
              <w:pStyle w:val="TableText"/>
            </w:pPr>
            <w:r>
              <w:t>Daniela Sabatini</w:t>
            </w:r>
          </w:p>
        </w:tc>
        <w:tc>
          <w:tcPr>
            <w:tcW w:w="6840" w:type="dxa"/>
            <w:vAlign w:val="center"/>
          </w:tcPr>
          <w:p w14:paraId="6CB25C81" w14:textId="77777777" w:rsidR="0027288D" w:rsidRPr="00B76153" w:rsidRDefault="0027288D" w:rsidP="00FF25E2">
            <w:pPr>
              <w:pStyle w:val="TableText"/>
            </w:pPr>
            <w:r w:rsidRPr="00B76153">
              <w:t>Manager, Change Delivery</w:t>
            </w:r>
          </w:p>
        </w:tc>
      </w:tr>
      <w:tr w:rsidR="0027288D" w:rsidRPr="00B76153" w14:paraId="6CB25C85" w14:textId="77777777" w:rsidTr="00FF25E2">
        <w:tc>
          <w:tcPr>
            <w:tcW w:w="2520" w:type="dxa"/>
          </w:tcPr>
          <w:p w14:paraId="6CB25C83" w14:textId="77777777" w:rsidR="0027288D" w:rsidRPr="00B76153" w:rsidRDefault="00C1265D" w:rsidP="00FF25E2">
            <w:pPr>
              <w:pStyle w:val="TableText"/>
            </w:pPr>
            <w:r>
              <w:t>Nic</w:t>
            </w:r>
            <w:r w:rsidR="006C0A89">
              <w:t>h</w:t>
            </w:r>
            <w:r>
              <w:t>olas Ingman</w:t>
            </w:r>
          </w:p>
        </w:tc>
        <w:tc>
          <w:tcPr>
            <w:tcW w:w="6840" w:type="dxa"/>
            <w:vAlign w:val="center"/>
          </w:tcPr>
          <w:p w14:paraId="6CB25C84" w14:textId="77777777" w:rsidR="0027288D" w:rsidRPr="00B76153" w:rsidRDefault="0027288D" w:rsidP="00FF25E2">
            <w:pPr>
              <w:pStyle w:val="TableText"/>
            </w:pPr>
            <w:r w:rsidRPr="00B76153">
              <w:t>Director, Enterprise Change</w:t>
            </w:r>
          </w:p>
        </w:tc>
      </w:tr>
      <w:tr w:rsidR="0027288D" w:rsidRPr="00B76153" w14:paraId="6CB25C88" w14:textId="77777777" w:rsidTr="00FF25E2">
        <w:tc>
          <w:tcPr>
            <w:tcW w:w="2520" w:type="dxa"/>
          </w:tcPr>
          <w:p w14:paraId="6CB25C86" w14:textId="77777777" w:rsidR="0027288D" w:rsidRPr="00B76153" w:rsidRDefault="00C1265D" w:rsidP="00FF25E2">
            <w:pPr>
              <w:pStyle w:val="TableText"/>
            </w:pPr>
            <w:r>
              <w:t>Gordon Drake</w:t>
            </w:r>
          </w:p>
        </w:tc>
        <w:tc>
          <w:tcPr>
            <w:tcW w:w="6840" w:type="dxa"/>
            <w:vAlign w:val="center"/>
          </w:tcPr>
          <w:p w14:paraId="6CB25C87" w14:textId="77777777" w:rsidR="0027288D" w:rsidRPr="00B76153" w:rsidRDefault="0027288D" w:rsidP="00FF25E2">
            <w:pPr>
              <w:pStyle w:val="TableText"/>
            </w:pPr>
            <w:r w:rsidRPr="00B76153">
              <w:t>Manager, Business Analysis Services</w:t>
            </w:r>
          </w:p>
        </w:tc>
      </w:tr>
      <w:tr w:rsidR="006C0A89" w:rsidRPr="00B76153" w14:paraId="6CB25C8B" w14:textId="77777777" w:rsidTr="00FF25E2">
        <w:tc>
          <w:tcPr>
            <w:tcW w:w="2520" w:type="dxa"/>
          </w:tcPr>
          <w:p w14:paraId="6CB25C89" w14:textId="77777777" w:rsidR="006C0A89" w:rsidRDefault="006C0A89" w:rsidP="00FF25E2">
            <w:pPr>
              <w:pStyle w:val="TableText"/>
            </w:pPr>
            <w:r>
              <w:t>Lia Kosic</w:t>
            </w:r>
          </w:p>
        </w:tc>
        <w:tc>
          <w:tcPr>
            <w:tcW w:w="6840" w:type="dxa"/>
            <w:vAlign w:val="center"/>
          </w:tcPr>
          <w:p w14:paraId="6CB25C8A" w14:textId="77777777" w:rsidR="006C0A89" w:rsidRDefault="006C0A89" w:rsidP="00FF25E2">
            <w:pPr>
              <w:pStyle w:val="TableText"/>
            </w:pPr>
            <w:r>
              <w:t>Director, Financial Planning and Analysis</w:t>
            </w:r>
          </w:p>
        </w:tc>
      </w:tr>
      <w:tr w:rsidR="00FF5864" w:rsidRPr="00B76153" w14:paraId="6CB25C8E" w14:textId="77777777" w:rsidTr="00FF25E2">
        <w:tc>
          <w:tcPr>
            <w:tcW w:w="2520" w:type="dxa"/>
          </w:tcPr>
          <w:p w14:paraId="6CB25C8C" w14:textId="77777777" w:rsidR="00FF5864" w:rsidRPr="00B76153" w:rsidRDefault="00FF5864" w:rsidP="00FF25E2">
            <w:pPr>
              <w:pStyle w:val="TableText"/>
            </w:pPr>
            <w:r>
              <w:t>Ioan Agavriloai</w:t>
            </w:r>
          </w:p>
        </w:tc>
        <w:tc>
          <w:tcPr>
            <w:tcW w:w="6840" w:type="dxa"/>
            <w:vAlign w:val="center"/>
          </w:tcPr>
          <w:p w14:paraId="6CB25C8D" w14:textId="77777777" w:rsidR="00FF5864" w:rsidRPr="00B76153" w:rsidRDefault="00FF5864" w:rsidP="00FF25E2">
            <w:pPr>
              <w:pStyle w:val="TableText"/>
            </w:pPr>
            <w:r>
              <w:t>Director, Power System Assessments</w:t>
            </w:r>
          </w:p>
        </w:tc>
      </w:tr>
      <w:tr w:rsidR="0015038D" w:rsidRPr="00B76153" w14:paraId="6CB25C91" w14:textId="77777777" w:rsidTr="00FF25E2">
        <w:tc>
          <w:tcPr>
            <w:tcW w:w="2520" w:type="dxa"/>
          </w:tcPr>
          <w:p w14:paraId="6CB25C8F" w14:textId="77777777" w:rsidR="0015038D" w:rsidRPr="00B76153" w:rsidRDefault="00DC4BB0" w:rsidP="00FF25E2">
            <w:pPr>
              <w:pStyle w:val="TableText"/>
            </w:pPr>
            <w:r>
              <w:t>Chuck Farmer</w:t>
            </w:r>
          </w:p>
        </w:tc>
        <w:tc>
          <w:tcPr>
            <w:tcW w:w="6840" w:type="dxa"/>
            <w:vAlign w:val="center"/>
          </w:tcPr>
          <w:p w14:paraId="6CB25C90" w14:textId="77777777" w:rsidR="0015038D" w:rsidRPr="00B76153" w:rsidRDefault="00DC4BB0" w:rsidP="00FF25E2">
            <w:pPr>
              <w:pStyle w:val="TableText"/>
            </w:pPr>
            <w:r>
              <w:t>Director, Resource Planning</w:t>
            </w:r>
          </w:p>
        </w:tc>
      </w:tr>
      <w:tr w:rsidR="0015038D" w:rsidRPr="00B76153" w14:paraId="6CB25C94" w14:textId="77777777" w:rsidTr="00FF25E2">
        <w:tc>
          <w:tcPr>
            <w:tcW w:w="2520" w:type="dxa"/>
          </w:tcPr>
          <w:p w14:paraId="6CB25C92" w14:textId="77777777" w:rsidR="0015038D" w:rsidRPr="00B76153" w:rsidRDefault="004E1FC4" w:rsidP="00FF25E2">
            <w:pPr>
              <w:pStyle w:val="TableText"/>
            </w:pPr>
            <w:r>
              <w:lastRenderedPageBreak/>
              <w:t>Dave Robitaille</w:t>
            </w:r>
          </w:p>
        </w:tc>
        <w:tc>
          <w:tcPr>
            <w:tcW w:w="6840" w:type="dxa"/>
            <w:vAlign w:val="center"/>
          </w:tcPr>
          <w:p w14:paraId="6CB25C93" w14:textId="77777777" w:rsidR="0015038D" w:rsidRPr="00B76153" w:rsidRDefault="004E1FC4" w:rsidP="00FF25E2">
            <w:pPr>
              <w:pStyle w:val="TableText"/>
            </w:pPr>
            <w:r>
              <w:t>Director, Market Operations</w:t>
            </w:r>
          </w:p>
        </w:tc>
      </w:tr>
      <w:tr w:rsidR="0015038D" w:rsidRPr="00B76153" w14:paraId="6CB25C97" w14:textId="77777777" w:rsidTr="00FF25E2">
        <w:tc>
          <w:tcPr>
            <w:tcW w:w="2520" w:type="dxa"/>
          </w:tcPr>
          <w:p w14:paraId="6CB25C95" w14:textId="77777777" w:rsidR="0015038D" w:rsidRPr="00B76153" w:rsidRDefault="007A08D6" w:rsidP="00FF25E2">
            <w:pPr>
              <w:pStyle w:val="TableText"/>
            </w:pPr>
            <w:r>
              <w:t>Jeannette Briggs</w:t>
            </w:r>
          </w:p>
        </w:tc>
        <w:tc>
          <w:tcPr>
            <w:tcW w:w="6840" w:type="dxa"/>
            <w:vAlign w:val="center"/>
          </w:tcPr>
          <w:p w14:paraId="6CB25C96" w14:textId="77777777" w:rsidR="0015038D" w:rsidRPr="00B76153" w:rsidRDefault="007A08D6" w:rsidP="00FF25E2">
            <w:pPr>
              <w:pStyle w:val="TableText"/>
            </w:pPr>
            <w:r>
              <w:t>Director, Settlements</w:t>
            </w:r>
          </w:p>
        </w:tc>
      </w:tr>
      <w:tr w:rsidR="0015038D" w:rsidRPr="00B76153" w14:paraId="6CB25C9A" w14:textId="77777777" w:rsidTr="00FF25E2">
        <w:tc>
          <w:tcPr>
            <w:tcW w:w="2520" w:type="dxa"/>
          </w:tcPr>
          <w:p w14:paraId="6CB25C98" w14:textId="77777777" w:rsidR="0015038D" w:rsidRPr="00B76153" w:rsidRDefault="000A1EEA" w:rsidP="00FF25E2">
            <w:pPr>
              <w:pStyle w:val="TableText"/>
            </w:pPr>
            <w:r>
              <w:t xml:space="preserve">Bill </w:t>
            </w:r>
            <w:proofErr w:type="spellStart"/>
            <w:r>
              <w:t>Pettitt</w:t>
            </w:r>
            <w:proofErr w:type="spellEnd"/>
          </w:p>
        </w:tc>
        <w:tc>
          <w:tcPr>
            <w:tcW w:w="6840" w:type="dxa"/>
            <w:vAlign w:val="center"/>
          </w:tcPr>
          <w:p w14:paraId="6CB25C99" w14:textId="77777777" w:rsidR="0015038D" w:rsidRPr="00B76153" w:rsidRDefault="000A1EEA" w:rsidP="00FF25E2">
            <w:pPr>
              <w:pStyle w:val="TableText"/>
            </w:pPr>
            <w:r>
              <w:t>Director, Business Solutions</w:t>
            </w:r>
          </w:p>
        </w:tc>
      </w:tr>
      <w:tr w:rsidR="0015038D" w:rsidRPr="00B76153" w14:paraId="6CB25C9D" w14:textId="77777777" w:rsidTr="00FF25E2">
        <w:tc>
          <w:tcPr>
            <w:tcW w:w="2520" w:type="dxa"/>
          </w:tcPr>
          <w:p w14:paraId="6CB25C9B" w14:textId="77777777" w:rsidR="0015038D" w:rsidRPr="00B76153" w:rsidRDefault="000A1EEA" w:rsidP="00FF25E2">
            <w:pPr>
              <w:pStyle w:val="TableText"/>
            </w:pPr>
            <w:r>
              <w:t>Jessica Savage</w:t>
            </w:r>
          </w:p>
        </w:tc>
        <w:tc>
          <w:tcPr>
            <w:tcW w:w="6840" w:type="dxa"/>
            <w:vAlign w:val="center"/>
          </w:tcPr>
          <w:p w14:paraId="6CB25C9C" w14:textId="77777777" w:rsidR="0015038D" w:rsidRPr="00B76153" w:rsidRDefault="000A1EEA" w:rsidP="00FF25E2">
            <w:pPr>
              <w:pStyle w:val="TableText"/>
            </w:pPr>
            <w:r>
              <w:t>Director, Corporate &amp; Regulatory Affairs</w:t>
            </w:r>
          </w:p>
        </w:tc>
      </w:tr>
      <w:tr w:rsidR="00681DC5" w:rsidRPr="00B76153" w14:paraId="6CB25CA0" w14:textId="77777777" w:rsidTr="00681DC5">
        <w:tc>
          <w:tcPr>
            <w:tcW w:w="2520" w:type="dxa"/>
            <w:tcBorders>
              <w:top w:val="single" w:sz="4" w:space="0" w:color="auto"/>
              <w:left w:val="single" w:sz="4" w:space="0" w:color="auto"/>
              <w:bottom w:val="single" w:sz="4" w:space="0" w:color="auto"/>
              <w:right w:val="single" w:sz="4" w:space="0" w:color="auto"/>
            </w:tcBorders>
          </w:tcPr>
          <w:p w14:paraId="6CB25C9E" w14:textId="77777777" w:rsidR="00681DC5" w:rsidRDefault="00681DC5" w:rsidP="002D666A">
            <w:pPr>
              <w:pStyle w:val="TableText"/>
            </w:pPr>
            <w:r>
              <w:t>Leonard Kula</w:t>
            </w:r>
          </w:p>
        </w:tc>
        <w:tc>
          <w:tcPr>
            <w:tcW w:w="6840" w:type="dxa"/>
            <w:tcBorders>
              <w:top w:val="single" w:sz="4" w:space="0" w:color="auto"/>
              <w:left w:val="single" w:sz="4" w:space="0" w:color="auto"/>
              <w:bottom w:val="single" w:sz="4" w:space="0" w:color="auto"/>
              <w:right w:val="single" w:sz="4" w:space="0" w:color="auto"/>
            </w:tcBorders>
            <w:vAlign w:val="center"/>
          </w:tcPr>
          <w:p w14:paraId="6CB25C9F" w14:textId="77777777" w:rsidR="00681DC5" w:rsidRPr="00B76153" w:rsidRDefault="00681DC5" w:rsidP="002D666A">
            <w:pPr>
              <w:pStyle w:val="TableText"/>
            </w:pPr>
            <w:r>
              <w:t>Project Steering Committee Member</w:t>
            </w:r>
          </w:p>
        </w:tc>
      </w:tr>
      <w:tr w:rsidR="00681DC5" w:rsidRPr="00B76153" w14:paraId="6CB25CA3" w14:textId="77777777" w:rsidTr="00681DC5">
        <w:tc>
          <w:tcPr>
            <w:tcW w:w="2520" w:type="dxa"/>
            <w:tcBorders>
              <w:top w:val="single" w:sz="4" w:space="0" w:color="auto"/>
              <w:left w:val="single" w:sz="4" w:space="0" w:color="auto"/>
              <w:bottom w:val="single" w:sz="4" w:space="0" w:color="auto"/>
              <w:right w:val="single" w:sz="4" w:space="0" w:color="auto"/>
            </w:tcBorders>
          </w:tcPr>
          <w:p w14:paraId="6CB25CA1" w14:textId="77777777" w:rsidR="00681DC5" w:rsidRDefault="00681DC5" w:rsidP="002D666A">
            <w:pPr>
              <w:pStyle w:val="TableText"/>
            </w:pPr>
            <w:r>
              <w:t>Alex Foord</w:t>
            </w:r>
          </w:p>
        </w:tc>
        <w:tc>
          <w:tcPr>
            <w:tcW w:w="6840" w:type="dxa"/>
            <w:tcBorders>
              <w:top w:val="single" w:sz="4" w:space="0" w:color="auto"/>
              <w:left w:val="single" w:sz="4" w:space="0" w:color="auto"/>
              <w:bottom w:val="single" w:sz="4" w:space="0" w:color="auto"/>
              <w:right w:val="single" w:sz="4" w:space="0" w:color="auto"/>
            </w:tcBorders>
            <w:vAlign w:val="center"/>
          </w:tcPr>
          <w:p w14:paraId="6CB25CA2" w14:textId="77777777" w:rsidR="00681DC5" w:rsidRPr="00B76153" w:rsidRDefault="00681DC5" w:rsidP="002D666A">
            <w:pPr>
              <w:pStyle w:val="TableText"/>
            </w:pPr>
            <w:r>
              <w:t>Project Steering Committee Member</w:t>
            </w:r>
          </w:p>
        </w:tc>
      </w:tr>
      <w:tr w:rsidR="00681DC5" w:rsidRPr="00B76153" w14:paraId="6CB25CA6" w14:textId="77777777" w:rsidTr="00681DC5">
        <w:tc>
          <w:tcPr>
            <w:tcW w:w="2520" w:type="dxa"/>
            <w:tcBorders>
              <w:top w:val="single" w:sz="4" w:space="0" w:color="auto"/>
              <w:left w:val="single" w:sz="4" w:space="0" w:color="auto"/>
              <w:bottom w:val="single" w:sz="4" w:space="0" w:color="auto"/>
              <w:right w:val="single" w:sz="4" w:space="0" w:color="auto"/>
            </w:tcBorders>
          </w:tcPr>
          <w:p w14:paraId="6CB25CA4" w14:textId="77777777" w:rsidR="00681DC5" w:rsidRDefault="00681DC5" w:rsidP="002D666A">
            <w:pPr>
              <w:pStyle w:val="TableText"/>
            </w:pPr>
            <w:r>
              <w:t>Mike Lyle</w:t>
            </w:r>
          </w:p>
        </w:tc>
        <w:tc>
          <w:tcPr>
            <w:tcW w:w="6840" w:type="dxa"/>
            <w:tcBorders>
              <w:top w:val="single" w:sz="4" w:space="0" w:color="auto"/>
              <w:left w:val="single" w:sz="4" w:space="0" w:color="auto"/>
              <w:bottom w:val="single" w:sz="4" w:space="0" w:color="auto"/>
              <w:right w:val="single" w:sz="4" w:space="0" w:color="auto"/>
            </w:tcBorders>
            <w:vAlign w:val="center"/>
          </w:tcPr>
          <w:p w14:paraId="6CB25CA5" w14:textId="77777777" w:rsidR="00681DC5" w:rsidRPr="00B76153" w:rsidRDefault="00681DC5" w:rsidP="002D666A">
            <w:pPr>
              <w:pStyle w:val="TableText"/>
            </w:pPr>
            <w:r>
              <w:t>Project Steering Committee Member</w:t>
            </w:r>
          </w:p>
        </w:tc>
      </w:tr>
      <w:tr w:rsidR="00681DC5" w:rsidRPr="00B76153" w14:paraId="6CB25CA9" w14:textId="77777777" w:rsidTr="00681DC5">
        <w:tc>
          <w:tcPr>
            <w:tcW w:w="2520" w:type="dxa"/>
            <w:tcBorders>
              <w:top w:val="single" w:sz="4" w:space="0" w:color="auto"/>
              <w:left w:val="single" w:sz="4" w:space="0" w:color="auto"/>
              <w:bottom w:val="single" w:sz="4" w:space="0" w:color="auto"/>
              <w:right w:val="single" w:sz="4" w:space="0" w:color="auto"/>
            </w:tcBorders>
          </w:tcPr>
          <w:p w14:paraId="6CB25CA7" w14:textId="77777777" w:rsidR="00681DC5" w:rsidRDefault="00681DC5" w:rsidP="002D666A">
            <w:pPr>
              <w:pStyle w:val="TableText"/>
            </w:pPr>
            <w:r>
              <w:t>Terry Young</w:t>
            </w:r>
          </w:p>
        </w:tc>
        <w:tc>
          <w:tcPr>
            <w:tcW w:w="6840" w:type="dxa"/>
            <w:tcBorders>
              <w:top w:val="single" w:sz="4" w:space="0" w:color="auto"/>
              <w:left w:val="single" w:sz="4" w:space="0" w:color="auto"/>
              <w:bottom w:val="single" w:sz="4" w:space="0" w:color="auto"/>
              <w:right w:val="single" w:sz="4" w:space="0" w:color="auto"/>
            </w:tcBorders>
            <w:vAlign w:val="center"/>
          </w:tcPr>
          <w:p w14:paraId="6CB25CA8" w14:textId="77777777" w:rsidR="00681DC5" w:rsidRPr="00B76153" w:rsidRDefault="00681DC5" w:rsidP="002D666A">
            <w:pPr>
              <w:pStyle w:val="TableText"/>
            </w:pPr>
            <w:r>
              <w:t>Project Steering Committee Member</w:t>
            </w:r>
          </w:p>
        </w:tc>
      </w:tr>
      <w:tr w:rsidR="00681DC5" w:rsidRPr="00B76153" w14:paraId="6CB25CAC" w14:textId="77777777" w:rsidTr="00681DC5">
        <w:tc>
          <w:tcPr>
            <w:tcW w:w="2520" w:type="dxa"/>
            <w:tcBorders>
              <w:top w:val="single" w:sz="4" w:space="0" w:color="auto"/>
              <w:left w:val="single" w:sz="4" w:space="0" w:color="auto"/>
              <w:bottom w:val="single" w:sz="4" w:space="0" w:color="auto"/>
              <w:right w:val="single" w:sz="4" w:space="0" w:color="auto"/>
            </w:tcBorders>
          </w:tcPr>
          <w:p w14:paraId="6CB25CAA" w14:textId="77777777" w:rsidR="00681DC5" w:rsidRDefault="00681DC5" w:rsidP="002D666A">
            <w:pPr>
              <w:pStyle w:val="TableText"/>
            </w:pPr>
            <w:r>
              <w:t>Glenn McDonald</w:t>
            </w:r>
          </w:p>
        </w:tc>
        <w:tc>
          <w:tcPr>
            <w:tcW w:w="6840" w:type="dxa"/>
            <w:tcBorders>
              <w:top w:val="single" w:sz="4" w:space="0" w:color="auto"/>
              <w:left w:val="single" w:sz="4" w:space="0" w:color="auto"/>
              <w:bottom w:val="single" w:sz="4" w:space="0" w:color="auto"/>
              <w:right w:val="single" w:sz="4" w:space="0" w:color="auto"/>
            </w:tcBorders>
            <w:vAlign w:val="center"/>
          </w:tcPr>
          <w:p w14:paraId="6CB25CAB" w14:textId="733B5BDF" w:rsidR="00681DC5" w:rsidRPr="00B76153" w:rsidRDefault="00681DC5" w:rsidP="002D666A">
            <w:pPr>
              <w:pStyle w:val="TableText"/>
            </w:pPr>
            <w:r>
              <w:t>Stee</w:t>
            </w:r>
            <w:r w:rsidR="006C6656">
              <w:t xml:space="preserve">ring Committee Member, Director </w:t>
            </w:r>
            <w:r>
              <w:t>MACD</w:t>
            </w:r>
          </w:p>
        </w:tc>
      </w:tr>
    </w:tbl>
    <w:p w14:paraId="6CB25CAD" w14:textId="77777777" w:rsidR="00DF6215" w:rsidRDefault="00DF6215" w:rsidP="0027288D">
      <w:pPr>
        <w:pStyle w:val="DocumentControlSubHeading"/>
        <w:spacing w:before="240" w:after="120"/>
        <w:rPr>
          <w:rFonts w:ascii="Palatino Linotype" w:hAnsi="Palatino Linotype"/>
        </w:rPr>
      </w:pPr>
    </w:p>
    <w:p w14:paraId="6CB25CAE" w14:textId="77777777" w:rsidR="0027288D" w:rsidRPr="00B76153" w:rsidRDefault="0027288D" w:rsidP="0027288D">
      <w:pPr>
        <w:pStyle w:val="DocumentControlSubHeading"/>
        <w:spacing w:before="240" w:after="120"/>
        <w:rPr>
          <w:rFonts w:ascii="Palatino Linotype" w:hAnsi="Palatino Linotype" w:cs="Arial"/>
          <w:b w:val="0"/>
          <w:color w:val="0066FF"/>
          <w:szCs w:val="22"/>
        </w:rPr>
      </w:pPr>
      <w:r w:rsidRPr="00B76153">
        <w:rPr>
          <w:rFonts w:ascii="Palatino Linotype" w:hAnsi="Palatino Linotype"/>
        </w:rPr>
        <w:t>Approvals:</w:t>
      </w:r>
      <w:r w:rsidRPr="00B76153">
        <w:rPr>
          <w:rFonts w:ascii="Palatino Linotype" w:hAnsi="Palatino Linotype" w:cs="Arial"/>
          <w:szCs w:val="24"/>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840"/>
      </w:tblGrid>
      <w:tr w:rsidR="0027288D" w:rsidRPr="00B76153" w14:paraId="6CB25CB1" w14:textId="77777777" w:rsidTr="000951EC">
        <w:tc>
          <w:tcPr>
            <w:tcW w:w="2520" w:type="dxa"/>
          </w:tcPr>
          <w:p w14:paraId="6CB25CAF" w14:textId="77777777" w:rsidR="0027288D" w:rsidRPr="00B76153" w:rsidRDefault="0027288D" w:rsidP="00FF25E2">
            <w:pPr>
              <w:pStyle w:val="TableHead"/>
            </w:pPr>
            <w:r w:rsidRPr="00B76153">
              <w:t>Approved By</w:t>
            </w:r>
          </w:p>
        </w:tc>
        <w:tc>
          <w:tcPr>
            <w:tcW w:w="6840" w:type="dxa"/>
          </w:tcPr>
          <w:p w14:paraId="6CB25CB0" w14:textId="77777777" w:rsidR="0027288D" w:rsidRPr="00B76153" w:rsidRDefault="0027288D" w:rsidP="00FF25E2">
            <w:pPr>
              <w:pStyle w:val="TableHead"/>
            </w:pPr>
            <w:r w:rsidRPr="00B76153">
              <w:t>Role</w:t>
            </w:r>
          </w:p>
        </w:tc>
      </w:tr>
      <w:tr w:rsidR="0027288D" w:rsidRPr="00B76153" w14:paraId="6CB25CB4" w14:textId="77777777" w:rsidTr="000951EC">
        <w:tc>
          <w:tcPr>
            <w:tcW w:w="2520" w:type="dxa"/>
          </w:tcPr>
          <w:p w14:paraId="6CB25CB2" w14:textId="77777777" w:rsidR="0027288D" w:rsidRPr="00B76153" w:rsidRDefault="000C3B05" w:rsidP="00FF25E2">
            <w:pPr>
              <w:pStyle w:val="TableText"/>
            </w:pPr>
            <w:r>
              <w:t>*</w:t>
            </w:r>
            <w:r w:rsidR="00C1265D">
              <w:t>David Short</w:t>
            </w:r>
          </w:p>
        </w:tc>
        <w:tc>
          <w:tcPr>
            <w:tcW w:w="6840" w:type="dxa"/>
            <w:vAlign w:val="center"/>
          </w:tcPr>
          <w:p w14:paraId="6CB25CB3" w14:textId="77777777" w:rsidR="0027288D" w:rsidRPr="00B76153" w:rsidRDefault="0027288D" w:rsidP="00FF25E2">
            <w:pPr>
              <w:pStyle w:val="TableText"/>
            </w:pPr>
            <w:r w:rsidRPr="00B76153">
              <w:t>Project Sponsor</w:t>
            </w:r>
          </w:p>
        </w:tc>
      </w:tr>
      <w:tr w:rsidR="008367E7" w:rsidRPr="00B76153" w14:paraId="6CB25CB7" w14:textId="77777777" w:rsidTr="000951EC">
        <w:tc>
          <w:tcPr>
            <w:tcW w:w="2520" w:type="dxa"/>
          </w:tcPr>
          <w:p w14:paraId="6CB25CB5" w14:textId="77777777" w:rsidR="008367E7" w:rsidRDefault="000C3B05" w:rsidP="00FF25E2">
            <w:pPr>
              <w:pStyle w:val="TableText"/>
            </w:pPr>
            <w:r>
              <w:t>*</w:t>
            </w:r>
            <w:r w:rsidR="008367E7">
              <w:t>Peter Gregg</w:t>
            </w:r>
          </w:p>
        </w:tc>
        <w:tc>
          <w:tcPr>
            <w:tcW w:w="6840" w:type="dxa"/>
            <w:vAlign w:val="center"/>
          </w:tcPr>
          <w:p w14:paraId="6CB25CB6" w14:textId="77777777" w:rsidR="008367E7" w:rsidRPr="00B76153" w:rsidRDefault="008367E7" w:rsidP="00FF25E2">
            <w:pPr>
              <w:pStyle w:val="TableText"/>
            </w:pPr>
            <w:r>
              <w:t>President &amp; CEO</w:t>
            </w:r>
            <w:r w:rsidR="00944F57">
              <w:t xml:space="preserve"> (On behalf of the Board)</w:t>
            </w:r>
          </w:p>
        </w:tc>
      </w:tr>
      <w:tr w:rsidR="00F70D4C" w:rsidRPr="00B76153" w14:paraId="6CB25CBA" w14:textId="77777777" w:rsidTr="000951EC">
        <w:tc>
          <w:tcPr>
            <w:tcW w:w="2520" w:type="dxa"/>
          </w:tcPr>
          <w:p w14:paraId="6CB25CB8" w14:textId="77777777" w:rsidR="00F70D4C" w:rsidRDefault="00F70D4C" w:rsidP="00FF25E2">
            <w:pPr>
              <w:pStyle w:val="TableText"/>
            </w:pPr>
            <w:r>
              <w:t>IESO Board</w:t>
            </w:r>
          </w:p>
        </w:tc>
        <w:tc>
          <w:tcPr>
            <w:tcW w:w="6840" w:type="dxa"/>
            <w:vAlign w:val="center"/>
          </w:tcPr>
          <w:p w14:paraId="6CB25CB9" w14:textId="77777777" w:rsidR="00F70D4C" w:rsidRDefault="00F70D4C" w:rsidP="00FF25E2">
            <w:pPr>
              <w:pStyle w:val="TableText"/>
            </w:pPr>
            <w:r>
              <w:t>IESO Board</w:t>
            </w:r>
          </w:p>
        </w:tc>
      </w:tr>
    </w:tbl>
    <w:p w14:paraId="6CB25CBB" w14:textId="77777777" w:rsidR="000C3B05" w:rsidRDefault="000C3B05" w:rsidP="000C3B05">
      <w:pPr>
        <w:pStyle w:val="DocumentControlSubHeading"/>
        <w:spacing w:before="240" w:after="120"/>
        <w:ind w:left="720"/>
        <w:rPr>
          <w:rFonts w:ascii="Palatino Linotype" w:hAnsi="Palatino Linotype"/>
        </w:rPr>
      </w:pPr>
      <w:bookmarkStart w:id="1" w:name="_Toc261272948"/>
      <w:bookmarkStart w:id="2" w:name="_Toc263330270"/>
      <w:bookmarkStart w:id="3" w:name="_Toc263330345"/>
      <w:bookmarkStart w:id="4" w:name="_Toc263331162"/>
      <w:bookmarkStart w:id="5" w:name="_Toc263331279"/>
      <w:r w:rsidRPr="00230074">
        <w:rPr>
          <w:rFonts w:ascii="Palatino Linotype" w:hAnsi="Palatino Linotype"/>
        </w:rPr>
        <w:t xml:space="preserve">* </w:t>
      </w:r>
      <w:r w:rsidRPr="00230074">
        <w:rPr>
          <w:rFonts w:ascii="Palatino Linotype" w:hAnsi="Palatino Linotype"/>
          <w:sz w:val="22"/>
          <w:szCs w:val="22"/>
        </w:rPr>
        <w:t>Indicates who will approve in Citadel.</w:t>
      </w:r>
    </w:p>
    <w:p w14:paraId="6CB25CBC" w14:textId="77777777" w:rsidR="0027288D" w:rsidRPr="00B76153" w:rsidRDefault="0027288D" w:rsidP="00DF6215">
      <w:pPr>
        <w:pStyle w:val="DocumentControlSubHeading"/>
        <w:spacing w:before="240" w:after="120"/>
        <w:rPr>
          <w:rFonts w:ascii="Palatino Linotype" w:hAnsi="Palatino Linotype"/>
        </w:rPr>
      </w:pPr>
      <w:r w:rsidRPr="00B76153">
        <w:rPr>
          <w:rFonts w:ascii="Palatino Linotype" w:hAnsi="Palatino Linotype"/>
        </w:rPr>
        <w:t>Distribution List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130"/>
      </w:tblGrid>
      <w:tr w:rsidR="0027288D" w:rsidRPr="00B76153" w14:paraId="6CB25CBF" w14:textId="77777777" w:rsidTr="000951EC">
        <w:tc>
          <w:tcPr>
            <w:tcW w:w="4230" w:type="dxa"/>
          </w:tcPr>
          <w:p w14:paraId="6CB25CBD" w14:textId="77777777" w:rsidR="0027288D" w:rsidRPr="00B76153" w:rsidRDefault="0027288D" w:rsidP="00DF6215">
            <w:pPr>
              <w:pStyle w:val="TableHead"/>
              <w:jc w:val="left"/>
            </w:pPr>
            <w:r w:rsidRPr="00B76153">
              <w:t>Name</w:t>
            </w:r>
          </w:p>
        </w:tc>
        <w:tc>
          <w:tcPr>
            <w:tcW w:w="5130" w:type="dxa"/>
          </w:tcPr>
          <w:p w14:paraId="6CB25CBE" w14:textId="77777777" w:rsidR="0027288D" w:rsidRPr="00B76153" w:rsidRDefault="0027288D" w:rsidP="00DF6215">
            <w:pPr>
              <w:pStyle w:val="TableHead"/>
              <w:jc w:val="left"/>
            </w:pPr>
            <w:r w:rsidRPr="00B76153">
              <w:t>Organization</w:t>
            </w:r>
          </w:p>
        </w:tc>
      </w:tr>
      <w:tr w:rsidR="0027288D" w:rsidRPr="00B76153" w14:paraId="6CB25CC2" w14:textId="77777777" w:rsidTr="000951EC">
        <w:tc>
          <w:tcPr>
            <w:tcW w:w="4230" w:type="dxa"/>
          </w:tcPr>
          <w:p w14:paraId="6CB25CC0" w14:textId="77777777" w:rsidR="0027288D" w:rsidRPr="00B76153" w:rsidRDefault="0027288D" w:rsidP="00DF6215">
            <w:pPr>
              <w:pStyle w:val="TableText"/>
            </w:pPr>
            <w:r w:rsidRPr="00B76153">
              <w:t>Citadel</w:t>
            </w:r>
          </w:p>
        </w:tc>
        <w:tc>
          <w:tcPr>
            <w:tcW w:w="5130" w:type="dxa"/>
          </w:tcPr>
          <w:p w14:paraId="6CB25CC1" w14:textId="77777777" w:rsidR="0027288D" w:rsidRPr="00B76153" w:rsidRDefault="0027288D" w:rsidP="00DF6215">
            <w:pPr>
              <w:pStyle w:val="TableText"/>
            </w:pPr>
            <w:r w:rsidRPr="00B76153">
              <w:t>IESO</w:t>
            </w:r>
          </w:p>
        </w:tc>
      </w:tr>
      <w:tr w:rsidR="0027288D" w:rsidRPr="00B76153" w14:paraId="6CB25CC5" w14:textId="77777777" w:rsidTr="000951EC">
        <w:tc>
          <w:tcPr>
            <w:tcW w:w="4230" w:type="dxa"/>
          </w:tcPr>
          <w:p w14:paraId="6CB25CC3" w14:textId="77777777" w:rsidR="0027288D" w:rsidRPr="00B76153" w:rsidRDefault="0027288D" w:rsidP="00DF6215">
            <w:pPr>
              <w:pStyle w:val="TableText"/>
            </w:pPr>
            <w:r w:rsidRPr="00B76153">
              <w:t>PMO</w:t>
            </w:r>
          </w:p>
        </w:tc>
        <w:tc>
          <w:tcPr>
            <w:tcW w:w="5130" w:type="dxa"/>
          </w:tcPr>
          <w:p w14:paraId="6CB25CC4" w14:textId="77777777" w:rsidR="0027288D" w:rsidRPr="00B76153" w:rsidRDefault="0027288D" w:rsidP="00DF6215">
            <w:pPr>
              <w:pStyle w:val="TableText"/>
            </w:pPr>
            <w:r w:rsidRPr="00B76153">
              <w:t>IESO</w:t>
            </w:r>
          </w:p>
        </w:tc>
      </w:tr>
      <w:tr w:rsidR="0027288D" w:rsidRPr="00B76153" w14:paraId="6CB25CC8" w14:textId="77777777" w:rsidTr="000951EC">
        <w:tc>
          <w:tcPr>
            <w:tcW w:w="4230" w:type="dxa"/>
          </w:tcPr>
          <w:p w14:paraId="6CB25CC6" w14:textId="77777777" w:rsidR="0027288D" w:rsidRPr="00B76153" w:rsidRDefault="0027288D" w:rsidP="00DF6215">
            <w:pPr>
              <w:pStyle w:val="TableText"/>
            </w:pPr>
            <w:r w:rsidRPr="00B76153">
              <w:t>Finance</w:t>
            </w:r>
          </w:p>
        </w:tc>
        <w:tc>
          <w:tcPr>
            <w:tcW w:w="5130" w:type="dxa"/>
          </w:tcPr>
          <w:p w14:paraId="6CB25CC7" w14:textId="77777777" w:rsidR="0027288D" w:rsidRPr="00B76153" w:rsidRDefault="0027288D" w:rsidP="00DF6215">
            <w:pPr>
              <w:pStyle w:val="TableText"/>
            </w:pPr>
            <w:r w:rsidRPr="00B76153">
              <w:t>IESO</w:t>
            </w:r>
          </w:p>
        </w:tc>
      </w:tr>
    </w:tbl>
    <w:p w14:paraId="6CB25CC9" w14:textId="77777777" w:rsidR="0027288D" w:rsidRPr="00B76153" w:rsidRDefault="0027288D" w:rsidP="00DF6215">
      <w:pPr>
        <w:pStyle w:val="DocumentControlSubHeading"/>
        <w:spacing w:before="240" w:after="120"/>
        <w:rPr>
          <w:rFonts w:ascii="Palatino Linotype" w:hAnsi="Palatino Linotype"/>
        </w:rPr>
      </w:pPr>
      <w:r w:rsidRPr="00B76153">
        <w:rPr>
          <w:rFonts w:ascii="Palatino Linotype" w:hAnsi="Palatino Linotype"/>
        </w:rPr>
        <w:lastRenderedPageBreak/>
        <w:t>Document Change History</w:t>
      </w:r>
      <w:bookmarkEnd w:id="1"/>
      <w:bookmarkEnd w:id="2"/>
      <w:bookmarkEnd w:id="3"/>
      <w:bookmarkEnd w:id="4"/>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850"/>
        <w:gridCol w:w="2520"/>
      </w:tblGrid>
      <w:tr w:rsidR="0027288D" w:rsidRPr="00B76153" w14:paraId="6CB25CCD" w14:textId="77777777" w:rsidTr="000951EC">
        <w:tc>
          <w:tcPr>
            <w:tcW w:w="990" w:type="dxa"/>
          </w:tcPr>
          <w:p w14:paraId="6CB25CCA" w14:textId="77777777" w:rsidR="0027288D" w:rsidRPr="00B76153" w:rsidRDefault="0027288D" w:rsidP="00DF6215">
            <w:pPr>
              <w:pStyle w:val="TableHead"/>
            </w:pPr>
            <w:r w:rsidRPr="00B76153">
              <w:t>Issue</w:t>
            </w:r>
          </w:p>
        </w:tc>
        <w:tc>
          <w:tcPr>
            <w:tcW w:w="5850" w:type="dxa"/>
          </w:tcPr>
          <w:p w14:paraId="6CB25CCB" w14:textId="77777777" w:rsidR="0027288D" w:rsidRPr="00B76153" w:rsidRDefault="0027288D" w:rsidP="00DF6215">
            <w:pPr>
              <w:pStyle w:val="TableHead"/>
            </w:pPr>
            <w:r w:rsidRPr="00B76153">
              <w:t>Reason for Issue</w:t>
            </w:r>
          </w:p>
        </w:tc>
        <w:tc>
          <w:tcPr>
            <w:tcW w:w="2520" w:type="dxa"/>
          </w:tcPr>
          <w:p w14:paraId="6CB25CCC" w14:textId="77777777" w:rsidR="0027288D" w:rsidRPr="00B76153" w:rsidRDefault="0027288D" w:rsidP="00DF6215">
            <w:pPr>
              <w:pStyle w:val="TableHead"/>
            </w:pPr>
            <w:r w:rsidRPr="00B76153">
              <w:t>Date</w:t>
            </w:r>
          </w:p>
        </w:tc>
      </w:tr>
      <w:tr w:rsidR="0027288D" w:rsidRPr="00B76153" w14:paraId="6CB25CD1" w14:textId="77777777" w:rsidTr="000951EC">
        <w:tc>
          <w:tcPr>
            <w:tcW w:w="990" w:type="dxa"/>
          </w:tcPr>
          <w:p w14:paraId="6CB25CCE" w14:textId="77777777" w:rsidR="0027288D" w:rsidRPr="00B76153" w:rsidRDefault="0027288D" w:rsidP="00FF25E2">
            <w:pPr>
              <w:pStyle w:val="TableText"/>
            </w:pPr>
          </w:p>
        </w:tc>
        <w:tc>
          <w:tcPr>
            <w:tcW w:w="5850" w:type="dxa"/>
          </w:tcPr>
          <w:p w14:paraId="6CB25CCF" w14:textId="77777777" w:rsidR="0027288D" w:rsidRPr="00B76153" w:rsidRDefault="0027288D" w:rsidP="00FF25E2">
            <w:pPr>
              <w:pStyle w:val="TableText"/>
            </w:pPr>
          </w:p>
        </w:tc>
        <w:tc>
          <w:tcPr>
            <w:tcW w:w="2520" w:type="dxa"/>
          </w:tcPr>
          <w:p w14:paraId="6CB25CD0" w14:textId="77777777" w:rsidR="0027288D" w:rsidRPr="00B76153" w:rsidRDefault="0027288D" w:rsidP="00FF25E2">
            <w:pPr>
              <w:pStyle w:val="TableText"/>
            </w:pPr>
          </w:p>
        </w:tc>
      </w:tr>
    </w:tbl>
    <w:p w14:paraId="6CB25CD2" w14:textId="77777777" w:rsidR="0027288D" w:rsidRPr="00B76153" w:rsidRDefault="0027288D" w:rsidP="00DF6215">
      <w:pPr>
        <w:pStyle w:val="DocumentControlSubHeading"/>
        <w:spacing w:before="240" w:after="120"/>
        <w:rPr>
          <w:rFonts w:ascii="Palatino Linotype" w:hAnsi="Palatino Linotype"/>
        </w:rPr>
      </w:pPr>
      <w:bookmarkStart w:id="6" w:name="_Toc420401235"/>
      <w:r w:rsidRPr="00B76153">
        <w:rPr>
          <w:rFonts w:ascii="Palatino Linotype" w:hAnsi="Palatino Linotype"/>
        </w:rPr>
        <w:t>References</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2970"/>
      </w:tblGrid>
      <w:tr w:rsidR="0027288D" w:rsidRPr="00B76153" w14:paraId="6CB25CD5" w14:textId="77777777" w:rsidTr="000951EC">
        <w:trPr>
          <w:tblHeader/>
        </w:trPr>
        <w:tc>
          <w:tcPr>
            <w:tcW w:w="6390" w:type="dxa"/>
            <w:tcBorders>
              <w:top w:val="single" w:sz="4" w:space="0" w:color="auto"/>
              <w:left w:val="single" w:sz="4" w:space="0" w:color="auto"/>
              <w:bottom w:val="single" w:sz="4" w:space="0" w:color="auto"/>
              <w:right w:val="single" w:sz="4" w:space="0" w:color="auto"/>
            </w:tcBorders>
            <w:shd w:val="clear" w:color="auto" w:fill="auto"/>
            <w:hideMark/>
          </w:tcPr>
          <w:p w14:paraId="6CB25CD3" w14:textId="77777777" w:rsidR="0027288D" w:rsidRPr="00B76153" w:rsidRDefault="0027288D" w:rsidP="00FF25E2">
            <w:pPr>
              <w:pStyle w:val="TableHead"/>
            </w:pPr>
            <w:r w:rsidRPr="00B76153">
              <w:t>Document Title</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6CB25CD4" w14:textId="77777777" w:rsidR="0027288D" w:rsidRPr="00B76153" w:rsidRDefault="0027288D" w:rsidP="00FF25E2">
            <w:pPr>
              <w:pStyle w:val="TableHead"/>
            </w:pPr>
            <w:r w:rsidRPr="00B76153">
              <w:t>Document ID</w:t>
            </w:r>
          </w:p>
        </w:tc>
      </w:tr>
      <w:tr w:rsidR="0027288D" w:rsidRPr="00B76153" w14:paraId="6CB25CD8" w14:textId="77777777" w:rsidTr="000951EC">
        <w:tc>
          <w:tcPr>
            <w:tcW w:w="6390" w:type="dxa"/>
            <w:tcBorders>
              <w:top w:val="single" w:sz="4" w:space="0" w:color="auto"/>
              <w:left w:val="single" w:sz="4" w:space="0" w:color="auto"/>
              <w:bottom w:val="single" w:sz="4" w:space="0" w:color="auto"/>
              <w:right w:val="single" w:sz="4" w:space="0" w:color="auto"/>
            </w:tcBorders>
            <w:vAlign w:val="center"/>
          </w:tcPr>
          <w:p w14:paraId="6CB25CD6" w14:textId="77777777" w:rsidR="0027288D" w:rsidRPr="00101065" w:rsidRDefault="009A673F" w:rsidP="00FF25E2">
            <w:pPr>
              <w:pStyle w:val="TableText"/>
              <w:rPr>
                <w:i/>
              </w:rPr>
            </w:pPr>
            <w:r w:rsidRPr="00101065">
              <w:t>Approved Project Portfolio</w:t>
            </w:r>
          </w:p>
        </w:tc>
        <w:tc>
          <w:tcPr>
            <w:tcW w:w="2970" w:type="dxa"/>
            <w:tcBorders>
              <w:top w:val="single" w:sz="4" w:space="0" w:color="auto"/>
              <w:left w:val="single" w:sz="4" w:space="0" w:color="auto"/>
              <w:bottom w:val="single" w:sz="4" w:space="0" w:color="auto"/>
              <w:right w:val="single" w:sz="4" w:space="0" w:color="auto"/>
            </w:tcBorders>
            <w:vAlign w:val="center"/>
          </w:tcPr>
          <w:p w14:paraId="6CB25CD7" w14:textId="77777777" w:rsidR="0027288D" w:rsidRPr="00101065" w:rsidRDefault="0027288D" w:rsidP="00FF25E2">
            <w:pPr>
              <w:pStyle w:val="TableText"/>
              <w:rPr>
                <w:i/>
              </w:rPr>
            </w:pPr>
          </w:p>
        </w:tc>
      </w:tr>
      <w:tr w:rsidR="0027288D" w:rsidRPr="00B76153" w14:paraId="6CB25CDB" w14:textId="77777777" w:rsidTr="000951EC">
        <w:tc>
          <w:tcPr>
            <w:tcW w:w="6390" w:type="dxa"/>
            <w:tcBorders>
              <w:top w:val="single" w:sz="4" w:space="0" w:color="auto"/>
              <w:left w:val="single" w:sz="4" w:space="0" w:color="auto"/>
              <w:bottom w:val="single" w:sz="4" w:space="0" w:color="auto"/>
              <w:right w:val="single" w:sz="4" w:space="0" w:color="auto"/>
            </w:tcBorders>
            <w:vAlign w:val="center"/>
          </w:tcPr>
          <w:p w14:paraId="6CB25CD9" w14:textId="77777777" w:rsidR="0027288D" w:rsidRPr="00101065" w:rsidRDefault="0027288D" w:rsidP="00FF25E2">
            <w:pPr>
              <w:pStyle w:val="TableText"/>
              <w:rPr>
                <w:i/>
              </w:rPr>
            </w:pPr>
            <w:r w:rsidRPr="00101065">
              <w:rPr>
                <w:i/>
              </w:rPr>
              <w:t>Project  Roles and Responsibilities</w:t>
            </w:r>
          </w:p>
        </w:tc>
        <w:tc>
          <w:tcPr>
            <w:tcW w:w="2970" w:type="dxa"/>
            <w:tcBorders>
              <w:top w:val="single" w:sz="4" w:space="0" w:color="auto"/>
              <w:left w:val="single" w:sz="4" w:space="0" w:color="auto"/>
              <w:bottom w:val="single" w:sz="4" w:space="0" w:color="auto"/>
              <w:right w:val="single" w:sz="4" w:space="0" w:color="auto"/>
            </w:tcBorders>
            <w:vAlign w:val="center"/>
          </w:tcPr>
          <w:p w14:paraId="6CB25CDA" w14:textId="77777777" w:rsidR="0027288D" w:rsidRPr="00101065" w:rsidRDefault="00795C21" w:rsidP="004B3B10">
            <w:pPr>
              <w:pStyle w:val="TableText"/>
              <w:jc w:val="center"/>
            </w:pPr>
            <w:r w:rsidRPr="00101065">
              <w:rPr>
                <w:i/>
              </w:rPr>
              <w:t>GDE-309</w:t>
            </w:r>
          </w:p>
        </w:tc>
      </w:tr>
    </w:tbl>
    <w:p w14:paraId="6CB25CDC" w14:textId="77777777" w:rsidR="0027288D" w:rsidRDefault="0027288D" w:rsidP="00DF6215">
      <w:pPr>
        <w:pStyle w:val="DocumentControlSubHeading"/>
        <w:spacing w:before="240" w:after="120"/>
        <w:rPr>
          <w:rFonts w:ascii="Palatino Linotype" w:hAnsi="Palatino Linotype"/>
        </w:rPr>
      </w:pPr>
      <w:bookmarkStart w:id="7" w:name="_Toc420401236"/>
      <w:bookmarkStart w:id="8" w:name="_Toc263331301"/>
      <w:bookmarkStart w:id="9" w:name="_Toc263331186"/>
      <w:bookmarkStart w:id="10" w:name="_Toc263330369"/>
      <w:bookmarkStart w:id="11" w:name="_Toc263330294"/>
      <w:r w:rsidRPr="00B76153">
        <w:rPr>
          <w:rFonts w:ascii="Palatino Linotype" w:hAnsi="Palatino Linotype"/>
        </w:rPr>
        <w:t>Related Documents</w:t>
      </w:r>
      <w:bookmarkEnd w:id="7"/>
      <w:bookmarkEnd w:id="8"/>
      <w:bookmarkEnd w:id="9"/>
      <w:bookmarkEnd w:id="10"/>
      <w:bookmarkEnd w:id="11"/>
    </w:p>
    <w:tbl>
      <w:tblPr>
        <w:tblpPr w:leftFromText="180" w:rightFromText="180" w:vertAnchor="text" w:tblpX="19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2970"/>
      </w:tblGrid>
      <w:tr w:rsidR="0027288D" w:rsidRPr="00B76153" w14:paraId="6CB25CDF" w14:textId="77777777" w:rsidTr="00DF6215">
        <w:trPr>
          <w:tblHeader/>
        </w:trPr>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6CB25CDD" w14:textId="77777777" w:rsidR="0027288D" w:rsidRPr="00B76153" w:rsidRDefault="0027288D" w:rsidP="00DF6215">
            <w:pPr>
              <w:pStyle w:val="TableHead"/>
            </w:pPr>
            <w:r w:rsidRPr="00B76153">
              <w:t>Document Title</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6CB25CDE" w14:textId="77777777" w:rsidR="0027288D" w:rsidRPr="00B76153" w:rsidRDefault="0027288D" w:rsidP="00DF6215">
            <w:pPr>
              <w:pStyle w:val="TableHead"/>
            </w:pPr>
            <w:r w:rsidRPr="00B76153">
              <w:t>Document ID</w:t>
            </w:r>
          </w:p>
        </w:tc>
      </w:tr>
      <w:tr w:rsidR="0027288D" w:rsidRPr="00B76153" w14:paraId="6CB25CE2" w14:textId="77777777" w:rsidTr="00DF6215">
        <w:tc>
          <w:tcPr>
            <w:tcW w:w="6300" w:type="dxa"/>
            <w:tcBorders>
              <w:top w:val="single" w:sz="4" w:space="0" w:color="auto"/>
              <w:left w:val="single" w:sz="4" w:space="0" w:color="auto"/>
              <w:bottom w:val="single" w:sz="4" w:space="0" w:color="auto"/>
              <w:right w:val="single" w:sz="4" w:space="0" w:color="auto"/>
            </w:tcBorders>
            <w:vAlign w:val="center"/>
          </w:tcPr>
          <w:p w14:paraId="6CB25CE0" w14:textId="77777777" w:rsidR="0027288D" w:rsidRPr="00B76153" w:rsidRDefault="0027288D" w:rsidP="00681DC5">
            <w:pPr>
              <w:pStyle w:val="TableText"/>
              <w:rPr>
                <w:i/>
                <w:color w:val="0066FF"/>
              </w:rPr>
            </w:pPr>
          </w:p>
        </w:tc>
        <w:tc>
          <w:tcPr>
            <w:tcW w:w="2970" w:type="dxa"/>
            <w:tcBorders>
              <w:top w:val="single" w:sz="4" w:space="0" w:color="auto"/>
              <w:left w:val="single" w:sz="4" w:space="0" w:color="auto"/>
              <w:bottom w:val="single" w:sz="4" w:space="0" w:color="auto"/>
              <w:right w:val="single" w:sz="4" w:space="0" w:color="auto"/>
            </w:tcBorders>
            <w:vAlign w:val="center"/>
          </w:tcPr>
          <w:p w14:paraId="6CB25CE1" w14:textId="77777777" w:rsidR="0027288D" w:rsidRPr="00B76153" w:rsidRDefault="0027288D" w:rsidP="00DF6215">
            <w:pPr>
              <w:pStyle w:val="TableText"/>
              <w:rPr>
                <w:color w:val="0066FF"/>
              </w:rPr>
            </w:pPr>
          </w:p>
        </w:tc>
      </w:tr>
    </w:tbl>
    <w:p w14:paraId="6CB25CE3" w14:textId="77777777" w:rsidR="00DF6215" w:rsidRDefault="00DF6215" w:rsidP="00DF6215">
      <w:pPr>
        <w:jc w:val="center"/>
        <w:rPr>
          <w:rFonts w:ascii="Palatino Linotype" w:hAnsi="Palatino Linotype"/>
          <w:b/>
        </w:rPr>
      </w:pPr>
    </w:p>
    <w:p w14:paraId="6CB25CE4" w14:textId="77777777" w:rsidR="00FC2C4E" w:rsidRPr="00FC2C4E" w:rsidRDefault="00DF6215" w:rsidP="00DF6215">
      <w:pPr>
        <w:jc w:val="center"/>
        <w:rPr>
          <w:rFonts w:ascii="Cambria" w:hAnsi="Cambria"/>
          <w:b/>
          <w:sz w:val="28"/>
          <w:szCs w:val="28"/>
        </w:rPr>
      </w:pPr>
      <w:r w:rsidRPr="00B76153">
        <w:rPr>
          <w:rFonts w:ascii="Palatino Linotype" w:hAnsi="Palatino Linotype"/>
          <w:b/>
        </w:rPr>
        <w:t>– End of Document –</w:t>
      </w:r>
    </w:p>
    <w:sectPr w:rsidR="00FC2C4E" w:rsidRPr="00FC2C4E" w:rsidSect="00054916">
      <w:footerReference w:type="default" r:id="rId26"/>
      <w:footerReference w:type="first" r:id="rId27"/>
      <w:pgSz w:w="12240" w:h="15840"/>
      <w:pgMar w:top="1440" w:right="1440" w:bottom="1440" w:left="1440" w:header="576" w:footer="576"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3370A7" w15:done="0"/>
  <w15:commentEx w15:paraId="5E049147" w15:done="0"/>
  <w15:commentEx w15:paraId="5AE0C456" w15:done="0"/>
  <w15:commentEx w15:paraId="4511F43C" w15:done="0"/>
  <w15:commentEx w15:paraId="689618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4DD13" w14:textId="77777777" w:rsidR="005E1604" w:rsidRDefault="005E1604" w:rsidP="00D9321B">
      <w:pPr>
        <w:spacing w:before="0"/>
      </w:pPr>
      <w:r>
        <w:separator/>
      </w:r>
    </w:p>
  </w:endnote>
  <w:endnote w:type="continuationSeparator" w:id="0">
    <w:p w14:paraId="35AADA16" w14:textId="77777777" w:rsidR="005E1604" w:rsidRDefault="005E1604" w:rsidP="00D9321B">
      <w:pPr>
        <w:spacing w:before="0"/>
      </w:pPr>
      <w:r>
        <w:continuationSeparator/>
      </w:r>
    </w:p>
  </w:endnote>
  <w:endnote w:type="continuationNotice" w:id="1">
    <w:p w14:paraId="3DAB8593" w14:textId="77777777" w:rsidR="005E1604" w:rsidRDefault="005E160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PGothic">
    <w:panose1 w:val="020B0600070205080204"/>
    <w:charset w:val="80"/>
    <w:family w:val="swiss"/>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25D07" w14:textId="77777777" w:rsidR="000C12D3" w:rsidRDefault="000C12D3" w:rsidP="002E66B4">
    <w:pPr>
      <w:pStyle w:val="Footer"/>
      <w:spacing w:after="120"/>
      <w:rPr>
        <w:rFonts w:ascii="Palatino Linotype" w:hAnsi="Palatino Linotype"/>
        <w:sz w:val="22"/>
        <w:szCs w:val="22"/>
      </w:rPr>
    </w:pPr>
  </w:p>
  <w:p w14:paraId="6CB25D08" w14:textId="77777777" w:rsidR="000C12D3" w:rsidRDefault="000C12D3" w:rsidP="002E66B4">
    <w:pPr>
      <w:pStyle w:val="Footer"/>
      <w:spacing w:after="120"/>
      <w:rPr>
        <w:rFonts w:ascii="Palatino Linotype" w:hAnsi="Palatino Linotype"/>
        <w:sz w:val="22"/>
        <w:szCs w:val="22"/>
      </w:rPr>
    </w:pPr>
  </w:p>
  <w:p w14:paraId="6CB25D09" w14:textId="73DFF6CF" w:rsidR="000C12D3" w:rsidRPr="002E66B4" w:rsidRDefault="000C12D3" w:rsidP="002E66B4">
    <w:pPr>
      <w:pStyle w:val="Footer"/>
      <w:spacing w:after="120"/>
      <w:rPr>
        <w:rFonts w:ascii="Palatino Linotype" w:hAnsi="Palatino Linotype"/>
        <w:sz w:val="22"/>
        <w:szCs w:val="22"/>
      </w:rPr>
    </w:pPr>
    <w:r w:rsidRPr="002E66B4">
      <w:rPr>
        <w:rFonts w:ascii="Palatino Linotype" w:hAnsi="Palatino Linotype"/>
        <w:noProof/>
        <w:sz w:val="22"/>
        <w:szCs w:val="22"/>
        <w:lang w:val="en-CA" w:eastAsia="en-CA"/>
      </w:rPr>
      <w:drawing>
        <wp:anchor distT="0" distB="0" distL="114300" distR="114300" simplePos="0" relativeHeight="251658240" behindDoc="1" locked="0" layoutInCell="1" allowOverlap="1" wp14:anchorId="6CB25D0E" wp14:editId="6CB25D0F">
          <wp:simplePos x="0" y="0"/>
          <wp:positionH relativeFrom="column">
            <wp:posOffset>5097780</wp:posOffset>
          </wp:positionH>
          <wp:positionV relativeFrom="paragraph">
            <wp:posOffset>49530</wp:posOffset>
          </wp:positionV>
          <wp:extent cx="1627505" cy="749300"/>
          <wp:effectExtent l="0" t="0" r="0" b="0"/>
          <wp:wrapThrough wrapText="bothSides">
            <wp:wrapPolygon edited="0">
              <wp:start x="0" y="0"/>
              <wp:lineTo x="0" y="20868"/>
              <wp:lineTo x="21238" y="20868"/>
              <wp:lineTo x="2123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7505" cy="74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66B4">
      <w:rPr>
        <w:rFonts w:ascii="Palatino Linotype" w:hAnsi="Palatino Linotype"/>
        <w:sz w:val="22"/>
        <w:szCs w:val="22"/>
      </w:rPr>
      <w:fldChar w:fldCharType="begin"/>
    </w:r>
    <w:r w:rsidRPr="002E66B4">
      <w:rPr>
        <w:rFonts w:ascii="Palatino Linotype" w:hAnsi="Palatino Linotype"/>
        <w:sz w:val="22"/>
        <w:szCs w:val="22"/>
      </w:rPr>
      <w:instrText xml:space="preserve"> DOCPROPERTY  Keywords  \* MERGEFORMAT </w:instrText>
    </w:r>
    <w:r w:rsidRPr="002E66B4">
      <w:rPr>
        <w:rFonts w:ascii="Palatino Linotype" w:hAnsi="Palatino Linotype"/>
        <w:sz w:val="22"/>
        <w:szCs w:val="22"/>
      </w:rPr>
      <w:fldChar w:fldCharType="separate"/>
    </w:r>
    <w:r>
      <w:rPr>
        <w:rFonts w:ascii="Palatino Linotype" w:hAnsi="Palatino Linotype"/>
        <w:sz w:val="22"/>
        <w:szCs w:val="22"/>
      </w:rPr>
      <w:t>PC-7</w:t>
    </w:r>
    <w:r w:rsidRPr="002E66B4">
      <w:rPr>
        <w:rFonts w:ascii="Palatino Linotype" w:hAnsi="Palatino Linotype"/>
        <w:sz w:val="22"/>
        <w:szCs w:val="22"/>
      </w:rPr>
      <w:fldChar w:fldCharType="end"/>
    </w:r>
    <w:r w:rsidRPr="002E66B4">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Pr="002E66B4">
      <w:rPr>
        <w:rFonts w:ascii="Palatino Linotype" w:hAnsi="Palatino Linotype"/>
        <w:sz w:val="22"/>
        <w:szCs w:val="22"/>
      </w:rPr>
      <w:t xml:space="preserve">Page </w:t>
    </w:r>
    <w:r w:rsidRPr="002E66B4">
      <w:rPr>
        <w:rStyle w:val="PageNumber"/>
        <w:rFonts w:ascii="Palatino Linotype" w:hAnsi="Palatino Linotype"/>
        <w:sz w:val="22"/>
        <w:szCs w:val="22"/>
      </w:rPr>
      <w:fldChar w:fldCharType="begin"/>
    </w:r>
    <w:r w:rsidRPr="002E66B4">
      <w:rPr>
        <w:rStyle w:val="PageNumber"/>
        <w:rFonts w:ascii="Palatino Linotype" w:hAnsi="Palatino Linotype"/>
        <w:sz w:val="22"/>
        <w:szCs w:val="22"/>
      </w:rPr>
      <w:instrText xml:space="preserve"> PAGE  \* Arabic </w:instrText>
    </w:r>
    <w:r w:rsidRPr="002E66B4">
      <w:rPr>
        <w:rStyle w:val="PageNumber"/>
        <w:rFonts w:ascii="Palatino Linotype" w:hAnsi="Palatino Linotype"/>
        <w:sz w:val="22"/>
        <w:szCs w:val="22"/>
      </w:rPr>
      <w:fldChar w:fldCharType="separate"/>
    </w:r>
    <w:r w:rsidR="009E7042">
      <w:rPr>
        <w:rStyle w:val="PageNumber"/>
        <w:rFonts w:ascii="Palatino Linotype" w:hAnsi="Palatino Linotype"/>
        <w:noProof/>
        <w:sz w:val="22"/>
        <w:szCs w:val="22"/>
      </w:rPr>
      <w:t>2</w:t>
    </w:r>
    <w:r w:rsidRPr="002E66B4">
      <w:rPr>
        <w:rStyle w:val="PageNumber"/>
        <w:rFonts w:ascii="Palatino Linotype" w:hAnsi="Palatino Linotype"/>
        <w:sz w:val="22"/>
        <w:szCs w:val="22"/>
      </w:rPr>
      <w:fldChar w:fldCharType="end"/>
    </w:r>
    <w:r w:rsidRPr="002E66B4">
      <w:rPr>
        <w:rStyle w:val="PageNumber"/>
        <w:rFonts w:ascii="Palatino Linotype" w:hAnsi="Palatino Linotype"/>
        <w:sz w:val="22"/>
        <w:szCs w:val="22"/>
      </w:rPr>
      <w:t xml:space="preserve"> of </w:t>
    </w:r>
    <w:r w:rsidRPr="002E66B4">
      <w:rPr>
        <w:rFonts w:ascii="Palatino Linotype" w:hAnsi="Palatino Linotype"/>
        <w:sz w:val="22"/>
        <w:szCs w:val="22"/>
      </w:rPr>
      <w:fldChar w:fldCharType="begin"/>
    </w:r>
    <w:r w:rsidRPr="002E66B4">
      <w:rPr>
        <w:rFonts w:ascii="Palatino Linotype" w:hAnsi="Palatino Linotype"/>
        <w:sz w:val="22"/>
        <w:szCs w:val="22"/>
      </w:rPr>
      <w:instrText xml:space="preserve"> NUMPAGES  </w:instrText>
    </w:r>
    <w:r w:rsidRPr="002E66B4">
      <w:rPr>
        <w:rFonts w:ascii="Palatino Linotype" w:hAnsi="Palatino Linotype"/>
        <w:sz w:val="22"/>
        <w:szCs w:val="22"/>
      </w:rPr>
      <w:fldChar w:fldCharType="separate"/>
    </w:r>
    <w:r w:rsidR="009E7042">
      <w:rPr>
        <w:rFonts w:ascii="Palatino Linotype" w:hAnsi="Palatino Linotype"/>
        <w:noProof/>
        <w:sz w:val="22"/>
        <w:szCs w:val="22"/>
      </w:rPr>
      <w:t>44</w:t>
    </w:r>
    <w:r w:rsidRPr="002E66B4">
      <w:rPr>
        <w:rFonts w:ascii="Palatino Linotype" w:hAnsi="Palatino Linotype"/>
        <w:noProof/>
        <w:sz w:val="22"/>
        <w:szCs w:val="22"/>
      </w:rPr>
      <w:fldChar w:fldCharType="end"/>
    </w:r>
  </w:p>
  <w:p w14:paraId="6CB25D0A" w14:textId="382EE2F6" w:rsidR="000C12D3" w:rsidRPr="00B54476" w:rsidRDefault="000C12D3" w:rsidP="00663DED">
    <w:pPr>
      <w:pStyle w:val="Footer"/>
      <w:spacing w:after="100" w:afterAutospacing="1"/>
      <w:ind w:right="0"/>
      <w:rPr>
        <w:rFonts w:ascii="Palatino Linotype" w:hAnsi="Palatino Linotype"/>
        <w:sz w:val="22"/>
        <w:szCs w:val="22"/>
      </w:rPr>
    </w:pPr>
    <w:r w:rsidRPr="002E66B4">
      <w:rPr>
        <w:rFonts w:ascii="Palatino Linotype" w:hAnsi="Palatino Linotype"/>
        <w:sz w:val="22"/>
        <w:szCs w:val="22"/>
      </w:rPr>
      <w:t xml:space="preserve">Issue:  - </w:t>
    </w:r>
    <w:r w:rsidRPr="0016164B">
      <w:rPr>
        <w:rFonts w:ascii="Palatino Linotype" w:hAnsi="Palatino Linotype"/>
        <w:sz w:val="22"/>
        <w:szCs w:val="22"/>
      </w:rPr>
      <w:fldChar w:fldCharType="begin"/>
    </w:r>
    <w:r w:rsidRPr="0016164B">
      <w:rPr>
        <w:rFonts w:ascii="Palatino Linotype" w:hAnsi="Palatino Linotype"/>
        <w:sz w:val="22"/>
        <w:szCs w:val="22"/>
      </w:rPr>
      <w:instrText xml:space="preserve"> COMMENTS   \* MERGEFORMAT </w:instrText>
    </w:r>
    <w:r w:rsidRPr="0016164B">
      <w:rPr>
        <w:rFonts w:ascii="Palatino Linotype" w:hAnsi="Palatino Linotype"/>
        <w:sz w:val="22"/>
        <w:szCs w:val="22"/>
      </w:rPr>
      <w:fldChar w:fldCharType="separate"/>
    </w:r>
    <w:r>
      <w:rPr>
        <w:rFonts w:ascii="Palatino Linotype" w:hAnsi="Palatino Linotype"/>
        <w:sz w:val="22"/>
        <w:szCs w:val="22"/>
      </w:rPr>
      <w:t>June 7, 2019</w:t>
    </w:r>
    <w:r w:rsidRPr="0016164B">
      <w:rPr>
        <w:rFonts w:ascii="Palatino Linotype" w:hAnsi="Palatino Linotype"/>
        <w:sz w:val="22"/>
        <w:szCs w:val="22"/>
      </w:rPr>
      <w:fldChar w:fldCharType="end"/>
    </w:r>
    <w:r w:rsidRPr="002E66B4">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25D0B" w14:textId="77777777" w:rsidR="000C12D3" w:rsidRPr="00B54476" w:rsidRDefault="000C12D3" w:rsidP="00663DED">
    <w:pPr>
      <w:pStyle w:val="Footer"/>
      <w:spacing w:after="0"/>
      <w:ind w:right="0"/>
      <w:jc w:val="center"/>
      <w:rPr>
        <w:rFonts w:ascii="Palatino Linotype" w:hAnsi="Palatino Linotype"/>
        <w:sz w:val="22"/>
        <w:szCs w:val="22"/>
      </w:rPr>
    </w:pPr>
    <w:r w:rsidRPr="00B54476">
      <w:rPr>
        <w:rFonts w:ascii="Palatino Linotype" w:hAnsi="Palatino Linotype"/>
        <w:sz w:val="22"/>
        <w:szCs w:val="22"/>
      </w:rPr>
      <w:fldChar w:fldCharType="begin"/>
    </w:r>
    <w:r w:rsidRPr="00B54476">
      <w:rPr>
        <w:rFonts w:ascii="Palatino Linotype" w:hAnsi="Palatino Linotype"/>
        <w:sz w:val="22"/>
        <w:szCs w:val="22"/>
      </w:rPr>
      <w:instrText xml:space="preserve"> SUBJECT   \* MERGEFORMAT </w:instrText>
    </w:r>
    <w:r w:rsidRPr="00B54476">
      <w:rPr>
        <w:rFonts w:ascii="Palatino Linotype" w:hAnsi="Palatino Linotype"/>
        <w:sz w:val="22"/>
        <w:szCs w:val="22"/>
      </w:rPr>
      <w:fldChar w:fldCharType="end"/>
    </w:r>
  </w:p>
  <w:p w14:paraId="6CB25D0C" w14:textId="77777777" w:rsidR="000C12D3" w:rsidRPr="00B54476" w:rsidRDefault="000C12D3" w:rsidP="00B54476">
    <w:pPr>
      <w:pStyle w:val="Footer"/>
      <w:spacing w:after="100" w:afterAutospacing="1"/>
      <w:ind w:right="0"/>
      <w:jc w:val="center"/>
      <w:rPr>
        <w:rFonts w:ascii="Palatino Linotype" w:hAnsi="Palatino Linotype"/>
        <w:sz w:val="22"/>
        <w:szCs w:val="22"/>
      </w:rPr>
    </w:pPr>
    <w:r w:rsidRPr="002E66B4">
      <w:rPr>
        <w:rFonts w:ascii="Palatino Linotype" w:hAnsi="Palatino Linotype"/>
        <w:noProof/>
        <w:sz w:val="22"/>
        <w:szCs w:val="22"/>
        <w:lang w:val="en-CA" w:eastAsia="en-CA"/>
      </w:rPr>
      <w:drawing>
        <wp:anchor distT="0" distB="0" distL="114300" distR="114300" simplePos="0" relativeHeight="251658241" behindDoc="1" locked="0" layoutInCell="1" allowOverlap="1" wp14:anchorId="6CB25D10" wp14:editId="6CB25D11">
          <wp:simplePos x="0" y="0"/>
          <wp:positionH relativeFrom="column">
            <wp:posOffset>5170170</wp:posOffset>
          </wp:positionH>
          <wp:positionV relativeFrom="paragraph">
            <wp:posOffset>-17145</wp:posOffset>
          </wp:positionV>
          <wp:extent cx="1627505" cy="749300"/>
          <wp:effectExtent l="0" t="0" r="0" b="0"/>
          <wp:wrapThrough wrapText="bothSides">
            <wp:wrapPolygon edited="0">
              <wp:start x="0" y="0"/>
              <wp:lineTo x="0" y="20868"/>
              <wp:lineTo x="21238" y="20868"/>
              <wp:lineTo x="2123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7505" cy="74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B25D0D" w14:textId="77777777" w:rsidR="000C12D3" w:rsidRDefault="000C1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A6091" w14:textId="77777777" w:rsidR="005E1604" w:rsidRDefault="005E1604" w:rsidP="00D9321B">
      <w:pPr>
        <w:spacing w:before="0"/>
      </w:pPr>
      <w:r>
        <w:separator/>
      </w:r>
    </w:p>
  </w:footnote>
  <w:footnote w:type="continuationSeparator" w:id="0">
    <w:p w14:paraId="1943CE3D" w14:textId="77777777" w:rsidR="005E1604" w:rsidRDefault="005E1604" w:rsidP="00D9321B">
      <w:pPr>
        <w:spacing w:before="0"/>
      </w:pPr>
      <w:r>
        <w:continuationSeparator/>
      </w:r>
    </w:p>
  </w:footnote>
  <w:footnote w:type="continuationNotice" w:id="1">
    <w:p w14:paraId="487EEA4F" w14:textId="77777777" w:rsidR="005E1604" w:rsidRDefault="005E1604">
      <w:pPr>
        <w:spacing w:before="0"/>
      </w:pPr>
    </w:p>
  </w:footnote>
  <w:footnote w:id="2">
    <w:p w14:paraId="6CB25D12" w14:textId="77777777" w:rsidR="000C12D3" w:rsidRPr="000B11F7" w:rsidRDefault="000C12D3">
      <w:pPr>
        <w:pStyle w:val="FootnoteText"/>
        <w:rPr>
          <w:lang w:val="en-CA"/>
        </w:rPr>
      </w:pPr>
      <w:r>
        <w:rPr>
          <w:rStyle w:val="FootnoteReference"/>
        </w:rPr>
        <w:footnoteRef/>
      </w:r>
      <w:r>
        <w:t xml:space="preserve"> </w:t>
      </w:r>
      <w:r w:rsidRPr="005429C0">
        <w:t>http://ieso.corp.int/inside-the-ieso/peter-gregg-speaks-ontario-energy-networking</w:t>
      </w:r>
    </w:p>
  </w:footnote>
  <w:footnote w:id="3">
    <w:p w14:paraId="6CB25D13" w14:textId="35C0A4C2" w:rsidR="000C12D3" w:rsidRPr="00396401" w:rsidRDefault="000C12D3" w:rsidP="00273339">
      <w:pPr>
        <w:pStyle w:val="FootnoteText"/>
        <w:rPr>
          <w:lang w:val="en-CA"/>
        </w:rPr>
      </w:pPr>
      <w:r>
        <w:rPr>
          <w:rStyle w:val="FootnoteReference"/>
        </w:rPr>
        <w:footnoteRef/>
      </w:r>
      <w:r>
        <w:t xml:space="preserve"> Non-committed is defined as “</w:t>
      </w:r>
      <w:r w:rsidRPr="002D054B">
        <w:t>Resources that are not –in whole or in part - rate-regulated, contracted to the IESO, contracted to the OEFC, or obligated as a resource backed capacity export to another jurisdiction during the entire duration of a given Commitment Period</w:t>
      </w:r>
      <w:r>
        <w:t xml:space="preserve">”, per </w:t>
      </w:r>
      <w:hyperlink r:id="rId1" w:history="1">
        <w:r w:rsidRPr="002D054B">
          <w:rPr>
            <w:rStyle w:val="Hyperlink"/>
          </w:rPr>
          <w:t>Transitional Capacity Auction Phase I Design Document</w:t>
        </w:r>
      </w:hyperlink>
      <w:r>
        <w:t xml:space="preserve"> published externally</w:t>
      </w:r>
      <w:r w:rsidRPr="002D054B">
        <w:t>.</w:t>
      </w:r>
    </w:p>
  </w:footnote>
  <w:footnote w:id="4">
    <w:p w14:paraId="4115A36A" w14:textId="59D73E08" w:rsidR="000C12D3" w:rsidRPr="009F5BB2" w:rsidRDefault="000C12D3" w:rsidP="00CE1254">
      <w:pPr>
        <w:pStyle w:val="FootnoteText"/>
        <w:rPr>
          <w:lang w:val="en-CA"/>
        </w:rPr>
      </w:pPr>
      <w:r>
        <w:rPr>
          <w:rStyle w:val="FootnoteReference"/>
        </w:rPr>
        <w:footnoteRef/>
      </w:r>
      <w:r>
        <w:t xml:space="preserve"> </w:t>
      </w:r>
      <w:r w:rsidRPr="009F5BB2">
        <w:t>Capacity is the capability to generate electricity (or to reduce the consumption of electricity through demand response) when needed</w:t>
      </w:r>
      <w:r>
        <w:t>:</w:t>
      </w:r>
      <w:r w:rsidRPr="009F5BB2">
        <w:t xml:space="preserve"> </w:t>
      </w:r>
    </w:p>
    <w:p w14:paraId="762B02C7" w14:textId="71FAADF4" w:rsidR="000C12D3" w:rsidRPr="009F5BB2" w:rsidRDefault="000C12D3" w:rsidP="00CE1254">
      <w:pPr>
        <w:pStyle w:val="FootnoteText"/>
        <w:numPr>
          <w:ilvl w:val="0"/>
          <w:numId w:val="64"/>
        </w:numPr>
        <w:rPr>
          <w:lang w:val="en-CA"/>
        </w:rPr>
      </w:pPr>
      <w:r w:rsidRPr="009F5BB2">
        <w:t>Capacity is essential to be able to manage the changing dema</w:t>
      </w:r>
      <w:r>
        <w:t>nd on the system both from hour-to-</w:t>
      </w:r>
      <w:r w:rsidRPr="009F5BB2">
        <w:t>hour and between seasons</w:t>
      </w:r>
      <w:r>
        <w:t>.</w:t>
      </w:r>
    </w:p>
    <w:p w14:paraId="6B16945C" w14:textId="4BD9E15F" w:rsidR="000C12D3" w:rsidRPr="00CE1254" w:rsidRDefault="000C12D3" w:rsidP="00CE1254">
      <w:pPr>
        <w:pStyle w:val="FootnoteText"/>
        <w:numPr>
          <w:ilvl w:val="0"/>
          <w:numId w:val="64"/>
        </w:numPr>
        <w:rPr>
          <w:lang w:val="en-CA"/>
        </w:rPr>
      </w:pPr>
      <w:r w:rsidRPr="009F5BB2">
        <w:t>A reliable system has adequate capacity committed to meet pe</w:t>
      </w:r>
      <w:r>
        <w:t>ak demands under various system con</w:t>
      </w:r>
      <w:r w:rsidRPr="009F5BB2">
        <w:t>ditions including extreme weather</w:t>
      </w:r>
      <w:r>
        <w:t>.</w:t>
      </w:r>
    </w:p>
    <w:p w14:paraId="06022526" w14:textId="65EA4CED" w:rsidR="000C12D3" w:rsidRPr="00CE1254" w:rsidRDefault="000C12D3">
      <w:pPr>
        <w:pStyle w:val="FootnoteText"/>
        <w:rPr>
          <w:lang w:val="en-CA"/>
        </w:rPr>
      </w:pPr>
      <w:r w:rsidRPr="00055D3B">
        <w:t>Acquiring capacity essentially covers the portion of costs to build and/or maintain resources while the energy market covers the costs of a resource to actually run and provide energy</w:t>
      </w:r>
      <w:r>
        <w:t>.</w:t>
      </w:r>
    </w:p>
  </w:footnote>
  <w:footnote w:id="5">
    <w:p w14:paraId="6CB25D15" w14:textId="77777777" w:rsidR="000C12D3" w:rsidRPr="00A41DD9" w:rsidRDefault="000C12D3">
      <w:pPr>
        <w:pStyle w:val="FootnoteText"/>
        <w:rPr>
          <w:lang w:val="en-CA"/>
        </w:rPr>
      </w:pPr>
      <w:r>
        <w:rPr>
          <w:rStyle w:val="FootnoteReference"/>
        </w:rPr>
        <w:footnoteRef/>
      </w:r>
      <w:r>
        <w:t xml:space="preserve"> </w:t>
      </w:r>
      <w:r>
        <w:rPr>
          <w:lang w:val="en-CA"/>
        </w:rPr>
        <w:t>See Appendix B</w:t>
      </w:r>
    </w:p>
  </w:footnote>
  <w:footnote w:id="6">
    <w:p w14:paraId="6CB25D16" w14:textId="77777777" w:rsidR="000C12D3" w:rsidRPr="00383C55" w:rsidRDefault="000C12D3">
      <w:pPr>
        <w:pStyle w:val="FootnoteText"/>
        <w:rPr>
          <w:lang w:val="en-CA"/>
        </w:rPr>
      </w:pPr>
      <w:r>
        <w:rPr>
          <w:rStyle w:val="FootnoteReference"/>
        </w:rPr>
        <w:footnoteRef/>
      </w:r>
      <w:r>
        <w:t xml:space="preserve"> </w:t>
      </w:r>
      <w:r>
        <w:rPr>
          <w:lang w:val="en-CA"/>
        </w:rPr>
        <w:t xml:space="preserve">See “A Benefits Case Assessment for the Market Renewal Project” by The Brattle Group, </w:t>
      </w:r>
      <w:hyperlink r:id="rId2" w:history="1">
        <w:r w:rsidRPr="00383C55">
          <w:rPr>
            <w:rStyle w:val="Hyperlink"/>
            <w:lang w:val="en-CA"/>
          </w:rPr>
          <w:t>here</w:t>
        </w:r>
      </w:hyperlink>
    </w:p>
  </w:footnote>
  <w:footnote w:id="7">
    <w:p w14:paraId="6CB25D17" w14:textId="77777777" w:rsidR="000C12D3" w:rsidRPr="008628D0" w:rsidRDefault="000C12D3">
      <w:pPr>
        <w:pStyle w:val="FootnoteText"/>
        <w:rPr>
          <w:lang w:val="en-CA"/>
        </w:rPr>
      </w:pPr>
      <w:r>
        <w:rPr>
          <w:rStyle w:val="FootnoteReference"/>
        </w:rPr>
        <w:footnoteRef/>
      </w:r>
      <w:r>
        <w:t xml:space="preserve"> </w:t>
      </w:r>
      <w:r>
        <w:rPr>
          <w:lang w:val="en-CA"/>
        </w:rPr>
        <w:t xml:space="preserve">Same, </w:t>
      </w:r>
      <w:hyperlink r:id="rId3" w:history="1">
        <w:r w:rsidRPr="00383C55">
          <w:rPr>
            <w:rStyle w:val="Hyperlink"/>
            <w:lang w:val="en-CA"/>
          </w:rPr>
          <w:t>here</w:t>
        </w:r>
      </w:hyperlink>
    </w:p>
  </w:footnote>
  <w:footnote w:id="8">
    <w:p w14:paraId="6CB25D19" w14:textId="77777777" w:rsidR="000C12D3" w:rsidRPr="0090325C" w:rsidRDefault="000C12D3">
      <w:pPr>
        <w:pStyle w:val="FootnoteText"/>
        <w:rPr>
          <w:lang w:val="en-CA"/>
        </w:rPr>
      </w:pPr>
      <w:r>
        <w:rPr>
          <w:rStyle w:val="FootnoteReference"/>
        </w:rPr>
        <w:footnoteRef/>
      </w:r>
      <w:r>
        <w:t xml:space="preserve"> </w:t>
      </w:r>
      <w:r>
        <w:rPr>
          <w:lang w:val="en-CA"/>
        </w:rPr>
        <w:t>Slide 12, “</w:t>
      </w:r>
      <w:hyperlink r:id="rId4" w:history="1">
        <w:r w:rsidRPr="008A7576">
          <w:rPr>
            <w:rStyle w:val="Hyperlink"/>
            <w:lang w:val="en-CA"/>
          </w:rPr>
          <w:t>Transitional Capacity Auction Draft Phase I Design</w:t>
        </w:r>
      </w:hyperlink>
      <w:r>
        <w:rPr>
          <w:lang w:val="en-CA"/>
        </w:rPr>
        <w:t xml:space="preserve">” TCA Stakeholder engagement presentation to be held on April 18, 2019.  </w:t>
      </w:r>
    </w:p>
  </w:footnote>
  <w:footnote w:id="9">
    <w:p w14:paraId="6CB25D1A" w14:textId="77777777" w:rsidR="000C12D3" w:rsidRPr="00DC0F46" w:rsidRDefault="000C12D3">
      <w:pPr>
        <w:pStyle w:val="FootnoteText"/>
        <w:rPr>
          <w:lang w:val="en-CA"/>
        </w:rPr>
      </w:pPr>
      <w:r>
        <w:rPr>
          <w:rStyle w:val="FootnoteReference"/>
        </w:rPr>
        <w:footnoteRef/>
      </w:r>
      <w:r>
        <w:t xml:space="preserve"> </w:t>
      </w:r>
      <w:r>
        <w:rPr>
          <w:lang w:val="en-CA"/>
        </w:rPr>
        <w:t>Slide 13, “</w:t>
      </w:r>
      <w:hyperlink r:id="rId5" w:history="1">
        <w:r w:rsidRPr="008A7576">
          <w:rPr>
            <w:rStyle w:val="Hyperlink"/>
            <w:lang w:val="en-CA"/>
          </w:rPr>
          <w:t>Transitional Capacity Auction Draft Phase I Design</w:t>
        </w:r>
      </w:hyperlink>
      <w:r>
        <w:rPr>
          <w:lang w:val="en-CA"/>
        </w:rPr>
        <w:t xml:space="preserve">” TCA Stakeholder engagement presentation to be held on April 18, 2019.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12480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5F4D4A"/>
    <w:multiLevelType w:val="hybridMultilevel"/>
    <w:tmpl w:val="B6B023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4A43604"/>
    <w:multiLevelType w:val="hybridMultilevel"/>
    <w:tmpl w:val="0D3AE57C"/>
    <w:lvl w:ilvl="0" w:tplc="83C249AE">
      <w:start w:val="1"/>
      <w:numFmt w:val="lowerLetter"/>
      <w:lvlText w:val="%1."/>
      <w:lvlJc w:val="left"/>
      <w:pPr>
        <w:ind w:left="720" w:hanging="360"/>
      </w:pPr>
      <w:rPr>
        <w:rFonts w:ascii="Palatino Linotype" w:eastAsia="Times New Roman" w:hAnsi="Palatino Linotype" w:cs="Times New Roman"/>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A632CA7"/>
    <w:multiLevelType w:val="hybridMultilevel"/>
    <w:tmpl w:val="4FEA2C62"/>
    <w:lvl w:ilvl="0" w:tplc="1F16D498">
      <w:start w:val="1"/>
      <w:numFmt w:val="decimal"/>
      <w:lvlText w:val="%1."/>
      <w:lvlJc w:val="left"/>
      <w:pPr>
        <w:ind w:left="360" w:hanging="360"/>
      </w:pPr>
      <w:rPr>
        <w:i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0B347C80"/>
    <w:multiLevelType w:val="hybridMultilevel"/>
    <w:tmpl w:val="E56CFBD6"/>
    <w:lvl w:ilvl="0" w:tplc="6DA82FF2">
      <w:start w:val="1"/>
      <w:numFmt w:val="decimal"/>
      <w:lvlText w:val="%1."/>
      <w:lvlJc w:val="left"/>
      <w:pPr>
        <w:ind w:left="1800" w:hanging="360"/>
      </w:pPr>
      <w:rPr>
        <w:rFonts w:ascii="Palatino Linotype" w:hAnsi="Palatino Linotype" w:hint="default"/>
        <w:sz w:val="22"/>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nsid w:val="0B6B3CA5"/>
    <w:multiLevelType w:val="hybridMultilevel"/>
    <w:tmpl w:val="4FEA2C62"/>
    <w:lvl w:ilvl="0" w:tplc="1F16D498">
      <w:start w:val="1"/>
      <w:numFmt w:val="decimal"/>
      <w:lvlText w:val="%1."/>
      <w:lvlJc w:val="left"/>
      <w:pPr>
        <w:ind w:left="360" w:hanging="360"/>
      </w:pPr>
      <w:rPr>
        <w:i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0D563EDA"/>
    <w:multiLevelType w:val="hybridMultilevel"/>
    <w:tmpl w:val="E08033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DCE530E"/>
    <w:multiLevelType w:val="hybridMultilevel"/>
    <w:tmpl w:val="4FEA2C62"/>
    <w:lvl w:ilvl="0" w:tplc="1F16D498">
      <w:start w:val="1"/>
      <w:numFmt w:val="decimal"/>
      <w:lvlText w:val="%1."/>
      <w:lvlJc w:val="left"/>
      <w:pPr>
        <w:ind w:left="360" w:hanging="360"/>
      </w:pPr>
      <w:rPr>
        <w:i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0E980720"/>
    <w:multiLevelType w:val="hybridMultilevel"/>
    <w:tmpl w:val="7E5C2A1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0845BF6"/>
    <w:multiLevelType w:val="hybridMultilevel"/>
    <w:tmpl w:val="4FEA2C62"/>
    <w:lvl w:ilvl="0" w:tplc="1F16D498">
      <w:start w:val="1"/>
      <w:numFmt w:val="decimal"/>
      <w:lvlText w:val="%1."/>
      <w:lvlJc w:val="left"/>
      <w:pPr>
        <w:ind w:left="360" w:hanging="360"/>
      </w:pPr>
      <w:rPr>
        <w:i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113260C7"/>
    <w:multiLevelType w:val="hybridMultilevel"/>
    <w:tmpl w:val="4FEA2C62"/>
    <w:lvl w:ilvl="0" w:tplc="1F16D498">
      <w:start w:val="1"/>
      <w:numFmt w:val="decimal"/>
      <w:lvlText w:val="%1."/>
      <w:lvlJc w:val="left"/>
      <w:pPr>
        <w:ind w:left="360" w:hanging="360"/>
      </w:pPr>
      <w:rPr>
        <w:i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157730CB"/>
    <w:multiLevelType w:val="hybridMultilevel"/>
    <w:tmpl w:val="873ECA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88B48B6"/>
    <w:multiLevelType w:val="hybridMultilevel"/>
    <w:tmpl w:val="440CCD08"/>
    <w:lvl w:ilvl="0" w:tplc="661A4F34">
      <w:start w:val="1"/>
      <w:numFmt w:val="bullet"/>
      <w:lvlText w:val="•"/>
      <w:lvlJc w:val="left"/>
      <w:pPr>
        <w:tabs>
          <w:tab w:val="num" w:pos="720"/>
        </w:tabs>
        <w:ind w:left="720" w:hanging="360"/>
      </w:pPr>
      <w:rPr>
        <w:rFonts w:ascii="Times New Roman" w:hAnsi="Times New Roman" w:hint="default"/>
      </w:rPr>
    </w:lvl>
    <w:lvl w:ilvl="1" w:tplc="DB4216F0" w:tentative="1">
      <w:start w:val="1"/>
      <w:numFmt w:val="bullet"/>
      <w:lvlText w:val="•"/>
      <w:lvlJc w:val="left"/>
      <w:pPr>
        <w:tabs>
          <w:tab w:val="num" w:pos="1440"/>
        </w:tabs>
        <w:ind w:left="1440" w:hanging="360"/>
      </w:pPr>
      <w:rPr>
        <w:rFonts w:ascii="Times New Roman" w:hAnsi="Times New Roman" w:hint="default"/>
      </w:rPr>
    </w:lvl>
    <w:lvl w:ilvl="2" w:tplc="7168194C" w:tentative="1">
      <w:start w:val="1"/>
      <w:numFmt w:val="bullet"/>
      <w:lvlText w:val="•"/>
      <w:lvlJc w:val="left"/>
      <w:pPr>
        <w:tabs>
          <w:tab w:val="num" w:pos="2160"/>
        </w:tabs>
        <w:ind w:left="2160" w:hanging="360"/>
      </w:pPr>
      <w:rPr>
        <w:rFonts w:ascii="Times New Roman" w:hAnsi="Times New Roman" w:hint="default"/>
      </w:rPr>
    </w:lvl>
    <w:lvl w:ilvl="3" w:tplc="DD2EDF66" w:tentative="1">
      <w:start w:val="1"/>
      <w:numFmt w:val="bullet"/>
      <w:lvlText w:val="•"/>
      <w:lvlJc w:val="left"/>
      <w:pPr>
        <w:tabs>
          <w:tab w:val="num" w:pos="2880"/>
        </w:tabs>
        <w:ind w:left="2880" w:hanging="360"/>
      </w:pPr>
      <w:rPr>
        <w:rFonts w:ascii="Times New Roman" w:hAnsi="Times New Roman" w:hint="default"/>
      </w:rPr>
    </w:lvl>
    <w:lvl w:ilvl="4" w:tplc="FDDA5ECE" w:tentative="1">
      <w:start w:val="1"/>
      <w:numFmt w:val="bullet"/>
      <w:lvlText w:val="•"/>
      <w:lvlJc w:val="left"/>
      <w:pPr>
        <w:tabs>
          <w:tab w:val="num" w:pos="3600"/>
        </w:tabs>
        <w:ind w:left="3600" w:hanging="360"/>
      </w:pPr>
      <w:rPr>
        <w:rFonts w:ascii="Times New Roman" w:hAnsi="Times New Roman" w:hint="default"/>
      </w:rPr>
    </w:lvl>
    <w:lvl w:ilvl="5" w:tplc="8E70F7BA" w:tentative="1">
      <w:start w:val="1"/>
      <w:numFmt w:val="bullet"/>
      <w:lvlText w:val="•"/>
      <w:lvlJc w:val="left"/>
      <w:pPr>
        <w:tabs>
          <w:tab w:val="num" w:pos="4320"/>
        </w:tabs>
        <w:ind w:left="4320" w:hanging="360"/>
      </w:pPr>
      <w:rPr>
        <w:rFonts w:ascii="Times New Roman" w:hAnsi="Times New Roman" w:hint="default"/>
      </w:rPr>
    </w:lvl>
    <w:lvl w:ilvl="6" w:tplc="3FD8D618" w:tentative="1">
      <w:start w:val="1"/>
      <w:numFmt w:val="bullet"/>
      <w:lvlText w:val="•"/>
      <w:lvlJc w:val="left"/>
      <w:pPr>
        <w:tabs>
          <w:tab w:val="num" w:pos="5040"/>
        </w:tabs>
        <w:ind w:left="5040" w:hanging="360"/>
      </w:pPr>
      <w:rPr>
        <w:rFonts w:ascii="Times New Roman" w:hAnsi="Times New Roman" w:hint="default"/>
      </w:rPr>
    </w:lvl>
    <w:lvl w:ilvl="7" w:tplc="18B40616" w:tentative="1">
      <w:start w:val="1"/>
      <w:numFmt w:val="bullet"/>
      <w:lvlText w:val="•"/>
      <w:lvlJc w:val="left"/>
      <w:pPr>
        <w:tabs>
          <w:tab w:val="num" w:pos="5760"/>
        </w:tabs>
        <w:ind w:left="5760" w:hanging="360"/>
      </w:pPr>
      <w:rPr>
        <w:rFonts w:ascii="Times New Roman" w:hAnsi="Times New Roman" w:hint="default"/>
      </w:rPr>
    </w:lvl>
    <w:lvl w:ilvl="8" w:tplc="CB34337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93B2325"/>
    <w:multiLevelType w:val="hybridMultilevel"/>
    <w:tmpl w:val="9EB861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1F3026C6"/>
    <w:multiLevelType w:val="hybridMultilevel"/>
    <w:tmpl w:val="709A4FA2"/>
    <w:lvl w:ilvl="0" w:tplc="10090001">
      <w:start w:val="1"/>
      <w:numFmt w:val="bullet"/>
      <w:lvlText w:val=""/>
      <w:lvlJc w:val="left"/>
      <w:pPr>
        <w:tabs>
          <w:tab w:val="num" w:pos="720"/>
        </w:tabs>
        <w:ind w:left="720" w:hanging="360"/>
      </w:pPr>
      <w:rPr>
        <w:rFonts w:ascii="Symbol" w:hAnsi="Symbol" w:hint="default"/>
      </w:rPr>
    </w:lvl>
    <w:lvl w:ilvl="1" w:tplc="D568AB1C">
      <w:start w:val="1"/>
      <w:numFmt w:val="bullet"/>
      <w:lvlText w:val="–"/>
      <w:lvlJc w:val="left"/>
      <w:pPr>
        <w:tabs>
          <w:tab w:val="num" w:pos="1440"/>
        </w:tabs>
        <w:ind w:left="1440" w:hanging="360"/>
      </w:pPr>
      <w:rPr>
        <w:rFonts w:ascii="Times New Roman" w:hAnsi="Times New Roman" w:hint="default"/>
      </w:rPr>
    </w:lvl>
    <w:lvl w:ilvl="2" w:tplc="C0422A98" w:tentative="1">
      <w:start w:val="1"/>
      <w:numFmt w:val="bullet"/>
      <w:lvlText w:val="–"/>
      <w:lvlJc w:val="left"/>
      <w:pPr>
        <w:tabs>
          <w:tab w:val="num" w:pos="2160"/>
        </w:tabs>
        <w:ind w:left="2160" w:hanging="360"/>
      </w:pPr>
      <w:rPr>
        <w:rFonts w:ascii="Times New Roman" w:hAnsi="Times New Roman" w:hint="default"/>
      </w:rPr>
    </w:lvl>
    <w:lvl w:ilvl="3" w:tplc="96E8BE2C" w:tentative="1">
      <w:start w:val="1"/>
      <w:numFmt w:val="bullet"/>
      <w:lvlText w:val="–"/>
      <w:lvlJc w:val="left"/>
      <w:pPr>
        <w:tabs>
          <w:tab w:val="num" w:pos="2880"/>
        </w:tabs>
        <w:ind w:left="2880" w:hanging="360"/>
      </w:pPr>
      <w:rPr>
        <w:rFonts w:ascii="Times New Roman" w:hAnsi="Times New Roman" w:hint="default"/>
      </w:rPr>
    </w:lvl>
    <w:lvl w:ilvl="4" w:tplc="40348CE6" w:tentative="1">
      <w:start w:val="1"/>
      <w:numFmt w:val="bullet"/>
      <w:lvlText w:val="–"/>
      <w:lvlJc w:val="left"/>
      <w:pPr>
        <w:tabs>
          <w:tab w:val="num" w:pos="3600"/>
        </w:tabs>
        <w:ind w:left="3600" w:hanging="360"/>
      </w:pPr>
      <w:rPr>
        <w:rFonts w:ascii="Times New Roman" w:hAnsi="Times New Roman" w:hint="default"/>
      </w:rPr>
    </w:lvl>
    <w:lvl w:ilvl="5" w:tplc="DE80955A" w:tentative="1">
      <w:start w:val="1"/>
      <w:numFmt w:val="bullet"/>
      <w:lvlText w:val="–"/>
      <w:lvlJc w:val="left"/>
      <w:pPr>
        <w:tabs>
          <w:tab w:val="num" w:pos="4320"/>
        </w:tabs>
        <w:ind w:left="4320" w:hanging="360"/>
      </w:pPr>
      <w:rPr>
        <w:rFonts w:ascii="Times New Roman" w:hAnsi="Times New Roman" w:hint="default"/>
      </w:rPr>
    </w:lvl>
    <w:lvl w:ilvl="6" w:tplc="2E828F4C" w:tentative="1">
      <w:start w:val="1"/>
      <w:numFmt w:val="bullet"/>
      <w:lvlText w:val="–"/>
      <w:lvlJc w:val="left"/>
      <w:pPr>
        <w:tabs>
          <w:tab w:val="num" w:pos="5040"/>
        </w:tabs>
        <w:ind w:left="5040" w:hanging="360"/>
      </w:pPr>
      <w:rPr>
        <w:rFonts w:ascii="Times New Roman" w:hAnsi="Times New Roman" w:hint="default"/>
      </w:rPr>
    </w:lvl>
    <w:lvl w:ilvl="7" w:tplc="C108EF02" w:tentative="1">
      <w:start w:val="1"/>
      <w:numFmt w:val="bullet"/>
      <w:lvlText w:val="–"/>
      <w:lvlJc w:val="left"/>
      <w:pPr>
        <w:tabs>
          <w:tab w:val="num" w:pos="5760"/>
        </w:tabs>
        <w:ind w:left="5760" w:hanging="360"/>
      </w:pPr>
      <w:rPr>
        <w:rFonts w:ascii="Times New Roman" w:hAnsi="Times New Roman" w:hint="default"/>
      </w:rPr>
    </w:lvl>
    <w:lvl w:ilvl="8" w:tplc="C9AC750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2E86556"/>
    <w:multiLevelType w:val="multilevel"/>
    <w:tmpl w:val="DC1242A8"/>
    <w:lvl w:ilvl="0">
      <w:start w:val="1"/>
      <w:numFmt w:val="none"/>
      <w:pStyle w:val="List"/>
      <w:lvlText w:val=""/>
      <w:lvlJc w:val="left"/>
      <w:pPr>
        <w:tabs>
          <w:tab w:val="num" w:pos="806"/>
        </w:tabs>
        <w:ind w:left="806" w:hanging="360"/>
      </w:pPr>
      <w:rPr>
        <w:rFonts w:hint="default"/>
      </w:rPr>
    </w:lvl>
    <w:lvl w:ilvl="1">
      <w:start w:val="1"/>
      <w:numFmt w:val="none"/>
      <w:pStyle w:val="List2"/>
      <w:lvlText w:val=""/>
      <w:lvlJc w:val="left"/>
      <w:pPr>
        <w:tabs>
          <w:tab w:val="num" w:pos="1166"/>
        </w:tabs>
        <w:ind w:left="1166" w:hanging="360"/>
      </w:pPr>
      <w:rPr>
        <w:rFonts w:hint="default"/>
      </w:rPr>
    </w:lvl>
    <w:lvl w:ilvl="2">
      <w:start w:val="1"/>
      <w:numFmt w:val="none"/>
      <w:pStyle w:val="List3"/>
      <w:lvlText w:val=""/>
      <w:lvlJc w:val="left"/>
      <w:pPr>
        <w:tabs>
          <w:tab w:val="num" w:pos="1526"/>
        </w:tabs>
        <w:ind w:left="1526" w:hanging="360"/>
      </w:pPr>
      <w:rPr>
        <w:rFonts w:hint="default"/>
      </w:rPr>
    </w:lvl>
    <w:lvl w:ilvl="3">
      <w:start w:val="1"/>
      <w:numFmt w:val="none"/>
      <w:pStyle w:val="List4"/>
      <w:lvlText w:val=""/>
      <w:lvlJc w:val="left"/>
      <w:pPr>
        <w:tabs>
          <w:tab w:val="num" w:pos="1886"/>
        </w:tabs>
        <w:ind w:left="1886"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3E0077E"/>
    <w:multiLevelType w:val="hybridMultilevel"/>
    <w:tmpl w:val="58E486FE"/>
    <w:lvl w:ilvl="0" w:tplc="2D928B96">
      <w:start w:val="1"/>
      <w:numFmt w:val="bullet"/>
      <w:lvlText w:val="•"/>
      <w:lvlJc w:val="left"/>
      <w:pPr>
        <w:tabs>
          <w:tab w:val="num" w:pos="360"/>
        </w:tabs>
        <w:ind w:left="360" w:hanging="360"/>
      </w:pPr>
      <w:rPr>
        <w:rFonts w:ascii="Times New Roman" w:hAnsi="Times New Roman" w:hint="default"/>
      </w:rPr>
    </w:lvl>
    <w:lvl w:ilvl="1" w:tplc="84A632E8">
      <w:start w:val="242"/>
      <w:numFmt w:val="bullet"/>
      <w:lvlText w:val="–"/>
      <w:lvlJc w:val="left"/>
      <w:pPr>
        <w:tabs>
          <w:tab w:val="num" w:pos="1080"/>
        </w:tabs>
        <w:ind w:left="1080" w:hanging="360"/>
      </w:pPr>
      <w:rPr>
        <w:rFonts w:ascii="Times New Roman" w:hAnsi="Times New Roman" w:hint="default"/>
      </w:rPr>
    </w:lvl>
    <w:lvl w:ilvl="2" w:tplc="5774789C" w:tentative="1">
      <w:start w:val="1"/>
      <w:numFmt w:val="bullet"/>
      <w:lvlText w:val="•"/>
      <w:lvlJc w:val="left"/>
      <w:pPr>
        <w:tabs>
          <w:tab w:val="num" w:pos="1800"/>
        </w:tabs>
        <w:ind w:left="1800" w:hanging="360"/>
      </w:pPr>
      <w:rPr>
        <w:rFonts w:ascii="Times New Roman" w:hAnsi="Times New Roman" w:hint="default"/>
      </w:rPr>
    </w:lvl>
    <w:lvl w:ilvl="3" w:tplc="6FAC8C3A" w:tentative="1">
      <w:start w:val="1"/>
      <w:numFmt w:val="bullet"/>
      <w:lvlText w:val="•"/>
      <w:lvlJc w:val="left"/>
      <w:pPr>
        <w:tabs>
          <w:tab w:val="num" w:pos="2520"/>
        </w:tabs>
        <w:ind w:left="2520" w:hanging="360"/>
      </w:pPr>
      <w:rPr>
        <w:rFonts w:ascii="Times New Roman" w:hAnsi="Times New Roman" w:hint="default"/>
      </w:rPr>
    </w:lvl>
    <w:lvl w:ilvl="4" w:tplc="FF0C1F74" w:tentative="1">
      <w:start w:val="1"/>
      <w:numFmt w:val="bullet"/>
      <w:lvlText w:val="•"/>
      <w:lvlJc w:val="left"/>
      <w:pPr>
        <w:tabs>
          <w:tab w:val="num" w:pos="3240"/>
        </w:tabs>
        <w:ind w:left="3240" w:hanging="360"/>
      </w:pPr>
      <w:rPr>
        <w:rFonts w:ascii="Times New Roman" w:hAnsi="Times New Roman" w:hint="default"/>
      </w:rPr>
    </w:lvl>
    <w:lvl w:ilvl="5" w:tplc="254E934A" w:tentative="1">
      <w:start w:val="1"/>
      <w:numFmt w:val="bullet"/>
      <w:lvlText w:val="•"/>
      <w:lvlJc w:val="left"/>
      <w:pPr>
        <w:tabs>
          <w:tab w:val="num" w:pos="3960"/>
        </w:tabs>
        <w:ind w:left="3960" w:hanging="360"/>
      </w:pPr>
      <w:rPr>
        <w:rFonts w:ascii="Times New Roman" w:hAnsi="Times New Roman" w:hint="default"/>
      </w:rPr>
    </w:lvl>
    <w:lvl w:ilvl="6" w:tplc="E08A9B56" w:tentative="1">
      <w:start w:val="1"/>
      <w:numFmt w:val="bullet"/>
      <w:lvlText w:val="•"/>
      <w:lvlJc w:val="left"/>
      <w:pPr>
        <w:tabs>
          <w:tab w:val="num" w:pos="4680"/>
        </w:tabs>
        <w:ind w:left="4680" w:hanging="360"/>
      </w:pPr>
      <w:rPr>
        <w:rFonts w:ascii="Times New Roman" w:hAnsi="Times New Roman" w:hint="default"/>
      </w:rPr>
    </w:lvl>
    <w:lvl w:ilvl="7" w:tplc="A5E01706" w:tentative="1">
      <w:start w:val="1"/>
      <w:numFmt w:val="bullet"/>
      <w:lvlText w:val="•"/>
      <w:lvlJc w:val="left"/>
      <w:pPr>
        <w:tabs>
          <w:tab w:val="num" w:pos="5400"/>
        </w:tabs>
        <w:ind w:left="5400" w:hanging="360"/>
      </w:pPr>
      <w:rPr>
        <w:rFonts w:ascii="Times New Roman" w:hAnsi="Times New Roman" w:hint="default"/>
      </w:rPr>
    </w:lvl>
    <w:lvl w:ilvl="8" w:tplc="A13AC7D0" w:tentative="1">
      <w:start w:val="1"/>
      <w:numFmt w:val="bullet"/>
      <w:lvlText w:val="•"/>
      <w:lvlJc w:val="left"/>
      <w:pPr>
        <w:tabs>
          <w:tab w:val="num" w:pos="6120"/>
        </w:tabs>
        <w:ind w:left="6120" w:hanging="360"/>
      </w:pPr>
      <w:rPr>
        <w:rFonts w:ascii="Times New Roman" w:hAnsi="Times New Roman" w:hint="default"/>
      </w:rPr>
    </w:lvl>
  </w:abstractNum>
  <w:abstractNum w:abstractNumId="17">
    <w:nsid w:val="257C3285"/>
    <w:multiLevelType w:val="multilevel"/>
    <w:tmpl w:val="9164194C"/>
    <w:lvl w:ilvl="0">
      <w:start w:val="1"/>
      <w:numFmt w:val="decimal"/>
      <w:pStyle w:val="CellListNumber"/>
      <w:lvlText w:val="%1."/>
      <w:lvlJc w:val="left"/>
      <w:pPr>
        <w:tabs>
          <w:tab w:val="num" w:pos="360"/>
        </w:tabs>
        <w:ind w:left="360" w:hanging="360"/>
      </w:pPr>
      <w:rPr>
        <w:rFonts w:hint="default"/>
      </w:rPr>
    </w:lvl>
    <w:lvl w:ilvl="1">
      <w:start w:val="1"/>
      <w:numFmt w:val="decimal"/>
      <w:pStyle w:val="CellListNumber2"/>
      <w:lvlText w:val="%2."/>
      <w:lvlJc w:val="left"/>
      <w:pPr>
        <w:tabs>
          <w:tab w:val="num" w:pos="475"/>
        </w:tabs>
        <w:ind w:left="1152" w:hanging="922"/>
      </w:pPr>
      <w:rPr>
        <w:rFonts w:hint="default"/>
      </w:rPr>
    </w:lvl>
    <w:lvl w:ilvl="2">
      <w:start w:val="1"/>
      <w:numFmt w:val="lowerRoman"/>
      <w:lvlText w:val="%3."/>
      <w:lvlJc w:val="right"/>
      <w:pPr>
        <w:tabs>
          <w:tab w:val="num" w:pos="1756"/>
        </w:tabs>
        <w:ind w:left="1252" w:hanging="360"/>
      </w:pPr>
      <w:rPr>
        <w:rFonts w:hint="default"/>
      </w:rPr>
    </w:lvl>
    <w:lvl w:ilvl="3">
      <w:start w:val="1"/>
      <w:numFmt w:val="decimal"/>
      <w:lvlText w:val="%4."/>
      <w:lvlJc w:val="left"/>
      <w:pPr>
        <w:tabs>
          <w:tab w:val="num" w:pos="2202"/>
        </w:tabs>
        <w:ind w:left="1698" w:hanging="360"/>
      </w:pPr>
      <w:rPr>
        <w:rFonts w:hint="default"/>
      </w:rPr>
    </w:lvl>
    <w:lvl w:ilvl="4">
      <w:start w:val="1"/>
      <w:numFmt w:val="lowerLetter"/>
      <w:lvlText w:val="%5."/>
      <w:lvlJc w:val="left"/>
      <w:pPr>
        <w:tabs>
          <w:tab w:val="num" w:pos="2648"/>
        </w:tabs>
        <w:ind w:left="2144" w:hanging="360"/>
      </w:pPr>
      <w:rPr>
        <w:rFonts w:hint="default"/>
      </w:rPr>
    </w:lvl>
    <w:lvl w:ilvl="5">
      <w:start w:val="1"/>
      <w:numFmt w:val="lowerRoman"/>
      <w:lvlText w:val="%6."/>
      <w:lvlJc w:val="right"/>
      <w:pPr>
        <w:tabs>
          <w:tab w:val="num" w:pos="3094"/>
        </w:tabs>
        <w:ind w:left="2590" w:hanging="360"/>
      </w:pPr>
      <w:rPr>
        <w:rFonts w:hint="default"/>
      </w:rPr>
    </w:lvl>
    <w:lvl w:ilvl="6">
      <w:start w:val="1"/>
      <w:numFmt w:val="decimal"/>
      <w:lvlText w:val="%7."/>
      <w:lvlJc w:val="left"/>
      <w:pPr>
        <w:tabs>
          <w:tab w:val="num" w:pos="3540"/>
        </w:tabs>
        <w:ind w:left="3036" w:hanging="360"/>
      </w:pPr>
      <w:rPr>
        <w:rFonts w:hint="default"/>
      </w:rPr>
    </w:lvl>
    <w:lvl w:ilvl="7">
      <w:start w:val="1"/>
      <w:numFmt w:val="lowerLetter"/>
      <w:lvlText w:val="%8."/>
      <w:lvlJc w:val="left"/>
      <w:pPr>
        <w:tabs>
          <w:tab w:val="num" w:pos="3986"/>
        </w:tabs>
        <w:ind w:left="3482" w:hanging="360"/>
      </w:pPr>
      <w:rPr>
        <w:rFonts w:hint="default"/>
      </w:rPr>
    </w:lvl>
    <w:lvl w:ilvl="8">
      <w:start w:val="1"/>
      <w:numFmt w:val="lowerRoman"/>
      <w:lvlText w:val="%9."/>
      <w:lvlJc w:val="right"/>
      <w:pPr>
        <w:tabs>
          <w:tab w:val="num" w:pos="4432"/>
        </w:tabs>
        <w:ind w:left="3928" w:hanging="360"/>
      </w:pPr>
      <w:rPr>
        <w:rFonts w:hint="default"/>
      </w:rPr>
    </w:lvl>
  </w:abstractNum>
  <w:abstractNum w:abstractNumId="18">
    <w:nsid w:val="2A065128"/>
    <w:multiLevelType w:val="hybridMultilevel"/>
    <w:tmpl w:val="E346AE30"/>
    <w:lvl w:ilvl="0" w:tplc="D7E2B1CA">
      <w:start w:val="1"/>
      <w:numFmt w:val="decimal"/>
      <w:lvlText w:val="%1."/>
      <w:lvlJc w:val="left"/>
      <w:pPr>
        <w:ind w:left="360" w:hanging="360"/>
      </w:pPr>
      <w:rPr>
        <w:color w:val="000000" w:themeColor="text1"/>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3101307F"/>
    <w:multiLevelType w:val="multilevel"/>
    <w:tmpl w:val="D9B8E284"/>
    <w:lvl w:ilvl="0">
      <w:start w:val="1"/>
      <w:numFmt w:val="bullet"/>
      <w:pStyle w:val="InquiryList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2F93CE6"/>
    <w:multiLevelType w:val="hybridMultilevel"/>
    <w:tmpl w:val="E87EC5B4"/>
    <w:lvl w:ilvl="0" w:tplc="E59418EC">
      <w:start w:val="1"/>
      <w:numFmt w:val="bullet"/>
      <w:pStyle w:val="PeerConversationList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1">
    <w:nsid w:val="335F727F"/>
    <w:multiLevelType w:val="hybridMultilevel"/>
    <w:tmpl w:val="99CA69A8"/>
    <w:lvl w:ilvl="0" w:tplc="CE1A79F6">
      <w:start w:val="1"/>
      <w:numFmt w:val="bullet"/>
      <w:lvlText w:val="•"/>
      <w:lvlJc w:val="left"/>
      <w:pPr>
        <w:tabs>
          <w:tab w:val="num" w:pos="360"/>
        </w:tabs>
        <w:ind w:left="360" w:hanging="360"/>
      </w:pPr>
      <w:rPr>
        <w:rFonts w:ascii="Times New Roman" w:hAnsi="Times New Roman" w:hint="default"/>
      </w:rPr>
    </w:lvl>
    <w:lvl w:ilvl="1" w:tplc="74426ADE">
      <w:start w:val="242"/>
      <w:numFmt w:val="bullet"/>
      <w:lvlText w:val="–"/>
      <w:lvlJc w:val="left"/>
      <w:pPr>
        <w:tabs>
          <w:tab w:val="num" w:pos="1080"/>
        </w:tabs>
        <w:ind w:left="1080" w:hanging="360"/>
      </w:pPr>
      <w:rPr>
        <w:rFonts w:ascii="Times New Roman" w:hAnsi="Times New Roman" w:hint="default"/>
      </w:rPr>
    </w:lvl>
    <w:lvl w:ilvl="2" w:tplc="305E0E60">
      <w:start w:val="242"/>
      <w:numFmt w:val="bullet"/>
      <w:lvlText w:val="•"/>
      <w:lvlJc w:val="left"/>
      <w:pPr>
        <w:tabs>
          <w:tab w:val="num" w:pos="1800"/>
        </w:tabs>
        <w:ind w:left="1800" w:hanging="360"/>
      </w:pPr>
      <w:rPr>
        <w:rFonts w:ascii="Times New Roman" w:hAnsi="Times New Roman" w:hint="default"/>
      </w:rPr>
    </w:lvl>
    <w:lvl w:ilvl="3" w:tplc="D4823084" w:tentative="1">
      <w:start w:val="1"/>
      <w:numFmt w:val="bullet"/>
      <w:lvlText w:val="•"/>
      <w:lvlJc w:val="left"/>
      <w:pPr>
        <w:tabs>
          <w:tab w:val="num" w:pos="2520"/>
        </w:tabs>
        <w:ind w:left="2520" w:hanging="360"/>
      </w:pPr>
      <w:rPr>
        <w:rFonts w:ascii="Times New Roman" w:hAnsi="Times New Roman" w:hint="default"/>
      </w:rPr>
    </w:lvl>
    <w:lvl w:ilvl="4" w:tplc="83EEBACE" w:tentative="1">
      <w:start w:val="1"/>
      <w:numFmt w:val="bullet"/>
      <w:lvlText w:val="•"/>
      <w:lvlJc w:val="left"/>
      <w:pPr>
        <w:tabs>
          <w:tab w:val="num" w:pos="3240"/>
        </w:tabs>
        <w:ind w:left="3240" w:hanging="360"/>
      </w:pPr>
      <w:rPr>
        <w:rFonts w:ascii="Times New Roman" w:hAnsi="Times New Roman" w:hint="default"/>
      </w:rPr>
    </w:lvl>
    <w:lvl w:ilvl="5" w:tplc="0218CF6E" w:tentative="1">
      <w:start w:val="1"/>
      <w:numFmt w:val="bullet"/>
      <w:lvlText w:val="•"/>
      <w:lvlJc w:val="left"/>
      <w:pPr>
        <w:tabs>
          <w:tab w:val="num" w:pos="3960"/>
        </w:tabs>
        <w:ind w:left="3960" w:hanging="360"/>
      </w:pPr>
      <w:rPr>
        <w:rFonts w:ascii="Times New Roman" w:hAnsi="Times New Roman" w:hint="default"/>
      </w:rPr>
    </w:lvl>
    <w:lvl w:ilvl="6" w:tplc="6A3E41A0" w:tentative="1">
      <w:start w:val="1"/>
      <w:numFmt w:val="bullet"/>
      <w:lvlText w:val="•"/>
      <w:lvlJc w:val="left"/>
      <w:pPr>
        <w:tabs>
          <w:tab w:val="num" w:pos="4680"/>
        </w:tabs>
        <w:ind w:left="4680" w:hanging="360"/>
      </w:pPr>
      <w:rPr>
        <w:rFonts w:ascii="Times New Roman" w:hAnsi="Times New Roman" w:hint="default"/>
      </w:rPr>
    </w:lvl>
    <w:lvl w:ilvl="7" w:tplc="F932A1E4" w:tentative="1">
      <w:start w:val="1"/>
      <w:numFmt w:val="bullet"/>
      <w:lvlText w:val="•"/>
      <w:lvlJc w:val="left"/>
      <w:pPr>
        <w:tabs>
          <w:tab w:val="num" w:pos="5400"/>
        </w:tabs>
        <w:ind w:left="5400" w:hanging="360"/>
      </w:pPr>
      <w:rPr>
        <w:rFonts w:ascii="Times New Roman" w:hAnsi="Times New Roman" w:hint="default"/>
      </w:rPr>
    </w:lvl>
    <w:lvl w:ilvl="8" w:tplc="50D2FAB2" w:tentative="1">
      <w:start w:val="1"/>
      <w:numFmt w:val="bullet"/>
      <w:lvlText w:val="•"/>
      <w:lvlJc w:val="left"/>
      <w:pPr>
        <w:tabs>
          <w:tab w:val="num" w:pos="6120"/>
        </w:tabs>
        <w:ind w:left="6120" w:hanging="360"/>
      </w:pPr>
      <w:rPr>
        <w:rFonts w:ascii="Times New Roman" w:hAnsi="Times New Roman" w:hint="default"/>
      </w:rPr>
    </w:lvl>
  </w:abstractNum>
  <w:abstractNum w:abstractNumId="22">
    <w:nsid w:val="3AB90985"/>
    <w:multiLevelType w:val="hybridMultilevel"/>
    <w:tmpl w:val="EB466AC6"/>
    <w:lvl w:ilvl="0" w:tplc="BB541DFC">
      <w:start w:val="1"/>
      <w:numFmt w:val="lowerLetter"/>
      <w:pStyle w:val="PurposeList"/>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3C205484"/>
    <w:multiLevelType w:val="hybridMultilevel"/>
    <w:tmpl w:val="4FEA2C62"/>
    <w:lvl w:ilvl="0" w:tplc="1F16D498">
      <w:start w:val="1"/>
      <w:numFmt w:val="decimal"/>
      <w:lvlText w:val="%1."/>
      <w:lvlJc w:val="left"/>
      <w:pPr>
        <w:ind w:left="360" w:hanging="360"/>
      </w:pPr>
      <w:rPr>
        <w:i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3CD32132"/>
    <w:multiLevelType w:val="hybridMultilevel"/>
    <w:tmpl w:val="4FEA2C62"/>
    <w:lvl w:ilvl="0" w:tplc="1F16D498">
      <w:start w:val="1"/>
      <w:numFmt w:val="decimal"/>
      <w:lvlText w:val="%1."/>
      <w:lvlJc w:val="left"/>
      <w:pPr>
        <w:ind w:left="360" w:hanging="360"/>
      </w:pPr>
      <w:rPr>
        <w:i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3DF47C0F"/>
    <w:multiLevelType w:val="hybridMultilevel"/>
    <w:tmpl w:val="DC6223D2"/>
    <w:lvl w:ilvl="0" w:tplc="1AA21188">
      <w:start w:val="1"/>
      <w:numFmt w:val="decimal"/>
      <w:lvlText w:val="%1."/>
      <w:lvlJc w:val="left"/>
      <w:pPr>
        <w:ind w:left="1800" w:hanging="360"/>
      </w:pPr>
      <w:rPr>
        <w:rFonts w:hint="default"/>
        <w:b w:val="0"/>
        <w:i w:val="0"/>
        <w:color w:val="auto"/>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nsid w:val="40E858B1"/>
    <w:multiLevelType w:val="hybridMultilevel"/>
    <w:tmpl w:val="9BD842F2"/>
    <w:lvl w:ilvl="0" w:tplc="80108AA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nsid w:val="41AA5545"/>
    <w:multiLevelType w:val="hybridMultilevel"/>
    <w:tmpl w:val="011CD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AC649C0"/>
    <w:multiLevelType w:val="hybridMultilevel"/>
    <w:tmpl w:val="FF8A102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nsid w:val="4BCA50A8"/>
    <w:multiLevelType w:val="hybridMultilevel"/>
    <w:tmpl w:val="081209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4D63020E"/>
    <w:multiLevelType w:val="hybridMultilevel"/>
    <w:tmpl w:val="E270A4B6"/>
    <w:lvl w:ilvl="0" w:tplc="55A4CC72">
      <w:start w:val="1"/>
      <w:numFmt w:val="bullet"/>
      <w:lvlText w:val="•"/>
      <w:lvlJc w:val="left"/>
      <w:pPr>
        <w:tabs>
          <w:tab w:val="num" w:pos="720"/>
        </w:tabs>
        <w:ind w:left="720" w:hanging="360"/>
      </w:pPr>
      <w:rPr>
        <w:rFonts w:ascii="Times New Roman" w:hAnsi="Times New Roman" w:hint="default"/>
      </w:rPr>
    </w:lvl>
    <w:lvl w:ilvl="1" w:tplc="C06A2444" w:tentative="1">
      <w:start w:val="1"/>
      <w:numFmt w:val="bullet"/>
      <w:lvlText w:val="•"/>
      <w:lvlJc w:val="left"/>
      <w:pPr>
        <w:tabs>
          <w:tab w:val="num" w:pos="1440"/>
        </w:tabs>
        <w:ind w:left="1440" w:hanging="360"/>
      </w:pPr>
      <w:rPr>
        <w:rFonts w:ascii="Times New Roman" w:hAnsi="Times New Roman" w:hint="default"/>
      </w:rPr>
    </w:lvl>
    <w:lvl w:ilvl="2" w:tplc="CC22C058" w:tentative="1">
      <w:start w:val="1"/>
      <w:numFmt w:val="bullet"/>
      <w:lvlText w:val="•"/>
      <w:lvlJc w:val="left"/>
      <w:pPr>
        <w:tabs>
          <w:tab w:val="num" w:pos="2160"/>
        </w:tabs>
        <w:ind w:left="2160" w:hanging="360"/>
      </w:pPr>
      <w:rPr>
        <w:rFonts w:ascii="Times New Roman" w:hAnsi="Times New Roman" w:hint="default"/>
      </w:rPr>
    </w:lvl>
    <w:lvl w:ilvl="3" w:tplc="781C3DA2" w:tentative="1">
      <w:start w:val="1"/>
      <w:numFmt w:val="bullet"/>
      <w:lvlText w:val="•"/>
      <w:lvlJc w:val="left"/>
      <w:pPr>
        <w:tabs>
          <w:tab w:val="num" w:pos="2880"/>
        </w:tabs>
        <w:ind w:left="2880" w:hanging="360"/>
      </w:pPr>
      <w:rPr>
        <w:rFonts w:ascii="Times New Roman" w:hAnsi="Times New Roman" w:hint="default"/>
      </w:rPr>
    </w:lvl>
    <w:lvl w:ilvl="4" w:tplc="BD669AB4" w:tentative="1">
      <w:start w:val="1"/>
      <w:numFmt w:val="bullet"/>
      <w:lvlText w:val="•"/>
      <w:lvlJc w:val="left"/>
      <w:pPr>
        <w:tabs>
          <w:tab w:val="num" w:pos="3600"/>
        </w:tabs>
        <w:ind w:left="3600" w:hanging="360"/>
      </w:pPr>
      <w:rPr>
        <w:rFonts w:ascii="Times New Roman" w:hAnsi="Times New Roman" w:hint="default"/>
      </w:rPr>
    </w:lvl>
    <w:lvl w:ilvl="5" w:tplc="60B69778" w:tentative="1">
      <w:start w:val="1"/>
      <w:numFmt w:val="bullet"/>
      <w:lvlText w:val="•"/>
      <w:lvlJc w:val="left"/>
      <w:pPr>
        <w:tabs>
          <w:tab w:val="num" w:pos="4320"/>
        </w:tabs>
        <w:ind w:left="4320" w:hanging="360"/>
      </w:pPr>
      <w:rPr>
        <w:rFonts w:ascii="Times New Roman" w:hAnsi="Times New Roman" w:hint="default"/>
      </w:rPr>
    </w:lvl>
    <w:lvl w:ilvl="6" w:tplc="4836D1D0" w:tentative="1">
      <w:start w:val="1"/>
      <w:numFmt w:val="bullet"/>
      <w:lvlText w:val="•"/>
      <w:lvlJc w:val="left"/>
      <w:pPr>
        <w:tabs>
          <w:tab w:val="num" w:pos="5040"/>
        </w:tabs>
        <w:ind w:left="5040" w:hanging="360"/>
      </w:pPr>
      <w:rPr>
        <w:rFonts w:ascii="Times New Roman" w:hAnsi="Times New Roman" w:hint="default"/>
      </w:rPr>
    </w:lvl>
    <w:lvl w:ilvl="7" w:tplc="9462DA8A" w:tentative="1">
      <w:start w:val="1"/>
      <w:numFmt w:val="bullet"/>
      <w:lvlText w:val="•"/>
      <w:lvlJc w:val="left"/>
      <w:pPr>
        <w:tabs>
          <w:tab w:val="num" w:pos="5760"/>
        </w:tabs>
        <w:ind w:left="5760" w:hanging="360"/>
      </w:pPr>
      <w:rPr>
        <w:rFonts w:ascii="Times New Roman" w:hAnsi="Times New Roman" w:hint="default"/>
      </w:rPr>
    </w:lvl>
    <w:lvl w:ilvl="8" w:tplc="87ECFD7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4FAD640D"/>
    <w:multiLevelType w:val="hybridMultilevel"/>
    <w:tmpl w:val="39D88A1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nsid w:val="503E2616"/>
    <w:multiLevelType w:val="multilevel"/>
    <w:tmpl w:val="849491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537E481E"/>
    <w:multiLevelType w:val="hybridMultilevel"/>
    <w:tmpl w:val="D2B873D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549E78BF"/>
    <w:multiLevelType w:val="hybridMultilevel"/>
    <w:tmpl w:val="4FEA2C62"/>
    <w:lvl w:ilvl="0" w:tplc="1F16D498">
      <w:start w:val="1"/>
      <w:numFmt w:val="decimal"/>
      <w:lvlText w:val="%1."/>
      <w:lvlJc w:val="left"/>
      <w:pPr>
        <w:ind w:left="360" w:hanging="360"/>
      </w:pPr>
      <w:rPr>
        <w:i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nsid w:val="5CA74AF7"/>
    <w:multiLevelType w:val="multilevel"/>
    <w:tmpl w:val="85F694A4"/>
    <w:lvl w:ilvl="0">
      <w:start w:val="1"/>
      <w:numFmt w:val="decimal"/>
      <w:pStyle w:val="ListParagraphLevel1"/>
      <w:lvlText w:val="%1."/>
      <w:lvlJc w:val="left"/>
      <w:pPr>
        <w:ind w:left="720" w:hanging="720"/>
      </w:pPr>
      <w:rPr>
        <w:rFonts w:hint="default"/>
        <w:b w:val="0"/>
        <w:i w:val="0"/>
      </w:rPr>
    </w:lvl>
    <w:lvl w:ilvl="1">
      <w:start w:val="1"/>
      <w:numFmt w:val="decimal"/>
      <w:pStyle w:val="ListParagraphLevel2"/>
      <w:lvlText w:val="%1.%2."/>
      <w:lvlJc w:val="left"/>
      <w:pPr>
        <w:ind w:left="1440" w:hanging="720"/>
      </w:pPr>
      <w:rPr>
        <w:rFonts w:hint="default"/>
      </w:rPr>
    </w:lvl>
    <w:lvl w:ilvl="2">
      <w:start w:val="1"/>
      <w:numFmt w:val="lowerRoman"/>
      <w:pStyle w:val="ListParagraphLevel3"/>
      <w:lvlText w:val="%3."/>
      <w:lvlJc w:val="left"/>
      <w:pPr>
        <w:tabs>
          <w:tab w:val="num" w:pos="144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12753DD"/>
    <w:multiLevelType w:val="hybridMultilevel"/>
    <w:tmpl w:val="35906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62523930"/>
    <w:multiLevelType w:val="hybridMultilevel"/>
    <w:tmpl w:val="9EB861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67F56DD9"/>
    <w:multiLevelType w:val="hybridMultilevel"/>
    <w:tmpl w:val="58A6719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A853451"/>
    <w:multiLevelType w:val="hybridMultilevel"/>
    <w:tmpl w:val="4FEA2C62"/>
    <w:lvl w:ilvl="0" w:tplc="1F16D498">
      <w:start w:val="1"/>
      <w:numFmt w:val="decimal"/>
      <w:lvlText w:val="%1."/>
      <w:lvlJc w:val="left"/>
      <w:pPr>
        <w:ind w:left="360" w:hanging="360"/>
      </w:pPr>
      <w:rPr>
        <w:i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nsid w:val="6ACC6A99"/>
    <w:multiLevelType w:val="hybridMultilevel"/>
    <w:tmpl w:val="96907E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6B457169"/>
    <w:multiLevelType w:val="hybridMultilevel"/>
    <w:tmpl w:val="1F266CBE"/>
    <w:lvl w:ilvl="0" w:tplc="0DF60EF4">
      <w:start w:val="1"/>
      <w:numFmt w:val="bullet"/>
      <w:lvlText w:val="•"/>
      <w:lvlJc w:val="left"/>
      <w:pPr>
        <w:tabs>
          <w:tab w:val="num" w:pos="720"/>
        </w:tabs>
        <w:ind w:left="720" w:hanging="360"/>
      </w:pPr>
      <w:rPr>
        <w:rFonts w:ascii="Times New Roman" w:hAnsi="Times New Roman" w:hint="default"/>
      </w:rPr>
    </w:lvl>
    <w:lvl w:ilvl="1" w:tplc="0556FBF2">
      <w:start w:val="242"/>
      <w:numFmt w:val="bullet"/>
      <w:lvlText w:val="–"/>
      <w:lvlJc w:val="left"/>
      <w:pPr>
        <w:tabs>
          <w:tab w:val="num" w:pos="1440"/>
        </w:tabs>
        <w:ind w:left="1440" w:hanging="360"/>
      </w:pPr>
      <w:rPr>
        <w:rFonts w:ascii="Times New Roman" w:hAnsi="Times New Roman" w:hint="default"/>
      </w:rPr>
    </w:lvl>
    <w:lvl w:ilvl="2" w:tplc="0E4CBC86" w:tentative="1">
      <w:start w:val="1"/>
      <w:numFmt w:val="bullet"/>
      <w:lvlText w:val="•"/>
      <w:lvlJc w:val="left"/>
      <w:pPr>
        <w:tabs>
          <w:tab w:val="num" w:pos="2160"/>
        </w:tabs>
        <w:ind w:left="2160" w:hanging="360"/>
      </w:pPr>
      <w:rPr>
        <w:rFonts w:ascii="Times New Roman" w:hAnsi="Times New Roman" w:hint="default"/>
      </w:rPr>
    </w:lvl>
    <w:lvl w:ilvl="3" w:tplc="CF465682" w:tentative="1">
      <w:start w:val="1"/>
      <w:numFmt w:val="bullet"/>
      <w:lvlText w:val="•"/>
      <w:lvlJc w:val="left"/>
      <w:pPr>
        <w:tabs>
          <w:tab w:val="num" w:pos="2880"/>
        </w:tabs>
        <w:ind w:left="2880" w:hanging="360"/>
      </w:pPr>
      <w:rPr>
        <w:rFonts w:ascii="Times New Roman" w:hAnsi="Times New Roman" w:hint="default"/>
      </w:rPr>
    </w:lvl>
    <w:lvl w:ilvl="4" w:tplc="2C7297D6" w:tentative="1">
      <w:start w:val="1"/>
      <w:numFmt w:val="bullet"/>
      <w:lvlText w:val="•"/>
      <w:lvlJc w:val="left"/>
      <w:pPr>
        <w:tabs>
          <w:tab w:val="num" w:pos="3600"/>
        </w:tabs>
        <w:ind w:left="3600" w:hanging="360"/>
      </w:pPr>
      <w:rPr>
        <w:rFonts w:ascii="Times New Roman" w:hAnsi="Times New Roman" w:hint="default"/>
      </w:rPr>
    </w:lvl>
    <w:lvl w:ilvl="5" w:tplc="939433E2" w:tentative="1">
      <w:start w:val="1"/>
      <w:numFmt w:val="bullet"/>
      <w:lvlText w:val="•"/>
      <w:lvlJc w:val="left"/>
      <w:pPr>
        <w:tabs>
          <w:tab w:val="num" w:pos="4320"/>
        </w:tabs>
        <w:ind w:left="4320" w:hanging="360"/>
      </w:pPr>
      <w:rPr>
        <w:rFonts w:ascii="Times New Roman" w:hAnsi="Times New Roman" w:hint="default"/>
      </w:rPr>
    </w:lvl>
    <w:lvl w:ilvl="6" w:tplc="E8EADE8E" w:tentative="1">
      <w:start w:val="1"/>
      <w:numFmt w:val="bullet"/>
      <w:lvlText w:val="•"/>
      <w:lvlJc w:val="left"/>
      <w:pPr>
        <w:tabs>
          <w:tab w:val="num" w:pos="5040"/>
        </w:tabs>
        <w:ind w:left="5040" w:hanging="360"/>
      </w:pPr>
      <w:rPr>
        <w:rFonts w:ascii="Times New Roman" w:hAnsi="Times New Roman" w:hint="default"/>
      </w:rPr>
    </w:lvl>
    <w:lvl w:ilvl="7" w:tplc="6E80A9E8" w:tentative="1">
      <w:start w:val="1"/>
      <w:numFmt w:val="bullet"/>
      <w:lvlText w:val="•"/>
      <w:lvlJc w:val="left"/>
      <w:pPr>
        <w:tabs>
          <w:tab w:val="num" w:pos="5760"/>
        </w:tabs>
        <w:ind w:left="5760" w:hanging="360"/>
      </w:pPr>
      <w:rPr>
        <w:rFonts w:ascii="Times New Roman" w:hAnsi="Times New Roman" w:hint="default"/>
      </w:rPr>
    </w:lvl>
    <w:lvl w:ilvl="8" w:tplc="A81A7BA6" w:tentative="1">
      <w:start w:val="1"/>
      <w:numFmt w:val="bullet"/>
      <w:lvlText w:val="•"/>
      <w:lvlJc w:val="left"/>
      <w:pPr>
        <w:tabs>
          <w:tab w:val="num" w:pos="6480"/>
        </w:tabs>
        <w:ind w:left="6480" w:hanging="360"/>
      </w:pPr>
      <w:rPr>
        <w:rFonts w:ascii="Times New Roman" w:hAnsi="Times New Roman" w:hint="default"/>
      </w:rPr>
    </w:lvl>
  </w:abstractNum>
  <w:abstractNum w:abstractNumId="42">
    <w:nsid w:val="6DAD6040"/>
    <w:multiLevelType w:val="hybridMultilevel"/>
    <w:tmpl w:val="94DC53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6DAE6B1F"/>
    <w:multiLevelType w:val="hybridMultilevel"/>
    <w:tmpl w:val="BF9C4766"/>
    <w:lvl w:ilvl="0" w:tplc="1009000F">
      <w:start w:val="1"/>
      <w:numFmt w:val="decimal"/>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4">
    <w:nsid w:val="6DEC357F"/>
    <w:multiLevelType w:val="hybridMultilevel"/>
    <w:tmpl w:val="4F0E5152"/>
    <w:lvl w:ilvl="0" w:tplc="17DE0DEA">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6F061355"/>
    <w:multiLevelType w:val="hybridMultilevel"/>
    <w:tmpl w:val="8DA8CE5A"/>
    <w:lvl w:ilvl="0" w:tplc="FD707AC6">
      <w:start w:val="1"/>
      <w:numFmt w:val="bullet"/>
      <w:lvlText w:val="•"/>
      <w:lvlJc w:val="left"/>
      <w:pPr>
        <w:tabs>
          <w:tab w:val="num" w:pos="720"/>
        </w:tabs>
        <w:ind w:left="720" w:hanging="360"/>
      </w:pPr>
      <w:rPr>
        <w:rFonts w:ascii="Times New Roman" w:hAnsi="Times New Roman" w:hint="default"/>
      </w:rPr>
    </w:lvl>
    <w:lvl w:ilvl="1" w:tplc="7C9E60F6" w:tentative="1">
      <w:start w:val="1"/>
      <w:numFmt w:val="bullet"/>
      <w:lvlText w:val="•"/>
      <w:lvlJc w:val="left"/>
      <w:pPr>
        <w:tabs>
          <w:tab w:val="num" w:pos="1440"/>
        </w:tabs>
        <w:ind w:left="1440" w:hanging="360"/>
      </w:pPr>
      <w:rPr>
        <w:rFonts w:ascii="Times New Roman" w:hAnsi="Times New Roman" w:hint="default"/>
      </w:rPr>
    </w:lvl>
    <w:lvl w:ilvl="2" w:tplc="5A1C5790" w:tentative="1">
      <w:start w:val="1"/>
      <w:numFmt w:val="bullet"/>
      <w:lvlText w:val="•"/>
      <w:lvlJc w:val="left"/>
      <w:pPr>
        <w:tabs>
          <w:tab w:val="num" w:pos="2160"/>
        </w:tabs>
        <w:ind w:left="2160" w:hanging="360"/>
      </w:pPr>
      <w:rPr>
        <w:rFonts w:ascii="Times New Roman" w:hAnsi="Times New Roman" w:hint="default"/>
      </w:rPr>
    </w:lvl>
    <w:lvl w:ilvl="3" w:tplc="80D882D8" w:tentative="1">
      <w:start w:val="1"/>
      <w:numFmt w:val="bullet"/>
      <w:lvlText w:val="•"/>
      <w:lvlJc w:val="left"/>
      <w:pPr>
        <w:tabs>
          <w:tab w:val="num" w:pos="2880"/>
        </w:tabs>
        <w:ind w:left="2880" w:hanging="360"/>
      </w:pPr>
      <w:rPr>
        <w:rFonts w:ascii="Times New Roman" w:hAnsi="Times New Roman" w:hint="default"/>
      </w:rPr>
    </w:lvl>
    <w:lvl w:ilvl="4" w:tplc="27C2B188" w:tentative="1">
      <w:start w:val="1"/>
      <w:numFmt w:val="bullet"/>
      <w:lvlText w:val="•"/>
      <w:lvlJc w:val="left"/>
      <w:pPr>
        <w:tabs>
          <w:tab w:val="num" w:pos="3600"/>
        </w:tabs>
        <w:ind w:left="3600" w:hanging="360"/>
      </w:pPr>
      <w:rPr>
        <w:rFonts w:ascii="Times New Roman" w:hAnsi="Times New Roman" w:hint="default"/>
      </w:rPr>
    </w:lvl>
    <w:lvl w:ilvl="5" w:tplc="31BA37AA" w:tentative="1">
      <w:start w:val="1"/>
      <w:numFmt w:val="bullet"/>
      <w:lvlText w:val="•"/>
      <w:lvlJc w:val="left"/>
      <w:pPr>
        <w:tabs>
          <w:tab w:val="num" w:pos="4320"/>
        </w:tabs>
        <w:ind w:left="4320" w:hanging="360"/>
      </w:pPr>
      <w:rPr>
        <w:rFonts w:ascii="Times New Roman" w:hAnsi="Times New Roman" w:hint="default"/>
      </w:rPr>
    </w:lvl>
    <w:lvl w:ilvl="6" w:tplc="CE644886" w:tentative="1">
      <w:start w:val="1"/>
      <w:numFmt w:val="bullet"/>
      <w:lvlText w:val="•"/>
      <w:lvlJc w:val="left"/>
      <w:pPr>
        <w:tabs>
          <w:tab w:val="num" w:pos="5040"/>
        </w:tabs>
        <w:ind w:left="5040" w:hanging="360"/>
      </w:pPr>
      <w:rPr>
        <w:rFonts w:ascii="Times New Roman" w:hAnsi="Times New Roman" w:hint="default"/>
      </w:rPr>
    </w:lvl>
    <w:lvl w:ilvl="7" w:tplc="A05ED766" w:tentative="1">
      <w:start w:val="1"/>
      <w:numFmt w:val="bullet"/>
      <w:lvlText w:val="•"/>
      <w:lvlJc w:val="left"/>
      <w:pPr>
        <w:tabs>
          <w:tab w:val="num" w:pos="5760"/>
        </w:tabs>
        <w:ind w:left="5760" w:hanging="360"/>
      </w:pPr>
      <w:rPr>
        <w:rFonts w:ascii="Times New Roman" w:hAnsi="Times New Roman" w:hint="default"/>
      </w:rPr>
    </w:lvl>
    <w:lvl w:ilvl="8" w:tplc="E8629D1C" w:tentative="1">
      <w:start w:val="1"/>
      <w:numFmt w:val="bullet"/>
      <w:lvlText w:val="•"/>
      <w:lvlJc w:val="left"/>
      <w:pPr>
        <w:tabs>
          <w:tab w:val="num" w:pos="6480"/>
        </w:tabs>
        <w:ind w:left="6480" w:hanging="360"/>
      </w:pPr>
      <w:rPr>
        <w:rFonts w:ascii="Times New Roman" w:hAnsi="Times New Roman" w:hint="default"/>
      </w:rPr>
    </w:lvl>
  </w:abstractNum>
  <w:abstractNum w:abstractNumId="46">
    <w:nsid w:val="6F5D070A"/>
    <w:multiLevelType w:val="hybridMultilevel"/>
    <w:tmpl w:val="4FEA2C62"/>
    <w:lvl w:ilvl="0" w:tplc="1F16D498">
      <w:start w:val="1"/>
      <w:numFmt w:val="decimal"/>
      <w:lvlText w:val="%1."/>
      <w:lvlJc w:val="left"/>
      <w:pPr>
        <w:ind w:left="360" w:hanging="360"/>
      </w:pPr>
      <w:rPr>
        <w:i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nsid w:val="71F0426B"/>
    <w:multiLevelType w:val="hybridMultilevel"/>
    <w:tmpl w:val="53705E70"/>
    <w:lvl w:ilvl="0" w:tplc="C10EE9DC">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nsid w:val="72C95FA9"/>
    <w:multiLevelType w:val="hybridMultilevel"/>
    <w:tmpl w:val="60F86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nsid w:val="72DE731E"/>
    <w:multiLevelType w:val="hybridMultilevel"/>
    <w:tmpl w:val="4FEA2C62"/>
    <w:lvl w:ilvl="0" w:tplc="1F16D498">
      <w:start w:val="1"/>
      <w:numFmt w:val="decimal"/>
      <w:lvlText w:val="%1."/>
      <w:lvlJc w:val="left"/>
      <w:pPr>
        <w:ind w:left="360" w:hanging="360"/>
      </w:pPr>
      <w:rPr>
        <w:i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nsid w:val="74227BFE"/>
    <w:multiLevelType w:val="multilevel"/>
    <w:tmpl w:val="10090025"/>
    <w:styleLink w:val="Style1"/>
    <w:lvl w:ilvl="0">
      <w:start w:val="1"/>
      <w:numFmt w:val="decimal"/>
      <w:lvlText w:val="%1"/>
      <w:lvlJc w:val="left"/>
      <w:pPr>
        <w:ind w:left="432" w:hanging="432"/>
      </w:pPr>
      <w:rPr>
        <w:rFonts w:ascii="Cambria" w:hAnsi="Cambria"/>
        <w:b/>
        <w:sz w:val="28"/>
      </w:rPr>
    </w:lvl>
    <w:lvl w:ilvl="1">
      <w:start w:val="1"/>
      <w:numFmt w:val="decimal"/>
      <w:lvlText w:val="%1.%2"/>
      <w:lvlJc w:val="left"/>
      <w:pPr>
        <w:ind w:left="576" w:hanging="576"/>
      </w:pPr>
      <w:rPr>
        <w:rFonts w:ascii="Cambria" w:hAnsi="Cambria"/>
        <w:b/>
        <w:sz w:val="24"/>
      </w:rPr>
    </w:lvl>
    <w:lvl w:ilvl="2">
      <w:start w:val="1"/>
      <w:numFmt w:val="decimal"/>
      <w:lvlText w:val="%1.%2.%3"/>
      <w:lvlJc w:val="left"/>
      <w:pPr>
        <w:ind w:left="720" w:hanging="720"/>
      </w:pPr>
      <w:rPr>
        <w:rFonts w:ascii="Cambria" w:hAnsi="Cambria"/>
        <w:b/>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nsid w:val="76BE2AE6"/>
    <w:multiLevelType w:val="hybridMultilevel"/>
    <w:tmpl w:val="4FEA2C62"/>
    <w:lvl w:ilvl="0" w:tplc="1F16D498">
      <w:start w:val="1"/>
      <w:numFmt w:val="decimal"/>
      <w:lvlText w:val="%1."/>
      <w:lvlJc w:val="left"/>
      <w:pPr>
        <w:ind w:left="360" w:hanging="360"/>
      </w:pPr>
      <w:rPr>
        <w:i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nsid w:val="77C648C9"/>
    <w:multiLevelType w:val="hybridMultilevel"/>
    <w:tmpl w:val="0084405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3">
    <w:nsid w:val="77F375C4"/>
    <w:multiLevelType w:val="multilevel"/>
    <w:tmpl w:val="00A4F1A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710" w:hanging="720"/>
      </w:pPr>
      <w:rPr>
        <w:rFonts w:hint="default"/>
      </w:rPr>
    </w:lvl>
    <w:lvl w:ilvl="2">
      <w:start w:val="1"/>
      <w:numFmt w:val="decimal"/>
      <w:pStyle w:val="Heading3"/>
      <w:lvlText w:val="%1.%2.%3"/>
      <w:lvlJc w:val="left"/>
      <w:pPr>
        <w:ind w:left="28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nsid w:val="7BE96F77"/>
    <w:multiLevelType w:val="hybridMultilevel"/>
    <w:tmpl w:val="9EB861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nsid w:val="7D7B18B4"/>
    <w:multiLevelType w:val="hybridMultilevel"/>
    <w:tmpl w:val="D22A4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7DB01F0D"/>
    <w:multiLevelType w:val="hybridMultilevel"/>
    <w:tmpl w:val="4FEA2C62"/>
    <w:lvl w:ilvl="0" w:tplc="1F16D498">
      <w:start w:val="1"/>
      <w:numFmt w:val="decimal"/>
      <w:lvlText w:val="%1."/>
      <w:lvlJc w:val="left"/>
      <w:pPr>
        <w:ind w:left="360" w:hanging="360"/>
      </w:pPr>
      <w:rPr>
        <w:i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53"/>
  </w:num>
  <w:num w:numId="2">
    <w:abstractNumId w:val="0"/>
  </w:num>
  <w:num w:numId="3">
    <w:abstractNumId w:val="19"/>
  </w:num>
  <w:num w:numId="4">
    <w:abstractNumId w:val="20"/>
  </w:num>
  <w:num w:numId="5">
    <w:abstractNumId w:val="17"/>
  </w:num>
  <w:num w:numId="6">
    <w:abstractNumId w:val="22"/>
  </w:num>
  <w:num w:numId="7">
    <w:abstractNumId w:val="6"/>
  </w:num>
  <w:num w:numId="8">
    <w:abstractNumId w:val="50"/>
  </w:num>
  <w:num w:numId="9">
    <w:abstractNumId w:val="15"/>
  </w:num>
  <w:num w:numId="10">
    <w:abstractNumId w:val="35"/>
  </w:num>
  <w:num w:numId="11">
    <w:abstractNumId w:val="33"/>
  </w:num>
  <w:num w:numId="12">
    <w:abstractNumId w:val="36"/>
  </w:num>
  <w:num w:numId="13">
    <w:abstractNumId w:val="25"/>
  </w:num>
  <w:num w:numId="14">
    <w:abstractNumId w:val="26"/>
  </w:num>
  <w:num w:numId="15">
    <w:abstractNumId w:val="8"/>
  </w:num>
  <w:num w:numId="16">
    <w:abstractNumId w:val="4"/>
  </w:num>
  <w:num w:numId="17">
    <w:abstractNumId w:val="37"/>
  </w:num>
  <w:num w:numId="18">
    <w:abstractNumId w:val="2"/>
  </w:num>
  <w:num w:numId="19">
    <w:abstractNumId w:val="54"/>
  </w:num>
  <w:num w:numId="20">
    <w:abstractNumId w:val="13"/>
  </w:num>
  <w:num w:numId="21">
    <w:abstractNumId w:val="18"/>
  </w:num>
  <w:num w:numId="22">
    <w:abstractNumId w:val="5"/>
  </w:num>
  <w:num w:numId="23">
    <w:abstractNumId w:val="24"/>
  </w:num>
  <w:num w:numId="24">
    <w:abstractNumId w:val="51"/>
  </w:num>
  <w:num w:numId="25">
    <w:abstractNumId w:val="46"/>
  </w:num>
  <w:num w:numId="26">
    <w:abstractNumId w:val="9"/>
  </w:num>
  <w:num w:numId="27">
    <w:abstractNumId w:val="23"/>
  </w:num>
  <w:num w:numId="28">
    <w:abstractNumId w:val="10"/>
  </w:num>
  <w:num w:numId="29">
    <w:abstractNumId w:val="49"/>
  </w:num>
  <w:num w:numId="30">
    <w:abstractNumId w:val="3"/>
  </w:num>
  <w:num w:numId="31">
    <w:abstractNumId w:val="34"/>
  </w:num>
  <w:num w:numId="32">
    <w:abstractNumId w:val="56"/>
  </w:num>
  <w:num w:numId="33">
    <w:abstractNumId w:val="39"/>
  </w:num>
  <w:num w:numId="34">
    <w:abstractNumId w:val="7"/>
  </w:num>
  <w:num w:numId="35">
    <w:abstractNumId w:val="11"/>
  </w:num>
  <w:num w:numId="36">
    <w:abstractNumId w:val="48"/>
  </w:num>
  <w:num w:numId="37">
    <w:abstractNumId w:val="1"/>
  </w:num>
  <w:num w:numId="38">
    <w:abstractNumId w:val="55"/>
  </w:num>
  <w:num w:numId="39">
    <w:abstractNumId w:val="31"/>
  </w:num>
  <w:num w:numId="40">
    <w:abstractNumId w:val="27"/>
  </w:num>
  <w:num w:numId="41">
    <w:abstractNumId w:val="29"/>
  </w:num>
  <w:num w:numId="42">
    <w:abstractNumId w:val="42"/>
  </w:num>
  <w:num w:numId="43">
    <w:abstractNumId w:val="47"/>
  </w:num>
  <w:num w:numId="44">
    <w:abstractNumId w:val="44"/>
  </w:num>
  <w:num w:numId="45">
    <w:abstractNumId w:val="38"/>
  </w:num>
  <w:num w:numId="46">
    <w:abstractNumId w:val="14"/>
  </w:num>
  <w:num w:numId="47">
    <w:abstractNumId w:val="28"/>
  </w:num>
  <w:num w:numId="48">
    <w:abstractNumId w:val="32"/>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num>
  <w:num w:numId="62">
    <w:abstractNumId w:val="52"/>
  </w:num>
  <w:num w:numId="63">
    <w:abstractNumId w:val="40"/>
  </w:num>
  <w:num w:numId="64">
    <w:abstractNumId w:val="16"/>
  </w:num>
  <w:num w:numId="65">
    <w:abstractNumId w:val="21"/>
  </w:num>
  <w:num w:numId="66">
    <w:abstractNumId w:val="45"/>
  </w:num>
  <w:num w:numId="67">
    <w:abstractNumId w:val="30"/>
  </w:num>
  <w:num w:numId="68">
    <w:abstractNumId w:val="41"/>
  </w:num>
  <w:num w:numId="69">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C4E"/>
    <w:rsid w:val="000015BC"/>
    <w:rsid w:val="00001EDE"/>
    <w:rsid w:val="000029BE"/>
    <w:rsid w:val="000078AD"/>
    <w:rsid w:val="00007C72"/>
    <w:rsid w:val="00010E4A"/>
    <w:rsid w:val="00011165"/>
    <w:rsid w:val="00011F7F"/>
    <w:rsid w:val="00012B3C"/>
    <w:rsid w:val="00015630"/>
    <w:rsid w:val="00015FFE"/>
    <w:rsid w:val="000165F1"/>
    <w:rsid w:val="00016992"/>
    <w:rsid w:val="00016FD6"/>
    <w:rsid w:val="0002184A"/>
    <w:rsid w:val="00024DA0"/>
    <w:rsid w:val="00026555"/>
    <w:rsid w:val="0003017D"/>
    <w:rsid w:val="00030740"/>
    <w:rsid w:val="0003182D"/>
    <w:rsid w:val="000345F5"/>
    <w:rsid w:val="00036FDB"/>
    <w:rsid w:val="00040E4E"/>
    <w:rsid w:val="00041A9D"/>
    <w:rsid w:val="00041DE5"/>
    <w:rsid w:val="0004259B"/>
    <w:rsid w:val="00042EC1"/>
    <w:rsid w:val="00042FBE"/>
    <w:rsid w:val="00043482"/>
    <w:rsid w:val="00043DA4"/>
    <w:rsid w:val="00043DF3"/>
    <w:rsid w:val="00044BA4"/>
    <w:rsid w:val="00045548"/>
    <w:rsid w:val="0004572B"/>
    <w:rsid w:val="00045B0C"/>
    <w:rsid w:val="0004628E"/>
    <w:rsid w:val="00052151"/>
    <w:rsid w:val="00054916"/>
    <w:rsid w:val="00054B3C"/>
    <w:rsid w:val="00055D3B"/>
    <w:rsid w:val="0005728D"/>
    <w:rsid w:val="00060CBD"/>
    <w:rsid w:val="00065387"/>
    <w:rsid w:val="000668C6"/>
    <w:rsid w:val="00066D22"/>
    <w:rsid w:val="00070B77"/>
    <w:rsid w:val="000749D1"/>
    <w:rsid w:val="0007503C"/>
    <w:rsid w:val="0007627D"/>
    <w:rsid w:val="00077F01"/>
    <w:rsid w:val="00082903"/>
    <w:rsid w:val="00082BBC"/>
    <w:rsid w:val="00083ED9"/>
    <w:rsid w:val="000850B8"/>
    <w:rsid w:val="000857B9"/>
    <w:rsid w:val="00087D5F"/>
    <w:rsid w:val="000928BA"/>
    <w:rsid w:val="000951EC"/>
    <w:rsid w:val="000A1E24"/>
    <w:rsid w:val="000A1EEA"/>
    <w:rsid w:val="000A2721"/>
    <w:rsid w:val="000A3177"/>
    <w:rsid w:val="000A3DA1"/>
    <w:rsid w:val="000A4576"/>
    <w:rsid w:val="000A47B9"/>
    <w:rsid w:val="000B038E"/>
    <w:rsid w:val="000B097E"/>
    <w:rsid w:val="000B11F7"/>
    <w:rsid w:val="000B220E"/>
    <w:rsid w:val="000B3B73"/>
    <w:rsid w:val="000B56FE"/>
    <w:rsid w:val="000C0A05"/>
    <w:rsid w:val="000C12D3"/>
    <w:rsid w:val="000C3800"/>
    <w:rsid w:val="000C3B05"/>
    <w:rsid w:val="000C3D40"/>
    <w:rsid w:val="000C4342"/>
    <w:rsid w:val="000C4EAC"/>
    <w:rsid w:val="000C4FBD"/>
    <w:rsid w:val="000C5B96"/>
    <w:rsid w:val="000C7137"/>
    <w:rsid w:val="000D2C0A"/>
    <w:rsid w:val="000D34F2"/>
    <w:rsid w:val="000D3AE2"/>
    <w:rsid w:val="000D5CD9"/>
    <w:rsid w:val="000E0651"/>
    <w:rsid w:val="000E101F"/>
    <w:rsid w:val="000E6EA2"/>
    <w:rsid w:val="000E6EE5"/>
    <w:rsid w:val="000F3EF5"/>
    <w:rsid w:val="000F464F"/>
    <w:rsid w:val="000F4CCA"/>
    <w:rsid w:val="000F5EDB"/>
    <w:rsid w:val="000F7C87"/>
    <w:rsid w:val="000F7E16"/>
    <w:rsid w:val="001006EF"/>
    <w:rsid w:val="00101065"/>
    <w:rsid w:val="0010163E"/>
    <w:rsid w:val="001063E2"/>
    <w:rsid w:val="00107045"/>
    <w:rsid w:val="001073F0"/>
    <w:rsid w:val="00110441"/>
    <w:rsid w:val="00111379"/>
    <w:rsid w:val="00111E44"/>
    <w:rsid w:val="00112C6C"/>
    <w:rsid w:val="001165E5"/>
    <w:rsid w:val="00116BA5"/>
    <w:rsid w:val="00121B82"/>
    <w:rsid w:val="00124791"/>
    <w:rsid w:val="001267E2"/>
    <w:rsid w:val="00131E80"/>
    <w:rsid w:val="00140FE3"/>
    <w:rsid w:val="00146908"/>
    <w:rsid w:val="00146ADC"/>
    <w:rsid w:val="00150039"/>
    <w:rsid w:val="0015038D"/>
    <w:rsid w:val="001520D2"/>
    <w:rsid w:val="00156A1F"/>
    <w:rsid w:val="001579A7"/>
    <w:rsid w:val="0016164B"/>
    <w:rsid w:val="00167773"/>
    <w:rsid w:val="00167F16"/>
    <w:rsid w:val="001723C0"/>
    <w:rsid w:val="00172E82"/>
    <w:rsid w:val="00172F6D"/>
    <w:rsid w:val="0017478E"/>
    <w:rsid w:val="00174E57"/>
    <w:rsid w:val="00177886"/>
    <w:rsid w:val="00180FEB"/>
    <w:rsid w:val="001811EB"/>
    <w:rsid w:val="0018227C"/>
    <w:rsid w:val="0018481A"/>
    <w:rsid w:val="00185A19"/>
    <w:rsid w:val="00185AFE"/>
    <w:rsid w:val="00186604"/>
    <w:rsid w:val="00187258"/>
    <w:rsid w:val="0019428D"/>
    <w:rsid w:val="0019453D"/>
    <w:rsid w:val="00197838"/>
    <w:rsid w:val="001A1ED2"/>
    <w:rsid w:val="001A3EE4"/>
    <w:rsid w:val="001A556D"/>
    <w:rsid w:val="001A5C56"/>
    <w:rsid w:val="001B0868"/>
    <w:rsid w:val="001B0D3A"/>
    <w:rsid w:val="001B188D"/>
    <w:rsid w:val="001B701C"/>
    <w:rsid w:val="001C0448"/>
    <w:rsid w:val="001C0931"/>
    <w:rsid w:val="001C12B3"/>
    <w:rsid w:val="001C2E89"/>
    <w:rsid w:val="001C2F7D"/>
    <w:rsid w:val="001C4071"/>
    <w:rsid w:val="001C5808"/>
    <w:rsid w:val="001C5D4D"/>
    <w:rsid w:val="001D033F"/>
    <w:rsid w:val="001D056A"/>
    <w:rsid w:val="001D0B13"/>
    <w:rsid w:val="001D0F8C"/>
    <w:rsid w:val="001D11F9"/>
    <w:rsid w:val="001D125C"/>
    <w:rsid w:val="001D16B3"/>
    <w:rsid w:val="001D61BB"/>
    <w:rsid w:val="001D6E1B"/>
    <w:rsid w:val="001D7927"/>
    <w:rsid w:val="001E1E7F"/>
    <w:rsid w:val="001E37F6"/>
    <w:rsid w:val="001E4312"/>
    <w:rsid w:val="001E666A"/>
    <w:rsid w:val="001E73A3"/>
    <w:rsid w:val="001E78AA"/>
    <w:rsid w:val="001F1512"/>
    <w:rsid w:val="001F19FD"/>
    <w:rsid w:val="001F2F41"/>
    <w:rsid w:val="001F5ED9"/>
    <w:rsid w:val="001F7746"/>
    <w:rsid w:val="00200492"/>
    <w:rsid w:val="00201C78"/>
    <w:rsid w:val="00204F0F"/>
    <w:rsid w:val="00213B50"/>
    <w:rsid w:val="00215143"/>
    <w:rsid w:val="00216C4D"/>
    <w:rsid w:val="00221214"/>
    <w:rsid w:val="00221236"/>
    <w:rsid w:val="00222307"/>
    <w:rsid w:val="00224D1E"/>
    <w:rsid w:val="00225944"/>
    <w:rsid w:val="00225C29"/>
    <w:rsid w:val="00225FA5"/>
    <w:rsid w:val="00230074"/>
    <w:rsid w:val="00230A51"/>
    <w:rsid w:val="0023231F"/>
    <w:rsid w:val="002337E6"/>
    <w:rsid w:val="00233A8F"/>
    <w:rsid w:val="002347FD"/>
    <w:rsid w:val="0023756B"/>
    <w:rsid w:val="002435DA"/>
    <w:rsid w:val="00243D0F"/>
    <w:rsid w:val="00244E60"/>
    <w:rsid w:val="0024580A"/>
    <w:rsid w:val="002470D4"/>
    <w:rsid w:val="002474B8"/>
    <w:rsid w:val="0025358C"/>
    <w:rsid w:val="0025550E"/>
    <w:rsid w:val="00255B1C"/>
    <w:rsid w:val="00255BD4"/>
    <w:rsid w:val="00256FBE"/>
    <w:rsid w:val="00261D9B"/>
    <w:rsid w:val="00266DAB"/>
    <w:rsid w:val="00270B5D"/>
    <w:rsid w:val="00271927"/>
    <w:rsid w:val="0027288D"/>
    <w:rsid w:val="002731C4"/>
    <w:rsid w:val="00273339"/>
    <w:rsid w:val="002806F7"/>
    <w:rsid w:val="002814FE"/>
    <w:rsid w:val="0028276E"/>
    <w:rsid w:val="00287741"/>
    <w:rsid w:val="00287867"/>
    <w:rsid w:val="00290C72"/>
    <w:rsid w:val="00292112"/>
    <w:rsid w:val="00293FA8"/>
    <w:rsid w:val="0029468A"/>
    <w:rsid w:val="002951BC"/>
    <w:rsid w:val="00297206"/>
    <w:rsid w:val="002A00F7"/>
    <w:rsid w:val="002A371A"/>
    <w:rsid w:val="002A3A57"/>
    <w:rsid w:val="002A41A8"/>
    <w:rsid w:val="002A4AC0"/>
    <w:rsid w:val="002A6FB7"/>
    <w:rsid w:val="002A7C6A"/>
    <w:rsid w:val="002B1E2B"/>
    <w:rsid w:val="002B24DE"/>
    <w:rsid w:val="002B6C3E"/>
    <w:rsid w:val="002C0080"/>
    <w:rsid w:val="002C19BD"/>
    <w:rsid w:val="002C2A2D"/>
    <w:rsid w:val="002C33A9"/>
    <w:rsid w:val="002C362C"/>
    <w:rsid w:val="002C385F"/>
    <w:rsid w:val="002C4F9A"/>
    <w:rsid w:val="002C6051"/>
    <w:rsid w:val="002C636B"/>
    <w:rsid w:val="002D054B"/>
    <w:rsid w:val="002D077C"/>
    <w:rsid w:val="002D2A53"/>
    <w:rsid w:val="002D391D"/>
    <w:rsid w:val="002D426F"/>
    <w:rsid w:val="002D4349"/>
    <w:rsid w:val="002D596C"/>
    <w:rsid w:val="002D6398"/>
    <w:rsid w:val="002D666A"/>
    <w:rsid w:val="002E3C5C"/>
    <w:rsid w:val="002E573A"/>
    <w:rsid w:val="002E66B4"/>
    <w:rsid w:val="002E68A5"/>
    <w:rsid w:val="002E6EC9"/>
    <w:rsid w:val="002F0753"/>
    <w:rsid w:val="002F0DD0"/>
    <w:rsid w:val="002F2643"/>
    <w:rsid w:val="002F6235"/>
    <w:rsid w:val="002F7012"/>
    <w:rsid w:val="003032FF"/>
    <w:rsid w:val="003037FD"/>
    <w:rsid w:val="00304544"/>
    <w:rsid w:val="0030742D"/>
    <w:rsid w:val="00310F42"/>
    <w:rsid w:val="00315CAB"/>
    <w:rsid w:val="00315CD7"/>
    <w:rsid w:val="00320251"/>
    <w:rsid w:val="00321B81"/>
    <w:rsid w:val="00321F91"/>
    <w:rsid w:val="00322B8C"/>
    <w:rsid w:val="00324FBF"/>
    <w:rsid w:val="003270B8"/>
    <w:rsid w:val="0033008F"/>
    <w:rsid w:val="00331169"/>
    <w:rsid w:val="003314C2"/>
    <w:rsid w:val="003314C8"/>
    <w:rsid w:val="00331660"/>
    <w:rsid w:val="003320E8"/>
    <w:rsid w:val="003325AD"/>
    <w:rsid w:val="00332A51"/>
    <w:rsid w:val="00332F54"/>
    <w:rsid w:val="0034443C"/>
    <w:rsid w:val="003466CA"/>
    <w:rsid w:val="003468FF"/>
    <w:rsid w:val="00346DC2"/>
    <w:rsid w:val="0035013A"/>
    <w:rsid w:val="003508ED"/>
    <w:rsid w:val="00351A15"/>
    <w:rsid w:val="0035393E"/>
    <w:rsid w:val="003576EC"/>
    <w:rsid w:val="00357A88"/>
    <w:rsid w:val="0036129E"/>
    <w:rsid w:val="003624A6"/>
    <w:rsid w:val="00362573"/>
    <w:rsid w:val="00364835"/>
    <w:rsid w:val="003659E7"/>
    <w:rsid w:val="00366974"/>
    <w:rsid w:val="00372B4D"/>
    <w:rsid w:val="003765BA"/>
    <w:rsid w:val="00376601"/>
    <w:rsid w:val="0037730F"/>
    <w:rsid w:val="0037789B"/>
    <w:rsid w:val="003778CF"/>
    <w:rsid w:val="003778E9"/>
    <w:rsid w:val="00381215"/>
    <w:rsid w:val="003825A7"/>
    <w:rsid w:val="00383C55"/>
    <w:rsid w:val="00384886"/>
    <w:rsid w:val="0038515E"/>
    <w:rsid w:val="003857AC"/>
    <w:rsid w:val="00386508"/>
    <w:rsid w:val="003866C7"/>
    <w:rsid w:val="00387D87"/>
    <w:rsid w:val="00387E21"/>
    <w:rsid w:val="00390E79"/>
    <w:rsid w:val="003912D2"/>
    <w:rsid w:val="003917D4"/>
    <w:rsid w:val="003932F9"/>
    <w:rsid w:val="00393845"/>
    <w:rsid w:val="00394986"/>
    <w:rsid w:val="00396401"/>
    <w:rsid w:val="00396F5A"/>
    <w:rsid w:val="0039790E"/>
    <w:rsid w:val="003A1331"/>
    <w:rsid w:val="003A193D"/>
    <w:rsid w:val="003A27EC"/>
    <w:rsid w:val="003A2F3C"/>
    <w:rsid w:val="003A5042"/>
    <w:rsid w:val="003A5ACA"/>
    <w:rsid w:val="003A5F6B"/>
    <w:rsid w:val="003B1497"/>
    <w:rsid w:val="003B20FD"/>
    <w:rsid w:val="003B23EA"/>
    <w:rsid w:val="003B3A9B"/>
    <w:rsid w:val="003B416C"/>
    <w:rsid w:val="003B6E21"/>
    <w:rsid w:val="003B7A07"/>
    <w:rsid w:val="003B7F2D"/>
    <w:rsid w:val="003C0998"/>
    <w:rsid w:val="003C1D07"/>
    <w:rsid w:val="003C1E09"/>
    <w:rsid w:val="003C7416"/>
    <w:rsid w:val="003C7826"/>
    <w:rsid w:val="003C7B7F"/>
    <w:rsid w:val="003D069C"/>
    <w:rsid w:val="003D0F0B"/>
    <w:rsid w:val="003D3E45"/>
    <w:rsid w:val="003D4F36"/>
    <w:rsid w:val="003D64CF"/>
    <w:rsid w:val="003E0BF3"/>
    <w:rsid w:val="003E1912"/>
    <w:rsid w:val="003E3234"/>
    <w:rsid w:val="003E444B"/>
    <w:rsid w:val="003E7642"/>
    <w:rsid w:val="003F04C8"/>
    <w:rsid w:val="003F0C43"/>
    <w:rsid w:val="003F450C"/>
    <w:rsid w:val="003F4B48"/>
    <w:rsid w:val="003F5F4D"/>
    <w:rsid w:val="003F6877"/>
    <w:rsid w:val="003F6A51"/>
    <w:rsid w:val="004007FC"/>
    <w:rsid w:val="0040285B"/>
    <w:rsid w:val="00402CE9"/>
    <w:rsid w:val="004041A5"/>
    <w:rsid w:val="004042F9"/>
    <w:rsid w:val="00405FAD"/>
    <w:rsid w:val="00410828"/>
    <w:rsid w:val="00411038"/>
    <w:rsid w:val="00411062"/>
    <w:rsid w:val="0041180D"/>
    <w:rsid w:val="00413A65"/>
    <w:rsid w:val="00414715"/>
    <w:rsid w:val="00416789"/>
    <w:rsid w:val="00421E2B"/>
    <w:rsid w:val="004234DE"/>
    <w:rsid w:val="00424892"/>
    <w:rsid w:val="00425471"/>
    <w:rsid w:val="00431EBF"/>
    <w:rsid w:val="0043283B"/>
    <w:rsid w:val="004363E4"/>
    <w:rsid w:val="00436A04"/>
    <w:rsid w:val="00440474"/>
    <w:rsid w:val="004445B9"/>
    <w:rsid w:val="00444F4E"/>
    <w:rsid w:val="00445832"/>
    <w:rsid w:val="00445E68"/>
    <w:rsid w:val="00447FFE"/>
    <w:rsid w:val="00450E75"/>
    <w:rsid w:val="00452BFC"/>
    <w:rsid w:val="0045438D"/>
    <w:rsid w:val="004551A1"/>
    <w:rsid w:val="00455FF8"/>
    <w:rsid w:val="00460265"/>
    <w:rsid w:val="0046031E"/>
    <w:rsid w:val="00464120"/>
    <w:rsid w:val="00464C8F"/>
    <w:rsid w:val="00467AEB"/>
    <w:rsid w:val="004730BB"/>
    <w:rsid w:val="00473833"/>
    <w:rsid w:val="00475117"/>
    <w:rsid w:val="00476EB8"/>
    <w:rsid w:val="00477692"/>
    <w:rsid w:val="004820E9"/>
    <w:rsid w:val="00483833"/>
    <w:rsid w:val="0048578E"/>
    <w:rsid w:val="004903C3"/>
    <w:rsid w:val="0049060C"/>
    <w:rsid w:val="004909AA"/>
    <w:rsid w:val="00491E66"/>
    <w:rsid w:val="004920BA"/>
    <w:rsid w:val="0049429A"/>
    <w:rsid w:val="004947E3"/>
    <w:rsid w:val="00495B82"/>
    <w:rsid w:val="004963EC"/>
    <w:rsid w:val="00497BB7"/>
    <w:rsid w:val="00497D01"/>
    <w:rsid w:val="004A2F4F"/>
    <w:rsid w:val="004A4707"/>
    <w:rsid w:val="004A6110"/>
    <w:rsid w:val="004A6477"/>
    <w:rsid w:val="004B22DB"/>
    <w:rsid w:val="004B3B10"/>
    <w:rsid w:val="004B5C68"/>
    <w:rsid w:val="004C0096"/>
    <w:rsid w:val="004C09AD"/>
    <w:rsid w:val="004C09FD"/>
    <w:rsid w:val="004C1621"/>
    <w:rsid w:val="004C2728"/>
    <w:rsid w:val="004C2DF2"/>
    <w:rsid w:val="004C3436"/>
    <w:rsid w:val="004C53F6"/>
    <w:rsid w:val="004C6C58"/>
    <w:rsid w:val="004C6DC1"/>
    <w:rsid w:val="004D17DD"/>
    <w:rsid w:val="004D682F"/>
    <w:rsid w:val="004D6CF3"/>
    <w:rsid w:val="004E1FC4"/>
    <w:rsid w:val="004E21F3"/>
    <w:rsid w:val="004E2830"/>
    <w:rsid w:val="004E3C71"/>
    <w:rsid w:val="004E49BC"/>
    <w:rsid w:val="004F02DD"/>
    <w:rsid w:val="004F05A4"/>
    <w:rsid w:val="004F2102"/>
    <w:rsid w:val="004F4C51"/>
    <w:rsid w:val="004F5F95"/>
    <w:rsid w:val="004F7614"/>
    <w:rsid w:val="004F7EA5"/>
    <w:rsid w:val="005003B7"/>
    <w:rsid w:val="00505074"/>
    <w:rsid w:val="00506528"/>
    <w:rsid w:val="00512F41"/>
    <w:rsid w:val="00517050"/>
    <w:rsid w:val="0051764A"/>
    <w:rsid w:val="005179DF"/>
    <w:rsid w:val="0052048F"/>
    <w:rsid w:val="00523191"/>
    <w:rsid w:val="0052410F"/>
    <w:rsid w:val="00524C9C"/>
    <w:rsid w:val="00530D32"/>
    <w:rsid w:val="00534E88"/>
    <w:rsid w:val="00536B90"/>
    <w:rsid w:val="005406EA"/>
    <w:rsid w:val="005429C0"/>
    <w:rsid w:val="00542F56"/>
    <w:rsid w:val="005505D4"/>
    <w:rsid w:val="00550997"/>
    <w:rsid w:val="00550DDD"/>
    <w:rsid w:val="00556986"/>
    <w:rsid w:val="00556F4B"/>
    <w:rsid w:val="00566564"/>
    <w:rsid w:val="005679C7"/>
    <w:rsid w:val="005801D0"/>
    <w:rsid w:val="0058030A"/>
    <w:rsid w:val="00581209"/>
    <w:rsid w:val="00582D59"/>
    <w:rsid w:val="00584380"/>
    <w:rsid w:val="0058478F"/>
    <w:rsid w:val="00591619"/>
    <w:rsid w:val="0059735C"/>
    <w:rsid w:val="00597F13"/>
    <w:rsid w:val="005A1264"/>
    <w:rsid w:val="005A4355"/>
    <w:rsid w:val="005A501A"/>
    <w:rsid w:val="005A537C"/>
    <w:rsid w:val="005B09E4"/>
    <w:rsid w:val="005B3432"/>
    <w:rsid w:val="005B485E"/>
    <w:rsid w:val="005B649D"/>
    <w:rsid w:val="005B7BE1"/>
    <w:rsid w:val="005C1AA8"/>
    <w:rsid w:val="005C2387"/>
    <w:rsid w:val="005C36DB"/>
    <w:rsid w:val="005C643B"/>
    <w:rsid w:val="005D7EFE"/>
    <w:rsid w:val="005E09FB"/>
    <w:rsid w:val="005E1604"/>
    <w:rsid w:val="005E2557"/>
    <w:rsid w:val="005E2B5B"/>
    <w:rsid w:val="005E5C90"/>
    <w:rsid w:val="005E6F19"/>
    <w:rsid w:val="005E7D4C"/>
    <w:rsid w:val="005F2630"/>
    <w:rsid w:val="005F431A"/>
    <w:rsid w:val="005F4A77"/>
    <w:rsid w:val="005F4DA2"/>
    <w:rsid w:val="005F56B0"/>
    <w:rsid w:val="005F66D2"/>
    <w:rsid w:val="005F71CC"/>
    <w:rsid w:val="00601870"/>
    <w:rsid w:val="006032DF"/>
    <w:rsid w:val="00607889"/>
    <w:rsid w:val="006130CF"/>
    <w:rsid w:val="00613184"/>
    <w:rsid w:val="00616404"/>
    <w:rsid w:val="006222C3"/>
    <w:rsid w:val="00623E7C"/>
    <w:rsid w:val="00627417"/>
    <w:rsid w:val="00630B4D"/>
    <w:rsid w:val="00632C3A"/>
    <w:rsid w:val="006405A6"/>
    <w:rsid w:val="006415FD"/>
    <w:rsid w:val="0064164B"/>
    <w:rsid w:val="00641934"/>
    <w:rsid w:val="0064235C"/>
    <w:rsid w:val="00651355"/>
    <w:rsid w:val="00652D86"/>
    <w:rsid w:val="00656187"/>
    <w:rsid w:val="00656C44"/>
    <w:rsid w:val="0065739D"/>
    <w:rsid w:val="006576CC"/>
    <w:rsid w:val="006613FD"/>
    <w:rsid w:val="006628D0"/>
    <w:rsid w:val="00663DED"/>
    <w:rsid w:val="00664380"/>
    <w:rsid w:val="0066586F"/>
    <w:rsid w:val="00670F6B"/>
    <w:rsid w:val="006746DD"/>
    <w:rsid w:val="00681DC5"/>
    <w:rsid w:val="0068463A"/>
    <w:rsid w:val="006964B3"/>
    <w:rsid w:val="006A088E"/>
    <w:rsid w:val="006A1A8B"/>
    <w:rsid w:val="006A1DAC"/>
    <w:rsid w:val="006A1EC9"/>
    <w:rsid w:val="006A262D"/>
    <w:rsid w:val="006A2BB9"/>
    <w:rsid w:val="006A39BF"/>
    <w:rsid w:val="006A45C2"/>
    <w:rsid w:val="006A4774"/>
    <w:rsid w:val="006A6B49"/>
    <w:rsid w:val="006A6F2D"/>
    <w:rsid w:val="006B1610"/>
    <w:rsid w:val="006B22F3"/>
    <w:rsid w:val="006B3640"/>
    <w:rsid w:val="006B40CA"/>
    <w:rsid w:val="006B456D"/>
    <w:rsid w:val="006B59B6"/>
    <w:rsid w:val="006B5C54"/>
    <w:rsid w:val="006B61C3"/>
    <w:rsid w:val="006B61EA"/>
    <w:rsid w:val="006B6BE8"/>
    <w:rsid w:val="006C0A89"/>
    <w:rsid w:val="006C5085"/>
    <w:rsid w:val="006C6656"/>
    <w:rsid w:val="006C6970"/>
    <w:rsid w:val="006D0592"/>
    <w:rsid w:val="006D0770"/>
    <w:rsid w:val="006D0E36"/>
    <w:rsid w:val="006D311D"/>
    <w:rsid w:val="006D39D5"/>
    <w:rsid w:val="006D43C7"/>
    <w:rsid w:val="006D4505"/>
    <w:rsid w:val="006D6325"/>
    <w:rsid w:val="006D79C9"/>
    <w:rsid w:val="006D7AE6"/>
    <w:rsid w:val="006E1B56"/>
    <w:rsid w:val="006E2CA4"/>
    <w:rsid w:val="006E2F65"/>
    <w:rsid w:val="006E3422"/>
    <w:rsid w:val="006E6FA3"/>
    <w:rsid w:val="006F3055"/>
    <w:rsid w:val="006F7FD4"/>
    <w:rsid w:val="00702CD0"/>
    <w:rsid w:val="00703C50"/>
    <w:rsid w:val="00707435"/>
    <w:rsid w:val="00710E7E"/>
    <w:rsid w:val="0071145A"/>
    <w:rsid w:val="007119BE"/>
    <w:rsid w:val="00712109"/>
    <w:rsid w:val="00712927"/>
    <w:rsid w:val="00713AAB"/>
    <w:rsid w:val="00713DE7"/>
    <w:rsid w:val="00714C86"/>
    <w:rsid w:val="00714CC3"/>
    <w:rsid w:val="00716C94"/>
    <w:rsid w:val="00716D48"/>
    <w:rsid w:val="00722045"/>
    <w:rsid w:val="007242D6"/>
    <w:rsid w:val="00725C81"/>
    <w:rsid w:val="00726127"/>
    <w:rsid w:val="00740284"/>
    <w:rsid w:val="0074049F"/>
    <w:rsid w:val="007404FB"/>
    <w:rsid w:val="00741F40"/>
    <w:rsid w:val="00742022"/>
    <w:rsid w:val="007428B5"/>
    <w:rsid w:val="00744743"/>
    <w:rsid w:val="00745784"/>
    <w:rsid w:val="00747D24"/>
    <w:rsid w:val="007504B8"/>
    <w:rsid w:val="007520E4"/>
    <w:rsid w:val="00752A4A"/>
    <w:rsid w:val="007546E3"/>
    <w:rsid w:val="00755BA0"/>
    <w:rsid w:val="0076170F"/>
    <w:rsid w:val="00762835"/>
    <w:rsid w:val="007635FE"/>
    <w:rsid w:val="00763E7B"/>
    <w:rsid w:val="007650BE"/>
    <w:rsid w:val="00765204"/>
    <w:rsid w:val="007665AD"/>
    <w:rsid w:val="007702A2"/>
    <w:rsid w:val="0077447E"/>
    <w:rsid w:val="00777C52"/>
    <w:rsid w:val="00780250"/>
    <w:rsid w:val="00781134"/>
    <w:rsid w:val="00785AC3"/>
    <w:rsid w:val="00785F0D"/>
    <w:rsid w:val="0079098F"/>
    <w:rsid w:val="007917B1"/>
    <w:rsid w:val="00791AB8"/>
    <w:rsid w:val="007945A7"/>
    <w:rsid w:val="007956E3"/>
    <w:rsid w:val="00795C21"/>
    <w:rsid w:val="007962B4"/>
    <w:rsid w:val="007A08D6"/>
    <w:rsid w:val="007A135F"/>
    <w:rsid w:val="007A38CC"/>
    <w:rsid w:val="007A4BDE"/>
    <w:rsid w:val="007A7519"/>
    <w:rsid w:val="007B0FB3"/>
    <w:rsid w:val="007B1533"/>
    <w:rsid w:val="007B2041"/>
    <w:rsid w:val="007B4050"/>
    <w:rsid w:val="007B5C74"/>
    <w:rsid w:val="007B6213"/>
    <w:rsid w:val="007C03FB"/>
    <w:rsid w:val="007C3910"/>
    <w:rsid w:val="007C446C"/>
    <w:rsid w:val="007C5614"/>
    <w:rsid w:val="007C62C9"/>
    <w:rsid w:val="007C7D5C"/>
    <w:rsid w:val="007D0735"/>
    <w:rsid w:val="007D1137"/>
    <w:rsid w:val="007D4B34"/>
    <w:rsid w:val="007D5133"/>
    <w:rsid w:val="007D577C"/>
    <w:rsid w:val="007D7B20"/>
    <w:rsid w:val="007E1D15"/>
    <w:rsid w:val="007E37D7"/>
    <w:rsid w:val="007E5725"/>
    <w:rsid w:val="007E610F"/>
    <w:rsid w:val="007E6EC9"/>
    <w:rsid w:val="007F2648"/>
    <w:rsid w:val="007F4B70"/>
    <w:rsid w:val="007F5353"/>
    <w:rsid w:val="007F5363"/>
    <w:rsid w:val="0080037A"/>
    <w:rsid w:val="008010C5"/>
    <w:rsid w:val="0080327D"/>
    <w:rsid w:val="00803936"/>
    <w:rsid w:val="00803AE6"/>
    <w:rsid w:val="00804F55"/>
    <w:rsid w:val="00806E8C"/>
    <w:rsid w:val="0080714E"/>
    <w:rsid w:val="00810FC6"/>
    <w:rsid w:val="00814AA5"/>
    <w:rsid w:val="0081687D"/>
    <w:rsid w:val="00816C3A"/>
    <w:rsid w:val="0083074F"/>
    <w:rsid w:val="00831955"/>
    <w:rsid w:val="00835787"/>
    <w:rsid w:val="00835859"/>
    <w:rsid w:val="00836200"/>
    <w:rsid w:val="008367E7"/>
    <w:rsid w:val="008400B0"/>
    <w:rsid w:val="00841E9E"/>
    <w:rsid w:val="008429A0"/>
    <w:rsid w:val="0084407D"/>
    <w:rsid w:val="0084464B"/>
    <w:rsid w:val="00844E90"/>
    <w:rsid w:val="00845916"/>
    <w:rsid w:val="00851BF4"/>
    <w:rsid w:val="00853E4C"/>
    <w:rsid w:val="008543BC"/>
    <w:rsid w:val="008559D8"/>
    <w:rsid w:val="00856B26"/>
    <w:rsid w:val="00860C12"/>
    <w:rsid w:val="00860C6C"/>
    <w:rsid w:val="00860ECA"/>
    <w:rsid w:val="008628D0"/>
    <w:rsid w:val="008644F6"/>
    <w:rsid w:val="00864CB9"/>
    <w:rsid w:val="008732DB"/>
    <w:rsid w:val="00873336"/>
    <w:rsid w:val="00874566"/>
    <w:rsid w:val="00875F84"/>
    <w:rsid w:val="0087694C"/>
    <w:rsid w:val="00883E9F"/>
    <w:rsid w:val="00884432"/>
    <w:rsid w:val="00886930"/>
    <w:rsid w:val="00893AC3"/>
    <w:rsid w:val="00893E75"/>
    <w:rsid w:val="0089408A"/>
    <w:rsid w:val="008A244C"/>
    <w:rsid w:val="008A6323"/>
    <w:rsid w:val="008A7572"/>
    <w:rsid w:val="008A7576"/>
    <w:rsid w:val="008B1AAD"/>
    <w:rsid w:val="008B46E0"/>
    <w:rsid w:val="008B476E"/>
    <w:rsid w:val="008B4A21"/>
    <w:rsid w:val="008B4D51"/>
    <w:rsid w:val="008B7968"/>
    <w:rsid w:val="008C0576"/>
    <w:rsid w:val="008C0589"/>
    <w:rsid w:val="008C08B6"/>
    <w:rsid w:val="008C104C"/>
    <w:rsid w:val="008C240D"/>
    <w:rsid w:val="008C2C5B"/>
    <w:rsid w:val="008D1A9D"/>
    <w:rsid w:val="008D1CB4"/>
    <w:rsid w:val="008D45AA"/>
    <w:rsid w:val="008D62E2"/>
    <w:rsid w:val="008D661B"/>
    <w:rsid w:val="008E0D08"/>
    <w:rsid w:val="008E60EF"/>
    <w:rsid w:val="008F1909"/>
    <w:rsid w:val="008F4A6E"/>
    <w:rsid w:val="008F7B37"/>
    <w:rsid w:val="00901409"/>
    <w:rsid w:val="009020BC"/>
    <w:rsid w:val="00902F6A"/>
    <w:rsid w:val="0090325C"/>
    <w:rsid w:val="009032A9"/>
    <w:rsid w:val="00905B04"/>
    <w:rsid w:val="00911F9D"/>
    <w:rsid w:val="00914DD2"/>
    <w:rsid w:val="00917689"/>
    <w:rsid w:val="00920443"/>
    <w:rsid w:val="00921D58"/>
    <w:rsid w:val="00922AFD"/>
    <w:rsid w:val="00924F70"/>
    <w:rsid w:val="009264F1"/>
    <w:rsid w:val="009272A9"/>
    <w:rsid w:val="00927BED"/>
    <w:rsid w:val="00927FF4"/>
    <w:rsid w:val="00933A77"/>
    <w:rsid w:val="00933CF7"/>
    <w:rsid w:val="00935F48"/>
    <w:rsid w:val="0093609C"/>
    <w:rsid w:val="0093659D"/>
    <w:rsid w:val="009370E9"/>
    <w:rsid w:val="00937C9A"/>
    <w:rsid w:val="00940A79"/>
    <w:rsid w:val="00942E1A"/>
    <w:rsid w:val="009434F3"/>
    <w:rsid w:val="00943CF4"/>
    <w:rsid w:val="00944C4A"/>
    <w:rsid w:val="00944F57"/>
    <w:rsid w:val="0094563F"/>
    <w:rsid w:val="009472A4"/>
    <w:rsid w:val="00950104"/>
    <w:rsid w:val="00953012"/>
    <w:rsid w:val="0095550A"/>
    <w:rsid w:val="009600B8"/>
    <w:rsid w:val="009604E1"/>
    <w:rsid w:val="00960C4D"/>
    <w:rsid w:val="00965808"/>
    <w:rsid w:val="00970AC6"/>
    <w:rsid w:val="009728EA"/>
    <w:rsid w:val="00972AB1"/>
    <w:rsid w:val="00975336"/>
    <w:rsid w:val="00977297"/>
    <w:rsid w:val="00982AFB"/>
    <w:rsid w:val="00990840"/>
    <w:rsid w:val="00991703"/>
    <w:rsid w:val="00991BD8"/>
    <w:rsid w:val="00993E52"/>
    <w:rsid w:val="00994810"/>
    <w:rsid w:val="00994C6B"/>
    <w:rsid w:val="009A21CF"/>
    <w:rsid w:val="009A2BBD"/>
    <w:rsid w:val="009A32BA"/>
    <w:rsid w:val="009A331B"/>
    <w:rsid w:val="009A4E25"/>
    <w:rsid w:val="009A673F"/>
    <w:rsid w:val="009A6F13"/>
    <w:rsid w:val="009B0F5B"/>
    <w:rsid w:val="009B1782"/>
    <w:rsid w:val="009B387A"/>
    <w:rsid w:val="009B5EAA"/>
    <w:rsid w:val="009C2A95"/>
    <w:rsid w:val="009C3721"/>
    <w:rsid w:val="009C3F71"/>
    <w:rsid w:val="009C557A"/>
    <w:rsid w:val="009C6A59"/>
    <w:rsid w:val="009C6E4B"/>
    <w:rsid w:val="009D0A35"/>
    <w:rsid w:val="009D15A1"/>
    <w:rsid w:val="009D229E"/>
    <w:rsid w:val="009D2D27"/>
    <w:rsid w:val="009D342C"/>
    <w:rsid w:val="009D6907"/>
    <w:rsid w:val="009D7CEC"/>
    <w:rsid w:val="009E0502"/>
    <w:rsid w:val="009E065E"/>
    <w:rsid w:val="009E0C4B"/>
    <w:rsid w:val="009E7042"/>
    <w:rsid w:val="009F2E65"/>
    <w:rsid w:val="009F5BB2"/>
    <w:rsid w:val="009F6CF5"/>
    <w:rsid w:val="00A00DFB"/>
    <w:rsid w:val="00A02EDF"/>
    <w:rsid w:val="00A03383"/>
    <w:rsid w:val="00A04FDD"/>
    <w:rsid w:val="00A105CF"/>
    <w:rsid w:val="00A11F3F"/>
    <w:rsid w:val="00A145B2"/>
    <w:rsid w:val="00A15F36"/>
    <w:rsid w:val="00A209C7"/>
    <w:rsid w:val="00A20B84"/>
    <w:rsid w:val="00A21394"/>
    <w:rsid w:val="00A233C0"/>
    <w:rsid w:val="00A25AF5"/>
    <w:rsid w:val="00A2665C"/>
    <w:rsid w:val="00A27653"/>
    <w:rsid w:val="00A314AC"/>
    <w:rsid w:val="00A3246A"/>
    <w:rsid w:val="00A35C15"/>
    <w:rsid w:val="00A41B97"/>
    <w:rsid w:val="00A41DD9"/>
    <w:rsid w:val="00A456FE"/>
    <w:rsid w:val="00A47A5B"/>
    <w:rsid w:val="00A50009"/>
    <w:rsid w:val="00A5047B"/>
    <w:rsid w:val="00A5106D"/>
    <w:rsid w:val="00A51D87"/>
    <w:rsid w:val="00A5297C"/>
    <w:rsid w:val="00A53112"/>
    <w:rsid w:val="00A53C07"/>
    <w:rsid w:val="00A60652"/>
    <w:rsid w:val="00A63B55"/>
    <w:rsid w:val="00A643BF"/>
    <w:rsid w:val="00A6541B"/>
    <w:rsid w:val="00A67E5F"/>
    <w:rsid w:val="00A723FD"/>
    <w:rsid w:val="00A72AD6"/>
    <w:rsid w:val="00A73697"/>
    <w:rsid w:val="00A75B51"/>
    <w:rsid w:val="00A76B07"/>
    <w:rsid w:val="00A774D3"/>
    <w:rsid w:val="00A808F1"/>
    <w:rsid w:val="00A82D4C"/>
    <w:rsid w:val="00A859A5"/>
    <w:rsid w:val="00A86372"/>
    <w:rsid w:val="00A87A85"/>
    <w:rsid w:val="00A90C61"/>
    <w:rsid w:val="00A90D2D"/>
    <w:rsid w:val="00A9226F"/>
    <w:rsid w:val="00A92548"/>
    <w:rsid w:val="00A92A0C"/>
    <w:rsid w:val="00A94789"/>
    <w:rsid w:val="00A951DB"/>
    <w:rsid w:val="00A95540"/>
    <w:rsid w:val="00A958D4"/>
    <w:rsid w:val="00A97EF9"/>
    <w:rsid w:val="00AA08B7"/>
    <w:rsid w:val="00AA10C3"/>
    <w:rsid w:val="00AA3167"/>
    <w:rsid w:val="00AA608F"/>
    <w:rsid w:val="00AA7508"/>
    <w:rsid w:val="00AB230B"/>
    <w:rsid w:val="00AB2410"/>
    <w:rsid w:val="00AB27A4"/>
    <w:rsid w:val="00AB5F49"/>
    <w:rsid w:val="00AC1689"/>
    <w:rsid w:val="00AC6217"/>
    <w:rsid w:val="00AC62DB"/>
    <w:rsid w:val="00AD2CB9"/>
    <w:rsid w:val="00AD49B0"/>
    <w:rsid w:val="00AE2B8B"/>
    <w:rsid w:val="00AE30CD"/>
    <w:rsid w:val="00AE50C6"/>
    <w:rsid w:val="00AE5301"/>
    <w:rsid w:val="00AE75F0"/>
    <w:rsid w:val="00AE76D4"/>
    <w:rsid w:val="00AE79DE"/>
    <w:rsid w:val="00AF1848"/>
    <w:rsid w:val="00AF1BAD"/>
    <w:rsid w:val="00AF20F8"/>
    <w:rsid w:val="00AF315C"/>
    <w:rsid w:val="00AF366F"/>
    <w:rsid w:val="00AF40CB"/>
    <w:rsid w:val="00B047D8"/>
    <w:rsid w:val="00B06943"/>
    <w:rsid w:val="00B072A6"/>
    <w:rsid w:val="00B10808"/>
    <w:rsid w:val="00B1162B"/>
    <w:rsid w:val="00B14CA1"/>
    <w:rsid w:val="00B2290B"/>
    <w:rsid w:val="00B2351F"/>
    <w:rsid w:val="00B23E92"/>
    <w:rsid w:val="00B2597E"/>
    <w:rsid w:val="00B25999"/>
    <w:rsid w:val="00B3365B"/>
    <w:rsid w:val="00B352B9"/>
    <w:rsid w:val="00B41AAA"/>
    <w:rsid w:val="00B4561D"/>
    <w:rsid w:val="00B46C76"/>
    <w:rsid w:val="00B478B8"/>
    <w:rsid w:val="00B52FDE"/>
    <w:rsid w:val="00B54476"/>
    <w:rsid w:val="00B54C5B"/>
    <w:rsid w:val="00B558A6"/>
    <w:rsid w:val="00B57471"/>
    <w:rsid w:val="00B6216B"/>
    <w:rsid w:val="00B64F07"/>
    <w:rsid w:val="00B67016"/>
    <w:rsid w:val="00B67B37"/>
    <w:rsid w:val="00B71508"/>
    <w:rsid w:val="00B7160A"/>
    <w:rsid w:val="00B73BE5"/>
    <w:rsid w:val="00B742F0"/>
    <w:rsid w:val="00B75957"/>
    <w:rsid w:val="00B7733F"/>
    <w:rsid w:val="00B814F2"/>
    <w:rsid w:val="00B82BC5"/>
    <w:rsid w:val="00B82C40"/>
    <w:rsid w:val="00B847A0"/>
    <w:rsid w:val="00B84C4D"/>
    <w:rsid w:val="00B84F68"/>
    <w:rsid w:val="00B84F70"/>
    <w:rsid w:val="00B85A7E"/>
    <w:rsid w:val="00B8636F"/>
    <w:rsid w:val="00B8639C"/>
    <w:rsid w:val="00B90B17"/>
    <w:rsid w:val="00B90C3A"/>
    <w:rsid w:val="00B937CF"/>
    <w:rsid w:val="00B9576F"/>
    <w:rsid w:val="00BA0246"/>
    <w:rsid w:val="00BA0528"/>
    <w:rsid w:val="00BA3A2C"/>
    <w:rsid w:val="00BA4986"/>
    <w:rsid w:val="00BA4F30"/>
    <w:rsid w:val="00BA55F8"/>
    <w:rsid w:val="00BA64C6"/>
    <w:rsid w:val="00BA7CEC"/>
    <w:rsid w:val="00BB0365"/>
    <w:rsid w:val="00BB11C5"/>
    <w:rsid w:val="00BB5B44"/>
    <w:rsid w:val="00BC18A4"/>
    <w:rsid w:val="00BC3A03"/>
    <w:rsid w:val="00BC3E41"/>
    <w:rsid w:val="00BC3E92"/>
    <w:rsid w:val="00BC63AE"/>
    <w:rsid w:val="00BD47AC"/>
    <w:rsid w:val="00BD7FDF"/>
    <w:rsid w:val="00BE0596"/>
    <w:rsid w:val="00BE1519"/>
    <w:rsid w:val="00BE4D8E"/>
    <w:rsid w:val="00BE7067"/>
    <w:rsid w:val="00BF49EA"/>
    <w:rsid w:val="00BF65B0"/>
    <w:rsid w:val="00BF7E05"/>
    <w:rsid w:val="00C008CB"/>
    <w:rsid w:val="00C012BB"/>
    <w:rsid w:val="00C03370"/>
    <w:rsid w:val="00C03567"/>
    <w:rsid w:val="00C041F4"/>
    <w:rsid w:val="00C04B62"/>
    <w:rsid w:val="00C0594D"/>
    <w:rsid w:val="00C066E0"/>
    <w:rsid w:val="00C07986"/>
    <w:rsid w:val="00C1265D"/>
    <w:rsid w:val="00C131A0"/>
    <w:rsid w:val="00C17618"/>
    <w:rsid w:val="00C22F6F"/>
    <w:rsid w:val="00C243E8"/>
    <w:rsid w:val="00C26440"/>
    <w:rsid w:val="00C26E85"/>
    <w:rsid w:val="00C27AF7"/>
    <w:rsid w:val="00C3035B"/>
    <w:rsid w:val="00C336EA"/>
    <w:rsid w:val="00C33C6D"/>
    <w:rsid w:val="00C34AD6"/>
    <w:rsid w:val="00C34C4A"/>
    <w:rsid w:val="00C36A98"/>
    <w:rsid w:val="00C41CFC"/>
    <w:rsid w:val="00C4372D"/>
    <w:rsid w:val="00C44CFB"/>
    <w:rsid w:val="00C454F0"/>
    <w:rsid w:val="00C45738"/>
    <w:rsid w:val="00C458AB"/>
    <w:rsid w:val="00C4604B"/>
    <w:rsid w:val="00C4608D"/>
    <w:rsid w:val="00C52CD1"/>
    <w:rsid w:val="00C54DCF"/>
    <w:rsid w:val="00C56BC1"/>
    <w:rsid w:val="00C56C64"/>
    <w:rsid w:val="00C6177F"/>
    <w:rsid w:val="00C61E0D"/>
    <w:rsid w:val="00C63411"/>
    <w:rsid w:val="00C64536"/>
    <w:rsid w:val="00C66215"/>
    <w:rsid w:val="00C7174F"/>
    <w:rsid w:val="00C73AF8"/>
    <w:rsid w:val="00C74A0A"/>
    <w:rsid w:val="00C74BC1"/>
    <w:rsid w:val="00C776AD"/>
    <w:rsid w:val="00C83B7B"/>
    <w:rsid w:val="00C83E1C"/>
    <w:rsid w:val="00C943DA"/>
    <w:rsid w:val="00C945B0"/>
    <w:rsid w:val="00CA36BB"/>
    <w:rsid w:val="00CA4C71"/>
    <w:rsid w:val="00CA5D2A"/>
    <w:rsid w:val="00CA7C21"/>
    <w:rsid w:val="00CB1545"/>
    <w:rsid w:val="00CB2D06"/>
    <w:rsid w:val="00CB44A2"/>
    <w:rsid w:val="00CB5153"/>
    <w:rsid w:val="00CB747E"/>
    <w:rsid w:val="00CB7801"/>
    <w:rsid w:val="00CC2A65"/>
    <w:rsid w:val="00CC2DFF"/>
    <w:rsid w:val="00CC3AFB"/>
    <w:rsid w:val="00CC3BA7"/>
    <w:rsid w:val="00CC7327"/>
    <w:rsid w:val="00CD2712"/>
    <w:rsid w:val="00CD6B4F"/>
    <w:rsid w:val="00CE1254"/>
    <w:rsid w:val="00CE2B94"/>
    <w:rsid w:val="00CE41D5"/>
    <w:rsid w:val="00CE4E32"/>
    <w:rsid w:val="00CE5E77"/>
    <w:rsid w:val="00CE67BD"/>
    <w:rsid w:val="00CF2CFB"/>
    <w:rsid w:val="00CF2F21"/>
    <w:rsid w:val="00CF3A20"/>
    <w:rsid w:val="00CF6EF4"/>
    <w:rsid w:val="00CF78B6"/>
    <w:rsid w:val="00CF7FEF"/>
    <w:rsid w:val="00D01532"/>
    <w:rsid w:val="00D0230E"/>
    <w:rsid w:val="00D02AC2"/>
    <w:rsid w:val="00D03ED6"/>
    <w:rsid w:val="00D057F9"/>
    <w:rsid w:val="00D10452"/>
    <w:rsid w:val="00D13139"/>
    <w:rsid w:val="00D13FC6"/>
    <w:rsid w:val="00D15366"/>
    <w:rsid w:val="00D23DAE"/>
    <w:rsid w:val="00D24672"/>
    <w:rsid w:val="00D25C14"/>
    <w:rsid w:val="00D2659B"/>
    <w:rsid w:val="00D30482"/>
    <w:rsid w:val="00D33B15"/>
    <w:rsid w:val="00D34A59"/>
    <w:rsid w:val="00D34AC2"/>
    <w:rsid w:val="00D3728C"/>
    <w:rsid w:val="00D3790B"/>
    <w:rsid w:val="00D4038D"/>
    <w:rsid w:val="00D41AFD"/>
    <w:rsid w:val="00D42A5B"/>
    <w:rsid w:val="00D42CEE"/>
    <w:rsid w:val="00D4508A"/>
    <w:rsid w:val="00D451FD"/>
    <w:rsid w:val="00D45B52"/>
    <w:rsid w:val="00D50331"/>
    <w:rsid w:val="00D53456"/>
    <w:rsid w:val="00D54E20"/>
    <w:rsid w:val="00D55583"/>
    <w:rsid w:val="00D558F1"/>
    <w:rsid w:val="00D55915"/>
    <w:rsid w:val="00D55C9E"/>
    <w:rsid w:val="00D55F3C"/>
    <w:rsid w:val="00D60A46"/>
    <w:rsid w:val="00D61D29"/>
    <w:rsid w:val="00D64006"/>
    <w:rsid w:val="00D666F8"/>
    <w:rsid w:val="00D67184"/>
    <w:rsid w:val="00D70204"/>
    <w:rsid w:val="00D70415"/>
    <w:rsid w:val="00D7193D"/>
    <w:rsid w:val="00D725C9"/>
    <w:rsid w:val="00D734EF"/>
    <w:rsid w:val="00D73E68"/>
    <w:rsid w:val="00D75696"/>
    <w:rsid w:val="00D75ED3"/>
    <w:rsid w:val="00D76D8E"/>
    <w:rsid w:val="00D8126B"/>
    <w:rsid w:val="00D82FF1"/>
    <w:rsid w:val="00D868E9"/>
    <w:rsid w:val="00D87217"/>
    <w:rsid w:val="00D92A3A"/>
    <w:rsid w:val="00D92E70"/>
    <w:rsid w:val="00D9321B"/>
    <w:rsid w:val="00D94AEB"/>
    <w:rsid w:val="00D95568"/>
    <w:rsid w:val="00DA47FE"/>
    <w:rsid w:val="00DA54C8"/>
    <w:rsid w:val="00DB1C43"/>
    <w:rsid w:val="00DB34A2"/>
    <w:rsid w:val="00DB5721"/>
    <w:rsid w:val="00DC0F46"/>
    <w:rsid w:val="00DC4BB0"/>
    <w:rsid w:val="00DC7FB3"/>
    <w:rsid w:val="00DD1D9F"/>
    <w:rsid w:val="00DD3E1F"/>
    <w:rsid w:val="00DE6B56"/>
    <w:rsid w:val="00DF0F7C"/>
    <w:rsid w:val="00DF2693"/>
    <w:rsid w:val="00DF61D3"/>
    <w:rsid w:val="00DF6215"/>
    <w:rsid w:val="00E01904"/>
    <w:rsid w:val="00E023BA"/>
    <w:rsid w:val="00E058DC"/>
    <w:rsid w:val="00E06C81"/>
    <w:rsid w:val="00E10D43"/>
    <w:rsid w:val="00E1223F"/>
    <w:rsid w:val="00E13CCA"/>
    <w:rsid w:val="00E154BA"/>
    <w:rsid w:val="00E17328"/>
    <w:rsid w:val="00E20E11"/>
    <w:rsid w:val="00E21A3D"/>
    <w:rsid w:val="00E23581"/>
    <w:rsid w:val="00E24EEB"/>
    <w:rsid w:val="00E2741F"/>
    <w:rsid w:val="00E34349"/>
    <w:rsid w:val="00E34F1A"/>
    <w:rsid w:val="00E3648F"/>
    <w:rsid w:val="00E368EF"/>
    <w:rsid w:val="00E40CF7"/>
    <w:rsid w:val="00E42C31"/>
    <w:rsid w:val="00E448BF"/>
    <w:rsid w:val="00E50059"/>
    <w:rsid w:val="00E54A9B"/>
    <w:rsid w:val="00E55C05"/>
    <w:rsid w:val="00E566F0"/>
    <w:rsid w:val="00E57BE0"/>
    <w:rsid w:val="00E60A3D"/>
    <w:rsid w:val="00E61B68"/>
    <w:rsid w:val="00E643A9"/>
    <w:rsid w:val="00E67950"/>
    <w:rsid w:val="00E71D54"/>
    <w:rsid w:val="00E72720"/>
    <w:rsid w:val="00E74E24"/>
    <w:rsid w:val="00E77BBF"/>
    <w:rsid w:val="00E77E40"/>
    <w:rsid w:val="00E83F31"/>
    <w:rsid w:val="00E87202"/>
    <w:rsid w:val="00E9012F"/>
    <w:rsid w:val="00E90A2E"/>
    <w:rsid w:val="00E90BCE"/>
    <w:rsid w:val="00E92784"/>
    <w:rsid w:val="00E93C46"/>
    <w:rsid w:val="00E952A1"/>
    <w:rsid w:val="00E9582D"/>
    <w:rsid w:val="00E9626C"/>
    <w:rsid w:val="00EA23AF"/>
    <w:rsid w:val="00EA26F9"/>
    <w:rsid w:val="00EA5138"/>
    <w:rsid w:val="00EB2A60"/>
    <w:rsid w:val="00EB4A6C"/>
    <w:rsid w:val="00EC0893"/>
    <w:rsid w:val="00EC3AFC"/>
    <w:rsid w:val="00EC4DF7"/>
    <w:rsid w:val="00EC4EFC"/>
    <w:rsid w:val="00EC5C08"/>
    <w:rsid w:val="00ED4DBD"/>
    <w:rsid w:val="00ED6201"/>
    <w:rsid w:val="00EE458A"/>
    <w:rsid w:val="00EE5D20"/>
    <w:rsid w:val="00EE62A3"/>
    <w:rsid w:val="00EE67D3"/>
    <w:rsid w:val="00EE6872"/>
    <w:rsid w:val="00EE7276"/>
    <w:rsid w:val="00EE7682"/>
    <w:rsid w:val="00EF611D"/>
    <w:rsid w:val="00EF749B"/>
    <w:rsid w:val="00F01F25"/>
    <w:rsid w:val="00F035EE"/>
    <w:rsid w:val="00F0447F"/>
    <w:rsid w:val="00F04996"/>
    <w:rsid w:val="00F04E50"/>
    <w:rsid w:val="00F05157"/>
    <w:rsid w:val="00F05657"/>
    <w:rsid w:val="00F06255"/>
    <w:rsid w:val="00F06335"/>
    <w:rsid w:val="00F06636"/>
    <w:rsid w:val="00F17D63"/>
    <w:rsid w:val="00F204B7"/>
    <w:rsid w:val="00F219B0"/>
    <w:rsid w:val="00F23423"/>
    <w:rsid w:val="00F35B1C"/>
    <w:rsid w:val="00F445C7"/>
    <w:rsid w:val="00F44743"/>
    <w:rsid w:val="00F45F9E"/>
    <w:rsid w:val="00F46CCE"/>
    <w:rsid w:val="00F51937"/>
    <w:rsid w:val="00F55B20"/>
    <w:rsid w:val="00F564FC"/>
    <w:rsid w:val="00F57FAC"/>
    <w:rsid w:val="00F6456F"/>
    <w:rsid w:val="00F65100"/>
    <w:rsid w:val="00F708A9"/>
    <w:rsid w:val="00F70D4C"/>
    <w:rsid w:val="00F72D04"/>
    <w:rsid w:val="00F731BB"/>
    <w:rsid w:val="00F73742"/>
    <w:rsid w:val="00F73C05"/>
    <w:rsid w:val="00F75A73"/>
    <w:rsid w:val="00F76E62"/>
    <w:rsid w:val="00F81BDD"/>
    <w:rsid w:val="00F84B37"/>
    <w:rsid w:val="00F84B44"/>
    <w:rsid w:val="00F914B4"/>
    <w:rsid w:val="00F92DCE"/>
    <w:rsid w:val="00F93667"/>
    <w:rsid w:val="00F94744"/>
    <w:rsid w:val="00F957EE"/>
    <w:rsid w:val="00F95E0B"/>
    <w:rsid w:val="00F974B6"/>
    <w:rsid w:val="00F97926"/>
    <w:rsid w:val="00FA2272"/>
    <w:rsid w:val="00FA2F6D"/>
    <w:rsid w:val="00FA3090"/>
    <w:rsid w:val="00FA57EA"/>
    <w:rsid w:val="00FA687F"/>
    <w:rsid w:val="00FA7AB1"/>
    <w:rsid w:val="00FB06B3"/>
    <w:rsid w:val="00FB09A1"/>
    <w:rsid w:val="00FB22D8"/>
    <w:rsid w:val="00FB26D7"/>
    <w:rsid w:val="00FB3576"/>
    <w:rsid w:val="00FC01EB"/>
    <w:rsid w:val="00FC2C4E"/>
    <w:rsid w:val="00FC2FFD"/>
    <w:rsid w:val="00FC33FA"/>
    <w:rsid w:val="00FC542A"/>
    <w:rsid w:val="00FC6203"/>
    <w:rsid w:val="00FC6323"/>
    <w:rsid w:val="00FC7441"/>
    <w:rsid w:val="00FD35A8"/>
    <w:rsid w:val="00FD3F55"/>
    <w:rsid w:val="00FD50C6"/>
    <w:rsid w:val="00FD7663"/>
    <w:rsid w:val="00FE2C90"/>
    <w:rsid w:val="00FE31A6"/>
    <w:rsid w:val="00FE3430"/>
    <w:rsid w:val="00FE60CB"/>
    <w:rsid w:val="00FF25E2"/>
    <w:rsid w:val="00FF4613"/>
    <w:rsid w:val="00FF5864"/>
    <w:rsid w:val="00FF75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B2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qFormat="1"/>
    <w:lsdException w:name="caption" w:uiPriority="0" w:qFormat="1"/>
    <w:lsdException w:name="page number"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qFormat="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C4E"/>
    <w:pPr>
      <w:spacing w:before="160"/>
    </w:pPr>
    <w:rPr>
      <w:rFonts w:ascii="Arial" w:eastAsia="Times New Roman" w:hAnsi="Arial"/>
      <w:lang w:val="en-US"/>
    </w:rPr>
  </w:style>
  <w:style w:type="paragraph" w:styleId="Heading1">
    <w:name w:val="heading 1"/>
    <w:basedOn w:val="Normal"/>
    <w:next w:val="Normal"/>
    <w:link w:val="Heading1Char"/>
    <w:qFormat/>
    <w:rsid w:val="00FC2C4E"/>
    <w:pPr>
      <w:keepNext/>
      <w:numPr>
        <w:numId w:val="1"/>
      </w:numPr>
      <w:outlineLvl w:val="0"/>
    </w:pPr>
    <w:rPr>
      <w:rFonts w:ascii="Cambria" w:hAnsi="Cambria"/>
      <w:b/>
      <w:sz w:val="28"/>
      <w:szCs w:val="28"/>
    </w:rPr>
  </w:style>
  <w:style w:type="paragraph" w:styleId="Heading2">
    <w:name w:val="heading 2"/>
    <w:basedOn w:val="Heading1"/>
    <w:next w:val="Normal"/>
    <w:link w:val="Heading2Char"/>
    <w:qFormat/>
    <w:rsid w:val="00D55C9E"/>
    <w:pPr>
      <w:numPr>
        <w:ilvl w:val="1"/>
      </w:numPr>
      <w:outlineLvl w:val="1"/>
    </w:pPr>
    <w:rPr>
      <w:rFonts w:eastAsiaTheme="majorEastAsia" w:cstheme="majorBidi"/>
      <w:sz w:val="24"/>
      <w:szCs w:val="24"/>
    </w:rPr>
  </w:style>
  <w:style w:type="paragraph" w:styleId="Heading3">
    <w:name w:val="heading 3"/>
    <w:basedOn w:val="Heading2"/>
    <w:next w:val="Normal"/>
    <w:link w:val="Heading3Char"/>
    <w:qFormat/>
    <w:rsid w:val="00D55C9E"/>
    <w:pPr>
      <w:numPr>
        <w:ilvl w:val="2"/>
      </w:numPr>
      <w:outlineLvl w:val="2"/>
    </w:pPr>
    <w:rPr>
      <w:rFonts w:eastAsia="Times New Roman" w:cs="Times New Roman"/>
      <w:sz w:val="22"/>
      <w:szCs w:val="22"/>
    </w:rPr>
  </w:style>
  <w:style w:type="paragraph" w:styleId="Heading4">
    <w:name w:val="heading 4"/>
    <w:basedOn w:val="Heading3"/>
    <w:next w:val="Normal"/>
    <w:link w:val="Heading4Char"/>
    <w:qFormat/>
    <w:rsid w:val="00D55C9E"/>
    <w:pPr>
      <w:numPr>
        <w:ilvl w:val="3"/>
      </w:numPr>
      <w:outlineLvl w:val="3"/>
    </w:pPr>
    <w:rPr>
      <w:sz w:val="20"/>
      <w:szCs w:val="20"/>
    </w:rPr>
  </w:style>
  <w:style w:type="paragraph" w:styleId="Heading5">
    <w:name w:val="heading 5"/>
    <w:basedOn w:val="Heading4"/>
    <w:next w:val="Normal"/>
    <w:link w:val="Heading5Char"/>
    <w:qFormat/>
    <w:rsid w:val="00D55C9E"/>
    <w:pPr>
      <w:numPr>
        <w:ilvl w:val="4"/>
      </w:numPr>
      <w:outlineLvl w:val="4"/>
    </w:pPr>
  </w:style>
  <w:style w:type="paragraph" w:styleId="Heading6">
    <w:name w:val="heading 6"/>
    <w:basedOn w:val="Heading5"/>
    <w:next w:val="Normal"/>
    <w:link w:val="Heading6Char"/>
    <w:qFormat/>
    <w:rsid w:val="00D55C9E"/>
    <w:pPr>
      <w:numPr>
        <w:ilvl w:val="5"/>
      </w:numPr>
      <w:outlineLvl w:val="5"/>
    </w:pPr>
  </w:style>
  <w:style w:type="paragraph" w:styleId="Heading7">
    <w:name w:val="heading 7"/>
    <w:basedOn w:val="Heading6"/>
    <w:next w:val="Normal"/>
    <w:link w:val="Heading7Char"/>
    <w:qFormat/>
    <w:rsid w:val="00D55C9E"/>
    <w:pPr>
      <w:numPr>
        <w:ilvl w:val="6"/>
      </w:numPr>
      <w:outlineLvl w:val="6"/>
    </w:pPr>
  </w:style>
  <w:style w:type="paragraph" w:styleId="Heading8">
    <w:name w:val="heading 8"/>
    <w:basedOn w:val="Heading7"/>
    <w:next w:val="Normal"/>
    <w:link w:val="Heading8Char"/>
    <w:qFormat/>
    <w:rsid w:val="00D55C9E"/>
    <w:pPr>
      <w:numPr>
        <w:ilvl w:val="7"/>
      </w:numPr>
      <w:outlineLvl w:val="7"/>
    </w:pPr>
  </w:style>
  <w:style w:type="paragraph" w:styleId="Heading9">
    <w:name w:val="heading 9"/>
    <w:basedOn w:val="Heading1"/>
    <w:next w:val="Normal"/>
    <w:link w:val="Heading9Char"/>
    <w:qFormat/>
    <w:rsid w:val="00D55C9E"/>
    <w:pPr>
      <w:numPr>
        <w:ilvl w:val="8"/>
      </w:numPr>
      <w:tabs>
        <w:tab w:val="left" w:pos="1260"/>
      </w:tabs>
      <w:spacing w:after="160" w:line="280" w:lineRule="atLeast"/>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ListNumber">
    <w:name w:val="CellListNumber"/>
    <w:basedOn w:val="Normal"/>
    <w:qFormat/>
    <w:rsid w:val="00D55C9E"/>
    <w:pPr>
      <w:numPr>
        <w:numId w:val="5"/>
      </w:numPr>
      <w:spacing w:before="0" w:after="60"/>
    </w:pPr>
    <w:rPr>
      <w:sz w:val="18"/>
    </w:rPr>
  </w:style>
  <w:style w:type="paragraph" w:customStyle="1" w:styleId="CellListNumber2">
    <w:name w:val="CellListNumber2"/>
    <w:basedOn w:val="Normal"/>
    <w:qFormat/>
    <w:rsid w:val="00D55C9E"/>
    <w:pPr>
      <w:numPr>
        <w:ilvl w:val="1"/>
        <w:numId w:val="5"/>
      </w:numPr>
      <w:spacing w:before="0" w:after="60"/>
    </w:pPr>
    <w:rPr>
      <w:sz w:val="18"/>
    </w:rPr>
  </w:style>
  <w:style w:type="paragraph" w:customStyle="1" w:styleId="VendorName">
    <w:name w:val="Vendor Name"/>
    <w:basedOn w:val="Heading2"/>
    <w:next w:val="Normal"/>
    <w:link w:val="VendorNameChar"/>
    <w:qFormat/>
    <w:rsid w:val="00D55C9E"/>
    <w:pPr>
      <w:numPr>
        <w:ilvl w:val="0"/>
        <w:numId w:val="0"/>
      </w:numPr>
      <w:ind w:left="1296" w:hanging="720"/>
    </w:pPr>
    <w:rPr>
      <w:rFonts w:eastAsia="Times New Roman" w:cs="Arial"/>
    </w:rPr>
  </w:style>
  <w:style w:type="character" w:customStyle="1" w:styleId="VendorNameChar">
    <w:name w:val="Vendor Name Char"/>
    <w:basedOn w:val="Heading2Char"/>
    <w:link w:val="VendorName"/>
    <w:rsid w:val="00D55C9E"/>
    <w:rPr>
      <w:rFonts w:ascii="Cambria" w:eastAsia="Times New Roman" w:hAnsi="Cambria" w:cs="Arial"/>
      <w:b/>
      <w:sz w:val="24"/>
      <w:szCs w:val="24"/>
      <w:lang w:val="en-US"/>
    </w:rPr>
  </w:style>
  <w:style w:type="character" w:customStyle="1" w:styleId="Heading2Char">
    <w:name w:val="Heading 2 Char"/>
    <w:basedOn w:val="Heading1Char"/>
    <w:link w:val="Heading2"/>
    <w:rsid w:val="00D55C9E"/>
    <w:rPr>
      <w:rFonts w:ascii="Cambria" w:eastAsiaTheme="majorEastAsia" w:hAnsi="Cambria" w:cstheme="majorBidi"/>
      <w:b/>
      <w:sz w:val="24"/>
      <w:szCs w:val="24"/>
      <w:lang w:val="en-US"/>
    </w:rPr>
  </w:style>
  <w:style w:type="paragraph" w:customStyle="1" w:styleId="Instructions">
    <w:name w:val="Instructions"/>
    <w:basedOn w:val="Normal"/>
    <w:link w:val="InstructionsChar"/>
    <w:qFormat/>
    <w:rsid w:val="00D55C9E"/>
    <w:rPr>
      <w:color w:val="C00000"/>
      <w:sz w:val="22"/>
      <w:lang w:eastAsia="en-CA"/>
    </w:rPr>
  </w:style>
  <w:style w:type="character" w:customStyle="1" w:styleId="InstructionsChar">
    <w:name w:val="Instructions Char"/>
    <w:basedOn w:val="BodyTextChar"/>
    <w:link w:val="Instructions"/>
    <w:rsid w:val="00D55C9E"/>
    <w:rPr>
      <w:rFonts w:ascii="Arial" w:eastAsia="Times New Roman" w:hAnsi="Arial"/>
      <w:i/>
      <w:color w:val="C00000"/>
      <w:sz w:val="22"/>
      <w:lang w:val="en-US" w:eastAsia="en-CA"/>
    </w:rPr>
  </w:style>
  <w:style w:type="paragraph" w:customStyle="1" w:styleId="UseCaseName">
    <w:name w:val="Use Case Name"/>
    <w:basedOn w:val="Heading2"/>
    <w:next w:val="Normal"/>
    <w:link w:val="UseCaseNameChar"/>
    <w:qFormat/>
    <w:rsid w:val="00D55C9E"/>
    <w:pPr>
      <w:numPr>
        <w:ilvl w:val="0"/>
        <w:numId w:val="0"/>
      </w:numPr>
      <w:ind w:left="1296" w:hanging="720"/>
    </w:pPr>
    <w:rPr>
      <w:rFonts w:eastAsia="Times New Roman"/>
    </w:rPr>
  </w:style>
  <w:style w:type="character" w:customStyle="1" w:styleId="UseCaseNameChar">
    <w:name w:val="Use Case Name Char"/>
    <w:basedOn w:val="Heading2Char"/>
    <w:link w:val="UseCaseName"/>
    <w:rsid w:val="00D55C9E"/>
    <w:rPr>
      <w:rFonts w:ascii="Cambria" w:eastAsia="Times New Roman" w:hAnsi="Cambria" w:cstheme="majorBidi"/>
      <w:b/>
      <w:sz w:val="24"/>
      <w:szCs w:val="24"/>
      <w:lang w:val="en-US"/>
    </w:rPr>
  </w:style>
  <w:style w:type="paragraph" w:customStyle="1" w:styleId="CriticalCapabilityName">
    <w:name w:val="Critical Capability Name"/>
    <w:basedOn w:val="Heading2"/>
    <w:link w:val="CriticalCapabilityNameChar"/>
    <w:qFormat/>
    <w:rsid w:val="00D55C9E"/>
    <w:pPr>
      <w:numPr>
        <w:ilvl w:val="0"/>
        <w:numId w:val="0"/>
      </w:numPr>
      <w:ind w:left="1296" w:hanging="720"/>
    </w:pPr>
    <w:rPr>
      <w:rFonts w:eastAsia="Times New Roman"/>
    </w:rPr>
  </w:style>
  <w:style w:type="character" w:customStyle="1" w:styleId="CriticalCapabilityNameChar">
    <w:name w:val="Critical Capability Name Char"/>
    <w:basedOn w:val="Heading2Char"/>
    <w:link w:val="CriticalCapabilityName"/>
    <w:rsid w:val="00D55C9E"/>
    <w:rPr>
      <w:rFonts w:ascii="Cambria" w:eastAsia="Times New Roman" w:hAnsi="Cambria" w:cstheme="majorBidi"/>
      <w:b/>
      <w:sz w:val="24"/>
      <w:szCs w:val="24"/>
      <w:lang w:val="en-US"/>
    </w:rPr>
  </w:style>
  <w:style w:type="paragraph" w:customStyle="1" w:styleId="PeerConversationSectionHeader">
    <w:name w:val="Peer Conversation Section Header"/>
    <w:basedOn w:val="Normal"/>
    <w:link w:val="PeerConversationSectionHeaderChar"/>
    <w:qFormat/>
    <w:rsid w:val="00D55C9E"/>
    <w:pPr>
      <w:keepNext/>
      <w:pBdr>
        <w:bottom w:val="single" w:sz="4" w:space="1" w:color="auto"/>
      </w:pBdr>
      <w:spacing w:before="240" w:after="80"/>
    </w:pPr>
    <w:rPr>
      <w:b/>
      <w:sz w:val="22"/>
      <w:szCs w:val="22"/>
    </w:rPr>
  </w:style>
  <w:style w:type="character" w:customStyle="1" w:styleId="PeerConversationSectionHeaderChar">
    <w:name w:val="Peer Conversation Section Header Char"/>
    <w:basedOn w:val="DefaultParagraphFont"/>
    <w:link w:val="PeerConversationSectionHeader"/>
    <w:rsid w:val="00D55C9E"/>
    <w:rPr>
      <w:rFonts w:ascii="Arial" w:eastAsia="Times New Roman" w:hAnsi="Arial"/>
      <w:b/>
      <w:sz w:val="22"/>
      <w:szCs w:val="22"/>
    </w:rPr>
  </w:style>
  <w:style w:type="paragraph" w:customStyle="1" w:styleId="PeerConversation">
    <w:name w:val="Peer Conversation"/>
    <w:basedOn w:val="Normal"/>
    <w:link w:val="PeerConversationChar"/>
    <w:qFormat/>
    <w:rsid w:val="00D55C9E"/>
  </w:style>
  <w:style w:type="character" w:customStyle="1" w:styleId="PeerConversationChar">
    <w:name w:val="Peer Conversation Char"/>
    <w:basedOn w:val="DefaultParagraphFont"/>
    <w:link w:val="PeerConversation"/>
    <w:rsid w:val="00D55C9E"/>
    <w:rPr>
      <w:rFonts w:ascii="Arial" w:eastAsia="Times New Roman" w:hAnsi="Arial"/>
    </w:rPr>
  </w:style>
  <w:style w:type="paragraph" w:customStyle="1" w:styleId="PeerConversationListBullet">
    <w:name w:val="Peer Conversation List Bullet"/>
    <w:basedOn w:val="ListBullet"/>
    <w:link w:val="PeerConversationListBulletChar"/>
    <w:qFormat/>
    <w:rsid w:val="00D55C9E"/>
    <w:pPr>
      <w:numPr>
        <w:numId w:val="4"/>
      </w:numPr>
      <w:ind w:left="806"/>
      <w:contextualSpacing w:val="0"/>
    </w:pPr>
  </w:style>
  <w:style w:type="character" w:customStyle="1" w:styleId="PeerConversationListBulletChar">
    <w:name w:val="Peer Conversation List Bullet Char"/>
    <w:basedOn w:val="DefaultParagraphFont"/>
    <w:link w:val="PeerConversationListBullet"/>
    <w:rsid w:val="00D55C9E"/>
    <w:rPr>
      <w:rFonts w:ascii="Arial" w:eastAsia="Times New Roman" w:hAnsi="Arial"/>
      <w:lang w:val="en-US"/>
    </w:rPr>
  </w:style>
  <w:style w:type="paragraph" w:styleId="ListBullet">
    <w:name w:val="List Bullet"/>
    <w:basedOn w:val="Normal"/>
    <w:uiPriority w:val="99"/>
    <w:unhideWhenUsed/>
    <w:rsid w:val="00D55C9E"/>
    <w:pPr>
      <w:numPr>
        <w:numId w:val="2"/>
      </w:numPr>
      <w:contextualSpacing/>
    </w:pPr>
  </w:style>
  <w:style w:type="paragraph" w:customStyle="1" w:styleId="Inquiry">
    <w:name w:val="Inquiry"/>
    <w:basedOn w:val="Normal"/>
    <w:link w:val="InquiryChar"/>
    <w:qFormat/>
    <w:rsid w:val="00D55C9E"/>
  </w:style>
  <w:style w:type="character" w:customStyle="1" w:styleId="InquiryChar">
    <w:name w:val="Inquiry Char"/>
    <w:basedOn w:val="DefaultParagraphFont"/>
    <w:link w:val="Inquiry"/>
    <w:rsid w:val="00D55C9E"/>
    <w:rPr>
      <w:rFonts w:ascii="Arial" w:eastAsia="Times New Roman" w:hAnsi="Arial"/>
    </w:rPr>
  </w:style>
  <w:style w:type="paragraph" w:customStyle="1" w:styleId="InquiryListBullet">
    <w:name w:val="Inquiry List Bullet"/>
    <w:basedOn w:val="ListBullet"/>
    <w:link w:val="InquiryListBulletChar"/>
    <w:qFormat/>
    <w:rsid w:val="00D55C9E"/>
    <w:pPr>
      <w:numPr>
        <w:numId w:val="3"/>
      </w:numPr>
      <w:tabs>
        <w:tab w:val="num" w:pos="806"/>
      </w:tabs>
      <w:ind w:left="806"/>
      <w:contextualSpacing w:val="0"/>
    </w:pPr>
  </w:style>
  <w:style w:type="character" w:customStyle="1" w:styleId="InquiryListBulletChar">
    <w:name w:val="Inquiry List Bullet Char"/>
    <w:basedOn w:val="DefaultParagraphFont"/>
    <w:link w:val="InquiryListBullet"/>
    <w:rsid w:val="00D55C9E"/>
    <w:rPr>
      <w:rFonts w:ascii="Arial" w:eastAsia="Times New Roman" w:hAnsi="Arial"/>
      <w:lang w:val="en-US"/>
    </w:rPr>
  </w:style>
  <w:style w:type="paragraph" w:customStyle="1" w:styleId="InquiryBanner">
    <w:name w:val="Inquiry Banner"/>
    <w:basedOn w:val="Normal"/>
    <w:link w:val="InquiryBannerChar"/>
    <w:qFormat/>
    <w:rsid w:val="00D55C9E"/>
    <w:pPr>
      <w:pBdr>
        <w:top w:val="single" w:sz="4" w:space="1" w:color="auto"/>
        <w:left w:val="single" w:sz="4" w:space="4" w:color="auto"/>
        <w:bottom w:val="single" w:sz="4" w:space="1" w:color="auto"/>
        <w:right w:val="single" w:sz="4" w:space="4" w:color="auto"/>
      </w:pBdr>
    </w:pPr>
  </w:style>
  <w:style w:type="character" w:customStyle="1" w:styleId="InquiryBannerChar">
    <w:name w:val="Inquiry Banner Char"/>
    <w:basedOn w:val="DefaultParagraphFont"/>
    <w:link w:val="InquiryBanner"/>
    <w:rsid w:val="00D55C9E"/>
    <w:rPr>
      <w:rFonts w:ascii="Arial" w:eastAsia="Times New Roman" w:hAnsi="Arial"/>
    </w:rPr>
  </w:style>
  <w:style w:type="paragraph" w:customStyle="1" w:styleId="BodyText">
    <w:name w:val="BodyText"/>
    <w:basedOn w:val="Normal"/>
    <w:link w:val="BodyTextChar0"/>
    <w:qFormat/>
    <w:rsid w:val="00D55C9E"/>
    <w:pPr>
      <w:spacing w:before="120" w:after="120"/>
    </w:pPr>
    <w:rPr>
      <w:rFonts w:ascii="Palatino Linotype" w:hAnsi="Palatino Linotype"/>
      <w:sz w:val="22"/>
      <w:szCs w:val="22"/>
      <w:lang w:eastAsia="en-CA"/>
    </w:rPr>
  </w:style>
  <w:style w:type="character" w:customStyle="1" w:styleId="BodyTextChar0">
    <w:name w:val="BodyText Char"/>
    <w:basedOn w:val="DefaultParagraphFont"/>
    <w:link w:val="BodyText"/>
    <w:rsid w:val="00D55C9E"/>
    <w:rPr>
      <w:rFonts w:ascii="Palatino Linotype" w:eastAsia="Times New Roman" w:hAnsi="Palatino Linotype"/>
      <w:sz w:val="22"/>
      <w:szCs w:val="22"/>
      <w:lang w:eastAsia="en-CA"/>
    </w:rPr>
  </w:style>
  <w:style w:type="paragraph" w:customStyle="1" w:styleId="TableHead">
    <w:name w:val="Table Head"/>
    <w:basedOn w:val="Normal"/>
    <w:qFormat/>
    <w:rsid w:val="00D55C9E"/>
    <w:pPr>
      <w:spacing w:before="120" w:after="120"/>
      <w:jc w:val="center"/>
    </w:pPr>
    <w:rPr>
      <w:rFonts w:ascii="Palatino Linotype" w:hAnsi="Palatino Linotype"/>
      <w:b/>
      <w:sz w:val="22"/>
      <w:szCs w:val="22"/>
      <w:lang w:eastAsia="en-CA"/>
    </w:rPr>
  </w:style>
  <w:style w:type="paragraph" w:customStyle="1" w:styleId="TableText">
    <w:name w:val="Table Text"/>
    <w:basedOn w:val="Normal"/>
    <w:qFormat/>
    <w:rsid w:val="00D55C9E"/>
    <w:pPr>
      <w:spacing w:before="120" w:after="120"/>
    </w:pPr>
    <w:rPr>
      <w:rFonts w:ascii="Palatino Linotype" w:hAnsi="Palatino Linotype"/>
      <w:sz w:val="22"/>
      <w:szCs w:val="22"/>
      <w:lang w:eastAsia="en-CA"/>
    </w:rPr>
  </w:style>
  <w:style w:type="paragraph" w:customStyle="1" w:styleId="TemplateInstructions">
    <w:name w:val="Template Instructions"/>
    <w:basedOn w:val="Normal"/>
    <w:qFormat/>
    <w:rsid w:val="00D55C9E"/>
    <w:pPr>
      <w:spacing w:before="60" w:after="60"/>
    </w:pPr>
    <w:rPr>
      <w:rFonts w:ascii="Palatino Linotype" w:hAnsi="Palatino Linotype"/>
      <w:i/>
      <w:color w:val="3333FF"/>
      <w:sz w:val="22"/>
      <w:szCs w:val="22"/>
      <w:lang w:eastAsia="en-CA"/>
    </w:rPr>
  </w:style>
  <w:style w:type="paragraph" w:customStyle="1" w:styleId="PurposeList">
    <w:name w:val="Purpose List"/>
    <w:basedOn w:val="BodyText"/>
    <w:qFormat/>
    <w:rsid w:val="00D55C9E"/>
    <w:pPr>
      <w:numPr>
        <w:numId w:val="6"/>
      </w:numPr>
    </w:pPr>
  </w:style>
  <w:style w:type="paragraph" w:customStyle="1" w:styleId="NumberedList">
    <w:name w:val="Numbered List"/>
    <w:basedOn w:val="ListParagraph"/>
    <w:link w:val="NumberedListChar1"/>
    <w:qFormat/>
    <w:rsid w:val="00D55C9E"/>
    <w:pPr>
      <w:spacing w:before="0" w:after="80"/>
      <w:ind w:hanging="360"/>
      <w:contextualSpacing w:val="0"/>
    </w:pPr>
    <w:rPr>
      <w:rFonts w:ascii="Palatino Linotype" w:hAnsi="Palatino Linotype"/>
      <w:sz w:val="22"/>
      <w:lang w:eastAsia="en-CA"/>
    </w:rPr>
  </w:style>
  <w:style w:type="character" w:customStyle="1" w:styleId="NumberedListChar1">
    <w:name w:val="Numbered List Char1"/>
    <w:basedOn w:val="DefaultParagraphFont"/>
    <w:link w:val="NumberedList"/>
    <w:rsid w:val="00D55C9E"/>
    <w:rPr>
      <w:rFonts w:ascii="Palatino Linotype" w:eastAsia="Times New Roman" w:hAnsi="Palatino Linotype"/>
      <w:sz w:val="22"/>
      <w:lang w:val="en-US" w:eastAsia="en-CA"/>
    </w:rPr>
  </w:style>
  <w:style w:type="paragraph" w:styleId="ListParagraph">
    <w:name w:val="List Paragraph"/>
    <w:basedOn w:val="Normal"/>
    <w:uiPriority w:val="34"/>
    <w:qFormat/>
    <w:rsid w:val="00D55C9E"/>
    <w:pPr>
      <w:ind w:left="720"/>
      <w:contextualSpacing/>
    </w:pPr>
  </w:style>
  <w:style w:type="paragraph" w:customStyle="1" w:styleId="FigureCaption">
    <w:name w:val="Figure Caption"/>
    <w:basedOn w:val="Normal"/>
    <w:link w:val="FigureCaptionChar"/>
    <w:qFormat/>
    <w:rsid w:val="00D55C9E"/>
    <w:pPr>
      <w:spacing w:before="40" w:after="240"/>
      <w:jc w:val="center"/>
    </w:pPr>
    <w:rPr>
      <w:rFonts w:ascii="Palatino Linotype" w:eastAsiaTheme="minorHAnsi" w:hAnsi="Palatino Linotype" w:cstheme="minorBidi"/>
      <w:b/>
      <w:snapToGrid w:val="0"/>
      <w:color w:val="000000"/>
      <w:sz w:val="22"/>
      <w:lang w:eastAsia="en-CA"/>
    </w:rPr>
  </w:style>
  <w:style w:type="character" w:customStyle="1" w:styleId="FigureCaptionChar">
    <w:name w:val="Figure Caption Char"/>
    <w:basedOn w:val="DefaultParagraphFont"/>
    <w:link w:val="FigureCaption"/>
    <w:rsid w:val="00D55C9E"/>
    <w:rPr>
      <w:rFonts w:ascii="Palatino Linotype" w:eastAsiaTheme="minorHAnsi" w:hAnsi="Palatino Linotype" w:cstheme="minorBidi"/>
      <w:b/>
      <w:snapToGrid w:val="0"/>
      <w:color w:val="000000"/>
      <w:sz w:val="22"/>
      <w:lang w:eastAsia="en-CA"/>
    </w:rPr>
  </w:style>
  <w:style w:type="character" w:customStyle="1" w:styleId="Heading1Char">
    <w:name w:val="Heading 1 Char"/>
    <w:basedOn w:val="DefaultParagraphFont"/>
    <w:link w:val="Heading1"/>
    <w:rsid w:val="00FC2C4E"/>
    <w:rPr>
      <w:rFonts w:ascii="Cambria" w:eastAsia="Times New Roman" w:hAnsi="Cambria"/>
      <w:b/>
      <w:sz w:val="28"/>
      <w:szCs w:val="28"/>
      <w:lang w:val="en-US"/>
    </w:rPr>
  </w:style>
  <w:style w:type="character" w:customStyle="1" w:styleId="Heading3Char">
    <w:name w:val="Heading 3 Char"/>
    <w:link w:val="Heading3"/>
    <w:rsid w:val="00D55C9E"/>
    <w:rPr>
      <w:rFonts w:ascii="Cambria" w:eastAsia="Times New Roman" w:hAnsi="Cambria"/>
      <w:b/>
      <w:sz w:val="22"/>
      <w:szCs w:val="22"/>
      <w:lang w:val="en-US"/>
    </w:rPr>
  </w:style>
  <w:style w:type="character" w:customStyle="1" w:styleId="Heading4Char">
    <w:name w:val="Heading 4 Char"/>
    <w:basedOn w:val="DefaultParagraphFont"/>
    <w:link w:val="Heading4"/>
    <w:rsid w:val="00D55C9E"/>
    <w:rPr>
      <w:rFonts w:ascii="Cambria" w:eastAsia="Times New Roman" w:hAnsi="Cambria"/>
      <w:b/>
      <w:lang w:val="en-US"/>
    </w:rPr>
  </w:style>
  <w:style w:type="character" w:customStyle="1" w:styleId="Heading5Char">
    <w:name w:val="Heading 5 Char"/>
    <w:basedOn w:val="DefaultParagraphFont"/>
    <w:link w:val="Heading5"/>
    <w:rsid w:val="00D55C9E"/>
    <w:rPr>
      <w:rFonts w:ascii="Cambria" w:eastAsia="Times New Roman" w:hAnsi="Cambria"/>
      <w:b/>
      <w:lang w:val="en-US"/>
    </w:rPr>
  </w:style>
  <w:style w:type="character" w:customStyle="1" w:styleId="Heading6Char">
    <w:name w:val="Heading 6 Char"/>
    <w:basedOn w:val="DefaultParagraphFont"/>
    <w:link w:val="Heading6"/>
    <w:rsid w:val="00D55C9E"/>
    <w:rPr>
      <w:rFonts w:ascii="Cambria" w:eastAsia="Times New Roman" w:hAnsi="Cambria"/>
      <w:b/>
      <w:lang w:val="en-US"/>
    </w:rPr>
  </w:style>
  <w:style w:type="character" w:customStyle="1" w:styleId="Heading7Char">
    <w:name w:val="Heading 7 Char"/>
    <w:basedOn w:val="DefaultParagraphFont"/>
    <w:link w:val="Heading7"/>
    <w:rsid w:val="00D55C9E"/>
    <w:rPr>
      <w:rFonts w:ascii="Cambria" w:eastAsia="Times New Roman" w:hAnsi="Cambria"/>
      <w:b/>
      <w:lang w:val="en-US"/>
    </w:rPr>
  </w:style>
  <w:style w:type="character" w:customStyle="1" w:styleId="Heading8Char">
    <w:name w:val="Heading 8 Char"/>
    <w:basedOn w:val="DefaultParagraphFont"/>
    <w:link w:val="Heading8"/>
    <w:rsid w:val="00D55C9E"/>
    <w:rPr>
      <w:rFonts w:ascii="Cambria" w:eastAsia="Times New Roman" w:hAnsi="Cambria"/>
      <w:b/>
      <w:lang w:val="en-US"/>
    </w:rPr>
  </w:style>
  <w:style w:type="character" w:customStyle="1" w:styleId="Heading9Char">
    <w:name w:val="Heading 9 Char"/>
    <w:basedOn w:val="DefaultParagraphFont"/>
    <w:link w:val="Heading9"/>
    <w:rsid w:val="00D55C9E"/>
    <w:rPr>
      <w:rFonts w:ascii="Cambria" w:eastAsia="Times New Roman" w:hAnsi="Cambria"/>
      <w:b/>
      <w:sz w:val="18"/>
      <w:szCs w:val="28"/>
      <w:lang w:val="en-US"/>
    </w:rPr>
  </w:style>
  <w:style w:type="paragraph" w:styleId="Footer">
    <w:name w:val="footer"/>
    <w:basedOn w:val="Normal"/>
    <w:link w:val="FooterChar"/>
    <w:qFormat/>
    <w:rsid w:val="00D55C9E"/>
    <w:pPr>
      <w:spacing w:before="0" w:after="40"/>
      <w:ind w:right="-115"/>
    </w:pPr>
    <w:rPr>
      <w:snapToGrid w:val="0"/>
      <w:sz w:val="16"/>
    </w:rPr>
  </w:style>
  <w:style w:type="character" w:customStyle="1" w:styleId="FooterChar">
    <w:name w:val="Footer Char"/>
    <w:link w:val="Footer"/>
    <w:rsid w:val="00D55C9E"/>
    <w:rPr>
      <w:rFonts w:ascii="Arial" w:eastAsia="Times New Roman" w:hAnsi="Arial"/>
      <w:snapToGrid w:val="0"/>
      <w:sz w:val="16"/>
    </w:rPr>
  </w:style>
  <w:style w:type="paragraph" w:styleId="Caption">
    <w:name w:val="caption"/>
    <w:basedOn w:val="Normal"/>
    <w:next w:val="Normal"/>
    <w:qFormat/>
    <w:rsid w:val="00D55C9E"/>
    <w:pPr>
      <w:keepNext/>
      <w:spacing w:before="240" w:after="120"/>
    </w:pPr>
    <w:rPr>
      <w:b/>
    </w:rPr>
  </w:style>
  <w:style w:type="paragraph" w:styleId="Title">
    <w:name w:val="Title"/>
    <w:basedOn w:val="Normal"/>
    <w:next w:val="Normal"/>
    <w:link w:val="TitleChar"/>
    <w:qFormat/>
    <w:rsid w:val="00D55C9E"/>
    <w:pPr>
      <w:spacing w:before="180"/>
      <w:outlineLvl w:val="0"/>
    </w:pPr>
    <w:rPr>
      <w:b/>
      <w:sz w:val="32"/>
    </w:rPr>
  </w:style>
  <w:style w:type="character" w:customStyle="1" w:styleId="TitleChar">
    <w:name w:val="Title Char"/>
    <w:basedOn w:val="DefaultParagraphFont"/>
    <w:link w:val="Title"/>
    <w:rsid w:val="00D55C9E"/>
    <w:rPr>
      <w:rFonts w:ascii="Arial" w:eastAsia="Times New Roman" w:hAnsi="Arial"/>
      <w:b/>
      <w:sz w:val="32"/>
    </w:rPr>
  </w:style>
  <w:style w:type="paragraph" w:styleId="BodyText0">
    <w:name w:val="Body Text"/>
    <w:basedOn w:val="Normal"/>
    <w:link w:val="BodyTextChar"/>
    <w:unhideWhenUsed/>
    <w:qFormat/>
    <w:rsid w:val="00FC2C4E"/>
    <w:pPr>
      <w:spacing w:before="0" w:after="120"/>
    </w:pPr>
    <w:rPr>
      <w:rFonts w:ascii="Palatino Linotype" w:hAnsi="Palatino Linotype"/>
      <w:i/>
      <w:color w:val="2E74B5" w:themeColor="accent1" w:themeShade="BF"/>
      <w:sz w:val="22"/>
      <w:lang w:eastAsia="en-CA"/>
    </w:rPr>
  </w:style>
  <w:style w:type="character" w:customStyle="1" w:styleId="BodyTextChar">
    <w:name w:val="Body Text Char"/>
    <w:basedOn w:val="DefaultParagraphFont"/>
    <w:link w:val="BodyText0"/>
    <w:rsid w:val="00FC2C4E"/>
    <w:rPr>
      <w:rFonts w:ascii="Palatino Linotype" w:eastAsia="Times New Roman" w:hAnsi="Palatino Linotype"/>
      <w:i/>
      <w:color w:val="2E74B5" w:themeColor="accent1" w:themeShade="BF"/>
      <w:sz w:val="22"/>
      <w:lang w:val="en-US" w:eastAsia="en-CA"/>
    </w:rPr>
  </w:style>
  <w:style w:type="character" w:styleId="Strong">
    <w:name w:val="Strong"/>
    <w:basedOn w:val="DefaultParagraphFont"/>
    <w:uiPriority w:val="22"/>
    <w:qFormat/>
    <w:rsid w:val="00D55C9E"/>
    <w:rPr>
      <w:b/>
      <w:bCs/>
      <w:sz w:val="24"/>
    </w:rPr>
  </w:style>
  <w:style w:type="table" w:styleId="TableGrid">
    <w:name w:val="Table Grid"/>
    <w:basedOn w:val="TableNormal"/>
    <w:uiPriority w:val="59"/>
    <w:rsid w:val="00FC2C4E"/>
    <w:pPr>
      <w:spacing w:before="16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FC2C4E"/>
  </w:style>
  <w:style w:type="character" w:customStyle="1" w:styleId="CommentTextChar">
    <w:name w:val="Comment Text Char"/>
    <w:basedOn w:val="DefaultParagraphFont"/>
    <w:link w:val="CommentText"/>
    <w:rsid w:val="00FC2C4E"/>
    <w:rPr>
      <w:rFonts w:ascii="Arial" w:eastAsia="Times New Roman" w:hAnsi="Arial"/>
      <w:lang w:val="en-US"/>
    </w:rPr>
  </w:style>
  <w:style w:type="numbering" w:customStyle="1" w:styleId="Style1">
    <w:name w:val="Style1"/>
    <w:uiPriority w:val="99"/>
    <w:rsid w:val="00FC2C4E"/>
    <w:pPr>
      <w:numPr>
        <w:numId w:val="8"/>
      </w:numPr>
    </w:pPr>
  </w:style>
  <w:style w:type="paragraph" w:styleId="BodyTextIndent">
    <w:name w:val="Body Text Indent"/>
    <w:basedOn w:val="Normal"/>
    <w:link w:val="BodyTextIndentChar"/>
    <w:uiPriority w:val="99"/>
    <w:unhideWhenUsed/>
    <w:rsid w:val="00C83E1C"/>
    <w:pPr>
      <w:ind w:left="1296"/>
    </w:pPr>
    <w:rPr>
      <w:rFonts w:ascii="Palatino Linotype" w:hAnsi="Palatino Linotype"/>
      <w:i/>
      <w:color w:val="2E74B5" w:themeColor="accent1" w:themeShade="BF"/>
      <w:sz w:val="22"/>
      <w:szCs w:val="22"/>
    </w:rPr>
  </w:style>
  <w:style w:type="character" w:customStyle="1" w:styleId="BodyTextIndentChar">
    <w:name w:val="Body Text Indent Char"/>
    <w:basedOn w:val="DefaultParagraphFont"/>
    <w:link w:val="BodyTextIndent"/>
    <w:uiPriority w:val="99"/>
    <w:rsid w:val="00C83E1C"/>
    <w:rPr>
      <w:rFonts w:ascii="Palatino Linotype" w:eastAsia="Times New Roman" w:hAnsi="Palatino Linotype"/>
      <w:i/>
      <w:color w:val="2E74B5" w:themeColor="accent1" w:themeShade="BF"/>
      <w:sz w:val="22"/>
      <w:szCs w:val="22"/>
      <w:lang w:val="en-US"/>
    </w:rPr>
  </w:style>
  <w:style w:type="paragraph" w:styleId="List">
    <w:name w:val="List"/>
    <w:basedOn w:val="Normal"/>
    <w:rsid w:val="00C83E1C"/>
    <w:pPr>
      <w:numPr>
        <w:numId w:val="9"/>
      </w:numPr>
    </w:pPr>
  </w:style>
  <w:style w:type="paragraph" w:styleId="List2">
    <w:name w:val="List 2"/>
    <w:basedOn w:val="List"/>
    <w:rsid w:val="00C83E1C"/>
    <w:pPr>
      <w:numPr>
        <w:ilvl w:val="1"/>
      </w:numPr>
    </w:pPr>
  </w:style>
  <w:style w:type="paragraph" w:styleId="List3">
    <w:name w:val="List 3"/>
    <w:basedOn w:val="List2"/>
    <w:rsid w:val="00C83E1C"/>
    <w:pPr>
      <w:numPr>
        <w:ilvl w:val="2"/>
      </w:numPr>
    </w:pPr>
  </w:style>
  <w:style w:type="paragraph" w:styleId="List4">
    <w:name w:val="List 4"/>
    <w:basedOn w:val="List3"/>
    <w:rsid w:val="00C83E1C"/>
    <w:pPr>
      <w:numPr>
        <w:ilvl w:val="3"/>
      </w:numPr>
    </w:pPr>
  </w:style>
  <w:style w:type="paragraph" w:customStyle="1" w:styleId="CellBodyL">
    <w:name w:val="CellBodyL"/>
    <w:basedOn w:val="Normal"/>
    <w:rsid w:val="0027288D"/>
    <w:pPr>
      <w:spacing w:before="0" w:after="60"/>
    </w:pPr>
    <w:rPr>
      <w:sz w:val="18"/>
    </w:rPr>
  </w:style>
  <w:style w:type="paragraph" w:customStyle="1" w:styleId="CellHeadingL">
    <w:name w:val="CellHeadingL"/>
    <w:basedOn w:val="Normal"/>
    <w:rsid w:val="0027288D"/>
    <w:pPr>
      <w:keepNext/>
      <w:spacing w:before="0" w:after="60"/>
    </w:pPr>
    <w:rPr>
      <w:b/>
      <w:sz w:val="18"/>
    </w:rPr>
  </w:style>
  <w:style w:type="paragraph" w:customStyle="1" w:styleId="DocumentControlSubHeading">
    <w:name w:val="DocumentControlSubHeading"/>
    <w:rsid w:val="0027288D"/>
    <w:rPr>
      <w:rFonts w:ascii="Arial" w:eastAsia="Times New Roman" w:hAnsi="Arial"/>
      <w:b/>
      <w:i/>
      <w:noProof/>
      <w:sz w:val="24"/>
      <w:lang w:eastAsia="en-CA"/>
    </w:rPr>
  </w:style>
  <w:style w:type="paragraph" w:customStyle="1" w:styleId="DocumentControlTableText">
    <w:name w:val="DocumentControlTableText"/>
    <w:basedOn w:val="Normal"/>
    <w:rsid w:val="0027288D"/>
    <w:pPr>
      <w:spacing w:before="80" w:after="80"/>
    </w:pPr>
    <w:rPr>
      <w:rFonts w:ascii="Times New Roman" w:hAnsi="Times New Roman"/>
      <w:sz w:val="22"/>
      <w:lang w:eastAsia="en-CA"/>
    </w:rPr>
  </w:style>
  <w:style w:type="paragraph" w:styleId="Header">
    <w:name w:val="header"/>
    <w:basedOn w:val="Normal"/>
    <w:link w:val="HeaderChar"/>
    <w:uiPriority w:val="99"/>
    <w:unhideWhenUsed/>
    <w:rsid w:val="00D9321B"/>
    <w:pPr>
      <w:tabs>
        <w:tab w:val="center" w:pos="4680"/>
        <w:tab w:val="right" w:pos="9360"/>
      </w:tabs>
      <w:spacing w:before="0"/>
    </w:pPr>
  </w:style>
  <w:style w:type="character" w:customStyle="1" w:styleId="HeaderChar">
    <w:name w:val="Header Char"/>
    <w:basedOn w:val="DefaultParagraphFont"/>
    <w:link w:val="Header"/>
    <w:uiPriority w:val="99"/>
    <w:rsid w:val="00D9321B"/>
    <w:rPr>
      <w:rFonts w:ascii="Arial" w:eastAsia="Times New Roman" w:hAnsi="Arial"/>
      <w:lang w:val="en-US"/>
    </w:rPr>
  </w:style>
  <w:style w:type="paragraph" w:styleId="BalloonText">
    <w:name w:val="Balloon Text"/>
    <w:basedOn w:val="Normal"/>
    <w:link w:val="BalloonTextChar"/>
    <w:uiPriority w:val="99"/>
    <w:semiHidden/>
    <w:unhideWhenUsed/>
    <w:rsid w:val="00D9321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21B"/>
    <w:rPr>
      <w:rFonts w:ascii="Tahoma" w:eastAsia="Times New Roman" w:hAnsi="Tahoma" w:cs="Tahoma"/>
      <w:sz w:val="16"/>
      <w:szCs w:val="16"/>
      <w:lang w:val="en-US"/>
    </w:rPr>
  </w:style>
  <w:style w:type="character" w:styleId="PageNumber">
    <w:name w:val="page number"/>
    <w:basedOn w:val="DefaultParagraphFont"/>
    <w:rsid w:val="002E66B4"/>
  </w:style>
  <w:style w:type="character" w:styleId="CommentReference">
    <w:name w:val="annotation reference"/>
    <w:basedOn w:val="DefaultParagraphFont"/>
    <w:uiPriority w:val="99"/>
    <w:semiHidden/>
    <w:unhideWhenUsed/>
    <w:rsid w:val="006746DD"/>
    <w:rPr>
      <w:sz w:val="16"/>
      <w:szCs w:val="16"/>
    </w:rPr>
  </w:style>
  <w:style w:type="paragraph" w:styleId="CommentSubject">
    <w:name w:val="annotation subject"/>
    <w:basedOn w:val="CommentText"/>
    <w:next w:val="CommentText"/>
    <w:link w:val="CommentSubjectChar"/>
    <w:uiPriority w:val="99"/>
    <w:semiHidden/>
    <w:unhideWhenUsed/>
    <w:rsid w:val="006746DD"/>
    <w:rPr>
      <w:b/>
      <w:bCs/>
    </w:rPr>
  </w:style>
  <w:style w:type="character" w:customStyle="1" w:styleId="CommentSubjectChar">
    <w:name w:val="Comment Subject Char"/>
    <w:basedOn w:val="CommentTextChar"/>
    <w:link w:val="CommentSubject"/>
    <w:uiPriority w:val="99"/>
    <w:semiHidden/>
    <w:rsid w:val="006746DD"/>
    <w:rPr>
      <w:rFonts w:ascii="Arial" w:eastAsia="Times New Roman" w:hAnsi="Arial"/>
      <w:b/>
      <w:bCs/>
      <w:lang w:val="en-US"/>
    </w:rPr>
  </w:style>
  <w:style w:type="paragraph" w:styleId="Revision">
    <w:name w:val="Revision"/>
    <w:hidden/>
    <w:uiPriority w:val="99"/>
    <w:semiHidden/>
    <w:rsid w:val="00F914B4"/>
    <w:rPr>
      <w:rFonts w:ascii="Arial" w:eastAsia="Times New Roman" w:hAnsi="Arial"/>
      <w:lang w:val="en-US"/>
    </w:rPr>
  </w:style>
  <w:style w:type="character" w:customStyle="1" w:styleId="ilfuvd">
    <w:name w:val="ilfuvd"/>
    <w:basedOn w:val="DefaultParagraphFont"/>
    <w:rsid w:val="00A15F36"/>
  </w:style>
  <w:style w:type="character" w:styleId="Hyperlink">
    <w:name w:val="Hyperlink"/>
    <w:basedOn w:val="DefaultParagraphFont"/>
    <w:uiPriority w:val="99"/>
    <w:unhideWhenUsed/>
    <w:rsid w:val="00436A04"/>
    <w:rPr>
      <w:color w:val="0563C1" w:themeColor="hyperlink"/>
      <w:u w:val="single"/>
    </w:rPr>
  </w:style>
  <w:style w:type="paragraph" w:styleId="Subtitle">
    <w:name w:val="Subtitle"/>
    <w:basedOn w:val="Normal"/>
    <w:next w:val="Normal"/>
    <w:link w:val="SubtitleChar"/>
    <w:qFormat/>
    <w:locked/>
    <w:rsid w:val="009B5EA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rsid w:val="009B5EAA"/>
    <w:rPr>
      <w:rFonts w:asciiTheme="majorHAnsi" w:eastAsiaTheme="majorEastAsia" w:hAnsiTheme="majorHAnsi" w:cstheme="majorBidi"/>
      <w:i/>
      <w:iCs/>
      <w:color w:val="5B9BD5" w:themeColor="accent1"/>
      <w:spacing w:val="15"/>
      <w:sz w:val="24"/>
      <w:szCs w:val="24"/>
      <w:lang w:val="en-US"/>
    </w:rPr>
  </w:style>
  <w:style w:type="character" w:customStyle="1" w:styleId="TableCaptionChar">
    <w:name w:val="Table Caption Char"/>
    <w:basedOn w:val="DefaultParagraphFont"/>
    <w:link w:val="TableCaption"/>
    <w:locked/>
    <w:rsid w:val="002D391D"/>
    <w:rPr>
      <w:rFonts w:ascii="Palatino Linotype" w:hAnsi="Palatino Linotype"/>
      <w:b/>
      <w:sz w:val="22"/>
      <w:lang w:val="en-US"/>
    </w:rPr>
  </w:style>
  <w:style w:type="paragraph" w:customStyle="1" w:styleId="TableCaption">
    <w:name w:val="Table Caption"/>
    <w:basedOn w:val="Normal"/>
    <w:next w:val="Normal"/>
    <w:link w:val="TableCaptionChar"/>
    <w:qFormat/>
    <w:rsid w:val="002D391D"/>
    <w:pPr>
      <w:spacing w:before="240" w:after="120"/>
      <w:jc w:val="center"/>
    </w:pPr>
    <w:rPr>
      <w:rFonts w:ascii="Palatino Linotype" w:eastAsia="SimSun" w:hAnsi="Palatino Linotype"/>
      <w:b/>
      <w:sz w:val="22"/>
    </w:rPr>
  </w:style>
  <w:style w:type="paragraph" w:customStyle="1" w:styleId="ListParagraphLevel1">
    <w:name w:val="List Paragraph Level 1"/>
    <w:basedOn w:val="Normal"/>
    <w:autoRedefine/>
    <w:qFormat/>
    <w:rsid w:val="00431EBF"/>
    <w:pPr>
      <w:numPr>
        <w:numId w:val="10"/>
      </w:numPr>
      <w:spacing w:before="120" w:after="120"/>
    </w:pPr>
    <w:rPr>
      <w:rFonts w:ascii="Palatino Linotype" w:hAnsi="Palatino Linotype"/>
      <w:sz w:val="22"/>
      <w:szCs w:val="22"/>
      <w:lang w:val="en-CA" w:eastAsia="en-CA"/>
    </w:rPr>
  </w:style>
  <w:style w:type="paragraph" w:customStyle="1" w:styleId="ListParagraphLevel2">
    <w:name w:val="List Paragraph Level 2"/>
    <w:basedOn w:val="Normal"/>
    <w:autoRedefine/>
    <w:qFormat/>
    <w:rsid w:val="00431EBF"/>
    <w:pPr>
      <w:numPr>
        <w:ilvl w:val="1"/>
        <w:numId w:val="10"/>
      </w:numPr>
      <w:spacing w:before="0" w:after="120"/>
    </w:pPr>
    <w:rPr>
      <w:rFonts w:ascii="Palatino Linotype" w:hAnsi="Palatino Linotype"/>
      <w:sz w:val="22"/>
      <w:szCs w:val="22"/>
      <w:lang w:val="en-CA" w:eastAsia="en-CA"/>
    </w:rPr>
  </w:style>
  <w:style w:type="paragraph" w:customStyle="1" w:styleId="ListParagraphLevel3">
    <w:name w:val="List Paragraph Level 3"/>
    <w:basedOn w:val="ListParagraphLevel2"/>
    <w:autoRedefine/>
    <w:qFormat/>
    <w:rsid w:val="00431EBF"/>
    <w:pPr>
      <w:numPr>
        <w:ilvl w:val="2"/>
      </w:numPr>
      <w:spacing w:before="120"/>
    </w:pPr>
  </w:style>
  <w:style w:type="paragraph" w:styleId="BodyTextIndent2">
    <w:name w:val="Body Text Indent 2"/>
    <w:basedOn w:val="Normal"/>
    <w:link w:val="BodyTextIndent2Char"/>
    <w:uiPriority w:val="99"/>
    <w:unhideWhenUsed/>
    <w:rsid w:val="00431EBF"/>
    <w:pPr>
      <w:spacing w:before="0"/>
      <w:ind w:left="990"/>
    </w:pPr>
    <w:rPr>
      <w:i/>
      <w:color w:val="0066FF"/>
    </w:rPr>
  </w:style>
  <w:style w:type="character" w:customStyle="1" w:styleId="BodyTextIndent2Char">
    <w:name w:val="Body Text Indent 2 Char"/>
    <w:basedOn w:val="DefaultParagraphFont"/>
    <w:link w:val="BodyTextIndent2"/>
    <w:uiPriority w:val="99"/>
    <w:rsid w:val="00431EBF"/>
    <w:rPr>
      <w:rFonts w:ascii="Arial" w:eastAsia="Times New Roman" w:hAnsi="Arial"/>
      <w:i/>
      <w:color w:val="0066FF"/>
      <w:lang w:val="en-US"/>
    </w:rPr>
  </w:style>
  <w:style w:type="paragraph" w:styleId="PlainText">
    <w:name w:val="Plain Text"/>
    <w:basedOn w:val="Normal"/>
    <w:link w:val="PlainTextChar"/>
    <w:uiPriority w:val="99"/>
    <w:semiHidden/>
    <w:unhideWhenUsed/>
    <w:rsid w:val="0005728D"/>
    <w:pPr>
      <w:spacing w:before="0"/>
    </w:pPr>
    <w:rPr>
      <w:rFonts w:ascii="Calibri" w:eastAsiaTheme="minorHAnsi" w:hAnsi="Calibri"/>
      <w:sz w:val="22"/>
      <w:szCs w:val="22"/>
      <w:lang w:val="en-CA"/>
    </w:rPr>
  </w:style>
  <w:style w:type="character" w:customStyle="1" w:styleId="PlainTextChar">
    <w:name w:val="Plain Text Char"/>
    <w:basedOn w:val="DefaultParagraphFont"/>
    <w:link w:val="PlainText"/>
    <w:uiPriority w:val="99"/>
    <w:semiHidden/>
    <w:rsid w:val="0005728D"/>
    <w:rPr>
      <w:rFonts w:ascii="Calibri" w:eastAsiaTheme="minorHAnsi" w:hAnsi="Calibri"/>
      <w:sz w:val="22"/>
      <w:szCs w:val="22"/>
    </w:rPr>
  </w:style>
  <w:style w:type="paragraph" w:styleId="FootnoteText">
    <w:name w:val="footnote text"/>
    <w:basedOn w:val="Normal"/>
    <w:link w:val="FootnoteTextChar"/>
    <w:uiPriority w:val="99"/>
    <w:semiHidden/>
    <w:unhideWhenUsed/>
    <w:rsid w:val="006C6970"/>
    <w:pPr>
      <w:spacing w:before="0"/>
    </w:pPr>
  </w:style>
  <w:style w:type="character" w:customStyle="1" w:styleId="FootnoteTextChar">
    <w:name w:val="Footnote Text Char"/>
    <w:basedOn w:val="DefaultParagraphFont"/>
    <w:link w:val="FootnoteText"/>
    <w:uiPriority w:val="99"/>
    <w:semiHidden/>
    <w:rsid w:val="006C6970"/>
    <w:rPr>
      <w:rFonts w:ascii="Arial" w:eastAsia="Times New Roman" w:hAnsi="Arial"/>
      <w:lang w:val="en-US"/>
    </w:rPr>
  </w:style>
  <w:style w:type="character" w:styleId="FootnoteReference">
    <w:name w:val="footnote reference"/>
    <w:basedOn w:val="DefaultParagraphFont"/>
    <w:uiPriority w:val="99"/>
    <w:semiHidden/>
    <w:unhideWhenUsed/>
    <w:rsid w:val="006C6970"/>
    <w:rPr>
      <w:vertAlign w:val="superscript"/>
    </w:rPr>
  </w:style>
  <w:style w:type="character" w:styleId="FollowedHyperlink">
    <w:name w:val="FollowedHyperlink"/>
    <w:basedOn w:val="DefaultParagraphFont"/>
    <w:uiPriority w:val="99"/>
    <w:semiHidden/>
    <w:unhideWhenUsed/>
    <w:rsid w:val="006C6970"/>
    <w:rPr>
      <w:color w:val="954F72" w:themeColor="followedHyperlink"/>
      <w:u w:val="single"/>
    </w:rPr>
  </w:style>
  <w:style w:type="character" w:customStyle="1" w:styleId="BoldIESO">
    <w:name w:val="Bold IESO"/>
    <w:basedOn w:val="DefaultParagraphFont"/>
    <w:uiPriority w:val="1"/>
    <w:rsid w:val="00AB27A4"/>
    <w:rPr>
      <w:b/>
    </w:rPr>
  </w:style>
  <w:style w:type="character" w:customStyle="1" w:styleId="Z-Back-Cover-Email-link">
    <w:name w:val="Z-Back-Cover-Email-link"/>
    <w:basedOn w:val="DefaultParagraphFont"/>
    <w:uiPriority w:val="1"/>
    <w:qFormat/>
    <w:rsid w:val="00AB27A4"/>
    <w:rPr>
      <w:rFonts w:ascii="Tahoma" w:hAnsi="Tahoma"/>
      <w:color w:val="FFFFFF" w:themeColor="background1"/>
      <w:sz w:val="16"/>
    </w:rPr>
  </w:style>
  <w:style w:type="paragraph" w:customStyle="1" w:styleId="Table-Text-Left-Align">
    <w:name w:val="Table-Text-Left-Align"/>
    <w:autoRedefine/>
    <w:qFormat/>
    <w:rsid w:val="00AB27A4"/>
    <w:pPr>
      <w:spacing w:after="80"/>
      <w:ind w:left="180" w:right="270" w:firstLine="9"/>
    </w:pPr>
    <w:rPr>
      <w:rFonts w:ascii="Tahoma" w:eastAsiaTheme="majorEastAsia" w:hAnsi="Tahoma" w:cstheme="majorBidi"/>
      <w:color w:val="000000" w:themeColor="text1"/>
      <w:sz w:val="18"/>
      <w:szCs w:val="16"/>
      <w14:numForm w14:val="lining"/>
      <w14:numSpacing w14:val="tabul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qFormat="1"/>
    <w:lsdException w:name="caption" w:uiPriority="0" w:qFormat="1"/>
    <w:lsdException w:name="page number"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qFormat="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C4E"/>
    <w:pPr>
      <w:spacing w:before="160"/>
    </w:pPr>
    <w:rPr>
      <w:rFonts w:ascii="Arial" w:eastAsia="Times New Roman" w:hAnsi="Arial"/>
      <w:lang w:val="en-US"/>
    </w:rPr>
  </w:style>
  <w:style w:type="paragraph" w:styleId="Heading1">
    <w:name w:val="heading 1"/>
    <w:basedOn w:val="Normal"/>
    <w:next w:val="Normal"/>
    <w:link w:val="Heading1Char"/>
    <w:qFormat/>
    <w:rsid w:val="00FC2C4E"/>
    <w:pPr>
      <w:keepNext/>
      <w:numPr>
        <w:numId w:val="1"/>
      </w:numPr>
      <w:outlineLvl w:val="0"/>
    </w:pPr>
    <w:rPr>
      <w:rFonts w:ascii="Cambria" w:hAnsi="Cambria"/>
      <w:b/>
      <w:sz w:val="28"/>
      <w:szCs w:val="28"/>
    </w:rPr>
  </w:style>
  <w:style w:type="paragraph" w:styleId="Heading2">
    <w:name w:val="heading 2"/>
    <w:basedOn w:val="Heading1"/>
    <w:next w:val="Normal"/>
    <w:link w:val="Heading2Char"/>
    <w:qFormat/>
    <w:rsid w:val="00D55C9E"/>
    <w:pPr>
      <w:numPr>
        <w:ilvl w:val="1"/>
      </w:numPr>
      <w:outlineLvl w:val="1"/>
    </w:pPr>
    <w:rPr>
      <w:rFonts w:eastAsiaTheme="majorEastAsia" w:cstheme="majorBidi"/>
      <w:sz w:val="24"/>
      <w:szCs w:val="24"/>
    </w:rPr>
  </w:style>
  <w:style w:type="paragraph" w:styleId="Heading3">
    <w:name w:val="heading 3"/>
    <w:basedOn w:val="Heading2"/>
    <w:next w:val="Normal"/>
    <w:link w:val="Heading3Char"/>
    <w:qFormat/>
    <w:rsid w:val="00D55C9E"/>
    <w:pPr>
      <w:numPr>
        <w:ilvl w:val="2"/>
      </w:numPr>
      <w:outlineLvl w:val="2"/>
    </w:pPr>
    <w:rPr>
      <w:rFonts w:eastAsia="Times New Roman" w:cs="Times New Roman"/>
      <w:sz w:val="22"/>
      <w:szCs w:val="22"/>
    </w:rPr>
  </w:style>
  <w:style w:type="paragraph" w:styleId="Heading4">
    <w:name w:val="heading 4"/>
    <w:basedOn w:val="Heading3"/>
    <w:next w:val="Normal"/>
    <w:link w:val="Heading4Char"/>
    <w:qFormat/>
    <w:rsid w:val="00D55C9E"/>
    <w:pPr>
      <w:numPr>
        <w:ilvl w:val="3"/>
      </w:numPr>
      <w:outlineLvl w:val="3"/>
    </w:pPr>
    <w:rPr>
      <w:sz w:val="20"/>
      <w:szCs w:val="20"/>
    </w:rPr>
  </w:style>
  <w:style w:type="paragraph" w:styleId="Heading5">
    <w:name w:val="heading 5"/>
    <w:basedOn w:val="Heading4"/>
    <w:next w:val="Normal"/>
    <w:link w:val="Heading5Char"/>
    <w:qFormat/>
    <w:rsid w:val="00D55C9E"/>
    <w:pPr>
      <w:numPr>
        <w:ilvl w:val="4"/>
      </w:numPr>
      <w:outlineLvl w:val="4"/>
    </w:pPr>
  </w:style>
  <w:style w:type="paragraph" w:styleId="Heading6">
    <w:name w:val="heading 6"/>
    <w:basedOn w:val="Heading5"/>
    <w:next w:val="Normal"/>
    <w:link w:val="Heading6Char"/>
    <w:qFormat/>
    <w:rsid w:val="00D55C9E"/>
    <w:pPr>
      <w:numPr>
        <w:ilvl w:val="5"/>
      </w:numPr>
      <w:outlineLvl w:val="5"/>
    </w:pPr>
  </w:style>
  <w:style w:type="paragraph" w:styleId="Heading7">
    <w:name w:val="heading 7"/>
    <w:basedOn w:val="Heading6"/>
    <w:next w:val="Normal"/>
    <w:link w:val="Heading7Char"/>
    <w:qFormat/>
    <w:rsid w:val="00D55C9E"/>
    <w:pPr>
      <w:numPr>
        <w:ilvl w:val="6"/>
      </w:numPr>
      <w:outlineLvl w:val="6"/>
    </w:pPr>
  </w:style>
  <w:style w:type="paragraph" w:styleId="Heading8">
    <w:name w:val="heading 8"/>
    <w:basedOn w:val="Heading7"/>
    <w:next w:val="Normal"/>
    <w:link w:val="Heading8Char"/>
    <w:qFormat/>
    <w:rsid w:val="00D55C9E"/>
    <w:pPr>
      <w:numPr>
        <w:ilvl w:val="7"/>
      </w:numPr>
      <w:outlineLvl w:val="7"/>
    </w:pPr>
  </w:style>
  <w:style w:type="paragraph" w:styleId="Heading9">
    <w:name w:val="heading 9"/>
    <w:basedOn w:val="Heading1"/>
    <w:next w:val="Normal"/>
    <w:link w:val="Heading9Char"/>
    <w:qFormat/>
    <w:rsid w:val="00D55C9E"/>
    <w:pPr>
      <w:numPr>
        <w:ilvl w:val="8"/>
      </w:numPr>
      <w:tabs>
        <w:tab w:val="left" w:pos="1260"/>
      </w:tabs>
      <w:spacing w:after="160" w:line="280" w:lineRule="atLeast"/>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ListNumber">
    <w:name w:val="CellListNumber"/>
    <w:basedOn w:val="Normal"/>
    <w:qFormat/>
    <w:rsid w:val="00D55C9E"/>
    <w:pPr>
      <w:numPr>
        <w:numId w:val="5"/>
      </w:numPr>
      <w:spacing w:before="0" w:after="60"/>
    </w:pPr>
    <w:rPr>
      <w:sz w:val="18"/>
    </w:rPr>
  </w:style>
  <w:style w:type="paragraph" w:customStyle="1" w:styleId="CellListNumber2">
    <w:name w:val="CellListNumber2"/>
    <w:basedOn w:val="Normal"/>
    <w:qFormat/>
    <w:rsid w:val="00D55C9E"/>
    <w:pPr>
      <w:numPr>
        <w:ilvl w:val="1"/>
        <w:numId w:val="5"/>
      </w:numPr>
      <w:spacing w:before="0" w:after="60"/>
    </w:pPr>
    <w:rPr>
      <w:sz w:val="18"/>
    </w:rPr>
  </w:style>
  <w:style w:type="paragraph" w:customStyle="1" w:styleId="VendorName">
    <w:name w:val="Vendor Name"/>
    <w:basedOn w:val="Heading2"/>
    <w:next w:val="Normal"/>
    <w:link w:val="VendorNameChar"/>
    <w:qFormat/>
    <w:rsid w:val="00D55C9E"/>
    <w:pPr>
      <w:numPr>
        <w:ilvl w:val="0"/>
        <w:numId w:val="0"/>
      </w:numPr>
      <w:ind w:left="1296" w:hanging="720"/>
    </w:pPr>
    <w:rPr>
      <w:rFonts w:eastAsia="Times New Roman" w:cs="Arial"/>
    </w:rPr>
  </w:style>
  <w:style w:type="character" w:customStyle="1" w:styleId="VendorNameChar">
    <w:name w:val="Vendor Name Char"/>
    <w:basedOn w:val="Heading2Char"/>
    <w:link w:val="VendorName"/>
    <w:rsid w:val="00D55C9E"/>
    <w:rPr>
      <w:rFonts w:ascii="Cambria" w:eastAsia="Times New Roman" w:hAnsi="Cambria" w:cs="Arial"/>
      <w:b/>
      <w:sz w:val="24"/>
      <w:szCs w:val="24"/>
      <w:lang w:val="en-US"/>
    </w:rPr>
  </w:style>
  <w:style w:type="character" w:customStyle="1" w:styleId="Heading2Char">
    <w:name w:val="Heading 2 Char"/>
    <w:basedOn w:val="Heading1Char"/>
    <w:link w:val="Heading2"/>
    <w:rsid w:val="00D55C9E"/>
    <w:rPr>
      <w:rFonts w:ascii="Cambria" w:eastAsiaTheme="majorEastAsia" w:hAnsi="Cambria" w:cstheme="majorBidi"/>
      <w:b/>
      <w:sz w:val="24"/>
      <w:szCs w:val="24"/>
      <w:lang w:val="en-US"/>
    </w:rPr>
  </w:style>
  <w:style w:type="paragraph" w:customStyle="1" w:styleId="Instructions">
    <w:name w:val="Instructions"/>
    <w:basedOn w:val="Normal"/>
    <w:link w:val="InstructionsChar"/>
    <w:qFormat/>
    <w:rsid w:val="00D55C9E"/>
    <w:rPr>
      <w:color w:val="C00000"/>
      <w:sz w:val="22"/>
      <w:lang w:eastAsia="en-CA"/>
    </w:rPr>
  </w:style>
  <w:style w:type="character" w:customStyle="1" w:styleId="InstructionsChar">
    <w:name w:val="Instructions Char"/>
    <w:basedOn w:val="BodyTextChar"/>
    <w:link w:val="Instructions"/>
    <w:rsid w:val="00D55C9E"/>
    <w:rPr>
      <w:rFonts w:ascii="Arial" w:eastAsia="Times New Roman" w:hAnsi="Arial"/>
      <w:i/>
      <w:color w:val="C00000"/>
      <w:sz w:val="22"/>
      <w:lang w:val="en-US" w:eastAsia="en-CA"/>
    </w:rPr>
  </w:style>
  <w:style w:type="paragraph" w:customStyle="1" w:styleId="UseCaseName">
    <w:name w:val="Use Case Name"/>
    <w:basedOn w:val="Heading2"/>
    <w:next w:val="Normal"/>
    <w:link w:val="UseCaseNameChar"/>
    <w:qFormat/>
    <w:rsid w:val="00D55C9E"/>
    <w:pPr>
      <w:numPr>
        <w:ilvl w:val="0"/>
        <w:numId w:val="0"/>
      </w:numPr>
      <w:ind w:left="1296" w:hanging="720"/>
    </w:pPr>
    <w:rPr>
      <w:rFonts w:eastAsia="Times New Roman"/>
    </w:rPr>
  </w:style>
  <w:style w:type="character" w:customStyle="1" w:styleId="UseCaseNameChar">
    <w:name w:val="Use Case Name Char"/>
    <w:basedOn w:val="Heading2Char"/>
    <w:link w:val="UseCaseName"/>
    <w:rsid w:val="00D55C9E"/>
    <w:rPr>
      <w:rFonts w:ascii="Cambria" w:eastAsia="Times New Roman" w:hAnsi="Cambria" w:cstheme="majorBidi"/>
      <w:b/>
      <w:sz w:val="24"/>
      <w:szCs w:val="24"/>
      <w:lang w:val="en-US"/>
    </w:rPr>
  </w:style>
  <w:style w:type="paragraph" w:customStyle="1" w:styleId="CriticalCapabilityName">
    <w:name w:val="Critical Capability Name"/>
    <w:basedOn w:val="Heading2"/>
    <w:link w:val="CriticalCapabilityNameChar"/>
    <w:qFormat/>
    <w:rsid w:val="00D55C9E"/>
    <w:pPr>
      <w:numPr>
        <w:ilvl w:val="0"/>
        <w:numId w:val="0"/>
      </w:numPr>
      <w:ind w:left="1296" w:hanging="720"/>
    </w:pPr>
    <w:rPr>
      <w:rFonts w:eastAsia="Times New Roman"/>
    </w:rPr>
  </w:style>
  <w:style w:type="character" w:customStyle="1" w:styleId="CriticalCapabilityNameChar">
    <w:name w:val="Critical Capability Name Char"/>
    <w:basedOn w:val="Heading2Char"/>
    <w:link w:val="CriticalCapabilityName"/>
    <w:rsid w:val="00D55C9E"/>
    <w:rPr>
      <w:rFonts w:ascii="Cambria" w:eastAsia="Times New Roman" w:hAnsi="Cambria" w:cstheme="majorBidi"/>
      <w:b/>
      <w:sz w:val="24"/>
      <w:szCs w:val="24"/>
      <w:lang w:val="en-US"/>
    </w:rPr>
  </w:style>
  <w:style w:type="paragraph" w:customStyle="1" w:styleId="PeerConversationSectionHeader">
    <w:name w:val="Peer Conversation Section Header"/>
    <w:basedOn w:val="Normal"/>
    <w:link w:val="PeerConversationSectionHeaderChar"/>
    <w:qFormat/>
    <w:rsid w:val="00D55C9E"/>
    <w:pPr>
      <w:keepNext/>
      <w:pBdr>
        <w:bottom w:val="single" w:sz="4" w:space="1" w:color="auto"/>
      </w:pBdr>
      <w:spacing w:before="240" w:after="80"/>
    </w:pPr>
    <w:rPr>
      <w:b/>
      <w:sz w:val="22"/>
      <w:szCs w:val="22"/>
    </w:rPr>
  </w:style>
  <w:style w:type="character" w:customStyle="1" w:styleId="PeerConversationSectionHeaderChar">
    <w:name w:val="Peer Conversation Section Header Char"/>
    <w:basedOn w:val="DefaultParagraphFont"/>
    <w:link w:val="PeerConversationSectionHeader"/>
    <w:rsid w:val="00D55C9E"/>
    <w:rPr>
      <w:rFonts w:ascii="Arial" w:eastAsia="Times New Roman" w:hAnsi="Arial"/>
      <w:b/>
      <w:sz w:val="22"/>
      <w:szCs w:val="22"/>
    </w:rPr>
  </w:style>
  <w:style w:type="paragraph" w:customStyle="1" w:styleId="PeerConversation">
    <w:name w:val="Peer Conversation"/>
    <w:basedOn w:val="Normal"/>
    <w:link w:val="PeerConversationChar"/>
    <w:qFormat/>
    <w:rsid w:val="00D55C9E"/>
  </w:style>
  <w:style w:type="character" w:customStyle="1" w:styleId="PeerConversationChar">
    <w:name w:val="Peer Conversation Char"/>
    <w:basedOn w:val="DefaultParagraphFont"/>
    <w:link w:val="PeerConversation"/>
    <w:rsid w:val="00D55C9E"/>
    <w:rPr>
      <w:rFonts w:ascii="Arial" w:eastAsia="Times New Roman" w:hAnsi="Arial"/>
    </w:rPr>
  </w:style>
  <w:style w:type="paragraph" w:customStyle="1" w:styleId="PeerConversationListBullet">
    <w:name w:val="Peer Conversation List Bullet"/>
    <w:basedOn w:val="ListBullet"/>
    <w:link w:val="PeerConversationListBulletChar"/>
    <w:qFormat/>
    <w:rsid w:val="00D55C9E"/>
    <w:pPr>
      <w:numPr>
        <w:numId w:val="4"/>
      </w:numPr>
      <w:ind w:left="806"/>
      <w:contextualSpacing w:val="0"/>
    </w:pPr>
  </w:style>
  <w:style w:type="character" w:customStyle="1" w:styleId="PeerConversationListBulletChar">
    <w:name w:val="Peer Conversation List Bullet Char"/>
    <w:basedOn w:val="DefaultParagraphFont"/>
    <w:link w:val="PeerConversationListBullet"/>
    <w:rsid w:val="00D55C9E"/>
    <w:rPr>
      <w:rFonts w:ascii="Arial" w:eastAsia="Times New Roman" w:hAnsi="Arial"/>
      <w:lang w:val="en-US"/>
    </w:rPr>
  </w:style>
  <w:style w:type="paragraph" w:styleId="ListBullet">
    <w:name w:val="List Bullet"/>
    <w:basedOn w:val="Normal"/>
    <w:uiPriority w:val="99"/>
    <w:unhideWhenUsed/>
    <w:rsid w:val="00D55C9E"/>
    <w:pPr>
      <w:numPr>
        <w:numId w:val="2"/>
      </w:numPr>
      <w:contextualSpacing/>
    </w:pPr>
  </w:style>
  <w:style w:type="paragraph" w:customStyle="1" w:styleId="Inquiry">
    <w:name w:val="Inquiry"/>
    <w:basedOn w:val="Normal"/>
    <w:link w:val="InquiryChar"/>
    <w:qFormat/>
    <w:rsid w:val="00D55C9E"/>
  </w:style>
  <w:style w:type="character" w:customStyle="1" w:styleId="InquiryChar">
    <w:name w:val="Inquiry Char"/>
    <w:basedOn w:val="DefaultParagraphFont"/>
    <w:link w:val="Inquiry"/>
    <w:rsid w:val="00D55C9E"/>
    <w:rPr>
      <w:rFonts w:ascii="Arial" w:eastAsia="Times New Roman" w:hAnsi="Arial"/>
    </w:rPr>
  </w:style>
  <w:style w:type="paragraph" w:customStyle="1" w:styleId="InquiryListBullet">
    <w:name w:val="Inquiry List Bullet"/>
    <w:basedOn w:val="ListBullet"/>
    <w:link w:val="InquiryListBulletChar"/>
    <w:qFormat/>
    <w:rsid w:val="00D55C9E"/>
    <w:pPr>
      <w:numPr>
        <w:numId w:val="3"/>
      </w:numPr>
      <w:tabs>
        <w:tab w:val="num" w:pos="806"/>
      </w:tabs>
      <w:ind w:left="806"/>
      <w:contextualSpacing w:val="0"/>
    </w:pPr>
  </w:style>
  <w:style w:type="character" w:customStyle="1" w:styleId="InquiryListBulletChar">
    <w:name w:val="Inquiry List Bullet Char"/>
    <w:basedOn w:val="DefaultParagraphFont"/>
    <w:link w:val="InquiryListBullet"/>
    <w:rsid w:val="00D55C9E"/>
    <w:rPr>
      <w:rFonts w:ascii="Arial" w:eastAsia="Times New Roman" w:hAnsi="Arial"/>
      <w:lang w:val="en-US"/>
    </w:rPr>
  </w:style>
  <w:style w:type="paragraph" w:customStyle="1" w:styleId="InquiryBanner">
    <w:name w:val="Inquiry Banner"/>
    <w:basedOn w:val="Normal"/>
    <w:link w:val="InquiryBannerChar"/>
    <w:qFormat/>
    <w:rsid w:val="00D55C9E"/>
    <w:pPr>
      <w:pBdr>
        <w:top w:val="single" w:sz="4" w:space="1" w:color="auto"/>
        <w:left w:val="single" w:sz="4" w:space="4" w:color="auto"/>
        <w:bottom w:val="single" w:sz="4" w:space="1" w:color="auto"/>
        <w:right w:val="single" w:sz="4" w:space="4" w:color="auto"/>
      </w:pBdr>
    </w:pPr>
  </w:style>
  <w:style w:type="character" w:customStyle="1" w:styleId="InquiryBannerChar">
    <w:name w:val="Inquiry Banner Char"/>
    <w:basedOn w:val="DefaultParagraphFont"/>
    <w:link w:val="InquiryBanner"/>
    <w:rsid w:val="00D55C9E"/>
    <w:rPr>
      <w:rFonts w:ascii="Arial" w:eastAsia="Times New Roman" w:hAnsi="Arial"/>
    </w:rPr>
  </w:style>
  <w:style w:type="paragraph" w:customStyle="1" w:styleId="BodyText">
    <w:name w:val="BodyText"/>
    <w:basedOn w:val="Normal"/>
    <w:link w:val="BodyTextChar0"/>
    <w:qFormat/>
    <w:rsid w:val="00D55C9E"/>
    <w:pPr>
      <w:spacing w:before="120" w:after="120"/>
    </w:pPr>
    <w:rPr>
      <w:rFonts w:ascii="Palatino Linotype" w:hAnsi="Palatino Linotype"/>
      <w:sz w:val="22"/>
      <w:szCs w:val="22"/>
      <w:lang w:eastAsia="en-CA"/>
    </w:rPr>
  </w:style>
  <w:style w:type="character" w:customStyle="1" w:styleId="BodyTextChar0">
    <w:name w:val="BodyText Char"/>
    <w:basedOn w:val="DefaultParagraphFont"/>
    <w:link w:val="BodyText"/>
    <w:rsid w:val="00D55C9E"/>
    <w:rPr>
      <w:rFonts w:ascii="Palatino Linotype" w:eastAsia="Times New Roman" w:hAnsi="Palatino Linotype"/>
      <w:sz w:val="22"/>
      <w:szCs w:val="22"/>
      <w:lang w:eastAsia="en-CA"/>
    </w:rPr>
  </w:style>
  <w:style w:type="paragraph" w:customStyle="1" w:styleId="TableHead">
    <w:name w:val="Table Head"/>
    <w:basedOn w:val="Normal"/>
    <w:qFormat/>
    <w:rsid w:val="00D55C9E"/>
    <w:pPr>
      <w:spacing w:before="120" w:after="120"/>
      <w:jc w:val="center"/>
    </w:pPr>
    <w:rPr>
      <w:rFonts w:ascii="Palatino Linotype" w:hAnsi="Palatino Linotype"/>
      <w:b/>
      <w:sz w:val="22"/>
      <w:szCs w:val="22"/>
      <w:lang w:eastAsia="en-CA"/>
    </w:rPr>
  </w:style>
  <w:style w:type="paragraph" w:customStyle="1" w:styleId="TableText">
    <w:name w:val="Table Text"/>
    <w:basedOn w:val="Normal"/>
    <w:qFormat/>
    <w:rsid w:val="00D55C9E"/>
    <w:pPr>
      <w:spacing w:before="120" w:after="120"/>
    </w:pPr>
    <w:rPr>
      <w:rFonts w:ascii="Palatino Linotype" w:hAnsi="Palatino Linotype"/>
      <w:sz w:val="22"/>
      <w:szCs w:val="22"/>
      <w:lang w:eastAsia="en-CA"/>
    </w:rPr>
  </w:style>
  <w:style w:type="paragraph" w:customStyle="1" w:styleId="TemplateInstructions">
    <w:name w:val="Template Instructions"/>
    <w:basedOn w:val="Normal"/>
    <w:qFormat/>
    <w:rsid w:val="00D55C9E"/>
    <w:pPr>
      <w:spacing w:before="60" w:after="60"/>
    </w:pPr>
    <w:rPr>
      <w:rFonts w:ascii="Palatino Linotype" w:hAnsi="Palatino Linotype"/>
      <w:i/>
      <w:color w:val="3333FF"/>
      <w:sz w:val="22"/>
      <w:szCs w:val="22"/>
      <w:lang w:eastAsia="en-CA"/>
    </w:rPr>
  </w:style>
  <w:style w:type="paragraph" w:customStyle="1" w:styleId="PurposeList">
    <w:name w:val="Purpose List"/>
    <w:basedOn w:val="BodyText"/>
    <w:qFormat/>
    <w:rsid w:val="00D55C9E"/>
    <w:pPr>
      <w:numPr>
        <w:numId w:val="6"/>
      </w:numPr>
    </w:pPr>
  </w:style>
  <w:style w:type="paragraph" w:customStyle="1" w:styleId="NumberedList">
    <w:name w:val="Numbered List"/>
    <w:basedOn w:val="ListParagraph"/>
    <w:link w:val="NumberedListChar1"/>
    <w:qFormat/>
    <w:rsid w:val="00D55C9E"/>
    <w:pPr>
      <w:spacing w:before="0" w:after="80"/>
      <w:ind w:hanging="360"/>
      <w:contextualSpacing w:val="0"/>
    </w:pPr>
    <w:rPr>
      <w:rFonts w:ascii="Palatino Linotype" w:hAnsi="Palatino Linotype"/>
      <w:sz w:val="22"/>
      <w:lang w:eastAsia="en-CA"/>
    </w:rPr>
  </w:style>
  <w:style w:type="character" w:customStyle="1" w:styleId="NumberedListChar1">
    <w:name w:val="Numbered List Char1"/>
    <w:basedOn w:val="DefaultParagraphFont"/>
    <w:link w:val="NumberedList"/>
    <w:rsid w:val="00D55C9E"/>
    <w:rPr>
      <w:rFonts w:ascii="Palatino Linotype" w:eastAsia="Times New Roman" w:hAnsi="Palatino Linotype"/>
      <w:sz w:val="22"/>
      <w:lang w:val="en-US" w:eastAsia="en-CA"/>
    </w:rPr>
  </w:style>
  <w:style w:type="paragraph" w:styleId="ListParagraph">
    <w:name w:val="List Paragraph"/>
    <w:basedOn w:val="Normal"/>
    <w:uiPriority w:val="34"/>
    <w:qFormat/>
    <w:rsid w:val="00D55C9E"/>
    <w:pPr>
      <w:ind w:left="720"/>
      <w:contextualSpacing/>
    </w:pPr>
  </w:style>
  <w:style w:type="paragraph" w:customStyle="1" w:styleId="FigureCaption">
    <w:name w:val="Figure Caption"/>
    <w:basedOn w:val="Normal"/>
    <w:link w:val="FigureCaptionChar"/>
    <w:qFormat/>
    <w:rsid w:val="00D55C9E"/>
    <w:pPr>
      <w:spacing w:before="40" w:after="240"/>
      <w:jc w:val="center"/>
    </w:pPr>
    <w:rPr>
      <w:rFonts w:ascii="Palatino Linotype" w:eastAsiaTheme="minorHAnsi" w:hAnsi="Palatino Linotype" w:cstheme="minorBidi"/>
      <w:b/>
      <w:snapToGrid w:val="0"/>
      <w:color w:val="000000"/>
      <w:sz w:val="22"/>
      <w:lang w:eastAsia="en-CA"/>
    </w:rPr>
  </w:style>
  <w:style w:type="character" w:customStyle="1" w:styleId="FigureCaptionChar">
    <w:name w:val="Figure Caption Char"/>
    <w:basedOn w:val="DefaultParagraphFont"/>
    <w:link w:val="FigureCaption"/>
    <w:rsid w:val="00D55C9E"/>
    <w:rPr>
      <w:rFonts w:ascii="Palatino Linotype" w:eastAsiaTheme="minorHAnsi" w:hAnsi="Palatino Linotype" w:cstheme="minorBidi"/>
      <w:b/>
      <w:snapToGrid w:val="0"/>
      <w:color w:val="000000"/>
      <w:sz w:val="22"/>
      <w:lang w:eastAsia="en-CA"/>
    </w:rPr>
  </w:style>
  <w:style w:type="character" w:customStyle="1" w:styleId="Heading1Char">
    <w:name w:val="Heading 1 Char"/>
    <w:basedOn w:val="DefaultParagraphFont"/>
    <w:link w:val="Heading1"/>
    <w:rsid w:val="00FC2C4E"/>
    <w:rPr>
      <w:rFonts w:ascii="Cambria" w:eastAsia="Times New Roman" w:hAnsi="Cambria"/>
      <w:b/>
      <w:sz w:val="28"/>
      <w:szCs w:val="28"/>
      <w:lang w:val="en-US"/>
    </w:rPr>
  </w:style>
  <w:style w:type="character" w:customStyle="1" w:styleId="Heading3Char">
    <w:name w:val="Heading 3 Char"/>
    <w:link w:val="Heading3"/>
    <w:rsid w:val="00D55C9E"/>
    <w:rPr>
      <w:rFonts w:ascii="Cambria" w:eastAsia="Times New Roman" w:hAnsi="Cambria"/>
      <w:b/>
      <w:sz w:val="22"/>
      <w:szCs w:val="22"/>
      <w:lang w:val="en-US"/>
    </w:rPr>
  </w:style>
  <w:style w:type="character" w:customStyle="1" w:styleId="Heading4Char">
    <w:name w:val="Heading 4 Char"/>
    <w:basedOn w:val="DefaultParagraphFont"/>
    <w:link w:val="Heading4"/>
    <w:rsid w:val="00D55C9E"/>
    <w:rPr>
      <w:rFonts w:ascii="Cambria" w:eastAsia="Times New Roman" w:hAnsi="Cambria"/>
      <w:b/>
      <w:lang w:val="en-US"/>
    </w:rPr>
  </w:style>
  <w:style w:type="character" w:customStyle="1" w:styleId="Heading5Char">
    <w:name w:val="Heading 5 Char"/>
    <w:basedOn w:val="DefaultParagraphFont"/>
    <w:link w:val="Heading5"/>
    <w:rsid w:val="00D55C9E"/>
    <w:rPr>
      <w:rFonts w:ascii="Cambria" w:eastAsia="Times New Roman" w:hAnsi="Cambria"/>
      <w:b/>
      <w:lang w:val="en-US"/>
    </w:rPr>
  </w:style>
  <w:style w:type="character" w:customStyle="1" w:styleId="Heading6Char">
    <w:name w:val="Heading 6 Char"/>
    <w:basedOn w:val="DefaultParagraphFont"/>
    <w:link w:val="Heading6"/>
    <w:rsid w:val="00D55C9E"/>
    <w:rPr>
      <w:rFonts w:ascii="Cambria" w:eastAsia="Times New Roman" w:hAnsi="Cambria"/>
      <w:b/>
      <w:lang w:val="en-US"/>
    </w:rPr>
  </w:style>
  <w:style w:type="character" w:customStyle="1" w:styleId="Heading7Char">
    <w:name w:val="Heading 7 Char"/>
    <w:basedOn w:val="DefaultParagraphFont"/>
    <w:link w:val="Heading7"/>
    <w:rsid w:val="00D55C9E"/>
    <w:rPr>
      <w:rFonts w:ascii="Cambria" w:eastAsia="Times New Roman" w:hAnsi="Cambria"/>
      <w:b/>
      <w:lang w:val="en-US"/>
    </w:rPr>
  </w:style>
  <w:style w:type="character" w:customStyle="1" w:styleId="Heading8Char">
    <w:name w:val="Heading 8 Char"/>
    <w:basedOn w:val="DefaultParagraphFont"/>
    <w:link w:val="Heading8"/>
    <w:rsid w:val="00D55C9E"/>
    <w:rPr>
      <w:rFonts w:ascii="Cambria" w:eastAsia="Times New Roman" w:hAnsi="Cambria"/>
      <w:b/>
      <w:lang w:val="en-US"/>
    </w:rPr>
  </w:style>
  <w:style w:type="character" w:customStyle="1" w:styleId="Heading9Char">
    <w:name w:val="Heading 9 Char"/>
    <w:basedOn w:val="DefaultParagraphFont"/>
    <w:link w:val="Heading9"/>
    <w:rsid w:val="00D55C9E"/>
    <w:rPr>
      <w:rFonts w:ascii="Cambria" w:eastAsia="Times New Roman" w:hAnsi="Cambria"/>
      <w:b/>
      <w:sz w:val="18"/>
      <w:szCs w:val="28"/>
      <w:lang w:val="en-US"/>
    </w:rPr>
  </w:style>
  <w:style w:type="paragraph" w:styleId="Footer">
    <w:name w:val="footer"/>
    <w:basedOn w:val="Normal"/>
    <w:link w:val="FooterChar"/>
    <w:qFormat/>
    <w:rsid w:val="00D55C9E"/>
    <w:pPr>
      <w:spacing w:before="0" w:after="40"/>
      <w:ind w:right="-115"/>
    </w:pPr>
    <w:rPr>
      <w:snapToGrid w:val="0"/>
      <w:sz w:val="16"/>
    </w:rPr>
  </w:style>
  <w:style w:type="character" w:customStyle="1" w:styleId="FooterChar">
    <w:name w:val="Footer Char"/>
    <w:link w:val="Footer"/>
    <w:rsid w:val="00D55C9E"/>
    <w:rPr>
      <w:rFonts w:ascii="Arial" w:eastAsia="Times New Roman" w:hAnsi="Arial"/>
      <w:snapToGrid w:val="0"/>
      <w:sz w:val="16"/>
    </w:rPr>
  </w:style>
  <w:style w:type="paragraph" w:styleId="Caption">
    <w:name w:val="caption"/>
    <w:basedOn w:val="Normal"/>
    <w:next w:val="Normal"/>
    <w:qFormat/>
    <w:rsid w:val="00D55C9E"/>
    <w:pPr>
      <w:keepNext/>
      <w:spacing w:before="240" w:after="120"/>
    </w:pPr>
    <w:rPr>
      <w:b/>
    </w:rPr>
  </w:style>
  <w:style w:type="paragraph" w:styleId="Title">
    <w:name w:val="Title"/>
    <w:basedOn w:val="Normal"/>
    <w:next w:val="Normal"/>
    <w:link w:val="TitleChar"/>
    <w:qFormat/>
    <w:rsid w:val="00D55C9E"/>
    <w:pPr>
      <w:spacing w:before="180"/>
      <w:outlineLvl w:val="0"/>
    </w:pPr>
    <w:rPr>
      <w:b/>
      <w:sz w:val="32"/>
    </w:rPr>
  </w:style>
  <w:style w:type="character" w:customStyle="1" w:styleId="TitleChar">
    <w:name w:val="Title Char"/>
    <w:basedOn w:val="DefaultParagraphFont"/>
    <w:link w:val="Title"/>
    <w:rsid w:val="00D55C9E"/>
    <w:rPr>
      <w:rFonts w:ascii="Arial" w:eastAsia="Times New Roman" w:hAnsi="Arial"/>
      <w:b/>
      <w:sz w:val="32"/>
    </w:rPr>
  </w:style>
  <w:style w:type="paragraph" w:styleId="BodyText0">
    <w:name w:val="Body Text"/>
    <w:basedOn w:val="Normal"/>
    <w:link w:val="BodyTextChar"/>
    <w:unhideWhenUsed/>
    <w:qFormat/>
    <w:rsid w:val="00FC2C4E"/>
    <w:pPr>
      <w:spacing w:before="0" w:after="120"/>
    </w:pPr>
    <w:rPr>
      <w:rFonts w:ascii="Palatino Linotype" w:hAnsi="Palatino Linotype"/>
      <w:i/>
      <w:color w:val="2E74B5" w:themeColor="accent1" w:themeShade="BF"/>
      <w:sz w:val="22"/>
      <w:lang w:eastAsia="en-CA"/>
    </w:rPr>
  </w:style>
  <w:style w:type="character" w:customStyle="1" w:styleId="BodyTextChar">
    <w:name w:val="Body Text Char"/>
    <w:basedOn w:val="DefaultParagraphFont"/>
    <w:link w:val="BodyText0"/>
    <w:rsid w:val="00FC2C4E"/>
    <w:rPr>
      <w:rFonts w:ascii="Palatino Linotype" w:eastAsia="Times New Roman" w:hAnsi="Palatino Linotype"/>
      <w:i/>
      <w:color w:val="2E74B5" w:themeColor="accent1" w:themeShade="BF"/>
      <w:sz w:val="22"/>
      <w:lang w:val="en-US" w:eastAsia="en-CA"/>
    </w:rPr>
  </w:style>
  <w:style w:type="character" w:styleId="Strong">
    <w:name w:val="Strong"/>
    <w:basedOn w:val="DefaultParagraphFont"/>
    <w:uiPriority w:val="22"/>
    <w:qFormat/>
    <w:rsid w:val="00D55C9E"/>
    <w:rPr>
      <w:b/>
      <w:bCs/>
      <w:sz w:val="24"/>
    </w:rPr>
  </w:style>
  <w:style w:type="table" w:styleId="TableGrid">
    <w:name w:val="Table Grid"/>
    <w:basedOn w:val="TableNormal"/>
    <w:uiPriority w:val="59"/>
    <w:rsid w:val="00FC2C4E"/>
    <w:pPr>
      <w:spacing w:before="16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FC2C4E"/>
  </w:style>
  <w:style w:type="character" w:customStyle="1" w:styleId="CommentTextChar">
    <w:name w:val="Comment Text Char"/>
    <w:basedOn w:val="DefaultParagraphFont"/>
    <w:link w:val="CommentText"/>
    <w:rsid w:val="00FC2C4E"/>
    <w:rPr>
      <w:rFonts w:ascii="Arial" w:eastAsia="Times New Roman" w:hAnsi="Arial"/>
      <w:lang w:val="en-US"/>
    </w:rPr>
  </w:style>
  <w:style w:type="numbering" w:customStyle="1" w:styleId="Style1">
    <w:name w:val="Style1"/>
    <w:uiPriority w:val="99"/>
    <w:rsid w:val="00FC2C4E"/>
    <w:pPr>
      <w:numPr>
        <w:numId w:val="8"/>
      </w:numPr>
    </w:pPr>
  </w:style>
  <w:style w:type="paragraph" w:styleId="BodyTextIndent">
    <w:name w:val="Body Text Indent"/>
    <w:basedOn w:val="Normal"/>
    <w:link w:val="BodyTextIndentChar"/>
    <w:uiPriority w:val="99"/>
    <w:unhideWhenUsed/>
    <w:rsid w:val="00C83E1C"/>
    <w:pPr>
      <w:ind w:left="1296"/>
    </w:pPr>
    <w:rPr>
      <w:rFonts w:ascii="Palatino Linotype" w:hAnsi="Palatino Linotype"/>
      <w:i/>
      <w:color w:val="2E74B5" w:themeColor="accent1" w:themeShade="BF"/>
      <w:sz w:val="22"/>
      <w:szCs w:val="22"/>
    </w:rPr>
  </w:style>
  <w:style w:type="character" w:customStyle="1" w:styleId="BodyTextIndentChar">
    <w:name w:val="Body Text Indent Char"/>
    <w:basedOn w:val="DefaultParagraphFont"/>
    <w:link w:val="BodyTextIndent"/>
    <w:uiPriority w:val="99"/>
    <w:rsid w:val="00C83E1C"/>
    <w:rPr>
      <w:rFonts w:ascii="Palatino Linotype" w:eastAsia="Times New Roman" w:hAnsi="Palatino Linotype"/>
      <w:i/>
      <w:color w:val="2E74B5" w:themeColor="accent1" w:themeShade="BF"/>
      <w:sz w:val="22"/>
      <w:szCs w:val="22"/>
      <w:lang w:val="en-US"/>
    </w:rPr>
  </w:style>
  <w:style w:type="paragraph" w:styleId="List">
    <w:name w:val="List"/>
    <w:basedOn w:val="Normal"/>
    <w:rsid w:val="00C83E1C"/>
    <w:pPr>
      <w:numPr>
        <w:numId w:val="9"/>
      </w:numPr>
    </w:pPr>
  </w:style>
  <w:style w:type="paragraph" w:styleId="List2">
    <w:name w:val="List 2"/>
    <w:basedOn w:val="List"/>
    <w:rsid w:val="00C83E1C"/>
    <w:pPr>
      <w:numPr>
        <w:ilvl w:val="1"/>
      </w:numPr>
    </w:pPr>
  </w:style>
  <w:style w:type="paragraph" w:styleId="List3">
    <w:name w:val="List 3"/>
    <w:basedOn w:val="List2"/>
    <w:rsid w:val="00C83E1C"/>
    <w:pPr>
      <w:numPr>
        <w:ilvl w:val="2"/>
      </w:numPr>
    </w:pPr>
  </w:style>
  <w:style w:type="paragraph" w:styleId="List4">
    <w:name w:val="List 4"/>
    <w:basedOn w:val="List3"/>
    <w:rsid w:val="00C83E1C"/>
    <w:pPr>
      <w:numPr>
        <w:ilvl w:val="3"/>
      </w:numPr>
    </w:pPr>
  </w:style>
  <w:style w:type="paragraph" w:customStyle="1" w:styleId="CellBodyL">
    <w:name w:val="CellBodyL"/>
    <w:basedOn w:val="Normal"/>
    <w:rsid w:val="0027288D"/>
    <w:pPr>
      <w:spacing w:before="0" w:after="60"/>
    </w:pPr>
    <w:rPr>
      <w:sz w:val="18"/>
    </w:rPr>
  </w:style>
  <w:style w:type="paragraph" w:customStyle="1" w:styleId="CellHeadingL">
    <w:name w:val="CellHeadingL"/>
    <w:basedOn w:val="Normal"/>
    <w:rsid w:val="0027288D"/>
    <w:pPr>
      <w:keepNext/>
      <w:spacing w:before="0" w:after="60"/>
    </w:pPr>
    <w:rPr>
      <w:b/>
      <w:sz w:val="18"/>
    </w:rPr>
  </w:style>
  <w:style w:type="paragraph" w:customStyle="1" w:styleId="DocumentControlSubHeading">
    <w:name w:val="DocumentControlSubHeading"/>
    <w:rsid w:val="0027288D"/>
    <w:rPr>
      <w:rFonts w:ascii="Arial" w:eastAsia="Times New Roman" w:hAnsi="Arial"/>
      <w:b/>
      <w:i/>
      <w:noProof/>
      <w:sz w:val="24"/>
      <w:lang w:eastAsia="en-CA"/>
    </w:rPr>
  </w:style>
  <w:style w:type="paragraph" w:customStyle="1" w:styleId="DocumentControlTableText">
    <w:name w:val="DocumentControlTableText"/>
    <w:basedOn w:val="Normal"/>
    <w:rsid w:val="0027288D"/>
    <w:pPr>
      <w:spacing w:before="80" w:after="80"/>
    </w:pPr>
    <w:rPr>
      <w:rFonts w:ascii="Times New Roman" w:hAnsi="Times New Roman"/>
      <w:sz w:val="22"/>
      <w:lang w:eastAsia="en-CA"/>
    </w:rPr>
  </w:style>
  <w:style w:type="paragraph" w:styleId="Header">
    <w:name w:val="header"/>
    <w:basedOn w:val="Normal"/>
    <w:link w:val="HeaderChar"/>
    <w:uiPriority w:val="99"/>
    <w:unhideWhenUsed/>
    <w:rsid w:val="00D9321B"/>
    <w:pPr>
      <w:tabs>
        <w:tab w:val="center" w:pos="4680"/>
        <w:tab w:val="right" w:pos="9360"/>
      </w:tabs>
      <w:spacing w:before="0"/>
    </w:pPr>
  </w:style>
  <w:style w:type="character" w:customStyle="1" w:styleId="HeaderChar">
    <w:name w:val="Header Char"/>
    <w:basedOn w:val="DefaultParagraphFont"/>
    <w:link w:val="Header"/>
    <w:uiPriority w:val="99"/>
    <w:rsid w:val="00D9321B"/>
    <w:rPr>
      <w:rFonts w:ascii="Arial" w:eastAsia="Times New Roman" w:hAnsi="Arial"/>
      <w:lang w:val="en-US"/>
    </w:rPr>
  </w:style>
  <w:style w:type="paragraph" w:styleId="BalloonText">
    <w:name w:val="Balloon Text"/>
    <w:basedOn w:val="Normal"/>
    <w:link w:val="BalloonTextChar"/>
    <w:uiPriority w:val="99"/>
    <w:semiHidden/>
    <w:unhideWhenUsed/>
    <w:rsid w:val="00D9321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21B"/>
    <w:rPr>
      <w:rFonts w:ascii="Tahoma" w:eastAsia="Times New Roman" w:hAnsi="Tahoma" w:cs="Tahoma"/>
      <w:sz w:val="16"/>
      <w:szCs w:val="16"/>
      <w:lang w:val="en-US"/>
    </w:rPr>
  </w:style>
  <w:style w:type="character" w:styleId="PageNumber">
    <w:name w:val="page number"/>
    <w:basedOn w:val="DefaultParagraphFont"/>
    <w:rsid w:val="002E66B4"/>
  </w:style>
  <w:style w:type="character" w:styleId="CommentReference">
    <w:name w:val="annotation reference"/>
    <w:basedOn w:val="DefaultParagraphFont"/>
    <w:uiPriority w:val="99"/>
    <w:semiHidden/>
    <w:unhideWhenUsed/>
    <w:rsid w:val="006746DD"/>
    <w:rPr>
      <w:sz w:val="16"/>
      <w:szCs w:val="16"/>
    </w:rPr>
  </w:style>
  <w:style w:type="paragraph" w:styleId="CommentSubject">
    <w:name w:val="annotation subject"/>
    <w:basedOn w:val="CommentText"/>
    <w:next w:val="CommentText"/>
    <w:link w:val="CommentSubjectChar"/>
    <w:uiPriority w:val="99"/>
    <w:semiHidden/>
    <w:unhideWhenUsed/>
    <w:rsid w:val="006746DD"/>
    <w:rPr>
      <w:b/>
      <w:bCs/>
    </w:rPr>
  </w:style>
  <w:style w:type="character" w:customStyle="1" w:styleId="CommentSubjectChar">
    <w:name w:val="Comment Subject Char"/>
    <w:basedOn w:val="CommentTextChar"/>
    <w:link w:val="CommentSubject"/>
    <w:uiPriority w:val="99"/>
    <w:semiHidden/>
    <w:rsid w:val="006746DD"/>
    <w:rPr>
      <w:rFonts w:ascii="Arial" w:eastAsia="Times New Roman" w:hAnsi="Arial"/>
      <w:b/>
      <w:bCs/>
      <w:lang w:val="en-US"/>
    </w:rPr>
  </w:style>
  <w:style w:type="paragraph" w:styleId="Revision">
    <w:name w:val="Revision"/>
    <w:hidden/>
    <w:uiPriority w:val="99"/>
    <w:semiHidden/>
    <w:rsid w:val="00F914B4"/>
    <w:rPr>
      <w:rFonts w:ascii="Arial" w:eastAsia="Times New Roman" w:hAnsi="Arial"/>
      <w:lang w:val="en-US"/>
    </w:rPr>
  </w:style>
  <w:style w:type="character" w:customStyle="1" w:styleId="ilfuvd">
    <w:name w:val="ilfuvd"/>
    <w:basedOn w:val="DefaultParagraphFont"/>
    <w:rsid w:val="00A15F36"/>
  </w:style>
  <w:style w:type="character" w:styleId="Hyperlink">
    <w:name w:val="Hyperlink"/>
    <w:basedOn w:val="DefaultParagraphFont"/>
    <w:uiPriority w:val="99"/>
    <w:unhideWhenUsed/>
    <w:rsid w:val="00436A04"/>
    <w:rPr>
      <w:color w:val="0563C1" w:themeColor="hyperlink"/>
      <w:u w:val="single"/>
    </w:rPr>
  </w:style>
  <w:style w:type="paragraph" w:styleId="Subtitle">
    <w:name w:val="Subtitle"/>
    <w:basedOn w:val="Normal"/>
    <w:next w:val="Normal"/>
    <w:link w:val="SubtitleChar"/>
    <w:qFormat/>
    <w:locked/>
    <w:rsid w:val="009B5EA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rsid w:val="009B5EAA"/>
    <w:rPr>
      <w:rFonts w:asciiTheme="majorHAnsi" w:eastAsiaTheme="majorEastAsia" w:hAnsiTheme="majorHAnsi" w:cstheme="majorBidi"/>
      <w:i/>
      <w:iCs/>
      <w:color w:val="5B9BD5" w:themeColor="accent1"/>
      <w:spacing w:val="15"/>
      <w:sz w:val="24"/>
      <w:szCs w:val="24"/>
      <w:lang w:val="en-US"/>
    </w:rPr>
  </w:style>
  <w:style w:type="character" w:customStyle="1" w:styleId="TableCaptionChar">
    <w:name w:val="Table Caption Char"/>
    <w:basedOn w:val="DefaultParagraphFont"/>
    <w:link w:val="TableCaption"/>
    <w:locked/>
    <w:rsid w:val="002D391D"/>
    <w:rPr>
      <w:rFonts w:ascii="Palatino Linotype" w:hAnsi="Palatino Linotype"/>
      <w:b/>
      <w:sz w:val="22"/>
      <w:lang w:val="en-US"/>
    </w:rPr>
  </w:style>
  <w:style w:type="paragraph" w:customStyle="1" w:styleId="TableCaption">
    <w:name w:val="Table Caption"/>
    <w:basedOn w:val="Normal"/>
    <w:next w:val="Normal"/>
    <w:link w:val="TableCaptionChar"/>
    <w:qFormat/>
    <w:rsid w:val="002D391D"/>
    <w:pPr>
      <w:spacing w:before="240" w:after="120"/>
      <w:jc w:val="center"/>
    </w:pPr>
    <w:rPr>
      <w:rFonts w:ascii="Palatino Linotype" w:eastAsia="SimSun" w:hAnsi="Palatino Linotype"/>
      <w:b/>
      <w:sz w:val="22"/>
    </w:rPr>
  </w:style>
  <w:style w:type="paragraph" w:customStyle="1" w:styleId="ListParagraphLevel1">
    <w:name w:val="List Paragraph Level 1"/>
    <w:basedOn w:val="Normal"/>
    <w:autoRedefine/>
    <w:qFormat/>
    <w:rsid w:val="00431EBF"/>
    <w:pPr>
      <w:numPr>
        <w:numId w:val="10"/>
      </w:numPr>
      <w:spacing w:before="120" w:after="120"/>
    </w:pPr>
    <w:rPr>
      <w:rFonts w:ascii="Palatino Linotype" w:hAnsi="Palatino Linotype"/>
      <w:sz w:val="22"/>
      <w:szCs w:val="22"/>
      <w:lang w:val="en-CA" w:eastAsia="en-CA"/>
    </w:rPr>
  </w:style>
  <w:style w:type="paragraph" w:customStyle="1" w:styleId="ListParagraphLevel2">
    <w:name w:val="List Paragraph Level 2"/>
    <w:basedOn w:val="Normal"/>
    <w:autoRedefine/>
    <w:qFormat/>
    <w:rsid w:val="00431EBF"/>
    <w:pPr>
      <w:numPr>
        <w:ilvl w:val="1"/>
        <w:numId w:val="10"/>
      </w:numPr>
      <w:spacing w:before="0" w:after="120"/>
    </w:pPr>
    <w:rPr>
      <w:rFonts w:ascii="Palatino Linotype" w:hAnsi="Palatino Linotype"/>
      <w:sz w:val="22"/>
      <w:szCs w:val="22"/>
      <w:lang w:val="en-CA" w:eastAsia="en-CA"/>
    </w:rPr>
  </w:style>
  <w:style w:type="paragraph" w:customStyle="1" w:styleId="ListParagraphLevel3">
    <w:name w:val="List Paragraph Level 3"/>
    <w:basedOn w:val="ListParagraphLevel2"/>
    <w:autoRedefine/>
    <w:qFormat/>
    <w:rsid w:val="00431EBF"/>
    <w:pPr>
      <w:numPr>
        <w:ilvl w:val="2"/>
      </w:numPr>
      <w:spacing w:before="120"/>
    </w:pPr>
  </w:style>
  <w:style w:type="paragraph" w:styleId="BodyTextIndent2">
    <w:name w:val="Body Text Indent 2"/>
    <w:basedOn w:val="Normal"/>
    <w:link w:val="BodyTextIndent2Char"/>
    <w:uiPriority w:val="99"/>
    <w:unhideWhenUsed/>
    <w:rsid w:val="00431EBF"/>
    <w:pPr>
      <w:spacing w:before="0"/>
      <w:ind w:left="990"/>
    </w:pPr>
    <w:rPr>
      <w:i/>
      <w:color w:val="0066FF"/>
    </w:rPr>
  </w:style>
  <w:style w:type="character" w:customStyle="1" w:styleId="BodyTextIndent2Char">
    <w:name w:val="Body Text Indent 2 Char"/>
    <w:basedOn w:val="DefaultParagraphFont"/>
    <w:link w:val="BodyTextIndent2"/>
    <w:uiPriority w:val="99"/>
    <w:rsid w:val="00431EBF"/>
    <w:rPr>
      <w:rFonts w:ascii="Arial" w:eastAsia="Times New Roman" w:hAnsi="Arial"/>
      <w:i/>
      <w:color w:val="0066FF"/>
      <w:lang w:val="en-US"/>
    </w:rPr>
  </w:style>
  <w:style w:type="paragraph" w:styleId="PlainText">
    <w:name w:val="Plain Text"/>
    <w:basedOn w:val="Normal"/>
    <w:link w:val="PlainTextChar"/>
    <w:uiPriority w:val="99"/>
    <w:semiHidden/>
    <w:unhideWhenUsed/>
    <w:rsid w:val="0005728D"/>
    <w:pPr>
      <w:spacing w:before="0"/>
    </w:pPr>
    <w:rPr>
      <w:rFonts w:ascii="Calibri" w:eastAsiaTheme="minorHAnsi" w:hAnsi="Calibri"/>
      <w:sz w:val="22"/>
      <w:szCs w:val="22"/>
      <w:lang w:val="en-CA"/>
    </w:rPr>
  </w:style>
  <w:style w:type="character" w:customStyle="1" w:styleId="PlainTextChar">
    <w:name w:val="Plain Text Char"/>
    <w:basedOn w:val="DefaultParagraphFont"/>
    <w:link w:val="PlainText"/>
    <w:uiPriority w:val="99"/>
    <w:semiHidden/>
    <w:rsid w:val="0005728D"/>
    <w:rPr>
      <w:rFonts w:ascii="Calibri" w:eastAsiaTheme="minorHAnsi" w:hAnsi="Calibri"/>
      <w:sz w:val="22"/>
      <w:szCs w:val="22"/>
    </w:rPr>
  </w:style>
  <w:style w:type="paragraph" w:styleId="FootnoteText">
    <w:name w:val="footnote text"/>
    <w:basedOn w:val="Normal"/>
    <w:link w:val="FootnoteTextChar"/>
    <w:uiPriority w:val="99"/>
    <w:semiHidden/>
    <w:unhideWhenUsed/>
    <w:rsid w:val="006C6970"/>
    <w:pPr>
      <w:spacing w:before="0"/>
    </w:pPr>
  </w:style>
  <w:style w:type="character" w:customStyle="1" w:styleId="FootnoteTextChar">
    <w:name w:val="Footnote Text Char"/>
    <w:basedOn w:val="DefaultParagraphFont"/>
    <w:link w:val="FootnoteText"/>
    <w:uiPriority w:val="99"/>
    <w:semiHidden/>
    <w:rsid w:val="006C6970"/>
    <w:rPr>
      <w:rFonts w:ascii="Arial" w:eastAsia="Times New Roman" w:hAnsi="Arial"/>
      <w:lang w:val="en-US"/>
    </w:rPr>
  </w:style>
  <w:style w:type="character" w:styleId="FootnoteReference">
    <w:name w:val="footnote reference"/>
    <w:basedOn w:val="DefaultParagraphFont"/>
    <w:uiPriority w:val="99"/>
    <w:semiHidden/>
    <w:unhideWhenUsed/>
    <w:rsid w:val="006C6970"/>
    <w:rPr>
      <w:vertAlign w:val="superscript"/>
    </w:rPr>
  </w:style>
  <w:style w:type="character" w:styleId="FollowedHyperlink">
    <w:name w:val="FollowedHyperlink"/>
    <w:basedOn w:val="DefaultParagraphFont"/>
    <w:uiPriority w:val="99"/>
    <w:semiHidden/>
    <w:unhideWhenUsed/>
    <w:rsid w:val="006C6970"/>
    <w:rPr>
      <w:color w:val="954F72" w:themeColor="followedHyperlink"/>
      <w:u w:val="single"/>
    </w:rPr>
  </w:style>
  <w:style w:type="character" w:customStyle="1" w:styleId="BoldIESO">
    <w:name w:val="Bold IESO"/>
    <w:basedOn w:val="DefaultParagraphFont"/>
    <w:uiPriority w:val="1"/>
    <w:rsid w:val="00AB27A4"/>
    <w:rPr>
      <w:b/>
    </w:rPr>
  </w:style>
  <w:style w:type="character" w:customStyle="1" w:styleId="Z-Back-Cover-Email-link">
    <w:name w:val="Z-Back-Cover-Email-link"/>
    <w:basedOn w:val="DefaultParagraphFont"/>
    <w:uiPriority w:val="1"/>
    <w:qFormat/>
    <w:rsid w:val="00AB27A4"/>
    <w:rPr>
      <w:rFonts w:ascii="Tahoma" w:hAnsi="Tahoma"/>
      <w:color w:val="FFFFFF" w:themeColor="background1"/>
      <w:sz w:val="16"/>
    </w:rPr>
  </w:style>
  <w:style w:type="paragraph" w:customStyle="1" w:styleId="Table-Text-Left-Align">
    <w:name w:val="Table-Text-Left-Align"/>
    <w:autoRedefine/>
    <w:qFormat/>
    <w:rsid w:val="00AB27A4"/>
    <w:pPr>
      <w:spacing w:after="80"/>
      <w:ind w:left="180" w:right="270" w:firstLine="9"/>
    </w:pPr>
    <w:rPr>
      <w:rFonts w:ascii="Tahoma" w:eastAsiaTheme="majorEastAsia" w:hAnsi="Tahoma" w:cstheme="majorBidi"/>
      <w:color w:val="000000" w:themeColor="text1"/>
      <w:sz w:val="18"/>
      <w:szCs w:val="16"/>
      <w14:numForm w14:val="lining"/>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4026">
      <w:bodyDiv w:val="1"/>
      <w:marLeft w:val="0"/>
      <w:marRight w:val="0"/>
      <w:marTop w:val="0"/>
      <w:marBottom w:val="0"/>
      <w:divBdr>
        <w:top w:val="none" w:sz="0" w:space="0" w:color="auto"/>
        <w:left w:val="none" w:sz="0" w:space="0" w:color="auto"/>
        <w:bottom w:val="none" w:sz="0" w:space="0" w:color="auto"/>
        <w:right w:val="none" w:sz="0" w:space="0" w:color="auto"/>
      </w:divBdr>
      <w:divsChild>
        <w:div w:id="2127775846">
          <w:marLeft w:val="547"/>
          <w:marRight w:val="0"/>
          <w:marTop w:val="86"/>
          <w:marBottom w:val="0"/>
          <w:divBdr>
            <w:top w:val="none" w:sz="0" w:space="0" w:color="auto"/>
            <w:left w:val="none" w:sz="0" w:space="0" w:color="auto"/>
            <w:bottom w:val="none" w:sz="0" w:space="0" w:color="auto"/>
            <w:right w:val="none" w:sz="0" w:space="0" w:color="auto"/>
          </w:divBdr>
        </w:div>
      </w:divsChild>
    </w:div>
    <w:div w:id="203325122">
      <w:bodyDiv w:val="1"/>
      <w:marLeft w:val="0"/>
      <w:marRight w:val="0"/>
      <w:marTop w:val="0"/>
      <w:marBottom w:val="0"/>
      <w:divBdr>
        <w:top w:val="none" w:sz="0" w:space="0" w:color="auto"/>
        <w:left w:val="none" w:sz="0" w:space="0" w:color="auto"/>
        <w:bottom w:val="none" w:sz="0" w:space="0" w:color="auto"/>
        <w:right w:val="none" w:sz="0" w:space="0" w:color="auto"/>
      </w:divBdr>
      <w:divsChild>
        <w:div w:id="2007708311">
          <w:marLeft w:val="547"/>
          <w:marRight w:val="0"/>
          <w:marTop w:val="96"/>
          <w:marBottom w:val="0"/>
          <w:divBdr>
            <w:top w:val="none" w:sz="0" w:space="0" w:color="auto"/>
            <w:left w:val="none" w:sz="0" w:space="0" w:color="auto"/>
            <w:bottom w:val="none" w:sz="0" w:space="0" w:color="auto"/>
            <w:right w:val="none" w:sz="0" w:space="0" w:color="auto"/>
          </w:divBdr>
        </w:div>
        <w:div w:id="1706173816">
          <w:marLeft w:val="1166"/>
          <w:marRight w:val="0"/>
          <w:marTop w:val="86"/>
          <w:marBottom w:val="0"/>
          <w:divBdr>
            <w:top w:val="none" w:sz="0" w:space="0" w:color="auto"/>
            <w:left w:val="none" w:sz="0" w:space="0" w:color="auto"/>
            <w:bottom w:val="none" w:sz="0" w:space="0" w:color="auto"/>
            <w:right w:val="none" w:sz="0" w:space="0" w:color="auto"/>
          </w:divBdr>
        </w:div>
        <w:div w:id="1951429671">
          <w:marLeft w:val="1166"/>
          <w:marRight w:val="0"/>
          <w:marTop w:val="86"/>
          <w:marBottom w:val="0"/>
          <w:divBdr>
            <w:top w:val="none" w:sz="0" w:space="0" w:color="auto"/>
            <w:left w:val="none" w:sz="0" w:space="0" w:color="auto"/>
            <w:bottom w:val="none" w:sz="0" w:space="0" w:color="auto"/>
            <w:right w:val="none" w:sz="0" w:space="0" w:color="auto"/>
          </w:divBdr>
        </w:div>
        <w:div w:id="439881878">
          <w:marLeft w:val="1166"/>
          <w:marRight w:val="0"/>
          <w:marTop w:val="86"/>
          <w:marBottom w:val="0"/>
          <w:divBdr>
            <w:top w:val="none" w:sz="0" w:space="0" w:color="auto"/>
            <w:left w:val="none" w:sz="0" w:space="0" w:color="auto"/>
            <w:bottom w:val="none" w:sz="0" w:space="0" w:color="auto"/>
            <w:right w:val="none" w:sz="0" w:space="0" w:color="auto"/>
          </w:divBdr>
        </w:div>
        <w:div w:id="1026752844">
          <w:marLeft w:val="1800"/>
          <w:marRight w:val="0"/>
          <w:marTop w:val="77"/>
          <w:marBottom w:val="0"/>
          <w:divBdr>
            <w:top w:val="none" w:sz="0" w:space="0" w:color="auto"/>
            <w:left w:val="none" w:sz="0" w:space="0" w:color="auto"/>
            <w:bottom w:val="none" w:sz="0" w:space="0" w:color="auto"/>
            <w:right w:val="none" w:sz="0" w:space="0" w:color="auto"/>
          </w:divBdr>
        </w:div>
        <w:div w:id="1123424641">
          <w:marLeft w:val="1800"/>
          <w:marRight w:val="0"/>
          <w:marTop w:val="77"/>
          <w:marBottom w:val="0"/>
          <w:divBdr>
            <w:top w:val="none" w:sz="0" w:space="0" w:color="auto"/>
            <w:left w:val="none" w:sz="0" w:space="0" w:color="auto"/>
            <w:bottom w:val="none" w:sz="0" w:space="0" w:color="auto"/>
            <w:right w:val="none" w:sz="0" w:space="0" w:color="auto"/>
          </w:divBdr>
        </w:div>
      </w:divsChild>
    </w:div>
    <w:div w:id="205995128">
      <w:bodyDiv w:val="1"/>
      <w:marLeft w:val="0"/>
      <w:marRight w:val="0"/>
      <w:marTop w:val="0"/>
      <w:marBottom w:val="0"/>
      <w:divBdr>
        <w:top w:val="none" w:sz="0" w:space="0" w:color="auto"/>
        <w:left w:val="none" w:sz="0" w:space="0" w:color="auto"/>
        <w:bottom w:val="none" w:sz="0" w:space="0" w:color="auto"/>
        <w:right w:val="none" w:sz="0" w:space="0" w:color="auto"/>
      </w:divBdr>
    </w:div>
    <w:div w:id="235945001">
      <w:bodyDiv w:val="1"/>
      <w:marLeft w:val="0"/>
      <w:marRight w:val="0"/>
      <w:marTop w:val="0"/>
      <w:marBottom w:val="0"/>
      <w:divBdr>
        <w:top w:val="none" w:sz="0" w:space="0" w:color="auto"/>
        <w:left w:val="none" w:sz="0" w:space="0" w:color="auto"/>
        <w:bottom w:val="none" w:sz="0" w:space="0" w:color="auto"/>
        <w:right w:val="none" w:sz="0" w:space="0" w:color="auto"/>
      </w:divBdr>
      <w:divsChild>
        <w:div w:id="1325933934">
          <w:marLeft w:val="1166"/>
          <w:marRight w:val="0"/>
          <w:marTop w:val="115"/>
          <w:marBottom w:val="0"/>
          <w:divBdr>
            <w:top w:val="none" w:sz="0" w:space="0" w:color="auto"/>
            <w:left w:val="none" w:sz="0" w:space="0" w:color="auto"/>
            <w:bottom w:val="none" w:sz="0" w:space="0" w:color="auto"/>
            <w:right w:val="none" w:sz="0" w:space="0" w:color="auto"/>
          </w:divBdr>
        </w:div>
      </w:divsChild>
    </w:div>
    <w:div w:id="255066813">
      <w:bodyDiv w:val="1"/>
      <w:marLeft w:val="0"/>
      <w:marRight w:val="0"/>
      <w:marTop w:val="0"/>
      <w:marBottom w:val="0"/>
      <w:divBdr>
        <w:top w:val="none" w:sz="0" w:space="0" w:color="auto"/>
        <w:left w:val="none" w:sz="0" w:space="0" w:color="auto"/>
        <w:bottom w:val="none" w:sz="0" w:space="0" w:color="auto"/>
        <w:right w:val="none" w:sz="0" w:space="0" w:color="auto"/>
      </w:divBdr>
    </w:div>
    <w:div w:id="308824414">
      <w:bodyDiv w:val="1"/>
      <w:marLeft w:val="0"/>
      <w:marRight w:val="0"/>
      <w:marTop w:val="0"/>
      <w:marBottom w:val="0"/>
      <w:divBdr>
        <w:top w:val="none" w:sz="0" w:space="0" w:color="auto"/>
        <w:left w:val="none" w:sz="0" w:space="0" w:color="auto"/>
        <w:bottom w:val="none" w:sz="0" w:space="0" w:color="auto"/>
        <w:right w:val="none" w:sz="0" w:space="0" w:color="auto"/>
      </w:divBdr>
    </w:div>
    <w:div w:id="407192609">
      <w:bodyDiv w:val="1"/>
      <w:marLeft w:val="0"/>
      <w:marRight w:val="0"/>
      <w:marTop w:val="0"/>
      <w:marBottom w:val="0"/>
      <w:divBdr>
        <w:top w:val="none" w:sz="0" w:space="0" w:color="auto"/>
        <w:left w:val="none" w:sz="0" w:space="0" w:color="auto"/>
        <w:bottom w:val="none" w:sz="0" w:space="0" w:color="auto"/>
        <w:right w:val="none" w:sz="0" w:space="0" w:color="auto"/>
      </w:divBdr>
    </w:div>
    <w:div w:id="649136914">
      <w:bodyDiv w:val="1"/>
      <w:marLeft w:val="0"/>
      <w:marRight w:val="0"/>
      <w:marTop w:val="0"/>
      <w:marBottom w:val="0"/>
      <w:divBdr>
        <w:top w:val="none" w:sz="0" w:space="0" w:color="auto"/>
        <w:left w:val="none" w:sz="0" w:space="0" w:color="auto"/>
        <w:bottom w:val="none" w:sz="0" w:space="0" w:color="auto"/>
        <w:right w:val="none" w:sz="0" w:space="0" w:color="auto"/>
      </w:divBdr>
    </w:div>
    <w:div w:id="728766974">
      <w:bodyDiv w:val="1"/>
      <w:marLeft w:val="0"/>
      <w:marRight w:val="0"/>
      <w:marTop w:val="0"/>
      <w:marBottom w:val="0"/>
      <w:divBdr>
        <w:top w:val="none" w:sz="0" w:space="0" w:color="auto"/>
        <w:left w:val="none" w:sz="0" w:space="0" w:color="auto"/>
        <w:bottom w:val="none" w:sz="0" w:space="0" w:color="auto"/>
        <w:right w:val="none" w:sz="0" w:space="0" w:color="auto"/>
      </w:divBdr>
    </w:div>
    <w:div w:id="757599769">
      <w:bodyDiv w:val="1"/>
      <w:marLeft w:val="0"/>
      <w:marRight w:val="0"/>
      <w:marTop w:val="0"/>
      <w:marBottom w:val="0"/>
      <w:divBdr>
        <w:top w:val="none" w:sz="0" w:space="0" w:color="auto"/>
        <w:left w:val="none" w:sz="0" w:space="0" w:color="auto"/>
        <w:bottom w:val="none" w:sz="0" w:space="0" w:color="auto"/>
        <w:right w:val="none" w:sz="0" w:space="0" w:color="auto"/>
      </w:divBdr>
    </w:div>
    <w:div w:id="773087048">
      <w:bodyDiv w:val="1"/>
      <w:marLeft w:val="0"/>
      <w:marRight w:val="0"/>
      <w:marTop w:val="0"/>
      <w:marBottom w:val="0"/>
      <w:divBdr>
        <w:top w:val="none" w:sz="0" w:space="0" w:color="auto"/>
        <w:left w:val="none" w:sz="0" w:space="0" w:color="auto"/>
        <w:bottom w:val="none" w:sz="0" w:space="0" w:color="auto"/>
        <w:right w:val="none" w:sz="0" w:space="0" w:color="auto"/>
      </w:divBdr>
      <w:divsChild>
        <w:div w:id="1637643597">
          <w:marLeft w:val="547"/>
          <w:marRight w:val="0"/>
          <w:marTop w:val="86"/>
          <w:marBottom w:val="0"/>
          <w:divBdr>
            <w:top w:val="none" w:sz="0" w:space="0" w:color="auto"/>
            <w:left w:val="none" w:sz="0" w:space="0" w:color="auto"/>
            <w:bottom w:val="none" w:sz="0" w:space="0" w:color="auto"/>
            <w:right w:val="none" w:sz="0" w:space="0" w:color="auto"/>
          </w:divBdr>
        </w:div>
      </w:divsChild>
    </w:div>
    <w:div w:id="934438604">
      <w:bodyDiv w:val="1"/>
      <w:marLeft w:val="0"/>
      <w:marRight w:val="0"/>
      <w:marTop w:val="0"/>
      <w:marBottom w:val="0"/>
      <w:divBdr>
        <w:top w:val="none" w:sz="0" w:space="0" w:color="auto"/>
        <w:left w:val="none" w:sz="0" w:space="0" w:color="auto"/>
        <w:bottom w:val="none" w:sz="0" w:space="0" w:color="auto"/>
        <w:right w:val="none" w:sz="0" w:space="0" w:color="auto"/>
      </w:divBdr>
    </w:div>
    <w:div w:id="946700148">
      <w:bodyDiv w:val="1"/>
      <w:marLeft w:val="0"/>
      <w:marRight w:val="0"/>
      <w:marTop w:val="0"/>
      <w:marBottom w:val="0"/>
      <w:divBdr>
        <w:top w:val="none" w:sz="0" w:space="0" w:color="auto"/>
        <w:left w:val="none" w:sz="0" w:space="0" w:color="auto"/>
        <w:bottom w:val="none" w:sz="0" w:space="0" w:color="auto"/>
        <w:right w:val="none" w:sz="0" w:space="0" w:color="auto"/>
      </w:divBdr>
    </w:div>
    <w:div w:id="962151480">
      <w:bodyDiv w:val="1"/>
      <w:marLeft w:val="0"/>
      <w:marRight w:val="0"/>
      <w:marTop w:val="0"/>
      <w:marBottom w:val="0"/>
      <w:divBdr>
        <w:top w:val="none" w:sz="0" w:space="0" w:color="auto"/>
        <w:left w:val="none" w:sz="0" w:space="0" w:color="auto"/>
        <w:bottom w:val="none" w:sz="0" w:space="0" w:color="auto"/>
        <w:right w:val="none" w:sz="0" w:space="0" w:color="auto"/>
      </w:divBdr>
    </w:div>
    <w:div w:id="1049571947">
      <w:bodyDiv w:val="1"/>
      <w:marLeft w:val="0"/>
      <w:marRight w:val="0"/>
      <w:marTop w:val="0"/>
      <w:marBottom w:val="0"/>
      <w:divBdr>
        <w:top w:val="none" w:sz="0" w:space="0" w:color="auto"/>
        <w:left w:val="none" w:sz="0" w:space="0" w:color="auto"/>
        <w:bottom w:val="none" w:sz="0" w:space="0" w:color="auto"/>
        <w:right w:val="none" w:sz="0" w:space="0" w:color="auto"/>
      </w:divBdr>
      <w:divsChild>
        <w:div w:id="1174951677">
          <w:marLeft w:val="547"/>
          <w:marRight w:val="0"/>
          <w:marTop w:val="96"/>
          <w:marBottom w:val="0"/>
          <w:divBdr>
            <w:top w:val="none" w:sz="0" w:space="0" w:color="auto"/>
            <w:left w:val="none" w:sz="0" w:space="0" w:color="auto"/>
            <w:bottom w:val="none" w:sz="0" w:space="0" w:color="auto"/>
            <w:right w:val="none" w:sz="0" w:space="0" w:color="auto"/>
          </w:divBdr>
        </w:div>
      </w:divsChild>
    </w:div>
    <w:div w:id="1083524909">
      <w:bodyDiv w:val="1"/>
      <w:marLeft w:val="0"/>
      <w:marRight w:val="0"/>
      <w:marTop w:val="0"/>
      <w:marBottom w:val="0"/>
      <w:divBdr>
        <w:top w:val="none" w:sz="0" w:space="0" w:color="auto"/>
        <w:left w:val="none" w:sz="0" w:space="0" w:color="auto"/>
        <w:bottom w:val="none" w:sz="0" w:space="0" w:color="auto"/>
        <w:right w:val="none" w:sz="0" w:space="0" w:color="auto"/>
      </w:divBdr>
    </w:div>
    <w:div w:id="1124037461">
      <w:bodyDiv w:val="1"/>
      <w:marLeft w:val="0"/>
      <w:marRight w:val="0"/>
      <w:marTop w:val="0"/>
      <w:marBottom w:val="0"/>
      <w:divBdr>
        <w:top w:val="none" w:sz="0" w:space="0" w:color="auto"/>
        <w:left w:val="none" w:sz="0" w:space="0" w:color="auto"/>
        <w:bottom w:val="none" w:sz="0" w:space="0" w:color="auto"/>
        <w:right w:val="none" w:sz="0" w:space="0" w:color="auto"/>
      </w:divBdr>
    </w:div>
    <w:div w:id="1190533801">
      <w:bodyDiv w:val="1"/>
      <w:marLeft w:val="0"/>
      <w:marRight w:val="0"/>
      <w:marTop w:val="0"/>
      <w:marBottom w:val="0"/>
      <w:divBdr>
        <w:top w:val="none" w:sz="0" w:space="0" w:color="auto"/>
        <w:left w:val="none" w:sz="0" w:space="0" w:color="auto"/>
        <w:bottom w:val="none" w:sz="0" w:space="0" w:color="auto"/>
        <w:right w:val="none" w:sz="0" w:space="0" w:color="auto"/>
      </w:divBdr>
    </w:div>
    <w:div w:id="1312251286">
      <w:bodyDiv w:val="1"/>
      <w:marLeft w:val="0"/>
      <w:marRight w:val="0"/>
      <w:marTop w:val="0"/>
      <w:marBottom w:val="0"/>
      <w:divBdr>
        <w:top w:val="none" w:sz="0" w:space="0" w:color="auto"/>
        <w:left w:val="none" w:sz="0" w:space="0" w:color="auto"/>
        <w:bottom w:val="none" w:sz="0" w:space="0" w:color="auto"/>
        <w:right w:val="none" w:sz="0" w:space="0" w:color="auto"/>
      </w:divBdr>
    </w:div>
    <w:div w:id="1315524646">
      <w:bodyDiv w:val="1"/>
      <w:marLeft w:val="0"/>
      <w:marRight w:val="0"/>
      <w:marTop w:val="0"/>
      <w:marBottom w:val="0"/>
      <w:divBdr>
        <w:top w:val="none" w:sz="0" w:space="0" w:color="auto"/>
        <w:left w:val="none" w:sz="0" w:space="0" w:color="auto"/>
        <w:bottom w:val="none" w:sz="0" w:space="0" w:color="auto"/>
        <w:right w:val="none" w:sz="0" w:space="0" w:color="auto"/>
      </w:divBdr>
    </w:div>
    <w:div w:id="1317880767">
      <w:bodyDiv w:val="1"/>
      <w:marLeft w:val="0"/>
      <w:marRight w:val="0"/>
      <w:marTop w:val="0"/>
      <w:marBottom w:val="0"/>
      <w:divBdr>
        <w:top w:val="none" w:sz="0" w:space="0" w:color="auto"/>
        <w:left w:val="none" w:sz="0" w:space="0" w:color="auto"/>
        <w:bottom w:val="none" w:sz="0" w:space="0" w:color="auto"/>
        <w:right w:val="none" w:sz="0" w:space="0" w:color="auto"/>
      </w:divBdr>
    </w:div>
    <w:div w:id="1336150378">
      <w:bodyDiv w:val="1"/>
      <w:marLeft w:val="0"/>
      <w:marRight w:val="0"/>
      <w:marTop w:val="0"/>
      <w:marBottom w:val="0"/>
      <w:divBdr>
        <w:top w:val="none" w:sz="0" w:space="0" w:color="auto"/>
        <w:left w:val="none" w:sz="0" w:space="0" w:color="auto"/>
        <w:bottom w:val="none" w:sz="0" w:space="0" w:color="auto"/>
        <w:right w:val="none" w:sz="0" w:space="0" w:color="auto"/>
      </w:divBdr>
      <w:divsChild>
        <w:div w:id="1460420445">
          <w:marLeft w:val="547"/>
          <w:marRight w:val="0"/>
          <w:marTop w:val="96"/>
          <w:marBottom w:val="0"/>
          <w:divBdr>
            <w:top w:val="none" w:sz="0" w:space="0" w:color="auto"/>
            <w:left w:val="none" w:sz="0" w:space="0" w:color="auto"/>
            <w:bottom w:val="none" w:sz="0" w:space="0" w:color="auto"/>
            <w:right w:val="none" w:sz="0" w:space="0" w:color="auto"/>
          </w:divBdr>
        </w:div>
        <w:div w:id="105780998">
          <w:marLeft w:val="547"/>
          <w:marRight w:val="0"/>
          <w:marTop w:val="96"/>
          <w:marBottom w:val="0"/>
          <w:divBdr>
            <w:top w:val="none" w:sz="0" w:space="0" w:color="auto"/>
            <w:left w:val="none" w:sz="0" w:space="0" w:color="auto"/>
            <w:bottom w:val="none" w:sz="0" w:space="0" w:color="auto"/>
            <w:right w:val="none" w:sz="0" w:space="0" w:color="auto"/>
          </w:divBdr>
        </w:div>
        <w:div w:id="512033001">
          <w:marLeft w:val="547"/>
          <w:marRight w:val="0"/>
          <w:marTop w:val="96"/>
          <w:marBottom w:val="0"/>
          <w:divBdr>
            <w:top w:val="none" w:sz="0" w:space="0" w:color="auto"/>
            <w:left w:val="none" w:sz="0" w:space="0" w:color="auto"/>
            <w:bottom w:val="none" w:sz="0" w:space="0" w:color="auto"/>
            <w:right w:val="none" w:sz="0" w:space="0" w:color="auto"/>
          </w:divBdr>
        </w:div>
        <w:div w:id="1591700883">
          <w:marLeft w:val="547"/>
          <w:marRight w:val="0"/>
          <w:marTop w:val="96"/>
          <w:marBottom w:val="0"/>
          <w:divBdr>
            <w:top w:val="none" w:sz="0" w:space="0" w:color="auto"/>
            <w:left w:val="none" w:sz="0" w:space="0" w:color="auto"/>
            <w:bottom w:val="none" w:sz="0" w:space="0" w:color="auto"/>
            <w:right w:val="none" w:sz="0" w:space="0" w:color="auto"/>
          </w:divBdr>
        </w:div>
      </w:divsChild>
    </w:div>
    <w:div w:id="1357927256">
      <w:bodyDiv w:val="1"/>
      <w:marLeft w:val="0"/>
      <w:marRight w:val="0"/>
      <w:marTop w:val="0"/>
      <w:marBottom w:val="0"/>
      <w:divBdr>
        <w:top w:val="none" w:sz="0" w:space="0" w:color="auto"/>
        <w:left w:val="none" w:sz="0" w:space="0" w:color="auto"/>
        <w:bottom w:val="none" w:sz="0" w:space="0" w:color="auto"/>
        <w:right w:val="none" w:sz="0" w:space="0" w:color="auto"/>
      </w:divBdr>
    </w:div>
    <w:div w:id="1663775873">
      <w:bodyDiv w:val="1"/>
      <w:marLeft w:val="0"/>
      <w:marRight w:val="0"/>
      <w:marTop w:val="0"/>
      <w:marBottom w:val="0"/>
      <w:divBdr>
        <w:top w:val="none" w:sz="0" w:space="0" w:color="auto"/>
        <w:left w:val="none" w:sz="0" w:space="0" w:color="auto"/>
        <w:bottom w:val="none" w:sz="0" w:space="0" w:color="auto"/>
        <w:right w:val="none" w:sz="0" w:space="0" w:color="auto"/>
      </w:divBdr>
    </w:div>
    <w:div w:id="1710453540">
      <w:bodyDiv w:val="1"/>
      <w:marLeft w:val="0"/>
      <w:marRight w:val="0"/>
      <w:marTop w:val="0"/>
      <w:marBottom w:val="0"/>
      <w:divBdr>
        <w:top w:val="none" w:sz="0" w:space="0" w:color="auto"/>
        <w:left w:val="none" w:sz="0" w:space="0" w:color="auto"/>
        <w:bottom w:val="none" w:sz="0" w:space="0" w:color="auto"/>
        <w:right w:val="none" w:sz="0" w:space="0" w:color="auto"/>
      </w:divBdr>
    </w:div>
    <w:div w:id="1756316437">
      <w:bodyDiv w:val="1"/>
      <w:marLeft w:val="0"/>
      <w:marRight w:val="0"/>
      <w:marTop w:val="0"/>
      <w:marBottom w:val="0"/>
      <w:divBdr>
        <w:top w:val="none" w:sz="0" w:space="0" w:color="auto"/>
        <w:left w:val="none" w:sz="0" w:space="0" w:color="auto"/>
        <w:bottom w:val="none" w:sz="0" w:space="0" w:color="auto"/>
        <w:right w:val="none" w:sz="0" w:space="0" w:color="auto"/>
      </w:divBdr>
      <w:divsChild>
        <w:div w:id="1156607288">
          <w:marLeft w:val="547"/>
          <w:marRight w:val="0"/>
          <w:marTop w:val="86"/>
          <w:marBottom w:val="0"/>
          <w:divBdr>
            <w:top w:val="none" w:sz="0" w:space="0" w:color="auto"/>
            <w:left w:val="none" w:sz="0" w:space="0" w:color="auto"/>
            <w:bottom w:val="none" w:sz="0" w:space="0" w:color="auto"/>
            <w:right w:val="none" w:sz="0" w:space="0" w:color="auto"/>
          </w:divBdr>
        </w:div>
        <w:div w:id="2128697679">
          <w:marLeft w:val="1166"/>
          <w:marRight w:val="0"/>
          <w:marTop w:val="77"/>
          <w:marBottom w:val="0"/>
          <w:divBdr>
            <w:top w:val="none" w:sz="0" w:space="0" w:color="auto"/>
            <w:left w:val="none" w:sz="0" w:space="0" w:color="auto"/>
            <w:bottom w:val="none" w:sz="0" w:space="0" w:color="auto"/>
            <w:right w:val="none" w:sz="0" w:space="0" w:color="auto"/>
          </w:divBdr>
        </w:div>
        <w:div w:id="2041127402">
          <w:marLeft w:val="1166"/>
          <w:marRight w:val="0"/>
          <w:marTop w:val="77"/>
          <w:marBottom w:val="0"/>
          <w:divBdr>
            <w:top w:val="none" w:sz="0" w:space="0" w:color="auto"/>
            <w:left w:val="none" w:sz="0" w:space="0" w:color="auto"/>
            <w:bottom w:val="none" w:sz="0" w:space="0" w:color="auto"/>
            <w:right w:val="none" w:sz="0" w:space="0" w:color="auto"/>
          </w:divBdr>
        </w:div>
        <w:div w:id="1644431502">
          <w:marLeft w:val="1166"/>
          <w:marRight w:val="0"/>
          <w:marTop w:val="77"/>
          <w:marBottom w:val="0"/>
          <w:divBdr>
            <w:top w:val="none" w:sz="0" w:space="0" w:color="auto"/>
            <w:left w:val="none" w:sz="0" w:space="0" w:color="auto"/>
            <w:bottom w:val="none" w:sz="0" w:space="0" w:color="auto"/>
            <w:right w:val="none" w:sz="0" w:space="0" w:color="auto"/>
          </w:divBdr>
        </w:div>
        <w:div w:id="1687557010">
          <w:marLeft w:val="1166"/>
          <w:marRight w:val="0"/>
          <w:marTop w:val="77"/>
          <w:marBottom w:val="0"/>
          <w:divBdr>
            <w:top w:val="none" w:sz="0" w:space="0" w:color="auto"/>
            <w:left w:val="none" w:sz="0" w:space="0" w:color="auto"/>
            <w:bottom w:val="none" w:sz="0" w:space="0" w:color="auto"/>
            <w:right w:val="none" w:sz="0" w:space="0" w:color="auto"/>
          </w:divBdr>
        </w:div>
      </w:divsChild>
    </w:div>
    <w:div w:id="1799183930">
      <w:bodyDiv w:val="1"/>
      <w:marLeft w:val="0"/>
      <w:marRight w:val="0"/>
      <w:marTop w:val="0"/>
      <w:marBottom w:val="0"/>
      <w:divBdr>
        <w:top w:val="none" w:sz="0" w:space="0" w:color="auto"/>
        <w:left w:val="none" w:sz="0" w:space="0" w:color="auto"/>
        <w:bottom w:val="none" w:sz="0" w:space="0" w:color="auto"/>
        <w:right w:val="none" w:sz="0" w:space="0" w:color="auto"/>
      </w:divBdr>
      <w:divsChild>
        <w:div w:id="458379213">
          <w:marLeft w:val="547"/>
          <w:marRight w:val="0"/>
          <w:marTop w:val="115"/>
          <w:marBottom w:val="0"/>
          <w:divBdr>
            <w:top w:val="none" w:sz="0" w:space="0" w:color="auto"/>
            <w:left w:val="none" w:sz="0" w:space="0" w:color="auto"/>
            <w:bottom w:val="none" w:sz="0" w:space="0" w:color="auto"/>
            <w:right w:val="none" w:sz="0" w:space="0" w:color="auto"/>
          </w:divBdr>
        </w:div>
        <w:div w:id="1895502631">
          <w:marLeft w:val="1166"/>
          <w:marRight w:val="0"/>
          <w:marTop w:val="96"/>
          <w:marBottom w:val="0"/>
          <w:divBdr>
            <w:top w:val="none" w:sz="0" w:space="0" w:color="auto"/>
            <w:left w:val="none" w:sz="0" w:space="0" w:color="auto"/>
            <w:bottom w:val="none" w:sz="0" w:space="0" w:color="auto"/>
            <w:right w:val="none" w:sz="0" w:space="0" w:color="auto"/>
          </w:divBdr>
        </w:div>
        <w:div w:id="940455499">
          <w:marLeft w:val="1166"/>
          <w:marRight w:val="0"/>
          <w:marTop w:val="96"/>
          <w:marBottom w:val="0"/>
          <w:divBdr>
            <w:top w:val="none" w:sz="0" w:space="0" w:color="auto"/>
            <w:left w:val="none" w:sz="0" w:space="0" w:color="auto"/>
            <w:bottom w:val="none" w:sz="0" w:space="0" w:color="auto"/>
            <w:right w:val="none" w:sz="0" w:space="0" w:color="auto"/>
          </w:divBdr>
        </w:div>
      </w:divsChild>
    </w:div>
    <w:div w:id="1908372837">
      <w:bodyDiv w:val="1"/>
      <w:marLeft w:val="0"/>
      <w:marRight w:val="0"/>
      <w:marTop w:val="0"/>
      <w:marBottom w:val="0"/>
      <w:divBdr>
        <w:top w:val="none" w:sz="0" w:space="0" w:color="auto"/>
        <w:left w:val="none" w:sz="0" w:space="0" w:color="auto"/>
        <w:bottom w:val="none" w:sz="0" w:space="0" w:color="auto"/>
        <w:right w:val="none" w:sz="0" w:space="0" w:color="auto"/>
      </w:divBdr>
    </w:div>
    <w:div w:id="1930653592">
      <w:bodyDiv w:val="1"/>
      <w:marLeft w:val="0"/>
      <w:marRight w:val="0"/>
      <w:marTop w:val="0"/>
      <w:marBottom w:val="0"/>
      <w:divBdr>
        <w:top w:val="none" w:sz="0" w:space="0" w:color="auto"/>
        <w:left w:val="none" w:sz="0" w:space="0" w:color="auto"/>
        <w:bottom w:val="none" w:sz="0" w:space="0" w:color="auto"/>
        <w:right w:val="none" w:sz="0" w:space="0" w:color="auto"/>
      </w:divBdr>
      <w:divsChild>
        <w:div w:id="1740127773">
          <w:marLeft w:val="547"/>
          <w:marRight w:val="0"/>
          <w:marTop w:val="86"/>
          <w:marBottom w:val="0"/>
          <w:divBdr>
            <w:top w:val="none" w:sz="0" w:space="0" w:color="auto"/>
            <w:left w:val="none" w:sz="0" w:space="0" w:color="auto"/>
            <w:bottom w:val="none" w:sz="0" w:space="0" w:color="auto"/>
            <w:right w:val="none" w:sz="0" w:space="0" w:color="auto"/>
          </w:divBdr>
        </w:div>
      </w:divsChild>
    </w:div>
    <w:div w:id="1963724329">
      <w:bodyDiv w:val="1"/>
      <w:marLeft w:val="0"/>
      <w:marRight w:val="0"/>
      <w:marTop w:val="0"/>
      <w:marBottom w:val="0"/>
      <w:divBdr>
        <w:top w:val="none" w:sz="0" w:space="0" w:color="auto"/>
        <w:left w:val="none" w:sz="0" w:space="0" w:color="auto"/>
        <w:bottom w:val="none" w:sz="0" w:space="0" w:color="auto"/>
        <w:right w:val="none" w:sz="0" w:space="0" w:color="auto"/>
      </w:divBdr>
    </w:div>
    <w:div w:id="2021199091">
      <w:bodyDiv w:val="1"/>
      <w:marLeft w:val="0"/>
      <w:marRight w:val="0"/>
      <w:marTop w:val="0"/>
      <w:marBottom w:val="0"/>
      <w:divBdr>
        <w:top w:val="none" w:sz="0" w:space="0" w:color="auto"/>
        <w:left w:val="none" w:sz="0" w:space="0" w:color="auto"/>
        <w:bottom w:val="none" w:sz="0" w:space="0" w:color="auto"/>
        <w:right w:val="none" w:sz="0" w:space="0" w:color="auto"/>
      </w:divBdr>
      <w:divsChild>
        <w:div w:id="985817777">
          <w:marLeft w:val="547"/>
          <w:marRight w:val="0"/>
          <w:marTop w:val="96"/>
          <w:marBottom w:val="0"/>
          <w:divBdr>
            <w:top w:val="none" w:sz="0" w:space="0" w:color="auto"/>
            <w:left w:val="none" w:sz="0" w:space="0" w:color="auto"/>
            <w:bottom w:val="none" w:sz="0" w:space="0" w:color="auto"/>
            <w:right w:val="none" w:sz="0" w:space="0" w:color="auto"/>
          </w:divBdr>
        </w:div>
        <w:div w:id="835265844">
          <w:marLeft w:val="547"/>
          <w:marRight w:val="0"/>
          <w:marTop w:val="96"/>
          <w:marBottom w:val="0"/>
          <w:divBdr>
            <w:top w:val="none" w:sz="0" w:space="0" w:color="auto"/>
            <w:left w:val="none" w:sz="0" w:space="0" w:color="auto"/>
            <w:bottom w:val="none" w:sz="0" w:space="0" w:color="auto"/>
            <w:right w:val="none" w:sz="0" w:space="0" w:color="auto"/>
          </w:divBdr>
        </w:div>
        <w:div w:id="986082729">
          <w:marLeft w:val="547"/>
          <w:marRight w:val="0"/>
          <w:marTop w:val="96"/>
          <w:marBottom w:val="0"/>
          <w:divBdr>
            <w:top w:val="none" w:sz="0" w:space="0" w:color="auto"/>
            <w:left w:val="none" w:sz="0" w:space="0" w:color="auto"/>
            <w:bottom w:val="none" w:sz="0" w:space="0" w:color="auto"/>
            <w:right w:val="none" w:sz="0" w:space="0" w:color="auto"/>
          </w:divBdr>
        </w:div>
        <w:div w:id="711000804">
          <w:marLeft w:val="547"/>
          <w:marRight w:val="0"/>
          <w:marTop w:val="96"/>
          <w:marBottom w:val="0"/>
          <w:divBdr>
            <w:top w:val="none" w:sz="0" w:space="0" w:color="auto"/>
            <w:left w:val="none" w:sz="0" w:space="0" w:color="auto"/>
            <w:bottom w:val="none" w:sz="0" w:space="0" w:color="auto"/>
            <w:right w:val="none" w:sz="0" w:space="0" w:color="auto"/>
          </w:divBdr>
        </w:div>
      </w:divsChild>
    </w:div>
    <w:div w:id="211893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image" Target="media/image1.png" Id="rId13" /><Relationship Type="http://schemas.openxmlformats.org/officeDocument/2006/relationships/image" Target="media/image5.png" Id="rId18" /><Relationship Type="http://schemas.openxmlformats.org/officeDocument/2006/relationships/footer" Target="footer1.xml" Id="rId26" /><Relationship Type="http://schemas.microsoft.com/office/2011/relationships/commentsExtended" Target="commentsExtended.xml" Id="rId39" /><Relationship Type="http://schemas.openxmlformats.org/officeDocument/2006/relationships/image" Target="media/image8.png"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image" Target="media/image4.emf" Id="rId17" /><Relationship Type="http://schemas.openxmlformats.org/officeDocument/2006/relationships/image" Target="media/image12.png" Id="rId25" /><Relationship Type="http://schemas.openxmlformats.org/officeDocument/2006/relationships/image" Target="media/image3.emf" Id="rId16" /><Relationship Type="http://schemas.openxmlformats.org/officeDocument/2006/relationships/image" Target="media/image7.png" Id="rId20" /><Relationship Type="http://schemas.openxmlformats.org/officeDocument/2006/relationships/theme" Target="theme/theme1.xml" Id="rId29"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image" Target="media/image11.png" Id="rId24" /><Relationship Type="http://schemas.openxmlformats.org/officeDocument/2006/relationships/customXml" Target="../customXml/item5.xml" Id="rId5" /><Relationship Type="http://schemas.openxmlformats.org/officeDocument/2006/relationships/image" Target="media/image2.emf" Id="rId15" /><Relationship Type="http://schemas.openxmlformats.org/officeDocument/2006/relationships/image" Target="media/image10.png" Id="rId23" /><Relationship Type="http://schemas.openxmlformats.org/officeDocument/2006/relationships/fontTable" Target="fontTable.xml" Id="rId28" /><Relationship Type="http://schemas.openxmlformats.org/officeDocument/2006/relationships/webSettings" Target="webSettings.xml" Id="rId10" /><Relationship Type="http://schemas.openxmlformats.org/officeDocument/2006/relationships/image" Target="media/image6.png" Id="rId19" /><Relationship Type="http://schemas.openxmlformats.org/officeDocument/2006/relationships/settings" Target="settings.xml" Id="rId9" /><Relationship Type="http://schemas.openxmlformats.org/officeDocument/2006/relationships/hyperlink" Target="http://intranet/collaboration/Projects/TCA/SitePages/Home.aspx" TargetMode="External" Id="rId14" /><Relationship Type="http://schemas.openxmlformats.org/officeDocument/2006/relationships/image" Target="media/image9.png" Id="rId22" /><Relationship Type="http://schemas.openxmlformats.org/officeDocument/2006/relationships/footer" Target="footer2.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m/url?q=http://www.ieso.ca/-/media/Files/IESO/Document-Library/engage/me/Benefits-Case-Assessment-Market-Renewal-Project-Clean-20170420.pdf&amp;sa=U&amp;ved=0ahUKEwj46I2Txt3gAhUU0IMKHfMKCOwQFggFMAA&amp;client=internal-uds-cse&amp;cx=002629981176120676867:kta9nqaj3vo&amp;usg=AOvVaw3dO68446gkwQM6jr9dq5eA" TargetMode="External"/><Relationship Id="rId2" Type="http://schemas.openxmlformats.org/officeDocument/2006/relationships/hyperlink" Target="https://www.google.com/url?q=http://www.ieso.ca/-/media/Files/IESO/Document-Library/engage/me/Benefits-Case-Assessment-Market-Renewal-Project-Clean-20170420.pdf&amp;sa=U&amp;ved=0ahUKEwj46I2Txt3gAhUU0IMKHfMKCOwQFggFMAA&amp;client=internal-uds-cse&amp;cx=002629981176120676867:kta9nqaj3vo&amp;usg=AOvVaw3dO68446gkwQM6jr9dq5eA" TargetMode="External"/><Relationship Id="rId1" Type="http://schemas.openxmlformats.org/officeDocument/2006/relationships/hyperlink" Target="http://www.ieso.ca/-/media/Files/IESO/Document-Library/engage/mocn/Transitional-Capacity-Auction-Draft-Phase-I-Design.pdf?la=en" TargetMode="External"/><Relationship Id="rId5" Type="http://schemas.openxmlformats.org/officeDocument/2006/relationships/hyperlink" Target="http://www.ieso.ca/-/media/Files/IESO/Document-Library/engage/mocn/mocn-20190418-TCS-draft-phase1-design.pdf?la=en" TargetMode="External"/><Relationship Id="rId4" Type="http://schemas.openxmlformats.org/officeDocument/2006/relationships/hyperlink" Target="http://www.ieso.ca/-/media/Files/IESO/Document-Library/engage/mocn/mocn-20190418-TCS-draft-phase1-design.pdf?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5.xml><?xml version="1.0" encoding="utf-8"?>
<b:Sources xmlns:b="http://schemas.openxmlformats.org/officeDocument/2006/bibliography" xmlns="http://schemas.openxmlformats.org/officeDocument/2006/bibliography" SelectedStyle="\APA.XSL" StyleName="APA"/>
</file>

<file path=customXml/itemProps5.xml><?xml version="1.0" encoding="utf-8"?>
<ds:datastoreItem xmlns:ds="http://schemas.openxmlformats.org/officeDocument/2006/customXml" ds:itemID="{E5F80FD4-591D-44C6-8CF7-E13D9A22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6511</Words>
  <Characters>37118</Characters>
  <Application>Microsoft Office Word</Application>
  <DocSecurity>0</DocSecurity>
  <Lines>309</Lines>
  <Paragraphs>87</Paragraphs>
  <ScaleCrop>false</ScaleCrop>
  <HeadingPairs>
    <vt:vector size="2" baseType="variant">
      <vt:variant>
        <vt:lpstr>Title</vt:lpstr>
      </vt:variant>
      <vt:variant>
        <vt:i4>1</vt:i4>
      </vt:variant>
    </vt:vector>
  </HeadingPairs>
  <Company/>
  <LinksUpToDate>false</LinksUpToDate>
  <CharactersWithSpaces>43542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PC-7</cp:keywords>
  <dc:description>April 15, 2019</dc:description>
  <cp:lastModifiedBy/>
  <cp:revision>1</cp:revision>
  <dcterms:created xsi:type="dcterms:W3CDTF">2019-10-03T14:16:00Z</dcterms:created>
  <dcterms:modified xsi:type="dcterms:W3CDTF">2019-10-03T14:16:00Z</dcterms:modified>
</cp:coreProperties>
</file>