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92" w:rsidRPr="00723675" w:rsidRDefault="00723675">
      <w:pPr>
        <w:rPr>
          <w:rFonts w:ascii="Arial" w:hAnsi="Arial" w:cs="Arial"/>
          <w:b/>
        </w:rPr>
      </w:pPr>
      <w:r w:rsidRPr="00723675">
        <w:rPr>
          <w:rFonts w:ascii="Arial" w:hAnsi="Arial" w:cs="Arial"/>
          <w:b/>
        </w:rPr>
        <w:t xml:space="preserve">Waterloo North </w:t>
      </w:r>
    </w:p>
    <w:p w:rsidR="00723675" w:rsidRPr="00723675" w:rsidRDefault="00723675">
      <w:pPr>
        <w:rPr>
          <w:rFonts w:ascii="Arial" w:hAnsi="Arial" w:cs="Arial"/>
          <w:b/>
        </w:rPr>
      </w:pPr>
      <w:r>
        <w:rPr>
          <w:rFonts w:ascii="Arial" w:hAnsi="Arial" w:cs="Arial"/>
          <w:b/>
        </w:rPr>
        <w:t xml:space="preserve">Additional </w:t>
      </w:r>
      <w:r w:rsidRPr="00723675">
        <w:rPr>
          <w:rFonts w:ascii="Arial" w:hAnsi="Arial" w:cs="Arial"/>
          <w:b/>
        </w:rPr>
        <w:t>Questions for Account 1588 and Account 1589</w:t>
      </w:r>
    </w:p>
    <w:p w:rsidR="00723675" w:rsidRPr="002A0DD0" w:rsidRDefault="00656B07">
      <w:pPr>
        <w:rPr>
          <w:rFonts w:ascii="Arial" w:hAnsi="Arial" w:cs="Arial"/>
          <w:sz w:val="24"/>
          <w:szCs w:val="24"/>
        </w:rPr>
      </w:pPr>
      <w:r>
        <w:rPr>
          <w:rFonts w:ascii="Arial" w:hAnsi="Arial" w:cs="Arial"/>
          <w:sz w:val="24"/>
          <w:szCs w:val="24"/>
        </w:rPr>
        <w:t>Oct 4</w:t>
      </w:r>
      <w:r w:rsidR="00723675" w:rsidRPr="002A0DD0">
        <w:rPr>
          <w:rFonts w:ascii="Arial" w:hAnsi="Arial" w:cs="Arial"/>
          <w:sz w:val="24"/>
          <w:szCs w:val="24"/>
        </w:rPr>
        <w:t>, 2019</w:t>
      </w:r>
    </w:p>
    <w:p w:rsidR="00723675" w:rsidRDefault="00723675"/>
    <w:p w:rsidR="00DF759B" w:rsidRDefault="00DF759B" w:rsidP="00DF759B">
      <w:pPr>
        <w:pStyle w:val="ListParagraph"/>
        <w:numPr>
          <w:ilvl w:val="0"/>
          <w:numId w:val="2"/>
        </w:numPr>
        <w:rPr>
          <w:rFonts w:ascii="Arial" w:hAnsi="Arial" w:cs="Arial"/>
          <w:sz w:val="24"/>
          <w:szCs w:val="24"/>
        </w:rPr>
      </w:pPr>
      <w:r>
        <w:rPr>
          <w:rFonts w:ascii="Arial" w:hAnsi="Arial" w:cs="Arial"/>
          <w:sz w:val="24"/>
          <w:szCs w:val="24"/>
        </w:rPr>
        <w:t>Ref: Application, page 7</w:t>
      </w:r>
    </w:p>
    <w:p w:rsidR="00DF759B" w:rsidRDefault="00DF759B" w:rsidP="00DF759B">
      <w:pPr>
        <w:rPr>
          <w:rFonts w:ascii="Arial" w:hAnsi="Arial" w:cs="Arial"/>
          <w:sz w:val="24"/>
          <w:szCs w:val="24"/>
        </w:rPr>
      </w:pPr>
      <w:r>
        <w:rPr>
          <w:rFonts w:ascii="Arial" w:hAnsi="Arial" w:cs="Arial"/>
          <w:sz w:val="24"/>
          <w:szCs w:val="24"/>
        </w:rPr>
        <w:t>OEB staff notes that Waterloo North’s 2017 Group 1 DVAs were disposed on an interim basis in its 2019 IRM decision and order</w:t>
      </w:r>
      <w:r w:rsidR="00DE235D">
        <w:rPr>
          <w:rFonts w:ascii="Arial" w:hAnsi="Arial" w:cs="Arial"/>
          <w:sz w:val="24"/>
          <w:szCs w:val="24"/>
        </w:rPr>
        <w:t xml:space="preserve"> EB-2018-0074</w:t>
      </w:r>
      <w:r>
        <w:rPr>
          <w:rFonts w:ascii="Arial" w:hAnsi="Arial" w:cs="Arial"/>
          <w:sz w:val="24"/>
          <w:szCs w:val="24"/>
        </w:rPr>
        <w:t xml:space="preserve">. </w:t>
      </w:r>
    </w:p>
    <w:p w:rsidR="00DF759B" w:rsidRDefault="00DF759B" w:rsidP="00DF759B">
      <w:pPr>
        <w:rPr>
          <w:rFonts w:ascii="Arial" w:hAnsi="Arial" w:cs="Arial"/>
          <w:sz w:val="24"/>
          <w:szCs w:val="24"/>
        </w:rPr>
      </w:pPr>
      <w:r>
        <w:rPr>
          <w:rFonts w:ascii="Arial" w:hAnsi="Arial" w:cs="Arial"/>
          <w:sz w:val="24"/>
          <w:szCs w:val="24"/>
        </w:rPr>
        <w:t>On page 7 of the application, Waterloo North stated that</w:t>
      </w:r>
    </w:p>
    <w:p w:rsidR="00DF759B" w:rsidRDefault="00DF759B" w:rsidP="00DF759B">
      <w:pPr>
        <w:autoSpaceDE w:val="0"/>
        <w:autoSpaceDN w:val="0"/>
        <w:adjustRightInd w:val="0"/>
        <w:spacing w:after="0" w:line="240" w:lineRule="auto"/>
        <w:rPr>
          <w:rFonts w:ascii="Arial" w:hAnsi="Arial" w:cs="Arial"/>
          <w:sz w:val="24"/>
          <w:szCs w:val="24"/>
        </w:rPr>
      </w:pPr>
      <w:r>
        <w:rPr>
          <w:rFonts w:ascii="Arial" w:hAnsi="Arial" w:cs="Arial"/>
          <w:sz w:val="24"/>
          <w:szCs w:val="24"/>
        </w:rPr>
        <w:tab/>
        <w:t>WNH is proposing a one-year disposition period in the repayment of its Group 1</w:t>
      </w:r>
    </w:p>
    <w:p w:rsidR="00DF759B" w:rsidRDefault="00DF759B" w:rsidP="00DF759B">
      <w:pPr>
        <w:autoSpaceDE w:val="0"/>
        <w:autoSpaceDN w:val="0"/>
        <w:adjustRightInd w:val="0"/>
        <w:spacing w:after="0" w:line="240" w:lineRule="auto"/>
        <w:rPr>
          <w:rFonts w:ascii="Arial" w:hAnsi="Arial" w:cs="Arial"/>
          <w:sz w:val="24"/>
          <w:szCs w:val="24"/>
        </w:rPr>
      </w:pPr>
      <w:r>
        <w:rPr>
          <w:rFonts w:ascii="Arial" w:hAnsi="Arial" w:cs="Arial"/>
          <w:sz w:val="24"/>
          <w:szCs w:val="24"/>
        </w:rPr>
        <w:tab/>
        <w:t>Deferral and Variance Account Balances at December 31, 2018. This disposition</w:t>
      </w:r>
    </w:p>
    <w:p w:rsidR="00DF759B" w:rsidRDefault="00DF759B" w:rsidP="00DF759B">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period is in accordance with the Board’s EDDVAR Report default disposition </w:t>
      </w:r>
      <w:r>
        <w:rPr>
          <w:rFonts w:ascii="Arial" w:hAnsi="Arial" w:cs="Arial"/>
          <w:sz w:val="24"/>
          <w:szCs w:val="24"/>
        </w:rPr>
        <w:tab/>
        <w:t>period of one year for deferral and variance accounts.</w:t>
      </w:r>
    </w:p>
    <w:p w:rsidR="00DF759B" w:rsidRDefault="00DF759B" w:rsidP="00DF759B">
      <w:pPr>
        <w:autoSpaceDE w:val="0"/>
        <w:autoSpaceDN w:val="0"/>
        <w:adjustRightInd w:val="0"/>
        <w:spacing w:after="0" w:line="240" w:lineRule="auto"/>
        <w:rPr>
          <w:rFonts w:ascii="Arial" w:hAnsi="Arial" w:cs="Arial"/>
          <w:sz w:val="24"/>
          <w:szCs w:val="24"/>
        </w:rPr>
      </w:pPr>
    </w:p>
    <w:p w:rsidR="00752EED" w:rsidRDefault="00752EED" w:rsidP="00DF759B">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OEB staff notes that Waterloo North made additional true-up adjustment of $794,379 on the 2017 interim disposed balance of Account 1588. </w:t>
      </w:r>
    </w:p>
    <w:p w:rsidR="00752EED" w:rsidRDefault="00752EED" w:rsidP="00DF759B">
      <w:pPr>
        <w:autoSpaceDE w:val="0"/>
        <w:autoSpaceDN w:val="0"/>
        <w:adjustRightInd w:val="0"/>
        <w:spacing w:after="0" w:line="240" w:lineRule="auto"/>
        <w:rPr>
          <w:rFonts w:ascii="Arial" w:hAnsi="Arial" w:cs="Arial"/>
          <w:sz w:val="24"/>
          <w:szCs w:val="24"/>
        </w:rPr>
      </w:pPr>
    </w:p>
    <w:p w:rsidR="00DF759B" w:rsidRDefault="00752EED" w:rsidP="00752EED">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that Waterloo North is requesting the final disposition of 2017 and 2018 DVA balances in this application. </w:t>
      </w:r>
    </w:p>
    <w:p w:rsidR="00F708E2" w:rsidRDefault="00F708E2" w:rsidP="00F708E2">
      <w:pPr>
        <w:pStyle w:val="ListParagraph"/>
        <w:autoSpaceDE w:val="0"/>
        <w:autoSpaceDN w:val="0"/>
        <w:adjustRightInd w:val="0"/>
        <w:spacing w:after="0" w:line="240" w:lineRule="auto"/>
        <w:rPr>
          <w:rFonts w:ascii="Arial" w:hAnsi="Arial" w:cs="Arial"/>
          <w:sz w:val="24"/>
          <w:szCs w:val="24"/>
        </w:rPr>
      </w:pPr>
    </w:p>
    <w:p w:rsidR="00F708E2" w:rsidRPr="00F708E2" w:rsidRDefault="00F708E2" w:rsidP="00F708E2">
      <w:pPr>
        <w:pStyle w:val="ListParagraph"/>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 xml:space="preserve">Yes, WNH is requesting that these balances be finalized. </w:t>
      </w:r>
    </w:p>
    <w:p w:rsidR="00F708E2" w:rsidRDefault="00F708E2" w:rsidP="00F708E2">
      <w:pPr>
        <w:pStyle w:val="ListParagraph"/>
        <w:autoSpaceDE w:val="0"/>
        <w:autoSpaceDN w:val="0"/>
        <w:adjustRightInd w:val="0"/>
        <w:spacing w:after="0" w:line="240" w:lineRule="auto"/>
        <w:rPr>
          <w:rFonts w:ascii="Arial" w:hAnsi="Arial" w:cs="Arial"/>
          <w:sz w:val="24"/>
          <w:szCs w:val="24"/>
        </w:rPr>
      </w:pPr>
    </w:p>
    <w:p w:rsidR="00752EED" w:rsidRDefault="00752EED" w:rsidP="00752EED">
      <w:pPr>
        <w:pStyle w:val="ListParagraph"/>
        <w:numPr>
          <w:ilvl w:val="0"/>
          <w:numId w:val="3"/>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clarify that Waterloo North is requesting the additional true-up adjustment for 2017 to be included in 2018 balance of Account 1588 for the disposition. </w:t>
      </w:r>
    </w:p>
    <w:p w:rsidR="00752EED" w:rsidRDefault="00752EED" w:rsidP="00752EED">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If so, pl</w:t>
      </w:r>
      <w:r w:rsidR="00DE235D">
        <w:rPr>
          <w:rFonts w:ascii="Arial" w:hAnsi="Arial" w:cs="Arial"/>
          <w:sz w:val="24"/>
          <w:szCs w:val="24"/>
        </w:rPr>
        <w:t xml:space="preserve">ease quantify the rate impact if </w:t>
      </w:r>
      <w:r>
        <w:rPr>
          <w:rFonts w:ascii="Arial" w:hAnsi="Arial" w:cs="Arial"/>
          <w:sz w:val="24"/>
          <w:szCs w:val="24"/>
        </w:rPr>
        <w:t xml:space="preserve">the 2017 additional true-up adjustment were disposed based on the last year’s </w:t>
      </w:r>
      <w:r w:rsidR="00DE235D">
        <w:rPr>
          <w:rFonts w:ascii="Arial" w:hAnsi="Arial" w:cs="Arial"/>
          <w:sz w:val="24"/>
          <w:szCs w:val="24"/>
        </w:rPr>
        <w:t xml:space="preserve">billing determinants. </w:t>
      </w:r>
    </w:p>
    <w:p w:rsidR="00DE235D" w:rsidRDefault="006A5EE2" w:rsidP="00DE235D">
      <w:pPr>
        <w:autoSpaceDE w:val="0"/>
        <w:autoSpaceDN w:val="0"/>
        <w:adjustRightInd w:val="0"/>
        <w:spacing w:after="0" w:line="240" w:lineRule="auto"/>
        <w:rPr>
          <w:rFonts w:ascii="Arial" w:hAnsi="Arial" w:cs="Arial"/>
          <w:sz w:val="24"/>
          <w:szCs w:val="24"/>
        </w:rPr>
      </w:pPr>
      <w:r w:rsidRPr="006A5EE2">
        <w:rPr>
          <w:noProof/>
          <w:lang w:val="en-CA" w:eastAsia="en-CA"/>
        </w:rPr>
        <w:drawing>
          <wp:anchor distT="0" distB="0" distL="114300" distR="114300" simplePos="0" relativeHeight="251658240" behindDoc="0" locked="0" layoutInCell="1" allowOverlap="1">
            <wp:simplePos x="0" y="0"/>
            <wp:positionH relativeFrom="margin">
              <wp:align>center</wp:align>
            </wp:positionH>
            <wp:positionV relativeFrom="paragraph">
              <wp:posOffset>176530</wp:posOffset>
            </wp:positionV>
            <wp:extent cx="6949440" cy="208597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4944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235D" w:rsidRPr="00DE235D" w:rsidRDefault="00DE235D" w:rsidP="00DE235D">
      <w:pPr>
        <w:autoSpaceDE w:val="0"/>
        <w:autoSpaceDN w:val="0"/>
        <w:adjustRightInd w:val="0"/>
        <w:spacing w:after="0" w:line="240" w:lineRule="auto"/>
        <w:rPr>
          <w:rFonts w:ascii="Arial" w:hAnsi="Arial" w:cs="Arial"/>
          <w:sz w:val="24"/>
          <w:szCs w:val="24"/>
        </w:rPr>
      </w:pPr>
    </w:p>
    <w:p w:rsidR="00F3763E" w:rsidRDefault="00F3763E" w:rsidP="00F3763E">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Ref: Application, page 8</w:t>
      </w:r>
    </w:p>
    <w:p w:rsidR="00F3763E" w:rsidRDefault="00F3763E" w:rsidP="00F3763E">
      <w:pPr>
        <w:autoSpaceDE w:val="0"/>
        <w:autoSpaceDN w:val="0"/>
        <w:adjustRightInd w:val="0"/>
        <w:spacing w:after="0" w:line="240" w:lineRule="auto"/>
        <w:rPr>
          <w:rFonts w:ascii="Arial" w:hAnsi="Arial" w:cs="Arial"/>
          <w:sz w:val="24"/>
          <w:szCs w:val="24"/>
        </w:rPr>
      </w:pPr>
    </w:p>
    <w:p w:rsidR="00F3763E" w:rsidRDefault="00F3763E" w:rsidP="00F3763E">
      <w:pPr>
        <w:autoSpaceDE w:val="0"/>
        <w:autoSpaceDN w:val="0"/>
        <w:adjustRightInd w:val="0"/>
        <w:spacing w:after="0" w:line="240" w:lineRule="auto"/>
        <w:rPr>
          <w:rFonts w:ascii="Arial" w:hAnsi="Arial" w:cs="Arial"/>
          <w:sz w:val="24"/>
          <w:szCs w:val="24"/>
        </w:rPr>
      </w:pPr>
      <w:r>
        <w:rPr>
          <w:rFonts w:ascii="Arial" w:hAnsi="Arial" w:cs="Arial"/>
          <w:sz w:val="24"/>
          <w:szCs w:val="24"/>
        </w:rPr>
        <w:t>In Waterloo North’s 2019 IRM decision and order, the OEB stated that</w:t>
      </w:r>
    </w:p>
    <w:p w:rsidR="00F3763E" w:rsidRPr="00F3763E" w:rsidRDefault="00F3763E" w:rsidP="00F3763E">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p>
    <w:p w:rsidR="00752EED" w:rsidRDefault="00F3763E" w:rsidP="00F3763E">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the OEB finds that Waterloo North Hydro’s credit balance of $1,105,779 of </w:t>
      </w:r>
      <w:r>
        <w:rPr>
          <w:rFonts w:ascii="Arial" w:hAnsi="Arial" w:cs="Arial"/>
          <w:sz w:val="24"/>
          <w:szCs w:val="24"/>
        </w:rPr>
        <w:tab/>
        <w:t xml:space="preserve">account 1588 RSVA power is somewhat high for a distributor of its size. The </w:t>
      </w:r>
      <w:r>
        <w:rPr>
          <w:rFonts w:ascii="Arial" w:hAnsi="Arial" w:cs="Arial"/>
          <w:sz w:val="24"/>
          <w:szCs w:val="24"/>
        </w:rPr>
        <w:tab/>
        <w:t xml:space="preserve">OEB expects Waterloo North Hydro to perform an internal review to determine </w:t>
      </w:r>
      <w:r>
        <w:rPr>
          <w:rFonts w:ascii="Arial" w:hAnsi="Arial" w:cs="Arial"/>
          <w:sz w:val="24"/>
          <w:szCs w:val="24"/>
        </w:rPr>
        <w:tab/>
        <w:t xml:space="preserve">the operational reasons for this balance and report its findings back to the OEB </w:t>
      </w:r>
      <w:r>
        <w:rPr>
          <w:rFonts w:ascii="Arial" w:hAnsi="Arial" w:cs="Arial"/>
          <w:sz w:val="24"/>
          <w:szCs w:val="24"/>
        </w:rPr>
        <w:tab/>
        <w:t>with its next rate application.</w:t>
      </w:r>
    </w:p>
    <w:p w:rsidR="00F3763E" w:rsidRDefault="00F3763E" w:rsidP="00F3763E">
      <w:pPr>
        <w:autoSpaceDE w:val="0"/>
        <w:autoSpaceDN w:val="0"/>
        <w:adjustRightInd w:val="0"/>
        <w:spacing w:after="0" w:line="240" w:lineRule="auto"/>
        <w:rPr>
          <w:rFonts w:ascii="Arial" w:hAnsi="Arial" w:cs="Arial"/>
          <w:sz w:val="24"/>
          <w:szCs w:val="24"/>
        </w:rPr>
      </w:pPr>
    </w:p>
    <w:p w:rsidR="00F3763E" w:rsidRDefault="00F3763E" w:rsidP="00F3763E">
      <w:pPr>
        <w:autoSpaceDE w:val="0"/>
        <w:autoSpaceDN w:val="0"/>
        <w:adjustRightInd w:val="0"/>
        <w:spacing w:after="0" w:line="240" w:lineRule="auto"/>
        <w:rPr>
          <w:rFonts w:ascii="Arial" w:hAnsi="Arial" w:cs="Arial"/>
          <w:sz w:val="24"/>
          <w:szCs w:val="24"/>
        </w:rPr>
      </w:pPr>
      <w:r>
        <w:rPr>
          <w:rFonts w:ascii="Arial" w:hAnsi="Arial" w:cs="Arial"/>
          <w:sz w:val="24"/>
          <w:szCs w:val="24"/>
        </w:rPr>
        <w:t>On page 8 of the application, Waterloo North stated that</w:t>
      </w:r>
    </w:p>
    <w:p w:rsidR="00F3763E" w:rsidRDefault="00F3763E" w:rsidP="00F3763E">
      <w:pPr>
        <w:autoSpaceDE w:val="0"/>
        <w:autoSpaceDN w:val="0"/>
        <w:adjustRightInd w:val="0"/>
        <w:spacing w:after="0" w:line="240" w:lineRule="auto"/>
        <w:rPr>
          <w:rFonts w:ascii="Arial" w:hAnsi="Arial" w:cs="Arial"/>
          <w:sz w:val="24"/>
          <w:szCs w:val="24"/>
        </w:rPr>
      </w:pPr>
      <w:r>
        <w:rPr>
          <w:rFonts w:ascii="Arial" w:hAnsi="Arial" w:cs="Arial"/>
          <w:sz w:val="24"/>
          <w:szCs w:val="24"/>
        </w:rPr>
        <w:tab/>
        <w:t>WNH completed a review of this account in 2019. Due to the current process for</w:t>
      </w:r>
    </w:p>
    <w:p w:rsidR="00F3763E" w:rsidRDefault="00F3763E" w:rsidP="00F3763E">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settlement it was determined that there is a price variance that had not been </w:t>
      </w:r>
      <w:r>
        <w:rPr>
          <w:rFonts w:ascii="Arial" w:hAnsi="Arial" w:cs="Arial"/>
          <w:sz w:val="24"/>
          <w:szCs w:val="24"/>
        </w:rPr>
        <w:tab/>
        <w:t>trued</w:t>
      </w:r>
      <w:r w:rsidR="00FB7EED">
        <w:rPr>
          <w:rFonts w:ascii="Arial" w:hAnsi="Arial" w:cs="Arial"/>
          <w:sz w:val="24"/>
          <w:szCs w:val="24"/>
        </w:rPr>
        <w:t xml:space="preserve"> </w:t>
      </w:r>
      <w:r>
        <w:rPr>
          <w:rFonts w:ascii="Arial" w:hAnsi="Arial" w:cs="Arial"/>
          <w:sz w:val="24"/>
          <w:szCs w:val="24"/>
        </w:rPr>
        <w:t xml:space="preserve">up with the IESO in 2017 and 2018. This will be resolved for 2019 and </w:t>
      </w:r>
      <w:r>
        <w:rPr>
          <w:rFonts w:ascii="Arial" w:hAnsi="Arial" w:cs="Arial"/>
          <w:sz w:val="24"/>
          <w:szCs w:val="24"/>
        </w:rPr>
        <w:tab/>
        <w:t xml:space="preserve">future years due to the transition to the new 1588/1589 account rules set out by </w:t>
      </w:r>
      <w:r>
        <w:rPr>
          <w:rFonts w:ascii="Arial" w:hAnsi="Arial" w:cs="Arial"/>
          <w:sz w:val="24"/>
          <w:szCs w:val="24"/>
        </w:rPr>
        <w:tab/>
        <w:t>the OEB.</w:t>
      </w:r>
    </w:p>
    <w:p w:rsidR="00F3763E" w:rsidRDefault="00F3763E" w:rsidP="00F3763E">
      <w:pPr>
        <w:autoSpaceDE w:val="0"/>
        <w:autoSpaceDN w:val="0"/>
        <w:adjustRightInd w:val="0"/>
        <w:spacing w:after="0" w:line="240" w:lineRule="auto"/>
        <w:rPr>
          <w:rFonts w:ascii="Arial" w:hAnsi="Arial" w:cs="Arial"/>
          <w:sz w:val="24"/>
          <w:szCs w:val="24"/>
        </w:rPr>
      </w:pPr>
    </w:p>
    <w:p w:rsidR="00F3763E" w:rsidRDefault="00F3763E" w:rsidP="00F3763E">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w:t>
      </w:r>
      <w:r w:rsidR="00FB7EED">
        <w:rPr>
          <w:rFonts w:ascii="Arial" w:hAnsi="Arial" w:cs="Arial"/>
          <w:sz w:val="24"/>
          <w:szCs w:val="24"/>
        </w:rPr>
        <w:t xml:space="preserve">confirm that Waterloo North has not completed the review based on the new accounting guidance for Accounts 1588 and 1589 that was issued in February 2019. </w:t>
      </w:r>
    </w:p>
    <w:p w:rsidR="00CC3C12" w:rsidRDefault="00CC3C12" w:rsidP="00CC3C12">
      <w:pPr>
        <w:autoSpaceDE w:val="0"/>
        <w:autoSpaceDN w:val="0"/>
        <w:adjustRightInd w:val="0"/>
        <w:spacing w:after="0" w:line="240" w:lineRule="auto"/>
        <w:rPr>
          <w:rFonts w:ascii="Arial" w:hAnsi="Arial" w:cs="Arial"/>
          <w:sz w:val="24"/>
          <w:szCs w:val="24"/>
        </w:rPr>
      </w:pPr>
    </w:p>
    <w:p w:rsidR="00CC3C12" w:rsidRPr="00CC3C12" w:rsidRDefault="00CC3C12" w:rsidP="00CC3C12">
      <w:pPr>
        <w:autoSpaceDE w:val="0"/>
        <w:autoSpaceDN w:val="0"/>
        <w:adjustRightInd w:val="0"/>
        <w:spacing w:after="0" w:line="240" w:lineRule="auto"/>
        <w:ind w:left="720"/>
        <w:rPr>
          <w:rFonts w:ascii="Arial" w:hAnsi="Arial" w:cs="Arial"/>
          <w:color w:val="0070C0"/>
          <w:sz w:val="24"/>
          <w:szCs w:val="24"/>
        </w:rPr>
      </w:pPr>
      <w:r>
        <w:rPr>
          <w:rFonts w:ascii="Arial" w:hAnsi="Arial" w:cs="Arial"/>
          <w:color w:val="0070C0"/>
          <w:sz w:val="24"/>
          <w:szCs w:val="24"/>
        </w:rPr>
        <w:t xml:space="preserve">The adjustments calculated for 2017 and 2018 are based on the new accounting guidance for Accounts 1588 and 1589 that was issued in February 2019 but after the fact. WNH compared the original methodology to the new methodology to determine the adjustments. </w:t>
      </w:r>
      <w:r w:rsidR="00817BD7">
        <w:rPr>
          <w:rFonts w:ascii="Arial" w:hAnsi="Arial" w:cs="Arial"/>
          <w:color w:val="0070C0"/>
          <w:sz w:val="24"/>
          <w:szCs w:val="24"/>
        </w:rPr>
        <w:t xml:space="preserve">WNH has begun using the new methodology in real time for September 2019 settlement. </w:t>
      </w:r>
    </w:p>
    <w:p w:rsidR="00CC3C12" w:rsidRPr="00CC3C12" w:rsidRDefault="00CC3C12" w:rsidP="00CC3C12">
      <w:pPr>
        <w:autoSpaceDE w:val="0"/>
        <w:autoSpaceDN w:val="0"/>
        <w:adjustRightInd w:val="0"/>
        <w:spacing w:after="0" w:line="240" w:lineRule="auto"/>
        <w:rPr>
          <w:rFonts w:ascii="Arial" w:hAnsi="Arial" w:cs="Arial"/>
          <w:sz w:val="24"/>
          <w:szCs w:val="24"/>
        </w:rPr>
      </w:pPr>
    </w:p>
    <w:p w:rsidR="00FB7EED" w:rsidRDefault="00FB7EED" w:rsidP="00F3763E">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the details of the “price variance that had not been trued up with the IESO in 2017 and 2018” and the reasons why the price variance has not been trued up with the IESO. </w:t>
      </w:r>
    </w:p>
    <w:p w:rsidR="00817BD7" w:rsidRDefault="00817BD7" w:rsidP="00817BD7">
      <w:pPr>
        <w:pStyle w:val="ListParagraph"/>
        <w:autoSpaceDE w:val="0"/>
        <w:autoSpaceDN w:val="0"/>
        <w:adjustRightInd w:val="0"/>
        <w:spacing w:after="0" w:line="240" w:lineRule="auto"/>
        <w:rPr>
          <w:rFonts w:ascii="Arial" w:hAnsi="Arial" w:cs="Arial"/>
          <w:sz w:val="24"/>
          <w:szCs w:val="24"/>
        </w:rPr>
      </w:pPr>
    </w:p>
    <w:p w:rsidR="00817BD7" w:rsidRPr="001D540B" w:rsidRDefault="001D540B" w:rsidP="00817BD7">
      <w:pPr>
        <w:pStyle w:val="ListParagraph"/>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This comment relates to the adjustments discussed in this application of $794,379 for 2017 and $(298,392) for 2018.WNH plans to make these adjustments with the IESO upon approval of this IRM application.</w:t>
      </w:r>
    </w:p>
    <w:p w:rsidR="00817BD7" w:rsidRDefault="00817BD7" w:rsidP="00817BD7">
      <w:pPr>
        <w:pStyle w:val="ListParagraph"/>
        <w:autoSpaceDE w:val="0"/>
        <w:autoSpaceDN w:val="0"/>
        <w:adjustRightInd w:val="0"/>
        <w:spacing w:after="0" w:line="240" w:lineRule="auto"/>
        <w:rPr>
          <w:rFonts w:ascii="Arial" w:hAnsi="Arial" w:cs="Arial"/>
          <w:sz w:val="24"/>
          <w:szCs w:val="24"/>
        </w:rPr>
      </w:pPr>
    </w:p>
    <w:p w:rsidR="00FB7EED" w:rsidRDefault="00FB7EED" w:rsidP="00F3763E">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the timing when a complete review with respect to the new accounting guidance for accounts 1588 and 1589. </w:t>
      </w:r>
    </w:p>
    <w:p w:rsidR="00817BD7" w:rsidRDefault="00817BD7" w:rsidP="00817BD7">
      <w:pPr>
        <w:autoSpaceDE w:val="0"/>
        <w:autoSpaceDN w:val="0"/>
        <w:adjustRightInd w:val="0"/>
        <w:spacing w:after="0" w:line="240" w:lineRule="auto"/>
        <w:rPr>
          <w:rFonts w:ascii="Arial" w:hAnsi="Arial" w:cs="Arial"/>
          <w:sz w:val="24"/>
          <w:szCs w:val="24"/>
        </w:rPr>
      </w:pPr>
    </w:p>
    <w:p w:rsidR="00817BD7" w:rsidRPr="00817BD7" w:rsidRDefault="00817BD7" w:rsidP="00817BD7">
      <w:pPr>
        <w:autoSpaceDE w:val="0"/>
        <w:autoSpaceDN w:val="0"/>
        <w:adjustRightInd w:val="0"/>
        <w:spacing w:after="0" w:line="240" w:lineRule="auto"/>
        <w:ind w:left="720"/>
        <w:rPr>
          <w:rFonts w:ascii="Arial" w:hAnsi="Arial" w:cs="Arial"/>
          <w:color w:val="0070C0"/>
          <w:sz w:val="24"/>
          <w:szCs w:val="24"/>
        </w:rPr>
      </w:pPr>
      <w:r>
        <w:rPr>
          <w:rFonts w:ascii="Arial" w:hAnsi="Arial" w:cs="Arial"/>
          <w:color w:val="0070C0"/>
          <w:sz w:val="24"/>
          <w:szCs w:val="24"/>
        </w:rPr>
        <w:t xml:space="preserve">As noted above, the new accounting guidance for accounts 1588 and 1589 have begun to be implemented starting with September 2019 settlement. January to August 2019 will be trued-up for yearend. </w:t>
      </w:r>
    </w:p>
    <w:p w:rsidR="00FB7EED" w:rsidRDefault="00FB7EED" w:rsidP="00FB7EED">
      <w:pPr>
        <w:autoSpaceDE w:val="0"/>
        <w:autoSpaceDN w:val="0"/>
        <w:adjustRightInd w:val="0"/>
        <w:spacing w:after="0" w:line="240" w:lineRule="auto"/>
        <w:rPr>
          <w:rFonts w:ascii="Arial" w:hAnsi="Arial" w:cs="Arial"/>
          <w:sz w:val="24"/>
          <w:szCs w:val="24"/>
        </w:rPr>
      </w:pPr>
    </w:p>
    <w:p w:rsidR="00FB7EED" w:rsidRDefault="00FB7EED" w:rsidP="00FB7EED">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Ref: GA Analysis Workform</w:t>
      </w:r>
    </w:p>
    <w:p w:rsidR="00FB7EED" w:rsidRPr="00C2271D" w:rsidRDefault="00FB7EED" w:rsidP="00FB7EED">
      <w:pPr>
        <w:autoSpaceDE w:val="0"/>
        <w:autoSpaceDN w:val="0"/>
        <w:adjustRightInd w:val="0"/>
        <w:spacing w:after="0" w:line="240" w:lineRule="auto"/>
        <w:rPr>
          <w:rFonts w:ascii="Arial" w:hAnsi="Arial" w:cs="Arial"/>
          <w:sz w:val="24"/>
          <w:szCs w:val="24"/>
        </w:rPr>
      </w:pPr>
    </w:p>
    <w:p w:rsidR="00C2271D" w:rsidRPr="00C2271D" w:rsidRDefault="00C2271D" w:rsidP="00C2271D">
      <w:pPr>
        <w:rPr>
          <w:rFonts w:ascii="Arial" w:hAnsi="Arial" w:cs="Arial"/>
          <w:sz w:val="24"/>
          <w:szCs w:val="24"/>
        </w:rPr>
      </w:pPr>
      <w:r w:rsidRPr="00C2271D">
        <w:rPr>
          <w:rFonts w:ascii="Arial" w:hAnsi="Arial" w:cs="Arial"/>
          <w:sz w:val="24"/>
          <w:szCs w:val="24"/>
        </w:rPr>
        <w:t>Distributors must complete the GA Analysis Workform for each applicable fiscal year subsequent to the most recent year in which Accounts 1588 and 1589 were approved for disposition on a final basis by the OEB.</w:t>
      </w:r>
    </w:p>
    <w:p w:rsidR="00C2271D" w:rsidRPr="00C2271D" w:rsidRDefault="00C2271D" w:rsidP="00C2271D">
      <w:pPr>
        <w:rPr>
          <w:rFonts w:ascii="Arial" w:hAnsi="Arial" w:cs="Arial"/>
          <w:sz w:val="24"/>
          <w:szCs w:val="24"/>
        </w:rPr>
      </w:pPr>
    </w:p>
    <w:p w:rsidR="00C2271D" w:rsidRDefault="00C2271D" w:rsidP="00C2271D">
      <w:pPr>
        <w:pStyle w:val="ListParagraph"/>
        <w:numPr>
          <w:ilvl w:val="0"/>
          <w:numId w:val="6"/>
        </w:numPr>
        <w:rPr>
          <w:rFonts w:ascii="Arial" w:hAnsi="Arial" w:cs="Arial"/>
          <w:sz w:val="24"/>
          <w:szCs w:val="24"/>
        </w:rPr>
      </w:pPr>
      <w:r w:rsidRPr="00C2271D">
        <w:rPr>
          <w:rFonts w:ascii="Arial" w:hAnsi="Arial" w:cs="Arial"/>
          <w:sz w:val="24"/>
          <w:szCs w:val="24"/>
        </w:rPr>
        <w:lastRenderedPageBreak/>
        <w:t xml:space="preserve">Please file the </w:t>
      </w:r>
      <w:r>
        <w:rPr>
          <w:rFonts w:ascii="Arial" w:hAnsi="Arial" w:cs="Arial"/>
          <w:sz w:val="24"/>
          <w:szCs w:val="24"/>
        </w:rPr>
        <w:t xml:space="preserve">2017 </w:t>
      </w:r>
      <w:r w:rsidRPr="00C2271D">
        <w:rPr>
          <w:rFonts w:ascii="Arial" w:hAnsi="Arial" w:cs="Arial"/>
          <w:sz w:val="24"/>
          <w:szCs w:val="24"/>
        </w:rPr>
        <w:t>GA Workform(s) accordingly, using the template titled “GA Analysis Workform” on the OEB’s 2020 EDR webpage.</w:t>
      </w:r>
      <w:r w:rsidRPr="00C2271D">
        <w:rPr>
          <w:rStyle w:val="FootnoteReference"/>
          <w:rFonts w:ascii="Arial" w:hAnsi="Arial" w:cs="Arial"/>
          <w:sz w:val="24"/>
          <w:szCs w:val="24"/>
        </w:rPr>
        <w:footnoteReference w:id="1"/>
      </w:r>
    </w:p>
    <w:p w:rsidR="00FF33D7" w:rsidRDefault="00FF33D7" w:rsidP="00FF33D7">
      <w:pPr>
        <w:pStyle w:val="ListParagraph"/>
        <w:rPr>
          <w:rFonts w:ascii="Arial" w:hAnsi="Arial" w:cs="Arial"/>
          <w:sz w:val="24"/>
          <w:szCs w:val="24"/>
        </w:rPr>
      </w:pPr>
    </w:p>
    <w:p w:rsidR="00FF33D7" w:rsidRPr="00FF33D7" w:rsidRDefault="00FF33D7" w:rsidP="00FF33D7">
      <w:pPr>
        <w:pStyle w:val="ListParagraph"/>
        <w:rPr>
          <w:rFonts w:ascii="Arial" w:hAnsi="Arial" w:cs="Arial"/>
          <w:color w:val="0070C0"/>
          <w:sz w:val="24"/>
          <w:szCs w:val="24"/>
        </w:rPr>
      </w:pPr>
      <w:r>
        <w:rPr>
          <w:rFonts w:ascii="Arial" w:hAnsi="Arial" w:cs="Arial"/>
          <w:color w:val="0070C0"/>
          <w:sz w:val="24"/>
          <w:szCs w:val="24"/>
        </w:rPr>
        <w:t xml:space="preserve">See attached. </w:t>
      </w:r>
    </w:p>
    <w:p w:rsidR="00C2271D" w:rsidRPr="00C2271D" w:rsidRDefault="00C2271D" w:rsidP="00C2271D">
      <w:pPr>
        <w:pStyle w:val="ListParagraph"/>
        <w:rPr>
          <w:rFonts w:ascii="Arial" w:hAnsi="Arial" w:cs="Arial"/>
          <w:sz w:val="24"/>
          <w:szCs w:val="24"/>
        </w:rPr>
      </w:pPr>
    </w:p>
    <w:p w:rsidR="00C2271D" w:rsidRDefault="00C2271D" w:rsidP="00C2271D">
      <w:pPr>
        <w:pStyle w:val="ListParagraph"/>
        <w:numPr>
          <w:ilvl w:val="0"/>
          <w:numId w:val="6"/>
        </w:numPr>
        <w:rPr>
          <w:rFonts w:ascii="Arial" w:hAnsi="Arial" w:cs="Arial"/>
          <w:sz w:val="24"/>
          <w:szCs w:val="24"/>
        </w:rPr>
      </w:pPr>
      <w:r w:rsidRPr="00C2271D">
        <w:rPr>
          <w:rFonts w:ascii="Arial" w:hAnsi="Arial" w:cs="Arial"/>
          <w:sz w:val="24"/>
          <w:szCs w:val="24"/>
        </w:rPr>
        <w:t xml:space="preserve">Please quantify and explain whether the </w:t>
      </w:r>
      <w:r>
        <w:rPr>
          <w:rFonts w:ascii="Arial" w:hAnsi="Arial" w:cs="Arial"/>
          <w:sz w:val="24"/>
          <w:szCs w:val="24"/>
        </w:rPr>
        <w:t xml:space="preserve">2017 </w:t>
      </w:r>
      <w:r w:rsidRPr="00C2271D">
        <w:rPr>
          <w:rFonts w:ascii="Arial" w:hAnsi="Arial" w:cs="Arial"/>
          <w:sz w:val="24"/>
          <w:szCs w:val="24"/>
        </w:rPr>
        <w:t>GA Workform(s) filed in this proc</w:t>
      </w:r>
      <w:r>
        <w:rPr>
          <w:rFonts w:ascii="Arial" w:hAnsi="Arial" w:cs="Arial"/>
          <w:sz w:val="24"/>
          <w:szCs w:val="24"/>
        </w:rPr>
        <w:t xml:space="preserve">eeding are different than the one filed in 2019 IRM proceeding. </w:t>
      </w:r>
    </w:p>
    <w:p w:rsidR="00FF33D7" w:rsidRPr="005B2DFC" w:rsidRDefault="005B2DFC" w:rsidP="00FF33D7">
      <w:pPr>
        <w:ind w:left="720"/>
        <w:rPr>
          <w:rFonts w:ascii="Arial" w:hAnsi="Arial" w:cs="Arial"/>
          <w:color w:val="0070C0"/>
          <w:sz w:val="24"/>
          <w:szCs w:val="24"/>
        </w:rPr>
      </w:pPr>
      <w:r w:rsidRPr="005B2DFC">
        <w:rPr>
          <w:rFonts w:ascii="Arial" w:hAnsi="Arial" w:cs="Arial"/>
          <w:color w:val="0070C0"/>
          <w:sz w:val="24"/>
          <w:szCs w:val="24"/>
        </w:rPr>
        <w:t xml:space="preserve">There are no differences between the 2017 GA Workform filed in this proceeding from the 2019 IRM proceeding. </w:t>
      </w:r>
    </w:p>
    <w:p w:rsidR="00FB7EED" w:rsidRPr="00C2271D" w:rsidRDefault="00FB7EED" w:rsidP="00FB7EED">
      <w:pPr>
        <w:autoSpaceDE w:val="0"/>
        <w:autoSpaceDN w:val="0"/>
        <w:adjustRightInd w:val="0"/>
        <w:spacing w:after="0" w:line="240" w:lineRule="auto"/>
        <w:rPr>
          <w:rFonts w:ascii="Arial" w:hAnsi="Arial" w:cs="Arial"/>
          <w:sz w:val="24"/>
          <w:szCs w:val="24"/>
        </w:rPr>
      </w:pPr>
    </w:p>
    <w:p w:rsidR="00FB7EED" w:rsidRDefault="00C2271D" w:rsidP="00C2271D">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Ref: IRM rate generator – Tab 3. DVA continuity schedule</w:t>
      </w:r>
    </w:p>
    <w:p w:rsidR="00C2271D" w:rsidRDefault="00C2271D" w:rsidP="00C2271D">
      <w:pPr>
        <w:autoSpaceDE w:val="0"/>
        <w:autoSpaceDN w:val="0"/>
        <w:adjustRightInd w:val="0"/>
        <w:spacing w:after="0" w:line="240" w:lineRule="auto"/>
        <w:rPr>
          <w:rFonts w:ascii="Arial" w:hAnsi="Arial" w:cs="Arial"/>
          <w:sz w:val="24"/>
          <w:szCs w:val="24"/>
        </w:rPr>
      </w:pPr>
    </w:p>
    <w:p w:rsidR="00C2271D" w:rsidRDefault="00C2271D" w:rsidP="00C2271D">
      <w:pPr>
        <w:rPr>
          <w:rFonts w:ascii="Arial" w:hAnsi="Arial" w:cs="Arial"/>
          <w:sz w:val="24"/>
          <w:szCs w:val="24"/>
        </w:rPr>
      </w:pPr>
      <w:r w:rsidRPr="00C2271D">
        <w:rPr>
          <w:rFonts w:ascii="Arial" w:hAnsi="Arial" w:cs="Arial"/>
          <w:sz w:val="24"/>
          <w:szCs w:val="24"/>
        </w:rPr>
        <w:t>Distributors must complete the DVA Continuity Schedule, Tab 3, as part of the IRM Generator Model. The DVA balances need to be updated to reflect the opening January 1 DVA balances in this schedule as the closing December 31 balances approved on a final basis in a prior proceeding, instead of more recent closing December 31 balances.</w:t>
      </w:r>
      <w:r w:rsidRPr="00C2271D">
        <w:rPr>
          <w:rStyle w:val="FootnoteReference"/>
          <w:rFonts w:ascii="Arial" w:hAnsi="Arial" w:cs="Arial"/>
          <w:sz w:val="24"/>
          <w:szCs w:val="24"/>
        </w:rPr>
        <w:footnoteReference w:id="2"/>
      </w:r>
      <w:r w:rsidRPr="00C2271D">
        <w:rPr>
          <w:rFonts w:ascii="Arial" w:hAnsi="Arial" w:cs="Arial"/>
          <w:sz w:val="24"/>
          <w:szCs w:val="24"/>
        </w:rPr>
        <w:t xml:space="preserve"> </w:t>
      </w:r>
    </w:p>
    <w:p w:rsidR="00C2271D" w:rsidRDefault="00C2271D" w:rsidP="00C2271D">
      <w:pPr>
        <w:rPr>
          <w:rFonts w:ascii="Arial" w:hAnsi="Arial" w:cs="Arial"/>
          <w:sz w:val="24"/>
          <w:szCs w:val="24"/>
        </w:rPr>
      </w:pPr>
      <w:r>
        <w:rPr>
          <w:rFonts w:ascii="Arial" w:hAnsi="Arial" w:cs="Arial"/>
          <w:sz w:val="24"/>
          <w:szCs w:val="24"/>
        </w:rPr>
        <w:t xml:space="preserve">OEB staff notes that Waterloo North filed the 2017 ending balance in the Tab 3. DVA continuity schedule as the opening balances while the 2017 DVAs were interim approved for disposition in its 2019 IRM decision and order. </w:t>
      </w:r>
    </w:p>
    <w:p w:rsidR="00C2271D" w:rsidRDefault="00C2271D" w:rsidP="00C2271D">
      <w:pPr>
        <w:pStyle w:val="ListParagraph"/>
        <w:numPr>
          <w:ilvl w:val="0"/>
          <w:numId w:val="10"/>
        </w:numPr>
        <w:rPr>
          <w:rFonts w:ascii="Arial" w:hAnsi="Arial" w:cs="Arial"/>
          <w:sz w:val="24"/>
          <w:szCs w:val="24"/>
        </w:rPr>
      </w:pPr>
      <w:r>
        <w:rPr>
          <w:rFonts w:ascii="Arial" w:hAnsi="Arial" w:cs="Arial"/>
          <w:sz w:val="24"/>
          <w:szCs w:val="24"/>
        </w:rPr>
        <w:t xml:space="preserve">Please </w:t>
      </w:r>
      <w:r w:rsidRPr="00C2271D">
        <w:rPr>
          <w:rFonts w:ascii="Arial" w:hAnsi="Arial" w:cs="Arial"/>
          <w:sz w:val="24"/>
          <w:szCs w:val="24"/>
        </w:rPr>
        <w:t>refile the DVA Continuity Schedule by populating additional columns in Tab 3.</w:t>
      </w:r>
    </w:p>
    <w:p w:rsidR="00242D04" w:rsidRDefault="00242D04" w:rsidP="00242D04">
      <w:pPr>
        <w:pStyle w:val="ListParagraph"/>
        <w:ind w:left="1080"/>
        <w:rPr>
          <w:rFonts w:ascii="Arial" w:hAnsi="Arial" w:cs="Arial"/>
          <w:color w:val="0070C0"/>
          <w:sz w:val="24"/>
          <w:szCs w:val="24"/>
        </w:rPr>
      </w:pPr>
    </w:p>
    <w:p w:rsidR="00242D04" w:rsidRPr="00FF33D7" w:rsidRDefault="00242D04" w:rsidP="00242D04">
      <w:pPr>
        <w:pStyle w:val="ListParagraph"/>
        <w:ind w:left="1080"/>
        <w:rPr>
          <w:rFonts w:ascii="Arial" w:hAnsi="Arial" w:cs="Arial"/>
          <w:color w:val="0070C0"/>
          <w:sz w:val="24"/>
          <w:szCs w:val="24"/>
        </w:rPr>
      </w:pPr>
      <w:r w:rsidRPr="00473A84">
        <w:rPr>
          <w:rFonts w:ascii="Arial" w:hAnsi="Arial" w:cs="Arial"/>
          <w:color w:val="0070C0"/>
          <w:sz w:val="24"/>
          <w:szCs w:val="24"/>
        </w:rPr>
        <w:t>See attached.</w:t>
      </w:r>
      <w:r>
        <w:rPr>
          <w:rFonts w:ascii="Arial" w:hAnsi="Arial" w:cs="Arial"/>
          <w:color w:val="0070C0"/>
          <w:sz w:val="24"/>
          <w:szCs w:val="24"/>
        </w:rPr>
        <w:t xml:space="preserve"> </w:t>
      </w:r>
      <w:bookmarkStart w:id="0" w:name="_GoBack"/>
      <w:bookmarkEnd w:id="0"/>
    </w:p>
    <w:p w:rsidR="00C2271D" w:rsidRDefault="00C2271D" w:rsidP="00C2271D">
      <w:pPr>
        <w:rPr>
          <w:rFonts w:ascii="Arial" w:hAnsi="Arial" w:cs="Arial"/>
          <w:sz w:val="24"/>
          <w:szCs w:val="24"/>
        </w:rPr>
      </w:pPr>
    </w:p>
    <w:p w:rsidR="00C2271D" w:rsidRPr="00760E6D" w:rsidRDefault="00760E6D" w:rsidP="00760E6D">
      <w:pPr>
        <w:pStyle w:val="ListParagraph"/>
        <w:numPr>
          <w:ilvl w:val="0"/>
          <w:numId w:val="2"/>
        </w:numPr>
        <w:autoSpaceDE w:val="0"/>
        <w:autoSpaceDN w:val="0"/>
        <w:adjustRightInd w:val="0"/>
        <w:spacing w:after="0" w:line="240" w:lineRule="auto"/>
        <w:rPr>
          <w:rFonts w:ascii="Arial" w:hAnsi="Arial" w:cs="Arial"/>
          <w:sz w:val="24"/>
          <w:szCs w:val="24"/>
        </w:rPr>
      </w:pPr>
      <w:r w:rsidRPr="00760E6D">
        <w:rPr>
          <w:rFonts w:ascii="Arial" w:hAnsi="Arial" w:cs="Arial"/>
          <w:sz w:val="24"/>
          <w:szCs w:val="24"/>
        </w:rPr>
        <w:t>Ref: Application, Attachment B, GA Analysis Workform &amp; Appendix A</w:t>
      </w:r>
      <w:r>
        <w:rPr>
          <w:rFonts w:ascii="Arial" w:hAnsi="Arial" w:cs="Arial"/>
          <w:sz w:val="24"/>
          <w:szCs w:val="24"/>
        </w:rPr>
        <w:t xml:space="preserve"> </w:t>
      </w:r>
      <w:r w:rsidRPr="00760E6D">
        <w:rPr>
          <w:rFonts w:ascii="Arial" w:hAnsi="Arial" w:cs="Arial"/>
          <w:sz w:val="24"/>
          <w:szCs w:val="24"/>
        </w:rPr>
        <w:t>Responses</w:t>
      </w:r>
    </w:p>
    <w:p w:rsidR="00C2271D" w:rsidRDefault="00C2271D" w:rsidP="00C2271D">
      <w:pPr>
        <w:autoSpaceDE w:val="0"/>
        <w:autoSpaceDN w:val="0"/>
        <w:adjustRightInd w:val="0"/>
        <w:spacing w:after="0" w:line="240" w:lineRule="auto"/>
        <w:rPr>
          <w:rFonts w:ascii="Arial" w:hAnsi="Arial" w:cs="Arial"/>
          <w:sz w:val="24"/>
          <w:szCs w:val="24"/>
        </w:rPr>
      </w:pPr>
    </w:p>
    <w:p w:rsidR="007D5F5C" w:rsidRDefault="00760E6D" w:rsidP="00C2271D">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Waterloo North provided the table for Account 1588 </w:t>
      </w:r>
      <w:r w:rsidR="007D5F5C">
        <w:rPr>
          <w:rFonts w:ascii="Arial" w:hAnsi="Arial" w:cs="Arial"/>
          <w:sz w:val="24"/>
          <w:szCs w:val="24"/>
        </w:rPr>
        <w:t>reconciliation</w:t>
      </w:r>
      <w:r>
        <w:rPr>
          <w:rFonts w:ascii="Arial" w:hAnsi="Arial" w:cs="Arial"/>
          <w:sz w:val="24"/>
          <w:szCs w:val="24"/>
        </w:rPr>
        <w:t xml:space="preserve"> without</w:t>
      </w:r>
      <w:r w:rsidR="007D5F5C">
        <w:rPr>
          <w:rFonts w:ascii="Arial" w:hAnsi="Arial" w:cs="Arial"/>
          <w:sz w:val="24"/>
          <w:szCs w:val="24"/>
        </w:rPr>
        <w:t xml:space="preserve"> providing the first line item as below:</w:t>
      </w:r>
    </w:p>
    <w:p w:rsidR="007D5F5C" w:rsidRDefault="007D5F5C" w:rsidP="00C2271D">
      <w:pPr>
        <w:autoSpaceDE w:val="0"/>
        <w:autoSpaceDN w:val="0"/>
        <w:adjustRightInd w:val="0"/>
        <w:spacing w:after="0" w:line="240" w:lineRule="auto"/>
        <w:rPr>
          <w:rFonts w:ascii="Arial" w:hAnsi="Arial" w:cs="Arial"/>
          <w:sz w:val="24"/>
          <w:szCs w:val="24"/>
        </w:rPr>
      </w:pPr>
    </w:p>
    <w:p w:rsidR="002D652C" w:rsidRDefault="00760E6D" w:rsidP="007D5F5C">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 </w:t>
      </w:r>
      <w:r w:rsidR="007D5F5C" w:rsidRPr="007D5F5C">
        <w:rPr>
          <w:rFonts w:ascii="Arial" w:hAnsi="Arial" w:cs="Arial"/>
          <w:noProof/>
          <w:sz w:val="24"/>
          <w:szCs w:val="24"/>
          <w:lang w:val="en-CA" w:eastAsia="en-CA"/>
        </w:rPr>
        <w:drawing>
          <wp:inline distT="0" distB="0" distL="0" distR="0">
            <wp:extent cx="5943600" cy="500089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00892"/>
                    </a:xfrm>
                    <a:prstGeom prst="rect">
                      <a:avLst/>
                    </a:prstGeom>
                    <a:noFill/>
                    <a:ln>
                      <a:noFill/>
                    </a:ln>
                  </pic:spPr>
                </pic:pic>
              </a:graphicData>
            </a:graphic>
          </wp:inline>
        </w:drawing>
      </w:r>
      <w:r w:rsidR="002D652C">
        <w:rPr>
          <w:rFonts w:ascii="Arial" w:hAnsi="Arial" w:cs="Arial"/>
          <w:sz w:val="24"/>
          <w:szCs w:val="24"/>
        </w:rPr>
        <w:t>T</w:t>
      </w:r>
      <w:r w:rsidR="007D5F5C">
        <w:rPr>
          <w:rFonts w:ascii="Arial" w:hAnsi="Arial" w:cs="Arial"/>
          <w:sz w:val="24"/>
          <w:szCs w:val="24"/>
        </w:rPr>
        <w:t xml:space="preserve">he purpose of the table is to reconcile the Principal balance at end of the year in the GL to </w:t>
      </w:r>
      <w:r w:rsidR="002D652C">
        <w:rPr>
          <w:rFonts w:ascii="Arial" w:hAnsi="Arial" w:cs="Arial"/>
          <w:sz w:val="24"/>
          <w:szCs w:val="24"/>
        </w:rPr>
        <w:t xml:space="preserve">the principal balance on the continuity schedule (cell BG 28). </w:t>
      </w:r>
    </w:p>
    <w:p w:rsidR="002D652C" w:rsidRDefault="002D652C" w:rsidP="007D5F5C">
      <w:pPr>
        <w:autoSpaceDE w:val="0"/>
        <w:autoSpaceDN w:val="0"/>
        <w:adjustRightInd w:val="0"/>
        <w:spacing w:after="0" w:line="240" w:lineRule="auto"/>
        <w:rPr>
          <w:rFonts w:ascii="Arial" w:hAnsi="Arial" w:cs="Arial"/>
          <w:sz w:val="24"/>
          <w:szCs w:val="24"/>
        </w:rPr>
      </w:pPr>
    </w:p>
    <w:p w:rsidR="002D652C" w:rsidRDefault="002D652C" w:rsidP="002D652C">
      <w:pPr>
        <w:pStyle w:val="ListParagraph"/>
        <w:numPr>
          <w:ilvl w:val="0"/>
          <w:numId w:val="14"/>
        </w:numPr>
        <w:autoSpaceDE w:val="0"/>
        <w:autoSpaceDN w:val="0"/>
        <w:adjustRightInd w:val="0"/>
        <w:spacing w:after="0" w:line="240" w:lineRule="auto"/>
        <w:rPr>
          <w:rFonts w:ascii="Arial" w:hAnsi="Arial" w:cs="Arial"/>
          <w:sz w:val="24"/>
          <w:szCs w:val="24"/>
        </w:rPr>
      </w:pPr>
      <w:r>
        <w:rPr>
          <w:rFonts w:ascii="Arial" w:hAnsi="Arial" w:cs="Arial"/>
          <w:sz w:val="24"/>
          <w:szCs w:val="24"/>
        </w:rPr>
        <w:t>Please refile the table for 2017 and 2018 respectively using the table below:</w:t>
      </w:r>
    </w:p>
    <w:p w:rsidR="002D652C" w:rsidRDefault="002D652C" w:rsidP="002D652C">
      <w:pPr>
        <w:autoSpaceDE w:val="0"/>
        <w:autoSpaceDN w:val="0"/>
        <w:adjustRightInd w:val="0"/>
        <w:spacing w:after="0" w:line="240" w:lineRule="auto"/>
        <w:rPr>
          <w:rFonts w:ascii="Arial" w:hAnsi="Arial" w:cs="Arial"/>
          <w:sz w:val="24"/>
          <w:szCs w:val="24"/>
        </w:rPr>
      </w:pPr>
    </w:p>
    <w:tbl>
      <w:tblPr>
        <w:tblW w:w="9840" w:type="dxa"/>
        <w:tblLook w:val="04A0" w:firstRow="1" w:lastRow="0" w:firstColumn="1" w:lastColumn="0" w:noHBand="0" w:noVBand="1"/>
      </w:tblPr>
      <w:tblGrid>
        <w:gridCol w:w="6120"/>
        <w:gridCol w:w="1940"/>
        <w:gridCol w:w="1780"/>
      </w:tblGrid>
      <w:tr w:rsidR="002D652C" w:rsidRPr="0045412A" w:rsidTr="00DE63C5">
        <w:trPr>
          <w:trHeight w:val="288"/>
        </w:trPr>
        <w:tc>
          <w:tcPr>
            <w:tcW w:w="6120" w:type="dxa"/>
            <w:tcBorders>
              <w:top w:val="nil"/>
              <w:left w:val="nil"/>
              <w:bottom w:val="nil"/>
              <w:right w:val="nil"/>
            </w:tcBorders>
            <w:shd w:val="clear" w:color="auto" w:fill="auto"/>
            <w:vAlign w:val="bottom"/>
            <w:hideMark/>
          </w:tcPr>
          <w:p w:rsidR="002D652C" w:rsidRPr="0045412A" w:rsidRDefault="002D652C" w:rsidP="00DE63C5">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Reconciliation of Account 1588 - 2018</w:t>
            </w:r>
          </w:p>
        </w:tc>
        <w:tc>
          <w:tcPr>
            <w:tcW w:w="1940" w:type="dxa"/>
            <w:tcBorders>
              <w:top w:val="nil"/>
              <w:left w:val="nil"/>
              <w:bottom w:val="nil"/>
              <w:right w:val="nil"/>
            </w:tcBorders>
            <w:shd w:val="clear" w:color="auto" w:fill="auto"/>
            <w:vAlign w:val="bottom"/>
            <w:hideMark/>
          </w:tcPr>
          <w:p w:rsidR="002D652C" w:rsidRPr="0045412A" w:rsidRDefault="002D652C" w:rsidP="00DE63C5">
            <w:pPr>
              <w:spacing w:after="0" w:line="240" w:lineRule="auto"/>
              <w:jc w:val="center"/>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rsidR="002D652C" w:rsidRPr="0045412A" w:rsidRDefault="002D652C" w:rsidP="00DE63C5">
            <w:pPr>
              <w:spacing w:after="0" w:line="240" w:lineRule="auto"/>
              <w:jc w:val="center"/>
              <w:rPr>
                <w:rFonts w:ascii="Times New Roman" w:eastAsia="Times New Roman" w:hAnsi="Times New Roman" w:cs="Times New Roman"/>
                <w:sz w:val="20"/>
                <w:szCs w:val="20"/>
              </w:rPr>
            </w:pPr>
          </w:p>
        </w:tc>
      </w:tr>
      <w:tr w:rsidR="002D652C" w:rsidRPr="0045412A" w:rsidTr="00DE63C5">
        <w:trPr>
          <w:trHeight w:val="288"/>
        </w:trPr>
        <w:tc>
          <w:tcPr>
            <w:tcW w:w="6120" w:type="dxa"/>
            <w:tcBorders>
              <w:top w:val="nil"/>
              <w:left w:val="nil"/>
              <w:bottom w:val="nil"/>
              <w:right w:val="nil"/>
            </w:tcBorders>
            <w:shd w:val="clear" w:color="auto" w:fill="auto"/>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c>
          <w:tcPr>
            <w:tcW w:w="1940" w:type="dxa"/>
            <w:tcBorders>
              <w:top w:val="nil"/>
              <w:left w:val="nil"/>
              <w:bottom w:val="single" w:sz="4" w:space="0" w:color="auto"/>
              <w:right w:val="nil"/>
            </w:tcBorders>
            <w:shd w:val="clear" w:color="auto" w:fill="auto"/>
            <w:noWrap/>
            <w:vAlign w:val="bottom"/>
            <w:hideMark/>
          </w:tcPr>
          <w:p w:rsidR="002D652C" w:rsidRPr="0045412A" w:rsidRDefault="002D652C" w:rsidP="00DE63C5">
            <w:pPr>
              <w:spacing w:after="0" w:line="240" w:lineRule="auto"/>
              <w:jc w:val="center"/>
              <w:rPr>
                <w:rFonts w:ascii="Times New Roman" w:eastAsia="Times New Roman" w:hAnsi="Times New Roman" w:cs="Times New Roman"/>
                <w:sz w:val="20"/>
                <w:szCs w:val="20"/>
              </w:rPr>
            </w:pPr>
          </w:p>
        </w:tc>
        <w:tc>
          <w:tcPr>
            <w:tcW w:w="1780" w:type="dxa"/>
            <w:tcBorders>
              <w:top w:val="nil"/>
              <w:left w:val="nil"/>
              <w:bottom w:val="single" w:sz="4" w:space="0" w:color="auto"/>
              <w:right w:val="nil"/>
            </w:tcBorders>
            <w:shd w:val="clear" w:color="auto" w:fill="auto"/>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r>
      <w:tr w:rsidR="002D652C" w:rsidRPr="0045412A" w:rsidTr="00DE63C5">
        <w:trPr>
          <w:trHeight w:val="1500"/>
        </w:trPr>
        <w:tc>
          <w:tcPr>
            <w:tcW w:w="6120" w:type="dxa"/>
            <w:tcBorders>
              <w:top w:val="nil"/>
              <w:left w:val="nil"/>
              <w:bottom w:val="single" w:sz="4" w:space="0" w:color="auto"/>
              <w:right w:val="single" w:sz="4" w:space="0" w:color="auto"/>
            </w:tcBorders>
            <w:shd w:val="clear" w:color="auto" w:fill="auto"/>
            <w:vAlign w:val="bottom"/>
            <w:hideMark/>
          </w:tcPr>
          <w:p w:rsidR="002D652C" w:rsidRPr="0045412A" w:rsidRDefault="002D652C" w:rsidP="00DE63C5">
            <w:pPr>
              <w:spacing w:after="0" w:line="240" w:lineRule="auto"/>
              <w:jc w:val="center"/>
              <w:rPr>
                <w:rFonts w:ascii="Times New Roman" w:eastAsia="Times New Roman" w:hAnsi="Times New Roman" w:cs="Times New Roman"/>
                <w:sz w:val="20"/>
                <w:szCs w:val="2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652C" w:rsidRPr="0045412A" w:rsidRDefault="002D652C" w:rsidP="00DE63C5">
            <w:pPr>
              <w:spacing w:after="0" w:line="240" w:lineRule="auto"/>
              <w:jc w:val="center"/>
              <w:rPr>
                <w:rFonts w:ascii="Calibri" w:eastAsia="Times New Roman" w:hAnsi="Calibri" w:cs="Calibri"/>
                <w:b/>
                <w:bCs/>
                <w:color w:val="000000"/>
              </w:rPr>
            </w:pPr>
            <w:r w:rsidRPr="0045412A">
              <w:rPr>
                <w:rFonts w:ascii="Calibri" w:eastAsia="Times New Roman" w:hAnsi="Calibri" w:cs="Calibri"/>
                <w:b/>
                <w:bCs/>
                <w:color w:val="000000"/>
              </w:rPr>
              <w:t xml:space="preserve"> Principal Adjustments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3F450A" w:rsidRDefault="002D652C" w:rsidP="00DE63C5">
            <w:pPr>
              <w:spacing w:after="0" w:line="240" w:lineRule="auto"/>
              <w:jc w:val="center"/>
              <w:rPr>
                <w:rFonts w:ascii="Calibri" w:eastAsia="Times New Roman" w:hAnsi="Calibri" w:cs="Calibri"/>
                <w:b/>
                <w:color w:val="000000"/>
              </w:rPr>
            </w:pPr>
            <w:r w:rsidRPr="003F450A">
              <w:rPr>
                <w:rFonts w:ascii="Calibri" w:eastAsia="Times New Roman" w:hAnsi="Calibri" w:cs="Calibri"/>
                <w:b/>
                <w:color w:val="000000"/>
              </w:rPr>
              <w:t>Was the amount a "Principal Adjustment" in the previous year? (Y/N)</w:t>
            </w:r>
          </w:p>
        </w:tc>
      </w:tr>
      <w:tr w:rsidR="002D652C" w:rsidRPr="0045412A" w:rsidTr="00DE63C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 xml:space="preserve">Principal </w:t>
            </w:r>
            <w:r w:rsidRPr="0045412A">
              <w:rPr>
                <w:rFonts w:ascii="Calibri" w:eastAsia="Times New Roman" w:hAnsi="Calibri" w:cs="Calibri"/>
                <w:b/>
                <w:bCs/>
                <w:color w:val="000000"/>
              </w:rPr>
              <w:t>Balance December 31, 2018</w:t>
            </w:r>
            <w:r>
              <w:rPr>
                <w:rFonts w:ascii="Calibri" w:eastAsia="Times New Roman" w:hAnsi="Calibri" w:cs="Calibri"/>
                <w:b/>
                <w:bCs/>
                <w:color w:val="000000"/>
              </w:rPr>
              <w:t xml:space="preserve"> in the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Reversals of Principal Adjustments - previous year</w:t>
            </w:r>
            <w:r w:rsidRPr="0045412A">
              <w:rPr>
                <w:rFonts w:ascii="Calibri" w:eastAsia="Times New Roman" w:hAnsi="Calibri" w:cs="Calibri"/>
                <w:color w:val="000000"/>
              </w:rPr>
              <w:t> </w:t>
            </w:r>
          </w:p>
        </w:tc>
      </w:tr>
      <w:tr w:rsidR="002D652C" w:rsidRPr="0045412A" w:rsidTr="00DE63C5">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3F450A" w:rsidRDefault="002D652C" w:rsidP="002D652C">
            <w:pPr>
              <w:pStyle w:val="ListParagraph"/>
              <w:numPr>
                <w:ilvl w:val="0"/>
                <w:numId w:val="15"/>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Cost of Power accrual from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r>
      <w:tr w:rsidR="002D652C" w:rsidRPr="0045412A" w:rsidTr="00DE63C5">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3F450A" w:rsidRDefault="002D652C" w:rsidP="002D652C">
            <w:pPr>
              <w:pStyle w:val="ListParagraph"/>
              <w:numPr>
                <w:ilvl w:val="0"/>
                <w:numId w:val="15"/>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 xml:space="preserve">Reversal of CT 1142 true-up from the previous year </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r>
      <w:tr w:rsidR="002D652C" w:rsidRPr="0045412A" w:rsidTr="00DE63C5">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3F450A" w:rsidRDefault="002D652C" w:rsidP="002D652C">
            <w:pPr>
              <w:pStyle w:val="ListParagraph"/>
              <w:numPr>
                <w:ilvl w:val="0"/>
                <w:numId w:val="15"/>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lastRenderedPageBreak/>
              <w:t>Unbilled to billed adjustment for previous year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r>
      <w:tr w:rsidR="002D652C" w:rsidRPr="0045412A" w:rsidTr="00DE63C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3F450A" w:rsidRDefault="002D652C" w:rsidP="002D652C">
            <w:pPr>
              <w:pStyle w:val="ListParagraph"/>
              <w:numPr>
                <w:ilvl w:val="0"/>
                <w:numId w:val="15"/>
              </w:numPr>
              <w:spacing w:after="0" w:line="240" w:lineRule="auto"/>
              <w:ind w:left="526" w:hanging="464"/>
              <w:rPr>
                <w:rFonts w:ascii="Calibri" w:eastAsia="Times New Roman" w:hAnsi="Calibri" w:cs="Calibri"/>
                <w:color w:val="000000"/>
              </w:rPr>
            </w:pPr>
            <w:r w:rsidRPr="003F450A">
              <w:rPr>
                <w:rFonts w:ascii="Calibri" w:eastAsia="Times New Roman" w:hAnsi="Calibri" w:cs="Calibri"/>
                <w:color w:val="000000"/>
              </w:rPr>
              <w:t>Reversal of RPP vs. Non-RPP allocation</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45412A" w:rsidRDefault="002D652C" w:rsidP="00DE63C5">
            <w:pPr>
              <w:spacing w:after="0" w:line="240" w:lineRule="auto"/>
              <w:jc w:val="center"/>
              <w:rPr>
                <w:rFonts w:ascii="Times New Roman" w:eastAsia="Times New Roman" w:hAnsi="Times New Roman" w:cs="Times New Roman"/>
                <w:sz w:val="20"/>
                <w:szCs w:val="20"/>
              </w:rPr>
            </w:pPr>
          </w:p>
        </w:tc>
      </w:tr>
      <w:tr w:rsidR="002D652C" w:rsidRPr="0045412A" w:rsidTr="00DE63C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45412A" w:rsidRDefault="002D652C" w:rsidP="00DE63C5">
            <w:pPr>
              <w:spacing w:after="0" w:line="240" w:lineRule="auto"/>
              <w:ind w:left="526" w:hanging="464"/>
              <w:jc w:val="right"/>
              <w:rPr>
                <w:rFonts w:ascii="Calibri" w:eastAsia="Times New Roman" w:hAnsi="Calibri" w:cs="Calibri"/>
                <w:b/>
                <w:bCs/>
                <w:color w:val="000000"/>
              </w:rPr>
            </w:pPr>
            <w:r w:rsidRPr="0045412A">
              <w:rPr>
                <w:rFonts w:ascii="Calibri" w:eastAsia="Times New Roman" w:hAnsi="Calibri" w:cs="Calibri"/>
                <w:b/>
                <w:bCs/>
                <w:color w:val="000000"/>
              </w:rPr>
              <w:t>Sub-Total Reversals from previous year (A):</w:t>
            </w: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45412A" w:rsidRDefault="002D652C" w:rsidP="00DE63C5">
            <w:pPr>
              <w:spacing w:after="0" w:line="240" w:lineRule="auto"/>
              <w:jc w:val="center"/>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288"/>
        </w:trPr>
        <w:tc>
          <w:tcPr>
            <w:tcW w:w="6120" w:type="dxa"/>
            <w:tcBorders>
              <w:top w:val="single" w:sz="4" w:space="0" w:color="auto"/>
              <w:left w:val="nil"/>
              <w:bottom w:val="single" w:sz="4" w:space="0" w:color="auto"/>
              <w:right w:val="nil"/>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940" w:type="dxa"/>
            <w:tcBorders>
              <w:top w:val="single" w:sz="4" w:space="0" w:color="auto"/>
              <w:left w:val="nil"/>
              <w:bottom w:val="single" w:sz="4" w:space="0" w:color="auto"/>
              <w:right w:val="nil"/>
            </w:tcBorders>
            <w:shd w:val="clear" w:color="auto" w:fill="auto"/>
            <w:noWrap/>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single" w:sz="4" w:space="0" w:color="auto"/>
              <w:right w:val="nil"/>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288"/>
        </w:trPr>
        <w:tc>
          <w:tcPr>
            <w:tcW w:w="98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b/>
                <w:bCs/>
                <w:color w:val="000000"/>
              </w:rPr>
              <w:t>Principal Adjustments - current year</w:t>
            </w:r>
            <w:r w:rsidRPr="0045412A">
              <w:rPr>
                <w:rFonts w:ascii="Calibri" w:eastAsia="Times New Roman" w:hAnsi="Calibri" w:cs="Calibri"/>
                <w:color w:val="000000"/>
              </w:rPr>
              <w:t> </w:t>
            </w:r>
          </w:p>
        </w:tc>
      </w:tr>
      <w:tr w:rsidR="002D652C" w:rsidRPr="0045412A" w:rsidTr="00DE63C5">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3F450A" w:rsidRDefault="002D652C" w:rsidP="002D652C">
            <w:pPr>
              <w:pStyle w:val="ListParagraph"/>
              <w:numPr>
                <w:ilvl w:val="0"/>
                <w:numId w:val="15"/>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Cost of power accrual for 2018 vs Actual per IESO bill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3F450A" w:rsidRDefault="002D652C" w:rsidP="002D652C">
            <w:pPr>
              <w:pStyle w:val="ListParagraph"/>
              <w:numPr>
                <w:ilvl w:val="0"/>
                <w:numId w:val="15"/>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CT 1142 for 2018 consumption recorded in 2019 GL</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288"/>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3F450A" w:rsidRDefault="002D652C" w:rsidP="002D652C">
            <w:pPr>
              <w:pStyle w:val="ListParagraph"/>
              <w:numPr>
                <w:ilvl w:val="0"/>
                <w:numId w:val="15"/>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Unbilled accrued vs. billed for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3F450A" w:rsidRDefault="002D652C" w:rsidP="002D652C">
            <w:pPr>
              <w:pStyle w:val="ListParagraph"/>
              <w:numPr>
                <w:ilvl w:val="0"/>
                <w:numId w:val="15"/>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True-up of RPP vs. Non-RPP allocation of CT 148 based on actual 2018 consumption</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342"/>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rsidR="002D652C" w:rsidRPr="003F450A" w:rsidRDefault="002D652C" w:rsidP="002D652C">
            <w:pPr>
              <w:pStyle w:val="ListParagraph"/>
              <w:numPr>
                <w:ilvl w:val="0"/>
                <w:numId w:val="15"/>
              </w:numPr>
              <w:spacing w:after="0" w:line="240" w:lineRule="auto"/>
              <w:ind w:left="526" w:hanging="450"/>
              <w:rPr>
                <w:rFonts w:ascii="Calibri" w:eastAsia="Times New Roman" w:hAnsi="Calibri" w:cs="Calibri"/>
                <w:color w:val="000000"/>
              </w:rPr>
            </w:pPr>
            <w:r w:rsidRPr="003F450A">
              <w:rPr>
                <w:rFonts w:ascii="Calibri" w:eastAsia="Times New Roman" w:hAnsi="Calibri" w:cs="Calibri"/>
                <w:color w:val="000000"/>
              </w:rPr>
              <w:t>Other</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652C" w:rsidRPr="0045412A" w:rsidRDefault="002D652C" w:rsidP="00DE63C5">
            <w:pPr>
              <w:spacing w:after="0" w:line="240" w:lineRule="auto"/>
              <w:rPr>
                <w:rFonts w:ascii="Calibri" w:eastAsia="Times New Roman" w:hAnsi="Calibri" w:cs="Calibri"/>
                <w:color w:val="000000"/>
              </w:rPr>
            </w:pP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2D652C" w:rsidRPr="0045412A" w:rsidRDefault="002D652C" w:rsidP="00DE63C5">
            <w:pPr>
              <w:spacing w:after="0" w:line="240" w:lineRule="auto"/>
              <w:rPr>
                <w:rFonts w:ascii="Calibri" w:eastAsia="Times New Roman" w:hAnsi="Calibri" w:cs="Calibri"/>
                <w:color w:val="000000"/>
              </w:rPr>
            </w:pPr>
          </w:p>
        </w:tc>
      </w:tr>
      <w:tr w:rsidR="002D652C" w:rsidRPr="0045412A" w:rsidTr="00DE63C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Sub-Total Principal Adjustments for 2018 consumption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300"/>
        </w:trPr>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jc w:val="right"/>
              <w:rPr>
                <w:rFonts w:ascii="Calibri" w:eastAsia="Times New Roman" w:hAnsi="Calibri" w:cs="Calibri"/>
                <w:b/>
                <w:bCs/>
                <w:color w:val="000000"/>
              </w:rPr>
            </w:pPr>
            <w:r w:rsidRPr="0045412A">
              <w:rPr>
                <w:rFonts w:ascii="Calibri" w:eastAsia="Times New Roman" w:hAnsi="Calibri" w:cs="Calibri"/>
                <w:b/>
                <w:bCs/>
                <w:color w:val="000000"/>
              </w:rPr>
              <w:t>Total Principal Adjustments shown for 2018 (A + B)</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588"/>
        </w:trPr>
        <w:tc>
          <w:tcPr>
            <w:tcW w:w="6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652C" w:rsidRPr="0045412A" w:rsidRDefault="002D652C" w:rsidP="002D652C">
            <w:pPr>
              <w:spacing w:after="0" w:line="240" w:lineRule="auto"/>
              <w:jc w:val="right"/>
              <w:rPr>
                <w:rFonts w:ascii="Calibri" w:eastAsia="Times New Roman" w:hAnsi="Calibri" w:cs="Calibri"/>
                <w:b/>
                <w:bCs/>
                <w:color w:val="000000"/>
              </w:rPr>
            </w:pPr>
            <w:r>
              <w:rPr>
                <w:rFonts w:ascii="Calibri" w:eastAsia="Times New Roman" w:hAnsi="Calibri" w:cs="Calibri"/>
                <w:b/>
                <w:bCs/>
                <w:color w:val="000000"/>
              </w:rPr>
              <w:t>Principal Balance for 1588 (Cell BG28)</w:t>
            </w:r>
            <w:r w:rsidRPr="0045412A">
              <w:rPr>
                <w:rFonts w:ascii="Calibri" w:eastAsia="Times New Roman" w:hAnsi="Calibri" w:cs="Calibri"/>
                <w:b/>
                <w:bCs/>
                <w:color w:val="000000"/>
              </w:rPr>
              <w:t xml:space="preserve"> on DVA Continuity Schedule</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c>
          <w:tcPr>
            <w:tcW w:w="178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2D652C" w:rsidRPr="0045412A" w:rsidRDefault="002D652C" w:rsidP="00DE63C5">
            <w:pPr>
              <w:spacing w:after="0" w:line="240" w:lineRule="auto"/>
              <w:rPr>
                <w:rFonts w:ascii="Calibri" w:eastAsia="Times New Roman" w:hAnsi="Calibri" w:cs="Calibri"/>
                <w:color w:val="000000"/>
              </w:rPr>
            </w:pPr>
            <w:r w:rsidRPr="0045412A">
              <w:rPr>
                <w:rFonts w:ascii="Calibri" w:eastAsia="Times New Roman" w:hAnsi="Calibri" w:cs="Calibri"/>
                <w:color w:val="000000"/>
              </w:rPr>
              <w:t> </w:t>
            </w:r>
          </w:p>
        </w:tc>
      </w:tr>
      <w:tr w:rsidR="002D652C" w:rsidRPr="0045412A" w:rsidTr="00DE63C5">
        <w:trPr>
          <w:trHeight w:val="300"/>
        </w:trPr>
        <w:tc>
          <w:tcPr>
            <w:tcW w:w="6120" w:type="dxa"/>
            <w:tcBorders>
              <w:top w:val="single" w:sz="4" w:space="0" w:color="auto"/>
              <w:left w:val="nil"/>
              <w:bottom w:val="nil"/>
              <w:right w:val="nil"/>
            </w:tcBorders>
            <w:shd w:val="clear" w:color="auto" w:fill="auto"/>
            <w:noWrap/>
            <w:vAlign w:val="bottom"/>
            <w:hideMark/>
          </w:tcPr>
          <w:p w:rsidR="002D652C" w:rsidRPr="0045412A" w:rsidRDefault="002D652C" w:rsidP="00DE63C5">
            <w:pPr>
              <w:spacing w:after="0" w:line="240" w:lineRule="auto"/>
              <w:rPr>
                <w:rFonts w:ascii="Calibri" w:eastAsia="Times New Roman" w:hAnsi="Calibri" w:cs="Calibri"/>
                <w:color w:val="000000"/>
              </w:rPr>
            </w:pPr>
          </w:p>
        </w:tc>
        <w:tc>
          <w:tcPr>
            <w:tcW w:w="1940" w:type="dxa"/>
            <w:tcBorders>
              <w:top w:val="single" w:sz="4" w:space="0" w:color="auto"/>
              <w:left w:val="nil"/>
              <w:bottom w:val="nil"/>
              <w:right w:val="nil"/>
            </w:tcBorders>
            <w:shd w:val="clear" w:color="auto" w:fill="auto"/>
            <w:noWrap/>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c>
          <w:tcPr>
            <w:tcW w:w="1780" w:type="dxa"/>
            <w:tcBorders>
              <w:top w:val="single" w:sz="4" w:space="0" w:color="auto"/>
              <w:left w:val="nil"/>
              <w:bottom w:val="nil"/>
              <w:right w:val="nil"/>
            </w:tcBorders>
            <w:shd w:val="clear" w:color="auto" w:fill="auto"/>
            <w:noWrap/>
            <w:vAlign w:val="bottom"/>
            <w:hideMark/>
          </w:tcPr>
          <w:p w:rsidR="002D652C" w:rsidRPr="0045412A" w:rsidRDefault="002D652C" w:rsidP="00DE63C5">
            <w:pPr>
              <w:spacing w:after="0" w:line="240" w:lineRule="auto"/>
              <w:rPr>
                <w:rFonts w:ascii="Times New Roman" w:eastAsia="Times New Roman" w:hAnsi="Times New Roman" w:cs="Times New Roman"/>
                <w:sz w:val="20"/>
                <w:szCs w:val="20"/>
              </w:rPr>
            </w:pPr>
          </w:p>
        </w:tc>
      </w:tr>
    </w:tbl>
    <w:p w:rsidR="002D652C" w:rsidRDefault="002D652C" w:rsidP="002D652C">
      <w:pPr>
        <w:autoSpaceDE w:val="0"/>
        <w:autoSpaceDN w:val="0"/>
        <w:adjustRightInd w:val="0"/>
        <w:spacing w:after="0" w:line="240" w:lineRule="auto"/>
        <w:rPr>
          <w:rFonts w:ascii="Arial" w:hAnsi="Arial" w:cs="Arial"/>
          <w:sz w:val="24"/>
          <w:szCs w:val="24"/>
        </w:rPr>
      </w:pPr>
    </w:p>
    <w:p w:rsidR="00760E6D" w:rsidRPr="002D652C" w:rsidRDefault="002D652C" w:rsidP="002D652C">
      <w:pPr>
        <w:autoSpaceDE w:val="0"/>
        <w:autoSpaceDN w:val="0"/>
        <w:adjustRightInd w:val="0"/>
        <w:spacing w:after="0" w:line="240" w:lineRule="auto"/>
        <w:rPr>
          <w:rFonts w:ascii="Arial" w:hAnsi="Arial" w:cs="Arial"/>
          <w:sz w:val="24"/>
          <w:szCs w:val="24"/>
        </w:rPr>
      </w:pPr>
      <w:r w:rsidRPr="002D652C">
        <w:rPr>
          <w:rFonts w:ascii="Arial" w:hAnsi="Arial" w:cs="Arial"/>
          <w:sz w:val="24"/>
          <w:szCs w:val="24"/>
        </w:rPr>
        <w:t xml:space="preserve"> </w:t>
      </w:r>
    </w:p>
    <w:p w:rsidR="00FB7EED" w:rsidRDefault="00203EBE" w:rsidP="00203EBE">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Re</w:t>
      </w:r>
      <w:r w:rsidR="009E0BFC">
        <w:rPr>
          <w:rFonts w:ascii="Arial" w:hAnsi="Arial" w:cs="Arial"/>
          <w:sz w:val="24"/>
          <w:szCs w:val="24"/>
        </w:rPr>
        <w:t>f: Response to Staff Question 1; Response to Staff Question 3</w:t>
      </w:r>
    </w:p>
    <w:p w:rsidR="007452BC" w:rsidRDefault="007452BC" w:rsidP="007452BC">
      <w:pPr>
        <w:autoSpaceDE w:val="0"/>
        <w:autoSpaceDN w:val="0"/>
        <w:adjustRightInd w:val="0"/>
        <w:spacing w:after="0" w:line="240" w:lineRule="auto"/>
        <w:rPr>
          <w:rFonts w:ascii="Arial" w:hAnsi="Arial" w:cs="Arial"/>
          <w:sz w:val="24"/>
          <w:szCs w:val="24"/>
        </w:rPr>
      </w:pPr>
    </w:p>
    <w:p w:rsidR="007452BC" w:rsidRDefault="007452BC" w:rsidP="007452BC">
      <w:pPr>
        <w:autoSpaceDE w:val="0"/>
        <w:autoSpaceDN w:val="0"/>
        <w:adjustRightInd w:val="0"/>
        <w:spacing w:after="0" w:line="240" w:lineRule="auto"/>
        <w:rPr>
          <w:rFonts w:ascii="Arial" w:hAnsi="Arial" w:cs="Arial"/>
          <w:sz w:val="24"/>
          <w:szCs w:val="24"/>
        </w:rPr>
      </w:pPr>
      <w:r>
        <w:rPr>
          <w:rFonts w:ascii="Arial" w:hAnsi="Arial" w:cs="Arial"/>
          <w:sz w:val="24"/>
          <w:szCs w:val="24"/>
        </w:rPr>
        <w:t>In responding to staff question 1 c)</w:t>
      </w:r>
      <w:r w:rsidR="009E0BFC">
        <w:rPr>
          <w:rFonts w:ascii="Arial" w:hAnsi="Arial" w:cs="Arial"/>
          <w:sz w:val="24"/>
          <w:szCs w:val="24"/>
        </w:rPr>
        <w:t xml:space="preserve"> about why the RPP true-up does not impact Account 1589 Global Adjustment</w:t>
      </w:r>
      <w:r>
        <w:rPr>
          <w:rFonts w:ascii="Arial" w:hAnsi="Arial" w:cs="Arial"/>
          <w:sz w:val="24"/>
          <w:szCs w:val="24"/>
        </w:rPr>
        <w:t xml:space="preserve">, Waterloo North stated that </w:t>
      </w:r>
    </w:p>
    <w:p w:rsidR="007452BC" w:rsidRPr="009E0BFC" w:rsidRDefault="007452BC" w:rsidP="007452BC">
      <w:pPr>
        <w:autoSpaceDE w:val="0"/>
        <w:autoSpaceDN w:val="0"/>
        <w:adjustRightInd w:val="0"/>
        <w:spacing w:after="0" w:line="240" w:lineRule="auto"/>
        <w:rPr>
          <w:rFonts w:ascii="Arial" w:hAnsi="Arial" w:cs="Arial"/>
          <w:sz w:val="24"/>
          <w:szCs w:val="24"/>
        </w:rPr>
      </w:pPr>
    </w:p>
    <w:p w:rsidR="009E0BFC" w:rsidRDefault="007452BC" w:rsidP="009E0BFC">
      <w:pPr>
        <w:autoSpaceDE w:val="0"/>
        <w:autoSpaceDN w:val="0"/>
        <w:adjustRightInd w:val="0"/>
        <w:spacing w:after="0" w:line="240" w:lineRule="auto"/>
        <w:ind w:left="720"/>
        <w:rPr>
          <w:rFonts w:ascii="Arial" w:hAnsi="Arial" w:cs="Arial"/>
          <w:sz w:val="24"/>
          <w:szCs w:val="24"/>
        </w:rPr>
      </w:pPr>
      <w:r w:rsidRPr="009E0BFC">
        <w:rPr>
          <w:rFonts w:ascii="Arial" w:hAnsi="Arial" w:cs="Arial"/>
          <w:sz w:val="24"/>
          <w:szCs w:val="24"/>
        </w:rPr>
        <w:t xml:space="preserve">WNH has been settling GA on usage which is different from how WNH has been settling on RPP (billed). Therefore, GA price and usage had always been trued-up for 1589 the month following the settlement submission. </w:t>
      </w:r>
    </w:p>
    <w:p w:rsidR="009E0BFC" w:rsidRDefault="009E0BFC" w:rsidP="009E0BFC">
      <w:pPr>
        <w:autoSpaceDE w:val="0"/>
        <w:autoSpaceDN w:val="0"/>
        <w:adjustRightInd w:val="0"/>
        <w:spacing w:after="0" w:line="240" w:lineRule="auto"/>
        <w:rPr>
          <w:rFonts w:ascii="Arial" w:hAnsi="Arial" w:cs="Arial"/>
          <w:sz w:val="24"/>
          <w:szCs w:val="24"/>
        </w:rPr>
      </w:pPr>
    </w:p>
    <w:p w:rsidR="0006125A" w:rsidRDefault="009E0BFC" w:rsidP="0006125A">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responding to staff question 3, Waterloo North confirmed that the GA expense that was recorded </w:t>
      </w:r>
      <w:r w:rsidR="0006125A">
        <w:rPr>
          <w:rFonts w:ascii="Arial" w:hAnsi="Arial" w:cs="Arial"/>
          <w:sz w:val="24"/>
          <w:szCs w:val="24"/>
        </w:rPr>
        <w:t>in Account 1589 is using the method as below:</w:t>
      </w:r>
    </w:p>
    <w:p w:rsidR="0006125A" w:rsidRDefault="0006125A" w:rsidP="0006125A">
      <w:pPr>
        <w:autoSpaceDE w:val="0"/>
        <w:autoSpaceDN w:val="0"/>
        <w:adjustRightInd w:val="0"/>
        <w:spacing w:after="0" w:line="240" w:lineRule="auto"/>
        <w:rPr>
          <w:rFonts w:ascii="Arial" w:hAnsi="Arial" w:cs="Arial"/>
          <w:sz w:val="24"/>
          <w:szCs w:val="24"/>
        </w:rPr>
      </w:pPr>
    </w:p>
    <w:p w:rsidR="009E0BFC" w:rsidRPr="0006125A" w:rsidRDefault="0006125A" w:rsidP="0006125A">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009E0BFC" w:rsidRPr="0006125A">
        <w:rPr>
          <w:rFonts w:ascii="Arial" w:hAnsi="Arial" w:cs="Arial"/>
          <w:sz w:val="24"/>
          <w:szCs w:val="24"/>
        </w:rPr>
        <w:t xml:space="preserve">CT 148 on the IESO invoice – RPP portion of GA that is submitted on the IESO </w:t>
      </w:r>
      <w:r>
        <w:rPr>
          <w:rFonts w:ascii="Arial" w:hAnsi="Arial" w:cs="Arial"/>
          <w:sz w:val="24"/>
          <w:szCs w:val="24"/>
        </w:rPr>
        <w:tab/>
      </w:r>
      <w:r w:rsidR="009E0BFC" w:rsidRPr="0006125A">
        <w:rPr>
          <w:rFonts w:ascii="Arial" w:hAnsi="Arial" w:cs="Arial"/>
          <w:sz w:val="24"/>
          <w:szCs w:val="24"/>
        </w:rPr>
        <w:t>RPP claim form</w:t>
      </w:r>
    </w:p>
    <w:p w:rsidR="009E0BFC" w:rsidRDefault="009E0BFC" w:rsidP="009E0BFC">
      <w:pPr>
        <w:autoSpaceDE w:val="0"/>
        <w:autoSpaceDN w:val="0"/>
        <w:adjustRightInd w:val="0"/>
        <w:spacing w:after="0" w:line="240" w:lineRule="auto"/>
        <w:rPr>
          <w:rFonts w:ascii="Arial" w:hAnsi="Arial" w:cs="Arial"/>
          <w:sz w:val="24"/>
          <w:szCs w:val="24"/>
        </w:rPr>
      </w:pPr>
    </w:p>
    <w:p w:rsidR="009E0BFC" w:rsidRDefault="0006125A" w:rsidP="0006125A">
      <w:pPr>
        <w:pStyle w:val="ListParagraph"/>
        <w:numPr>
          <w:ilvl w:val="0"/>
          <w:numId w:val="19"/>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whether or not Waterloo North </w:t>
      </w:r>
      <w:r w:rsidR="00801888">
        <w:rPr>
          <w:rFonts w:ascii="Arial" w:hAnsi="Arial" w:cs="Arial"/>
          <w:sz w:val="24"/>
          <w:szCs w:val="24"/>
        </w:rPr>
        <w:t>has reconciled</w:t>
      </w:r>
      <w:r w:rsidR="00356DDD">
        <w:rPr>
          <w:rFonts w:ascii="Arial" w:hAnsi="Arial" w:cs="Arial"/>
          <w:sz w:val="24"/>
          <w:szCs w:val="24"/>
        </w:rPr>
        <w:t xml:space="preserve"> the CT 148 GA expense with the RPP portion of the GA that was trued up for volumes and prices and the Non-RPP portion of the GA that was trued up for volumes and prices</w:t>
      </w:r>
      <w:r w:rsidR="00801888">
        <w:rPr>
          <w:rFonts w:ascii="Arial" w:hAnsi="Arial" w:cs="Arial"/>
          <w:sz w:val="24"/>
          <w:szCs w:val="24"/>
        </w:rPr>
        <w:t xml:space="preserve"> for 2017 and 2018</w:t>
      </w:r>
      <w:r w:rsidR="00356DDD">
        <w:rPr>
          <w:rFonts w:ascii="Arial" w:hAnsi="Arial" w:cs="Arial"/>
          <w:sz w:val="24"/>
          <w:szCs w:val="24"/>
        </w:rPr>
        <w:t xml:space="preserve">. </w:t>
      </w:r>
    </w:p>
    <w:p w:rsidR="003F5854" w:rsidRDefault="003F5854" w:rsidP="003F5854">
      <w:pPr>
        <w:autoSpaceDE w:val="0"/>
        <w:autoSpaceDN w:val="0"/>
        <w:adjustRightInd w:val="0"/>
        <w:spacing w:after="0" w:line="240" w:lineRule="auto"/>
        <w:ind w:left="1080"/>
        <w:rPr>
          <w:rFonts w:ascii="Arial" w:hAnsi="Arial" w:cs="Arial"/>
          <w:sz w:val="24"/>
          <w:szCs w:val="24"/>
        </w:rPr>
      </w:pPr>
    </w:p>
    <w:p w:rsidR="003F5854" w:rsidRPr="003F5854" w:rsidRDefault="003F5854" w:rsidP="003F5854">
      <w:pPr>
        <w:autoSpaceDE w:val="0"/>
        <w:autoSpaceDN w:val="0"/>
        <w:adjustRightInd w:val="0"/>
        <w:spacing w:after="0" w:line="240" w:lineRule="auto"/>
        <w:ind w:left="1080"/>
        <w:rPr>
          <w:rFonts w:ascii="Arial" w:hAnsi="Arial" w:cs="Arial"/>
          <w:color w:val="0070C0"/>
          <w:sz w:val="24"/>
          <w:szCs w:val="24"/>
        </w:rPr>
      </w:pPr>
      <w:r>
        <w:rPr>
          <w:rFonts w:ascii="Arial" w:hAnsi="Arial" w:cs="Arial"/>
          <w:color w:val="0070C0"/>
          <w:sz w:val="24"/>
          <w:szCs w:val="24"/>
        </w:rPr>
        <w:t xml:space="preserve">Yes, this is reconciled monthly. See below. There are no variances. </w:t>
      </w:r>
    </w:p>
    <w:p w:rsidR="003F5854" w:rsidRDefault="003F5854" w:rsidP="003F5854">
      <w:pPr>
        <w:autoSpaceDE w:val="0"/>
        <w:autoSpaceDN w:val="0"/>
        <w:adjustRightInd w:val="0"/>
        <w:spacing w:after="0" w:line="240" w:lineRule="auto"/>
        <w:rPr>
          <w:rFonts w:ascii="Arial" w:hAnsi="Arial" w:cs="Arial"/>
          <w:sz w:val="24"/>
          <w:szCs w:val="24"/>
        </w:rPr>
      </w:pPr>
      <w:r w:rsidRPr="003F5854">
        <w:rPr>
          <w:noProof/>
          <w:lang w:val="en-CA" w:eastAsia="en-CA"/>
        </w:rPr>
        <w:lastRenderedPageBreak/>
        <w:drawing>
          <wp:inline distT="0" distB="0" distL="0" distR="0">
            <wp:extent cx="5943600" cy="50554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55476"/>
                    </a:xfrm>
                    <a:prstGeom prst="rect">
                      <a:avLst/>
                    </a:prstGeom>
                    <a:noFill/>
                    <a:ln>
                      <a:noFill/>
                    </a:ln>
                  </pic:spPr>
                </pic:pic>
              </a:graphicData>
            </a:graphic>
          </wp:inline>
        </w:drawing>
      </w:r>
    </w:p>
    <w:p w:rsidR="003F5854" w:rsidRPr="003F5854" w:rsidRDefault="003F5854" w:rsidP="003F5854">
      <w:pPr>
        <w:autoSpaceDE w:val="0"/>
        <w:autoSpaceDN w:val="0"/>
        <w:adjustRightInd w:val="0"/>
        <w:spacing w:after="0" w:line="240" w:lineRule="auto"/>
        <w:rPr>
          <w:rFonts w:ascii="Arial" w:hAnsi="Arial" w:cs="Arial"/>
          <w:sz w:val="24"/>
          <w:szCs w:val="24"/>
        </w:rPr>
      </w:pPr>
    </w:p>
    <w:p w:rsidR="00801888" w:rsidRDefault="00356DDD" w:rsidP="00356DDD">
      <w:pPr>
        <w:pStyle w:val="ListParagraph"/>
        <w:numPr>
          <w:ilvl w:val="0"/>
          <w:numId w:val="20"/>
        </w:numPr>
        <w:autoSpaceDE w:val="0"/>
        <w:autoSpaceDN w:val="0"/>
        <w:adjustRightInd w:val="0"/>
        <w:spacing w:after="0" w:line="240" w:lineRule="auto"/>
        <w:rPr>
          <w:rFonts w:ascii="Arial" w:hAnsi="Arial" w:cs="Arial"/>
          <w:sz w:val="24"/>
          <w:szCs w:val="24"/>
        </w:rPr>
      </w:pPr>
      <w:r>
        <w:rPr>
          <w:rFonts w:ascii="Arial" w:hAnsi="Arial" w:cs="Arial"/>
          <w:sz w:val="24"/>
          <w:szCs w:val="24"/>
        </w:rPr>
        <w:t>If not, please prepare and provide the reconciliation for 2017 and 2018</w:t>
      </w:r>
      <w:r w:rsidR="00801888">
        <w:rPr>
          <w:rFonts w:ascii="Arial" w:hAnsi="Arial" w:cs="Arial"/>
          <w:sz w:val="24"/>
          <w:szCs w:val="24"/>
        </w:rPr>
        <w:t xml:space="preserve"> using the table below</w:t>
      </w:r>
      <w:r>
        <w:rPr>
          <w:rFonts w:ascii="Arial" w:hAnsi="Arial" w:cs="Arial"/>
          <w:sz w:val="24"/>
          <w:szCs w:val="24"/>
        </w:rPr>
        <w:t>.</w:t>
      </w:r>
    </w:p>
    <w:p w:rsidR="00801888" w:rsidRDefault="00801888" w:rsidP="00801888">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1639"/>
        <w:gridCol w:w="1606"/>
        <w:gridCol w:w="1606"/>
        <w:gridCol w:w="1705"/>
        <w:gridCol w:w="1397"/>
        <w:gridCol w:w="1397"/>
      </w:tblGrid>
      <w:tr w:rsidR="00801888" w:rsidTr="00801888">
        <w:tc>
          <w:tcPr>
            <w:tcW w:w="1639"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2018</w:t>
            </w:r>
          </w:p>
        </w:tc>
        <w:tc>
          <w:tcPr>
            <w:tcW w:w="1606"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RPP portion of GA (trued up)</w:t>
            </w:r>
          </w:p>
        </w:tc>
        <w:tc>
          <w:tcPr>
            <w:tcW w:w="1606"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Non-RPP portion of GA (trued up)</w:t>
            </w:r>
          </w:p>
        </w:tc>
        <w:tc>
          <w:tcPr>
            <w:tcW w:w="1705"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 xml:space="preserve">Total calculated GA </w:t>
            </w:r>
          </w:p>
        </w:tc>
        <w:tc>
          <w:tcPr>
            <w:tcW w:w="1397"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 xml:space="preserve">CT 148 GA per the IESO Invoice  </w:t>
            </w:r>
          </w:p>
        </w:tc>
        <w:tc>
          <w:tcPr>
            <w:tcW w:w="1397"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Difference</w:t>
            </w:r>
          </w:p>
        </w:tc>
      </w:tr>
      <w:tr w:rsidR="00801888" w:rsidTr="00801888">
        <w:tc>
          <w:tcPr>
            <w:tcW w:w="1639" w:type="dxa"/>
          </w:tcPr>
          <w:p w:rsidR="00801888" w:rsidRDefault="00801888" w:rsidP="00801888">
            <w:pPr>
              <w:autoSpaceDE w:val="0"/>
              <w:autoSpaceDN w:val="0"/>
              <w:adjustRightInd w:val="0"/>
              <w:rPr>
                <w:rFonts w:ascii="Arial" w:hAnsi="Arial" w:cs="Arial"/>
                <w:sz w:val="24"/>
                <w:szCs w:val="24"/>
              </w:rPr>
            </w:pPr>
          </w:p>
        </w:tc>
        <w:tc>
          <w:tcPr>
            <w:tcW w:w="1606"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A</w:t>
            </w:r>
          </w:p>
        </w:tc>
        <w:tc>
          <w:tcPr>
            <w:tcW w:w="1606"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B</w:t>
            </w:r>
          </w:p>
        </w:tc>
        <w:tc>
          <w:tcPr>
            <w:tcW w:w="1705"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C=A+B</w:t>
            </w:r>
          </w:p>
        </w:tc>
        <w:tc>
          <w:tcPr>
            <w:tcW w:w="1397"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D</w:t>
            </w:r>
          </w:p>
        </w:tc>
        <w:tc>
          <w:tcPr>
            <w:tcW w:w="1397"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E=C-D</w:t>
            </w:r>
          </w:p>
        </w:tc>
      </w:tr>
      <w:tr w:rsidR="00801888" w:rsidTr="00801888">
        <w:tc>
          <w:tcPr>
            <w:tcW w:w="1639"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January</w:t>
            </w:r>
          </w:p>
        </w:tc>
        <w:tc>
          <w:tcPr>
            <w:tcW w:w="1606" w:type="dxa"/>
          </w:tcPr>
          <w:p w:rsidR="00801888" w:rsidRDefault="00801888" w:rsidP="00801888">
            <w:pPr>
              <w:autoSpaceDE w:val="0"/>
              <w:autoSpaceDN w:val="0"/>
              <w:adjustRightInd w:val="0"/>
              <w:rPr>
                <w:rFonts w:ascii="Arial" w:hAnsi="Arial" w:cs="Arial"/>
                <w:sz w:val="24"/>
                <w:szCs w:val="24"/>
              </w:rPr>
            </w:pPr>
          </w:p>
        </w:tc>
        <w:tc>
          <w:tcPr>
            <w:tcW w:w="1606" w:type="dxa"/>
          </w:tcPr>
          <w:p w:rsidR="00801888" w:rsidRDefault="00801888" w:rsidP="00801888">
            <w:pPr>
              <w:autoSpaceDE w:val="0"/>
              <w:autoSpaceDN w:val="0"/>
              <w:adjustRightInd w:val="0"/>
              <w:rPr>
                <w:rFonts w:ascii="Arial" w:hAnsi="Arial" w:cs="Arial"/>
                <w:sz w:val="24"/>
                <w:szCs w:val="24"/>
              </w:rPr>
            </w:pPr>
          </w:p>
        </w:tc>
        <w:tc>
          <w:tcPr>
            <w:tcW w:w="1705" w:type="dxa"/>
          </w:tcPr>
          <w:p w:rsidR="00801888" w:rsidRDefault="00801888" w:rsidP="00801888">
            <w:pPr>
              <w:autoSpaceDE w:val="0"/>
              <w:autoSpaceDN w:val="0"/>
              <w:adjustRightInd w:val="0"/>
              <w:rPr>
                <w:rFonts w:ascii="Arial" w:hAnsi="Arial" w:cs="Arial"/>
                <w:sz w:val="24"/>
                <w:szCs w:val="24"/>
              </w:rPr>
            </w:pPr>
          </w:p>
        </w:tc>
        <w:tc>
          <w:tcPr>
            <w:tcW w:w="1397" w:type="dxa"/>
          </w:tcPr>
          <w:p w:rsidR="00801888" w:rsidRDefault="00801888" w:rsidP="00801888">
            <w:pPr>
              <w:autoSpaceDE w:val="0"/>
              <w:autoSpaceDN w:val="0"/>
              <w:adjustRightInd w:val="0"/>
              <w:rPr>
                <w:rFonts w:ascii="Arial" w:hAnsi="Arial" w:cs="Arial"/>
                <w:sz w:val="24"/>
                <w:szCs w:val="24"/>
              </w:rPr>
            </w:pPr>
          </w:p>
        </w:tc>
        <w:tc>
          <w:tcPr>
            <w:tcW w:w="1397" w:type="dxa"/>
          </w:tcPr>
          <w:p w:rsidR="00801888" w:rsidRDefault="00801888" w:rsidP="00801888">
            <w:pPr>
              <w:autoSpaceDE w:val="0"/>
              <w:autoSpaceDN w:val="0"/>
              <w:adjustRightInd w:val="0"/>
              <w:rPr>
                <w:rFonts w:ascii="Arial" w:hAnsi="Arial" w:cs="Arial"/>
                <w:sz w:val="24"/>
                <w:szCs w:val="24"/>
              </w:rPr>
            </w:pPr>
          </w:p>
        </w:tc>
      </w:tr>
      <w:tr w:rsidR="00801888" w:rsidTr="00801888">
        <w:tc>
          <w:tcPr>
            <w:tcW w:w="1639"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w:t>
            </w:r>
          </w:p>
        </w:tc>
        <w:tc>
          <w:tcPr>
            <w:tcW w:w="1606" w:type="dxa"/>
          </w:tcPr>
          <w:p w:rsidR="00801888" w:rsidRDefault="00801888" w:rsidP="00801888">
            <w:pPr>
              <w:autoSpaceDE w:val="0"/>
              <w:autoSpaceDN w:val="0"/>
              <w:adjustRightInd w:val="0"/>
              <w:rPr>
                <w:rFonts w:ascii="Arial" w:hAnsi="Arial" w:cs="Arial"/>
                <w:sz w:val="24"/>
                <w:szCs w:val="24"/>
              </w:rPr>
            </w:pPr>
          </w:p>
        </w:tc>
        <w:tc>
          <w:tcPr>
            <w:tcW w:w="1606" w:type="dxa"/>
          </w:tcPr>
          <w:p w:rsidR="00801888" w:rsidRDefault="00801888" w:rsidP="00801888">
            <w:pPr>
              <w:autoSpaceDE w:val="0"/>
              <w:autoSpaceDN w:val="0"/>
              <w:adjustRightInd w:val="0"/>
              <w:rPr>
                <w:rFonts w:ascii="Arial" w:hAnsi="Arial" w:cs="Arial"/>
                <w:sz w:val="24"/>
                <w:szCs w:val="24"/>
              </w:rPr>
            </w:pPr>
          </w:p>
        </w:tc>
        <w:tc>
          <w:tcPr>
            <w:tcW w:w="1705" w:type="dxa"/>
          </w:tcPr>
          <w:p w:rsidR="00801888" w:rsidRDefault="00801888" w:rsidP="00801888">
            <w:pPr>
              <w:autoSpaceDE w:val="0"/>
              <w:autoSpaceDN w:val="0"/>
              <w:adjustRightInd w:val="0"/>
              <w:rPr>
                <w:rFonts w:ascii="Arial" w:hAnsi="Arial" w:cs="Arial"/>
                <w:sz w:val="24"/>
                <w:szCs w:val="24"/>
              </w:rPr>
            </w:pPr>
          </w:p>
        </w:tc>
        <w:tc>
          <w:tcPr>
            <w:tcW w:w="1397" w:type="dxa"/>
          </w:tcPr>
          <w:p w:rsidR="00801888" w:rsidRDefault="00801888" w:rsidP="00801888">
            <w:pPr>
              <w:autoSpaceDE w:val="0"/>
              <w:autoSpaceDN w:val="0"/>
              <w:adjustRightInd w:val="0"/>
              <w:rPr>
                <w:rFonts w:ascii="Arial" w:hAnsi="Arial" w:cs="Arial"/>
                <w:sz w:val="24"/>
                <w:szCs w:val="24"/>
              </w:rPr>
            </w:pPr>
          </w:p>
        </w:tc>
        <w:tc>
          <w:tcPr>
            <w:tcW w:w="1397" w:type="dxa"/>
          </w:tcPr>
          <w:p w:rsidR="00801888" w:rsidRDefault="00801888" w:rsidP="00801888">
            <w:pPr>
              <w:autoSpaceDE w:val="0"/>
              <w:autoSpaceDN w:val="0"/>
              <w:adjustRightInd w:val="0"/>
              <w:rPr>
                <w:rFonts w:ascii="Arial" w:hAnsi="Arial" w:cs="Arial"/>
                <w:sz w:val="24"/>
                <w:szCs w:val="24"/>
              </w:rPr>
            </w:pPr>
          </w:p>
        </w:tc>
      </w:tr>
      <w:tr w:rsidR="00801888" w:rsidTr="00801888">
        <w:tc>
          <w:tcPr>
            <w:tcW w:w="1639" w:type="dxa"/>
          </w:tcPr>
          <w:p w:rsidR="00801888" w:rsidRDefault="00801888" w:rsidP="00801888">
            <w:pPr>
              <w:autoSpaceDE w:val="0"/>
              <w:autoSpaceDN w:val="0"/>
              <w:adjustRightInd w:val="0"/>
              <w:rPr>
                <w:rFonts w:ascii="Arial" w:hAnsi="Arial" w:cs="Arial"/>
                <w:sz w:val="24"/>
                <w:szCs w:val="24"/>
              </w:rPr>
            </w:pPr>
            <w:r>
              <w:rPr>
                <w:rFonts w:ascii="Arial" w:hAnsi="Arial" w:cs="Arial"/>
                <w:sz w:val="24"/>
                <w:szCs w:val="24"/>
              </w:rPr>
              <w:t>December</w:t>
            </w:r>
          </w:p>
        </w:tc>
        <w:tc>
          <w:tcPr>
            <w:tcW w:w="1606" w:type="dxa"/>
          </w:tcPr>
          <w:p w:rsidR="00801888" w:rsidRDefault="00801888" w:rsidP="00801888">
            <w:pPr>
              <w:autoSpaceDE w:val="0"/>
              <w:autoSpaceDN w:val="0"/>
              <w:adjustRightInd w:val="0"/>
              <w:rPr>
                <w:rFonts w:ascii="Arial" w:hAnsi="Arial" w:cs="Arial"/>
                <w:sz w:val="24"/>
                <w:szCs w:val="24"/>
              </w:rPr>
            </w:pPr>
          </w:p>
        </w:tc>
        <w:tc>
          <w:tcPr>
            <w:tcW w:w="1606" w:type="dxa"/>
          </w:tcPr>
          <w:p w:rsidR="00801888" w:rsidRDefault="00801888" w:rsidP="00801888">
            <w:pPr>
              <w:autoSpaceDE w:val="0"/>
              <w:autoSpaceDN w:val="0"/>
              <w:adjustRightInd w:val="0"/>
              <w:rPr>
                <w:rFonts w:ascii="Arial" w:hAnsi="Arial" w:cs="Arial"/>
                <w:sz w:val="24"/>
                <w:szCs w:val="24"/>
              </w:rPr>
            </w:pPr>
          </w:p>
        </w:tc>
        <w:tc>
          <w:tcPr>
            <w:tcW w:w="1705" w:type="dxa"/>
          </w:tcPr>
          <w:p w:rsidR="00801888" w:rsidRDefault="00801888" w:rsidP="00801888">
            <w:pPr>
              <w:autoSpaceDE w:val="0"/>
              <w:autoSpaceDN w:val="0"/>
              <w:adjustRightInd w:val="0"/>
              <w:rPr>
                <w:rFonts w:ascii="Arial" w:hAnsi="Arial" w:cs="Arial"/>
                <w:sz w:val="24"/>
                <w:szCs w:val="24"/>
              </w:rPr>
            </w:pPr>
          </w:p>
        </w:tc>
        <w:tc>
          <w:tcPr>
            <w:tcW w:w="1397" w:type="dxa"/>
          </w:tcPr>
          <w:p w:rsidR="00801888" w:rsidRDefault="00801888" w:rsidP="00801888">
            <w:pPr>
              <w:autoSpaceDE w:val="0"/>
              <w:autoSpaceDN w:val="0"/>
              <w:adjustRightInd w:val="0"/>
              <w:rPr>
                <w:rFonts w:ascii="Arial" w:hAnsi="Arial" w:cs="Arial"/>
                <w:sz w:val="24"/>
                <w:szCs w:val="24"/>
              </w:rPr>
            </w:pPr>
          </w:p>
        </w:tc>
        <w:tc>
          <w:tcPr>
            <w:tcW w:w="1397" w:type="dxa"/>
          </w:tcPr>
          <w:p w:rsidR="00801888" w:rsidRDefault="00801888" w:rsidP="00801888">
            <w:pPr>
              <w:autoSpaceDE w:val="0"/>
              <w:autoSpaceDN w:val="0"/>
              <w:adjustRightInd w:val="0"/>
              <w:rPr>
                <w:rFonts w:ascii="Arial" w:hAnsi="Arial" w:cs="Arial"/>
                <w:sz w:val="24"/>
                <w:szCs w:val="24"/>
              </w:rPr>
            </w:pPr>
          </w:p>
        </w:tc>
      </w:tr>
    </w:tbl>
    <w:p w:rsidR="00801888" w:rsidRDefault="00801888" w:rsidP="00801888">
      <w:pPr>
        <w:autoSpaceDE w:val="0"/>
        <w:autoSpaceDN w:val="0"/>
        <w:adjustRightInd w:val="0"/>
        <w:spacing w:after="0" w:line="240" w:lineRule="auto"/>
        <w:rPr>
          <w:rFonts w:ascii="Arial" w:hAnsi="Arial" w:cs="Arial"/>
          <w:sz w:val="24"/>
          <w:szCs w:val="24"/>
        </w:rPr>
      </w:pPr>
    </w:p>
    <w:p w:rsidR="00356DDD" w:rsidRDefault="00801888" w:rsidP="0080188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also prepare the 2017 reconciliation using the same format. </w:t>
      </w:r>
    </w:p>
    <w:p w:rsidR="00801888" w:rsidRPr="00801888" w:rsidRDefault="00801888" w:rsidP="00801888">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if the column E has differences for any of the months in the year. </w:t>
      </w:r>
    </w:p>
    <w:p w:rsidR="00356DDD" w:rsidRDefault="00356DDD" w:rsidP="00356DDD">
      <w:pPr>
        <w:autoSpaceDE w:val="0"/>
        <w:autoSpaceDN w:val="0"/>
        <w:adjustRightInd w:val="0"/>
        <w:spacing w:after="0" w:line="240" w:lineRule="auto"/>
        <w:rPr>
          <w:rFonts w:ascii="Arial" w:hAnsi="Arial" w:cs="Arial"/>
          <w:sz w:val="24"/>
          <w:szCs w:val="24"/>
        </w:rPr>
      </w:pPr>
    </w:p>
    <w:p w:rsidR="00356DDD" w:rsidRPr="00356DDD" w:rsidRDefault="00356DDD" w:rsidP="00356DDD">
      <w:pPr>
        <w:autoSpaceDE w:val="0"/>
        <w:autoSpaceDN w:val="0"/>
        <w:adjustRightInd w:val="0"/>
        <w:spacing w:after="0" w:line="240" w:lineRule="auto"/>
        <w:rPr>
          <w:rFonts w:ascii="Arial" w:hAnsi="Arial" w:cs="Arial"/>
          <w:sz w:val="24"/>
          <w:szCs w:val="24"/>
        </w:rPr>
      </w:pPr>
    </w:p>
    <w:p w:rsidR="009E0BFC" w:rsidRDefault="008F6D8F" w:rsidP="008F6D8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Ref: 2017 RPP Settlement True-up V5 excel file</w:t>
      </w:r>
    </w:p>
    <w:p w:rsidR="008F6D8F" w:rsidRDefault="008F6D8F" w:rsidP="008F6D8F">
      <w:pPr>
        <w:autoSpaceDE w:val="0"/>
        <w:autoSpaceDN w:val="0"/>
        <w:adjustRightInd w:val="0"/>
        <w:spacing w:after="0" w:line="240" w:lineRule="auto"/>
        <w:rPr>
          <w:rFonts w:ascii="Arial" w:hAnsi="Arial" w:cs="Arial"/>
          <w:sz w:val="24"/>
          <w:szCs w:val="24"/>
        </w:rPr>
      </w:pPr>
    </w:p>
    <w:p w:rsidR="008F6D8F" w:rsidRDefault="008F6D8F" w:rsidP="008F6D8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OEB staff notes that the 2017 true-up file comprises of the RPP true-up amounts from April 2017 to December 2017. </w:t>
      </w:r>
    </w:p>
    <w:p w:rsidR="008F6D8F" w:rsidRDefault="008F6D8F" w:rsidP="008F6D8F">
      <w:pPr>
        <w:autoSpaceDE w:val="0"/>
        <w:autoSpaceDN w:val="0"/>
        <w:adjustRightInd w:val="0"/>
        <w:spacing w:after="0" w:line="240" w:lineRule="auto"/>
        <w:rPr>
          <w:rFonts w:ascii="Arial" w:hAnsi="Arial" w:cs="Arial"/>
          <w:sz w:val="24"/>
          <w:szCs w:val="24"/>
        </w:rPr>
      </w:pPr>
    </w:p>
    <w:p w:rsidR="0047575F" w:rsidRDefault="0047575F" w:rsidP="0047575F">
      <w:pPr>
        <w:pStyle w:val="ListParagraph"/>
        <w:numPr>
          <w:ilvl w:val="0"/>
          <w:numId w:val="2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that the Actual HOEP for all RPP tiers in each month (cells C18 to C22) are the final prices for energy consumed in the month. </w:t>
      </w:r>
    </w:p>
    <w:p w:rsidR="00CA3A99" w:rsidRDefault="00CA3A99" w:rsidP="00CA3A99">
      <w:pPr>
        <w:pStyle w:val="ListParagraph"/>
        <w:autoSpaceDE w:val="0"/>
        <w:autoSpaceDN w:val="0"/>
        <w:adjustRightInd w:val="0"/>
        <w:spacing w:after="0" w:line="240" w:lineRule="auto"/>
        <w:rPr>
          <w:rFonts w:ascii="Arial" w:hAnsi="Arial" w:cs="Arial"/>
          <w:sz w:val="24"/>
          <w:szCs w:val="24"/>
        </w:rPr>
      </w:pPr>
    </w:p>
    <w:p w:rsidR="00CA3A99" w:rsidRPr="00CA3A99" w:rsidRDefault="00CA3A99" w:rsidP="00CA3A99">
      <w:pPr>
        <w:pStyle w:val="ListParagraph"/>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Yes, WNH confirms that the prices are final.</w:t>
      </w:r>
    </w:p>
    <w:p w:rsidR="00CA3A99" w:rsidRDefault="00CA3A99" w:rsidP="00CA3A99">
      <w:pPr>
        <w:pStyle w:val="ListParagraph"/>
        <w:autoSpaceDE w:val="0"/>
        <w:autoSpaceDN w:val="0"/>
        <w:adjustRightInd w:val="0"/>
        <w:spacing w:after="0" w:line="240" w:lineRule="auto"/>
        <w:rPr>
          <w:rFonts w:ascii="Arial" w:hAnsi="Arial" w:cs="Arial"/>
          <w:sz w:val="24"/>
          <w:szCs w:val="24"/>
        </w:rPr>
      </w:pPr>
    </w:p>
    <w:p w:rsidR="00CA3A99" w:rsidRDefault="008F6D8F" w:rsidP="00CA3A99">
      <w:pPr>
        <w:pStyle w:val="ListParagraph"/>
        <w:numPr>
          <w:ilvl w:val="0"/>
          <w:numId w:val="2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explain why </w:t>
      </w:r>
      <w:r w:rsidR="00B22039">
        <w:rPr>
          <w:rFonts w:ascii="Arial" w:hAnsi="Arial" w:cs="Arial"/>
          <w:sz w:val="24"/>
          <w:szCs w:val="24"/>
        </w:rPr>
        <w:t xml:space="preserve">the 2017 true-up only included the months from April 2017. </w:t>
      </w:r>
    </w:p>
    <w:p w:rsidR="00CA3A99" w:rsidRDefault="00CA3A99" w:rsidP="00CA3A99">
      <w:pPr>
        <w:autoSpaceDE w:val="0"/>
        <w:autoSpaceDN w:val="0"/>
        <w:adjustRightInd w:val="0"/>
        <w:spacing w:after="0" w:line="240" w:lineRule="auto"/>
        <w:rPr>
          <w:rFonts w:ascii="Arial" w:hAnsi="Arial" w:cs="Arial"/>
          <w:sz w:val="24"/>
          <w:szCs w:val="24"/>
        </w:rPr>
      </w:pPr>
    </w:p>
    <w:p w:rsidR="00CA3A99" w:rsidRPr="00CA3A99" w:rsidRDefault="00CA3A99" w:rsidP="00CA3A99">
      <w:pPr>
        <w:autoSpaceDE w:val="0"/>
        <w:autoSpaceDN w:val="0"/>
        <w:adjustRightInd w:val="0"/>
        <w:spacing w:after="0" w:line="240" w:lineRule="auto"/>
        <w:ind w:left="720"/>
        <w:rPr>
          <w:rFonts w:ascii="Arial" w:hAnsi="Arial" w:cs="Arial"/>
          <w:color w:val="0070C0"/>
          <w:sz w:val="24"/>
          <w:szCs w:val="24"/>
        </w:rPr>
      </w:pPr>
      <w:r w:rsidRPr="00CA3A99">
        <w:rPr>
          <w:rFonts w:ascii="Arial" w:hAnsi="Arial" w:cs="Arial"/>
          <w:color w:val="0070C0"/>
          <w:sz w:val="24"/>
          <w:szCs w:val="24"/>
        </w:rPr>
        <w:t xml:space="preserve">In mid-March 2017 WNH moved to a new </w:t>
      </w:r>
      <w:r>
        <w:rPr>
          <w:rFonts w:ascii="Arial" w:hAnsi="Arial" w:cs="Arial"/>
          <w:color w:val="0070C0"/>
          <w:sz w:val="24"/>
          <w:szCs w:val="24"/>
        </w:rPr>
        <w:t>Customer Information System</w:t>
      </w:r>
      <w:r w:rsidRPr="00CA3A99">
        <w:rPr>
          <w:rFonts w:ascii="Arial" w:hAnsi="Arial" w:cs="Arial"/>
          <w:color w:val="0070C0"/>
          <w:sz w:val="24"/>
          <w:szCs w:val="24"/>
        </w:rPr>
        <w:t>. Prior to this change WNH did not have actual values by calendar month which is what was</w:t>
      </w:r>
      <w:r w:rsidR="00CE7A14">
        <w:rPr>
          <w:rFonts w:ascii="Arial" w:hAnsi="Arial" w:cs="Arial"/>
          <w:color w:val="0070C0"/>
          <w:sz w:val="24"/>
          <w:szCs w:val="24"/>
        </w:rPr>
        <w:t xml:space="preserve"> used for truing up April to </w:t>
      </w:r>
      <w:r w:rsidRPr="00CA3A99">
        <w:rPr>
          <w:rFonts w:ascii="Arial" w:hAnsi="Arial" w:cs="Arial"/>
          <w:color w:val="0070C0"/>
          <w:sz w:val="24"/>
          <w:szCs w:val="24"/>
        </w:rPr>
        <w:t xml:space="preserve">December 2017 and all of 2018 using the new billing system. </w:t>
      </w:r>
    </w:p>
    <w:p w:rsidR="00CA3A99" w:rsidRPr="00CA3A99" w:rsidRDefault="00CA3A99" w:rsidP="00CA3A99">
      <w:pPr>
        <w:autoSpaceDE w:val="0"/>
        <w:autoSpaceDN w:val="0"/>
        <w:adjustRightInd w:val="0"/>
        <w:spacing w:after="0" w:line="240" w:lineRule="auto"/>
        <w:rPr>
          <w:rFonts w:ascii="Arial" w:hAnsi="Arial" w:cs="Arial"/>
          <w:sz w:val="24"/>
          <w:szCs w:val="24"/>
        </w:rPr>
      </w:pPr>
    </w:p>
    <w:p w:rsidR="002C098D" w:rsidRDefault="002A0DD0" w:rsidP="0047575F">
      <w:pPr>
        <w:pStyle w:val="ListParagraph"/>
        <w:numPr>
          <w:ilvl w:val="0"/>
          <w:numId w:val="2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the true-up amounts from January to March 2017 if applicable. </w:t>
      </w:r>
    </w:p>
    <w:p w:rsidR="00CA3A99" w:rsidRDefault="00CA3A99" w:rsidP="00CA3A99">
      <w:pPr>
        <w:autoSpaceDE w:val="0"/>
        <w:autoSpaceDN w:val="0"/>
        <w:adjustRightInd w:val="0"/>
        <w:spacing w:after="0" w:line="240" w:lineRule="auto"/>
        <w:rPr>
          <w:rFonts w:ascii="Arial" w:hAnsi="Arial" w:cs="Arial"/>
          <w:sz w:val="24"/>
          <w:szCs w:val="24"/>
        </w:rPr>
      </w:pPr>
    </w:p>
    <w:p w:rsidR="00CA3A99" w:rsidRPr="00CA3A99" w:rsidRDefault="00CA3A99" w:rsidP="00CA3A99">
      <w:pPr>
        <w:autoSpaceDE w:val="0"/>
        <w:autoSpaceDN w:val="0"/>
        <w:adjustRightInd w:val="0"/>
        <w:spacing w:after="0" w:line="240" w:lineRule="auto"/>
        <w:ind w:left="720"/>
        <w:rPr>
          <w:rFonts w:ascii="Arial" w:hAnsi="Arial" w:cs="Arial"/>
          <w:sz w:val="24"/>
          <w:szCs w:val="24"/>
        </w:rPr>
      </w:pPr>
      <w:r w:rsidRPr="00CA3A99">
        <w:rPr>
          <w:rFonts w:ascii="Arial" w:hAnsi="Arial" w:cs="Arial"/>
          <w:color w:val="0070C0"/>
          <w:sz w:val="24"/>
          <w:szCs w:val="24"/>
        </w:rPr>
        <w:t>As noted above, the data in WNH’s previous Customer Information System was stored by billing period. Therefore, WNH did not have actual values by calendar month to true-up to. As WNH is unable to access this data, WNH would not be able to true-up these values using the same methodology used for April to December of 2017 and 2018.</w:t>
      </w:r>
      <w:r w:rsidR="0031773E">
        <w:rPr>
          <w:rFonts w:ascii="Arial" w:hAnsi="Arial" w:cs="Arial"/>
          <w:color w:val="0070C0"/>
          <w:sz w:val="24"/>
          <w:szCs w:val="24"/>
        </w:rPr>
        <w:t xml:space="preserve"> WNH could determine a pro-rated amount for these months however this would largely be an estimate and this process would take a substantial amount of time to calculate.</w:t>
      </w:r>
      <w:r w:rsidR="00CF382D">
        <w:rPr>
          <w:rFonts w:ascii="Arial" w:hAnsi="Arial" w:cs="Arial"/>
          <w:color w:val="0070C0"/>
          <w:sz w:val="24"/>
          <w:szCs w:val="24"/>
        </w:rPr>
        <w:t xml:space="preserve"> Also the billing during this time period was bi-monthly for RPP and monthly for non-RPP which would further complicate the estimate.</w:t>
      </w:r>
      <w:r w:rsidR="0031773E">
        <w:rPr>
          <w:rFonts w:ascii="Arial" w:hAnsi="Arial" w:cs="Arial"/>
          <w:color w:val="0070C0"/>
          <w:sz w:val="24"/>
          <w:szCs w:val="24"/>
        </w:rPr>
        <w:t xml:space="preserve"> WNH’s preference would be true up the amounts noted in this application using the new Customer Information System </w:t>
      </w:r>
      <w:r w:rsidR="00CF382D">
        <w:rPr>
          <w:rFonts w:ascii="Arial" w:hAnsi="Arial" w:cs="Arial"/>
          <w:color w:val="0070C0"/>
          <w:sz w:val="24"/>
          <w:szCs w:val="24"/>
        </w:rPr>
        <w:t xml:space="preserve">data </w:t>
      </w:r>
      <w:r w:rsidR="0031773E">
        <w:rPr>
          <w:rFonts w:ascii="Arial" w:hAnsi="Arial" w:cs="Arial"/>
          <w:color w:val="0070C0"/>
          <w:sz w:val="24"/>
          <w:szCs w:val="24"/>
        </w:rPr>
        <w:t>and not attempt to calculate</w:t>
      </w:r>
      <w:r w:rsidR="00CF382D">
        <w:rPr>
          <w:rFonts w:ascii="Arial" w:hAnsi="Arial" w:cs="Arial"/>
          <w:color w:val="0070C0"/>
          <w:sz w:val="24"/>
          <w:szCs w:val="24"/>
        </w:rPr>
        <w:t xml:space="preserve"> an estimate for</w:t>
      </w:r>
      <w:r w:rsidR="0031773E">
        <w:rPr>
          <w:rFonts w:ascii="Arial" w:hAnsi="Arial" w:cs="Arial"/>
          <w:color w:val="0070C0"/>
          <w:sz w:val="24"/>
          <w:szCs w:val="24"/>
        </w:rPr>
        <w:t xml:space="preserve"> January to March 2017 1588 as this has already been cleared with customers in 2019 and likely would not be significantly large.</w:t>
      </w:r>
      <w:r w:rsidR="0031773E">
        <w:rPr>
          <w:rFonts w:ascii="Arial" w:hAnsi="Arial" w:cs="Arial"/>
          <w:sz w:val="24"/>
          <w:szCs w:val="24"/>
        </w:rPr>
        <w:t xml:space="preserve"> </w:t>
      </w:r>
      <w:r w:rsidR="0031773E" w:rsidRPr="0031773E">
        <w:rPr>
          <w:rFonts w:ascii="Arial" w:hAnsi="Arial" w:cs="Arial"/>
          <w:color w:val="0070C0"/>
          <w:sz w:val="24"/>
          <w:szCs w:val="24"/>
        </w:rPr>
        <w:t xml:space="preserve">The new accounting methodology should resolve any issues with 1588 on a go forward basis. </w:t>
      </w:r>
    </w:p>
    <w:p w:rsidR="00CA3A99" w:rsidRPr="00CA3A99" w:rsidRDefault="00CA3A99" w:rsidP="00CA3A99">
      <w:pPr>
        <w:autoSpaceDE w:val="0"/>
        <w:autoSpaceDN w:val="0"/>
        <w:adjustRightInd w:val="0"/>
        <w:spacing w:after="0" w:line="240" w:lineRule="auto"/>
        <w:rPr>
          <w:rFonts w:ascii="Arial" w:hAnsi="Arial" w:cs="Arial"/>
          <w:sz w:val="24"/>
          <w:szCs w:val="24"/>
        </w:rPr>
      </w:pPr>
    </w:p>
    <w:p w:rsidR="00801888" w:rsidRDefault="00801888" w:rsidP="0047575F">
      <w:pPr>
        <w:pStyle w:val="ListParagraph"/>
        <w:numPr>
          <w:ilvl w:val="0"/>
          <w:numId w:val="2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a complete pricing information for the estimated HOEP and GA for the RPP tiers (Cells C7 to D11) for each month of 2017 in the excel file. </w:t>
      </w:r>
    </w:p>
    <w:p w:rsidR="00CF382D" w:rsidRDefault="00CF382D" w:rsidP="00CF382D">
      <w:pPr>
        <w:autoSpaceDE w:val="0"/>
        <w:autoSpaceDN w:val="0"/>
        <w:adjustRightInd w:val="0"/>
        <w:spacing w:after="0" w:line="240" w:lineRule="auto"/>
        <w:rPr>
          <w:rFonts w:ascii="Arial" w:hAnsi="Arial" w:cs="Arial"/>
          <w:sz w:val="24"/>
          <w:szCs w:val="24"/>
        </w:rPr>
      </w:pPr>
    </w:p>
    <w:p w:rsidR="00CF382D" w:rsidRPr="00CF382D" w:rsidRDefault="00CF382D" w:rsidP="00CF382D">
      <w:pPr>
        <w:autoSpaceDE w:val="0"/>
        <w:autoSpaceDN w:val="0"/>
        <w:adjustRightInd w:val="0"/>
        <w:spacing w:after="0" w:line="240" w:lineRule="auto"/>
        <w:ind w:left="720"/>
        <w:rPr>
          <w:rFonts w:ascii="Arial" w:hAnsi="Arial" w:cs="Arial"/>
          <w:color w:val="0070C0"/>
          <w:sz w:val="24"/>
          <w:szCs w:val="24"/>
        </w:rPr>
      </w:pPr>
      <w:r w:rsidRPr="00473A84">
        <w:rPr>
          <w:rFonts w:ascii="Arial" w:hAnsi="Arial" w:cs="Arial"/>
          <w:color w:val="0070C0"/>
          <w:sz w:val="24"/>
          <w:szCs w:val="24"/>
        </w:rPr>
        <w:t>See attached.</w:t>
      </w:r>
      <w:r w:rsidRPr="00CF382D">
        <w:rPr>
          <w:rFonts w:ascii="Arial" w:hAnsi="Arial" w:cs="Arial"/>
          <w:color w:val="0070C0"/>
          <w:sz w:val="24"/>
          <w:szCs w:val="24"/>
        </w:rPr>
        <w:t xml:space="preserve"> </w:t>
      </w:r>
    </w:p>
    <w:p w:rsidR="00CF382D" w:rsidRPr="00CF382D" w:rsidRDefault="00CF382D" w:rsidP="00CF382D">
      <w:pPr>
        <w:autoSpaceDE w:val="0"/>
        <w:autoSpaceDN w:val="0"/>
        <w:adjustRightInd w:val="0"/>
        <w:spacing w:after="0" w:line="240" w:lineRule="auto"/>
        <w:rPr>
          <w:rFonts w:ascii="Arial" w:hAnsi="Arial" w:cs="Arial"/>
          <w:sz w:val="24"/>
          <w:szCs w:val="24"/>
        </w:rPr>
      </w:pPr>
    </w:p>
    <w:p w:rsidR="0047575F" w:rsidRDefault="0047575F" w:rsidP="0047575F">
      <w:pPr>
        <w:pStyle w:val="ListParagraph"/>
        <w:numPr>
          <w:ilvl w:val="0"/>
          <w:numId w:val="22"/>
        </w:numPr>
        <w:autoSpaceDE w:val="0"/>
        <w:autoSpaceDN w:val="0"/>
        <w:adjustRightInd w:val="0"/>
        <w:spacing w:after="0" w:line="240" w:lineRule="auto"/>
        <w:rPr>
          <w:rFonts w:ascii="Arial" w:hAnsi="Arial" w:cs="Arial"/>
          <w:sz w:val="24"/>
          <w:szCs w:val="24"/>
        </w:rPr>
      </w:pPr>
      <w:r>
        <w:rPr>
          <w:rFonts w:ascii="Arial" w:hAnsi="Arial" w:cs="Arial"/>
          <w:sz w:val="24"/>
          <w:szCs w:val="24"/>
        </w:rPr>
        <w:t>Please explain the large variance from the off-peak class from Tab “Total True up” below:</w:t>
      </w:r>
    </w:p>
    <w:p w:rsidR="0047575F" w:rsidRDefault="0047575F" w:rsidP="0047575F">
      <w:pPr>
        <w:autoSpaceDE w:val="0"/>
        <w:autoSpaceDN w:val="0"/>
        <w:adjustRightInd w:val="0"/>
        <w:spacing w:after="0" w:line="240" w:lineRule="auto"/>
        <w:rPr>
          <w:rFonts w:ascii="Arial" w:hAnsi="Arial" w:cs="Arial"/>
          <w:sz w:val="24"/>
          <w:szCs w:val="24"/>
        </w:rPr>
      </w:pPr>
    </w:p>
    <w:tbl>
      <w:tblPr>
        <w:tblW w:w="2760" w:type="dxa"/>
        <w:tblCellMar>
          <w:left w:w="0" w:type="dxa"/>
          <w:right w:w="0" w:type="dxa"/>
        </w:tblCellMar>
        <w:tblLook w:val="04A0" w:firstRow="1" w:lastRow="0" w:firstColumn="1" w:lastColumn="0" w:noHBand="0" w:noVBand="1"/>
      </w:tblPr>
      <w:tblGrid>
        <w:gridCol w:w="1016"/>
        <w:gridCol w:w="1744"/>
      </w:tblGrid>
      <w:tr w:rsidR="0047575F" w:rsidTr="0047575F">
        <w:trPr>
          <w:trHeight w:val="288"/>
        </w:trPr>
        <w:tc>
          <w:tcPr>
            <w:tcW w:w="276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jc w:val="center"/>
              <w:rPr>
                <w:rFonts w:ascii="Calibri" w:hAnsi="Calibri" w:cs="Calibri"/>
                <w:color w:val="000000"/>
              </w:rPr>
            </w:pPr>
            <w:r>
              <w:rPr>
                <w:rFonts w:ascii="Calibri" w:hAnsi="Calibri" w:cs="Calibri"/>
                <w:color w:val="000000"/>
              </w:rPr>
              <w:t xml:space="preserve">New True Up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xml:space="preserve"> True- Up Total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lastRenderedPageBreak/>
              <w:t xml:space="preserve"> Tier 1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rPr>
            </w:pPr>
            <w:r>
              <w:rPr>
                <w:rFonts w:ascii="Calibri" w:hAnsi="Calibri" w:cs="Calibri"/>
              </w:rPr>
              <w:t xml:space="preserve">          133,896.19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xml:space="preserve"> Tier 2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rPr>
            </w:pPr>
            <w:r>
              <w:rPr>
                <w:rFonts w:ascii="Calibri" w:hAnsi="Calibri" w:cs="Calibri"/>
              </w:rPr>
              <w:t xml:space="preserve">             49,592.03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xml:space="preserve"> Off Peak </w:t>
            </w:r>
          </w:p>
        </w:tc>
        <w:tc>
          <w:tcPr>
            <w:tcW w:w="0" w:type="auto"/>
            <w:tcBorders>
              <w:top w:val="nil"/>
              <w:left w:val="nil"/>
              <w:bottom w:val="single" w:sz="4" w:space="0" w:color="auto"/>
              <w:right w:val="single" w:sz="4" w:space="0" w:color="auto"/>
            </w:tcBorders>
            <w:shd w:val="clear" w:color="000000" w:fill="FFFF00"/>
            <w:noWrap/>
            <w:tcMar>
              <w:top w:w="15" w:type="dxa"/>
              <w:left w:w="15" w:type="dxa"/>
              <w:bottom w:w="0" w:type="dxa"/>
              <w:right w:w="15" w:type="dxa"/>
            </w:tcMar>
            <w:vAlign w:val="bottom"/>
            <w:hideMark/>
          </w:tcPr>
          <w:p w:rsidR="0047575F" w:rsidRDefault="0047575F">
            <w:pPr>
              <w:rPr>
                <w:rFonts w:ascii="Calibri" w:hAnsi="Calibri" w:cs="Calibri"/>
              </w:rPr>
            </w:pPr>
            <w:r>
              <w:rPr>
                <w:rFonts w:ascii="Calibri" w:hAnsi="Calibri" w:cs="Calibri"/>
              </w:rPr>
              <w:t xml:space="preserve">       1,025,564.85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xml:space="preserve"> Mid Peak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rPr>
            </w:pPr>
            <w:r>
              <w:rPr>
                <w:rFonts w:ascii="Calibri" w:hAnsi="Calibri" w:cs="Calibri"/>
              </w:rPr>
              <w:t xml:space="preserve">          135,059.13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xml:space="preserve"> On Peak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FF0000"/>
              </w:rPr>
            </w:pPr>
            <w:r>
              <w:rPr>
                <w:rFonts w:ascii="Calibri" w:hAnsi="Calibri" w:cs="Calibri"/>
                <w:color w:val="FF0000"/>
              </w:rPr>
              <w:t xml:space="preserve">-         150,831.04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FF0000"/>
              </w:rPr>
            </w:pPr>
            <w:r>
              <w:rPr>
                <w:rFonts w:ascii="Calibri" w:hAnsi="Calibri" w:cs="Calibri"/>
                <w:color w:val="FF0000"/>
              </w:rPr>
              <w:t> </w:t>
            </w:r>
          </w:p>
        </w:tc>
      </w:tr>
      <w:tr w:rsidR="0047575F" w:rsidTr="0047575F">
        <w:trPr>
          <w:trHeight w:val="28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color w:val="000000"/>
              </w:rPr>
            </w:pPr>
            <w:r>
              <w:rPr>
                <w:rFonts w:ascii="Calibri" w:hAnsi="Calibri" w:cs="Calibri"/>
                <w:color w:val="00000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7575F" w:rsidRDefault="0047575F">
            <w:pPr>
              <w:rPr>
                <w:rFonts w:ascii="Calibri" w:hAnsi="Calibri" w:cs="Calibri"/>
              </w:rPr>
            </w:pPr>
            <w:r>
              <w:rPr>
                <w:rFonts w:ascii="Calibri" w:hAnsi="Calibri" w:cs="Calibri"/>
              </w:rPr>
              <w:t xml:space="preserve">       1,193,281.16 </w:t>
            </w:r>
          </w:p>
        </w:tc>
      </w:tr>
    </w:tbl>
    <w:p w:rsidR="0047575F" w:rsidRDefault="0047575F" w:rsidP="0047575F">
      <w:pPr>
        <w:autoSpaceDE w:val="0"/>
        <w:autoSpaceDN w:val="0"/>
        <w:adjustRightInd w:val="0"/>
        <w:spacing w:after="0" w:line="240" w:lineRule="auto"/>
        <w:rPr>
          <w:rFonts w:ascii="Arial" w:hAnsi="Arial" w:cs="Arial"/>
          <w:sz w:val="24"/>
          <w:szCs w:val="24"/>
        </w:rPr>
      </w:pPr>
    </w:p>
    <w:p w:rsidR="0047575F" w:rsidRPr="002566A0" w:rsidRDefault="002566A0" w:rsidP="002566A0">
      <w:pPr>
        <w:autoSpaceDE w:val="0"/>
        <w:autoSpaceDN w:val="0"/>
        <w:adjustRightInd w:val="0"/>
        <w:spacing w:after="0" w:line="240" w:lineRule="auto"/>
        <w:ind w:left="720"/>
        <w:rPr>
          <w:rFonts w:ascii="Arial" w:hAnsi="Arial" w:cs="Arial"/>
          <w:color w:val="0070C0"/>
          <w:sz w:val="24"/>
          <w:szCs w:val="24"/>
        </w:rPr>
      </w:pPr>
      <w:r>
        <w:rPr>
          <w:rFonts w:ascii="Arial" w:hAnsi="Arial" w:cs="Arial"/>
          <w:color w:val="0070C0"/>
          <w:sz w:val="24"/>
          <w:szCs w:val="24"/>
        </w:rPr>
        <w:t>In the 2017 RPP Settlement True-up V5 file, it is demonstrated that there were large variance</w:t>
      </w:r>
      <w:r w:rsidR="000D36F7">
        <w:rPr>
          <w:rFonts w:ascii="Arial" w:hAnsi="Arial" w:cs="Arial"/>
          <w:color w:val="0070C0"/>
          <w:sz w:val="24"/>
          <w:szCs w:val="24"/>
        </w:rPr>
        <w:t xml:space="preserve">s in October and November 2017 between estimated RPP settlement and actual RPP settlement which caused the overall annual variance noted above. The October accrual for non-RPP GA was much lower than actual which was trued-up in November. This caused RPP settlement to require large adjustments in both of these months specifically for </w:t>
      </w:r>
      <w:r w:rsidR="00B50852">
        <w:rPr>
          <w:rFonts w:ascii="Arial" w:hAnsi="Arial" w:cs="Arial"/>
          <w:color w:val="0070C0"/>
          <w:sz w:val="24"/>
          <w:szCs w:val="24"/>
        </w:rPr>
        <w:t>TOU Off-P</w:t>
      </w:r>
      <w:r w:rsidR="000D36F7">
        <w:rPr>
          <w:rFonts w:ascii="Arial" w:hAnsi="Arial" w:cs="Arial"/>
          <w:color w:val="0070C0"/>
          <w:sz w:val="24"/>
          <w:szCs w:val="24"/>
        </w:rPr>
        <w:t xml:space="preserve">eak (decrease in October and increase in November). </w:t>
      </w:r>
      <w:r w:rsidR="00B50852">
        <w:rPr>
          <w:rFonts w:ascii="Arial" w:hAnsi="Arial" w:cs="Arial"/>
          <w:color w:val="0070C0"/>
          <w:sz w:val="24"/>
          <w:szCs w:val="24"/>
        </w:rPr>
        <w:t xml:space="preserve">The variance for this price group is the largest because of two factors: 1) The majority of the usage occurs in TOU Off-Peak (approx. 55%) and 2) When the GA accrual is off, the TOU Off-Peak sees the biggest impact because it is the furthest RPP price (0.065) from the GA rate (0.097). </w:t>
      </w:r>
    </w:p>
    <w:p w:rsidR="00801888" w:rsidRDefault="00801888" w:rsidP="00801888">
      <w:pPr>
        <w:autoSpaceDE w:val="0"/>
        <w:autoSpaceDN w:val="0"/>
        <w:adjustRightInd w:val="0"/>
        <w:spacing w:after="0" w:line="240" w:lineRule="auto"/>
        <w:rPr>
          <w:rFonts w:ascii="Arial" w:hAnsi="Arial" w:cs="Arial"/>
          <w:sz w:val="24"/>
          <w:szCs w:val="24"/>
        </w:rPr>
      </w:pPr>
    </w:p>
    <w:p w:rsidR="00801888" w:rsidRPr="00801888" w:rsidRDefault="00801888" w:rsidP="00801888">
      <w:pPr>
        <w:autoSpaceDE w:val="0"/>
        <w:autoSpaceDN w:val="0"/>
        <w:adjustRightInd w:val="0"/>
        <w:spacing w:after="0" w:line="240" w:lineRule="auto"/>
        <w:rPr>
          <w:rFonts w:ascii="Arial" w:hAnsi="Arial" w:cs="Arial"/>
          <w:sz w:val="24"/>
          <w:szCs w:val="24"/>
        </w:rPr>
      </w:pPr>
    </w:p>
    <w:p w:rsidR="002A0DD0" w:rsidRDefault="0047575F" w:rsidP="0047575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Ref: 2018 RPP Settlement True-up V4 excel file</w:t>
      </w:r>
    </w:p>
    <w:p w:rsidR="0047575F" w:rsidRDefault="0047575F" w:rsidP="0047575F">
      <w:pPr>
        <w:autoSpaceDE w:val="0"/>
        <w:autoSpaceDN w:val="0"/>
        <w:adjustRightInd w:val="0"/>
        <w:spacing w:after="0" w:line="240" w:lineRule="auto"/>
        <w:rPr>
          <w:rFonts w:ascii="Arial" w:hAnsi="Arial" w:cs="Arial"/>
          <w:sz w:val="24"/>
          <w:szCs w:val="24"/>
        </w:rPr>
      </w:pPr>
    </w:p>
    <w:p w:rsidR="0047575F" w:rsidRDefault="0047575F" w:rsidP="0047575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OEB staff notes that the original pricing information for the RPP settlement submitted was not provided for each month of 2018. </w:t>
      </w:r>
    </w:p>
    <w:p w:rsidR="0047575F" w:rsidRDefault="0047575F" w:rsidP="0047575F">
      <w:pPr>
        <w:autoSpaceDE w:val="0"/>
        <w:autoSpaceDN w:val="0"/>
        <w:adjustRightInd w:val="0"/>
        <w:spacing w:after="0" w:line="240" w:lineRule="auto"/>
        <w:rPr>
          <w:rFonts w:ascii="Arial" w:hAnsi="Arial" w:cs="Arial"/>
          <w:sz w:val="24"/>
          <w:szCs w:val="24"/>
        </w:rPr>
      </w:pPr>
    </w:p>
    <w:p w:rsidR="0047575F" w:rsidRDefault="0047575F" w:rsidP="0047575F">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provide a complete pricing information for the estimated HOEP and GA for the RPP tiers (Cells C7 to D11) for each month of 2018 in the excel file. </w:t>
      </w:r>
    </w:p>
    <w:p w:rsidR="00CF382D" w:rsidRDefault="00CF382D" w:rsidP="00CF382D">
      <w:pPr>
        <w:autoSpaceDE w:val="0"/>
        <w:autoSpaceDN w:val="0"/>
        <w:adjustRightInd w:val="0"/>
        <w:spacing w:after="0" w:line="240" w:lineRule="auto"/>
        <w:rPr>
          <w:rFonts w:ascii="Arial" w:hAnsi="Arial" w:cs="Arial"/>
          <w:sz w:val="24"/>
          <w:szCs w:val="24"/>
        </w:rPr>
      </w:pPr>
    </w:p>
    <w:p w:rsidR="00CF382D" w:rsidRPr="00CF382D" w:rsidRDefault="00CF382D" w:rsidP="00CF382D">
      <w:pPr>
        <w:autoSpaceDE w:val="0"/>
        <w:autoSpaceDN w:val="0"/>
        <w:adjustRightInd w:val="0"/>
        <w:spacing w:after="0" w:line="240" w:lineRule="auto"/>
        <w:ind w:left="720"/>
        <w:rPr>
          <w:rFonts w:ascii="Arial" w:hAnsi="Arial" w:cs="Arial"/>
          <w:color w:val="0070C0"/>
          <w:sz w:val="24"/>
          <w:szCs w:val="24"/>
        </w:rPr>
      </w:pPr>
      <w:r w:rsidRPr="00473A84">
        <w:rPr>
          <w:rFonts w:ascii="Arial" w:hAnsi="Arial" w:cs="Arial"/>
          <w:color w:val="0070C0"/>
          <w:sz w:val="24"/>
          <w:szCs w:val="24"/>
        </w:rPr>
        <w:t>See attached.</w:t>
      </w:r>
      <w:r w:rsidRPr="00CF382D">
        <w:rPr>
          <w:rFonts w:ascii="Arial" w:hAnsi="Arial" w:cs="Arial"/>
          <w:color w:val="0070C0"/>
          <w:sz w:val="24"/>
          <w:szCs w:val="24"/>
        </w:rPr>
        <w:t xml:space="preserve"> </w:t>
      </w:r>
    </w:p>
    <w:p w:rsidR="00CF382D" w:rsidRPr="00CF382D" w:rsidRDefault="00CF382D" w:rsidP="00CF382D">
      <w:pPr>
        <w:autoSpaceDE w:val="0"/>
        <w:autoSpaceDN w:val="0"/>
        <w:adjustRightInd w:val="0"/>
        <w:spacing w:after="0" w:line="240" w:lineRule="auto"/>
        <w:rPr>
          <w:rFonts w:ascii="Arial" w:hAnsi="Arial" w:cs="Arial"/>
          <w:sz w:val="24"/>
          <w:szCs w:val="24"/>
        </w:rPr>
      </w:pPr>
    </w:p>
    <w:p w:rsidR="0047575F" w:rsidRDefault="0047575F" w:rsidP="0047575F">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that the Actual HOEP for all RPP tiers in each month (cells C18 to C22) are the final prices for energy consumed in the month. </w:t>
      </w:r>
    </w:p>
    <w:p w:rsidR="00CF382D" w:rsidRDefault="00CF382D" w:rsidP="00CF382D">
      <w:pPr>
        <w:autoSpaceDE w:val="0"/>
        <w:autoSpaceDN w:val="0"/>
        <w:adjustRightInd w:val="0"/>
        <w:spacing w:after="0" w:line="240" w:lineRule="auto"/>
        <w:rPr>
          <w:rFonts w:ascii="Arial" w:hAnsi="Arial" w:cs="Arial"/>
          <w:sz w:val="24"/>
          <w:szCs w:val="24"/>
        </w:rPr>
      </w:pPr>
    </w:p>
    <w:p w:rsidR="00CF382D" w:rsidRPr="00CF382D" w:rsidRDefault="00CF382D" w:rsidP="00CF382D">
      <w:pPr>
        <w:autoSpaceDE w:val="0"/>
        <w:autoSpaceDN w:val="0"/>
        <w:adjustRightInd w:val="0"/>
        <w:spacing w:after="0" w:line="240" w:lineRule="auto"/>
        <w:ind w:left="720"/>
        <w:rPr>
          <w:rFonts w:ascii="Arial" w:hAnsi="Arial" w:cs="Arial"/>
          <w:color w:val="0070C0"/>
          <w:sz w:val="24"/>
          <w:szCs w:val="24"/>
        </w:rPr>
      </w:pPr>
      <w:r w:rsidRPr="00473A84">
        <w:rPr>
          <w:rFonts w:ascii="Arial" w:hAnsi="Arial" w:cs="Arial"/>
          <w:color w:val="0070C0"/>
          <w:sz w:val="24"/>
          <w:szCs w:val="24"/>
        </w:rPr>
        <w:t>WNH confirms that these are final prices.</w:t>
      </w:r>
      <w:r w:rsidRPr="00CF382D">
        <w:rPr>
          <w:rFonts w:ascii="Arial" w:hAnsi="Arial" w:cs="Arial"/>
          <w:color w:val="0070C0"/>
          <w:sz w:val="24"/>
          <w:szCs w:val="24"/>
        </w:rPr>
        <w:t xml:space="preserve"> </w:t>
      </w:r>
    </w:p>
    <w:p w:rsidR="0047575F" w:rsidRPr="0047575F" w:rsidRDefault="0047575F" w:rsidP="0047575F">
      <w:pPr>
        <w:autoSpaceDE w:val="0"/>
        <w:autoSpaceDN w:val="0"/>
        <w:adjustRightInd w:val="0"/>
        <w:spacing w:after="0" w:line="240" w:lineRule="auto"/>
        <w:rPr>
          <w:rFonts w:ascii="Arial" w:hAnsi="Arial" w:cs="Arial"/>
          <w:sz w:val="24"/>
          <w:szCs w:val="24"/>
        </w:rPr>
      </w:pPr>
    </w:p>
    <w:p w:rsidR="00801888" w:rsidRDefault="00801888" w:rsidP="00801888">
      <w:pPr>
        <w:pStyle w:val="ListParagraph"/>
        <w:autoSpaceDE w:val="0"/>
        <w:autoSpaceDN w:val="0"/>
        <w:adjustRightInd w:val="0"/>
        <w:spacing w:after="0" w:line="240" w:lineRule="auto"/>
        <w:ind w:left="1080"/>
        <w:rPr>
          <w:rFonts w:ascii="Arial" w:hAnsi="Arial" w:cs="Arial"/>
          <w:sz w:val="24"/>
          <w:szCs w:val="24"/>
        </w:rPr>
      </w:pPr>
    </w:p>
    <w:p w:rsidR="00656B07" w:rsidRDefault="00656B07" w:rsidP="0047575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Ref: 2020 IRM Rate Generator – Tab. 3 DVA continuity schedule; 2019 IRM Rate Generator – Tab. 3 DVA continuity schedule</w:t>
      </w:r>
    </w:p>
    <w:p w:rsidR="00656B07" w:rsidRDefault="00656B07" w:rsidP="00656B07">
      <w:pPr>
        <w:autoSpaceDE w:val="0"/>
        <w:autoSpaceDN w:val="0"/>
        <w:adjustRightInd w:val="0"/>
        <w:spacing w:after="0" w:line="240" w:lineRule="auto"/>
        <w:rPr>
          <w:rFonts w:ascii="Arial" w:hAnsi="Arial" w:cs="Arial"/>
          <w:sz w:val="24"/>
          <w:szCs w:val="24"/>
        </w:rPr>
      </w:pPr>
    </w:p>
    <w:p w:rsidR="00656B07" w:rsidRDefault="00656B07" w:rsidP="00656B07">
      <w:pPr>
        <w:autoSpaceDE w:val="0"/>
        <w:autoSpaceDN w:val="0"/>
        <w:adjustRightInd w:val="0"/>
        <w:spacing w:after="0" w:line="240" w:lineRule="auto"/>
        <w:rPr>
          <w:rFonts w:ascii="Arial" w:hAnsi="Arial" w:cs="Arial"/>
          <w:sz w:val="24"/>
          <w:szCs w:val="24"/>
        </w:rPr>
      </w:pPr>
      <w:r>
        <w:rPr>
          <w:rFonts w:ascii="Arial" w:hAnsi="Arial" w:cs="Arial"/>
          <w:sz w:val="24"/>
          <w:szCs w:val="24"/>
        </w:rPr>
        <w:t>Based on the tab 3 of the 2020 and 2019 IRM Rate Generator excel files, OEB staff compiled a table as follows for the net transactions in Account 1588:</w:t>
      </w:r>
    </w:p>
    <w:p w:rsidR="00656B07" w:rsidRDefault="00656B07" w:rsidP="00656B07">
      <w:pPr>
        <w:autoSpaceDE w:val="0"/>
        <w:autoSpaceDN w:val="0"/>
        <w:adjustRightInd w:val="0"/>
        <w:spacing w:after="0" w:line="240" w:lineRule="auto"/>
        <w:rPr>
          <w:rFonts w:ascii="Arial" w:hAnsi="Arial" w:cs="Arial"/>
          <w:sz w:val="24"/>
          <w:szCs w:val="24"/>
        </w:rPr>
      </w:pPr>
    </w:p>
    <w:tbl>
      <w:tblPr>
        <w:tblW w:w="5621" w:type="dxa"/>
        <w:tblLook w:val="04A0" w:firstRow="1" w:lastRow="0" w:firstColumn="1" w:lastColumn="0" w:noHBand="0" w:noVBand="1"/>
      </w:tblPr>
      <w:tblGrid>
        <w:gridCol w:w="958"/>
        <w:gridCol w:w="1452"/>
        <w:gridCol w:w="1962"/>
        <w:gridCol w:w="1285"/>
      </w:tblGrid>
      <w:tr w:rsidR="00656B07" w:rsidRPr="00656B07" w:rsidTr="00656B07">
        <w:trPr>
          <w:trHeight w:val="288"/>
        </w:trPr>
        <w:tc>
          <w:tcPr>
            <w:tcW w:w="5621" w:type="dxa"/>
            <w:gridSpan w:val="4"/>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656B07" w:rsidRPr="00656B07" w:rsidRDefault="00656B07" w:rsidP="00656B07">
            <w:pPr>
              <w:spacing w:after="0" w:line="240" w:lineRule="auto"/>
              <w:jc w:val="center"/>
              <w:rPr>
                <w:rFonts w:ascii="Calibri" w:eastAsia="Times New Roman" w:hAnsi="Calibri" w:cs="Calibri"/>
                <w:b/>
                <w:bCs/>
                <w:color w:val="000000"/>
              </w:rPr>
            </w:pPr>
            <w:r w:rsidRPr="00656B07">
              <w:rPr>
                <w:rFonts w:ascii="Calibri" w:eastAsia="Times New Roman" w:hAnsi="Calibri" w:cs="Calibri"/>
                <w:b/>
                <w:bCs/>
                <w:color w:val="000000"/>
              </w:rPr>
              <w:t>Account 1588 RSVA Power - Net Transaction in the Year</w:t>
            </w:r>
          </w:p>
        </w:tc>
      </w:tr>
      <w:tr w:rsidR="00656B07" w:rsidRPr="00656B07" w:rsidTr="00656B07">
        <w:trPr>
          <w:trHeight w:val="564"/>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w:t>
            </w:r>
          </w:p>
        </w:tc>
        <w:tc>
          <w:tcPr>
            <w:tcW w:w="1452" w:type="dxa"/>
            <w:tcBorders>
              <w:top w:val="nil"/>
              <w:left w:val="nil"/>
              <w:bottom w:val="single" w:sz="4" w:space="0" w:color="auto"/>
              <w:right w:val="single" w:sz="4" w:space="0" w:color="auto"/>
            </w:tcBorders>
            <w:shd w:val="clear" w:color="auto" w:fill="auto"/>
            <w:vAlign w:val="bottom"/>
            <w:hideMark/>
          </w:tcPr>
          <w:p w:rsidR="00656B07" w:rsidRPr="00656B07" w:rsidRDefault="00656B07" w:rsidP="00656B07">
            <w:pPr>
              <w:spacing w:after="0" w:line="240" w:lineRule="auto"/>
              <w:rPr>
                <w:rFonts w:ascii="Calibri" w:eastAsia="Times New Roman" w:hAnsi="Calibri" w:cs="Calibri"/>
                <w:b/>
                <w:bCs/>
                <w:color w:val="000000"/>
              </w:rPr>
            </w:pPr>
            <w:r w:rsidRPr="00656B07">
              <w:rPr>
                <w:rFonts w:ascii="Calibri" w:eastAsia="Times New Roman" w:hAnsi="Calibri" w:cs="Calibri"/>
                <w:b/>
                <w:bCs/>
                <w:color w:val="000000"/>
              </w:rPr>
              <w:t xml:space="preserve">Transaction Debit </w:t>
            </w:r>
          </w:p>
        </w:tc>
        <w:tc>
          <w:tcPr>
            <w:tcW w:w="1962" w:type="dxa"/>
            <w:tcBorders>
              <w:top w:val="nil"/>
              <w:left w:val="nil"/>
              <w:bottom w:val="single" w:sz="4" w:space="0" w:color="auto"/>
              <w:right w:val="single" w:sz="4" w:space="0" w:color="auto"/>
            </w:tcBorders>
            <w:shd w:val="clear" w:color="auto" w:fill="auto"/>
            <w:vAlign w:val="bottom"/>
            <w:hideMark/>
          </w:tcPr>
          <w:p w:rsidR="00656B07" w:rsidRPr="00656B07" w:rsidRDefault="00656B07" w:rsidP="00656B07">
            <w:pPr>
              <w:spacing w:after="0" w:line="240" w:lineRule="auto"/>
              <w:rPr>
                <w:rFonts w:ascii="Calibri" w:eastAsia="Times New Roman" w:hAnsi="Calibri" w:cs="Calibri"/>
                <w:b/>
                <w:bCs/>
                <w:color w:val="000000"/>
              </w:rPr>
            </w:pPr>
            <w:r w:rsidRPr="00656B07">
              <w:rPr>
                <w:rFonts w:ascii="Calibri" w:eastAsia="Times New Roman" w:hAnsi="Calibri" w:cs="Calibri"/>
                <w:b/>
                <w:bCs/>
                <w:color w:val="000000"/>
              </w:rPr>
              <w:t>RPP True-up adjustment</w:t>
            </w:r>
          </w:p>
        </w:tc>
        <w:tc>
          <w:tcPr>
            <w:tcW w:w="1249"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b/>
                <w:bCs/>
                <w:color w:val="000000"/>
              </w:rPr>
            </w:pPr>
            <w:r>
              <w:rPr>
                <w:rFonts w:ascii="Calibri" w:eastAsia="Times New Roman" w:hAnsi="Calibri" w:cs="Calibri"/>
                <w:b/>
                <w:bCs/>
                <w:color w:val="000000"/>
              </w:rPr>
              <w:t>The Transaction debit after booking the true-up</w:t>
            </w:r>
          </w:p>
        </w:tc>
      </w:tr>
      <w:tr w:rsidR="00656B07" w:rsidRPr="00656B07" w:rsidTr="00656B07">
        <w:trPr>
          <w:trHeight w:val="288"/>
        </w:trPr>
        <w:tc>
          <w:tcPr>
            <w:tcW w:w="958" w:type="dxa"/>
            <w:tcBorders>
              <w:top w:val="nil"/>
              <w:left w:val="single" w:sz="4" w:space="0" w:color="auto"/>
              <w:bottom w:val="single" w:sz="4" w:space="0" w:color="auto"/>
              <w:right w:val="single" w:sz="4" w:space="0" w:color="auto"/>
            </w:tcBorders>
            <w:shd w:val="clear" w:color="auto" w:fill="auto"/>
            <w:vAlign w:val="bottom"/>
          </w:tcPr>
          <w:p w:rsidR="00656B07" w:rsidRPr="00656B07" w:rsidRDefault="00656B07" w:rsidP="00656B07">
            <w:pPr>
              <w:spacing w:after="0" w:line="240" w:lineRule="auto"/>
              <w:jc w:val="right"/>
              <w:rPr>
                <w:rFonts w:ascii="Calibri" w:eastAsia="Times New Roman" w:hAnsi="Calibri" w:cs="Calibri"/>
                <w:b/>
                <w:bCs/>
                <w:color w:val="000000"/>
              </w:rPr>
            </w:pPr>
          </w:p>
        </w:tc>
        <w:tc>
          <w:tcPr>
            <w:tcW w:w="1452" w:type="dxa"/>
            <w:tcBorders>
              <w:top w:val="nil"/>
              <w:left w:val="nil"/>
              <w:bottom w:val="single" w:sz="4" w:space="0" w:color="auto"/>
              <w:right w:val="single" w:sz="4" w:space="0" w:color="auto"/>
            </w:tcBorders>
            <w:shd w:val="clear" w:color="auto" w:fill="auto"/>
            <w:noWrap/>
            <w:vAlign w:val="bottom"/>
          </w:tcPr>
          <w:p w:rsidR="00656B07" w:rsidRPr="00656B07" w:rsidRDefault="00656B07" w:rsidP="00656B07">
            <w:pPr>
              <w:spacing w:after="0" w:line="240" w:lineRule="auto"/>
              <w:rPr>
                <w:rFonts w:ascii="Calibri" w:eastAsia="Times New Roman" w:hAnsi="Calibri" w:cs="Calibri"/>
                <w:color w:val="000000"/>
              </w:rPr>
            </w:pPr>
            <w:r>
              <w:rPr>
                <w:rFonts w:ascii="Calibri" w:eastAsia="Times New Roman" w:hAnsi="Calibri" w:cs="Calibri"/>
                <w:color w:val="000000"/>
              </w:rPr>
              <w:t>a</w:t>
            </w:r>
          </w:p>
        </w:tc>
        <w:tc>
          <w:tcPr>
            <w:tcW w:w="1962" w:type="dxa"/>
            <w:tcBorders>
              <w:top w:val="nil"/>
              <w:left w:val="nil"/>
              <w:bottom w:val="single" w:sz="4" w:space="0" w:color="auto"/>
              <w:right w:val="single" w:sz="4" w:space="0" w:color="auto"/>
            </w:tcBorders>
            <w:shd w:val="clear" w:color="auto" w:fill="auto"/>
            <w:noWrap/>
            <w:vAlign w:val="bottom"/>
          </w:tcPr>
          <w:p w:rsidR="00656B07" w:rsidRPr="00656B07" w:rsidRDefault="00656B07" w:rsidP="00656B07">
            <w:pPr>
              <w:spacing w:after="0" w:line="240" w:lineRule="auto"/>
              <w:rPr>
                <w:rFonts w:ascii="Calibri" w:eastAsia="Times New Roman" w:hAnsi="Calibri" w:cs="Calibri"/>
                <w:color w:val="000000"/>
              </w:rPr>
            </w:pPr>
            <w:r>
              <w:rPr>
                <w:rFonts w:ascii="Calibri" w:eastAsia="Times New Roman" w:hAnsi="Calibri" w:cs="Calibri"/>
                <w:color w:val="000000"/>
              </w:rPr>
              <w:t>b</w:t>
            </w:r>
          </w:p>
        </w:tc>
        <w:tc>
          <w:tcPr>
            <w:tcW w:w="1249" w:type="dxa"/>
            <w:tcBorders>
              <w:top w:val="nil"/>
              <w:left w:val="nil"/>
              <w:bottom w:val="single" w:sz="4" w:space="0" w:color="auto"/>
              <w:right w:val="single" w:sz="4" w:space="0" w:color="auto"/>
            </w:tcBorders>
            <w:shd w:val="clear" w:color="auto" w:fill="auto"/>
            <w:noWrap/>
            <w:vAlign w:val="bottom"/>
          </w:tcPr>
          <w:p w:rsidR="00656B07" w:rsidRPr="00656B07" w:rsidRDefault="00656B07" w:rsidP="00656B07">
            <w:pPr>
              <w:spacing w:after="0" w:line="240" w:lineRule="auto"/>
              <w:rPr>
                <w:rFonts w:ascii="Calibri" w:eastAsia="Times New Roman" w:hAnsi="Calibri" w:cs="Calibri"/>
                <w:color w:val="000000"/>
              </w:rPr>
            </w:pPr>
            <w:r>
              <w:rPr>
                <w:rFonts w:ascii="Calibri" w:eastAsia="Times New Roman" w:hAnsi="Calibri" w:cs="Calibri"/>
                <w:color w:val="000000"/>
              </w:rPr>
              <w:t xml:space="preserve">C= </w:t>
            </w:r>
            <w:proofErr w:type="spellStart"/>
            <w:r>
              <w:rPr>
                <w:rFonts w:ascii="Calibri" w:eastAsia="Times New Roman" w:hAnsi="Calibri" w:cs="Calibri"/>
                <w:color w:val="000000"/>
              </w:rPr>
              <w:t>a+b</w:t>
            </w:r>
            <w:proofErr w:type="spellEnd"/>
          </w:p>
        </w:tc>
      </w:tr>
      <w:tr w:rsidR="00656B07" w:rsidRPr="00656B07" w:rsidTr="00656B07">
        <w:trPr>
          <w:trHeight w:val="288"/>
        </w:trPr>
        <w:tc>
          <w:tcPr>
            <w:tcW w:w="958" w:type="dxa"/>
            <w:tcBorders>
              <w:top w:val="nil"/>
              <w:left w:val="single" w:sz="4" w:space="0" w:color="auto"/>
              <w:bottom w:val="single" w:sz="4" w:space="0" w:color="auto"/>
              <w:right w:val="single" w:sz="4" w:space="0" w:color="auto"/>
            </w:tcBorders>
            <w:shd w:val="clear" w:color="auto" w:fill="auto"/>
            <w:vAlign w:val="bottom"/>
            <w:hideMark/>
          </w:tcPr>
          <w:p w:rsidR="00656B07" w:rsidRPr="00656B07" w:rsidRDefault="00656B07" w:rsidP="00656B07">
            <w:pPr>
              <w:spacing w:after="0" w:line="240" w:lineRule="auto"/>
              <w:jc w:val="right"/>
              <w:rPr>
                <w:rFonts w:ascii="Calibri" w:eastAsia="Times New Roman" w:hAnsi="Calibri" w:cs="Calibri"/>
                <w:b/>
                <w:bCs/>
                <w:color w:val="000000"/>
              </w:rPr>
            </w:pPr>
            <w:r w:rsidRPr="00656B07">
              <w:rPr>
                <w:rFonts w:ascii="Calibri" w:eastAsia="Times New Roman" w:hAnsi="Calibri" w:cs="Calibri"/>
                <w:b/>
                <w:bCs/>
                <w:color w:val="000000"/>
              </w:rPr>
              <w:t>2018</w:t>
            </w:r>
          </w:p>
        </w:tc>
        <w:tc>
          <w:tcPr>
            <w:tcW w:w="1452"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xml:space="preserve">            369,541 </w:t>
            </w:r>
          </w:p>
        </w:tc>
        <w:tc>
          <w:tcPr>
            <w:tcW w:w="1962"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xml:space="preserve">                (298,382.24)</w:t>
            </w:r>
          </w:p>
        </w:tc>
        <w:tc>
          <w:tcPr>
            <w:tcW w:w="1249"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xml:space="preserve">           71,159 </w:t>
            </w:r>
          </w:p>
        </w:tc>
      </w:tr>
      <w:tr w:rsidR="00656B07" w:rsidRPr="00656B07" w:rsidTr="00656B07">
        <w:trPr>
          <w:trHeight w:val="288"/>
        </w:trPr>
        <w:tc>
          <w:tcPr>
            <w:tcW w:w="958" w:type="dxa"/>
            <w:tcBorders>
              <w:top w:val="nil"/>
              <w:left w:val="single" w:sz="4" w:space="0" w:color="auto"/>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jc w:val="right"/>
              <w:rPr>
                <w:rFonts w:ascii="Calibri" w:eastAsia="Times New Roman" w:hAnsi="Calibri" w:cs="Calibri"/>
                <w:b/>
                <w:bCs/>
                <w:color w:val="000000"/>
              </w:rPr>
            </w:pPr>
            <w:r w:rsidRPr="00656B07">
              <w:rPr>
                <w:rFonts w:ascii="Calibri" w:eastAsia="Times New Roman" w:hAnsi="Calibri" w:cs="Calibri"/>
                <w:b/>
                <w:bCs/>
                <w:color w:val="000000"/>
              </w:rPr>
              <w:t>2017</w:t>
            </w:r>
          </w:p>
        </w:tc>
        <w:tc>
          <w:tcPr>
            <w:tcW w:w="1452"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xml:space="preserve">        (1,477,345)</w:t>
            </w:r>
          </w:p>
        </w:tc>
        <w:tc>
          <w:tcPr>
            <w:tcW w:w="1962"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xml:space="preserve">                    1,193,281 </w:t>
            </w:r>
          </w:p>
        </w:tc>
        <w:tc>
          <w:tcPr>
            <w:tcW w:w="1249" w:type="dxa"/>
            <w:tcBorders>
              <w:top w:val="nil"/>
              <w:left w:val="nil"/>
              <w:bottom w:val="single" w:sz="4" w:space="0" w:color="auto"/>
              <w:right w:val="single" w:sz="4" w:space="0" w:color="auto"/>
            </w:tcBorders>
            <w:shd w:val="clear" w:color="auto" w:fill="auto"/>
            <w:noWrap/>
            <w:vAlign w:val="bottom"/>
            <w:hideMark/>
          </w:tcPr>
          <w:p w:rsidR="00656B07" w:rsidRPr="00656B07" w:rsidRDefault="00656B07" w:rsidP="00656B07">
            <w:pPr>
              <w:spacing w:after="0" w:line="240" w:lineRule="auto"/>
              <w:rPr>
                <w:rFonts w:ascii="Calibri" w:eastAsia="Times New Roman" w:hAnsi="Calibri" w:cs="Calibri"/>
                <w:color w:val="000000"/>
              </w:rPr>
            </w:pPr>
            <w:r w:rsidRPr="00656B07">
              <w:rPr>
                <w:rFonts w:ascii="Calibri" w:eastAsia="Times New Roman" w:hAnsi="Calibri" w:cs="Calibri"/>
                <w:color w:val="000000"/>
              </w:rPr>
              <w:t xml:space="preserve">       (284,064)</w:t>
            </w:r>
          </w:p>
        </w:tc>
      </w:tr>
    </w:tbl>
    <w:p w:rsidR="00656B07" w:rsidRDefault="00656B07" w:rsidP="00656B07">
      <w:pPr>
        <w:autoSpaceDE w:val="0"/>
        <w:autoSpaceDN w:val="0"/>
        <w:adjustRightInd w:val="0"/>
        <w:spacing w:after="0" w:line="240" w:lineRule="auto"/>
        <w:rPr>
          <w:rFonts w:ascii="Arial" w:hAnsi="Arial" w:cs="Arial"/>
          <w:sz w:val="24"/>
          <w:szCs w:val="24"/>
        </w:rPr>
      </w:pPr>
    </w:p>
    <w:p w:rsidR="00656B07" w:rsidRDefault="00656B07" w:rsidP="00656B07">
      <w:pPr>
        <w:pStyle w:val="ListParagraph"/>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confirm the accuracy of the above table. </w:t>
      </w:r>
    </w:p>
    <w:p w:rsidR="00CF382D" w:rsidRDefault="00CF382D" w:rsidP="00CF382D">
      <w:pPr>
        <w:pStyle w:val="ListParagraph"/>
        <w:autoSpaceDE w:val="0"/>
        <w:autoSpaceDN w:val="0"/>
        <w:adjustRightInd w:val="0"/>
        <w:spacing w:after="0" w:line="240" w:lineRule="auto"/>
        <w:rPr>
          <w:rFonts w:ascii="Arial" w:hAnsi="Arial" w:cs="Arial"/>
          <w:sz w:val="24"/>
          <w:szCs w:val="24"/>
        </w:rPr>
      </w:pPr>
    </w:p>
    <w:p w:rsidR="00CF382D" w:rsidRPr="00CF382D" w:rsidRDefault="00CF382D" w:rsidP="00CF382D">
      <w:pPr>
        <w:pStyle w:val="ListParagraph"/>
        <w:autoSpaceDE w:val="0"/>
        <w:autoSpaceDN w:val="0"/>
        <w:adjustRightInd w:val="0"/>
        <w:spacing w:after="0" w:line="240" w:lineRule="auto"/>
        <w:rPr>
          <w:rFonts w:ascii="Arial" w:hAnsi="Arial" w:cs="Arial"/>
          <w:color w:val="0070C0"/>
          <w:sz w:val="24"/>
          <w:szCs w:val="24"/>
        </w:rPr>
      </w:pPr>
      <w:r>
        <w:rPr>
          <w:rFonts w:ascii="Arial" w:hAnsi="Arial" w:cs="Arial"/>
          <w:color w:val="0070C0"/>
          <w:sz w:val="24"/>
          <w:szCs w:val="24"/>
        </w:rPr>
        <w:t>WNH confirms the accuracy of the table above.</w:t>
      </w:r>
    </w:p>
    <w:p w:rsidR="00CF382D" w:rsidRDefault="00CF382D" w:rsidP="00CF382D">
      <w:pPr>
        <w:pStyle w:val="ListParagraph"/>
        <w:autoSpaceDE w:val="0"/>
        <w:autoSpaceDN w:val="0"/>
        <w:adjustRightInd w:val="0"/>
        <w:spacing w:after="0" w:line="240" w:lineRule="auto"/>
        <w:rPr>
          <w:rFonts w:ascii="Arial" w:hAnsi="Arial" w:cs="Arial"/>
          <w:sz w:val="24"/>
          <w:szCs w:val="24"/>
        </w:rPr>
      </w:pPr>
    </w:p>
    <w:p w:rsidR="00CF382D" w:rsidRDefault="00656B07" w:rsidP="00656B07">
      <w:pPr>
        <w:pStyle w:val="ListParagraph"/>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rPr>
        <w:t>Please update the table if not correct.</w:t>
      </w:r>
    </w:p>
    <w:p w:rsidR="00CF382D" w:rsidRDefault="00CF382D" w:rsidP="00CF382D">
      <w:pPr>
        <w:autoSpaceDE w:val="0"/>
        <w:autoSpaceDN w:val="0"/>
        <w:adjustRightInd w:val="0"/>
        <w:spacing w:after="0" w:line="240" w:lineRule="auto"/>
        <w:ind w:left="720"/>
        <w:rPr>
          <w:rFonts w:ascii="Arial" w:hAnsi="Arial" w:cs="Arial"/>
          <w:sz w:val="24"/>
          <w:szCs w:val="24"/>
        </w:rPr>
      </w:pPr>
    </w:p>
    <w:p w:rsidR="00656B07" w:rsidRDefault="00CF382D" w:rsidP="00CF382D">
      <w:pPr>
        <w:autoSpaceDE w:val="0"/>
        <w:autoSpaceDN w:val="0"/>
        <w:adjustRightInd w:val="0"/>
        <w:spacing w:after="0" w:line="240" w:lineRule="auto"/>
        <w:ind w:left="720"/>
        <w:rPr>
          <w:rFonts w:ascii="Arial" w:hAnsi="Arial" w:cs="Arial"/>
          <w:color w:val="0070C0"/>
          <w:sz w:val="24"/>
          <w:szCs w:val="24"/>
        </w:rPr>
      </w:pPr>
      <w:r w:rsidRPr="00CF382D">
        <w:rPr>
          <w:rFonts w:ascii="Arial" w:hAnsi="Arial" w:cs="Arial"/>
          <w:color w:val="0070C0"/>
          <w:sz w:val="24"/>
          <w:szCs w:val="24"/>
        </w:rPr>
        <w:t>Not applicable.</w:t>
      </w:r>
    </w:p>
    <w:p w:rsidR="00CF382D" w:rsidRPr="00CF382D" w:rsidRDefault="00CF382D" w:rsidP="00CF382D">
      <w:pPr>
        <w:autoSpaceDE w:val="0"/>
        <w:autoSpaceDN w:val="0"/>
        <w:adjustRightInd w:val="0"/>
        <w:spacing w:after="0" w:line="240" w:lineRule="auto"/>
        <w:ind w:left="720"/>
        <w:rPr>
          <w:rFonts w:ascii="Arial" w:hAnsi="Arial" w:cs="Arial"/>
          <w:color w:val="0070C0"/>
          <w:sz w:val="24"/>
          <w:szCs w:val="24"/>
        </w:rPr>
      </w:pPr>
    </w:p>
    <w:p w:rsidR="00656B07" w:rsidRDefault="00656B07" w:rsidP="00656B07">
      <w:pPr>
        <w:pStyle w:val="ListParagraph"/>
        <w:numPr>
          <w:ilvl w:val="0"/>
          <w:numId w:val="2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Please fill out the attached excel file (Attachment A) for the analytical review of the transaction debt after true-up for Account 1588 in 2017. </w:t>
      </w:r>
    </w:p>
    <w:p w:rsidR="0047575F" w:rsidRDefault="0047575F" w:rsidP="00CF382D">
      <w:pPr>
        <w:autoSpaceDE w:val="0"/>
        <w:autoSpaceDN w:val="0"/>
        <w:adjustRightInd w:val="0"/>
        <w:spacing w:after="0" w:line="240" w:lineRule="auto"/>
        <w:rPr>
          <w:rFonts w:ascii="Arial" w:hAnsi="Arial" w:cs="Arial"/>
          <w:sz w:val="24"/>
          <w:szCs w:val="24"/>
        </w:rPr>
      </w:pPr>
    </w:p>
    <w:p w:rsidR="00CF382D" w:rsidRPr="00CF382D" w:rsidRDefault="00CF382D" w:rsidP="00CF382D">
      <w:pPr>
        <w:autoSpaceDE w:val="0"/>
        <w:autoSpaceDN w:val="0"/>
        <w:adjustRightInd w:val="0"/>
        <w:spacing w:after="0" w:line="240" w:lineRule="auto"/>
        <w:ind w:left="720"/>
        <w:rPr>
          <w:rFonts w:ascii="Arial" w:hAnsi="Arial" w:cs="Arial"/>
          <w:color w:val="0070C0"/>
          <w:sz w:val="24"/>
          <w:szCs w:val="24"/>
        </w:rPr>
      </w:pPr>
      <w:r w:rsidRPr="00473A84">
        <w:rPr>
          <w:rFonts w:ascii="Arial" w:hAnsi="Arial" w:cs="Arial"/>
          <w:color w:val="0070C0"/>
          <w:sz w:val="24"/>
          <w:szCs w:val="24"/>
        </w:rPr>
        <w:t>See attached.</w:t>
      </w:r>
      <w:r w:rsidRPr="00CF382D">
        <w:rPr>
          <w:rFonts w:ascii="Arial" w:hAnsi="Arial" w:cs="Arial"/>
          <w:color w:val="0070C0"/>
          <w:sz w:val="24"/>
          <w:szCs w:val="24"/>
        </w:rPr>
        <w:t xml:space="preserve"> </w:t>
      </w:r>
      <w:r w:rsidR="002566A0">
        <w:rPr>
          <w:rFonts w:ascii="Arial" w:hAnsi="Arial" w:cs="Arial"/>
          <w:color w:val="0070C0"/>
          <w:sz w:val="24"/>
          <w:szCs w:val="24"/>
        </w:rPr>
        <w:t xml:space="preserve">As noted in question 7 WNH moved to a new Customer Information System in March 2017. April to December data has been included in this response. This demonstrates that $91,817 is the Total UFE Variance expected in Account 1588. The remaining amount $192,247 is assumed to be a mixture of RPP price variance from January to March as well as a loss factor variance which is the reason for the large percentage of unexplained difference. Also as noted above it would be WNH’s preference to monitor this variance on a go forward basis under the new accounting guidelines.   </w:t>
      </w:r>
    </w:p>
    <w:sectPr w:rsidR="00CF382D" w:rsidRPr="00CF382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71D" w:rsidRDefault="00C2271D" w:rsidP="00C2271D">
      <w:pPr>
        <w:spacing w:after="0" w:line="240" w:lineRule="auto"/>
      </w:pPr>
      <w:r>
        <w:separator/>
      </w:r>
    </w:p>
  </w:endnote>
  <w:endnote w:type="continuationSeparator" w:id="0">
    <w:p w:rsidR="00C2271D" w:rsidRDefault="00C2271D" w:rsidP="00C2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014156"/>
      <w:docPartObj>
        <w:docPartGallery w:val="Page Numbers (Bottom of Page)"/>
        <w:docPartUnique/>
      </w:docPartObj>
    </w:sdtPr>
    <w:sdtEndPr>
      <w:rPr>
        <w:noProof/>
      </w:rPr>
    </w:sdtEndPr>
    <w:sdtContent>
      <w:p w:rsidR="00760E6D" w:rsidRDefault="00760E6D">
        <w:pPr>
          <w:pStyle w:val="Footer"/>
          <w:jc w:val="center"/>
        </w:pPr>
        <w:r>
          <w:fldChar w:fldCharType="begin"/>
        </w:r>
        <w:r>
          <w:instrText xml:space="preserve"> PAGE   \* MERGEFORMAT </w:instrText>
        </w:r>
        <w:r>
          <w:fldChar w:fldCharType="separate"/>
        </w:r>
        <w:r w:rsidR="00617064">
          <w:rPr>
            <w:noProof/>
          </w:rPr>
          <w:t>8</w:t>
        </w:r>
        <w:r>
          <w:rPr>
            <w:noProof/>
          </w:rPr>
          <w:fldChar w:fldCharType="end"/>
        </w:r>
      </w:p>
    </w:sdtContent>
  </w:sdt>
  <w:p w:rsidR="00760E6D" w:rsidRDefault="0076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71D" w:rsidRDefault="00C2271D" w:rsidP="00C2271D">
      <w:pPr>
        <w:spacing w:after="0" w:line="240" w:lineRule="auto"/>
      </w:pPr>
      <w:r>
        <w:separator/>
      </w:r>
    </w:p>
  </w:footnote>
  <w:footnote w:type="continuationSeparator" w:id="0">
    <w:p w:rsidR="00C2271D" w:rsidRDefault="00C2271D" w:rsidP="00C2271D">
      <w:pPr>
        <w:spacing w:after="0" w:line="240" w:lineRule="auto"/>
      </w:pPr>
      <w:r>
        <w:continuationSeparator/>
      </w:r>
    </w:p>
  </w:footnote>
  <w:footnote w:id="1">
    <w:p w:rsidR="00C2271D" w:rsidRPr="006E0C11" w:rsidRDefault="00C2271D" w:rsidP="00C2271D">
      <w:pPr>
        <w:pStyle w:val="FootnoteText"/>
        <w:rPr>
          <w:rFonts w:ascii="Arial" w:hAnsi="Arial" w:cs="Arial"/>
        </w:rPr>
      </w:pPr>
      <w:r w:rsidRPr="006E0C11">
        <w:rPr>
          <w:rStyle w:val="FootnoteReference"/>
          <w:rFonts w:ascii="Arial" w:hAnsi="Arial" w:cs="Arial"/>
        </w:rPr>
        <w:footnoteRef/>
      </w:r>
      <w:r w:rsidRPr="006E0C11">
        <w:rPr>
          <w:rFonts w:ascii="Arial" w:hAnsi="Arial" w:cs="Arial"/>
        </w:rPr>
        <w:t xml:space="preserve"> </w:t>
      </w:r>
      <w:hyperlink w:history="1">
        <w:r w:rsidRPr="006E0C11">
          <w:rPr>
            <w:rStyle w:val="Hyperlink"/>
            <w:rFonts w:ascii="Arial" w:hAnsi="Arial" w:cs="Arial"/>
          </w:rPr>
          <w:t>https://www.oeb.ca/industry/applications-oeb/electricity-distribution-rates/2020-electricity-distribution-rate</w:t>
        </w:r>
      </w:hyperlink>
    </w:p>
  </w:footnote>
  <w:footnote w:id="2">
    <w:p w:rsidR="00C2271D" w:rsidRPr="00D85EA3" w:rsidRDefault="00C2271D" w:rsidP="00C2271D">
      <w:pPr>
        <w:pStyle w:val="FootnoteText"/>
        <w:rPr>
          <w:rFonts w:ascii="Arial" w:hAnsi="Arial" w:cs="Arial"/>
        </w:rPr>
      </w:pPr>
      <w:r w:rsidRPr="00D85EA3">
        <w:rPr>
          <w:rStyle w:val="FootnoteReference"/>
          <w:rFonts w:ascii="Arial" w:hAnsi="Arial" w:cs="Arial"/>
        </w:rPr>
        <w:footnoteRef/>
      </w:r>
      <w:r w:rsidRPr="00D85EA3">
        <w:rPr>
          <w:rFonts w:ascii="Arial" w:hAnsi="Arial" w:cs="Arial"/>
        </w:rPr>
        <w:t xml:space="preserve"> For example, if the most recent year in which Accounts 1588 and 1589 were approved for disposition on a final basis related to 2016 balances in a 2018 proceeding, the DVA Continuity Schedule, Tab 3, needs to be updated to reflect the opening DVA balances in this schedule as the closing December 31, 2016 balances, instead of the closing December 31, 2017 balances. This update needs to be done as the 2017 balances were cleared on an interim basis and will be reviewed in this proceeding.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494"/>
    <w:multiLevelType w:val="hybridMultilevel"/>
    <w:tmpl w:val="84ECE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A3F"/>
    <w:multiLevelType w:val="hybridMultilevel"/>
    <w:tmpl w:val="19C87E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578D"/>
    <w:multiLevelType w:val="hybridMultilevel"/>
    <w:tmpl w:val="6FFCB3B0"/>
    <w:lvl w:ilvl="0" w:tplc="05E819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1334E"/>
    <w:multiLevelType w:val="hybridMultilevel"/>
    <w:tmpl w:val="EE164C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A749F"/>
    <w:multiLevelType w:val="hybridMultilevel"/>
    <w:tmpl w:val="BFD01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35153"/>
    <w:multiLevelType w:val="hybridMultilevel"/>
    <w:tmpl w:val="A328E84C"/>
    <w:lvl w:ilvl="0" w:tplc="2EFE1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7A5770"/>
    <w:multiLevelType w:val="hybridMultilevel"/>
    <w:tmpl w:val="0FE4E606"/>
    <w:lvl w:ilvl="0" w:tplc="D1E285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5D124F"/>
    <w:multiLevelType w:val="hybridMultilevel"/>
    <w:tmpl w:val="F334A158"/>
    <w:lvl w:ilvl="0" w:tplc="C56C7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ED6F33"/>
    <w:multiLevelType w:val="hybridMultilevel"/>
    <w:tmpl w:val="F334A158"/>
    <w:lvl w:ilvl="0" w:tplc="C56C7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0F16F0"/>
    <w:multiLevelType w:val="hybridMultilevel"/>
    <w:tmpl w:val="3A74FB18"/>
    <w:lvl w:ilvl="0" w:tplc="BF98A8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70797"/>
    <w:multiLevelType w:val="hybridMultilevel"/>
    <w:tmpl w:val="E12C1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F7B45"/>
    <w:multiLevelType w:val="hybridMultilevel"/>
    <w:tmpl w:val="249CB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52C1"/>
    <w:multiLevelType w:val="hybridMultilevel"/>
    <w:tmpl w:val="7F7C408A"/>
    <w:lvl w:ilvl="0" w:tplc="8A6A66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17F1A"/>
    <w:multiLevelType w:val="hybridMultilevel"/>
    <w:tmpl w:val="C896B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E6B2C"/>
    <w:multiLevelType w:val="hybridMultilevel"/>
    <w:tmpl w:val="BE0C5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F161E"/>
    <w:multiLevelType w:val="hybridMultilevel"/>
    <w:tmpl w:val="CBD40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63EA2"/>
    <w:multiLevelType w:val="hybridMultilevel"/>
    <w:tmpl w:val="986A9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90B2C"/>
    <w:multiLevelType w:val="hybridMultilevel"/>
    <w:tmpl w:val="CE228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B2E5D"/>
    <w:multiLevelType w:val="hybridMultilevel"/>
    <w:tmpl w:val="8B8AD744"/>
    <w:lvl w:ilvl="0" w:tplc="39E680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B87C0E"/>
    <w:multiLevelType w:val="hybridMultilevel"/>
    <w:tmpl w:val="FE5804CA"/>
    <w:lvl w:ilvl="0" w:tplc="777AF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627C7"/>
    <w:multiLevelType w:val="hybridMultilevel"/>
    <w:tmpl w:val="E12C1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C0F84"/>
    <w:multiLevelType w:val="hybridMultilevel"/>
    <w:tmpl w:val="BE0C5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A300F"/>
    <w:multiLevelType w:val="hybridMultilevel"/>
    <w:tmpl w:val="C4CEA2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EB1C0D"/>
    <w:multiLevelType w:val="hybridMultilevel"/>
    <w:tmpl w:val="37A0407A"/>
    <w:lvl w:ilvl="0" w:tplc="3CFAB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3E5FB9"/>
    <w:multiLevelType w:val="hybridMultilevel"/>
    <w:tmpl w:val="F448F026"/>
    <w:lvl w:ilvl="0" w:tplc="8E8637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
  </w:num>
  <w:num w:numId="4">
    <w:abstractNumId w:val="24"/>
  </w:num>
  <w:num w:numId="5">
    <w:abstractNumId w:val="13"/>
  </w:num>
  <w:num w:numId="6">
    <w:abstractNumId w:val="14"/>
  </w:num>
  <w:num w:numId="7">
    <w:abstractNumId w:val="3"/>
  </w:num>
  <w:num w:numId="8">
    <w:abstractNumId w:val="16"/>
  </w:num>
  <w:num w:numId="9">
    <w:abstractNumId w:val="12"/>
  </w:num>
  <w:num w:numId="10">
    <w:abstractNumId w:val="5"/>
  </w:num>
  <w:num w:numId="11">
    <w:abstractNumId w:val="8"/>
  </w:num>
  <w:num w:numId="12">
    <w:abstractNumId w:val="9"/>
  </w:num>
  <w:num w:numId="13">
    <w:abstractNumId w:val="2"/>
  </w:num>
  <w:num w:numId="14">
    <w:abstractNumId w:val="23"/>
  </w:num>
  <w:num w:numId="15">
    <w:abstractNumId w:val="17"/>
  </w:num>
  <w:num w:numId="16">
    <w:abstractNumId w:val="11"/>
  </w:num>
  <w:num w:numId="17">
    <w:abstractNumId w:val="22"/>
  </w:num>
  <w:num w:numId="18">
    <w:abstractNumId w:val="18"/>
  </w:num>
  <w:num w:numId="19">
    <w:abstractNumId w:val="19"/>
  </w:num>
  <w:num w:numId="20">
    <w:abstractNumId w:val="6"/>
  </w:num>
  <w:num w:numId="21">
    <w:abstractNumId w:val="15"/>
  </w:num>
  <w:num w:numId="22">
    <w:abstractNumId w:val="20"/>
  </w:num>
  <w:num w:numId="23">
    <w:abstractNumId w:val="21"/>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75"/>
    <w:rsid w:val="0006125A"/>
    <w:rsid w:val="000D36F7"/>
    <w:rsid w:val="001D540B"/>
    <w:rsid w:val="00203EBE"/>
    <w:rsid w:val="00242D04"/>
    <w:rsid w:val="002566A0"/>
    <w:rsid w:val="002A0DD0"/>
    <w:rsid w:val="002C098D"/>
    <w:rsid w:val="002D652C"/>
    <w:rsid w:val="0031773E"/>
    <w:rsid w:val="00356DDD"/>
    <w:rsid w:val="003F5854"/>
    <w:rsid w:val="00473A84"/>
    <w:rsid w:val="0047575F"/>
    <w:rsid w:val="005B2DFC"/>
    <w:rsid w:val="005F0FDC"/>
    <w:rsid w:val="00617064"/>
    <w:rsid w:val="00656B07"/>
    <w:rsid w:val="006A5EE2"/>
    <w:rsid w:val="00723675"/>
    <w:rsid w:val="007452BC"/>
    <w:rsid w:val="00752EED"/>
    <w:rsid w:val="00760E6D"/>
    <w:rsid w:val="007D5F5C"/>
    <w:rsid w:val="00801888"/>
    <w:rsid w:val="00817BD7"/>
    <w:rsid w:val="008F6D8F"/>
    <w:rsid w:val="009263EF"/>
    <w:rsid w:val="009E0BFC"/>
    <w:rsid w:val="009E5267"/>
    <w:rsid w:val="00B22039"/>
    <w:rsid w:val="00B50852"/>
    <w:rsid w:val="00C2271D"/>
    <w:rsid w:val="00CA3A99"/>
    <w:rsid w:val="00CC3C12"/>
    <w:rsid w:val="00CE7A14"/>
    <w:rsid w:val="00CF15FE"/>
    <w:rsid w:val="00CF382D"/>
    <w:rsid w:val="00CF505E"/>
    <w:rsid w:val="00DE235D"/>
    <w:rsid w:val="00DF759B"/>
    <w:rsid w:val="00F3763E"/>
    <w:rsid w:val="00F708E2"/>
    <w:rsid w:val="00FB7EED"/>
    <w:rsid w:val="00FF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18ED"/>
  <w15:chartTrackingRefBased/>
  <w15:docId w15:val="{43CB212B-9AFE-4CC5-8D4E-CD9B6939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59B"/>
    <w:pPr>
      <w:ind w:left="720"/>
      <w:contextualSpacing/>
    </w:pPr>
  </w:style>
  <w:style w:type="paragraph" w:styleId="FootnoteText">
    <w:name w:val="footnote text"/>
    <w:basedOn w:val="Normal"/>
    <w:link w:val="FootnoteTextChar"/>
    <w:uiPriority w:val="99"/>
    <w:semiHidden/>
    <w:unhideWhenUsed/>
    <w:rsid w:val="00C22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71D"/>
    <w:rPr>
      <w:sz w:val="20"/>
      <w:szCs w:val="20"/>
    </w:rPr>
  </w:style>
  <w:style w:type="character" w:styleId="FootnoteReference">
    <w:name w:val="footnote reference"/>
    <w:basedOn w:val="DefaultParagraphFont"/>
    <w:uiPriority w:val="99"/>
    <w:semiHidden/>
    <w:unhideWhenUsed/>
    <w:rsid w:val="00C2271D"/>
    <w:rPr>
      <w:vertAlign w:val="superscript"/>
    </w:rPr>
  </w:style>
  <w:style w:type="character" w:styleId="Hyperlink">
    <w:name w:val="Hyperlink"/>
    <w:basedOn w:val="DefaultParagraphFont"/>
    <w:uiPriority w:val="99"/>
    <w:unhideWhenUsed/>
    <w:rsid w:val="00C2271D"/>
    <w:rPr>
      <w:color w:val="0563C1" w:themeColor="hyperlink"/>
      <w:u w:val="single"/>
    </w:rPr>
  </w:style>
  <w:style w:type="paragraph" w:styleId="Header">
    <w:name w:val="header"/>
    <w:basedOn w:val="Normal"/>
    <w:link w:val="HeaderChar"/>
    <w:uiPriority w:val="99"/>
    <w:unhideWhenUsed/>
    <w:rsid w:val="00760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E6D"/>
  </w:style>
  <w:style w:type="paragraph" w:styleId="Footer">
    <w:name w:val="footer"/>
    <w:basedOn w:val="Normal"/>
    <w:link w:val="FooterChar"/>
    <w:uiPriority w:val="99"/>
    <w:unhideWhenUsed/>
    <w:rsid w:val="0076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6D"/>
  </w:style>
  <w:style w:type="table" w:styleId="TableGrid">
    <w:name w:val="Table Grid"/>
    <w:basedOn w:val="TableNormal"/>
    <w:uiPriority w:val="39"/>
    <w:rsid w:val="0080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08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6258">
      <w:bodyDiv w:val="1"/>
      <w:marLeft w:val="0"/>
      <w:marRight w:val="0"/>
      <w:marTop w:val="0"/>
      <w:marBottom w:val="0"/>
      <w:divBdr>
        <w:top w:val="none" w:sz="0" w:space="0" w:color="auto"/>
        <w:left w:val="none" w:sz="0" w:space="0" w:color="auto"/>
        <w:bottom w:val="none" w:sz="0" w:space="0" w:color="auto"/>
        <w:right w:val="none" w:sz="0" w:space="0" w:color="auto"/>
      </w:divBdr>
    </w:div>
    <w:div w:id="5620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9</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Li</dc:creator>
  <cp:keywords/>
  <dc:description/>
  <cp:lastModifiedBy>Alyson Conrad</cp:lastModifiedBy>
  <cp:revision>8</cp:revision>
  <cp:lastPrinted>2019-10-07T13:34:00Z</cp:lastPrinted>
  <dcterms:created xsi:type="dcterms:W3CDTF">2019-10-07T18:31:00Z</dcterms:created>
  <dcterms:modified xsi:type="dcterms:W3CDTF">2019-10-08T22:36:00Z</dcterms:modified>
</cp:coreProperties>
</file>