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CBB33" w14:textId="77777777" w:rsidR="003832E7" w:rsidRPr="00457FC6" w:rsidRDefault="00457FC6" w:rsidP="003832E7">
      <w:pPr>
        <w:pStyle w:val="Default"/>
        <w:jc w:val="right"/>
        <w:rPr>
          <w:rFonts w:ascii="Arial" w:hAnsi="Arial" w:cs="Arial"/>
          <w:sz w:val="22"/>
          <w:szCs w:val="22"/>
        </w:rPr>
      </w:pPr>
      <w:r w:rsidRPr="00457FC6">
        <w:rPr>
          <w:rFonts w:ascii="Arial" w:hAnsi="Arial" w:cs="Arial"/>
          <w:bCs/>
          <w:sz w:val="22"/>
          <w:szCs w:val="22"/>
        </w:rPr>
        <w:t>Hydro Hawkesbury Inc.</w:t>
      </w:r>
    </w:p>
    <w:p w14:paraId="55068664" w14:textId="77777777" w:rsidR="00A07077" w:rsidRPr="00457FC6" w:rsidRDefault="008A48F6" w:rsidP="00A07077">
      <w:pPr>
        <w:pStyle w:val="Default"/>
        <w:jc w:val="right"/>
        <w:rPr>
          <w:rFonts w:ascii="Arial" w:hAnsi="Arial" w:cs="Arial"/>
          <w:sz w:val="22"/>
          <w:szCs w:val="22"/>
        </w:rPr>
      </w:pPr>
      <w:r w:rsidRPr="00457FC6">
        <w:rPr>
          <w:rFonts w:ascii="Arial" w:hAnsi="Arial" w:cs="Arial"/>
          <w:sz w:val="22"/>
          <w:szCs w:val="22"/>
        </w:rPr>
        <w:t>OEB</w:t>
      </w:r>
      <w:r w:rsidR="00A07077" w:rsidRPr="00457FC6">
        <w:rPr>
          <w:rFonts w:ascii="Arial" w:hAnsi="Arial" w:cs="Arial"/>
          <w:sz w:val="22"/>
          <w:szCs w:val="22"/>
        </w:rPr>
        <w:t xml:space="preserve"> Staff </w:t>
      </w:r>
      <w:r w:rsidR="008813C3" w:rsidRPr="00457FC6">
        <w:rPr>
          <w:rFonts w:ascii="Arial" w:hAnsi="Arial" w:cs="Arial"/>
          <w:sz w:val="22"/>
          <w:szCs w:val="22"/>
        </w:rPr>
        <w:t>Questions</w:t>
      </w:r>
    </w:p>
    <w:p w14:paraId="765E959F" w14:textId="77777777" w:rsidR="00A07077" w:rsidRPr="00457FC6" w:rsidRDefault="00090160" w:rsidP="00B069AA">
      <w:pPr>
        <w:pStyle w:val="Default"/>
        <w:jc w:val="right"/>
        <w:rPr>
          <w:rFonts w:ascii="Arial" w:hAnsi="Arial" w:cs="Arial"/>
          <w:sz w:val="22"/>
          <w:szCs w:val="22"/>
        </w:rPr>
      </w:pPr>
      <w:r w:rsidRPr="00457FC6">
        <w:rPr>
          <w:rFonts w:ascii="Arial" w:hAnsi="Arial" w:cs="Arial"/>
          <w:sz w:val="22"/>
          <w:szCs w:val="22"/>
        </w:rPr>
        <w:t>EB-201</w:t>
      </w:r>
      <w:r w:rsidR="00651C98" w:rsidRPr="00457FC6">
        <w:rPr>
          <w:rFonts w:ascii="Arial" w:hAnsi="Arial" w:cs="Arial"/>
          <w:sz w:val="22"/>
          <w:szCs w:val="22"/>
        </w:rPr>
        <w:t>9</w:t>
      </w:r>
      <w:r w:rsidR="009D5F4B" w:rsidRPr="00457FC6">
        <w:rPr>
          <w:rFonts w:ascii="Arial" w:hAnsi="Arial" w:cs="Arial"/>
          <w:sz w:val="22"/>
          <w:szCs w:val="22"/>
        </w:rPr>
        <w:t>-0</w:t>
      </w:r>
      <w:r w:rsidR="00457FC6" w:rsidRPr="00457FC6">
        <w:rPr>
          <w:rFonts w:ascii="Arial" w:hAnsi="Arial" w:cs="Arial"/>
          <w:sz w:val="22"/>
          <w:szCs w:val="22"/>
        </w:rPr>
        <w:t>042</w:t>
      </w:r>
    </w:p>
    <w:p w14:paraId="259EF929" w14:textId="77777777" w:rsidR="00A07077" w:rsidRPr="00457FC6" w:rsidRDefault="00A07077" w:rsidP="00A07077">
      <w:pPr>
        <w:pStyle w:val="Default"/>
        <w:rPr>
          <w:rFonts w:ascii="Arial" w:hAnsi="Arial" w:cs="Arial"/>
          <w:sz w:val="22"/>
          <w:szCs w:val="22"/>
        </w:rPr>
      </w:pPr>
    </w:p>
    <w:p w14:paraId="5EC9723C" w14:textId="77777777" w:rsidR="00A07077" w:rsidRPr="00457FC6" w:rsidRDefault="00457FC6" w:rsidP="00A07077">
      <w:pPr>
        <w:pStyle w:val="Default"/>
        <w:jc w:val="center"/>
        <w:rPr>
          <w:rFonts w:ascii="Arial" w:hAnsi="Arial" w:cs="Arial"/>
          <w:sz w:val="28"/>
          <w:szCs w:val="28"/>
        </w:rPr>
      </w:pPr>
      <w:r w:rsidRPr="00457FC6">
        <w:rPr>
          <w:rFonts w:ascii="Arial" w:hAnsi="Arial" w:cs="Arial"/>
          <w:b/>
          <w:bCs/>
          <w:sz w:val="28"/>
          <w:szCs w:val="28"/>
        </w:rPr>
        <w:t>Hydro Hawkesbury Inc.</w:t>
      </w:r>
      <w:r w:rsidR="00E429DA" w:rsidRPr="00457FC6">
        <w:rPr>
          <w:rFonts w:ascii="Arial" w:hAnsi="Arial" w:cs="Arial"/>
          <w:b/>
          <w:bCs/>
          <w:sz w:val="28"/>
          <w:szCs w:val="28"/>
        </w:rPr>
        <w:t xml:space="preserve"> </w:t>
      </w:r>
      <w:r w:rsidR="0052560F" w:rsidRPr="00457FC6">
        <w:rPr>
          <w:rFonts w:ascii="Arial" w:hAnsi="Arial" w:cs="Arial"/>
          <w:b/>
          <w:bCs/>
          <w:sz w:val="28"/>
          <w:szCs w:val="28"/>
        </w:rPr>
        <w:t xml:space="preserve"> </w:t>
      </w:r>
    </w:p>
    <w:p w14:paraId="7130478D" w14:textId="77777777" w:rsidR="00A07077" w:rsidRDefault="00090160" w:rsidP="00A07077">
      <w:pPr>
        <w:pStyle w:val="Default"/>
        <w:jc w:val="center"/>
        <w:rPr>
          <w:rFonts w:ascii="Arial" w:hAnsi="Arial" w:cs="Arial"/>
          <w:b/>
          <w:bCs/>
          <w:sz w:val="28"/>
          <w:szCs w:val="28"/>
        </w:rPr>
      </w:pPr>
      <w:r w:rsidRPr="00457FC6">
        <w:rPr>
          <w:rFonts w:ascii="Arial" w:hAnsi="Arial" w:cs="Arial"/>
          <w:b/>
          <w:bCs/>
          <w:sz w:val="28"/>
          <w:szCs w:val="28"/>
        </w:rPr>
        <w:t>EB-201</w:t>
      </w:r>
      <w:r w:rsidR="00651C98" w:rsidRPr="00457FC6">
        <w:rPr>
          <w:rFonts w:ascii="Arial" w:hAnsi="Arial" w:cs="Arial"/>
          <w:b/>
          <w:bCs/>
          <w:sz w:val="28"/>
          <w:szCs w:val="28"/>
        </w:rPr>
        <w:t>9</w:t>
      </w:r>
      <w:r w:rsidR="00B069AA" w:rsidRPr="00457FC6">
        <w:rPr>
          <w:rFonts w:ascii="Arial" w:hAnsi="Arial" w:cs="Arial"/>
          <w:b/>
          <w:bCs/>
          <w:sz w:val="28"/>
          <w:szCs w:val="28"/>
        </w:rPr>
        <w:t>-0</w:t>
      </w:r>
      <w:r w:rsidR="00457FC6" w:rsidRPr="00457FC6">
        <w:rPr>
          <w:rFonts w:ascii="Arial" w:hAnsi="Arial" w:cs="Arial"/>
          <w:b/>
          <w:bCs/>
          <w:sz w:val="28"/>
          <w:szCs w:val="28"/>
        </w:rPr>
        <w:t>042</w:t>
      </w:r>
    </w:p>
    <w:p w14:paraId="6435F1AB" w14:textId="77777777" w:rsidR="00A07077" w:rsidRDefault="00A07077" w:rsidP="00A07077">
      <w:pPr>
        <w:rPr>
          <w:rFonts w:ascii="Arial" w:hAnsi="Arial" w:cs="Arial"/>
          <w:b/>
          <w:bCs/>
          <w:sz w:val="28"/>
          <w:szCs w:val="28"/>
        </w:rPr>
      </w:pPr>
    </w:p>
    <w:p w14:paraId="04851A4C" w14:textId="77777777" w:rsidR="00EC0B55" w:rsidRDefault="00EC0B55" w:rsidP="00302509">
      <w:pPr>
        <w:autoSpaceDE w:val="0"/>
        <w:autoSpaceDN w:val="0"/>
        <w:adjustRightInd w:val="0"/>
        <w:spacing w:after="0" w:line="240" w:lineRule="auto"/>
        <w:rPr>
          <w:rFonts w:ascii="Arial" w:hAnsi="Arial" w:cs="Arial"/>
          <w:b/>
          <w:bCs/>
          <w:color w:val="000000"/>
          <w:sz w:val="24"/>
          <w:szCs w:val="24"/>
        </w:rPr>
      </w:pPr>
    </w:p>
    <w:p w14:paraId="014E7BAD" w14:textId="77777777" w:rsidR="008E6045" w:rsidRDefault="00400DFC" w:rsidP="008E6045">
      <w:pPr>
        <w:rPr>
          <w:rFonts w:ascii="Arial" w:hAnsi="Arial" w:cs="Arial"/>
          <w:b/>
          <w:sz w:val="24"/>
          <w:szCs w:val="24"/>
        </w:rPr>
      </w:pPr>
      <w:r>
        <w:rPr>
          <w:rFonts w:ascii="Arial" w:hAnsi="Arial" w:cs="Arial"/>
          <w:b/>
          <w:sz w:val="24"/>
          <w:szCs w:val="24"/>
        </w:rPr>
        <w:t>Staff Question</w:t>
      </w:r>
      <w:r w:rsidR="008E6045" w:rsidRPr="002D056D">
        <w:rPr>
          <w:rFonts w:ascii="Arial" w:hAnsi="Arial" w:cs="Arial"/>
          <w:b/>
          <w:sz w:val="24"/>
          <w:szCs w:val="24"/>
        </w:rPr>
        <w:t>-1</w:t>
      </w:r>
    </w:p>
    <w:p w14:paraId="3AEB59D0" w14:textId="77777777" w:rsidR="00457FC6" w:rsidRPr="003A5B39" w:rsidRDefault="00457FC6" w:rsidP="00457FC6">
      <w:pPr>
        <w:pStyle w:val="NoSpacing"/>
        <w:rPr>
          <w:rFonts w:ascii="Arial" w:hAnsi="Arial" w:cs="Arial"/>
          <w:b/>
          <w:sz w:val="24"/>
          <w:szCs w:val="24"/>
        </w:rPr>
      </w:pPr>
      <w:r w:rsidRPr="00E1667C">
        <w:rPr>
          <w:rFonts w:ascii="Arial" w:hAnsi="Arial" w:cs="Arial"/>
          <w:b/>
          <w:sz w:val="24"/>
          <w:szCs w:val="24"/>
        </w:rPr>
        <w:t>Ref:</w:t>
      </w:r>
      <w:r w:rsidRPr="003A5B39">
        <w:rPr>
          <w:rFonts w:ascii="Arial" w:hAnsi="Arial" w:cs="Arial"/>
          <w:b/>
          <w:sz w:val="24"/>
          <w:szCs w:val="24"/>
        </w:rPr>
        <w:tab/>
        <w:t>Tab 3 of IRM Rate Generator</w:t>
      </w:r>
      <w:r w:rsidR="0019379D">
        <w:rPr>
          <w:rFonts w:ascii="Arial" w:hAnsi="Arial" w:cs="Arial"/>
          <w:b/>
          <w:sz w:val="24"/>
          <w:szCs w:val="24"/>
        </w:rPr>
        <w:t xml:space="preserve"> (</w:t>
      </w:r>
      <w:r w:rsidRPr="003A5B39">
        <w:rPr>
          <w:rFonts w:ascii="Arial" w:hAnsi="Arial" w:cs="Arial"/>
          <w:b/>
          <w:sz w:val="24"/>
          <w:szCs w:val="24"/>
        </w:rPr>
        <w:t>cells BM 37 and BM 41</w:t>
      </w:r>
      <w:r w:rsidR="0019379D">
        <w:rPr>
          <w:rFonts w:ascii="Arial" w:hAnsi="Arial" w:cs="Arial"/>
          <w:b/>
          <w:sz w:val="24"/>
          <w:szCs w:val="24"/>
        </w:rPr>
        <w:t>)</w:t>
      </w:r>
    </w:p>
    <w:p w14:paraId="71E162B8" w14:textId="77777777" w:rsidR="00457FC6" w:rsidRPr="003A5B39" w:rsidRDefault="00457FC6" w:rsidP="00457FC6">
      <w:pPr>
        <w:pStyle w:val="NoSpacing"/>
        <w:rPr>
          <w:rFonts w:ascii="Arial" w:hAnsi="Arial" w:cs="Arial"/>
          <w:b/>
          <w:sz w:val="24"/>
          <w:szCs w:val="24"/>
        </w:rPr>
      </w:pPr>
      <w:r w:rsidRPr="003A5B39">
        <w:rPr>
          <w:rFonts w:ascii="Arial" w:hAnsi="Arial" w:cs="Arial"/>
          <w:b/>
          <w:sz w:val="24"/>
          <w:szCs w:val="24"/>
        </w:rPr>
        <w:tab/>
        <w:t xml:space="preserve">IRM Rate Generator Model </w:t>
      </w:r>
      <w:r w:rsidR="009B3A63">
        <w:rPr>
          <w:rFonts w:ascii="Arial" w:hAnsi="Arial" w:cs="Arial"/>
          <w:b/>
          <w:sz w:val="24"/>
          <w:szCs w:val="24"/>
        </w:rPr>
        <w:t xml:space="preserve">– Staff Revised </w:t>
      </w:r>
      <w:r w:rsidRPr="003A5B39">
        <w:rPr>
          <w:rFonts w:ascii="Arial" w:hAnsi="Arial" w:cs="Arial"/>
          <w:b/>
          <w:sz w:val="24"/>
          <w:szCs w:val="24"/>
        </w:rPr>
        <w:t>(attachment)</w:t>
      </w:r>
    </w:p>
    <w:p w14:paraId="6E951032" w14:textId="77777777" w:rsidR="00457FC6" w:rsidRPr="00E1667C" w:rsidRDefault="00457FC6" w:rsidP="00457FC6">
      <w:pPr>
        <w:pStyle w:val="NoSpacing"/>
        <w:rPr>
          <w:rFonts w:ascii="Arial" w:hAnsi="Arial" w:cs="Arial"/>
          <w:color w:val="FF0000"/>
          <w:sz w:val="24"/>
          <w:szCs w:val="24"/>
        </w:rPr>
      </w:pPr>
    </w:p>
    <w:p w14:paraId="679B48F8" w14:textId="77777777" w:rsidR="00457FC6" w:rsidRPr="00E1667C" w:rsidRDefault="00457FC6" w:rsidP="00457FC6">
      <w:pPr>
        <w:rPr>
          <w:rFonts w:ascii="Arial" w:hAnsi="Arial" w:cs="Arial"/>
          <w:sz w:val="24"/>
          <w:szCs w:val="24"/>
          <w:u w:val="single"/>
        </w:rPr>
      </w:pPr>
      <w:r w:rsidRPr="00E1667C">
        <w:rPr>
          <w:rFonts w:ascii="Arial" w:hAnsi="Arial" w:cs="Arial"/>
          <w:sz w:val="24"/>
          <w:szCs w:val="24"/>
          <w:u w:val="single"/>
        </w:rPr>
        <w:t xml:space="preserve">Pre-amble </w:t>
      </w:r>
    </w:p>
    <w:p w14:paraId="4B4B4735" w14:textId="2119B7C6" w:rsidR="00457FC6" w:rsidRPr="00E1667C" w:rsidRDefault="00CB12AA" w:rsidP="00457FC6">
      <w:pPr>
        <w:rPr>
          <w:rFonts w:ascii="Arial" w:eastAsia="Times New Roman" w:hAnsi="Arial" w:cs="Arial"/>
          <w:sz w:val="24"/>
          <w:szCs w:val="24"/>
        </w:rPr>
      </w:pPr>
      <w:r>
        <w:rPr>
          <w:rFonts w:ascii="Arial" w:eastAsia="Times New Roman" w:hAnsi="Arial" w:cs="Arial"/>
          <w:sz w:val="24"/>
          <w:szCs w:val="24"/>
        </w:rPr>
        <w:t>An extract of</w:t>
      </w:r>
      <w:r w:rsidR="004136C5">
        <w:rPr>
          <w:rFonts w:ascii="Arial" w:eastAsia="Times New Roman" w:hAnsi="Arial" w:cs="Arial"/>
          <w:sz w:val="24"/>
          <w:szCs w:val="24"/>
        </w:rPr>
        <w:t xml:space="preserve"> the balance in 1595 (2019)</w:t>
      </w:r>
      <w:r>
        <w:rPr>
          <w:rFonts w:ascii="Arial" w:eastAsia="Times New Roman" w:hAnsi="Arial" w:cs="Arial"/>
          <w:sz w:val="24"/>
          <w:szCs w:val="24"/>
        </w:rPr>
        <w:t xml:space="preserve"> of </w:t>
      </w:r>
      <w:r w:rsidR="00AC5488">
        <w:rPr>
          <w:rFonts w:ascii="Arial" w:eastAsia="Times New Roman" w:hAnsi="Arial" w:cs="Arial"/>
          <w:sz w:val="24"/>
          <w:szCs w:val="24"/>
        </w:rPr>
        <w:t>T</w:t>
      </w:r>
      <w:r>
        <w:rPr>
          <w:rFonts w:ascii="Arial" w:eastAsia="Times New Roman" w:hAnsi="Arial" w:cs="Arial"/>
          <w:sz w:val="24"/>
          <w:szCs w:val="24"/>
        </w:rPr>
        <w:t>ab 3</w:t>
      </w:r>
      <w:r w:rsidR="004136C5">
        <w:rPr>
          <w:rFonts w:ascii="Arial" w:eastAsia="Times New Roman" w:hAnsi="Arial" w:cs="Arial"/>
          <w:sz w:val="24"/>
          <w:szCs w:val="24"/>
        </w:rPr>
        <w:t xml:space="preserve"> </w:t>
      </w:r>
      <w:r>
        <w:rPr>
          <w:rFonts w:ascii="Arial" w:eastAsia="Times New Roman" w:hAnsi="Arial" w:cs="Arial"/>
          <w:sz w:val="24"/>
          <w:szCs w:val="24"/>
        </w:rPr>
        <w:t>is re-produced</w:t>
      </w:r>
      <w:r w:rsidR="00457FC6" w:rsidRPr="00E1667C">
        <w:rPr>
          <w:rFonts w:ascii="Arial" w:eastAsia="Times New Roman" w:hAnsi="Arial" w:cs="Arial"/>
          <w:sz w:val="24"/>
          <w:szCs w:val="24"/>
        </w:rPr>
        <w:t xml:space="preserve"> below: </w:t>
      </w:r>
    </w:p>
    <w:p w14:paraId="21F7926C" w14:textId="77777777" w:rsidR="00457FC6" w:rsidRPr="00E1667C" w:rsidRDefault="00457FC6" w:rsidP="00457FC6">
      <w:pPr>
        <w:jc w:val="center"/>
        <w:rPr>
          <w:rFonts w:ascii="Arial" w:hAnsi="Arial" w:cs="Arial"/>
          <w:sz w:val="24"/>
          <w:szCs w:val="24"/>
        </w:rPr>
      </w:pPr>
      <w:r w:rsidRPr="00E1667C">
        <w:rPr>
          <w:rFonts w:ascii="Arial" w:hAnsi="Arial" w:cs="Arial"/>
          <w:noProof/>
          <w:sz w:val="24"/>
          <w:szCs w:val="24"/>
          <w:lang w:val="en-US"/>
        </w:rPr>
        <mc:AlternateContent>
          <mc:Choice Requires="wps">
            <w:drawing>
              <wp:anchor distT="0" distB="0" distL="114300" distR="114300" simplePos="0" relativeHeight="251659264" behindDoc="0" locked="0" layoutInCell="1" allowOverlap="1" wp14:anchorId="237C35B2" wp14:editId="6F24AA47">
                <wp:simplePos x="0" y="0"/>
                <wp:positionH relativeFrom="column">
                  <wp:posOffset>3909645</wp:posOffset>
                </wp:positionH>
                <wp:positionV relativeFrom="paragraph">
                  <wp:posOffset>2248828</wp:posOffset>
                </wp:positionV>
                <wp:extent cx="498231" cy="281354"/>
                <wp:effectExtent l="0" t="0" r="16510" b="23495"/>
                <wp:wrapNone/>
                <wp:docPr id="3" name="Rectangle 3"/>
                <wp:cNvGraphicFramePr/>
                <a:graphic xmlns:a="http://schemas.openxmlformats.org/drawingml/2006/main">
                  <a:graphicData uri="http://schemas.microsoft.com/office/word/2010/wordprocessingShape">
                    <wps:wsp>
                      <wps:cNvSpPr/>
                      <wps:spPr>
                        <a:xfrm>
                          <a:off x="0" y="0"/>
                          <a:ext cx="498231" cy="281354"/>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EBE33" id="Rectangle 3" o:spid="_x0000_s1026" style="position:absolute;margin-left:307.85pt;margin-top:177.05pt;width:39.25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" filled="f" strokecolor="red" strokeweight="2pt"/>
            </w:pict>
          </mc:Fallback>
        </mc:AlternateContent>
      </w:r>
      <w:r w:rsidRPr="00E1667C">
        <w:rPr>
          <w:rFonts w:ascii="Arial" w:hAnsi="Arial" w:cs="Arial"/>
          <w:noProof/>
          <w:sz w:val="24"/>
          <w:szCs w:val="24"/>
          <w:lang w:val="en-US"/>
        </w:rPr>
        <w:drawing>
          <wp:inline distT="0" distB="0" distL="0" distR="0" wp14:anchorId="6CA563F8" wp14:editId="1FF91CCD">
            <wp:extent cx="4982307" cy="2911136"/>
            <wp:effectExtent l="0" t="0" r="889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98657" cy="2920689"/>
                    </a:xfrm>
                    <a:prstGeom prst="rect">
                      <a:avLst/>
                    </a:prstGeom>
                  </pic:spPr>
                </pic:pic>
              </a:graphicData>
            </a:graphic>
          </wp:inline>
        </w:drawing>
      </w:r>
    </w:p>
    <w:p w14:paraId="31B90EBB" w14:textId="417937A5" w:rsidR="00457FC6" w:rsidRPr="00E1667C" w:rsidRDefault="00CB12AA" w:rsidP="00457FC6">
      <w:pPr>
        <w:rPr>
          <w:rFonts w:ascii="Arial" w:eastAsia="Times New Roman" w:hAnsi="Arial" w:cs="Arial"/>
          <w:sz w:val="24"/>
          <w:szCs w:val="24"/>
        </w:rPr>
      </w:pPr>
      <w:r>
        <w:rPr>
          <w:rFonts w:ascii="Arial" w:hAnsi="Arial" w:cs="Arial"/>
          <w:sz w:val="24"/>
          <w:szCs w:val="24"/>
        </w:rPr>
        <w:t>In the</w:t>
      </w:r>
      <w:r w:rsidR="00C33F9A">
        <w:rPr>
          <w:rFonts w:ascii="Arial" w:hAnsi="Arial" w:cs="Arial"/>
          <w:sz w:val="24"/>
          <w:szCs w:val="24"/>
        </w:rPr>
        <w:t xml:space="preserve"> updated</w:t>
      </w:r>
      <w:r>
        <w:rPr>
          <w:rFonts w:ascii="Arial" w:hAnsi="Arial" w:cs="Arial"/>
          <w:sz w:val="24"/>
          <w:szCs w:val="24"/>
        </w:rPr>
        <w:t xml:space="preserve"> </w:t>
      </w:r>
      <w:r w:rsidR="00457FC6" w:rsidRPr="00E1667C">
        <w:rPr>
          <w:rFonts w:ascii="Arial" w:hAnsi="Arial" w:cs="Arial"/>
          <w:sz w:val="24"/>
          <w:szCs w:val="24"/>
        </w:rPr>
        <w:t xml:space="preserve">IRM </w:t>
      </w:r>
      <w:r w:rsidR="004136C5">
        <w:rPr>
          <w:rFonts w:ascii="Arial" w:hAnsi="Arial" w:cs="Arial"/>
          <w:sz w:val="24"/>
          <w:szCs w:val="24"/>
        </w:rPr>
        <w:t xml:space="preserve">rate generator </w:t>
      </w:r>
      <w:r>
        <w:rPr>
          <w:rFonts w:ascii="Arial" w:hAnsi="Arial" w:cs="Arial"/>
          <w:sz w:val="24"/>
          <w:szCs w:val="24"/>
        </w:rPr>
        <w:t xml:space="preserve">attached, </w:t>
      </w:r>
      <w:r w:rsidR="004136C5">
        <w:rPr>
          <w:rFonts w:ascii="Arial" w:hAnsi="Arial" w:cs="Arial"/>
          <w:sz w:val="24"/>
          <w:szCs w:val="24"/>
        </w:rPr>
        <w:t xml:space="preserve">the formula in </w:t>
      </w:r>
      <w:r w:rsidR="00F77E1B">
        <w:rPr>
          <w:rFonts w:ascii="Arial" w:hAnsi="Arial" w:cs="Arial"/>
          <w:sz w:val="24"/>
          <w:szCs w:val="24"/>
        </w:rPr>
        <w:t>T</w:t>
      </w:r>
      <w:r w:rsidR="00C33F9A">
        <w:rPr>
          <w:rFonts w:ascii="Arial" w:hAnsi="Arial" w:cs="Arial"/>
          <w:sz w:val="24"/>
          <w:szCs w:val="24"/>
        </w:rPr>
        <w:t xml:space="preserve">ab 3 </w:t>
      </w:r>
      <w:r w:rsidR="00457FC6" w:rsidRPr="00E1667C">
        <w:rPr>
          <w:rFonts w:ascii="Arial" w:hAnsi="Arial" w:cs="Arial"/>
          <w:sz w:val="24"/>
          <w:szCs w:val="24"/>
        </w:rPr>
        <w:t xml:space="preserve">cell BM 41 </w:t>
      </w:r>
      <w:r w:rsidR="00C33F9A">
        <w:rPr>
          <w:rFonts w:ascii="Arial" w:hAnsi="Arial" w:cs="Arial"/>
          <w:sz w:val="24"/>
          <w:szCs w:val="24"/>
        </w:rPr>
        <w:t xml:space="preserve">was corrected by OEB staff, </w:t>
      </w:r>
      <w:r>
        <w:rPr>
          <w:rFonts w:ascii="Arial" w:hAnsi="Arial" w:cs="Arial"/>
          <w:sz w:val="24"/>
          <w:szCs w:val="24"/>
        </w:rPr>
        <w:t>as th</w:t>
      </w:r>
      <w:r w:rsidR="004136C5" w:rsidRPr="00E1667C">
        <w:rPr>
          <w:rFonts w:ascii="Arial" w:hAnsi="Arial" w:cs="Arial"/>
          <w:sz w:val="24"/>
          <w:szCs w:val="24"/>
        </w:rPr>
        <w:t xml:space="preserve">e </w:t>
      </w:r>
      <w:r w:rsidR="004136C5">
        <w:rPr>
          <w:rFonts w:ascii="Arial" w:hAnsi="Arial" w:cs="Arial"/>
          <w:sz w:val="24"/>
          <w:szCs w:val="24"/>
        </w:rPr>
        <w:t xml:space="preserve">original formula </w:t>
      </w:r>
      <w:r w:rsidR="004136C5" w:rsidRPr="00E1667C">
        <w:rPr>
          <w:rFonts w:ascii="Arial" w:hAnsi="Arial" w:cs="Arial"/>
          <w:sz w:val="24"/>
          <w:szCs w:val="24"/>
        </w:rPr>
        <w:t xml:space="preserve">did not capture the total group 1 balance correctly. </w:t>
      </w:r>
      <w:r w:rsidR="00457FC6" w:rsidRPr="00E1667C">
        <w:rPr>
          <w:rFonts w:ascii="Arial" w:hAnsi="Arial" w:cs="Arial"/>
          <w:sz w:val="24"/>
          <w:szCs w:val="24"/>
        </w:rPr>
        <w:t>Given th</w:t>
      </w:r>
      <w:r w:rsidR="004136C5">
        <w:rPr>
          <w:rFonts w:ascii="Arial" w:hAnsi="Arial" w:cs="Arial"/>
          <w:sz w:val="24"/>
          <w:szCs w:val="24"/>
        </w:rPr>
        <w:t>e formula change, it raises question</w:t>
      </w:r>
      <w:r w:rsidR="00F77E1B">
        <w:rPr>
          <w:rFonts w:ascii="Arial" w:hAnsi="Arial" w:cs="Arial"/>
          <w:sz w:val="24"/>
          <w:szCs w:val="24"/>
        </w:rPr>
        <w:t xml:space="preserve"> on</w:t>
      </w:r>
      <w:r w:rsidR="004136C5">
        <w:rPr>
          <w:rFonts w:ascii="Arial" w:hAnsi="Arial" w:cs="Arial"/>
          <w:sz w:val="24"/>
          <w:szCs w:val="24"/>
        </w:rPr>
        <w:t xml:space="preserve"> </w:t>
      </w:r>
      <w:r w:rsidR="00C33F9A">
        <w:rPr>
          <w:rFonts w:ascii="Arial" w:hAnsi="Arial" w:cs="Arial"/>
          <w:sz w:val="24"/>
          <w:szCs w:val="24"/>
        </w:rPr>
        <w:t xml:space="preserve">whether the </w:t>
      </w:r>
      <w:r w:rsidR="004136C5">
        <w:rPr>
          <w:rFonts w:ascii="Arial" w:eastAsia="Times New Roman" w:hAnsi="Arial" w:cs="Arial"/>
          <w:sz w:val="24"/>
          <w:szCs w:val="24"/>
        </w:rPr>
        <w:t xml:space="preserve">amounts </w:t>
      </w:r>
      <w:r w:rsidR="00C33F9A">
        <w:rPr>
          <w:rFonts w:ascii="Arial" w:eastAsia="Times New Roman" w:hAnsi="Arial" w:cs="Arial"/>
          <w:sz w:val="24"/>
          <w:szCs w:val="24"/>
        </w:rPr>
        <w:t xml:space="preserve">originally entered </w:t>
      </w:r>
      <w:r w:rsidR="00F77E1B">
        <w:rPr>
          <w:rFonts w:ascii="Arial" w:eastAsia="Times New Roman" w:hAnsi="Arial" w:cs="Arial"/>
          <w:sz w:val="24"/>
          <w:szCs w:val="24"/>
        </w:rPr>
        <w:t xml:space="preserve">for disposition </w:t>
      </w:r>
      <w:r w:rsidR="00C33F9A">
        <w:rPr>
          <w:rFonts w:ascii="Arial" w:eastAsia="Times New Roman" w:hAnsi="Arial" w:cs="Arial"/>
          <w:sz w:val="24"/>
          <w:szCs w:val="24"/>
        </w:rPr>
        <w:t xml:space="preserve">in </w:t>
      </w:r>
      <w:r w:rsidR="00F77E1B">
        <w:rPr>
          <w:rFonts w:ascii="Arial" w:eastAsia="Times New Roman" w:hAnsi="Arial" w:cs="Arial"/>
          <w:sz w:val="24"/>
          <w:szCs w:val="24"/>
        </w:rPr>
        <w:t xml:space="preserve">1595 (2019) </w:t>
      </w:r>
      <w:r w:rsidR="00C33F9A">
        <w:rPr>
          <w:rFonts w:ascii="Arial" w:eastAsia="Times New Roman" w:hAnsi="Arial" w:cs="Arial"/>
          <w:sz w:val="24"/>
          <w:szCs w:val="24"/>
        </w:rPr>
        <w:t>are</w:t>
      </w:r>
      <w:r w:rsidR="00457FC6" w:rsidRPr="00E1667C">
        <w:rPr>
          <w:rFonts w:ascii="Arial" w:eastAsia="Times New Roman" w:hAnsi="Arial" w:cs="Arial"/>
          <w:sz w:val="24"/>
          <w:szCs w:val="24"/>
        </w:rPr>
        <w:t xml:space="preserve"> correct. </w:t>
      </w:r>
    </w:p>
    <w:p w14:paraId="2376D914" w14:textId="77777777" w:rsidR="00457FC6" w:rsidRPr="00E1667C" w:rsidRDefault="00457FC6" w:rsidP="00457FC6">
      <w:pPr>
        <w:rPr>
          <w:rFonts w:ascii="Arial" w:eastAsia="Times New Roman" w:hAnsi="Arial" w:cs="Arial"/>
          <w:sz w:val="24"/>
          <w:szCs w:val="24"/>
          <w:u w:val="single"/>
        </w:rPr>
      </w:pPr>
      <w:r w:rsidRPr="00E1667C">
        <w:rPr>
          <w:rFonts w:ascii="Arial" w:eastAsia="Times New Roman" w:hAnsi="Arial" w:cs="Arial"/>
          <w:sz w:val="24"/>
          <w:szCs w:val="24"/>
          <w:u w:val="single"/>
        </w:rPr>
        <w:t>Question</w:t>
      </w:r>
      <w:r w:rsidR="0062117F">
        <w:rPr>
          <w:rFonts w:ascii="Arial" w:eastAsia="Times New Roman" w:hAnsi="Arial" w:cs="Arial"/>
          <w:sz w:val="24"/>
          <w:szCs w:val="24"/>
          <w:u w:val="single"/>
        </w:rPr>
        <w:t>s</w:t>
      </w:r>
    </w:p>
    <w:p w14:paraId="21729023" w14:textId="608D0102" w:rsidR="00217A5E" w:rsidRDefault="0066401A" w:rsidP="00AA0514">
      <w:pPr>
        <w:pStyle w:val="ListParagraph"/>
        <w:numPr>
          <w:ilvl w:val="0"/>
          <w:numId w:val="28"/>
        </w:numPr>
        <w:spacing w:after="160"/>
        <w:rPr>
          <w:rFonts w:ascii="Arial" w:eastAsia="Times New Roman" w:hAnsi="Arial" w:cs="Arial"/>
          <w:sz w:val="24"/>
          <w:szCs w:val="24"/>
        </w:rPr>
      </w:pPr>
      <w:r>
        <w:rPr>
          <w:rFonts w:ascii="Arial" w:eastAsia="Times New Roman" w:hAnsi="Arial" w:cs="Arial"/>
          <w:sz w:val="24"/>
          <w:szCs w:val="24"/>
        </w:rPr>
        <w:t>P</w:t>
      </w:r>
      <w:r w:rsidR="00457FC6" w:rsidRPr="00217A5E">
        <w:rPr>
          <w:rFonts w:ascii="Arial" w:eastAsia="Times New Roman" w:hAnsi="Arial" w:cs="Arial"/>
          <w:sz w:val="24"/>
          <w:szCs w:val="24"/>
        </w:rPr>
        <w:t xml:space="preserve">lease confirm whether a debit balance of </w:t>
      </w:r>
      <w:r w:rsidR="00457FC6" w:rsidRPr="00217A5E">
        <w:rPr>
          <w:rFonts w:ascii="Arial" w:hAnsi="Arial" w:cs="Arial"/>
          <w:sz w:val="24"/>
          <w:szCs w:val="24"/>
        </w:rPr>
        <w:t>$</w:t>
      </w:r>
      <w:r w:rsidR="00457FC6" w:rsidRPr="00217A5E">
        <w:rPr>
          <w:rFonts w:ascii="Arial" w:eastAsia="Times New Roman" w:hAnsi="Arial" w:cs="Arial"/>
          <w:sz w:val="24"/>
          <w:szCs w:val="24"/>
        </w:rPr>
        <w:t xml:space="preserve">131,004 has been transferred into </w:t>
      </w:r>
      <w:r w:rsidR="00AC5488">
        <w:rPr>
          <w:rFonts w:ascii="Arial" w:eastAsia="Times New Roman" w:hAnsi="Arial" w:cs="Arial"/>
          <w:sz w:val="24"/>
          <w:szCs w:val="24"/>
        </w:rPr>
        <w:t xml:space="preserve">Account </w:t>
      </w:r>
      <w:r w:rsidR="00457FC6" w:rsidRPr="00217A5E">
        <w:rPr>
          <w:rFonts w:ascii="Arial" w:eastAsia="Times New Roman" w:hAnsi="Arial" w:cs="Arial"/>
          <w:sz w:val="24"/>
          <w:szCs w:val="24"/>
        </w:rPr>
        <w:t xml:space="preserve">1595 (2019). </w:t>
      </w:r>
      <w:r>
        <w:rPr>
          <w:rFonts w:ascii="Arial" w:eastAsia="Times New Roman" w:hAnsi="Arial" w:cs="Arial"/>
          <w:sz w:val="24"/>
          <w:szCs w:val="24"/>
        </w:rPr>
        <w:t xml:space="preserve">Based on the updated IRM rate generator attached, </w:t>
      </w:r>
      <w:r>
        <w:rPr>
          <w:rFonts w:ascii="Arial" w:eastAsia="Times New Roman" w:hAnsi="Arial" w:cs="Arial"/>
          <w:sz w:val="24"/>
          <w:szCs w:val="24"/>
        </w:rPr>
        <w:t>p</w:t>
      </w:r>
      <w:r w:rsidR="00457FC6" w:rsidRPr="00217A5E">
        <w:rPr>
          <w:rFonts w:ascii="Arial" w:eastAsia="Times New Roman" w:hAnsi="Arial" w:cs="Arial"/>
          <w:sz w:val="24"/>
          <w:szCs w:val="24"/>
        </w:rPr>
        <w:t xml:space="preserve">lease </w:t>
      </w:r>
      <w:r w:rsidR="00991965" w:rsidRPr="00217A5E">
        <w:rPr>
          <w:rFonts w:ascii="Arial" w:eastAsia="Times New Roman" w:hAnsi="Arial" w:cs="Arial"/>
          <w:sz w:val="24"/>
          <w:szCs w:val="24"/>
        </w:rPr>
        <w:t>review accuracy of</w:t>
      </w:r>
      <w:r w:rsidR="004136C5">
        <w:rPr>
          <w:rFonts w:ascii="Arial" w:eastAsia="Times New Roman" w:hAnsi="Arial" w:cs="Arial"/>
          <w:sz w:val="24"/>
          <w:szCs w:val="24"/>
        </w:rPr>
        <w:t>:</w:t>
      </w:r>
    </w:p>
    <w:p w14:paraId="43104736" w14:textId="67BEFE70" w:rsidR="004136C5" w:rsidRPr="00217A5E" w:rsidRDefault="004136C5" w:rsidP="004136C5">
      <w:pPr>
        <w:pStyle w:val="ListParagraph"/>
        <w:numPr>
          <w:ilvl w:val="1"/>
          <w:numId w:val="28"/>
        </w:numPr>
        <w:spacing w:after="160"/>
        <w:rPr>
          <w:rFonts w:ascii="Arial" w:eastAsia="Times New Roman" w:hAnsi="Arial" w:cs="Arial"/>
          <w:sz w:val="24"/>
          <w:szCs w:val="24"/>
        </w:rPr>
      </w:pPr>
      <w:r w:rsidRPr="00217A5E">
        <w:rPr>
          <w:rFonts w:ascii="Arial" w:eastAsia="Times New Roman" w:hAnsi="Arial" w:cs="Arial"/>
          <w:sz w:val="24"/>
          <w:szCs w:val="24"/>
        </w:rPr>
        <w:t>the amount entered in Account 1595 (2019) in</w:t>
      </w:r>
      <w:r>
        <w:rPr>
          <w:rFonts w:ascii="Arial" w:eastAsia="Times New Roman" w:hAnsi="Arial" w:cs="Arial"/>
          <w:sz w:val="24"/>
          <w:szCs w:val="24"/>
        </w:rPr>
        <w:t xml:space="preserve"> </w:t>
      </w:r>
      <w:r w:rsidR="0066401A">
        <w:rPr>
          <w:rFonts w:ascii="Arial" w:eastAsia="Times New Roman" w:hAnsi="Arial" w:cs="Arial"/>
          <w:sz w:val="24"/>
          <w:szCs w:val="24"/>
        </w:rPr>
        <w:t>T</w:t>
      </w:r>
      <w:r w:rsidR="00CB12AA">
        <w:rPr>
          <w:rFonts w:ascii="Arial" w:eastAsia="Times New Roman" w:hAnsi="Arial" w:cs="Arial"/>
          <w:sz w:val="24"/>
          <w:szCs w:val="24"/>
        </w:rPr>
        <w:t xml:space="preserve">ab 3, </w:t>
      </w:r>
      <w:r>
        <w:rPr>
          <w:rFonts w:ascii="Arial" w:eastAsia="Times New Roman" w:hAnsi="Arial" w:cs="Arial"/>
          <w:sz w:val="24"/>
          <w:szCs w:val="24"/>
        </w:rPr>
        <w:t>cell BM 37</w:t>
      </w:r>
    </w:p>
    <w:p w14:paraId="6288BACE" w14:textId="72A715EA" w:rsidR="00217A5E" w:rsidRDefault="00457FC6" w:rsidP="00217A5E">
      <w:pPr>
        <w:pStyle w:val="ListParagraph"/>
        <w:numPr>
          <w:ilvl w:val="1"/>
          <w:numId w:val="28"/>
        </w:numPr>
        <w:spacing w:after="160"/>
        <w:rPr>
          <w:rFonts w:ascii="Arial" w:eastAsia="Times New Roman" w:hAnsi="Arial" w:cs="Arial"/>
          <w:sz w:val="24"/>
          <w:szCs w:val="24"/>
        </w:rPr>
      </w:pPr>
      <w:r w:rsidRPr="00217A5E">
        <w:rPr>
          <w:rFonts w:ascii="Arial" w:eastAsia="Times New Roman" w:hAnsi="Arial" w:cs="Arial"/>
          <w:sz w:val="24"/>
          <w:szCs w:val="24"/>
        </w:rPr>
        <w:lastRenderedPageBreak/>
        <w:t xml:space="preserve">total group 1 balance of 0 </w:t>
      </w:r>
      <w:r w:rsidR="0066401A">
        <w:rPr>
          <w:rFonts w:ascii="Arial" w:eastAsia="Times New Roman" w:hAnsi="Arial" w:cs="Arial"/>
          <w:sz w:val="24"/>
          <w:szCs w:val="24"/>
        </w:rPr>
        <w:t xml:space="preserve">in Tab 3, </w:t>
      </w:r>
      <w:r w:rsidR="00991965" w:rsidRPr="00217A5E">
        <w:rPr>
          <w:rFonts w:ascii="Arial" w:eastAsia="Times New Roman" w:hAnsi="Arial" w:cs="Arial"/>
          <w:sz w:val="24"/>
          <w:szCs w:val="24"/>
        </w:rPr>
        <w:t xml:space="preserve">cell </w:t>
      </w:r>
      <w:r w:rsidR="00CB12AA">
        <w:rPr>
          <w:rFonts w:ascii="Arial" w:eastAsia="Times New Roman" w:hAnsi="Arial" w:cs="Arial"/>
          <w:sz w:val="24"/>
          <w:szCs w:val="24"/>
        </w:rPr>
        <w:t>BM 41</w:t>
      </w:r>
      <w:r w:rsidR="00991965" w:rsidRPr="00217A5E">
        <w:rPr>
          <w:rFonts w:ascii="Arial" w:eastAsia="Times New Roman" w:hAnsi="Arial" w:cs="Arial"/>
          <w:sz w:val="24"/>
          <w:szCs w:val="24"/>
        </w:rPr>
        <w:t xml:space="preserve"> </w:t>
      </w:r>
    </w:p>
    <w:p w14:paraId="32736906" w14:textId="77777777" w:rsidR="00457FC6" w:rsidRDefault="00457FC6" w:rsidP="008E6045">
      <w:pPr>
        <w:rPr>
          <w:rFonts w:ascii="Arial" w:hAnsi="Arial" w:cs="Arial"/>
          <w:b/>
          <w:sz w:val="24"/>
          <w:szCs w:val="24"/>
        </w:rPr>
      </w:pPr>
    </w:p>
    <w:p w14:paraId="1090CC25" w14:textId="77777777" w:rsidR="00457FC6" w:rsidRDefault="00457FC6" w:rsidP="00457FC6">
      <w:pPr>
        <w:rPr>
          <w:rFonts w:ascii="Arial" w:hAnsi="Arial" w:cs="Arial"/>
          <w:b/>
          <w:sz w:val="24"/>
          <w:szCs w:val="24"/>
        </w:rPr>
      </w:pPr>
      <w:r>
        <w:rPr>
          <w:rFonts w:ascii="Arial" w:hAnsi="Arial" w:cs="Arial"/>
          <w:b/>
          <w:sz w:val="24"/>
          <w:szCs w:val="24"/>
        </w:rPr>
        <w:t>Staff Question</w:t>
      </w:r>
      <w:r w:rsidRPr="002D056D">
        <w:rPr>
          <w:rFonts w:ascii="Arial" w:hAnsi="Arial" w:cs="Arial"/>
          <w:b/>
          <w:sz w:val="24"/>
          <w:szCs w:val="24"/>
        </w:rPr>
        <w:t>-</w:t>
      </w:r>
      <w:r>
        <w:rPr>
          <w:rFonts w:ascii="Arial" w:hAnsi="Arial" w:cs="Arial"/>
          <w:b/>
          <w:sz w:val="24"/>
          <w:szCs w:val="24"/>
        </w:rPr>
        <w:t>2</w:t>
      </w:r>
    </w:p>
    <w:p w14:paraId="1DF46D6D" w14:textId="77777777" w:rsidR="00457FC6" w:rsidRPr="00E1667C" w:rsidRDefault="00457FC6" w:rsidP="00457FC6">
      <w:pPr>
        <w:pStyle w:val="NoSpacing"/>
        <w:rPr>
          <w:rFonts w:ascii="Arial" w:hAnsi="Arial" w:cs="Arial"/>
          <w:b/>
          <w:sz w:val="24"/>
          <w:szCs w:val="24"/>
        </w:rPr>
      </w:pPr>
      <w:r w:rsidRPr="00E1667C">
        <w:rPr>
          <w:rFonts w:ascii="Arial" w:hAnsi="Arial" w:cs="Arial"/>
          <w:b/>
          <w:sz w:val="24"/>
          <w:szCs w:val="24"/>
        </w:rPr>
        <w:t>Ref:</w:t>
      </w:r>
      <w:r w:rsidRPr="00E1667C">
        <w:rPr>
          <w:rFonts w:ascii="Arial" w:hAnsi="Arial" w:cs="Arial"/>
          <w:b/>
          <w:sz w:val="24"/>
          <w:szCs w:val="24"/>
        </w:rPr>
        <w:tab/>
        <w:t>Application, p. 13</w:t>
      </w:r>
    </w:p>
    <w:p w14:paraId="4516BB19" w14:textId="73E5C1C6" w:rsidR="00457FC6" w:rsidRPr="00E1667C" w:rsidRDefault="00457FC6" w:rsidP="00457FC6">
      <w:pPr>
        <w:pStyle w:val="NoSpacing"/>
        <w:rPr>
          <w:rFonts w:ascii="Arial" w:hAnsi="Arial" w:cs="Arial"/>
          <w:b/>
          <w:sz w:val="24"/>
          <w:szCs w:val="24"/>
        </w:rPr>
      </w:pPr>
      <w:r w:rsidRPr="00E1667C">
        <w:rPr>
          <w:rFonts w:ascii="Arial" w:hAnsi="Arial" w:cs="Arial"/>
          <w:b/>
          <w:sz w:val="24"/>
          <w:szCs w:val="24"/>
        </w:rPr>
        <w:tab/>
        <w:t>Tab 3 of IRM Rate Generator</w:t>
      </w:r>
      <w:r w:rsidR="0019379D">
        <w:rPr>
          <w:rFonts w:ascii="Arial" w:hAnsi="Arial" w:cs="Arial"/>
          <w:b/>
          <w:sz w:val="24"/>
          <w:szCs w:val="24"/>
        </w:rPr>
        <w:t xml:space="preserve"> (</w:t>
      </w:r>
      <w:r w:rsidRPr="00E1667C">
        <w:rPr>
          <w:rFonts w:ascii="Arial" w:hAnsi="Arial" w:cs="Arial"/>
          <w:b/>
          <w:sz w:val="24"/>
          <w:szCs w:val="24"/>
        </w:rPr>
        <w:t>cell</w:t>
      </w:r>
      <w:r w:rsidR="008D00DC">
        <w:rPr>
          <w:rFonts w:ascii="Arial" w:hAnsi="Arial" w:cs="Arial"/>
          <w:b/>
          <w:sz w:val="24"/>
          <w:szCs w:val="24"/>
        </w:rPr>
        <w:t>s</w:t>
      </w:r>
      <w:r w:rsidRPr="00E1667C">
        <w:rPr>
          <w:rFonts w:ascii="Arial" w:hAnsi="Arial" w:cs="Arial"/>
          <w:b/>
          <w:sz w:val="24"/>
          <w:szCs w:val="24"/>
        </w:rPr>
        <w:t xml:space="preserve"> BV </w:t>
      </w:r>
      <w:r w:rsidR="008D00DC">
        <w:rPr>
          <w:rFonts w:ascii="Arial" w:hAnsi="Arial" w:cs="Arial"/>
          <w:b/>
          <w:sz w:val="24"/>
          <w:szCs w:val="24"/>
        </w:rPr>
        <w:t xml:space="preserve">23 and BV </w:t>
      </w:r>
      <w:r w:rsidRPr="00E1667C">
        <w:rPr>
          <w:rFonts w:ascii="Arial" w:hAnsi="Arial" w:cs="Arial"/>
          <w:b/>
          <w:sz w:val="24"/>
          <w:szCs w:val="24"/>
        </w:rPr>
        <w:t>25</w:t>
      </w:r>
      <w:r w:rsidR="0019379D">
        <w:rPr>
          <w:rFonts w:ascii="Arial" w:hAnsi="Arial" w:cs="Arial"/>
          <w:b/>
          <w:sz w:val="24"/>
          <w:szCs w:val="24"/>
        </w:rPr>
        <w:t>)</w:t>
      </w:r>
    </w:p>
    <w:p w14:paraId="14149962" w14:textId="77777777" w:rsidR="00457FC6" w:rsidRPr="00E1667C" w:rsidRDefault="00457FC6" w:rsidP="00457FC6">
      <w:pPr>
        <w:pStyle w:val="NoSpacing"/>
        <w:rPr>
          <w:rFonts w:ascii="Arial" w:hAnsi="Arial" w:cs="Arial"/>
          <w:sz w:val="24"/>
          <w:szCs w:val="24"/>
        </w:rPr>
      </w:pPr>
    </w:p>
    <w:p w14:paraId="754CFC45" w14:textId="77777777" w:rsidR="00457FC6" w:rsidRPr="00E1667C" w:rsidRDefault="00457FC6" w:rsidP="00457FC6">
      <w:pPr>
        <w:rPr>
          <w:rFonts w:ascii="Arial" w:hAnsi="Arial" w:cs="Arial"/>
          <w:sz w:val="24"/>
          <w:szCs w:val="24"/>
          <w:u w:val="single"/>
        </w:rPr>
      </w:pPr>
      <w:r w:rsidRPr="00E1667C">
        <w:rPr>
          <w:rFonts w:ascii="Arial" w:hAnsi="Arial" w:cs="Arial"/>
          <w:sz w:val="24"/>
          <w:szCs w:val="24"/>
          <w:u w:val="single"/>
        </w:rPr>
        <w:t>Pre-amble</w:t>
      </w:r>
    </w:p>
    <w:p w14:paraId="2576E1B2" w14:textId="29120FBF" w:rsidR="00457FC6" w:rsidRPr="00E1667C" w:rsidRDefault="00457FC6" w:rsidP="00457FC6">
      <w:pPr>
        <w:rPr>
          <w:rFonts w:ascii="Arial" w:eastAsia="Times New Roman" w:hAnsi="Arial" w:cs="Arial"/>
          <w:sz w:val="24"/>
          <w:szCs w:val="24"/>
        </w:rPr>
      </w:pPr>
      <w:r w:rsidRPr="00E1667C">
        <w:rPr>
          <w:rFonts w:ascii="Arial" w:eastAsia="Times New Roman" w:hAnsi="Arial" w:cs="Arial"/>
          <w:sz w:val="24"/>
          <w:szCs w:val="24"/>
        </w:rPr>
        <w:t xml:space="preserve">In the application, Hydro Hawkesbury states that the </w:t>
      </w:r>
      <w:r w:rsidR="00656BF7">
        <w:rPr>
          <w:rFonts w:ascii="Arial" w:eastAsia="Times New Roman" w:hAnsi="Arial" w:cs="Arial"/>
          <w:sz w:val="24"/>
          <w:szCs w:val="24"/>
        </w:rPr>
        <w:t xml:space="preserve">Class B </w:t>
      </w:r>
      <w:r w:rsidRPr="00E1667C">
        <w:rPr>
          <w:rFonts w:ascii="Arial" w:eastAsia="Times New Roman" w:hAnsi="Arial" w:cs="Arial"/>
          <w:sz w:val="24"/>
          <w:szCs w:val="24"/>
        </w:rPr>
        <w:t xml:space="preserve">Account 1580 </w:t>
      </w:r>
      <w:r w:rsidR="00656BF7">
        <w:rPr>
          <w:rFonts w:ascii="Arial" w:eastAsia="Times New Roman" w:hAnsi="Arial" w:cs="Arial"/>
          <w:sz w:val="24"/>
          <w:szCs w:val="24"/>
        </w:rPr>
        <w:t>WMS CBR</w:t>
      </w:r>
      <w:r w:rsidRPr="00E1667C">
        <w:rPr>
          <w:rFonts w:ascii="Arial" w:eastAsia="Times New Roman" w:hAnsi="Arial" w:cs="Arial"/>
          <w:sz w:val="24"/>
          <w:szCs w:val="24"/>
        </w:rPr>
        <w:t xml:space="preserve"> </w:t>
      </w:r>
      <w:r w:rsidR="00656BF7">
        <w:rPr>
          <w:rFonts w:ascii="Arial" w:eastAsia="Times New Roman" w:hAnsi="Arial" w:cs="Arial"/>
          <w:sz w:val="24"/>
          <w:szCs w:val="24"/>
        </w:rPr>
        <w:t xml:space="preserve">sub-account </w:t>
      </w:r>
      <w:r w:rsidRPr="00E1667C">
        <w:rPr>
          <w:rFonts w:ascii="Arial" w:eastAsia="Times New Roman" w:hAnsi="Arial" w:cs="Arial"/>
          <w:sz w:val="24"/>
          <w:szCs w:val="24"/>
        </w:rPr>
        <w:t xml:space="preserve">balance should have been $37,755 and ($150,546) in the control </w:t>
      </w:r>
      <w:r w:rsidR="0029604D">
        <w:rPr>
          <w:rFonts w:ascii="Arial" w:eastAsia="Times New Roman" w:hAnsi="Arial" w:cs="Arial"/>
          <w:sz w:val="24"/>
          <w:szCs w:val="24"/>
        </w:rPr>
        <w:t xml:space="preserve">Account </w:t>
      </w:r>
      <w:r w:rsidR="00656BF7">
        <w:rPr>
          <w:rFonts w:ascii="Arial" w:eastAsia="Times New Roman" w:hAnsi="Arial" w:cs="Arial"/>
          <w:sz w:val="24"/>
          <w:szCs w:val="24"/>
        </w:rPr>
        <w:t>1580 WMS</w:t>
      </w:r>
      <w:r w:rsidRPr="00E1667C">
        <w:rPr>
          <w:rFonts w:ascii="Arial" w:eastAsia="Times New Roman" w:hAnsi="Arial" w:cs="Arial"/>
          <w:sz w:val="24"/>
          <w:szCs w:val="24"/>
        </w:rPr>
        <w:t>. Based on the 2.1.7 RRR column of the DVA continuit</w:t>
      </w:r>
      <w:r w:rsidR="00CB12AA">
        <w:rPr>
          <w:rFonts w:ascii="Arial" w:eastAsia="Times New Roman" w:hAnsi="Arial" w:cs="Arial"/>
          <w:sz w:val="24"/>
          <w:szCs w:val="24"/>
        </w:rPr>
        <w:t>y schedule, it appears that these</w:t>
      </w:r>
      <w:r w:rsidR="00C5725D">
        <w:rPr>
          <w:rFonts w:ascii="Arial" w:eastAsia="Times New Roman" w:hAnsi="Arial" w:cs="Arial"/>
          <w:sz w:val="24"/>
          <w:szCs w:val="24"/>
        </w:rPr>
        <w:t xml:space="preserve"> </w:t>
      </w:r>
      <w:r w:rsidRPr="00E1667C">
        <w:rPr>
          <w:rFonts w:ascii="Arial" w:eastAsia="Times New Roman" w:hAnsi="Arial" w:cs="Arial"/>
          <w:sz w:val="24"/>
          <w:szCs w:val="24"/>
        </w:rPr>
        <w:t>amounts were not included in RRR as of December 31, 2018.</w:t>
      </w:r>
    </w:p>
    <w:p w14:paraId="5CBD429A" w14:textId="77777777" w:rsidR="00457FC6" w:rsidRPr="00E1667C" w:rsidRDefault="00457FC6" w:rsidP="00457FC6">
      <w:pPr>
        <w:rPr>
          <w:rFonts w:ascii="Arial" w:hAnsi="Arial" w:cs="Arial"/>
          <w:sz w:val="24"/>
          <w:szCs w:val="24"/>
        </w:rPr>
      </w:pPr>
      <w:r w:rsidRPr="00E1667C">
        <w:rPr>
          <w:rFonts w:ascii="Arial" w:hAnsi="Arial" w:cs="Arial"/>
          <w:noProof/>
          <w:sz w:val="24"/>
          <w:szCs w:val="24"/>
          <w:lang w:val="en-US"/>
        </w:rPr>
        <mc:AlternateContent>
          <mc:Choice Requires="wps">
            <w:drawing>
              <wp:anchor distT="0" distB="0" distL="114300" distR="114300" simplePos="0" relativeHeight="251664384" behindDoc="0" locked="0" layoutInCell="1" allowOverlap="1" wp14:anchorId="32D2BA1E" wp14:editId="593ADBFA">
                <wp:simplePos x="0" y="0"/>
                <wp:positionH relativeFrom="column">
                  <wp:posOffset>5241925</wp:posOffset>
                </wp:positionH>
                <wp:positionV relativeFrom="paragraph">
                  <wp:posOffset>981075</wp:posOffset>
                </wp:positionV>
                <wp:extent cx="690245" cy="106680"/>
                <wp:effectExtent l="0" t="0" r="14605" b="26670"/>
                <wp:wrapNone/>
                <wp:docPr id="7" name="Rectangle 7"/>
                <wp:cNvGraphicFramePr/>
                <a:graphic xmlns:a="http://schemas.openxmlformats.org/drawingml/2006/main">
                  <a:graphicData uri="http://schemas.microsoft.com/office/word/2010/wordprocessingShape">
                    <wps:wsp>
                      <wps:cNvSpPr/>
                      <wps:spPr>
                        <a:xfrm>
                          <a:off x="0" y="0"/>
                          <a:ext cx="690245" cy="10668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0F79C" id="Rectangle 7" o:spid="_x0000_s1026" style="position:absolute;margin-left:412.75pt;margin-top:77.25pt;width:54.35pt;height: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" filled="f" strokecolor="red" strokeweight="2pt"/>
            </w:pict>
          </mc:Fallback>
        </mc:AlternateContent>
      </w:r>
      <w:r w:rsidRPr="00E1667C">
        <w:rPr>
          <w:rFonts w:ascii="Arial" w:hAnsi="Arial" w:cs="Arial"/>
          <w:noProof/>
          <w:sz w:val="24"/>
          <w:szCs w:val="24"/>
          <w:lang w:val="en-US"/>
        </w:rPr>
        <mc:AlternateContent>
          <mc:Choice Requires="wps">
            <w:drawing>
              <wp:anchor distT="0" distB="0" distL="114300" distR="114300" simplePos="0" relativeHeight="251663360" behindDoc="0" locked="0" layoutInCell="1" allowOverlap="1" wp14:anchorId="4215DFCF" wp14:editId="5C37E7CE">
                <wp:simplePos x="0" y="0"/>
                <wp:positionH relativeFrom="column">
                  <wp:posOffset>4475517</wp:posOffset>
                </wp:positionH>
                <wp:positionV relativeFrom="paragraph">
                  <wp:posOffset>981075</wp:posOffset>
                </wp:positionV>
                <wp:extent cx="766445" cy="106680"/>
                <wp:effectExtent l="0" t="0" r="14605" b="26670"/>
                <wp:wrapNone/>
                <wp:docPr id="6" name="Rectangle 6"/>
                <wp:cNvGraphicFramePr/>
                <a:graphic xmlns:a="http://schemas.openxmlformats.org/drawingml/2006/main">
                  <a:graphicData uri="http://schemas.microsoft.com/office/word/2010/wordprocessingShape">
                    <wps:wsp>
                      <wps:cNvSpPr/>
                      <wps:spPr>
                        <a:xfrm>
                          <a:off x="0" y="0"/>
                          <a:ext cx="766445" cy="10668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01113" id="Rectangle 6" o:spid="_x0000_s1026" style="position:absolute;margin-left:352.4pt;margin-top:77.25pt;width:60.35pt;height: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" filled="f" strokecolor="red" strokeweight="2pt"/>
            </w:pict>
          </mc:Fallback>
        </mc:AlternateContent>
      </w:r>
      <w:r w:rsidRPr="00E1667C">
        <w:rPr>
          <w:rFonts w:ascii="Arial" w:hAnsi="Arial" w:cs="Arial"/>
          <w:noProof/>
          <w:sz w:val="24"/>
          <w:szCs w:val="24"/>
          <w:lang w:val="en-US"/>
        </w:rPr>
        <mc:AlternateContent>
          <mc:Choice Requires="wps">
            <w:drawing>
              <wp:anchor distT="0" distB="0" distL="114300" distR="114300" simplePos="0" relativeHeight="251662336" behindDoc="0" locked="0" layoutInCell="1" allowOverlap="1" wp14:anchorId="67C4C158" wp14:editId="023A4250">
                <wp:simplePos x="0" y="0"/>
                <wp:positionH relativeFrom="column">
                  <wp:posOffset>5253318</wp:posOffset>
                </wp:positionH>
                <wp:positionV relativeFrom="paragraph">
                  <wp:posOffset>1206723</wp:posOffset>
                </wp:positionV>
                <wp:extent cx="690245" cy="106979"/>
                <wp:effectExtent l="0" t="0" r="14605" b="26670"/>
                <wp:wrapNone/>
                <wp:docPr id="5" name="Rectangle 5"/>
                <wp:cNvGraphicFramePr/>
                <a:graphic xmlns:a="http://schemas.openxmlformats.org/drawingml/2006/main">
                  <a:graphicData uri="http://schemas.microsoft.com/office/word/2010/wordprocessingShape">
                    <wps:wsp>
                      <wps:cNvSpPr/>
                      <wps:spPr>
                        <a:xfrm>
                          <a:off x="0" y="0"/>
                          <a:ext cx="690245" cy="10697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78C0CD" id="Rectangle 5" o:spid="_x0000_s1026" style="position:absolute;margin-left:413.65pt;margin-top:95pt;width:54.35pt;height: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" filled="f" strokecolor="red" strokeweight="2pt"/>
            </w:pict>
          </mc:Fallback>
        </mc:AlternateContent>
      </w:r>
      <w:r w:rsidRPr="00E1667C">
        <w:rPr>
          <w:rFonts w:ascii="Arial" w:hAnsi="Arial" w:cs="Arial"/>
          <w:noProof/>
          <w:sz w:val="24"/>
          <w:szCs w:val="24"/>
          <w:lang w:val="en-US"/>
        </w:rPr>
        <mc:AlternateContent>
          <mc:Choice Requires="wps">
            <w:drawing>
              <wp:anchor distT="0" distB="0" distL="114300" distR="114300" simplePos="0" relativeHeight="251661312" behindDoc="0" locked="0" layoutInCell="1" allowOverlap="1" wp14:anchorId="100E9569" wp14:editId="1A86A648">
                <wp:simplePos x="0" y="0"/>
                <wp:positionH relativeFrom="column">
                  <wp:posOffset>4486835</wp:posOffset>
                </wp:positionH>
                <wp:positionV relativeFrom="paragraph">
                  <wp:posOffset>1206723</wp:posOffset>
                </wp:positionV>
                <wp:extent cx="766483" cy="106979"/>
                <wp:effectExtent l="0" t="0" r="14605" b="26670"/>
                <wp:wrapNone/>
                <wp:docPr id="4" name="Rectangle 4"/>
                <wp:cNvGraphicFramePr/>
                <a:graphic xmlns:a="http://schemas.openxmlformats.org/drawingml/2006/main">
                  <a:graphicData uri="http://schemas.microsoft.com/office/word/2010/wordprocessingShape">
                    <wps:wsp>
                      <wps:cNvSpPr/>
                      <wps:spPr>
                        <a:xfrm>
                          <a:off x="0" y="0"/>
                          <a:ext cx="766483" cy="106979"/>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24274" id="Rectangle 4" o:spid="_x0000_s1026" style="position:absolute;margin-left:353.3pt;margin-top:95pt;width:60.35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" filled="f" strokecolor="red" strokeweight="2pt"/>
            </w:pict>
          </mc:Fallback>
        </mc:AlternateContent>
      </w:r>
      <w:r w:rsidRPr="00E1667C">
        <w:rPr>
          <w:rFonts w:ascii="Arial" w:hAnsi="Arial" w:cs="Arial"/>
          <w:noProof/>
          <w:sz w:val="24"/>
          <w:szCs w:val="24"/>
          <w:lang w:val="en-US"/>
        </w:rPr>
        <w:drawing>
          <wp:inline distT="0" distB="0" distL="0" distR="0" wp14:anchorId="3AA5C710" wp14:editId="04D27F6B">
            <wp:extent cx="5943600" cy="14973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497330"/>
                    </a:xfrm>
                    <a:prstGeom prst="rect">
                      <a:avLst/>
                    </a:prstGeom>
                  </pic:spPr>
                </pic:pic>
              </a:graphicData>
            </a:graphic>
          </wp:inline>
        </w:drawing>
      </w:r>
    </w:p>
    <w:p w14:paraId="63B0FF16" w14:textId="77777777" w:rsidR="00457FC6" w:rsidRPr="00E1667C" w:rsidRDefault="00457FC6" w:rsidP="00457FC6">
      <w:pPr>
        <w:rPr>
          <w:rFonts w:ascii="Arial" w:eastAsia="Times New Roman" w:hAnsi="Arial" w:cs="Arial"/>
          <w:sz w:val="24"/>
          <w:szCs w:val="24"/>
          <w:u w:val="single"/>
        </w:rPr>
      </w:pPr>
      <w:r w:rsidRPr="00E1667C">
        <w:rPr>
          <w:rFonts w:ascii="Arial" w:eastAsia="Times New Roman" w:hAnsi="Arial" w:cs="Arial"/>
          <w:sz w:val="24"/>
          <w:szCs w:val="24"/>
          <w:u w:val="single"/>
        </w:rPr>
        <w:t>Questions</w:t>
      </w:r>
    </w:p>
    <w:p w14:paraId="1836D379" w14:textId="34F2CC15" w:rsidR="00C33F9A" w:rsidRPr="00B85CE7" w:rsidRDefault="00457FC6" w:rsidP="00D04248">
      <w:pPr>
        <w:pStyle w:val="ListParagraph"/>
        <w:numPr>
          <w:ilvl w:val="0"/>
          <w:numId w:val="29"/>
        </w:numPr>
        <w:spacing w:after="160"/>
        <w:rPr>
          <w:rFonts w:ascii="Arial" w:hAnsi="Arial" w:cs="Arial"/>
          <w:sz w:val="24"/>
          <w:szCs w:val="24"/>
        </w:rPr>
      </w:pPr>
      <w:r w:rsidRPr="00B85CE7">
        <w:rPr>
          <w:rFonts w:ascii="Arial" w:hAnsi="Arial" w:cs="Arial"/>
          <w:sz w:val="24"/>
          <w:szCs w:val="24"/>
        </w:rPr>
        <w:t xml:space="preserve">Please explain why there is a 0 balance in its 2.1.7 RRR filing for </w:t>
      </w:r>
      <w:r w:rsidR="00B9527C">
        <w:rPr>
          <w:rFonts w:ascii="Arial" w:eastAsia="Times New Roman" w:hAnsi="Arial" w:cs="Arial"/>
          <w:sz w:val="24"/>
          <w:szCs w:val="24"/>
        </w:rPr>
        <w:t xml:space="preserve">Class B </w:t>
      </w:r>
      <w:r w:rsidR="00B9527C" w:rsidRPr="00E1667C">
        <w:rPr>
          <w:rFonts w:ascii="Arial" w:eastAsia="Times New Roman" w:hAnsi="Arial" w:cs="Arial"/>
          <w:sz w:val="24"/>
          <w:szCs w:val="24"/>
        </w:rPr>
        <w:t xml:space="preserve">Account 1580 </w:t>
      </w:r>
      <w:r w:rsidR="00B9527C">
        <w:rPr>
          <w:rFonts w:ascii="Arial" w:eastAsia="Times New Roman" w:hAnsi="Arial" w:cs="Arial"/>
          <w:sz w:val="24"/>
          <w:szCs w:val="24"/>
        </w:rPr>
        <w:t>WMS CBR</w:t>
      </w:r>
      <w:r w:rsidR="00B9527C" w:rsidRPr="00E1667C">
        <w:rPr>
          <w:rFonts w:ascii="Arial" w:eastAsia="Times New Roman" w:hAnsi="Arial" w:cs="Arial"/>
          <w:sz w:val="24"/>
          <w:szCs w:val="24"/>
        </w:rPr>
        <w:t xml:space="preserve"> </w:t>
      </w:r>
      <w:r w:rsidR="00B9527C">
        <w:rPr>
          <w:rFonts w:ascii="Arial" w:eastAsia="Times New Roman" w:hAnsi="Arial" w:cs="Arial"/>
          <w:sz w:val="24"/>
          <w:szCs w:val="24"/>
        </w:rPr>
        <w:t xml:space="preserve">sub-account </w:t>
      </w:r>
      <w:r w:rsidRPr="00B85CE7">
        <w:rPr>
          <w:rFonts w:ascii="Arial" w:hAnsi="Arial" w:cs="Arial"/>
          <w:sz w:val="24"/>
          <w:szCs w:val="24"/>
        </w:rPr>
        <w:t xml:space="preserve">when </w:t>
      </w:r>
      <w:r w:rsidRPr="00B85CE7">
        <w:rPr>
          <w:rFonts w:ascii="Arial" w:eastAsia="Times New Roman" w:hAnsi="Arial" w:cs="Arial"/>
          <w:sz w:val="24"/>
          <w:szCs w:val="24"/>
        </w:rPr>
        <w:t xml:space="preserve">Hydro Hawkesbury notes that there should have been a debit </w:t>
      </w:r>
      <w:r w:rsidR="008B638D" w:rsidRPr="00B85CE7">
        <w:rPr>
          <w:rFonts w:ascii="Arial" w:eastAsia="Times New Roman" w:hAnsi="Arial" w:cs="Arial"/>
          <w:sz w:val="24"/>
          <w:szCs w:val="24"/>
        </w:rPr>
        <w:t xml:space="preserve">balance </w:t>
      </w:r>
      <w:r w:rsidRPr="00B85CE7">
        <w:rPr>
          <w:rFonts w:ascii="Arial" w:eastAsia="Times New Roman" w:hAnsi="Arial" w:cs="Arial"/>
          <w:sz w:val="24"/>
          <w:szCs w:val="24"/>
        </w:rPr>
        <w:t xml:space="preserve">of $37,755 in 2.1.7 RRR. </w:t>
      </w:r>
      <w:r w:rsidR="00B85CE7">
        <w:rPr>
          <w:rFonts w:ascii="Arial" w:eastAsia="Times New Roman" w:hAnsi="Arial" w:cs="Arial"/>
          <w:sz w:val="24"/>
          <w:szCs w:val="24"/>
        </w:rPr>
        <w:t>Why would</w:t>
      </w:r>
      <w:r w:rsidR="00B85CE7">
        <w:rPr>
          <w:rFonts w:ascii="Arial" w:hAnsi="Arial" w:cs="Arial"/>
          <w:sz w:val="24"/>
          <w:szCs w:val="24"/>
        </w:rPr>
        <w:t xml:space="preserve"> </w:t>
      </w:r>
      <w:r w:rsidR="00C33F9A" w:rsidRPr="00B85CE7">
        <w:rPr>
          <w:rFonts w:ascii="Arial" w:hAnsi="Arial" w:cs="Arial"/>
          <w:sz w:val="24"/>
          <w:szCs w:val="24"/>
        </w:rPr>
        <w:t>the 2.1.7 RRR balances for Account 1580 not reflect all transactions as of December 31,</w:t>
      </w:r>
      <w:r w:rsidR="00B85CE7">
        <w:rPr>
          <w:rFonts w:ascii="Arial" w:hAnsi="Arial" w:cs="Arial"/>
          <w:sz w:val="24"/>
          <w:szCs w:val="24"/>
        </w:rPr>
        <w:t xml:space="preserve"> 2018?</w:t>
      </w:r>
    </w:p>
    <w:p w14:paraId="0A5B92B1" w14:textId="77777777" w:rsidR="00C33F9A" w:rsidRDefault="00C33F9A" w:rsidP="00C33F9A">
      <w:pPr>
        <w:pStyle w:val="ListParagraph"/>
        <w:spacing w:after="160"/>
        <w:rPr>
          <w:rFonts w:ascii="Arial" w:hAnsi="Arial" w:cs="Arial"/>
          <w:sz w:val="24"/>
          <w:szCs w:val="24"/>
        </w:rPr>
      </w:pPr>
    </w:p>
    <w:p w14:paraId="76173995" w14:textId="7BFD57E8" w:rsidR="00457FC6" w:rsidRPr="00E1667C" w:rsidRDefault="00457FC6" w:rsidP="00457FC6">
      <w:pPr>
        <w:pStyle w:val="ListParagraph"/>
        <w:numPr>
          <w:ilvl w:val="0"/>
          <w:numId w:val="29"/>
        </w:numPr>
        <w:spacing w:after="160"/>
        <w:rPr>
          <w:rFonts w:ascii="Arial" w:hAnsi="Arial" w:cs="Arial"/>
          <w:sz w:val="24"/>
          <w:szCs w:val="24"/>
        </w:rPr>
      </w:pPr>
      <w:r w:rsidRPr="00E1667C">
        <w:rPr>
          <w:rFonts w:ascii="Arial" w:hAnsi="Arial" w:cs="Arial"/>
          <w:sz w:val="24"/>
          <w:szCs w:val="24"/>
        </w:rPr>
        <w:t xml:space="preserve">Please </w:t>
      </w:r>
      <w:r w:rsidR="00C33F9A">
        <w:rPr>
          <w:rFonts w:ascii="Arial" w:hAnsi="Arial" w:cs="Arial"/>
          <w:sz w:val="24"/>
          <w:szCs w:val="24"/>
        </w:rPr>
        <w:t>update</w:t>
      </w:r>
      <w:r w:rsidRPr="00E1667C">
        <w:rPr>
          <w:rFonts w:ascii="Arial" w:hAnsi="Arial" w:cs="Arial"/>
          <w:sz w:val="24"/>
          <w:szCs w:val="24"/>
        </w:rPr>
        <w:t xml:space="preserve"> the </w:t>
      </w:r>
      <w:r w:rsidRPr="00E1667C">
        <w:rPr>
          <w:rFonts w:ascii="Arial" w:eastAsia="Times New Roman" w:hAnsi="Arial" w:cs="Arial"/>
          <w:sz w:val="24"/>
          <w:szCs w:val="24"/>
        </w:rPr>
        <w:t xml:space="preserve">2.1.7 RRR balances for the </w:t>
      </w:r>
      <w:r w:rsidR="00B9527C" w:rsidRPr="00E1667C">
        <w:rPr>
          <w:rFonts w:ascii="Arial" w:eastAsia="Times New Roman" w:hAnsi="Arial" w:cs="Arial"/>
          <w:sz w:val="24"/>
          <w:szCs w:val="24"/>
        </w:rPr>
        <w:t xml:space="preserve">control </w:t>
      </w:r>
      <w:r w:rsidR="00B9527C">
        <w:rPr>
          <w:rFonts w:ascii="Arial" w:eastAsia="Times New Roman" w:hAnsi="Arial" w:cs="Arial"/>
          <w:sz w:val="24"/>
          <w:szCs w:val="24"/>
        </w:rPr>
        <w:t>Account 1580 WMS</w:t>
      </w:r>
      <w:r w:rsidRPr="00E1667C">
        <w:rPr>
          <w:rFonts w:ascii="Arial" w:eastAsia="Times New Roman" w:hAnsi="Arial" w:cs="Arial"/>
          <w:sz w:val="24"/>
          <w:szCs w:val="24"/>
        </w:rPr>
        <w:t xml:space="preserve"> and the </w:t>
      </w:r>
      <w:r w:rsidR="00B9527C">
        <w:rPr>
          <w:rFonts w:ascii="Arial" w:eastAsia="Times New Roman" w:hAnsi="Arial" w:cs="Arial"/>
          <w:sz w:val="24"/>
          <w:szCs w:val="24"/>
        </w:rPr>
        <w:t xml:space="preserve">Class B </w:t>
      </w:r>
      <w:r w:rsidR="00B9527C" w:rsidRPr="00E1667C">
        <w:rPr>
          <w:rFonts w:ascii="Arial" w:eastAsia="Times New Roman" w:hAnsi="Arial" w:cs="Arial"/>
          <w:sz w:val="24"/>
          <w:szCs w:val="24"/>
        </w:rPr>
        <w:t xml:space="preserve">Account 1580 </w:t>
      </w:r>
      <w:r w:rsidR="00B9527C">
        <w:rPr>
          <w:rFonts w:ascii="Arial" w:eastAsia="Times New Roman" w:hAnsi="Arial" w:cs="Arial"/>
          <w:sz w:val="24"/>
          <w:szCs w:val="24"/>
        </w:rPr>
        <w:t>WMS CBR</w:t>
      </w:r>
      <w:r w:rsidR="00B9527C" w:rsidRPr="00E1667C">
        <w:rPr>
          <w:rFonts w:ascii="Arial" w:eastAsia="Times New Roman" w:hAnsi="Arial" w:cs="Arial"/>
          <w:sz w:val="24"/>
          <w:szCs w:val="24"/>
        </w:rPr>
        <w:t xml:space="preserve"> </w:t>
      </w:r>
      <w:r w:rsidR="00B9527C">
        <w:rPr>
          <w:rFonts w:ascii="Arial" w:eastAsia="Times New Roman" w:hAnsi="Arial" w:cs="Arial"/>
          <w:sz w:val="24"/>
          <w:szCs w:val="24"/>
        </w:rPr>
        <w:t xml:space="preserve">sub-account </w:t>
      </w:r>
      <w:r w:rsidRPr="00E1667C">
        <w:rPr>
          <w:rFonts w:ascii="Arial" w:eastAsia="Times New Roman" w:hAnsi="Arial" w:cs="Arial"/>
          <w:sz w:val="24"/>
          <w:szCs w:val="24"/>
        </w:rPr>
        <w:t>as of December 31, 2018</w:t>
      </w:r>
      <w:r w:rsidR="00AC5488">
        <w:rPr>
          <w:rFonts w:ascii="Arial" w:eastAsia="Times New Roman" w:hAnsi="Arial" w:cs="Arial"/>
          <w:sz w:val="24"/>
          <w:szCs w:val="24"/>
        </w:rPr>
        <w:t xml:space="preserve"> as</w:t>
      </w:r>
      <w:r w:rsidR="00B9527C">
        <w:rPr>
          <w:rFonts w:ascii="Arial" w:eastAsia="Times New Roman" w:hAnsi="Arial" w:cs="Arial"/>
          <w:sz w:val="24"/>
          <w:szCs w:val="24"/>
        </w:rPr>
        <w:t xml:space="preserve"> required</w:t>
      </w:r>
      <w:r w:rsidR="00C33F9A">
        <w:rPr>
          <w:rFonts w:ascii="Arial" w:eastAsia="Times New Roman" w:hAnsi="Arial" w:cs="Arial"/>
          <w:sz w:val="24"/>
          <w:szCs w:val="24"/>
        </w:rPr>
        <w:t xml:space="preserve">. </w:t>
      </w:r>
      <w:r w:rsidR="00AC5488">
        <w:rPr>
          <w:rFonts w:ascii="Arial" w:eastAsia="Times New Roman" w:hAnsi="Arial" w:cs="Arial"/>
          <w:sz w:val="24"/>
          <w:szCs w:val="24"/>
        </w:rPr>
        <w:t>P</w:t>
      </w:r>
      <w:r w:rsidRPr="00E1667C">
        <w:rPr>
          <w:rFonts w:ascii="Arial" w:eastAsia="Times New Roman" w:hAnsi="Arial" w:cs="Arial"/>
          <w:sz w:val="24"/>
          <w:szCs w:val="24"/>
        </w:rPr>
        <w:t xml:space="preserve">lease </w:t>
      </w:r>
      <w:r w:rsidR="00C33F9A">
        <w:rPr>
          <w:rFonts w:ascii="Arial" w:eastAsia="Times New Roman" w:hAnsi="Arial" w:cs="Arial"/>
          <w:sz w:val="24"/>
          <w:szCs w:val="24"/>
        </w:rPr>
        <w:t xml:space="preserve">submit a revision request to the OEB’s Performance Analytics &amp; Reporting group and </w:t>
      </w:r>
      <w:r w:rsidRPr="00E1667C">
        <w:rPr>
          <w:rFonts w:ascii="Arial" w:eastAsia="Times New Roman" w:hAnsi="Arial" w:cs="Arial"/>
          <w:sz w:val="24"/>
          <w:szCs w:val="24"/>
        </w:rPr>
        <w:t xml:space="preserve">notify the case manager when </w:t>
      </w:r>
      <w:r w:rsidR="008B638D">
        <w:rPr>
          <w:rFonts w:ascii="Arial" w:eastAsia="Times New Roman" w:hAnsi="Arial" w:cs="Arial"/>
          <w:sz w:val="24"/>
          <w:szCs w:val="24"/>
        </w:rPr>
        <w:t xml:space="preserve">the RRR amendment </w:t>
      </w:r>
      <w:r>
        <w:rPr>
          <w:rFonts w:ascii="Arial" w:eastAsia="Times New Roman" w:hAnsi="Arial" w:cs="Arial"/>
          <w:sz w:val="24"/>
          <w:szCs w:val="24"/>
        </w:rPr>
        <w:t xml:space="preserve">is </w:t>
      </w:r>
      <w:r w:rsidRPr="00E1667C">
        <w:rPr>
          <w:rFonts w:ascii="Arial" w:eastAsia="Times New Roman" w:hAnsi="Arial" w:cs="Arial"/>
          <w:sz w:val="24"/>
          <w:szCs w:val="24"/>
        </w:rPr>
        <w:t xml:space="preserve">complete. </w:t>
      </w:r>
    </w:p>
    <w:p w14:paraId="74090C8D" w14:textId="77777777" w:rsidR="00457FC6" w:rsidRDefault="00457FC6" w:rsidP="00457FC6">
      <w:pPr>
        <w:rPr>
          <w:rFonts w:ascii="Arial" w:hAnsi="Arial" w:cs="Arial"/>
          <w:b/>
          <w:sz w:val="24"/>
          <w:szCs w:val="24"/>
        </w:rPr>
      </w:pPr>
    </w:p>
    <w:p w14:paraId="1A336E24" w14:textId="77777777" w:rsidR="00457FC6" w:rsidRPr="00457FC6" w:rsidRDefault="00457FC6" w:rsidP="00457FC6">
      <w:pPr>
        <w:rPr>
          <w:rFonts w:ascii="Arial" w:hAnsi="Arial" w:cs="Arial"/>
          <w:b/>
          <w:sz w:val="24"/>
          <w:szCs w:val="24"/>
        </w:rPr>
      </w:pPr>
      <w:r w:rsidRPr="00457FC6">
        <w:rPr>
          <w:rFonts w:ascii="Arial" w:hAnsi="Arial" w:cs="Arial"/>
          <w:b/>
          <w:sz w:val="24"/>
          <w:szCs w:val="24"/>
        </w:rPr>
        <w:t>Staff Question-</w:t>
      </w:r>
      <w:r>
        <w:rPr>
          <w:rFonts w:ascii="Arial" w:hAnsi="Arial" w:cs="Arial"/>
          <w:b/>
          <w:sz w:val="24"/>
          <w:szCs w:val="24"/>
        </w:rPr>
        <w:t>3</w:t>
      </w:r>
    </w:p>
    <w:p w14:paraId="42152ABA" w14:textId="77777777" w:rsidR="00457FC6" w:rsidRDefault="00457FC6" w:rsidP="00457FC6">
      <w:pPr>
        <w:pStyle w:val="NoSpacing"/>
        <w:rPr>
          <w:rFonts w:ascii="Arial" w:hAnsi="Arial" w:cs="Arial"/>
          <w:b/>
          <w:sz w:val="24"/>
          <w:szCs w:val="24"/>
        </w:rPr>
      </w:pPr>
      <w:r w:rsidRPr="00E1667C">
        <w:rPr>
          <w:rFonts w:ascii="Arial" w:hAnsi="Arial" w:cs="Arial"/>
          <w:b/>
          <w:sz w:val="24"/>
          <w:szCs w:val="24"/>
        </w:rPr>
        <w:t>Ref:</w:t>
      </w:r>
      <w:r w:rsidRPr="00E1667C">
        <w:rPr>
          <w:rFonts w:ascii="Arial" w:hAnsi="Arial" w:cs="Arial"/>
          <w:b/>
          <w:sz w:val="24"/>
          <w:szCs w:val="24"/>
        </w:rPr>
        <w:tab/>
        <w:t>Application, p. 16</w:t>
      </w:r>
    </w:p>
    <w:p w14:paraId="4114FEA2" w14:textId="77777777" w:rsidR="00457FC6" w:rsidRPr="00E1667C" w:rsidRDefault="00457FC6" w:rsidP="00457FC6">
      <w:pPr>
        <w:pStyle w:val="NoSpacing"/>
        <w:ind w:firstLine="720"/>
        <w:rPr>
          <w:rFonts w:ascii="Arial" w:hAnsi="Arial" w:cs="Arial"/>
          <w:b/>
          <w:sz w:val="24"/>
          <w:szCs w:val="24"/>
        </w:rPr>
      </w:pPr>
      <w:r w:rsidRPr="00E1667C">
        <w:rPr>
          <w:rFonts w:ascii="Arial" w:hAnsi="Arial" w:cs="Arial"/>
          <w:b/>
          <w:sz w:val="24"/>
          <w:szCs w:val="24"/>
        </w:rPr>
        <w:t>Tab 6 of IRM Rate Generator (Table 3-b)</w:t>
      </w:r>
    </w:p>
    <w:p w14:paraId="5D795741" w14:textId="77777777" w:rsidR="00457FC6" w:rsidRPr="00E1667C" w:rsidRDefault="00457FC6" w:rsidP="00457FC6">
      <w:pPr>
        <w:pStyle w:val="NoSpacing"/>
        <w:rPr>
          <w:rFonts w:ascii="Arial" w:hAnsi="Arial" w:cs="Arial"/>
          <w:b/>
          <w:sz w:val="24"/>
          <w:szCs w:val="24"/>
        </w:rPr>
      </w:pPr>
      <w:r w:rsidRPr="00E1667C">
        <w:rPr>
          <w:rFonts w:ascii="Arial" w:hAnsi="Arial" w:cs="Arial"/>
          <w:b/>
          <w:sz w:val="24"/>
          <w:szCs w:val="24"/>
        </w:rPr>
        <w:tab/>
        <w:t xml:space="preserve">GA Analysis </w:t>
      </w:r>
      <w:proofErr w:type="spellStart"/>
      <w:r w:rsidRPr="00E1667C">
        <w:rPr>
          <w:rFonts w:ascii="Arial" w:hAnsi="Arial" w:cs="Arial"/>
          <w:b/>
          <w:sz w:val="24"/>
          <w:szCs w:val="24"/>
        </w:rPr>
        <w:t>Workform</w:t>
      </w:r>
      <w:proofErr w:type="spellEnd"/>
    </w:p>
    <w:p w14:paraId="1315409E" w14:textId="77777777" w:rsidR="00457FC6" w:rsidRPr="00E1667C" w:rsidRDefault="00457FC6" w:rsidP="00457FC6">
      <w:pPr>
        <w:pStyle w:val="NoSpacing"/>
        <w:rPr>
          <w:rFonts w:ascii="Arial" w:hAnsi="Arial" w:cs="Arial"/>
          <w:b/>
          <w:sz w:val="24"/>
          <w:szCs w:val="24"/>
        </w:rPr>
      </w:pPr>
      <w:r w:rsidRPr="00E1667C">
        <w:rPr>
          <w:rFonts w:ascii="Arial" w:hAnsi="Arial" w:cs="Arial"/>
          <w:b/>
          <w:sz w:val="24"/>
          <w:szCs w:val="24"/>
        </w:rPr>
        <w:tab/>
      </w:r>
    </w:p>
    <w:p w14:paraId="315CA55F" w14:textId="77777777" w:rsidR="00457FC6" w:rsidRPr="00E1667C" w:rsidRDefault="00457FC6" w:rsidP="00457FC6">
      <w:pPr>
        <w:pStyle w:val="NoSpacing"/>
        <w:rPr>
          <w:rFonts w:ascii="Arial" w:hAnsi="Arial" w:cs="Arial"/>
          <w:sz w:val="24"/>
          <w:szCs w:val="24"/>
        </w:rPr>
      </w:pPr>
    </w:p>
    <w:p w14:paraId="4A40FB49" w14:textId="77777777" w:rsidR="00457FC6" w:rsidRPr="00E1667C" w:rsidRDefault="00457FC6" w:rsidP="00457FC6">
      <w:pPr>
        <w:rPr>
          <w:rFonts w:ascii="Arial" w:hAnsi="Arial" w:cs="Arial"/>
          <w:sz w:val="24"/>
          <w:szCs w:val="24"/>
          <w:u w:val="single"/>
        </w:rPr>
      </w:pPr>
      <w:r w:rsidRPr="00E1667C">
        <w:rPr>
          <w:rFonts w:ascii="Arial" w:hAnsi="Arial" w:cs="Arial"/>
          <w:sz w:val="24"/>
          <w:szCs w:val="24"/>
          <w:u w:val="single"/>
        </w:rPr>
        <w:t>Pre-amble</w:t>
      </w:r>
    </w:p>
    <w:p w14:paraId="39F50E30" w14:textId="50D07EEC" w:rsidR="00457FC6" w:rsidRPr="00E1667C" w:rsidRDefault="00457FC6" w:rsidP="00457FC6">
      <w:pPr>
        <w:rPr>
          <w:rFonts w:ascii="Arial" w:eastAsia="Times New Roman" w:hAnsi="Arial" w:cs="Arial"/>
          <w:color w:val="000000"/>
          <w:sz w:val="24"/>
          <w:szCs w:val="24"/>
        </w:rPr>
      </w:pPr>
      <w:r w:rsidRPr="00E1667C">
        <w:rPr>
          <w:rFonts w:ascii="Arial" w:eastAsia="Times New Roman" w:hAnsi="Arial" w:cs="Arial"/>
          <w:color w:val="000000"/>
          <w:sz w:val="24"/>
          <w:szCs w:val="24"/>
        </w:rPr>
        <w:t xml:space="preserve">In the application, </w:t>
      </w:r>
      <w:r w:rsidRPr="00E1667C">
        <w:rPr>
          <w:rFonts w:ascii="Arial" w:eastAsia="Times New Roman" w:hAnsi="Arial" w:cs="Arial"/>
          <w:sz w:val="24"/>
          <w:szCs w:val="24"/>
        </w:rPr>
        <w:t xml:space="preserve">Hydro Hawkesbury states that it has 1 or 2 class </w:t>
      </w:r>
      <w:proofErr w:type="gramStart"/>
      <w:r w:rsidRPr="00E1667C">
        <w:rPr>
          <w:rFonts w:ascii="Arial" w:eastAsia="Times New Roman" w:hAnsi="Arial" w:cs="Arial"/>
          <w:sz w:val="24"/>
          <w:szCs w:val="24"/>
        </w:rPr>
        <w:t>A</w:t>
      </w:r>
      <w:proofErr w:type="gramEnd"/>
      <w:r w:rsidRPr="00E1667C">
        <w:rPr>
          <w:rFonts w:ascii="Arial" w:eastAsia="Times New Roman" w:hAnsi="Arial" w:cs="Arial"/>
          <w:sz w:val="24"/>
          <w:szCs w:val="24"/>
        </w:rPr>
        <w:t xml:space="preserve"> customers when providing settlement information to the IESO.</w:t>
      </w:r>
      <w:r w:rsidRPr="00E1667C">
        <w:rPr>
          <w:rFonts w:ascii="Arial" w:eastAsia="Times New Roman" w:hAnsi="Arial" w:cs="Arial"/>
          <w:color w:val="000000"/>
          <w:sz w:val="24"/>
          <w:szCs w:val="24"/>
        </w:rPr>
        <w:t xml:space="preserve"> In Tab 6</w:t>
      </w:r>
      <w:r w:rsidRPr="00E1667C">
        <w:rPr>
          <w:rFonts w:ascii="Arial" w:hAnsi="Arial" w:cs="Arial"/>
          <w:sz w:val="24"/>
          <w:szCs w:val="24"/>
        </w:rPr>
        <w:t xml:space="preserve"> of the IRM rate generator</w:t>
      </w:r>
      <w:r w:rsidRPr="00E1667C">
        <w:rPr>
          <w:rFonts w:ascii="Arial" w:eastAsia="Times New Roman" w:hAnsi="Arial" w:cs="Arial"/>
          <w:color w:val="000000"/>
          <w:sz w:val="24"/>
          <w:szCs w:val="24"/>
        </w:rPr>
        <w:t>, there is one transition customer in 2018.</w:t>
      </w:r>
    </w:p>
    <w:p w14:paraId="092E2C25" w14:textId="77777777" w:rsidR="00457FC6" w:rsidRPr="00E1667C" w:rsidRDefault="00457FC6" w:rsidP="00457FC6">
      <w:pPr>
        <w:rPr>
          <w:rFonts w:ascii="Arial" w:eastAsia="Times New Roman" w:hAnsi="Arial" w:cs="Arial"/>
          <w:color w:val="000000"/>
          <w:sz w:val="24"/>
          <w:szCs w:val="24"/>
        </w:rPr>
      </w:pPr>
      <w:r w:rsidRPr="00E1667C">
        <w:rPr>
          <w:rFonts w:ascii="Arial" w:hAnsi="Arial" w:cs="Arial"/>
          <w:sz w:val="24"/>
          <w:szCs w:val="24"/>
        </w:rPr>
        <w:t xml:space="preserve">In Tab 6, </w:t>
      </w:r>
      <w:r w:rsidRPr="00E1667C">
        <w:rPr>
          <w:rFonts w:ascii="Arial" w:eastAsia="Times New Roman" w:hAnsi="Arial" w:cs="Arial"/>
          <w:sz w:val="24"/>
          <w:szCs w:val="24"/>
        </w:rPr>
        <w:t xml:space="preserve">Hydro Hawkesbury entered </w:t>
      </w:r>
      <w:r w:rsidRPr="00E1667C">
        <w:rPr>
          <w:rFonts w:ascii="Arial" w:eastAsia="Times New Roman" w:hAnsi="Arial" w:cs="Arial"/>
          <w:color w:val="000000"/>
          <w:sz w:val="24"/>
          <w:szCs w:val="24"/>
        </w:rPr>
        <w:t xml:space="preserve">12,502,583 kWh for class </w:t>
      </w:r>
      <w:proofErr w:type="gramStart"/>
      <w:r w:rsidRPr="00E1667C">
        <w:rPr>
          <w:rFonts w:ascii="Arial" w:eastAsia="Times New Roman" w:hAnsi="Arial" w:cs="Arial"/>
          <w:color w:val="000000"/>
          <w:sz w:val="24"/>
          <w:szCs w:val="24"/>
        </w:rPr>
        <w:t>A</w:t>
      </w:r>
      <w:proofErr w:type="gramEnd"/>
      <w:r w:rsidRPr="00E1667C">
        <w:rPr>
          <w:rFonts w:ascii="Arial" w:eastAsia="Times New Roman" w:hAnsi="Arial" w:cs="Arial"/>
          <w:color w:val="000000"/>
          <w:sz w:val="24"/>
          <w:szCs w:val="24"/>
        </w:rPr>
        <w:t xml:space="preserve"> consumption in 2018. However, in the GA analysis </w:t>
      </w:r>
      <w:proofErr w:type="spellStart"/>
      <w:r w:rsidRPr="00E1667C">
        <w:rPr>
          <w:rFonts w:ascii="Arial" w:eastAsia="Times New Roman" w:hAnsi="Arial" w:cs="Arial"/>
          <w:color w:val="000000"/>
          <w:sz w:val="24"/>
          <w:szCs w:val="24"/>
        </w:rPr>
        <w:t>workform</w:t>
      </w:r>
      <w:proofErr w:type="spellEnd"/>
      <w:r w:rsidRPr="00E1667C">
        <w:rPr>
          <w:rFonts w:ascii="Arial" w:eastAsia="Times New Roman" w:hAnsi="Arial" w:cs="Arial"/>
          <w:color w:val="000000"/>
          <w:sz w:val="24"/>
          <w:szCs w:val="24"/>
        </w:rPr>
        <w:t xml:space="preserve">, non-RPP class </w:t>
      </w:r>
      <w:proofErr w:type="gramStart"/>
      <w:r w:rsidRPr="00E1667C">
        <w:rPr>
          <w:rFonts w:ascii="Arial" w:eastAsia="Times New Roman" w:hAnsi="Arial" w:cs="Arial"/>
          <w:color w:val="000000"/>
          <w:sz w:val="24"/>
          <w:szCs w:val="24"/>
        </w:rPr>
        <w:t>A</w:t>
      </w:r>
      <w:proofErr w:type="gramEnd"/>
      <w:r w:rsidRPr="00E1667C">
        <w:rPr>
          <w:rFonts w:ascii="Arial" w:eastAsia="Times New Roman" w:hAnsi="Arial" w:cs="Arial"/>
          <w:color w:val="000000"/>
          <w:sz w:val="24"/>
          <w:szCs w:val="24"/>
        </w:rPr>
        <w:t xml:space="preserve"> consumption is </w:t>
      </w:r>
      <w:r w:rsidRPr="00E1667C">
        <w:rPr>
          <w:rFonts w:ascii="Arial" w:eastAsia="Times New Roman" w:hAnsi="Arial" w:cs="Arial"/>
          <w:sz w:val="24"/>
          <w:szCs w:val="24"/>
        </w:rPr>
        <w:t>15,041,117</w:t>
      </w:r>
      <w:r w:rsidRPr="00E1667C">
        <w:rPr>
          <w:rFonts w:ascii="Arial" w:eastAsia="Times New Roman" w:hAnsi="Arial" w:cs="Arial"/>
          <w:color w:val="000000"/>
          <w:sz w:val="24"/>
          <w:szCs w:val="24"/>
        </w:rPr>
        <w:t xml:space="preserve"> kW</w:t>
      </w:r>
      <w:r w:rsidR="008B638D">
        <w:rPr>
          <w:rFonts w:ascii="Arial" w:eastAsia="Times New Roman" w:hAnsi="Arial" w:cs="Arial"/>
          <w:color w:val="000000"/>
          <w:sz w:val="24"/>
          <w:szCs w:val="24"/>
        </w:rPr>
        <w:t xml:space="preserve">h based on the data extracted from </w:t>
      </w:r>
      <w:r w:rsidRPr="00E1667C">
        <w:rPr>
          <w:rFonts w:ascii="Arial" w:eastAsia="Times New Roman" w:hAnsi="Arial" w:cs="Arial"/>
          <w:color w:val="000000"/>
          <w:sz w:val="24"/>
          <w:szCs w:val="24"/>
        </w:rPr>
        <w:t xml:space="preserve">RRR. </w:t>
      </w:r>
    </w:p>
    <w:p w14:paraId="4B603FB6" w14:textId="77777777" w:rsidR="00457FC6" w:rsidRPr="00E1667C" w:rsidRDefault="00457FC6" w:rsidP="00457FC6">
      <w:pPr>
        <w:rPr>
          <w:rFonts w:ascii="Arial" w:eastAsia="Times New Roman" w:hAnsi="Arial" w:cs="Arial"/>
          <w:sz w:val="24"/>
          <w:szCs w:val="24"/>
          <w:u w:val="single"/>
        </w:rPr>
      </w:pPr>
      <w:r w:rsidRPr="00E1667C">
        <w:rPr>
          <w:rFonts w:ascii="Arial" w:eastAsia="Times New Roman" w:hAnsi="Arial" w:cs="Arial"/>
          <w:sz w:val="24"/>
          <w:szCs w:val="24"/>
          <w:u w:val="single"/>
        </w:rPr>
        <w:t>Questions</w:t>
      </w:r>
    </w:p>
    <w:p w14:paraId="467912C4" w14:textId="106996C1" w:rsidR="00457FC6" w:rsidRPr="00426F78" w:rsidRDefault="00457FC6" w:rsidP="00457FC6">
      <w:pPr>
        <w:pStyle w:val="ListParagraph"/>
        <w:numPr>
          <w:ilvl w:val="0"/>
          <w:numId w:val="30"/>
        </w:numPr>
        <w:spacing w:after="160"/>
        <w:rPr>
          <w:rFonts w:ascii="Arial" w:hAnsi="Arial" w:cs="Arial"/>
          <w:sz w:val="24"/>
          <w:szCs w:val="24"/>
        </w:rPr>
      </w:pPr>
      <w:r w:rsidRPr="00E1667C">
        <w:rPr>
          <w:rFonts w:ascii="Arial" w:hAnsi="Arial" w:cs="Arial"/>
          <w:sz w:val="24"/>
          <w:szCs w:val="24"/>
        </w:rPr>
        <w:t xml:space="preserve">Please clarify the circumstances in which </w:t>
      </w:r>
      <w:r w:rsidRPr="00E1667C">
        <w:rPr>
          <w:rFonts w:ascii="Arial" w:eastAsia="Times New Roman" w:hAnsi="Arial" w:cs="Arial"/>
          <w:sz w:val="24"/>
          <w:szCs w:val="24"/>
        </w:rPr>
        <w:t xml:space="preserve">Hydro Hawkesbury has one or two class </w:t>
      </w:r>
      <w:proofErr w:type="gramStart"/>
      <w:r w:rsidRPr="00E1667C">
        <w:rPr>
          <w:rFonts w:ascii="Arial" w:eastAsia="Times New Roman" w:hAnsi="Arial" w:cs="Arial"/>
          <w:sz w:val="24"/>
          <w:szCs w:val="24"/>
        </w:rPr>
        <w:t>A</w:t>
      </w:r>
      <w:proofErr w:type="gramEnd"/>
      <w:r w:rsidRPr="00E1667C">
        <w:rPr>
          <w:rFonts w:ascii="Arial" w:eastAsia="Times New Roman" w:hAnsi="Arial" w:cs="Arial"/>
          <w:sz w:val="24"/>
          <w:szCs w:val="24"/>
        </w:rPr>
        <w:t xml:space="preserve"> customers. Please confi</w:t>
      </w:r>
      <w:r w:rsidR="008B638D">
        <w:rPr>
          <w:rFonts w:ascii="Arial" w:eastAsia="Times New Roman" w:hAnsi="Arial" w:cs="Arial"/>
          <w:sz w:val="24"/>
          <w:szCs w:val="24"/>
        </w:rPr>
        <w:t>rm accuracy of the information in Table 3-a.</w:t>
      </w:r>
    </w:p>
    <w:p w14:paraId="2DD1C764" w14:textId="77777777" w:rsidR="00457FC6" w:rsidRPr="00E1667C" w:rsidRDefault="00457FC6" w:rsidP="00457FC6">
      <w:pPr>
        <w:pStyle w:val="ListParagraph"/>
        <w:rPr>
          <w:rFonts w:ascii="Arial" w:hAnsi="Arial" w:cs="Arial"/>
          <w:sz w:val="24"/>
          <w:szCs w:val="24"/>
        </w:rPr>
      </w:pPr>
    </w:p>
    <w:p w14:paraId="63DB072A" w14:textId="5F39EB2C" w:rsidR="00457FC6" w:rsidRPr="00E1667C" w:rsidRDefault="00457FC6" w:rsidP="00457FC6">
      <w:pPr>
        <w:pStyle w:val="ListParagraph"/>
        <w:numPr>
          <w:ilvl w:val="0"/>
          <w:numId w:val="30"/>
        </w:numPr>
        <w:spacing w:after="160"/>
        <w:rPr>
          <w:rFonts w:ascii="Arial" w:hAnsi="Arial" w:cs="Arial"/>
          <w:sz w:val="24"/>
          <w:szCs w:val="24"/>
        </w:rPr>
      </w:pPr>
      <w:r w:rsidRPr="00E1667C">
        <w:rPr>
          <w:rFonts w:ascii="Arial" w:hAnsi="Arial" w:cs="Arial"/>
          <w:sz w:val="24"/>
          <w:szCs w:val="24"/>
        </w:rPr>
        <w:t>Please explain why there is a discrepancy of 2,538,534 kWh (</w:t>
      </w:r>
      <w:r w:rsidRPr="00E1667C">
        <w:rPr>
          <w:rFonts w:ascii="Arial" w:eastAsia="Times New Roman" w:hAnsi="Arial" w:cs="Arial"/>
          <w:sz w:val="24"/>
          <w:szCs w:val="24"/>
        </w:rPr>
        <w:t xml:space="preserve">15,041,117 kWh minus </w:t>
      </w:r>
      <w:r w:rsidRPr="00E1667C">
        <w:rPr>
          <w:rFonts w:ascii="Arial" w:eastAsia="Times New Roman" w:hAnsi="Arial" w:cs="Arial"/>
          <w:color w:val="000000"/>
          <w:sz w:val="24"/>
          <w:szCs w:val="24"/>
        </w:rPr>
        <w:t xml:space="preserve">12,502,583 kWh) </w:t>
      </w:r>
      <w:r w:rsidRPr="00E1667C">
        <w:rPr>
          <w:rFonts w:ascii="Arial" w:hAnsi="Arial" w:cs="Arial"/>
          <w:sz w:val="24"/>
          <w:szCs w:val="24"/>
        </w:rPr>
        <w:t xml:space="preserve">in class A consumption between its RRR filing and Tab 6 of the </w:t>
      </w:r>
      <w:r w:rsidR="008846FA">
        <w:rPr>
          <w:rFonts w:ascii="Arial" w:hAnsi="Arial" w:cs="Arial"/>
          <w:sz w:val="24"/>
          <w:szCs w:val="24"/>
        </w:rPr>
        <w:t xml:space="preserve">IRM </w:t>
      </w:r>
      <w:r w:rsidRPr="00E1667C">
        <w:rPr>
          <w:rFonts w:ascii="Arial" w:hAnsi="Arial" w:cs="Arial"/>
          <w:sz w:val="24"/>
          <w:szCs w:val="24"/>
        </w:rPr>
        <w:t>rate generator</w:t>
      </w:r>
      <w:r w:rsidR="001F5ED4">
        <w:rPr>
          <w:rFonts w:ascii="Arial" w:hAnsi="Arial" w:cs="Arial"/>
          <w:sz w:val="24"/>
          <w:szCs w:val="24"/>
        </w:rPr>
        <w:t>.</w:t>
      </w:r>
      <w:r w:rsidR="00DF4706">
        <w:rPr>
          <w:rFonts w:ascii="Arial" w:hAnsi="Arial" w:cs="Arial"/>
          <w:sz w:val="24"/>
          <w:szCs w:val="24"/>
        </w:rPr>
        <w:t xml:space="preserve"> </w:t>
      </w:r>
      <w:r w:rsidR="001F5ED4">
        <w:rPr>
          <w:rFonts w:ascii="Arial" w:hAnsi="Arial" w:cs="Arial"/>
          <w:sz w:val="24"/>
          <w:szCs w:val="24"/>
        </w:rPr>
        <w:t xml:space="preserve">Please </w:t>
      </w:r>
      <w:r w:rsidR="00DF4706">
        <w:rPr>
          <w:rFonts w:ascii="Arial" w:hAnsi="Arial" w:cs="Arial"/>
          <w:sz w:val="24"/>
          <w:szCs w:val="24"/>
        </w:rPr>
        <w:t>confirm the correct number</w:t>
      </w:r>
      <w:r w:rsidR="001F5ED4">
        <w:rPr>
          <w:rFonts w:ascii="Arial" w:hAnsi="Arial" w:cs="Arial"/>
          <w:sz w:val="24"/>
          <w:szCs w:val="24"/>
        </w:rPr>
        <w:t xml:space="preserve"> and check</w:t>
      </w:r>
      <w:r w:rsidR="00DF4706">
        <w:rPr>
          <w:rFonts w:ascii="Arial" w:hAnsi="Arial" w:cs="Arial"/>
          <w:sz w:val="24"/>
          <w:szCs w:val="24"/>
        </w:rPr>
        <w:t xml:space="preserve"> whether the class </w:t>
      </w:r>
      <w:proofErr w:type="gramStart"/>
      <w:r w:rsidR="00DF4706">
        <w:rPr>
          <w:rFonts w:ascii="Arial" w:hAnsi="Arial" w:cs="Arial"/>
          <w:sz w:val="24"/>
          <w:szCs w:val="24"/>
        </w:rPr>
        <w:t>A</w:t>
      </w:r>
      <w:proofErr w:type="gramEnd"/>
      <w:r w:rsidR="00DF4706">
        <w:rPr>
          <w:rFonts w:ascii="Arial" w:hAnsi="Arial" w:cs="Arial"/>
          <w:sz w:val="24"/>
          <w:szCs w:val="24"/>
        </w:rPr>
        <w:t xml:space="preserve"> volumes submitted in RRR as of December 31, 2018 require updating. </w:t>
      </w:r>
    </w:p>
    <w:p w14:paraId="64AECD2B" w14:textId="77777777" w:rsidR="00457FC6" w:rsidRDefault="00457FC6" w:rsidP="008E6045">
      <w:pPr>
        <w:rPr>
          <w:rFonts w:ascii="Arial" w:hAnsi="Arial" w:cs="Arial"/>
          <w:sz w:val="24"/>
          <w:szCs w:val="24"/>
        </w:rPr>
      </w:pPr>
    </w:p>
    <w:p w14:paraId="2101CE94" w14:textId="77777777" w:rsidR="00457FC6" w:rsidRPr="00457FC6" w:rsidRDefault="00457FC6" w:rsidP="00457FC6">
      <w:pPr>
        <w:rPr>
          <w:rFonts w:ascii="Arial" w:hAnsi="Arial" w:cs="Arial"/>
          <w:b/>
          <w:sz w:val="24"/>
          <w:szCs w:val="24"/>
        </w:rPr>
      </w:pPr>
      <w:r w:rsidRPr="00457FC6">
        <w:rPr>
          <w:rFonts w:ascii="Arial" w:hAnsi="Arial" w:cs="Arial"/>
          <w:b/>
          <w:sz w:val="24"/>
          <w:szCs w:val="24"/>
        </w:rPr>
        <w:t>Staff Question-</w:t>
      </w:r>
      <w:r>
        <w:rPr>
          <w:rFonts w:ascii="Arial" w:hAnsi="Arial" w:cs="Arial"/>
          <w:b/>
          <w:sz w:val="24"/>
          <w:szCs w:val="24"/>
        </w:rPr>
        <w:t>4</w:t>
      </w:r>
    </w:p>
    <w:p w14:paraId="5D5EC314" w14:textId="77777777" w:rsidR="00457FC6" w:rsidRPr="00E1667C" w:rsidRDefault="00457FC6" w:rsidP="00457FC6">
      <w:pPr>
        <w:pStyle w:val="NoSpacing"/>
        <w:rPr>
          <w:rFonts w:ascii="Arial" w:hAnsi="Arial" w:cs="Arial"/>
          <w:b/>
          <w:sz w:val="24"/>
          <w:szCs w:val="24"/>
        </w:rPr>
      </w:pPr>
      <w:r w:rsidRPr="00E1667C">
        <w:rPr>
          <w:rFonts w:ascii="Arial" w:hAnsi="Arial" w:cs="Arial"/>
          <w:b/>
          <w:sz w:val="24"/>
          <w:szCs w:val="24"/>
        </w:rPr>
        <w:t>Ref:</w:t>
      </w:r>
      <w:r w:rsidRPr="00E1667C">
        <w:rPr>
          <w:rFonts w:ascii="Arial" w:hAnsi="Arial" w:cs="Arial"/>
          <w:b/>
          <w:sz w:val="24"/>
          <w:szCs w:val="24"/>
        </w:rPr>
        <w:tab/>
        <w:t>Application, p. 14</w:t>
      </w:r>
    </w:p>
    <w:p w14:paraId="176EC2C4" w14:textId="77777777" w:rsidR="00457FC6" w:rsidRPr="00E1667C" w:rsidRDefault="00457FC6" w:rsidP="00457FC6">
      <w:pPr>
        <w:pStyle w:val="NoSpacing"/>
        <w:ind w:firstLine="720"/>
        <w:rPr>
          <w:rFonts w:ascii="Arial" w:hAnsi="Arial" w:cs="Arial"/>
          <w:b/>
          <w:sz w:val="24"/>
          <w:szCs w:val="24"/>
        </w:rPr>
      </w:pPr>
      <w:r w:rsidRPr="00E1667C">
        <w:rPr>
          <w:rFonts w:ascii="Arial" w:hAnsi="Arial" w:cs="Arial"/>
          <w:b/>
          <w:sz w:val="24"/>
          <w:szCs w:val="24"/>
        </w:rPr>
        <w:t xml:space="preserve">1595 Analysis </w:t>
      </w:r>
      <w:proofErr w:type="spellStart"/>
      <w:r w:rsidRPr="00E1667C">
        <w:rPr>
          <w:rFonts w:ascii="Arial" w:hAnsi="Arial" w:cs="Arial"/>
          <w:b/>
          <w:sz w:val="24"/>
          <w:szCs w:val="24"/>
        </w:rPr>
        <w:t>Workform</w:t>
      </w:r>
      <w:proofErr w:type="spellEnd"/>
    </w:p>
    <w:p w14:paraId="0F328D48" w14:textId="77777777" w:rsidR="00457FC6" w:rsidRPr="00E1667C" w:rsidRDefault="00457FC6" w:rsidP="00457FC6">
      <w:pPr>
        <w:pStyle w:val="NoSpacing"/>
        <w:rPr>
          <w:rFonts w:ascii="Arial" w:hAnsi="Arial" w:cs="Arial"/>
          <w:b/>
          <w:sz w:val="24"/>
          <w:szCs w:val="24"/>
        </w:rPr>
      </w:pPr>
      <w:r w:rsidRPr="00E1667C">
        <w:rPr>
          <w:rFonts w:ascii="Arial" w:hAnsi="Arial" w:cs="Arial"/>
          <w:b/>
          <w:sz w:val="24"/>
          <w:szCs w:val="24"/>
        </w:rPr>
        <w:tab/>
        <w:t>Tab 3 of IRM Rate Generator</w:t>
      </w:r>
    </w:p>
    <w:p w14:paraId="2162BFDA" w14:textId="77777777" w:rsidR="00457FC6" w:rsidRPr="00E1667C" w:rsidRDefault="00457FC6" w:rsidP="00457FC6">
      <w:pPr>
        <w:pStyle w:val="NoSpacing"/>
        <w:rPr>
          <w:rFonts w:ascii="Arial" w:hAnsi="Arial" w:cs="Arial"/>
          <w:b/>
          <w:sz w:val="24"/>
          <w:szCs w:val="24"/>
        </w:rPr>
      </w:pPr>
    </w:p>
    <w:p w14:paraId="6466C69D" w14:textId="77777777" w:rsidR="00457FC6" w:rsidRPr="00E1667C" w:rsidRDefault="00457FC6" w:rsidP="00457FC6">
      <w:pPr>
        <w:rPr>
          <w:rFonts w:ascii="Arial" w:hAnsi="Arial" w:cs="Arial"/>
          <w:sz w:val="24"/>
          <w:szCs w:val="24"/>
          <w:u w:val="single"/>
        </w:rPr>
      </w:pPr>
      <w:r w:rsidRPr="00E1667C">
        <w:rPr>
          <w:rFonts w:ascii="Arial" w:hAnsi="Arial" w:cs="Arial"/>
          <w:sz w:val="24"/>
          <w:szCs w:val="24"/>
          <w:u w:val="single"/>
        </w:rPr>
        <w:t>Pre-amble</w:t>
      </w:r>
    </w:p>
    <w:p w14:paraId="55DE6C9F" w14:textId="77777777" w:rsidR="00457FC6" w:rsidRDefault="00457FC6" w:rsidP="00457FC6">
      <w:pPr>
        <w:spacing w:after="0"/>
        <w:rPr>
          <w:rFonts w:ascii="Arial" w:eastAsia="Times New Roman" w:hAnsi="Arial" w:cs="Arial"/>
          <w:sz w:val="24"/>
          <w:szCs w:val="24"/>
        </w:rPr>
      </w:pPr>
      <w:r>
        <w:rPr>
          <w:rFonts w:ascii="Arial" w:eastAsia="Times New Roman" w:hAnsi="Arial" w:cs="Arial"/>
          <w:sz w:val="24"/>
          <w:szCs w:val="24"/>
        </w:rPr>
        <w:t xml:space="preserve">In the application, </w:t>
      </w:r>
      <w:r w:rsidRPr="00E1667C">
        <w:rPr>
          <w:rFonts w:ascii="Arial" w:eastAsia="Times New Roman" w:hAnsi="Arial" w:cs="Arial"/>
          <w:sz w:val="24"/>
          <w:szCs w:val="24"/>
        </w:rPr>
        <w:t xml:space="preserve">Hydro Hawkesbury </w:t>
      </w:r>
      <w:r>
        <w:rPr>
          <w:rFonts w:ascii="Arial" w:eastAsia="Times New Roman" w:hAnsi="Arial" w:cs="Arial"/>
          <w:sz w:val="24"/>
          <w:szCs w:val="24"/>
        </w:rPr>
        <w:t xml:space="preserve">is proposing not to dispose of its 1595 balances, as the total balance of all accounts in 1595 is $473 and </w:t>
      </w:r>
      <w:r w:rsidR="00C05CB0">
        <w:rPr>
          <w:rFonts w:ascii="Arial" w:eastAsia="Times New Roman" w:hAnsi="Arial" w:cs="Arial"/>
          <w:sz w:val="24"/>
          <w:szCs w:val="24"/>
        </w:rPr>
        <w:t xml:space="preserve">is </w:t>
      </w:r>
      <w:r>
        <w:rPr>
          <w:rFonts w:ascii="Arial" w:eastAsia="Times New Roman" w:hAnsi="Arial" w:cs="Arial"/>
          <w:sz w:val="24"/>
          <w:szCs w:val="24"/>
        </w:rPr>
        <w:t xml:space="preserve">too immaterial to dispose. Therefore, </w:t>
      </w:r>
      <w:r w:rsidRPr="00E1667C">
        <w:rPr>
          <w:rFonts w:ascii="Arial" w:eastAsia="Times New Roman" w:hAnsi="Arial" w:cs="Arial"/>
          <w:sz w:val="24"/>
          <w:szCs w:val="24"/>
        </w:rPr>
        <w:t>Hydro Hawkesbury</w:t>
      </w:r>
      <w:r>
        <w:rPr>
          <w:rFonts w:ascii="Arial" w:eastAsia="Times New Roman" w:hAnsi="Arial" w:cs="Arial"/>
          <w:sz w:val="24"/>
          <w:szCs w:val="24"/>
        </w:rPr>
        <w:t xml:space="preserve"> has not populated </w:t>
      </w:r>
      <w:r w:rsidR="00C05CB0">
        <w:rPr>
          <w:rFonts w:ascii="Arial" w:eastAsia="Times New Roman" w:hAnsi="Arial" w:cs="Arial"/>
          <w:sz w:val="24"/>
          <w:szCs w:val="24"/>
        </w:rPr>
        <w:t xml:space="preserve">the </w:t>
      </w:r>
      <w:r>
        <w:rPr>
          <w:rFonts w:ascii="Arial" w:eastAsia="Times New Roman" w:hAnsi="Arial" w:cs="Arial"/>
          <w:sz w:val="24"/>
          <w:szCs w:val="24"/>
        </w:rPr>
        <w:t>1595</w:t>
      </w:r>
      <w:r w:rsidR="00C05CB0">
        <w:rPr>
          <w:rFonts w:ascii="Arial" w:eastAsia="Times New Roman" w:hAnsi="Arial" w:cs="Arial"/>
          <w:sz w:val="24"/>
          <w:szCs w:val="24"/>
        </w:rPr>
        <w:t xml:space="preserve"> Analysis </w:t>
      </w:r>
      <w:proofErr w:type="spellStart"/>
      <w:r w:rsidR="00C05CB0">
        <w:rPr>
          <w:rFonts w:ascii="Arial" w:eastAsia="Times New Roman" w:hAnsi="Arial" w:cs="Arial"/>
          <w:sz w:val="24"/>
          <w:szCs w:val="24"/>
        </w:rPr>
        <w:t>Workform</w:t>
      </w:r>
      <w:proofErr w:type="spellEnd"/>
      <w:r>
        <w:rPr>
          <w:rFonts w:ascii="Arial" w:eastAsia="Times New Roman" w:hAnsi="Arial" w:cs="Arial"/>
          <w:sz w:val="24"/>
          <w:szCs w:val="24"/>
        </w:rPr>
        <w:t>.</w:t>
      </w:r>
    </w:p>
    <w:p w14:paraId="50F9E5B4" w14:textId="77777777" w:rsidR="00457FC6" w:rsidRDefault="00457FC6" w:rsidP="00457FC6">
      <w:pPr>
        <w:spacing w:after="0"/>
        <w:rPr>
          <w:rFonts w:ascii="Arial" w:eastAsia="Times New Roman" w:hAnsi="Arial" w:cs="Arial"/>
          <w:sz w:val="24"/>
          <w:szCs w:val="24"/>
        </w:rPr>
      </w:pPr>
    </w:p>
    <w:p w14:paraId="1DEE1158" w14:textId="33548306" w:rsidR="00457FC6" w:rsidRPr="00E1667C" w:rsidRDefault="00457FC6" w:rsidP="00457FC6">
      <w:pPr>
        <w:spacing w:after="0"/>
        <w:rPr>
          <w:rFonts w:ascii="Arial" w:eastAsia="Times New Roman" w:hAnsi="Arial" w:cs="Arial"/>
          <w:sz w:val="24"/>
          <w:szCs w:val="24"/>
        </w:rPr>
      </w:pPr>
      <w:r>
        <w:rPr>
          <w:rFonts w:ascii="Arial" w:eastAsia="Times New Roman" w:hAnsi="Arial" w:cs="Arial"/>
          <w:sz w:val="24"/>
          <w:szCs w:val="24"/>
        </w:rPr>
        <w:t>In the DVA Continuity Schedule,</w:t>
      </w:r>
      <w:r w:rsidRPr="00E1667C">
        <w:rPr>
          <w:rFonts w:ascii="Arial" w:eastAsia="Times New Roman" w:hAnsi="Arial" w:cs="Arial"/>
          <w:sz w:val="24"/>
          <w:szCs w:val="24"/>
        </w:rPr>
        <w:t xml:space="preserve"> Hydro Hawkesbury </w:t>
      </w:r>
      <w:r>
        <w:rPr>
          <w:rFonts w:ascii="Arial" w:eastAsia="Times New Roman" w:hAnsi="Arial" w:cs="Arial"/>
          <w:sz w:val="24"/>
          <w:szCs w:val="24"/>
        </w:rPr>
        <w:t>has not included</w:t>
      </w:r>
      <w:r w:rsidRPr="00E1667C">
        <w:rPr>
          <w:rFonts w:ascii="Arial" w:eastAsia="Times New Roman" w:hAnsi="Arial" w:cs="Arial"/>
          <w:sz w:val="24"/>
          <w:szCs w:val="24"/>
        </w:rPr>
        <w:t xml:space="preserve"> the residual balances</w:t>
      </w:r>
      <w:r>
        <w:rPr>
          <w:rFonts w:ascii="Arial" w:eastAsia="Times New Roman" w:hAnsi="Arial" w:cs="Arial"/>
          <w:sz w:val="24"/>
          <w:szCs w:val="24"/>
        </w:rPr>
        <w:t xml:space="preserve"> from</w:t>
      </w:r>
      <w:r w:rsidRPr="00A54AC9">
        <w:rPr>
          <w:rFonts w:ascii="Arial" w:eastAsia="Times New Roman" w:hAnsi="Arial" w:cs="Arial"/>
          <w:sz w:val="24"/>
          <w:szCs w:val="24"/>
        </w:rPr>
        <w:t xml:space="preserve"> </w:t>
      </w:r>
      <w:r>
        <w:rPr>
          <w:rFonts w:ascii="Arial" w:eastAsia="Times New Roman" w:hAnsi="Arial" w:cs="Arial"/>
          <w:sz w:val="24"/>
          <w:szCs w:val="24"/>
        </w:rPr>
        <w:t xml:space="preserve">Account </w:t>
      </w:r>
      <w:r w:rsidRPr="00E1667C">
        <w:rPr>
          <w:rFonts w:ascii="Arial" w:eastAsia="Times New Roman" w:hAnsi="Arial" w:cs="Arial"/>
          <w:sz w:val="24"/>
          <w:szCs w:val="24"/>
        </w:rPr>
        <w:t>1595 sub-accounts 2013, 2014 and 2015</w:t>
      </w:r>
      <w:r>
        <w:rPr>
          <w:rFonts w:ascii="Arial" w:eastAsia="Times New Roman" w:hAnsi="Arial" w:cs="Arial"/>
          <w:sz w:val="24"/>
          <w:szCs w:val="24"/>
        </w:rPr>
        <w:t xml:space="preserve"> as part of the disposition of its group 1 </w:t>
      </w:r>
      <w:r w:rsidR="002E1CFC">
        <w:rPr>
          <w:rFonts w:ascii="Arial" w:eastAsia="Times New Roman" w:hAnsi="Arial" w:cs="Arial"/>
          <w:sz w:val="24"/>
          <w:szCs w:val="24"/>
        </w:rPr>
        <w:t xml:space="preserve">DVA </w:t>
      </w:r>
      <w:r>
        <w:rPr>
          <w:rFonts w:ascii="Arial" w:eastAsia="Times New Roman" w:hAnsi="Arial" w:cs="Arial"/>
          <w:sz w:val="24"/>
          <w:szCs w:val="24"/>
        </w:rPr>
        <w:t>balances</w:t>
      </w:r>
      <w:r w:rsidRPr="00E1667C">
        <w:rPr>
          <w:rFonts w:ascii="Arial" w:eastAsia="Times New Roman" w:hAnsi="Arial" w:cs="Arial"/>
          <w:sz w:val="24"/>
          <w:szCs w:val="24"/>
        </w:rPr>
        <w:t xml:space="preserve">. </w:t>
      </w:r>
    </w:p>
    <w:p w14:paraId="511C2679" w14:textId="77777777" w:rsidR="00457FC6" w:rsidRPr="00E1667C" w:rsidRDefault="00457FC6" w:rsidP="00457FC6">
      <w:pPr>
        <w:spacing w:after="0"/>
        <w:rPr>
          <w:rFonts w:ascii="Arial" w:hAnsi="Arial" w:cs="Arial"/>
          <w:sz w:val="24"/>
          <w:szCs w:val="24"/>
        </w:rPr>
      </w:pPr>
    </w:p>
    <w:p w14:paraId="3FFCD110" w14:textId="77777777" w:rsidR="00457FC6" w:rsidRPr="00E1667C" w:rsidRDefault="00457FC6" w:rsidP="00457FC6">
      <w:pPr>
        <w:rPr>
          <w:rFonts w:ascii="Arial" w:hAnsi="Arial" w:cs="Arial"/>
          <w:sz w:val="24"/>
          <w:szCs w:val="24"/>
          <w:u w:val="single"/>
        </w:rPr>
      </w:pPr>
      <w:r w:rsidRPr="00E1667C">
        <w:rPr>
          <w:rFonts w:ascii="Arial" w:hAnsi="Arial" w:cs="Arial"/>
          <w:sz w:val="24"/>
          <w:szCs w:val="24"/>
          <w:u w:val="single"/>
        </w:rPr>
        <w:t>Question</w:t>
      </w:r>
    </w:p>
    <w:p w14:paraId="60ED3C3C" w14:textId="3DC91FD6" w:rsidR="00457FC6" w:rsidRPr="00E1667C" w:rsidRDefault="00457FC6" w:rsidP="00457FC6">
      <w:pPr>
        <w:pStyle w:val="ListParagraph"/>
        <w:numPr>
          <w:ilvl w:val="0"/>
          <w:numId w:val="31"/>
        </w:numPr>
        <w:spacing w:after="160"/>
        <w:rPr>
          <w:rFonts w:ascii="Arial" w:hAnsi="Arial" w:cs="Arial"/>
          <w:sz w:val="24"/>
          <w:szCs w:val="24"/>
        </w:rPr>
      </w:pPr>
      <w:r w:rsidRPr="00E1667C">
        <w:rPr>
          <w:rFonts w:ascii="Arial" w:hAnsi="Arial" w:cs="Arial"/>
          <w:sz w:val="24"/>
          <w:szCs w:val="24"/>
        </w:rPr>
        <w:t xml:space="preserve">Please confirm </w:t>
      </w:r>
      <w:r w:rsidR="00AB7020">
        <w:rPr>
          <w:rFonts w:ascii="Arial" w:hAnsi="Arial" w:cs="Arial"/>
          <w:sz w:val="24"/>
          <w:szCs w:val="24"/>
        </w:rPr>
        <w:t>that</w:t>
      </w:r>
      <w:r w:rsidRPr="00E1667C">
        <w:rPr>
          <w:rFonts w:ascii="Arial" w:hAnsi="Arial" w:cs="Arial"/>
          <w:sz w:val="24"/>
          <w:szCs w:val="24"/>
        </w:rPr>
        <w:t xml:space="preserve"> Hydro </w:t>
      </w:r>
      <w:r w:rsidRPr="00E1667C">
        <w:rPr>
          <w:rFonts w:ascii="Arial" w:eastAsia="Times New Roman" w:hAnsi="Arial" w:cs="Arial"/>
          <w:sz w:val="24"/>
          <w:szCs w:val="24"/>
        </w:rPr>
        <w:t>Hawkesbury</w:t>
      </w:r>
      <w:r w:rsidRPr="00E1667C">
        <w:rPr>
          <w:rFonts w:ascii="Arial" w:hAnsi="Arial" w:cs="Arial"/>
          <w:sz w:val="24"/>
          <w:szCs w:val="24"/>
        </w:rPr>
        <w:t xml:space="preserve"> is </w:t>
      </w:r>
      <w:r>
        <w:rPr>
          <w:rFonts w:ascii="Arial" w:hAnsi="Arial" w:cs="Arial"/>
          <w:sz w:val="24"/>
          <w:szCs w:val="24"/>
        </w:rPr>
        <w:t xml:space="preserve">planning to write off </w:t>
      </w:r>
      <w:r w:rsidRPr="00E1667C">
        <w:rPr>
          <w:rFonts w:ascii="Arial" w:hAnsi="Arial" w:cs="Arial"/>
          <w:sz w:val="24"/>
          <w:szCs w:val="24"/>
        </w:rPr>
        <w:t>the residual debit balances for Account 1595 vintage years 2013, 2014 and 2015</w:t>
      </w:r>
      <w:r>
        <w:rPr>
          <w:rFonts w:ascii="Arial" w:hAnsi="Arial" w:cs="Arial"/>
          <w:sz w:val="24"/>
          <w:szCs w:val="24"/>
        </w:rPr>
        <w:t xml:space="preserve"> due to the immateriality of the residual balances</w:t>
      </w:r>
      <w:r w:rsidRPr="00E1667C">
        <w:rPr>
          <w:rFonts w:ascii="Arial" w:hAnsi="Arial" w:cs="Arial"/>
          <w:sz w:val="24"/>
          <w:szCs w:val="24"/>
        </w:rPr>
        <w:t>.</w:t>
      </w:r>
    </w:p>
    <w:p w14:paraId="082CB972" w14:textId="77777777" w:rsidR="00457FC6" w:rsidRDefault="00457FC6" w:rsidP="008E6045">
      <w:pPr>
        <w:rPr>
          <w:rFonts w:ascii="Arial" w:hAnsi="Arial" w:cs="Arial"/>
          <w:sz w:val="24"/>
          <w:szCs w:val="24"/>
        </w:rPr>
      </w:pPr>
    </w:p>
    <w:p w14:paraId="36D2F041" w14:textId="77777777" w:rsidR="00457FC6" w:rsidRPr="00457FC6" w:rsidRDefault="00457FC6" w:rsidP="00457FC6">
      <w:pPr>
        <w:rPr>
          <w:rFonts w:ascii="Arial" w:hAnsi="Arial" w:cs="Arial"/>
          <w:b/>
          <w:sz w:val="24"/>
          <w:szCs w:val="24"/>
        </w:rPr>
      </w:pPr>
      <w:r w:rsidRPr="00457FC6">
        <w:rPr>
          <w:rFonts w:ascii="Arial" w:hAnsi="Arial" w:cs="Arial"/>
          <w:b/>
          <w:sz w:val="24"/>
          <w:szCs w:val="24"/>
        </w:rPr>
        <w:t>Staff Question-</w:t>
      </w:r>
      <w:r>
        <w:rPr>
          <w:rFonts w:ascii="Arial" w:hAnsi="Arial" w:cs="Arial"/>
          <w:b/>
          <w:sz w:val="24"/>
          <w:szCs w:val="24"/>
        </w:rPr>
        <w:t>5</w:t>
      </w:r>
    </w:p>
    <w:p w14:paraId="5557BD09" w14:textId="4E33FA11" w:rsidR="00457FC6" w:rsidRDefault="00457FC6" w:rsidP="00457FC6">
      <w:pPr>
        <w:rPr>
          <w:rFonts w:ascii="Arial" w:hAnsi="Arial" w:cs="Arial"/>
          <w:b/>
          <w:sz w:val="24"/>
          <w:szCs w:val="24"/>
        </w:rPr>
      </w:pPr>
      <w:r w:rsidRPr="002E227D">
        <w:rPr>
          <w:rFonts w:ascii="Arial" w:hAnsi="Arial" w:cs="Arial"/>
          <w:b/>
          <w:sz w:val="24"/>
          <w:szCs w:val="24"/>
        </w:rPr>
        <w:t>Ref:</w:t>
      </w:r>
      <w:r w:rsidRPr="002E227D">
        <w:rPr>
          <w:rFonts w:ascii="Arial" w:hAnsi="Arial" w:cs="Arial"/>
          <w:b/>
          <w:sz w:val="24"/>
          <w:szCs w:val="24"/>
        </w:rPr>
        <w:tab/>
        <w:t>Application, p</w:t>
      </w:r>
      <w:r>
        <w:rPr>
          <w:rFonts w:ascii="Arial" w:hAnsi="Arial" w:cs="Arial"/>
          <w:b/>
          <w:sz w:val="24"/>
          <w:szCs w:val="24"/>
        </w:rPr>
        <w:t>p.</w:t>
      </w:r>
      <w:r w:rsidRPr="002E227D">
        <w:rPr>
          <w:rFonts w:ascii="Arial" w:hAnsi="Arial" w:cs="Arial"/>
          <w:b/>
          <w:sz w:val="24"/>
          <w:szCs w:val="24"/>
        </w:rPr>
        <w:t xml:space="preserve"> 25-26</w:t>
      </w:r>
    </w:p>
    <w:p w14:paraId="3B0D3B2A" w14:textId="13C6027F" w:rsidR="005A7410" w:rsidRPr="002E227D" w:rsidRDefault="005A7410" w:rsidP="00457FC6">
      <w:pPr>
        <w:rPr>
          <w:rFonts w:ascii="Arial" w:hAnsi="Arial" w:cs="Arial"/>
          <w:b/>
          <w:sz w:val="24"/>
          <w:szCs w:val="24"/>
        </w:rPr>
      </w:pPr>
      <w:r>
        <w:rPr>
          <w:rFonts w:ascii="Arial" w:hAnsi="Arial" w:cs="Arial"/>
          <w:b/>
          <w:sz w:val="24"/>
          <w:szCs w:val="24"/>
        </w:rPr>
        <w:tab/>
        <w:t>Hydro Hawkesbury 2018 Scorecard (accessible via OEB website)</w:t>
      </w:r>
    </w:p>
    <w:p w14:paraId="21FBF0CA" w14:textId="77777777" w:rsidR="00457FC6" w:rsidRPr="00E1667C" w:rsidRDefault="00457FC6" w:rsidP="00457FC6">
      <w:pPr>
        <w:rPr>
          <w:rFonts w:ascii="Arial" w:hAnsi="Arial" w:cs="Arial"/>
          <w:sz w:val="24"/>
          <w:szCs w:val="24"/>
          <w:u w:val="single"/>
        </w:rPr>
      </w:pPr>
      <w:r w:rsidRPr="00E1667C">
        <w:rPr>
          <w:rFonts w:ascii="Arial" w:hAnsi="Arial" w:cs="Arial"/>
          <w:sz w:val="24"/>
          <w:szCs w:val="24"/>
          <w:u w:val="single"/>
        </w:rPr>
        <w:t>Pre-amble</w:t>
      </w:r>
    </w:p>
    <w:p w14:paraId="59514C26" w14:textId="77777777" w:rsidR="00457FC6" w:rsidRDefault="00457FC6" w:rsidP="00457FC6">
      <w:pPr>
        <w:rPr>
          <w:rFonts w:ascii="Arial" w:eastAsia="Times New Roman" w:hAnsi="Arial" w:cs="Arial"/>
          <w:sz w:val="24"/>
          <w:szCs w:val="24"/>
        </w:rPr>
      </w:pPr>
      <w:r>
        <w:rPr>
          <w:rFonts w:ascii="Arial" w:eastAsia="Times New Roman" w:hAnsi="Arial" w:cs="Arial"/>
          <w:sz w:val="24"/>
          <w:szCs w:val="24"/>
        </w:rPr>
        <w:t xml:space="preserve">In 2018, </w:t>
      </w:r>
      <w:r w:rsidRPr="00E1667C">
        <w:rPr>
          <w:rFonts w:ascii="Arial" w:hAnsi="Arial" w:cs="Arial"/>
          <w:sz w:val="24"/>
          <w:szCs w:val="24"/>
        </w:rPr>
        <w:t xml:space="preserve">Hydro </w:t>
      </w:r>
      <w:r w:rsidRPr="00E1667C">
        <w:rPr>
          <w:rFonts w:ascii="Arial" w:eastAsia="Times New Roman" w:hAnsi="Arial" w:cs="Arial"/>
          <w:sz w:val="24"/>
          <w:szCs w:val="24"/>
        </w:rPr>
        <w:t>Hawkesbury</w:t>
      </w:r>
      <w:r>
        <w:rPr>
          <w:rFonts w:ascii="Arial" w:eastAsia="Times New Roman" w:hAnsi="Arial" w:cs="Arial"/>
          <w:sz w:val="24"/>
          <w:szCs w:val="24"/>
        </w:rPr>
        <w:t xml:space="preserve"> had under-earned by -13.10% based on an achieved ROE of -4.10% and a deemed ROE of 9.00%. </w:t>
      </w:r>
      <w:r w:rsidRPr="00E1667C">
        <w:rPr>
          <w:rFonts w:ascii="Arial" w:hAnsi="Arial" w:cs="Arial"/>
          <w:sz w:val="24"/>
          <w:szCs w:val="24"/>
        </w:rPr>
        <w:t xml:space="preserve">Hydro </w:t>
      </w:r>
      <w:r w:rsidRPr="00E1667C">
        <w:rPr>
          <w:rFonts w:ascii="Arial" w:eastAsia="Times New Roman" w:hAnsi="Arial" w:cs="Arial"/>
          <w:sz w:val="24"/>
          <w:szCs w:val="24"/>
        </w:rPr>
        <w:t>Hawkesbury</w:t>
      </w:r>
      <w:r>
        <w:rPr>
          <w:rFonts w:ascii="Arial" w:eastAsia="Times New Roman" w:hAnsi="Arial" w:cs="Arial"/>
          <w:sz w:val="24"/>
          <w:szCs w:val="24"/>
        </w:rPr>
        <w:t xml:space="preserve"> attributes the under-earnings to the following two reasons:</w:t>
      </w:r>
    </w:p>
    <w:p w14:paraId="1EE334AF" w14:textId="7E683C34" w:rsidR="00457FC6" w:rsidRDefault="00457FC6" w:rsidP="00457FC6">
      <w:pPr>
        <w:pStyle w:val="ListParagraph"/>
        <w:numPr>
          <w:ilvl w:val="0"/>
          <w:numId w:val="32"/>
        </w:numPr>
        <w:spacing w:after="160"/>
        <w:rPr>
          <w:rFonts w:ascii="Arial" w:hAnsi="Arial" w:cs="Arial"/>
          <w:sz w:val="24"/>
          <w:szCs w:val="24"/>
        </w:rPr>
      </w:pPr>
      <w:r>
        <w:rPr>
          <w:rFonts w:ascii="Arial" w:hAnsi="Arial" w:cs="Arial"/>
          <w:sz w:val="24"/>
          <w:szCs w:val="24"/>
        </w:rPr>
        <w:t>Refund of the cost of the substation in 2018 due to the over-collection of $253K since its 2014 COS application</w:t>
      </w:r>
      <w:r w:rsidR="005A7410">
        <w:rPr>
          <w:rFonts w:ascii="Arial" w:hAnsi="Arial" w:cs="Arial"/>
          <w:sz w:val="24"/>
          <w:szCs w:val="24"/>
        </w:rPr>
        <w:t xml:space="preserve"> (one-time event)</w:t>
      </w:r>
    </w:p>
    <w:p w14:paraId="0D68E01D" w14:textId="467EAC27" w:rsidR="00457FC6" w:rsidRDefault="00457FC6" w:rsidP="00457FC6">
      <w:pPr>
        <w:pStyle w:val="ListParagraph"/>
        <w:numPr>
          <w:ilvl w:val="0"/>
          <w:numId w:val="32"/>
        </w:numPr>
        <w:spacing w:after="160"/>
        <w:rPr>
          <w:rFonts w:ascii="Arial" w:hAnsi="Arial" w:cs="Arial"/>
          <w:sz w:val="24"/>
          <w:szCs w:val="24"/>
        </w:rPr>
      </w:pPr>
      <w:r>
        <w:rPr>
          <w:rFonts w:ascii="Arial" w:hAnsi="Arial" w:cs="Arial"/>
          <w:sz w:val="24"/>
          <w:szCs w:val="24"/>
        </w:rPr>
        <w:t xml:space="preserve">Over-statement of cost of power by $9M due to the regression methodology established </w:t>
      </w:r>
      <w:r w:rsidR="00E719A2">
        <w:rPr>
          <w:rFonts w:ascii="Arial" w:hAnsi="Arial" w:cs="Arial"/>
          <w:sz w:val="24"/>
          <w:szCs w:val="24"/>
        </w:rPr>
        <w:t>in</w:t>
      </w:r>
      <w:r>
        <w:rPr>
          <w:rFonts w:ascii="Arial" w:hAnsi="Arial" w:cs="Arial"/>
          <w:sz w:val="24"/>
          <w:szCs w:val="24"/>
        </w:rPr>
        <w:t xml:space="preserve"> its 2018 COS application, which </w:t>
      </w:r>
      <w:r w:rsidR="00E719A2" w:rsidRPr="00E1667C">
        <w:rPr>
          <w:rFonts w:ascii="Arial" w:hAnsi="Arial" w:cs="Arial"/>
          <w:sz w:val="24"/>
          <w:szCs w:val="24"/>
        </w:rPr>
        <w:t xml:space="preserve">Hydro </w:t>
      </w:r>
      <w:r w:rsidR="00E719A2" w:rsidRPr="00E1667C">
        <w:rPr>
          <w:rFonts w:ascii="Arial" w:eastAsia="Times New Roman" w:hAnsi="Arial" w:cs="Arial"/>
          <w:sz w:val="24"/>
          <w:szCs w:val="24"/>
        </w:rPr>
        <w:t>Hawkesbury</w:t>
      </w:r>
      <w:r w:rsidR="00E719A2">
        <w:rPr>
          <w:rFonts w:ascii="Arial" w:eastAsia="Times New Roman" w:hAnsi="Arial" w:cs="Arial"/>
          <w:sz w:val="24"/>
          <w:szCs w:val="24"/>
        </w:rPr>
        <w:t xml:space="preserve"> states will </w:t>
      </w:r>
      <w:r>
        <w:rPr>
          <w:rFonts w:ascii="Arial" w:hAnsi="Arial" w:cs="Arial"/>
          <w:sz w:val="24"/>
          <w:szCs w:val="24"/>
        </w:rPr>
        <w:t>create a discrepancy between deemed and actual financial indicators</w:t>
      </w:r>
    </w:p>
    <w:p w14:paraId="0B6A7767" w14:textId="77777777" w:rsidR="00457FC6" w:rsidRPr="00E1667C" w:rsidRDefault="00457FC6" w:rsidP="00457FC6">
      <w:pPr>
        <w:rPr>
          <w:rFonts w:ascii="Arial" w:hAnsi="Arial" w:cs="Arial"/>
          <w:sz w:val="24"/>
          <w:szCs w:val="24"/>
          <w:u w:val="single"/>
        </w:rPr>
      </w:pPr>
      <w:r w:rsidRPr="00E1667C">
        <w:rPr>
          <w:rFonts w:ascii="Arial" w:hAnsi="Arial" w:cs="Arial"/>
          <w:sz w:val="24"/>
          <w:szCs w:val="24"/>
          <w:u w:val="single"/>
        </w:rPr>
        <w:t>Question</w:t>
      </w:r>
      <w:r w:rsidR="00D462CD">
        <w:rPr>
          <w:rFonts w:ascii="Arial" w:hAnsi="Arial" w:cs="Arial"/>
          <w:sz w:val="24"/>
          <w:szCs w:val="24"/>
          <w:u w:val="single"/>
        </w:rPr>
        <w:t>s</w:t>
      </w:r>
    </w:p>
    <w:p w14:paraId="0E736D1C" w14:textId="69A6750B" w:rsidR="00D462CD" w:rsidRPr="00D462CD" w:rsidRDefault="00457FC6" w:rsidP="00457FC6">
      <w:pPr>
        <w:pStyle w:val="ListParagraph"/>
        <w:numPr>
          <w:ilvl w:val="0"/>
          <w:numId w:val="33"/>
        </w:numPr>
        <w:spacing w:after="160"/>
        <w:rPr>
          <w:rFonts w:ascii="Arial" w:hAnsi="Arial" w:cs="Arial"/>
          <w:sz w:val="24"/>
          <w:szCs w:val="24"/>
        </w:rPr>
      </w:pPr>
      <w:r>
        <w:rPr>
          <w:rFonts w:ascii="Arial" w:hAnsi="Arial" w:cs="Arial"/>
          <w:sz w:val="24"/>
          <w:szCs w:val="24"/>
        </w:rPr>
        <w:t xml:space="preserve">Given that </w:t>
      </w:r>
      <w:r w:rsidR="005A7410">
        <w:rPr>
          <w:rFonts w:ascii="Arial" w:hAnsi="Arial" w:cs="Arial"/>
          <w:sz w:val="24"/>
          <w:szCs w:val="24"/>
        </w:rPr>
        <w:t xml:space="preserve">cost of power is overstated by $9M compared to actual, please discuss whether </w:t>
      </w:r>
      <w:r w:rsidRPr="00E1667C">
        <w:rPr>
          <w:rFonts w:ascii="Arial" w:hAnsi="Arial" w:cs="Arial"/>
          <w:sz w:val="24"/>
          <w:szCs w:val="24"/>
        </w:rPr>
        <w:t xml:space="preserve">Hydro </w:t>
      </w:r>
      <w:r w:rsidRPr="00E1667C">
        <w:rPr>
          <w:rFonts w:ascii="Arial" w:eastAsia="Times New Roman" w:hAnsi="Arial" w:cs="Arial"/>
          <w:sz w:val="24"/>
          <w:szCs w:val="24"/>
        </w:rPr>
        <w:t>Hawkesbury</w:t>
      </w:r>
      <w:r>
        <w:rPr>
          <w:rFonts w:ascii="Arial" w:eastAsia="Times New Roman" w:hAnsi="Arial" w:cs="Arial"/>
          <w:sz w:val="24"/>
          <w:szCs w:val="24"/>
        </w:rPr>
        <w:t xml:space="preserve"> foresee</w:t>
      </w:r>
      <w:r w:rsidR="005A7410">
        <w:rPr>
          <w:rFonts w:ascii="Arial" w:eastAsia="Times New Roman" w:hAnsi="Arial" w:cs="Arial"/>
          <w:sz w:val="24"/>
          <w:szCs w:val="24"/>
        </w:rPr>
        <w:t>s</w:t>
      </w:r>
      <w:r>
        <w:rPr>
          <w:rFonts w:ascii="Arial" w:eastAsia="Times New Roman" w:hAnsi="Arial" w:cs="Arial"/>
          <w:sz w:val="24"/>
          <w:szCs w:val="24"/>
        </w:rPr>
        <w:t xml:space="preserve"> any </w:t>
      </w:r>
      <w:r w:rsidR="005A7410">
        <w:rPr>
          <w:rFonts w:ascii="Arial" w:eastAsia="Times New Roman" w:hAnsi="Arial" w:cs="Arial"/>
          <w:sz w:val="24"/>
          <w:szCs w:val="24"/>
        </w:rPr>
        <w:t xml:space="preserve">regulatory or </w:t>
      </w:r>
      <w:r>
        <w:rPr>
          <w:rFonts w:ascii="Arial" w:eastAsia="Times New Roman" w:hAnsi="Arial" w:cs="Arial"/>
          <w:sz w:val="24"/>
          <w:szCs w:val="24"/>
        </w:rPr>
        <w:t xml:space="preserve">financial </w:t>
      </w:r>
      <w:r w:rsidR="005A7410">
        <w:rPr>
          <w:rFonts w:ascii="Arial" w:eastAsia="Times New Roman" w:hAnsi="Arial" w:cs="Arial"/>
          <w:sz w:val="24"/>
          <w:szCs w:val="24"/>
        </w:rPr>
        <w:t xml:space="preserve">viability </w:t>
      </w:r>
      <w:r>
        <w:rPr>
          <w:rFonts w:ascii="Arial" w:eastAsia="Times New Roman" w:hAnsi="Arial" w:cs="Arial"/>
          <w:sz w:val="24"/>
          <w:szCs w:val="24"/>
        </w:rPr>
        <w:t>issues during the IRM years until its next rebasing</w:t>
      </w:r>
      <w:r w:rsidR="005A7410">
        <w:rPr>
          <w:rFonts w:ascii="Arial" w:eastAsia="Times New Roman" w:hAnsi="Arial" w:cs="Arial"/>
          <w:sz w:val="24"/>
          <w:szCs w:val="24"/>
        </w:rPr>
        <w:t xml:space="preserve">. Please discuss in the context of Hydro Hawkesbury’s current financial position. </w:t>
      </w:r>
      <w:r>
        <w:rPr>
          <w:rFonts w:ascii="Arial" w:eastAsia="Times New Roman" w:hAnsi="Arial" w:cs="Arial"/>
          <w:sz w:val="24"/>
          <w:szCs w:val="24"/>
        </w:rPr>
        <w:t xml:space="preserve"> </w:t>
      </w:r>
    </w:p>
    <w:p w14:paraId="7D2D719B" w14:textId="77777777" w:rsidR="00D462CD" w:rsidRPr="00D462CD" w:rsidRDefault="00D462CD" w:rsidP="00D462CD">
      <w:pPr>
        <w:pStyle w:val="ListParagraph"/>
        <w:spacing w:after="160"/>
        <w:rPr>
          <w:rFonts w:ascii="Arial" w:hAnsi="Arial" w:cs="Arial"/>
          <w:sz w:val="24"/>
          <w:szCs w:val="24"/>
        </w:rPr>
      </w:pPr>
    </w:p>
    <w:p w14:paraId="536C4E7A" w14:textId="2D73FD47" w:rsidR="00457FC6" w:rsidRPr="00697FFD" w:rsidRDefault="00D462CD" w:rsidP="00457FC6">
      <w:pPr>
        <w:pStyle w:val="ListParagraph"/>
        <w:numPr>
          <w:ilvl w:val="0"/>
          <w:numId w:val="33"/>
        </w:numPr>
        <w:spacing w:after="160"/>
        <w:rPr>
          <w:rFonts w:ascii="Arial" w:hAnsi="Arial" w:cs="Arial"/>
          <w:sz w:val="24"/>
          <w:szCs w:val="24"/>
        </w:rPr>
      </w:pPr>
      <w:r>
        <w:rPr>
          <w:rFonts w:ascii="Arial" w:eastAsia="Times New Roman" w:hAnsi="Arial" w:cs="Arial"/>
          <w:sz w:val="24"/>
          <w:szCs w:val="24"/>
        </w:rPr>
        <w:t>P</w:t>
      </w:r>
      <w:r w:rsidR="00457FC6">
        <w:rPr>
          <w:rFonts w:ascii="Arial" w:eastAsia="Times New Roman" w:hAnsi="Arial" w:cs="Arial"/>
          <w:sz w:val="24"/>
          <w:szCs w:val="24"/>
        </w:rPr>
        <w:t xml:space="preserve">lease </w:t>
      </w:r>
      <w:r w:rsidR="005A7410">
        <w:rPr>
          <w:rFonts w:ascii="Arial" w:eastAsia="Times New Roman" w:hAnsi="Arial" w:cs="Arial"/>
          <w:sz w:val="24"/>
          <w:szCs w:val="24"/>
        </w:rPr>
        <w:t xml:space="preserve">elaborate on the tools or systems </w:t>
      </w:r>
      <w:r w:rsidR="00FD40F9">
        <w:rPr>
          <w:rFonts w:ascii="Arial" w:eastAsia="Times New Roman" w:hAnsi="Arial" w:cs="Arial"/>
          <w:sz w:val="24"/>
          <w:szCs w:val="24"/>
        </w:rPr>
        <w:t xml:space="preserve">that Hydro </w:t>
      </w:r>
      <w:r w:rsidR="00FD40F9" w:rsidRPr="00E1667C">
        <w:rPr>
          <w:rFonts w:ascii="Arial" w:eastAsia="Times New Roman" w:hAnsi="Arial" w:cs="Arial"/>
          <w:sz w:val="24"/>
          <w:szCs w:val="24"/>
        </w:rPr>
        <w:t>Hawkesbury</w:t>
      </w:r>
      <w:r w:rsidR="00FD40F9">
        <w:rPr>
          <w:rFonts w:ascii="Arial" w:eastAsia="Times New Roman" w:hAnsi="Arial" w:cs="Arial"/>
          <w:sz w:val="24"/>
          <w:szCs w:val="24"/>
        </w:rPr>
        <w:t xml:space="preserve"> has </w:t>
      </w:r>
      <w:r w:rsidR="005A7410">
        <w:rPr>
          <w:rFonts w:ascii="Arial" w:eastAsia="Times New Roman" w:hAnsi="Arial" w:cs="Arial"/>
          <w:sz w:val="24"/>
          <w:szCs w:val="24"/>
        </w:rPr>
        <w:t xml:space="preserve">in place to ensure that </w:t>
      </w:r>
      <w:r w:rsidR="00943938">
        <w:rPr>
          <w:rFonts w:ascii="Arial" w:eastAsia="Times New Roman" w:hAnsi="Arial" w:cs="Arial"/>
          <w:sz w:val="24"/>
          <w:szCs w:val="24"/>
        </w:rPr>
        <w:t xml:space="preserve">its </w:t>
      </w:r>
      <w:r w:rsidR="005A7410">
        <w:rPr>
          <w:rFonts w:ascii="Arial" w:eastAsia="Times New Roman" w:hAnsi="Arial" w:cs="Arial"/>
          <w:sz w:val="24"/>
          <w:szCs w:val="24"/>
        </w:rPr>
        <w:t>capital and operational spending are in line with revenues.</w:t>
      </w:r>
    </w:p>
    <w:p w14:paraId="7D0B923B" w14:textId="77777777" w:rsidR="00457FC6" w:rsidRDefault="00457FC6" w:rsidP="00457FC6">
      <w:pPr>
        <w:rPr>
          <w:rFonts w:ascii="Arial" w:hAnsi="Arial" w:cs="Arial"/>
          <w:sz w:val="24"/>
          <w:szCs w:val="24"/>
          <w:highlight w:val="yellow"/>
        </w:rPr>
      </w:pPr>
    </w:p>
    <w:p w14:paraId="3FF5E190" w14:textId="77777777" w:rsidR="00D462CD" w:rsidRPr="00457FC6" w:rsidRDefault="00D462CD" w:rsidP="00D462CD">
      <w:pPr>
        <w:rPr>
          <w:rFonts w:ascii="Arial" w:hAnsi="Arial" w:cs="Arial"/>
          <w:b/>
          <w:sz w:val="24"/>
          <w:szCs w:val="24"/>
        </w:rPr>
      </w:pPr>
      <w:r w:rsidRPr="00457FC6">
        <w:rPr>
          <w:rFonts w:ascii="Arial" w:hAnsi="Arial" w:cs="Arial"/>
          <w:b/>
          <w:sz w:val="24"/>
          <w:szCs w:val="24"/>
        </w:rPr>
        <w:t>Staff Question-</w:t>
      </w:r>
      <w:r>
        <w:rPr>
          <w:rFonts w:ascii="Arial" w:hAnsi="Arial" w:cs="Arial"/>
          <w:b/>
          <w:sz w:val="24"/>
          <w:szCs w:val="24"/>
        </w:rPr>
        <w:t>6</w:t>
      </w:r>
    </w:p>
    <w:p w14:paraId="56DB1C2A" w14:textId="77777777" w:rsidR="00751A0E" w:rsidRPr="00751A0E" w:rsidRDefault="00D462CD" w:rsidP="00457FC6">
      <w:pPr>
        <w:rPr>
          <w:rFonts w:ascii="Arial" w:hAnsi="Arial" w:cs="Arial"/>
          <w:b/>
          <w:sz w:val="24"/>
          <w:szCs w:val="24"/>
        </w:rPr>
      </w:pPr>
      <w:r w:rsidRPr="00751A0E">
        <w:rPr>
          <w:rFonts w:ascii="Arial" w:hAnsi="Arial" w:cs="Arial"/>
          <w:b/>
          <w:sz w:val="24"/>
          <w:szCs w:val="24"/>
        </w:rPr>
        <w:t>Ref:</w:t>
      </w:r>
      <w:r w:rsidRPr="00751A0E">
        <w:rPr>
          <w:rFonts w:ascii="Arial" w:hAnsi="Arial" w:cs="Arial"/>
          <w:b/>
          <w:sz w:val="24"/>
          <w:szCs w:val="24"/>
        </w:rPr>
        <w:tab/>
        <w:t>Tab 11 of IRM Rate Generator (UTRs)</w:t>
      </w:r>
    </w:p>
    <w:p w14:paraId="2ED462B5" w14:textId="77777777" w:rsidR="00D462CD" w:rsidRPr="00751A0E" w:rsidRDefault="00D462CD" w:rsidP="00D462CD">
      <w:pPr>
        <w:rPr>
          <w:rFonts w:ascii="Arial" w:hAnsi="Arial" w:cs="Arial"/>
          <w:sz w:val="24"/>
          <w:szCs w:val="24"/>
          <w:u w:val="single"/>
        </w:rPr>
      </w:pPr>
      <w:r w:rsidRPr="00751A0E">
        <w:rPr>
          <w:rFonts w:ascii="Arial" w:hAnsi="Arial" w:cs="Arial"/>
          <w:sz w:val="24"/>
          <w:szCs w:val="24"/>
          <w:u w:val="single"/>
        </w:rPr>
        <w:t>Pre-amble</w:t>
      </w:r>
    </w:p>
    <w:p w14:paraId="24DB7F5D" w14:textId="4F37485C" w:rsidR="00D462CD" w:rsidRPr="00751A0E" w:rsidRDefault="00751A0E" w:rsidP="00457FC6">
      <w:pPr>
        <w:rPr>
          <w:rFonts w:ascii="Arial" w:hAnsi="Arial" w:cs="Arial"/>
          <w:sz w:val="24"/>
          <w:szCs w:val="24"/>
        </w:rPr>
      </w:pPr>
      <w:r w:rsidRPr="00751A0E">
        <w:rPr>
          <w:rFonts w:ascii="Arial" w:hAnsi="Arial" w:cs="Arial"/>
          <w:sz w:val="24"/>
          <w:szCs w:val="24"/>
        </w:rPr>
        <w:t>In the 2020 column under the “Uniform Transmission Rates</w:t>
      </w:r>
      <w:r w:rsidR="00A852D7">
        <w:rPr>
          <w:rFonts w:ascii="Arial" w:hAnsi="Arial" w:cs="Arial"/>
          <w:sz w:val="24"/>
          <w:szCs w:val="24"/>
        </w:rPr>
        <w:t xml:space="preserve"> (UTR)</w:t>
      </w:r>
      <w:r w:rsidRPr="00751A0E">
        <w:rPr>
          <w:rFonts w:ascii="Arial" w:hAnsi="Arial" w:cs="Arial"/>
          <w:sz w:val="24"/>
          <w:szCs w:val="24"/>
        </w:rPr>
        <w:t xml:space="preserve">” section on </w:t>
      </w:r>
      <w:r w:rsidR="00E77057">
        <w:rPr>
          <w:rFonts w:ascii="Arial" w:hAnsi="Arial" w:cs="Arial"/>
          <w:sz w:val="24"/>
          <w:szCs w:val="24"/>
        </w:rPr>
        <w:t>T</w:t>
      </w:r>
      <w:r w:rsidRPr="00751A0E">
        <w:rPr>
          <w:rFonts w:ascii="Arial" w:hAnsi="Arial" w:cs="Arial"/>
          <w:sz w:val="24"/>
          <w:szCs w:val="24"/>
        </w:rPr>
        <w:t>ab 11</w:t>
      </w:r>
      <w:r w:rsidR="001E3837">
        <w:rPr>
          <w:rFonts w:ascii="Arial" w:hAnsi="Arial" w:cs="Arial"/>
          <w:sz w:val="24"/>
          <w:szCs w:val="24"/>
        </w:rPr>
        <w:t xml:space="preserve"> of the IRM rate generator</w:t>
      </w:r>
      <w:r w:rsidRPr="00751A0E">
        <w:rPr>
          <w:rFonts w:ascii="Arial" w:hAnsi="Arial" w:cs="Arial"/>
          <w:sz w:val="24"/>
          <w:szCs w:val="24"/>
        </w:rPr>
        <w:t xml:space="preserve">, the 2019 Uniform Transmission Rates </w:t>
      </w:r>
      <w:r w:rsidR="00E93949">
        <w:rPr>
          <w:rFonts w:ascii="Arial" w:hAnsi="Arial" w:cs="Arial"/>
          <w:sz w:val="24"/>
          <w:szCs w:val="24"/>
        </w:rPr>
        <w:t xml:space="preserve">approved for Network, Line and Transformation Connection Service costs (EB-2018-0326) were carried over in 2020. </w:t>
      </w:r>
      <w:r w:rsidR="00A852D7">
        <w:rPr>
          <w:rFonts w:ascii="Arial" w:hAnsi="Arial" w:cs="Arial"/>
          <w:sz w:val="24"/>
          <w:szCs w:val="24"/>
        </w:rPr>
        <w:t xml:space="preserve">OEB staff </w:t>
      </w:r>
      <w:r w:rsidR="005A7410">
        <w:rPr>
          <w:rFonts w:ascii="Arial" w:hAnsi="Arial" w:cs="Arial"/>
          <w:sz w:val="24"/>
          <w:szCs w:val="24"/>
        </w:rPr>
        <w:lastRenderedPageBreak/>
        <w:t>notes that</w:t>
      </w:r>
      <w:r w:rsidR="00A852D7">
        <w:rPr>
          <w:rFonts w:ascii="Arial" w:hAnsi="Arial" w:cs="Arial"/>
          <w:sz w:val="24"/>
          <w:szCs w:val="24"/>
        </w:rPr>
        <w:t xml:space="preserve"> the 2020 UTR column </w:t>
      </w:r>
      <w:r w:rsidR="005A7410">
        <w:rPr>
          <w:rFonts w:ascii="Arial" w:hAnsi="Arial" w:cs="Arial"/>
          <w:sz w:val="24"/>
          <w:szCs w:val="24"/>
        </w:rPr>
        <w:t xml:space="preserve">should </w:t>
      </w:r>
      <w:r w:rsidR="000A6319">
        <w:rPr>
          <w:rFonts w:ascii="Arial" w:hAnsi="Arial" w:cs="Arial"/>
          <w:sz w:val="24"/>
          <w:szCs w:val="24"/>
        </w:rPr>
        <w:t xml:space="preserve">have </w:t>
      </w:r>
      <w:r w:rsidR="005A7410">
        <w:rPr>
          <w:rFonts w:ascii="Arial" w:hAnsi="Arial" w:cs="Arial"/>
          <w:sz w:val="24"/>
          <w:szCs w:val="24"/>
        </w:rPr>
        <w:t>reflect</w:t>
      </w:r>
      <w:r w:rsidR="000A6319">
        <w:rPr>
          <w:rFonts w:ascii="Arial" w:hAnsi="Arial" w:cs="Arial"/>
          <w:sz w:val="24"/>
          <w:szCs w:val="24"/>
        </w:rPr>
        <w:t>ed</w:t>
      </w:r>
      <w:r w:rsidR="00A852D7">
        <w:rPr>
          <w:rFonts w:ascii="Arial" w:hAnsi="Arial" w:cs="Arial"/>
          <w:sz w:val="24"/>
          <w:szCs w:val="24"/>
        </w:rPr>
        <w:t xml:space="preserve"> the latest uniform transmission rates approved in EB-20</w:t>
      </w:r>
      <w:r w:rsidR="00FA1F53">
        <w:rPr>
          <w:rFonts w:ascii="Arial" w:hAnsi="Arial" w:cs="Arial"/>
          <w:sz w:val="24"/>
          <w:szCs w:val="24"/>
        </w:rPr>
        <w:t>19-0164.</w:t>
      </w:r>
    </w:p>
    <w:p w14:paraId="13B1E2D0" w14:textId="77777777" w:rsidR="00751A0E" w:rsidRPr="00751A0E" w:rsidRDefault="00751A0E" w:rsidP="00457FC6">
      <w:pPr>
        <w:rPr>
          <w:rFonts w:ascii="Arial" w:hAnsi="Arial" w:cs="Arial"/>
          <w:sz w:val="24"/>
          <w:szCs w:val="24"/>
          <w:u w:val="single"/>
        </w:rPr>
      </w:pPr>
      <w:r w:rsidRPr="00751A0E">
        <w:rPr>
          <w:rFonts w:ascii="Arial" w:hAnsi="Arial" w:cs="Arial"/>
          <w:sz w:val="24"/>
          <w:szCs w:val="24"/>
          <w:u w:val="single"/>
        </w:rPr>
        <w:t>Question</w:t>
      </w:r>
    </w:p>
    <w:p w14:paraId="2A56F8BD" w14:textId="2D4F2B40" w:rsidR="00457FC6" w:rsidRPr="00400DA9" w:rsidRDefault="00902FF1" w:rsidP="00400DA9">
      <w:pPr>
        <w:pStyle w:val="ListParagraph"/>
        <w:numPr>
          <w:ilvl w:val="0"/>
          <w:numId w:val="39"/>
        </w:numPr>
        <w:rPr>
          <w:rFonts w:ascii="Arial" w:hAnsi="Arial" w:cs="Arial"/>
          <w:sz w:val="24"/>
          <w:szCs w:val="24"/>
        </w:rPr>
      </w:pPr>
      <w:r w:rsidRPr="00400DA9">
        <w:rPr>
          <w:rFonts w:ascii="Arial" w:hAnsi="Arial" w:cs="Arial"/>
          <w:sz w:val="24"/>
          <w:szCs w:val="24"/>
        </w:rPr>
        <w:t xml:space="preserve">Please confirm </w:t>
      </w:r>
      <w:r w:rsidR="005A7410" w:rsidRPr="00400DA9">
        <w:rPr>
          <w:rFonts w:ascii="Arial" w:hAnsi="Arial" w:cs="Arial"/>
          <w:sz w:val="24"/>
          <w:szCs w:val="24"/>
        </w:rPr>
        <w:t>whether</w:t>
      </w:r>
      <w:r w:rsidRPr="00400DA9">
        <w:rPr>
          <w:rFonts w:ascii="Arial" w:hAnsi="Arial" w:cs="Arial"/>
          <w:sz w:val="24"/>
          <w:szCs w:val="24"/>
        </w:rPr>
        <w:t xml:space="preserve"> </w:t>
      </w:r>
      <w:r w:rsidR="009C336C" w:rsidRPr="00400DA9">
        <w:rPr>
          <w:rFonts w:ascii="Arial" w:hAnsi="Arial" w:cs="Arial"/>
          <w:sz w:val="24"/>
          <w:szCs w:val="24"/>
        </w:rPr>
        <w:t xml:space="preserve">Hydro </w:t>
      </w:r>
      <w:r w:rsidR="009C336C" w:rsidRPr="00400DA9">
        <w:rPr>
          <w:rFonts w:ascii="Arial" w:eastAsia="Times New Roman" w:hAnsi="Arial" w:cs="Arial"/>
          <w:sz w:val="24"/>
          <w:szCs w:val="24"/>
        </w:rPr>
        <w:t xml:space="preserve">Hawkesbury </w:t>
      </w:r>
      <w:r w:rsidRPr="00400DA9">
        <w:rPr>
          <w:rFonts w:ascii="Arial" w:hAnsi="Arial" w:cs="Arial"/>
          <w:sz w:val="24"/>
          <w:szCs w:val="24"/>
        </w:rPr>
        <w:t>agree</w:t>
      </w:r>
      <w:r w:rsidR="009C336C" w:rsidRPr="00400DA9">
        <w:rPr>
          <w:rFonts w:ascii="Arial" w:hAnsi="Arial" w:cs="Arial"/>
          <w:sz w:val="24"/>
          <w:szCs w:val="24"/>
        </w:rPr>
        <w:t>s</w:t>
      </w:r>
      <w:r w:rsidRPr="00400DA9">
        <w:rPr>
          <w:rFonts w:ascii="Arial" w:hAnsi="Arial" w:cs="Arial"/>
          <w:sz w:val="24"/>
          <w:szCs w:val="24"/>
        </w:rPr>
        <w:t xml:space="preserve"> with </w:t>
      </w:r>
      <w:r w:rsidR="00C07EA4">
        <w:rPr>
          <w:rFonts w:ascii="Arial" w:hAnsi="Arial" w:cs="Arial"/>
          <w:sz w:val="24"/>
          <w:szCs w:val="24"/>
        </w:rPr>
        <w:t xml:space="preserve">the </w:t>
      </w:r>
      <w:r w:rsidRPr="00400DA9">
        <w:rPr>
          <w:rFonts w:ascii="Arial" w:hAnsi="Arial" w:cs="Arial"/>
          <w:sz w:val="24"/>
          <w:szCs w:val="24"/>
        </w:rPr>
        <w:t xml:space="preserve">updates </w:t>
      </w:r>
      <w:r w:rsidR="00F1642E" w:rsidRPr="00400DA9">
        <w:rPr>
          <w:rFonts w:ascii="Arial" w:hAnsi="Arial" w:cs="Arial"/>
          <w:sz w:val="24"/>
          <w:szCs w:val="24"/>
        </w:rPr>
        <w:t>on</w:t>
      </w:r>
      <w:r w:rsidRPr="00400DA9">
        <w:rPr>
          <w:rFonts w:ascii="Arial" w:hAnsi="Arial" w:cs="Arial"/>
          <w:sz w:val="24"/>
          <w:szCs w:val="24"/>
        </w:rPr>
        <w:t xml:space="preserve"> the 2020 UTRs </w:t>
      </w:r>
      <w:r w:rsidR="005A7410" w:rsidRPr="00400DA9">
        <w:rPr>
          <w:rFonts w:ascii="Arial" w:hAnsi="Arial" w:cs="Arial"/>
          <w:sz w:val="24"/>
          <w:szCs w:val="24"/>
        </w:rPr>
        <w:t>in the staff revised version of the IRM rate generator</w:t>
      </w:r>
      <w:r w:rsidR="00C07EA4">
        <w:rPr>
          <w:rFonts w:ascii="Arial" w:hAnsi="Arial" w:cs="Arial"/>
          <w:sz w:val="24"/>
          <w:szCs w:val="24"/>
        </w:rPr>
        <w:t xml:space="preserve"> attached</w:t>
      </w:r>
      <w:r w:rsidRPr="00400DA9">
        <w:rPr>
          <w:rFonts w:ascii="Arial" w:hAnsi="Arial" w:cs="Arial"/>
          <w:sz w:val="24"/>
          <w:szCs w:val="24"/>
        </w:rPr>
        <w:t>.</w:t>
      </w:r>
    </w:p>
    <w:p w14:paraId="659146D2" w14:textId="77777777" w:rsidR="002A6945" w:rsidRPr="00902FF1" w:rsidRDefault="002A6945" w:rsidP="002A6945">
      <w:pPr>
        <w:pStyle w:val="ListParagraph"/>
        <w:rPr>
          <w:rFonts w:ascii="Arial" w:hAnsi="Arial" w:cs="Arial"/>
          <w:sz w:val="24"/>
          <w:szCs w:val="24"/>
        </w:rPr>
      </w:pPr>
    </w:p>
    <w:p w14:paraId="1156D02A" w14:textId="77777777" w:rsidR="008875B6" w:rsidRPr="00457FC6" w:rsidRDefault="008875B6" w:rsidP="008875B6">
      <w:pPr>
        <w:rPr>
          <w:rFonts w:ascii="Arial" w:hAnsi="Arial" w:cs="Arial"/>
          <w:b/>
          <w:sz w:val="24"/>
          <w:szCs w:val="24"/>
        </w:rPr>
      </w:pPr>
      <w:r w:rsidRPr="00457FC6">
        <w:rPr>
          <w:rFonts w:ascii="Arial" w:hAnsi="Arial" w:cs="Arial"/>
          <w:b/>
          <w:sz w:val="24"/>
          <w:szCs w:val="24"/>
        </w:rPr>
        <w:t>Staff Question-</w:t>
      </w:r>
      <w:r>
        <w:rPr>
          <w:rFonts w:ascii="Arial" w:hAnsi="Arial" w:cs="Arial"/>
          <w:b/>
          <w:sz w:val="24"/>
          <w:szCs w:val="24"/>
        </w:rPr>
        <w:t>7</w:t>
      </w:r>
    </w:p>
    <w:p w14:paraId="4A7CA7FC" w14:textId="77777777" w:rsidR="00803CC3" w:rsidRDefault="00803CC3" w:rsidP="00803CC3">
      <w:pPr>
        <w:rPr>
          <w:rFonts w:ascii="Arial" w:hAnsi="Arial" w:cs="Arial"/>
          <w:b/>
          <w:sz w:val="24"/>
          <w:szCs w:val="24"/>
        </w:rPr>
      </w:pPr>
      <w:r w:rsidRPr="002E227D">
        <w:rPr>
          <w:rFonts w:ascii="Arial" w:hAnsi="Arial" w:cs="Arial"/>
          <w:b/>
          <w:sz w:val="24"/>
          <w:szCs w:val="24"/>
        </w:rPr>
        <w:t>Ref:</w:t>
      </w:r>
      <w:r w:rsidRPr="002E227D">
        <w:rPr>
          <w:rFonts w:ascii="Arial" w:hAnsi="Arial" w:cs="Arial"/>
          <w:b/>
          <w:sz w:val="24"/>
          <w:szCs w:val="24"/>
        </w:rPr>
        <w:tab/>
        <w:t>Application, p</w:t>
      </w:r>
      <w:r>
        <w:rPr>
          <w:rFonts w:ascii="Arial" w:hAnsi="Arial" w:cs="Arial"/>
          <w:b/>
          <w:sz w:val="24"/>
          <w:szCs w:val="24"/>
        </w:rPr>
        <w:t>p.</w:t>
      </w:r>
      <w:r w:rsidRPr="002E227D">
        <w:rPr>
          <w:rFonts w:ascii="Arial" w:hAnsi="Arial" w:cs="Arial"/>
          <w:b/>
          <w:sz w:val="24"/>
          <w:szCs w:val="24"/>
        </w:rPr>
        <w:t xml:space="preserve"> </w:t>
      </w:r>
      <w:r>
        <w:rPr>
          <w:rFonts w:ascii="Arial" w:hAnsi="Arial" w:cs="Arial"/>
          <w:b/>
          <w:sz w:val="24"/>
          <w:szCs w:val="24"/>
        </w:rPr>
        <w:t>13-14</w:t>
      </w:r>
    </w:p>
    <w:p w14:paraId="656FED15" w14:textId="77777777" w:rsidR="00520D0C" w:rsidRPr="00751A0E" w:rsidRDefault="00520D0C" w:rsidP="00520D0C">
      <w:pPr>
        <w:rPr>
          <w:rFonts w:ascii="Arial" w:hAnsi="Arial" w:cs="Arial"/>
          <w:sz w:val="24"/>
          <w:szCs w:val="24"/>
          <w:u w:val="single"/>
        </w:rPr>
      </w:pPr>
      <w:r w:rsidRPr="00751A0E">
        <w:rPr>
          <w:rFonts w:ascii="Arial" w:hAnsi="Arial" w:cs="Arial"/>
          <w:sz w:val="24"/>
          <w:szCs w:val="24"/>
          <w:u w:val="single"/>
        </w:rPr>
        <w:t>Pre-amble</w:t>
      </w:r>
    </w:p>
    <w:p w14:paraId="2B454863" w14:textId="4366A660" w:rsidR="00DD2408" w:rsidRDefault="00DD2408" w:rsidP="00803CC3">
      <w:pPr>
        <w:rPr>
          <w:rFonts w:ascii="Arial" w:hAnsi="Arial" w:cs="Arial"/>
          <w:sz w:val="24"/>
          <w:szCs w:val="24"/>
        </w:rPr>
      </w:pPr>
      <w:r>
        <w:rPr>
          <w:rFonts w:ascii="Arial" w:hAnsi="Arial" w:cs="Arial"/>
          <w:sz w:val="24"/>
          <w:szCs w:val="24"/>
        </w:rPr>
        <w:t>At the above reference, Hydro Hawkesbury confirms that it is in compliance with the OEB’s February 21, 2019 accounting guidance related to Accounts 1588 and 1589 and that no adjustments were required as a result of the implementation of this</w:t>
      </w:r>
      <w:r w:rsidR="008D4E3C">
        <w:rPr>
          <w:rFonts w:ascii="Arial" w:hAnsi="Arial" w:cs="Arial"/>
          <w:sz w:val="24"/>
          <w:szCs w:val="24"/>
        </w:rPr>
        <w:t xml:space="preserve"> accounting</w:t>
      </w:r>
      <w:r>
        <w:rPr>
          <w:rFonts w:ascii="Arial" w:hAnsi="Arial" w:cs="Arial"/>
          <w:sz w:val="24"/>
          <w:szCs w:val="24"/>
        </w:rPr>
        <w:t xml:space="preserve"> guidance.</w:t>
      </w:r>
    </w:p>
    <w:p w14:paraId="60ABABD5" w14:textId="59FD55E2" w:rsidR="00520D0C" w:rsidRPr="00751A0E" w:rsidRDefault="00520D0C" w:rsidP="00520D0C">
      <w:pPr>
        <w:rPr>
          <w:rFonts w:ascii="Arial" w:hAnsi="Arial" w:cs="Arial"/>
          <w:sz w:val="24"/>
          <w:szCs w:val="24"/>
          <w:u w:val="single"/>
        </w:rPr>
      </w:pPr>
      <w:r w:rsidRPr="00751A0E">
        <w:rPr>
          <w:rFonts w:ascii="Arial" w:hAnsi="Arial" w:cs="Arial"/>
          <w:sz w:val="24"/>
          <w:szCs w:val="24"/>
          <w:u w:val="single"/>
        </w:rPr>
        <w:t>Question</w:t>
      </w:r>
      <w:r>
        <w:rPr>
          <w:rFonts w:ascii="Arial" w:hAnsi="Arial" w:cs="Arial"/>
          <w:sz w:val="24"/>
          <w:szCs w:val="24"/>
          <w:u w:val="single"/>
        </w:rPr>
        <w:t>s</w:t>
      </w:r>
    </w:p>
    <w:p w14:paraId="1BF6CFA4" w14:textId="613E5B87" w:rsidR="00DD2408" w:rsidRDefault="00DD2408" w:rsidP="00DD2408">
      <w:pPr>
        <w:pStyle w:val="ListParagraph"/>
        <w:numPr>
          <w:ilvl w:val="0"/>
          <w:numId w:val="35"/>
        </w:numPr>
        <w:rPr>
          <w:rFonts w:ascii="Arial" w:hAnsi="Arial" w:cs="Arial"/>
          <w:sz w:val="24"/>
          <w:szCs w:val="24"/>
        </w:rPr>
      </w:pPr>
      <w:r>
        <w:rPr>
          <w:rFonts w:ascii="Arial" w:hAnsi="Arial" w:cs="Arial"/>
          <w:sz w:val="24"/>
          <w:szCs w:val="24"/>
        </w:rPr>
        <w:t xml:space="preserve">As a result of confirming that it has implemented the OEB’s February 21, 2019 accounting guidance, </w:t>
      </w:r>
      <w:r w:rsidR="008B638D">
        <w:rPr>
          <w:rFonts w:ascii="Arial" w:hAnsi="Arial" w:cs="Arial"/>
          <w:sz w:val="24"/>
          <w:szCs w:val="24"/>
        </w:rPr>
        <w:t>please confirm whether</w:t>
      </w:r>
      <w:r>
        <w:rPr>
          <w:rFonts w:ascii="Arial" w:hAnsi="Arial" w:cs="Arial"/>
          <w:sz w:val="24"/>
          <w:szCs w:val="24"/>
        </w:rPr>
        <w:t xml:space="preserve"> Hydro Hawkesbury </w:t>
      </w:r>
      <w:r w:rsidR="008B638D">
        <w:rPr>
          <w:rFonts w:ascii="Arial" w:hAnsi="Arial" w:cs="Arial"/>
          <w:sz w:val="24"/>
          <w:szCs w:val="24"/>
        </w:rPr>
        <w:t xml:space="preserve">is </w:t>
      </w:r>
      <w:r>
        <w:rPr>
          <w:rFonts w:ascii="Arial" w:hAnsi="Arial" w:cs="Arial"/>
          <w:sz w:val="24"/>
          <w:szCs w:val="24"/>
        </w:rPr>
        <w:t>seeking final (as opposed to interim) disposition of its 2018 audited Group 1 DVA account balances as part of the current proceeding</w:t>
      </w:r>
      <w:r w:rsidR="008B638D">
        <w:rPr>
          <w:rFonts w:ascii="Arial" w:hAnsi="Arial" w:cs="Arial"/>
          <w:sz w:val="24"/>
          <w:szCs w:val="24"/>
        </w:rPr>
        <w:t>.</w:t>
      </w:r>
    </w:p>
    <w:p w14:paraId="6688799A" w14:textId="77777777" w:rsidR="00DD2408" w:rsidRDefault="00DD2408" w:rsidP="00DD2408">
      <w:pPr>
        <w:pStyle w:val="ListParagraph"/>
        <w:rPr>
          <w:rFonts w:ascii="Arial" w:hAnsi="Arial" w:cs="Arial"/>
          <w:sz w:val="24"/>
          <w:szCs w:val="24"/>
        </w:rPr>
      </w:pPr>
    </w:p>
    <w:p w14:paraId="1CADFD89" w14:textId="2891584A" w:rsidR="00DD2408" w:rsidRDefault="008B638D" w:rsidP="00DD2408">
      <w:pPr>
        <w:pStyle w:val="ListParagraph"/>
        <w:numPr>
          <w:ilvl w:val="0"/>
          <w:numId w:val="35"/>
        </w:numPr>
        <w:rPr>
          <w:rFonts w:ascii="Arial" w:hAnsi="Arial" w:cs="Arial"/>
          <w:sz w:val="24"/>
          <w:szCs w:val="24"/>
        </w:rPr>
      </w:pPr>
      <w:r>
        <w:rPr>
          <w:rFonts w:ascii="Arial" w:hAnsi="Arial" w:cs="Arial"/>
          <w:sz w:val="24"/>
          <w:szCs w:val="24"/>
        </w:rPr>
        <w:t xml:space="preserve">Please confirm whether </w:t>
      </w:r>
      <w:r w:rsidR="00DD2408">
        <w:rPr>
          <w:rFonts w:ascii="Arial" w:hAnsi="Arial" w:cs="Arial"/>
          <w:sz w:val="24"/>
          <w:szCs w:val="24"/>
        </w:rPr>
        <w:t xml:space="preserve">Hydro Hawkesbury </w:t>
      </w:r>
      <w:r>
        <w:rPr>
          <w:rFonts w:ascii="Arial" w:hAnsi="Arial" w:cs="Arial"/>
          <w:sz w:val="24"/>
          <w:szCs w:val="24"/>
        </w:rPr>
        <w:t xml:space="preserve">is </w:t>
      </w:r>
      <w:r w:rsidR="00DD2408">
        <w:rPr>
          <w:rFonts w:ascii="Arial" w:hAnsi="Arial" w:cs="Arial"/>
          <w:sz w:val="24"/>
          <w:szCs w:val="24"/>
        </w:rPr>
        <w:t>also seeking final disposition related to its December 31, 2017 audited Group 1 DVA account balances, which were approved for disposition by the OEB on an interim basis as part of Hydro Hawkesbury’s 2019 IRM application</w:t>
      </w:r>
      <w:r>
        <w:rPr>
          <w:rFonts w:ascii="Arial" w:hAnsi="Arial" w:cs="Arial"/>
          <w:sz w:val="24"/>
          <w:szCs w:val="24"/>
        </w:rPr>
        <w:t>.</w:t>
      </w:r>
    </w:p>
    <w:p w14:paraId="59E43C85" w14:textId="77777777" w:rsidR="00DD2408" w:rsidRPr="00DD2408" w:rsidRDefault="00DD2408" w:rsidP="00DD2408">
      <w:pPr>
        <w:pStyle w:val="ListParagraph"/>
        <w:rPr>
          <w:rFonts w:ascii="Arial" w:hAnsi="Arial" w:cs="Arial"/>
          <w:sz w:val="24"/>
          <w:szCs w:val="24"/>
        </w:rPr>
      </w:pPr>
    </w:p>
    <w:p w14:paraId="23F2ACA9" w14:textId="6AF4E712" w:rsidR="00DD2408" w:rsidRDefault="00DD2408" w:rsidP="00DD2408">
      <w:pPr>
        <w:pStyle w:val="ListParagraph"/>
        <w:numPr>
          <w:ilvl w:val="0"/>
          <w:numId w:val="35"/>
        </w:numPr>
        <w:rPr>
          <w:rFonts w:ascii="Arial" w:hAnsi="Arial" w:cs="Arial"/>
          <w:sz w:val="24"/>
          <w:szCs w:val="24"/>
        </w:rPr>
      </w:pPr>
      <w:r>
        <w:rPr>
          <w:rFonts w:ascii="Arial" w:hAnsi="Arial" w:cs="Arial"/>
          <w:sz w:val="24"/>
          <w:szCs w:val="24"/>
        </w:rPr>
        <w:t xml:space="preserve">In regards to the implementation of the OEB’s February 21, 2019 accounting guidance, please confirm that </w:t>
      </w:r>
      <w:r w:rsidR="00C80E97">
        <w:rPr>
          <w:rFonts w:ascii="Arial" w:hAnsi="Arial" w:cs="Arial"/>
          <w:sz w:val="24"/>
          <w:szCs w:val="24"/>
        </w:rPr>
        <w:t xml:space="preserve">Hydro Hawkesbury has assessed this new accounting guidance against each RPP settlement </w:t>
      </w:r>
      <w:r w:rsidR="00C73C71">
        <w:rPr>
          <w:rFonts w:ascii="Arial" w:hAnsi="Arial" w:cs="Arial"/>
          <w:sz w:val="24"/>
          <w:szCs w:val="24"/>
        </w:rPr>
        <w:t>it had</w:t>
      </w:r>
      <w:r w:rsidR="00C80E97">
        <w:rPr>
          <w:rFonts w:ascii="Arial" w:hAnsi="Arial" w:cs="Arial"/>
          <w:sz w:val="24"/>
          <w:szCs w:val="24"/>
        </w:rPr>
        <w:t xml:space="preserve"> completed in both 2017 and 2018, and </w:t>
      </w:r>
      <w:r w:rsidR="00C73C71">
        <w:rPr>
          <w:rFonts w:ascii="Arial" w:hAnsi="Arial" w:cs="Arial"/>
          <w:sz w:val="24"/>
          <w:szCs w:val="24"/>
        </w:rPr>
        <w:t xml:space="preserve">that </w:t>
      </w:r>
      <w:r w:rsidR="00C80E97">
        <w:rPr>
          <w:rFonts w:ascii="Arial" w:hAnsi="Arial" w:cs="Arial"/>
          <w:sz w:val="24"/>
          <w:szCs w:val="24"/>
        </w:rPr>
        <w:t>no adjustments were required as a result.</w:t>
      </w:r>
    </w:p>
    <w:p w14:paraId="2FD689EA" w14:textId="77777777" w:rsidR="00C80E97" w:rsidRPr="00C80E97" w:rsidRDefault="00C80E97" w:rsidP="00C80E97">
      <w:pPr>
        <w:pStyle w:val="ListParagraph"/>
        <w:rPr>
          <w:rFonts w:ascii="Arial" w:hAnsi="Arial" w:cs="Arial"/>
          <w:sz w:val="24"/>
          <w:szCs w:val="24"/>
        </w:rPr>
      </w:pPr>
    </w:p>
    <w:p w14:paraId="5475AA87" w14:textId="64E9C188" w:rsidR="008B638D" w:rsidRDefault="00C80E97" w:rsidP="008B638D">
      <w:pPr>
        <w:pStyle w:val="ListParagraph"/>
        <w:numPr>
          <w:ilvl w:val="0"/>
          <w:numId w:val="35"/>
        </w:numPr>
        <w:rPr>
          <w:rFonts w:ascii="Arial" w:hAnsi="Arial" w:cs="Arial"/>
          <w:sz w:val="24"/>
          <w:szCs w:val="24"/>
        </w:rPr>
      </w:pPr>
      <w:r>
        <w:rPr>
          <w:rFonts w:ascii="Arial" w:hAnsi="Arial" w:cs="Arial"/>
          <w:sz w:val="24"/>
          <w:szCs w:val="24"/>
        </w:rPr>
        <w:t>Hydro Hawkesbury indicates that it did not report any adjustments related to the implementation of the OEB’s February 21, 2019 accounting guidance because it settles using actual numbers. In the context of the OEB’s February 21, 2019 guidance, it prescribes that a utility settle its consumption for a particular month on the fourth day of the following month (i.e. December consumption is settled on January 4</w:t>
      </w:r>
      <w:r w:rsidRPr="00C80E97">
        <w:rPr>
          <w:rFonts w:ascii="Arial" w:hAnsi="Arial" w:cs="Arial"/>
          <w:sz w:val="24"/>
          <w:szCs w:val="24"/>
          <w:vertAlign w:val="superscript"/>
        </w:rPr>
        <w:t>th</w:t>
      </w:r>
      <w:r>
        <w:rPr>
          <w:rFonts w:ascii="Arial" w:hAnsi="Arial" w:cs="Arial"/>
          <w:sz w:val="24"/>
          <w:szCs w:val="24"/>
        </w:rPr>
        <w:t>) using b</w:t>
      </w:r>
      <w:r w:rsidR="008B638D">
        <w:rPr>
          <w:rFonts w:ascii="Arial" w:hAnsi="Arial" w:cs="Arial"/>
          <w:sz w:val="24"/>
          <w:szCs w:val="24"/>
        </w:rPr>
        <w:t>est</w:t>
      </w:r>
      <w:r>
        <w:rPr>
          <w:rFonts w:ascii="Arial" w:hAnsi="Arial" w:cs="Arial"/>
          <w:sz w:val="24"/>
          <w:szCs w:val="24"/>
        </w:rPr>
        <w:t xml:space="preserve"> available data. </w:t>
      </w:r>
    </w:p>
    <w:p w14:paraId="411BD2B0" w14:textId="77777777" w:rsidR="008B638D" w:rsidRPr="00400DA9" w:rsidRDefault="008B638D" w:rsidP="00400DA9">
      <w:pPr>
        <w:pStyle w:val="ListParagraph"/>
        <w:rPr>
          <w:rFonts w:ascii="Arial" w:hAnsi="Arial" w:cs="Arial"/>
          <w:sz w:val="24"/>
          <w:szCs w:val="24"/>
        </w:rPr>
      </w:pPr>
    </w:p>
    <w:p w14:paraId="636E7504" w14:textId="77777777" w:rsidR="00C80E97" w:rsidRPr="00400DA9" w:rsidRDefault="00C80E97" w:rsidP="00400DA9">
      <w:pPr>
        <w:pStyle w:val="ListParagraph"/>
        <w:numPr>
          <w:ilvl w:val="1"/>
          <w:numId w:val="32"/>
        </w:numPr>
        <w:rPr>
          <w:rFonts w:ascii="Arial" w:hAnsi="Arial" w:cs="Arial"/>
          <w:sz w:val="24"/>
          <w:szCs w:val="24"/>
        </w:rPr>
      </w:pPr>
      <w:r w:rsidRPr="00400DA9">
        <w:rPr>
          <w:rFonts w:ascii="Arial" w:hAnsi="Arial" w:cs="Arial"/>
          <w:sz w:val="24"/>
          <w:szCs w:val="24"/>
        </w:rPr>
        <w:t xml:space="preserve">Is Hydro Hawkesbury confirming that actual consumption quantities are available for RPP settlement purposes by the fourth day of the </w:t>
      </w:r>
      <w:r w:rsidRPr="00400DA9">
        <w:rPr>
          <w:rFonts w:ascii="Arial" w:hAnsi="Arial" w:cs="Arial"/>
          <w:sz w:val="24"/>
          <w:szCs w:val="24"/>
        </w:rPr>
        <w:lastRenderedPageBreak/>
        <w:t>following month (i.e. actual December consumption is available by January 4</w:t>
      </w:r>
      <w:r w:rsidRPr="00400DA9">
        <w:rPr>
          <w:rFonts w:ascii="Arial" w:hAnsi="Arial" w:cs="Arial"/>
          <w:sz w:val="24"/>
          <w:szCs w:val="24"/>
          <w:vertAlign w:val="superscript"/>
        </w:rPr>
        <w:t>th</w:t>
      </w:r>
      <w:r w:rsidRPr="00400DA9">
        <w:rPr>
          <w:rFonts w:ascii="Arial" w:hAnsi="Arial" w:cs="Arial"/>
          <w:sz w:val="24"/>
          <w:szCs w:val="24"/>
        </w:rPr>
        <w:t>)</w:t>
      </w:r>
      <w:r w:rsidR="004E6BDC" w:rsidRPr="00400DA9">
        <w:rPr>
          <w:rFonts w:ascii="Arial" w:hAnsi="Arial" w:cs="Arial"/>
          <w:sz w:val="24"/>
          <w:szCs w:val="24"/>
        </w:rPr>
        <w:t xml:space="preserve">? </w:t>
      </w:r>
    </w:p>
    <w:p w14:paraId="1F8BF472" w14:textId="77777777" w:rsidR="004E6BDC" w:rsidRPr="004E6BDC" w:rsidRDefault="004E6BDC" w:rsidP="004E6BDC">
      <w:pPr>
        <w:pStyle w:val="ListParagraph"/>
        <w:rPr>
          <w:rFonts w:ascii="Arial" w:hAnsi="Arial" w:cs="Arial"/>
          <w:sz w:val="24"/>
          <w:szCs w:val="24"/>
        </w:rPr>
      </w:pPr>
    </w:p>
    <w:p w14:paraId="572D72A8" w14:textId="77777777" w:rsidR="004E6BDC" w:rsidRDefault="004E6BDC" w:rsidP="00400DA9">
      <w:pPr>
        <w:pStyle w:val="ListParagraph"/>
        <w:numPr>
          <w:ilvl w:val="1"/>
          <w:numId w:val="32"/>
        </w:numPr>
        <w:rPr>
          <w:rFonts w:ascii="Arial" w:hAnsi="Arial" w:cs="Arial"/>
          <w:sz w:val="24"/>
          <w:szCs w:val="24"/>
        </w:rPr>
      </w:pPr>
      <w:r>
        <w:rPr>
          <w:rFonts w:ascii="Arial" w:hAnsi="Arial" w:cs="Arial"/>
          <w:sz w:val="24"/>
          <w:szCs w:val="24"/>
        </w:rPr>
        <w:t>If the response above is no, then please explain how Hydro Hawkesbury is confirming that it has implemented the OEB’s February 21, 2019 accounting guidance when it has not complied with the prescribed accounting for RPP settlements.</w:t>
      </w:r>
    </w:p>
    <w:p w14:paraId="05948E8C" w14:textId="77777777" w:rsidR="004E6BDC" w:rsidRPr="004E6BDC" w:rsidRDefault="004E6BDC" w:rsidP="004E6BDC">
      <w:pPr>
        <w:pStyle w:val="ListParagraph"/>
        <w:rPr>
          <w:rFonts w:ascii="Arial" w:hAnsi="Arial" w:cs="Arial"/>
          <w:sz w:val="24"/>
          <w:szCs w:val="24"/>
        </w:rPr>
      </w:pPr>
    </w:p>
    <w:p w14:paraId="2F2D3979" w14:textId="35B63A9E" w:rsidR="00195F1D" w:rsidRDefault="004E6BDC" w:rsidP="00DD2408">
      <w:pPr>
        <w:pStyle w:val="ListParagraph"/>
        <w:numPr>
          <w:ilvl w:val="0"/>
          <w:numId w:val="35"/>
        </w:numPr>
        <w:rPr>
          <w:rFonts w:ascii="Arial" w:hAnsi="Arial" w:cs="Arial"/>
          <w:sz w:val="24"/>
          <w:szCs w:val="24"/>
        </w:rPr>
      </w:pPr>
      <w:r>
        <w:rPr>
          <w:rFonts w:ascii="Arial" w:hAnsi="Arial" w:cs="Arial"/>
          <w:sz w:val="24"/>
          <w:szCs w:val="24"/>
        </w:rPr>
        <w:t xml:space="preserve">In the response provided to question 2 of the </w:t>
      </w:r>
      <w:r>
        <w:rPr>
          <w:rFonts w:ascii="Arial" w:hAnsi="Arial" w:cs="Arial"/>
          <w:i/>
          <w:sz w:val="24"/>
          <w:szCs w:val="24"/>
        </w:rPr>
        <w:t xml:space="preserve">Appendix A – GA Methodology Description, </w:t>
      </w:r>
      <w:r>
        <w:rPr>
          <w:rFonts w:ascii="Arial" w:hAnsi="Arial" w:cs="Arial"/>
          <w:sz w:val="24"/>
          <w:szCs w:val="24"/>
        </w:rPr>
        <w:t>Hydro Hawkesbury indicates that it follows methodology b</w:t>
      </w:r>
      <w:r w:rsidR="008D4E3C">
        <w:rPr>
          <w:rFonts w:ascii="Arial" w:hAnsi="Arial" w:cs="Arial"/>
          <w:sz w:val="24"/>
          <w:szCs w:val="24"/>
        </w:rPr>
        <w:t>)</w:t>
      </w:r>
      <w:r>
        <w:rPr>
          <w:rFonts w:ascii="Arial" w:hAnsi="Arial" w:cs="Arial"/>
          <w:sz w:val="24"/>
          <w:szCs w:val="24"/>
        </w:rPr>
        <w:t xml:space="preserve"> with respect to recording CT 148 </w:t>
      </w:r>
      <w:r w:rsidR="008D4E3C">
        <w:rPr>
          <w:rFonts w:ascii="Arial" w:hAnsi="Arial" w:cs="Arial"/>
          <w:sz w:val="24"/>
          <w:szCs w:val="24"/>
        </w:rPr>
        <w:t>(</w:t>
      </w:r>
      <w:r>
        <w:rPr>
          <w:rFonts w:ascii="Arial" w:hAnsi="Arial" w:cs="Arial"/>
          <w:sz w:val="24"/>
          <w:szCs w:val="24"/>
        </w:rPr>
        <w:t>i.e. CT 148 is booked into Account 1589, the portion of CT 1142 equalling RPP – HOEP for RPP consumption is booked into account 1588, and the portion of CT 1142 equalling GA RPP</w:t>
      </w:r>
      <w:r w:rsidR="00195F1D">
        <w:rPr>
          <w:rFonts w:ascii="Arial" w:hAnsi="Arial" w:cs="Arial"/>
          <w:sz w:val="24"/>
          <w:szCs w:val="24"/>
        </w:rPr>
        <w:t xml:space="preserve"> is credited into Account 1589</w:t>
      </w:r>
      <w:r w:rsidR="008D4E3C">
        <w:rPr>
          <w:rFonts w:ascii="Arial" w:hAnsi="Arial" w:cs="Arial"/>
          <w:sz w:val="24"/>
          <w:szCs w:val="24"/>
        </w:rPr>
        <w:t>)</w:t>
      </w:r>
      <w:r w:rsidR="00195F1D">
        <w:rPr>
          <w:rFonts w:ascii="Arial" w:hAnsi="Arial" w:cs="Arial"/>
          <w:sz w:val="24"/>
          <w:szCs w:val="24"/>
        </w:rPr>
        <w:t xml:space="preserve">. </w:t>
      </w:r>
    </w:p>
    <w:p w14:paraId="75029BAA" w14:textId="77777777" w:rsidR="00195F1D" w:rsidRPr="00195F1D" w:rsidRDefault="00195F1D" w:rsidP="00195F1D">
      <w:pPr>
        <w:pStyle w:val="ListParagraph"/>
        <w:rPr>
          <w:rFonts w:ascii="Arial" w:hAnsi="Arial" w:cs="Arial"/>
          <w:sz w:val="24"/>
          <w:szCs w:val="24"/>
        </w:rPr>
      </w:pPr>
    </w:p>
    <w:p w14:paraId="001AB841" w14:textId="2AF38469" w:rsidR="002B7BEA" w:rsidRPr="002B7BEA" w:rsidRDefault="00195F1D" w:rsidP="00400DA9">
      <w:pPr>
        <w:pStyle w:val="ListParagraph"/>
        <w:numPr>
          <w:ilvl w:val="0"/>
          <w:numId w:val="37"/>
        </w:numPr>
        <w:rPr>
          <w:rFonts w:ascii="Arial" w:hAnsi="Arial" w:cs="Arial"/>
          <w:sz w:val="24"/>
          <w:szCs w:val="24"/>
        </w:rPr>
      </w:pPr>
      <w:r>
        <w:rPr>
          <w:rFonts w:ascii="Arial" w:hAnsi="Arial" w:cs="Arial"/>
          <w:sz w:val="24"/>
          <w:szCs w:val="24"/>
        </w:rPr>
        <w:t>In the context of the OEB’s February 21, 2019 accounting guidance, please explain how Hydro Hawkesbury is confirming that it is in compliance with this guidance when the guidance prescribes the use of methodology a</w:t>
      </w:r>
      <w:r w:rsidR="008D4E3C">
        <w:rPr>
          <w:rFonts w:ascii="Arial" w:hAnsi="Arial" w:cs="Arial"/>
          <w:sz w:val="24"/>
          <w:szCs w:val="24"/>
        </w:rPr>
        <w:t>)</w:t>
      </w:r>
      <w:r>
        <w:rPr>
          <w:rFonts w:ascii="Arial" w:hAnsi="Arial" w:cs="Arial"/>
          <w:sz w:val="24"/>
          <w:szCs w:val="24"/>
        </w:rPr>
        <w:t xml:space="preserve"> from question 2 of the </w:t>
      </w:r>
      <w:r>
        <w:rPr>
          <w:rFonts w:ascii="Arial" w:hAnsi="Arial" w:cs="Arial"/>
          <w:i/>
          <w:sz w:val="24"/>
          <w:szCs w:val="24"/>
        </w:rPr>
        <w:t>Appendix A – GA Methodology Description.</w:t>
      </w:r>
    </w:p>
    <w:p w14:paraId="1C1B53E2" w14:textId="77777777" w:rsidR="009B3A63" w:rsidRDefault="009B3A63" w:rsidP="002B7BEA">
      <w:pPr>
        <w:rPr>
          <w:rFonts w:ascii="Arial" w:hAnsi="Arial" w:cs="Arial"/>
          <w:b/>
          <w:sz w:val="24"/>
          <w:szCs w:val="24"/>
        </w:rPr>
      </w:pPr>
    </w:p>
    <w:p w14:paraId="5F6DB667" w14:textId="77777777" w:rsidR="002B7BEA" w:rsidRPr="00457FC6" w:rsidRDefault="002B7BEA" w:rsidP="002B7BEA">
      <w:pPr>
        <w:rPr>
          <w:rFonts w:ascii="Arial" w:hAnsi="Arial" w:cs="Arial"/>
          <w:b/>
          <w:sz w:val="24"/>
          <w:szCs w:val="24"/>
        </w:rPr>
      </w:pPr>
      <w:r w:rsidRPr="00457FC6">
        <w:rPr>
          <w:rFonts w:ascii="Arial" w:hAnsi="Arial" w:cs="Arial"/>
          <w:b/>
          <w:sz w:val="24"/>
          <w:szCs w:val="24"/>
        </w:rPr>
        <w:t>Staff Question-</w:t>
      </w:r>
      <w:r>
        <w:rPr>
          <w:rFonts w:ascii="Arial" w:hAnsi="Arial" w:cs="Arial"/>
          <w:b/>
          <w:sz w:val="24"/>
          <w:szCs w:val="24"/>
        </w:rPr>
        <w:t>8</w:t>
      </w:r>
    </w:p>
    <w:p w14:paraId="547B89D5" w14:textId="7F07C642" w:rsidR="00520D0C" w:rsidRPr="00662352" w:rsidRDefault="002B7BEA" w:rsidP="002B7BEA">
      <w:pPr>
        <w:rPr>
          <w:rFonts w:ascii="Arial" w:hAnsi="Arial" w:cs="Arial"/>
          <w:b/>
          <w:sz w:val="24"/>
          <w:szCs w:val="24"/>
        </w:rPr>
      </w:pPr>
      <w:r w:rsidRPr="002E227D">
        <w:rPr>
          <w:rFonts w:ascii="Arial" w:hAnsi="Arial" w:cs="Arial"/>
          <w:b/>
          <w:sz w:val="24"/>
          <w:szCs w:val="24"/>
        </w:rPr>
        <w:t>Ref:</w:t>
      </w:r>
      <w:r w:rsidRPr="002E227D">
        <w:rPr>
          <w:rFonts w:ascii="Arial" w:hAnsi="Arial" w:cs="Arial"/>
          <w:b/>
          <w:sz w:val="24"/>
          <w:szCs w:val="24"/>
        </w:rPr>
        <w:tab/>
      </w:r>
      <w:r>
        <w:rPr>
          <w:rFonts w:ascii="Arial" w:hAnsi="Arial" w:cs="Arial"/>
          <w:b/>
          <w:sz w:val="24"/>
          <w:szCs w:val="24"/>
        </w:rPr>
        <w:t xml:space="preserve">GA Analysis </w:t>
      </w:r>
      <w:proofErr w:type="spellStart"/>
      <w:r>
        <w:rPr>
          <w:rFonts w:ascii="Arial" w:hAnsi="Arial" w:cs="Arial"/>
          <w:b/>
          <w:sz w:val="24"/>
          <w:szCs w:val="24"/>
        </w:rPr>
        <w:t>Workform</w:t>
      </w:r>
      <w:proofErr w:type="spellEnd"/>
      <w:r w:rsidR="00662352">
        <w:rPr>
          <w:rFonts w:ascii="Arial" w:hAnsi="Arial" w:cs="Arial"/>
          <w:b/>
          <w:sz w:val="24"/>
          <w:szCs w:val="24"/>
        </w:rPr>
        <w:t xml:space="preserve"> (</w:t>
      </w:r>
      <w:r w:rsidR="00662352" w:rsidRPr="00662352">
        <w:rPr>
          <w:rFonts w:ascii="Arial" w:hAnsi="Arial" w:cs="Arial"/>
          <w:b/>
          <w:sz w:val="24"/>
          <w:szCs w:val="24"/>
        </w:rPr>
        <w:t xml:space="preserve">cell </w:t>
      </w:r>
      <w:r w:rsidR="00662352" w:rsidRPr="00662352">
        <w:rPr>
          <w:rFonts w:ascii="Arial" w:hAnsi="Arial" w:cs="Arial"/>
          <w:b/>
          <w:sz w:val="24"/>
          <w:szCs w:val="24"/>
        </w:rPr>
        <w:t>C64</w:t>
      </w:r>
      <w:r w:rsidR="00662352" w:rsidRPr="00662352">
        <w:rPr>
          <w:rFonts w:ascii="Arial" w:hAnsi="Arial" w:cs="Arial"/>
          <w:b/>
          <w:sz w:val="24"/>
          <w:szCs w:val="24"/>
        </w:rPr>
        <w:t>)</w:t>
      </w:r>
    </w:p>
    <w:p w14:paraId="0EFB8994" w14:textId="2C45E92A" w:rsidR="002B7BEA" w:rsidRDefault="001A1973" w:rsidP="00400DA9">
      <w:pPr>
        <w:ind w:firstLine="720"/>
        <w:rPr>
          <w:rFonts w:ascii="Arial" w:hAnsi="Arial" w:cs="Arial"/>
          <w:b/>
          <w:sz w:val="24"/>
          <w:szCs w:val="24"/>
        </w:rPr>
      </w:pPr>
      <w:r>
        <w:rPr>
          <w:rFonts w:ascii="Arial" w:hAnsi="Arial" w:cs="Arial"/>
          <w:b/>
          <w:sz w:val="24"/>
          <w:szCs w:val="24"/>
        </w:rPr>
        <w:t xml:space="preserve">Tab 3 of </w:t>
      </w:r>
      <w:r w:rsidR="002B7BEA">
        <w:rPr>
          <w:rFonts w:ascii="Arial" w:hAnsi="Arial" w:cs="Arial"/>
          <w:b/>
          <w:sz w:val="24"/>
          <w:szCs w:val="24"/>
        </w:rPr>
        <w:t>IRM Rate Generator Model</w:t>
      </w:r>
      <w:r>
        <w:rPr>
          <w:rFonts w:ascii="Arial" w:hAnsi="Arial" w:cs="Arial"/>
          <w:b/>
          <w:sz w:val="24"/>
          <w:szCs w:val="24"/>
        </w:rPr>
        <w:t xml:space="preserve"> (cell BD 29)</w:t>
      </w:r>
    </w:p>
    <w:p w14:paraId="7EF2D5E4" w14:textId="77777777" w:rsidR="00520D0C" w:rsidRPr="00751A0E" w:rsidRDefault="00520D0C" w:rsidP="00520D0C">
      <w:pPr>
        <w:rPr>
          <w:rFonts w:ascii="Arial" w:hAnsi="Arial" w:cs="Arial"/>
          <w:sz w:val="24"/>
          <w:szCs w:val="24"/>
          <w:u w:val="single"/>
        </w:rPr>
      </w:pPr>
      <w:r w:rsidRPr="00751A0E">
        <w:rPr>
          <w:rFonts w:ascii="Arial" w:hAnsi="Arial" w:cs="Arial"/>
          <w:sz w:val="24"/>
          <w:szCs w:val="24"/>
          <w:u w:val="single"/>
        </w:rPr>
        <w:t>Pre-amble</w:t>
      </w:r>
    </w:p>
    <w:p w14:paraId="62D9A56A" w14:textId="110EC96D" w:rsidR="002B7BEA" w:rsidRDefault="002B7BEA" w:rsidP="002B7BEA">
      <w:pPr>
        <w:rPr>
          <w:rFonts w:ascii="Arial" w:hAnsi="Arial" w:cs="Arial"/>
          <w:sz w:val="24"/>
          <w:szCs w:val="24"/>
        </w:rPr>
      </w:pPr>
      <w:r w:rsidRPr="00534D6F">
        <w:rPr>
          <w:rFonts w:ascii="Arial" w:hAnsi="Arial" w:cs="Arial"/>
          <w:sz w:val="24"/>
          <w:szCs w:val="24"/>
        </w:rPr>
        <w:t xml:space="preserve">Hydro Hawkesbury has completed and submitted the OEB’s GA Analysis </w:t>
      </w:r>
      <w:proofErr w:type="spellStart"/>
      <w:r w:rsidRPr="00534D6F">
        <w:rPr>
          <w:rFonts w:ascii="Arial" w:hAnsi="Arial" w:cs="Arial"/>
          <w:sz w:val="24"/>
          <w:szCs w:val="24"/>
        </w:rPr>
        <w:t>Workform</w:t>
      </w:r>
      <w:proofErr w:type="spellEnd"/>
      <w:r w:rsidRPr="00534D6F">
        <w:rPr>
          <w:rFonts w:ascii="Arial" w:hAnsi="Arial" w:cs="Arial"/>
          <w:sz w:val="24"/>
          <w:szCs w:val="24"/>
        </w:rPr>
        <w:t xml:space="preserve"> in support of its disposition of Account 1589</w:t>
      </w:r>
      <w:r w:rsidR="00534D6F">
        <w:rPr>
          <w:rFonts w:ascii="Arial" w:hAnsi="Arial" w:cs="Arial"/>
          <w:sz w:val="24"/>
          <w:szCs w:val="24"/>
        </w:rPr>
        <w:t>. In cell C64 of th</w:t>
      </w:r>
      <w:r w:rsidR="008846FA">
        <w:rPr>
          <w:rFonts w:ascii="Arial" w:hAnsi="Arial" w:cs="Arial"/>
          <w:sz w:val="24"/>
          <w:szCs w:val="24"/>
        </w:rPr>
        <w:t>e</w:t>
      </w:r>
      <w:r w:rsidR="00534D6F">
        <w:rPr>
          <w:rFonts w:ascii="Arial" w:hAnsi="Arial" w:cs="Arial"/>
          <w:sz w:val="24"/>
          <w:szCs w:val="24"/>
        </w:rPr>
        <w:t xml:space="preserve"> </w:t>
      </w:r>
      <w:r w:rsidR="00751A0E">
        <w:rPr>
          <w:rFonts w:ascii="Arial" w:hAnsi="Arial" w:cs="Arial"/>
          <w:sz w:val="24"/>
          <w:szCs w:val="24"/>
        </w:rPr>
        <w:t xml:space="preserve">GA </w:t>
      </w:r>
      <w:r w:rsidR="00751A0E" w:rsidRPr="00534D6F">
        <w:rPr>
          <w:rFonts w:ascii="Arial" w:hAnsi="Arial" w:cs="Arial"/>
          <w:sz w:val="24"/>
          <w:szCs w:val="24"/>
        </w:rPr>
        <w:t>Analysis</w:t>
      </w:r>
      <w:r w:rsidR="00751A0E">
        <w:rPr>
          <w:rFonts w:ascii="Arial" w:hAnsi="Arial" w:cs="Arial"/>
          <w:sz w:val="24"/>
          <w:szCs w:val="24"/>
        </w:rPr>
        <w:t xml:space="preserve"> </w:t>
      </w:r>
      <w:proofErr w:type="spellStart"/>
      <w:r w:rsidR="00534D6F">
        <w:rPr>
          <w:rFonts w:ascii="Arial" w:hAnsi="Arial" w:cs="Arial"/>
          <w:sz w:val="24"/>
          <w:szCs w:val="24"/>
        </w:rPr>
        <w:t>Workform</w:t>
      </w:r>
      <w:proofErr w:type="spellEnd"/>
      <w:r w:rsidR="00534D6F">
        <w:rPr>
          <w:rFonts w:ascii="Arial" w:hAnsi="Arial" w:cs="Arial"/>
          <w:sz w:val="24"/>
          <w:szCs w:val="24"/>
        </w:rPr>
        <w:t>, Hydro Hawkesbury has presented a credit balance of $104,114.</w:t>
      </w:r>
    </w:p>
    <w:p w14:paraId="1CA967D6" w14:textId="77777777" w:rsidR="00520D0C" w:rsidRPr="00751A0E" w:rsidRDefault="00520D0C" w:rsidP="00520D0C">
      <w:pPr>
        <w:rPr>
          <w:rFonts w:ascii="Arial" w:hAnsi="Arial" w:cs="Arial"/>
          <w:sz w:val="24"/>
          <w:szCs w:val="24"/>
          <w:u w:val="single"/>
        </w:rPr>
      </w:pPr>
      <w:r w:rsidRPr="00751A0E">
        <w:rPr>
          <w:rFonts w:ascii="Arial" w:hAnsi="Arial" w:cs="Arial"/>
          <w:sz w:val="24"/>
          <w:szCs w:val="24"/>
          <w:u w:val="single"/>
        </w:rPr>
        <w:t>Question</w:t>
      </w:r>
      <w:r>
        <w:rPr>
          <w:rFonts w:ascii="Arial" w:hAnsi="Arial" w:cs="Arial"/>
          <w:sz w:val="24"/>
          <w:szCs w:val="24"/>
          <w:u w:val="single"/>
        </w:rPr>
        <w:t>s</w:t>
      </w:r>
    </w:p>
    <w:p w14:paraId="52ABCB9E" w14:textId="77777777" w:rsidR="00534D6F" w:rsidRDefault="00534D6F" w:rsidP="00534D6F">
      <w:pPr>
        <w:pStyle w:val="ListParagraph"/>
        <w:numPr>
          <w:ilvl w:val="0"/>
          <w:numId w:val="36"/>
        </w:numPr>
        <w:rPr>
          <w:rFonts w:ascii="Arial" w:hAnsi="Arial" w:cs="Arial"/>
          <w:sz w:val="24"/>
          <w:szCs w:val="24"/>
        </w:rPr>
      </w:pPr>
      <w:r>
        <w:rPr>
          <w:rFonts w:ascii="Arial" w:hAnsi="Arial" w:cs="Arial"/>
          <w:sz w:val="24"/>
          <w:szCs w:val="24"/>
        </w:rPr>
        <w:t xml:space="preserve">The balance in cell C64 of the GA Analysis </w:t>
      </w:r>
      <w:proofErr w:type="spellStart"/>
      <w:r>
        <w:rPr>
          <w:rFonts w:ascii="Arial" w:hAnsi="Arial" w:cs="Arial"/>
          <w:sz w:val="24"/>
          <w:szCs w:val="24"/>
        </w:rPr>
        <w:t>Workform</w:t>
      </w:r>
      <w:proofErr w:type="spellEnd"/>
      <w:r>
        <w:rPr>
          <w:rFonts w:ascii="Arial" w:hAnsi="Arial" w:cs="Arial"/>
          <w:sz w:val="24"/>
          <w:szCs w:val="24"/>
        </w:rPr>
        <w:t xml:space="preserve"> must correspond with the “Transactions debit</w:t>
      </w:r>
      <w:proofErr w:type="gramStart"/>
      <w:r>
        <w:rPr>
          <w:rFonts w:ascii="Arial" w:hAnsi="Arial" w:cs="Arial"/>
          <w:sz w:val="24"/>
          <w:szCs w:val="24"/>
        </w:rPr>
        <w:t>/(</w:t>
      </w:r>
      <w:proofErr w:type="gramEnd"/>
      <w:r>
        <w:rPr>
          <w:rFonts w:ascii="Arial" w:hAnsi="Arial" w:cs="Arial"/>
          <w:sz w:val="24"/>
          <w:szCs w:val="24"/>
        </w:rPr>
        <w:t xml:space="preserve">credit) during 2018” column for Account 1589 as per the DVA continuity schedule in the Rate Generator Model. Accordingly, please update the GA Analysis </w:t>
      </w:r>
      <w:proofErr w:type="spellStart"/>
      <w:r>
        <w:rPr>
          <w:rFonts w:ascii="Arial" w:hAnsi="Arial" w:cs="Arial"/>
          <w:sz w:val="24"/>
          <w:szCs w:val="24"/>
        </w:rPr>
        <w:t>Workform</w:t>
      </w:r>
      <w:proofErr w:type="spellEnd"/>
      <w:r>
        <w:rPr>
          <w:rFonts w:ascii="Arial" w:hAnsi="Arial" w:cs="Arial"/>
          <w:sz w:val="24"/>
          <w:szCs w:val="24"/>
        </w:rPr>
        <w:t xml:space="preserve"> as it currently does not match the balance in the DVA continuity schedule.</w:t>
      </w:r>
    </w:p>
    <w:p w14:paraId="23AF4CC2" w14:textId="77777777" w:rsidR="008D4E3C" w:rsidRDefault="008D4E3C" w:rsidP="00400DA9">
      <w:pPr>
        <w:pStyle w:val="ListParagraph"/>
        <w:rPr>
          <w:rFonts w:ascii="Arial" w:hAnsi="Arial" w:cs="Arial"/>
          <w:sz w:val="24"/>
          <w:szCs w:val="24"/>
        </w:rPr>
      </w:pPr>
    </w:p>
    <w:p w14:paraId="17207895" w14:textId="7F5213EA" w:rsidR="00534D6F" w:rsidRPr="00534D6F" w:rsidRDefault="00534D6F" w:rsidP="00534D6F">
      <w:pPr>
        <w:pStyle w:val="ListParagraph"/>
        <w:numPr>
          <w:ilvl w:val="0"/>
          <w:numId w:val="36"/>
        </w:numPr>
        <w:rPr>
          <w:rFonts w:ascii="Arial" w:hAnsi="Arial" w:cs="Arial"/>
          <w:sz w:val="24"/>
          <w:szCs w:val="24"/>
        </w:rPr>
      </w:pPr>
      <w:r>
        <w:rPr>
          <w:rFonts w:ascii="Arial" w:hAnsi="Arial" w:cs="Arial"/>
          <w:sz w:val="24"/>
          <w:szCs w:val="24"/>
        </w:rPr>
        <w:t xml:space="preserve">If Hydro Hawkesbury believes that the current balance in cell C64 of the GA Analysis </w:t>
      </w:r>
      <w:proofErr w:type="spellStart"/>
      <w:r>
        <w:rPr>
          <w:rFonts w:ascii="Arial" w:hAnsi="Arial" w:cs="Arial"/>
          <w:sz w:val="24"/>
          <w:szCs w:val="24"/>
        </w:rPr>
        <w:t>Workform</w:t>
      </w:r>
      <w:proofErr w:type="spellEnd"/>
      <w:r>
        <w:rPr>
          <w:rFonts w:ascii="Arial" w:hAnsi="Arial" w:cs="Arial"/>
          <w:sz w:val="24"/>
          <w:szCs w:val="24"/>
        </w:rPr>
        <w:t xml:space="preserve"> is correct, please explain why.</w:t>
      </w:r>
    </w:p>
    <w:p w14:paraId="1D82B36D" w14:textId="769826C4" w:rsidR="00520D0C" w:rsidRDefault="00520D0C" w:rsidP="009B3A63">
      <w:pPr>
        <w:rPr>
          <w:rFonts w:ascii="Arial" w:hAnsi="Arial" w:cs="Arial"/>
          <w:sz w:val="24"/>
          <w:szCs w:val="24"/>
        </w:rPr>
      </w:pPr>
    </w:p>
    <w:p w14:paraId="0F665C0E" w14:textId="77777777" w:rsidR="00520D0C" w:rsidRPr="00457FC6" w:rsidRDefault="00520D0C" w:rsidP="00520D0C">
      <w:pPr>
        <w:rPr>
          <w:rFonts w:ascii="Arial" w:hAnsi="Arial" w:cs="Arial"/>
          <w:b/>
          <w:sz w:val="24"/>
          <w:szCs w:val="24"/>
        </w:rPr>
      </w:pPr>
      <w:r w:rsidRPr="00457FC6">
        <w:rPr>
          <w:rFonts w:ascii="Arial" w:hAnsi="Arial" w:cs="Arial"/>
          <w:b/>
          <w:sz w:val="24"/>
          <w:szCs w:val="24"/>
        </w:rPr>
        <w:t>Staff Question-</w:t>
      </w:r>
      <w:r>
        <w:rPr>
          <w:rFonts w:ascii="Arial" w:hAnsi="Arial" w:cs="Arial"/>
          <w:b/>
          <w:sz w:val="24"/>
          <w:szCs w:val="24"/>
        </w:rPr>
        <w:t>9</w:t>
      </w:r>
    </w:p>
    <w:p w14:paraId="461419A0" w14:textId="1974E5F6" w:rsidR="00520D0C" w:rsidRDefault="00520D0C" w:rsidP="009B3A63">
      <w:pPr>
        <w:rPr>
          <w:rFonts w:ascii="Arial" w:hAnsi="Arial" w:cs="Arial"/>
          <w:b/>
          <w:sz w:val="24"/>
          <w:szCs w:val="24"/>
        </w:rPr>
      </w:pPr>
      <w:r w:rsidRPr="00400DA9">
        <w:rPr>
          <w:rFonts w:ascii="Arial" w:hAnsi="Arial" w:cs="Arial"/>
          <w:b/>
          <w:sz w:val="24"/>
          <w:szCs w:val="24"/>
        </w:rPr>
        <w:t>Ref:</w:t>
      </w:r>
      <w:r w:rsidRPr="00400DA9">
        <w:rPr>
          <w:rFonts w:ascii="Arial" w:hAnsi="Arial" w:cs="Arial"/>
          <w:b/>
          <w:sz w:val="24"/>
          <w:szCs w:val="24"/>
        </w:rPr>
        <w:tab/>
      </w:r>
      <w:r w:rsidR="001A1973" w:rsidRPr="00400DA9">
        <w:rPr>
          <w:rFonts w:ascii="Arial" w:hAnsi="Arial" w:cs="Arial"/>
          <w:b/>
          <w:sz w:val="24"/>
          <w:szCs w:val="24"/>
        </w:rPr>
        <w:t xml:space="preserve">GA Analysis </w:t>
      </w:r>
      <w:proofErr w:type="spellStart"/>
      <w:r w:rsidR="001A1973" w:rsidRPr="00400DA9">
        <w:rPr>
          <w:rFonts w:ascii="Arial" w:hAnsi="Arial" w:cs="Arial"/>
          <w:b/>
          <w:sz w:val="24"/>
          <w:szCs w:val="24"/>
        </w:rPr>
        <w:t>Workform</w:t>
      </w:r>
      <w:r w:rsidR="007C621B">
        <w:rPr>
          <w:rFonts w:ascii="Arial" w:hAnsi="Arial" w:cs="Arial"/>
          <w:b/>
          <w:sz w:val="24"/>
          <w:szCs w:val="24"/>
        </w:rPr>
        <w:t>s</w:t>
      </w:r>
      <w:proofErr w:type="spellEnd"/>
      <w:r w:rsidR="006B143B">
        <w:rPr>
          <w:rFonts w:ascii="Arial" w:hAnsi="Arial" w:cs="Arial"/>
          <w:b/>
          <w:sz w:val="24"/>
          <w:szCs w:val="24"/>
        </w:rPr>
        <w:t xml:space="preserve"> (</w:t>
      </w:r>
      <w:r w:rsidR="007C621B">
        <w:rPr>
          <w:rFonts w:ascii="Arial" w:hAnsi="Arial" w:cs="Arial"/>
          <w:b/>
          <w:sz w:val="24"/>
          <w:szCs w:val="24"/>
        </w:rPr>
        <w:t xml:space="preserve">filed in </w:t>
      </w:r>
      <w:r w:rsidR="006B143B">
        <w:rPr>
          <w:rFonts w:ascii="Arial" w:hAnsi="Arial" w:cs="Arial"/>
          <w:b/>
          <w:sz w:val="24"/>
          <w:szCs w:val="24"/>
        </w:rPr>
        <w:t>2019 and 2020 IRM proceedings)</w:t>
      </w:r>
    </w:p>
    <w:p w14:paraId="35BB89D7" w14:textId="575E8DD9" w:rsidR="006B143B" w:rsidRPr="00400DA9" w:rsidRDefault="006B143B" w:rsidP="009B3A63">
      <w:pPr>
        <w:rPr>
          <w:rFonts w:ascii="Arial" w:hAnsi="Arial" w:cs="Arial"/>
          <w:b/>
          <w:sz w:val="24"/>
          <w:szCs w:val="24"/>
        </w:rPr>
      </w:pPr>
      <w:r>
        <w:rPr>
          <w:rFonts w:ascii="Arial" w:hAnsi="Arial" w:cs="Arial"/>
          <w:b/>
          <w:sz w:val="24"/>
          <w:szCs w:val="24"/>
        </w:rPr>
        <w:tab/>
        <w:t>Tab 20 of IRM rate generator, column I (current loss factor)</w:t>
      </w:r>
    </w:p>
    <w:p w14:paraId="3FAA2F90" w14:textId="77777777" w:rsidR="006B143B" w:rsidRPr="00400DA9" w:rsidRDefault="006B143B" w:rsidP="006B143B">
      <w:pPr>
        <w:rPr>
          <w:rFonts w:ascii="Arial" w:hAnsi="Arial" w:cs="Arial"/>
          <w:sz w:val="24"/>
          <w:szCs w:val="24"/>
          <w:u w:val="single"/>
        </w:rPr>
      </w:pPr>
      <w:r w:rsidRPr="00400DA9">
        <w:rPr>
          <w:rFonts w:ascii="Arial" w:hAnsi="Arial" w:cs="Arial"/>
          <w:sz w:val="24"/>
          <w:szCs w:val="24"/>
          <w:u w:val="single"/>
        </w:rPr>
        <w:t>Pre-amble</w:t>
      </w:r>
    </w:p>
    <w:p w14:paraId="6EC6D053" w14:textId="7BB4B04B" w:rsidR="006B143B" w:rsidRPr="00400DA9" w:rsidRDefault="006B143B" w:rsidP="006B143B">
      <w:pPr>
        <w:rPr>
          <w:rFonts w:ascii="Arial" w:hAnsi="Arial" w:cs="Arial"/>
          <w:sz w:val="24"/>
          <w:szCs w:val="24"/>
        </w:rPr>
      </w:pPr>
      <w:r w:rsidRPr="00400DA9">
        <w:rPr>
          <w:rFonts w:ascii="Arial" w:hAnsi="Arial" w:cs="Arial"/>
          <w:sz w:val="24"/>
          <w:szCs w:val="24"/>
        </w:rPr>
        <w:t>In t</w:t>
      </w:r>
      <w:r w:rsidRPr="00400DA9">
        <w:rPr>
          <w:rFonts w:ascii="Arial" w:hAnsi="Arial" w:cs="Arial"/>
          <w:sz w:val="24"/>
          <w:szCs w:val="24"/>
        </w:rPr>
        <w:t>h</w:t>
      </w:r>
      <w:r w:rsidR="008846FA">
        <w:rPr>
          <w:rFonts w:ascii="Arial" w:hAnsi="Arial" w:cs="Arial"/>
          <w:sz w:val="24"/>
          <w:szCs w:val="24"/>
        </w:rPr>
        <w:t>e 2018</w:t>
      </w:r>
      <w:r w:rsidRPr="00400DA9">
        <w:rPr>
          <w:rFonts w:ascii="Arial" w:hAnsi="Arial" w:cs="Arial"/>
          <w:sz w:val="24"/>
          <w:szCs w:val="24"/>
        </w:rPr>
        <w:t xml:space="preserve"> GA Analysis </w:t>
      </w:r>
      <w:proofErr w:type="spellStart"/>
      <w:r w:rsidRPr="00400DA9">
        <w:rPr>
          <w:rFonts w:ascii="Arial" w:hAnsi="Arial" w:cs="Arial"/>
          <w:sz w:val="24"/>
          <w:szCs w:val="24"/>
        </w:rPr>
        <w:t>workform</w:t>
      </w:r>
      <w:proofErr w:type="spellEnd"/>
      <w:r w:rsidR="00424D57">
        <w:rPr>
          <w:rFonts w:ascii="Arial" w:hAnsi="Arial" w:cs="Arial"/>
          <w:sz w:val="24"/>
          <w:szCs w:val="24"/>
        </w:rPr>
        <w:t xml:space="preserve"> submitted on record in this proceeding</w:t>
      </w:r>
      <w:r w:rsidRPr="00400DA9">
        <w:rPr>
          <w:rFonts w:ascii="Arial" w:hAnsi="Arial" w:cs="Arial"/>
          <w:sz w:val="24"/>
          <w:szCs w:val="24"/>
        </w:rPr>
        <w:t>, cell K59 shows that</w:t>
      </w:r>
      <w:r w:rsidRPr="00400DA9">
        <w:rPr>
          <w:rFonts w:ascii="Arial" w:hAnsi="Arial" w:cs="Arial"/>
          <w:sz w:val="24"/>
          <w:szCs w:val="24"/>
        </w:rPr>
        <w:t xml:space="preserve"> the calculated loss factor was 1.0781</w:t>
      </w:r>
      <w:r w:rsidR="00305E43" w:rsidRPr="00305E43">
        <w:rPr>
          <w:rFonts w:ascii="Arial" w:hAnsi="Arial" w:cs="Arial"/>
          <w:sz w:val="24"/>
          <w:szCs w:val="24"/>
        </w:rPr>
        <w:t xml:space="preserve"> </w:t>
      </w:r>
      <w:r w:rsidR="00305E43" w:rsidRPr="009F4321">
        <w:rPr>
          <w:rFonts w:ascii="Arial" w:hAnsi="Arial" w:cs="Arial"/>
          <w:sz w:val="24"/>
          <w:szCs w:val="24"/>
        </w:rPr>
        <w:t>based on 2018 non-RPP class B volumes</w:t>
      </w:r>
      <w:r w:rsidRPr="00400DA9">
        <w:rPr>
          <w:rFonts w:ascii="Arial" w:hAnsi="Arial" w:cs="Arial"/>
          <w:sz w:val="24"/>
          <w:szCs w:val="24"/>
        </w:rPr>
        <w:t xml:space="preserve">. </w:t>
      </w:r>
      <w:r w:rsidRPr="00400DA9">
        <w:rPr>
          <w:rFonts w:ascii="Arial" w:hAnsi="Arial" w:cs="Arial"/>
          <w:sz w:val="24"/>
          <w:szCs w:val="24"/>
        </w:rPr>
        <w:t>I</w:t>
      </w:r>
      <w:r w:rsidRPr="00400DA9">
        <w:rPr>
          <w:rFonts w:ascii="Arial" w:hAnsi="Arial" w:cs="Arial"/>
          <w:sz w:val="24"/>
          <w:szCs w:val="24"/>
        </w:rPr>
        <w:t xml:space="preserve">n the </w:t>
      </w:r>
      <w:r w:rsidR="008846FA">
        <w:rPr>
          <w:rFonts w:ascii="Arial" w:hAnsi="Arial" w:cs="Arial"/>
          <w:sz w:val="24"/>
          <w:szCs w:val="24"/>
        </w:rPr>
        <w:t>2017</w:t>
      </w:r>
      <w:r w:rsidRPr="00400DA9">
        <w:rPr>
          <w:rFonts w:ascii="Arial" w:hAnsi="Arial" w:cs="Arial"/>
          <w:sz w:val="24"/>
          <w:szCs w:val="24"/>
        </w:rPr>
        <w:t xml:space="preserve"> GA Analysis </w:t>
      </w:r>
      <w:proofErr w:type="spellStart"/>
      <w:r w:rsidRPr="00400DA9">
        <w:rPr>
          <w:rFonts w:ascii="Arial" w:hAnsi="Arial" w:cs="Arial"/>
          <w:sz w:val="24"/>
          <w:szCs w:val="24"/>
        </w:rPr>
        <w:t>workform</w:t>
      </w:r>
      <w:proofErr w:type="spellEnd"/>
      <w:r w:rsidR="00305E43">
        <w:rPr>
          <w:rFonts w:ascii="Arial" w:hAnsi="Arial" w:cs="Arial"/>
          <w:sz w:val="24"/>
          <w:szCs w:val="24"/>
        </w:rPr>
        <w:t xml:space="preserve"> </w:t>
      </w:r>
      <w:r w:rsidR="00424D57">
        <w:rPr>
          <w:rFonts w:ascii="Arial" w:hAnsi="Arial" w:cs="Arial"/>
          <w:sz w:val="24"/>
          <w:szCs w:val="24"/>
        </w:rPr>
        <w:t>submitted</w:t>
      </w:r>
      <w:r w:rsidR="008846FA">
        <w:rPr>
          <w:rFonts w:ascii="Arial" w:hAnsi="Arial" w:cs="Arial"/>
          <w:sz w:val="24"/>
          <w:szCs w:val="24"/>
        </w:rPr>
        <w:t xml:space="preserve"> previously</w:t>
      </w:r>
      <w:r w:rsidR="00305E43">
        <w:rPr>
          <w:rFonts w:ascii="Arial" w:hAnsi="Arial" w:cs="Arial"/>
          <w:sz w:val="24"/>
          <w:szCs w:val="24"/>
        </w:rPr>
        <w:t xml:space="preserve"> in the 2019 IRM proceeding,</w:t>
      </w:r>
      <w:r w:rsidRPr="00400DA9">
        <w:rPr>
          <w:rFonts w:ascii="Arial" w:hAnsi="Arial" w:cs="Arial"/>
          <w:sz w:val="24"/>
          <w:szCs w:val="24"/>
        </w:rPr>
        <w:t xml:space="preserve"> </w:t>
      </w:r>
      <w:r w:rsidR="00305E43" w:rsidRPr="006B46FF">
        <w:rPr>
          <w:rFonts w:ascii="Arial" w:hAnsi="Arial" w:cs="Arial"/>
          <w:sz w:val="24"/>
          <w:szCs w:val="24"/>
        </w:rPr>
        <w:t xml:space="preserve">cell </w:t>
      </w:r>
      <w:r w:rsidR="007C621B">
        <w:rPr>
          <w:rFonts w:ascii="Arial" w:hAnsi="Arial" w:cs="Arial"/>
          <w:sz w:val="24"/>
          <w:szCs w:val="24"/>
        </w:rPr>
        <w:t>F</w:t>
      </w:r>
      <w:r w:rsidR="00A93B6D">
        <w:rPr>
          <w:rFonts w:ascii="Arial" w:hAnsi="Arial" w:cs="Arial"/>
          <w:sz w:val="24"/>
          <w:szCs w:val="24"/>
        </w:rPr>
        <w:t>5</w:t>
      </w:r>
      <w:r w:rsidR="007C621B">
        <w:rPr>
          <w:rFonts w:ascii="Arial" w:hAnsi="Arial" w:cs="Arial"/>
          <w:sz w:val="24"/>
          <w:szCs w:val="24"/>
        </w:rPr>
        <w:t>7</w:t>
      </w:r>
      <w:r w:rsidR="00305E43" w:rsidRPr="006B46FF">
        <w:rPr>
          <w:rFonts w:ascii="Arial" w:hAnsi="Arial" w:cs="Arial"/>
          <w:sz w:val="24"/>
          <w:szCs w:val="24"/>
        </w:rPr>
        <w:t xml:space="preserve"> shows that the calculated loss factor was 1.0567</w:t>
      </w:r>
      <w:r w:rsidR="00305E43">
        <w:rPr>
          <w:rFonts w:ascii="Arial" w:hAnsi="Arial" w:cs="Arial"/>
          <w:sz w:val="24"/>
          <w:szCs w:val="24"/>
        </w:rPr>
        <w:t xml:space="preserve"> </w:t>
      </w:r>
      <w:r w:rsidR="00305E43" w:rsidRPr="00611055">
        <w:rPr>
          <w:rFonts w:ascii="Arial" w:hAnsi="Arial" w:cs="Arial"/>
          <w:sz w:val="24"/>
          <w:szCs w:val="24"/>
        </w:rPr>
        <w:t>based on 2017 non-RPP class B volumes</w:t>
      </w:r>
      <w:r w:rsidR="00305E43" w:rsidRPr="006B46FF">
        <w:rPr>
          <w:rFonts w:ascii="Arial" w:hAnsi="Arial" w:cs="Arial"/>
          <w:sz w:val="24"/>
          <w:szCs w:val="24"/>
        </w:rPr>
        <w:t>. </w:t>
      </w:r>
      <w:r w:rsidRPr="00400DA9">
        <w:rPr>
          <w:rFonts w:ascii="Arial" w:hAnsi="Arial" w:cs="Arial"/>
          <w:sz w:val="24"/>
          <w:szCs w:val="24"/>
        </w:rPr>
        <w:t xml:space="preserve"> </w:t>
      </w:r>
    </w:p>
    <w:p w14:paraId="433DBDBB" w14:textId="6377F106" w:rsidR="006B143B" w:rsidRPr="00400DA9" w:rsidRDefault="006B143B" w:rsidP="006B143B">
      <w:pPr>
        <w:rPr>
          <w:rFonts w:ascii="Arial" w:hAnsi="Arial" w:cs="Arial"/>
          <w:sz w:val="24"/>
          <w:szCs w:val="24"/>
        </w:rPr>
      </w:pPr>
      <w:r w:rsidRPr="00400DA9">
        <w:rPr>
          <w:rFonts w:ascii="Arial" w:hAnsi="Arial" w:cs="Arial"/>
          <w:sz w:val="24"/>
          <w:szCs w:val="24"/>
        </w:rPr>
        <w:t xml:space="preserve">The </w:t>
      </w:r>
      <w:r w:rsidR="00305E43">
        <w:rPr>
          <w:rFonts w:ascii="Arial" w:hAnsi="Arial" w:cs="Arial"/>
          <w:sz w:val="24"/>
          <w:szCs w:val="24"/>
        </w:rPr>
        <w:t xml:space="preserve">calculated </w:t>
      </w:r>
      <w:r w:rsidRPr="00400DA9">
        <w:rPr>
          <w:rFonts w:ascii="Arial" w:hAnsi="Arial" w:cs="Arial"/>
          <w:sz w:val="24"/>
          <w:szCs w:val="24"/>
        </w:rPr>
        <w:t xml:space="preserve">loss factor of </w:t>
      </w:r>
      <w:r w:rsidRPr="00400DA9">
        <w:rPr>
          <w:rFonts w:ascii="Arial" w:hAnsi="Arial" w:cs="Arial"/>
          <w:sz w:val="24"/>
          <w:szCs w:val="24"/>
        </w:rPr>
        <w:t>1.0781</w:t>
      </w:r>
      <w:r w:rsidR="00305E43">
        <w:rPr>
          <w:rFonts w:ascii="Arial" w:hAnsi="Arial" w:cs="Arial"/>
          <w:sz w:val="24"/>
          <w:szCs w:val="24"/>
        </w:rPr>
        <w:t xml:space="preserve"> in the </w:t>
      </w:r>
      <w:r w:rsidR="008846FA">
        <w:rPr>
          <w:rFonts w:ascii="Arial" w:hAnsi="Arial" w:cs="Arial"/>
          <w:sz w:val="24"/>
          <w:szCs w:val="24"/>
        </w:rPr>
        <w:t xml:space="preserve">2018 </w:t>
      </w:r>
      <w:r w:rsidR="00305E43">
        <w:rPr>
          <w:rFonts w:ascii="Arial" w:hAnsi="Arial" w:cs="Arial"/>
          <w:sz w:val="24"/>
          <w:szCs w:val="24"/>
        </w:rPr>
        <w:t xml:space="preserve">GA Analysis </w:t>
      </w:r>
      <w:proofErr w:type="spellStart"/>
      <w:r w:rsidR="00305E43">
        <w:rPr>
          <w:rFonts w:ascii="Arial" w:hAnsi="Arial" w:cs="Arial"/>
          <w:sz w:val="24"/>
          <w:szCs w:val="24"/>
        </w:rPr>
        <w:t>Workform</w:t>
      </w:r>
      <w:proofErr w:type="spellEnd"/>
      <w:r w:rsidRPr="00400DA9">
        <w:rPr>
          <w:rFonts w:ascii="Arial" w:hAnsi="Arial" w:cs="Arial"/>
          <w:sz w:val="24"/>
          <w:szCs w:val="24"/>
        </w:rPr>
        <w:t xml:space="preserve"> based on 2018 non-RPP class B volumes </w:t>
      </w:r>
      <w:r w:rsidR="005F2BC5">
        <w:rPr>
          <w:rFonts w:ascii="Arial" w:hAnsi="Arial" w:cs="Arial"/>
          <w:sz w:val="24"/>
          <w:szCs w:val="24"/>
        </w:rPr>
        <w:t xml:space="preserve">also </w:t>
      </w:r>
      <w:r w:rsidRPr="00400DA9">
        <w:rPr>
          <w:rFonts w:ascii="Arial" w:hAnsi="Arial" w:cs="Arial"/>
          <w:sz w:val="24"/>
          <w:szCs w:val="24"/>
        </w:rPr>
        <w:t>appears relatively high in comparison with the approved loss factor of 1.0509 (for secondary metered customers).</w:t>
      </w:r>
    </w:p>
    <w:p w14:paraId="3B4B651B" w14:textId="77777777" w:rsidR="006B143B" w:rsidRPr="00751A0E" w:rsidRDefault="006B143B" w:rsidP="006B143B">
      <w:pPr>
        <w:rPr>
          <w:rFonts w:ascii="Arial" w:hAnsi="Arial" w:cs="Arial"/>
          <w:sz w:val="24"/>
          <w:szCs w:val="24"/>
          <w:u w:val="single"/>
        </w:rPr>
      </w:pPr>
      <w:r w:rsidRPr="00751A0E">
        <w:rPr>
          <w:rFonts w:ascii="Arial" w:hAnsi="Arial" w:cs="Arial"/>
          <w:sz w:val="24"/>
          <w:szCs w:val="24"/>
          <w:u w:val="single"/>
        </w:rPr>
        <w:t>Question</w:t>
      </w:r>
      <w:r>
        <w:rPr>
          <w:rFonts w:ascii="Arial" w:hAnsi="Arial" w:cs="Arial"/>
          <w:sz w:val="24"/>
          <w:szCs w:val="24"/>
          <w:u w:val="single"/>
        </w:rPr>
        <w:t>s</w:t>
      </w:r>
      <w:bookmarkStart w:id="0" w:name="_GoBack"/>
      <w:bookmarkEnd w:id="0"/>
    </w:p>
    <w:p w14:paraId="54B11B9B" w14:textId="77777777" w:rsidR="00537F17" w:rsidRDefault="00950E9E" w:rsidP="00400DA9">
      <w:pPr>
        <w:pStyle w:val="ListParagraph"/>
        <w:numPr>
          <w:ilvl w:val="0"/>
          <w:numId w:val="40"/>
        </w:numPr>
        <w:rPr>
          <w:rFonts w:ascii="Arial" w:hAnsi="Arial" w:cs="Arial"/>
          <w:sz w:val="24"/>
          <w:szCs w:val="24"/>
        </w:rPr>
      </w:pPr>
      <w:r w:rsidRPr="00400DA9">
        <w:rPr>
          <w:rFonts w:ascii="Arial" w:hAnsi="Arial" w:cs="Arial"/>
          <w:sz w:val="24"/>
          <w:szCs w:val="24"/>
        </w:rPr>
        <w:t xml:space="preserve">Please explain </w:t>
      </w:r>
      <w:r w:rsidRPr="00400DA9">
        <w:rPr>
          <w:rFonts w:ascii="Arial" w:hAnsi="Arial" w:cs="Arial"/>
          <w:sz w:val="24"/>
          <w:szCs w:val="24"/>
        </w:rPr>
        <w:t xml:space="preserve">why </w:t>
      </w:r>
      <w:r w:rsidRPr="00400DA9">
        <w:rPr>
          <w:rFonts w:ascii="Arial" w:hAnsi="Arial" w:cs="Arial"/>
          <w:sz w:val="24"/>
          <w:szCs w:val="24"/>
        </w:rPr>
        <w:t xml:space="preserve">the calculated loss factor was 1.0781 in the </w:t>
      </w:r>
      <w:r w:rsidR="008846FA">
        <w:rPr>
          <w:rFonts w:ascii="Arial" w:hAnsi="Arial" w:cs="Arial"/>
          <w:sz w:val="24"/>
          <w:szCs w:val="24"/>
        </w:rPr>
        <w:t xml:space="preserve">2018 </w:t>
      </w:r>
      <w:r w:rsidRPr="00400DA9">
        <w:rPr>
          <w:rFonts w:ascii="Arial" w:hAnsi="Arial" w:cs="Arial"/>
          <w:sz w:val="24"/>
          <w:szCs w:val="24"/>
        </w:rPr>
        <w:t xml:space="preserve">GA Analysis </w:t>
      </w:r>
      <w:proofErr w:type="spellStart"/>
      <w:r w:rsidRPr="00400DA9">
        <w:rPr>
          <w:rFonts w:ascii="Arial" w:hAnsi="Arial" w:cs="Arial"/>
          <w:sz w:val="24"/>
          <w:szCs w:val="24"/>
        </w:rPr>
        <w:t>Workform</w:t>
      </w:r>
      <w:proofErr w:type="spellEnd"/>
      <w:r w:rsidRPr="00400DA9">
        <w:rPr>
          <w:rFonts w:ascii="Arial" w:hAnsi="Arial" w:cs="Arial"/>
          <w:sz w:val="24"/>
          <w:szCs w:val="24"/>
        </w:rPr>
        <w:t xml:space="preserve"> is significantly higher than the approved loss factor of </w:t>
      </w:r>
      <w:r w:rsidRPr="00400DA9">
        <w:rPr>
          <w:rFonts w:ascii="Arial" w:hAnsi="Arial" w:cs="Arial"/>
          <w:sz w:val="24"/>
          <w:szCs w:val="24"/>
        </w:rPr>
        <w:t>1.0509</w:t>
      </w:r>
      <w:r w:rsidRPr="00400DA9">
        <w:rPr>
          <w:rFonts w:ascii="Arial" w:hAnsi="Arial" w:cs="Arial"/>
          <w:sz w:val="24"/>
          <w:szCs w:val="24"/>
        </w:rPr>
        <w:t xml:space="preserve"> for </w:t>
      </w:r>
      <w:r w:rsidRPr="00400DA9">
        <w:rPr>
          <w:rFonts w:ascii="Arial" w:hAnsi="Arial" w:cs="Arial"/>
          <w:sz w:val="24"/>
          <w:szCs w:val="24"/>
        </w:rPr>
        <w:t>secondary metered customers</w:t>
      </w:r>
      <w:r w:rsidRPr="00400DA9">
        <w:rPr>
          <w:rFonts w:ascii="Arial" w:hAnsi="Arial" w:cs="Arial"/>
          <w:sz w:val="24"/>
          <w:szCs w:val="24"/>
        </w:rPr>
        <w:t xml:space="preserve">. </w:t>
      </w:r>
    </w:p>
    <w:p w14:paraId="6820D355" w14:textId="77777777" w:rsidR="00537F17" w:rsidRDefault="00537F17" w:rsidP="00400DA9">
      <w:pPr>
        <w:pStyle w:val="ListParagraph"/>
        <w:rPr>
          <w:rFonts w:ascii="Arial" w:hAnsi="Arial" w:cs="Arial"/>
          <w:sz w:val="24"/>
          <w:szCs w:val="24"/>
        </w:rPr>
      </w:pPr>
    </w:p>
    <w:p w14:paraId="2A02A6A8" w14:textId="7580C55F" w:rsidR="00520D0C" w:rsidRPr="00400DA9" w:rsidRDefault="00950E9E" w:rsidP="00400DA9">
      <w:pPr>
        <w:pStyle w:val="ListParagraph"/>
        <w:rPr>
          <w:rFonts w:ascii="Arial" w:hAnsi="Arial" w:cs="Arial"/>
          <w:sz w:val="24"/>
          <w:szCs w:val="24"/>
        </w:rPr>
      </w:pPr>
      <w:r w:rsidRPr="00400DA9">
        <w:rPr>
          <w:rFonts w:ascii="Arial" w:hAnsi="Arial" w:cs="Arial"/>
          <w:sz w:val="24"/>
          <w:szCs w:val="24"/>
        </w:rPr>
        <w:t xml:space="preserve">Please provide the supporting analysis to explain how the calculated loss factor of </w:t>
      </w:r>
      <w:r w:rsidRPr="00400DA9">
        <w:rPr>
          <w:rFonts w:ascii="Arial" w:hAnsi="Arial" w:cs="Arial"/>
          <w:sz w:val="24"/>
          <w:szCs w:val="24"/>
        </w:rPr>
        <w:t xml:space="preserve">1.0781 </w:t>
      </w:r>
      <w:r w:rsidRPr="00400DA9">
        <w:rPr>
          <w:rFonts w:ascii="Arial" w:hAnsi="Arial" w:cs="Arial"/>
          <w:sz w:val="24"/>
          <w:szCs w:val="24"/>
        </w:rPr>
        <w:t xml:space="preserve">(shown in the </w:t>
      </w:r>
      <w:r w:rsidR="0035200D">
        <w:rPr>
          <w:rFonts w:ascii="Arial" w:hAnsi="Arial" w:cs="Arial"/>
          <w:sz w:val="24"/>
          <w:szCs w:val="24"/>
        </w:rPr>
        <w:t xml:space="preserve">2018 </w:t>
      </w:r>
      <w:r w:rsidRPr="00400DA9">
        <w:rPr>
          <w:rFonts w:ascii="Arial" w:hAnsi="Arial" w:cs="Arial"/>
          <w:sz w:val="24"/>
          <w:szCs w:val="24"/>
        </w:rPr>
        <w:t xml:space="preserve">GA </w:t>
      </w:r>
      <w:r w:rsidR="0035200D">
        <w:rPr>
          <w:rFonts w:ascii="Arial" w:hAnsi="Arial" w:cs="Arial"/>
          <w:sz w:val="24"/>
          <w:szCs w:val="24"/>
        </w:rPr>
        <w:t>A</w:t>
      </w:r>
      <w:r w:rsidR="0035200D" w:rsidRPr="00400DA9">
        <w:rPr>
          <w:rFonts w:ascii="Arial" w:hAnsi="Arial" w:cs="Arial"/>
          <w:sz w:val="24"/>
          <w:szCs w:val="24"/>
        </w:rPr>
        <w:t>nalysis</w:t>
      </w:r>
      <w:r w:rsidRPr="00400DA9">
        <w:rPr>
          <w:rFonts w:ascii="Arial" w:hAnsi="Arial" w:cs="Arial"/>
          <w:sz w:val="24"/>
          <w:szCs w:val="24"/>
        </w:rPr>
        <w:t xml:space="preserve"> </w:t>
      </w:r>
      <w:proofErr w:type="spellStart"/>
      <w:r w:rsidR="0035200D">
        <w:rPr>
          <w:rFonts w:ascii="Arial" w:hAnsi="Arial" w:cs="Arial"/>
          <w:sz w:val="24"/>
          <w:szCs w:val="24"/>
        </w:rPr>
        <w:t>W</w:t>
      </w:r>
      <w:r w:rsidRPr="00400DA9">
        <w:rPr>
          <w:rFonts w:ascii="Arial" w:hAnsi="Arial" w:cs="Arial"/>
          <w:sz w:val="24"/>
          <w:szCs w:val="24"/>
        </w:rPr>
        <w:t>orkform</w:t>
      </w:r>
      <w:proofErr w:type="spellEnd"/>
      <w:r w:rsidRPr="00400DA9">
        <w:rPr>
          <w:rFonts w:ascii="Arial" w:hAnsi="Arial" w:cs="Arial"/>
          <w:sz w:val="24"/>
          <w:szCs w:val="24"/>
        </w:rPr>
        <w:t xml:space="preserve">) is reasonable compared </w:t>
      </w:r>
      <w:r w:rsidR="008846FA">
        <w:rPr>
          <w:rFonts w:ascii="Arial" w:hAnsi="Arial" w:cs="Arial"/>
          <w:sz w:val="24"/>
          <w:szCs w:val="24"/>
        </w:rPr>
        <w:t>to</w:t>
      </w:r>
      <w:r w:rsidRPr="00400DA9">
        <w:rPr>
          <w:rFonts w:ascii="Arial" w:hAnsi="Arial" w:cs="Arial"/>
          <w:sz w:val="24"/>
          <w:szCs w:val="24"/>
        </w:rPr>
        <w:t xml:space="preserve"> the applicant’s approved loss factor. </w:t>
      </w:r>
    </w:p>
    <w:p w14:paraId="5533ED9F" w14:textId="77777777" w:rsidR="00520D0C" w:rsidRDefault="00520D0C" w:rsidP="009B3A63">
      <w:pPr>
        <w:rPr>
          <w:rFonts w:ascii="Arial" w:hAnsi="Arial" w:cs="Arial"/>
          <w:sz w:val="24"/>
          <w:szCs w:val="24"/>
        </w:rPr>
      </w:pPr>
    </w:p>
    <w:p w14:paraId="56AF846E" w14:textId="0AD2F67E" w:rsidR="009B3A63" w:rsidRPr="00457FC6" w:rsidRDefault="009B3A63" w:rsidP="009B3A63">
      <w:pPr>
        <w:rPr>
          <w:rFonts w:ascii="Arial" w:hAnsi="Arial" w:cs="Arial"/>
          <w:b/>
          <w:sz w:val="24"/>
          <w:szCs w:val="24"/>
        </w:rPr>
      </w:pPr>
      <w:r w:rsidRPr="00457FC6">
        <w:rPr>
          <w:rFonts w:ascii="Arial" w:hAnsi="Arial" w:cs="Arial"/>
          <w:b/>
          <w:sz w:val="24"/>
          <w:szCs w:val="24"/>
        </w:rPr>
        <w:t>Staff Question-</w:t>
      </w:r>
      <w:r w:rsidR="00520D0C">
        <w:rPr>
          <w:rFonts w:ascii="Arial" w:hAnsi="Arial" w:cs="Arial"/>
          <w:b/>
          <w:sz w:val="24"/>
          <w:szCs w:val="24"/>
        </w:rPr>
        <w:t>10</w:t>
      </w:r>
    </w:p>
    <w:p w14:paraId="2678629A" w14:textId="77777777" w:rsidR="009B3A63" w:rsidRPr="00400DA9" w:rsidRDefault="009B3A63" w:rsidP="009B3A63">
      <w:pPr>
        <w:rPr>
          <w:rFonts w:ascii="Arial" w:hAnsi="Arial" w:cs="Arial"/>
          <w:b/>
          <w:sz w:val="24"/>
          <w:szCs w:val="24"/>
        </w:rPr>
      </w:pPr>
      <w:r w:rsidRPr="00400DA9">
        <w:rPr>
          <w:rFonts w:ascii="Arial" w:hAnsi="Arial" w:cs="Arial"/>
          <w:b/>
          <w:sz w:val="24"/>
          <w:szCs w:val="24"/>
        </w:rPr>
        <w:lastRenderedPageBreak/>
        <w:t>Ref:</w:t>
      </w:r>
      <w:r w:rsidRPr="00400DA9">
        <w:rPr>
          <w:rFonts w:ascii="Arial" w:hAnsi="Arial" w:cs="Arial"/>
          <w:b/>
          <w:sz w:val="24"/>
          <w:szCs w:val="24"/>
        </w:rPr>
        <w:tab/>
        <w:t>All models filed with 2020 IRM application</w:t>
      </w:r>
    </w:p>
    <w:p w14:paraId="736B8456" w14:textId="77777777" w:rsidR="009B3A63" w:rsidRDefault="009B3A63" w:rsidP="009B3A63">
      <w:pPr>
        <w:pStyle w:val="ListParagraph"/>
        <w:numPr>
          <w:ilvl w:val="0"/>
          <w:numId w:val="34"/>
        </w:numPr>
        <w:rPr>
          <w:rFonts w:ascii="Arial" w:hAnsi="Arial" w:cs="Arial"/>
          <w:sz w:val="24"/>
          <w:szCs w:val="24"/>
        </w:rPr>
      </w:pPr>
      <w:r w:rsidRPr="00BC5D0B">
        <w:rPr>
          <w:rFonts w:ascii="Arial" w:hAnsi="Arial" w:cs="Arial"/>
          <w:sz w:val="24"/>
          <w:szCs w:val="24"/>
        </w:rPr>
        <w:t xml:space="preserve">Based on </w:t>
      </w:r>
      <w:r w:rsidRPr="00E1667C">
        <w:rPr>
          <w:rFonts w:ascii="Arial" w:hAnsi="Arial" w:cs="Arial"/>
          <w:sz w:val="24"/>
          <w:szCs w:val="24"/>
        </w:rPr>
        <w:t xml:space="preserve">Hydro </w:t>
      </w:r>
      <w:r w:rsidRPr="00E1667C">
        <w:rPr>
          <w:rFonts w:ascii="Arial" w:eastAsia="Times New Roman" w:hAnsi="Arial" w:cs="Arial"/>
          <w:sz w:val="24"/>
          <w:szCs w:val="24"/>
        </w:rPr>
        <w:t>Hawkesbury</w:t>
      </w:r>
      <w:r w:rsidRPr="00BC5D0B">
        <w:rPr>
          <w:rFonts w:ascii="Arial" w:hAnsi="Arial" w:cs="Arial"/>
          <w:sz w:val="24"/>
          <w:szCs w:val="24"/>
        </w:rPr>
        <w:t>’</w:t>
      </w:r>
      <w:r>
        <w:rPr>
          <w:rFonts w:ascii="Arial" w:hAnsi="Arial" w:cs="Arial"/>
          <w:sz w:val="24"/>
          <w:szCs w:val="24"/>
        </w:rPr>
        <w:t>s</w:t>
      </w:r>
      <w:r w:rsidRPr="00BC5D0B">
        <w:rPr>
          <w:rFonts w:ascii="Arial" w:hAnsi="Arial" w:cs="Arial"/>
          <w:sz w:val="24"/>
          <w:szCs w:val="24"/>
        </w:rPr>
        <w:t xml:space="preserve"> response to the above questions, please re-file all applicable models</w:t>
      </w:r>
      <w:r>
        <w:rPr>
          <w:rFonts w:ascii="Arial" w:hAnsi="Arial" w:cs="Arial"/>
          <w:sz w:val="24"/>
          <w:szCs w:val="24"/>
        </w:rPr>
        <w:t>,</w:t>
      </w:r>
      <w:r w:rsidRPr="00BC5D0B">
        <w:rPr>
          <w:rFonts w:ascii="Arial" w:hAnsi="Arial" w:cs="Arial"/>
          <w:sz w:val="24"/>
          <w:szCs w:val="24"/>
        </w:rPr>
        <w:t xml:space="preserve"> </w:t>
      </w:r>
      <w:proofErr w:type="spellStart"/>
      <w:r w:rsidRPr="00BC5D0B">
        <w:rPr>
          <w:rFonts w:ascii="Arial" w:hAnsi="Arial" w:cs="Arial"/>
          <w:sz w:val="24"/>
          <w:szCs w:val="24"/>
        </w:rPr>
        <w:t>workforms</w:t>
      </w:r>
      <w:proofErr w:type="spellEnd"/>
      <w:r>
        <w:rPr>
          <w:rFonts w:ascii="Arial" w:hAnsi="Arial" w:cs="Arial"/>
          <w:sz w:val="24"/>
          <w:szCs w:val="24"/>
        </w:rPr>
        <w:t xml:space="preserve"> and/or appendices </w:t>
      </w:r>
      <w:r w:rsidRPr="00BC5D0B">
        <w:rPr>
          <w:rFonts w:ascii="Arial" w:hAnsi="Arial" w:cs="Arial"/>
          <w:sz w:val="24"/>
          <w:szCs w:val="24"/>
        </w:rPr>
        <w:t>to reflect the updates.</w:t>
      </w:r>
    </w:p>
    <w:p w14:paraId="7EC0C1A3" w14:textId="77777777" w:rsidR="009B3A63" w:rsidRDefault="009B3A63" w:rsidP="009B3A63">
      <w:pPr>
        <w:pStyle w:val="ListParagraph"/>
        <w:rPr>
          <w:rFonts w:ascii="Arial" w:hAnsi="Arial" w:cs="Arial"/>
          <w:sz w:val="24"/>
          <w:szCs w:val="24"/>
        </w:rPr>
      </w:pPr>
    </w:p>
    <w:p w14:paraId="43D187B8" w14:textId="77777777" w:rsidR="009B3A63" w:rsidRDefault="009B3A63" w:rsidP="009B3A63">
      <w:pPr>
        <w:pStyle w:val="ListParagraph"/>
        <w:numPr>
          <w:ilvl w:val="0"/>
          <w:numId w:val="34"/>
        </w:numPr>
        <w:rPr>
          <w:rFonts w:ascii="Arial" w:hAnsi="Arial" w:cs="Arial"/>
          <w:sz w:val="24"/>
          <w:szCs w:val="24"/>
        </w:rPr>
      </w:pPr>
      <w:r>
        <w:rPr>
          <w:rFonts w:ascii="Arial" w:hAnsi="Arial" w:cs="Arial"/>
          <w:sz w:val="24"/>
          <w:szCs w:val="24"/>
        </w:rPr>
        <w:t>Please summarize all updates to the application, model(s) and/or appendices submitted in this proceeding.</w:t>
      </w:r>
    </w:p>
    <w:p w14:paraId="58508146" w14:textId="77777777" w:rsidR="00457FC6" w:rsidRPr="00457FC6" w:rsidRDefault="00457FC6" w:rsidP="008E6045">
      <w:pPr>
        <w:rPr>
          <w:rFonts w:ascii="Arial" w:hAnsi="Arial" w:cs="Arial"/>
          <w:sz w:val="24"/>
          <w:szCs w:val="24"/>
        </w:rPr>
      </w:pPr>
    </w:p>
    <w:sectPr w:rsidR="00457FC6" w:rsidRPr="00457FC6" w:rsidSect="00EA0919">
      <w:footerReference w:type="default" r:id="rId10"/>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139C7" w14:textId="77777777" w:rsidR="006F540F" w:rsidRDefault="006F540F" w:rsidP="003E2142">
      <w:pPr>
        <w:spacing w:after="0" w:line="240" w:lineRule="auto"/>
      </w:pPr>
      <w:r>
        <w:separator/>
      </w:r>
    </w:p>
  </w:endnote>
  <w:endnote w:type="continuationSeparator" w:id="0">
    <w:p w14:paraId="6CAC8769" w14:textId="77777777" w:rsidR="006F540F" w:rsidRDefault="006F540F" w:rsidP="003E2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347486"/>
      <w:docPartObj>
        <w:docPartGallery w:val="Page Numbers (Bottom of Page)"/>
        <w:docPartUnique/>
      </w:docPartObj>
    </w:sdtPr>
    <w:sdtEndPr/>
    <w:sdtContent>
      <w:sdt>
        <w:sdtPr>
          <w:id w:val="-1769616900"/>
          <w:docPartObj>
            <w:docPartGallery w:val="Page Numbers (Top of Page)"/>
            <w:docPartUnique/>
          </w:docPartObj>
        </w:sdtPr>
        <w:sdtEndPr/>
        <w:sdtContent>
          <w:p w14:paraId="209CC0CF" w14:textId="4E93A174" w:rsidR="003E2142" w:rsidRDefault="003E2142">
            <w:pPr>
              <w:pStyle w:val="Footer"/>
              <w:jc w:val="right"/>
            </w:pPr>
            <w:r>
              <w:t xml:space="preserve">Page </w:t>
            </w:r>
            <w:r>
              <w:rPr>
                <w:b/>
                <w:bCs/>
              </w:rPr>
              <w:fldChar w:fldCharType="begin"/>
            </w:r>
            <w:r>
              <w:rPr>
                <w:b/>
                <w:bCs/>
              </w:rPr>
              <w:instrText xml:space="preserve"> PAGE </w:instrText>
            </w:r>
            <w:r>
              <w:rPr>
                <w:b/>
                <w:bCs/>
              </w:rPr>
              <w:fldChar w:fldCharType="separate"/>
            </w:r>
            <w:r w:rsidR="005F2BC5">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sidR="005F2BC5">
              <w:rPr>
                <w:b/>
                <w:bCs/>
                <w:noProof/>
              </w:rPr>
              <w:t>8</w:t>
            </w:r>
            <w:r>
              <w:rPr>
                <w:b/>
                <w:bCs/>
              </w:rPr>
              <w:fldChar w:fldCharType="end"/>
            </w:r>
          </w:p>
        </w:sdtContent>
      </w:sdt>
    </w:sdtContent>
  </w:sdt>
  <w:p w14:paraId="389D8317" w14:textId="77777777" w:rsidR="003E2142" w:rsidRDefault="003E2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280B0" w14:textId="77777777" w:rsidR="006F540F" w:rsidRDefault="006F540F" w:rsidP="003E2142">
      <w:pPr>
        <w:spacing w:after="0" w:line="240" w:lineRule="auto"/>
      </w:pPr>
      <w:r>
        <w:separator/>
      </w:r>
    </w:p>
  </w:footnote>
  <w:footnote w:type="continuationSeparator" w:id="0">
    <w:p w14:paraId="33A4AB63" w14:textId="77777777" w:rsidR="006F540F" w:rsidRDefault="006F540F" w:rsidP="003E21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1277"/>
    <w:multiLevelType w:val="hybridMultilevel"/>
    <w:tmpl w:val="A0ECF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F4051E"/>
    <w:multiLevelType w:val="hybridMultilevel"/>
    <w:tmpl w:val="087839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7E52731"/>
    <w:multiLevelType w:val="hybridMultilevel"/>
    <w:tmpl w:val="FF2ABC38"/>
    <w:lvl w:ilvl="0" w:tplc="569AE900">
      <w:start w:val="1"/>
      <w:numFmt w:val="lowerLetter"/>
      <w:lvlText w:val="%1."/>
      <w:lvlJc w:val="left"/>
      <w:pPr>
        <w:ind w:left="720" w:hanging="360"/>
      </w:pPr>
      <w:rPr>
        <w:rFonts w:asciiTheme="minorHAnsi" w:eastAsiaTheme="minorHAnsi" w:hAnsiTheme="minorHAnsi" w:cstheme="minorBidi" w:hint="default"/>
      </w:rPr>
    </w:lvl>
    <w:lvl w:ilvl="1" w:tplc="AA180E1C">
      <w:start w:val="1"/>
      <w:numFmt w:val="lowerRoman"/>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ED6F2B"/>
    <w:multiLevelType w:val="hybridMultilevel"/>
    <w:tmpl w:val="D3AAD9A8"/>
    <w:lvl w:ilvl="0" w:tplc="BF8856D2">
      <w:start w:val="1"/>
      <w:numFmt w:val="lowerLetter"/>
      <w:lvlText w:val="%1."/>
      <w:lvlJc w:val="lef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309152C"/>
    <w:multiLevelType w:val="hybridMultilevel"/>
    <w:tmpl w:val="3EFE21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185E53"/>
    <w:multiLevelType w:val="hybridMultilevel"/>
    <w:tmpl w:val="61D6DB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9395854"/>
    <w:multiLevelType w:val="hybridMultilevel"/>
    <w:tmpl w:val="A294954C"/>
    <w:lvl w:ilvl="0" w:tplc="23B2D442">
      <w:start w:val="1"/>
      <w:numFmt w:val="lowerLetter"/>
      <w:lvlText w:val="%1."/>
      <w:lvlJc w:val="left"/>
      <w:pPr>
        <w:ind w:left="720" w:hanging="360"/>
      </w:pPr>
      <w:rPr>
        <w:rFonts w:ascii="Arial" w:eastAsia="Times New Roman" w:hAnsi="Arial" w:cs="Arial"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5D30440F"/>
    <w:multiLevelType w:val="hybridMultilevel"/>
    <w:tmpl w:val="508EBF32"/>
    <w:lvl w:ilvl="0" w:tplc="0409000F">
      <w:start w:val="1"/>
      <w:numFmt w:val="decimal"/>
      <w:lvlText w:val="%1."/>
      <w:lvlJc w:val="left"/>
      <w:pPr>
        <w:ind w:left="720" w:hanging="360"/>
      </w:pPr>
      <w:rPr>
        <w:rFonts w:hint="default"/>
      </w:rPr>
    </w:lvl>
    <w:lvl w:ilvl="1" w:tplc="759C3CD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206428D"/>
    <w:multiLevelType w:val="hybridMultilevel"/>
    <w:tmpl w:val="FD4A861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6115D1F"/>
    <w:multiLevelType w:val="hybridMultilevel"/>
    <w:tmpl w:val="6FFC8FC0"/>
    <w:lvl w:ilvl="0" w:tplc="BFC6A54A">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C7E6ACE"/>
    <w:multiLevelType w:val="hybridMultilevel"/>
    <w:tmpl w:val="4218DFEE"/>
    <w:lvl w:ilvl="0" w:tplc="49FA839C">
      <w:start w:val="1"/>
      <w:numFmt w:val="lowerLetter"/>
      <w:lvlText w:val="%1."/>
      <w:lvlJc w:val="left"/>
      <w:pPr>
        <w:ind w:left="720" w:hanging="360"/>
      </w:pPr>
      <w:rPr>
        <w:rFonts w:ascii="Arial" w:eastAsiaTheme="minorHAnsi"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0412E14"/>
    <w:multiLevelType w:val="hybridMultilevel"/>
    <w:tmpl w:val="212AB8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759660D"/>
    <w:multiLevelType w:val="hybridMultilevel"/>
    <w:tmpl w:val="4218DFEE"/>
    <w:lvl w:ilvl="0" w:tplc="49FA839C">
      <w:start w:val="1"/>
      <w:numFmt w:val="lowerLetter"/>
      <w:lvlText w:val="%1."/>
      <w:lvlJc w:val="left"/>
      <w:pPr>
        <w:ind w:left="720" w:hanging="360"/>
      </w:pPr>
      <w:rPr>
        <w:rFonts w:ascii="Arial" w:eastAsiaTheme="minorHAnsi"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7"/>
  </w:num>
  <w:num w:numId="3">
    <w:abstractNumId w:val="28"/>
  </w:num>
  <w:num w:numId="4">
    <w:abstractNumId w:val="39"/>
  </w:num>
  <w:num w:numId="5">
    <w:abstractNumId w:val="16"/>
  </w:num>
  <w:num w:numId="6">
    <w:abstractNumId w:val="11"/>
  </w:num>
  <w:num w:numId="7">
    <w:abstractNumId w:val="22"/>
  </w:num>
  <w:num w:numId="8">
    <w:abstractNumId w:val="17"/>
  </w:num>
  <w:num w:numId="9">
    <w:abstractNumId w:val="19"/>
  </w:num>
  <w:num w:numId="10">
    <w:abstractNumId w:val="6"/>
  </w:num>
  <w:num w:numId="11">
    <w:abstractNumId w:val="21"/>
  </w:num>
  <w:num w:numId="12">
    <w:abstractNumId w:val="31"/>
  </w:num>
  <w:num w:numId="13">
    <w:abstractNumId w:val="5"/>
  </w:num>
  <w:num w:numId="14">
    <w:abstractNumId w:val="2"/>
  </w:num>
  <w:num w:numId="15">
    <w:abstractNumId w:val="38"/>
  </w:num>
  <w:num w:numId="16">
    <w:abstractNumId w:val="8"/>
  </w:num>
  <w:num w:numId="17">
    <w:abstractNumId w:val="25"/>
  </w:num>
  <w:num w:numId="18">
    <w:abstractNumId w:val="34"/>
  </w:num>
  <w:num w:numId="19">
    <w:abstractNumId w:val="36"/>
  </w:num>
  <w:num w:numId="20">
    <w:abstractNumId w:val="15"/>
  </w:num>
  <w:num w:numId="21">
    <w:abstractNumId w:val="32"/>
  </w:num>
  <w:num w:numId="22">
    <w:abstractNumId w:val="14"/>
  </w:num>
  <w:num w:numId="23">
    <w:abstractNumId w:val="30"/>
  </w:num>
  <w:num w:numId="24">
    <w:abstractNumId w:val="27"/>
  </w:num>
  <w:num w:numId="25">
    <w:abstractNumId w:val="3"/>
  </w:num>
  <w:num w:numId="26">
    <w:abstractNumId w:val="20"/>
  </w:num>
  <w:num w:numId="27">
    <w:abstractNumId w:val="23"/>
  </w:num>
  <w:num w:numId="28">
    <w:abstractNumId w:val="9"/>
  </w:num>
  <w:num w:numId="29">
    <w:abstractNumId w:val="12"/>
  </w:num>
  <w:num w:numId="30">
    <w:abstractNumId w:val="18"/>
  </w:num>
  <w:num w:numId="31">
    <w:abstractNumId w:val="0"/>
  </w:num>
  <w:num w:numId="32">
    <w:abstractNumId w:val="24"/>
  </w:num>
  <w:num w:numId="33">
    <w:abstractNumId w:val="35"/>
  </w:num>
  <w:num w:numId="34">
    <w:abstractNumId w:val="26"/>
  </w:num>
  <w:num w:numId="35">
    <w:abstractNumId w:val="33"/>
  </w:num>
  <w:num w:numId="36">
    <w:abstractNumId w:val="10"/>
  </w:num>
  <w:num w:numId="37">
    <w:abstractNumId w:val="29"/>
  </w:num>
  <w:num w:numId="38">
    <w:abstractNumId w:val="13"/>
  </w:num>
  <w:num w:numId="39">
    <w:abstractNumId w:val="4"/>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revisionView w:formatting="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B52"/>
    <w:rsid w:val="0003073C"/>
    <w:rsid w:val="00035337"/>
    <w:rsid w:val="0004331B"/>
    <w:rsid w:val="0005014B"/>
    <w:rsid w:val="00054071"/>
    <w:rsid w:val="0006126D"/>
    <w:rsid w:val="00067F57"/>
    <w:rsid w:val="00071BEC"/>
    <w:rsid w:val="00074514"/>
    <w:rsid w:val="000832D4"/>
    <w:rsid w:val="00090160"/>
    <w:rsid w:val="000A6319"/>
    <w:rsid w:val="000B3E7E"/>
    <w:rsid w:val="000D223C"/>
    <w:rsid w:val="000E4006"/>
    <w:rsid w:val="000F1E3A"/>
    <w:rsid w:val="00164E99"/>
    <w:rsid w:val="00183CC8"/>
    <w:rsid w:val="00187E9B"/>
    <w:rsid w:val="001927C2"/>
    <w:rsid w:val="0019379D"/>
    <w:rsid w:val="00195F1D"/>
    <w:rsid w:val="001A1973"/>
    <w:rsid w:val="001A4DCD"/>
    <w:rsid w:val="001E3837"/>
    <w:rsid w:val="001F5ED4"/>
    <w:rsid w:val="00203092"/>
    <w:rsid w:val="00217A5E"/>
    <w:rsid w:val="002208C0"/>
    <w:rsid w:val="00224C06"/>
    <w:rsid w:val="0025687C"/>
    <w:rsid w:val="00274A48"/>
    <w:rsid w:val="00291CCC"/>
    <w:rsid w:val="0029604D"/>
    <w:rsid w:val="002A2663"/>
    <w:rsid w:val="002A6415"/>
    <w:rsid w:val="002A6945"/>
    <w:rsid w:val="002B7B7C"/>
    <w:rsid w:val="002B7BEA"/>
    <w:rsid w:val="002C2BF2"/>
    <w:rsid w:val="002C7EF6"/>
    <w:rsid w:val="002E1CFC"/>
    <w:rsid w:val="002F4756"/>
    <w:rsid w:val="00302509"/>
    <w:rsid w:val="003049C5"/>
    <w:rsid w:val="00305E43"/>
    <w:rsid w:val="00340C00"/>
    <w:rsid w:val="0035200D"/>
    <w:rsid w:val="003702D1"/>
    <w:rsid w:val="00373FAD"/>
    <w:rsid w:val="003777B5"/>
    <w:rsid w:val="00382993"/>
    <w:rsid w:val="003832E7"/>
    <w:rsid w:val="003A20A0"/>
    <w:rsid w:val="003A58B0"/>
    <w:rsid w:val="003A5B39"/>
    <w:rsid w:val="003E2142"/>
    <w:rsid w:val="003E77D5"/>
    <w:rsid w:val="00400DA9"/>
    <w:rsid w:val="00400DFC"/>
    <w:rsid w:val="00412DC6"/>
    <w:rsid w:val="004136C5"/>
    <w:rsid w:val="00424D57"/>
    <w:rsid w:val="004377B0"/>
    <w:rsid w:val="00457FC6"/>
    <w:rsid w:val="004727F0"/>
    <w:rsid w:val="00472C81"/>
    <w:rsid w:val="00475032"/>
    <w:rsid w:val="004849E6"/>
    <w:rsid w:val="004859EF"/>
    <w:rsid w:val="0049102C"/>
    <w:rsid w:val="004A6662"/>
    <w:rsid w:val="004E6BDC"/>
    <w:rsid w:val="005071B9"/>
    <w:rsid w:val="00514E9F"/>
    <w:rsid w:val="005164F5"/>
    <w:rsid w:val="00520D0C"/>
    <w:rsid w:val="0052560F"/>
    <w:rsid w:val="00534D6F"/>
    <w:rsid w:val="00537F17"/>
    <w:rsid w:val="005666F2"/>
    <w:rsid w:val="00572064"/>
    <w:rsid w:val="00584369"/>
    <w:rsid w:val="00587A35"/>
    <w:rsid w:val="005A7410"/>
    <w:rsid w:val="005F2BC5"/>
    <w:rsid w:val="005F4693"/>
    <w:rsid w:val="0062117F"/>
    <w:rsid w:val="0064279A"/>
    <w:rsid w:val="00651C98"/>
    <w:rsid w:val="00656BF7"/>
    <w:rsid w:val="00662352"/>
    <w:rsid w:val="0066401A"/>
    <w:rsid w:val="006A5D23"/>
    <w:rsid w:val="006B143B"/>
    <w:rsid w:val="006E3D58"/>
    <w:rsid w:val="006F540F"/>
    <w:rsid w:val="0070002B"/>
    <w:rsid w:val="00704EE5"/>
    <w:rsid w:val="007066E2"/>
    <w:rsid w:val="00713597"/>
    <w:rsid w:val="00722640"/>
    <w:rsid w:val="0073197E"/>
    <w:rsid w:val="0074481C"/>
    <w:rsid w:val="00746080"/>
    <w:rsid w:val="00751A0E"/>
    <w:rsid w:val="007526AC"/>
    <w:rsid w:val="00772B57"/>
    <w:rsid w:val="00781D04"/>
    <w:rsid w:val="007C2D45"/>
    <w:rsid w:val="007C621B"/>
    <w:rsid w:val="007D5814"/>
    <w:rsid w:val="007E19BA"/>
    <w:rsid w:val="007F49EB"/>
    <w:rsid w:val="00803CC3"/>
    <w:rsid w:val="00805FDA"/>
    <w:rsid w:val="00812C1B"/>
    <w:rsid w:val="00835AD0"/>
    <w:rsid w:val="008747B3"/>
    <w:rsid w:val="008813C3"/>
    <w:rsid w:val="008846FA"/>
    <w:rsid w:val="008875B6"/>
    <w:rsid w:val="008926F0"/>
    <w:rsid w:val="008964E8"/>
    <w:rsid w:val="008A48F6"/>
    <w:rsid w:val="008B638D"/>
    <w:rsid w:val="008D00DC"/>
    <w:rsid w:val="008D4E3C"/>
    <w:rsid w:val="008E6045"/>
    <w:rsid w:val="0090113B"/>
    <w:rsid w:val="00902FF1"/>
    <w:rsid w:val="0093258A"/>
    <w:rsid w:val="009417CD"/>
    <w:rsid w:val="0094373C"/>
    <w:rsid w:val="00943938"/>
    <w:rsid w:val="00946DEE"/>
    <w:rsid w:val="00950E9E"/>
    <w:rsid w:val="00951E2B"/>
    <w:rsid w:val="00952939"/>
    <w:rsid w:val="00961EA0"/>
    <w:rsid w:val="00991965"/>
    <w:rsid w:val="009A5C44"/>
    <w:rsid w:val="009B03AF"/>
    <w:rsid w:val="009B3A63"/>
    <w:rsid w:val="009C336C"/>
    <w:rsid w:val="009C4216"/>
    <w:rsid w:val="009D5F4B"/>
    <w:rsid w:val="009E626E"/>
    <w:rsid w:val="009E7CBF"/>
    <w:rsid w:val="00A07077"/>
    <w:rsid w:val="00A11F29"/>
    <w:rsid w:val="00A50DD0"/>
    <w:rsid w:val="00A516B0"/>
    <w:rsid w:val="00A5620A"/>
    <w:rsid w:val="00A852D7"/>
    <w:rsid w:val="00A93B6D"/>
    <w:rsid w:val="00AA06D9"/>
    <w:rsid w:val="00AB7020"/>
    <w:rsid w:val="00AC2406"/>
    <w:rsid w:val="00AC5488"/>
    <w:rsid w:val="00AD3FCF"/>
    <w:rsid w:val="00B03802"/>
    <w:rsid w:val="00B069AA"/>
    <w:rsid w:val="00B23A36"/>
    <w:rsid w:val="00B25576"/>
    <w:rsid w:val="00B25EF5"/>
    <w:rsid w:val="00B50EB2"/>
    <w:rsid w:val="00B6722A"/>
    <w:rsid w:val="00B75627"/>
    <w:rsid w:val="00B813C5"/>
    <w:rsid w:val="00B82D78"/>
    <w:rsid w:val="00B85CE7"/>
    <w:rsid w:val="00B9527C"/>
    <w:rsid w:val="00BA434C"/>
    <w:rsid w:val="00BD4F65"/>
    <w:rsid w:val="00C05CB0"/>
    <w:rsid w:val="00C06F9E"/>
    <w:rsid w:val="00C07EA4"/>
    <w:rsid w:val="00C13E6B"/>
    <w:rsid w:val="00C2370B"/>
    <w:rsid w:val="00C33F9A"/>
    <w:rsid w:val="00C5725D"/>
    <w:rsid w:val="00C60A95"/>
    <w:rsid w:val="00C624D5"/>
    <w:rsid w:val="00C73C71"/>
    <w:rsid w:val="00C80E97"/>
    <w:rsid w:val="00C848A0"/>
    <w:rsid w:val="00C878C5"/>
    <w:rsid w:val="00C96AEA"/>
    <w:rsid w:val="00CB12AA"/>
    <w:rsid w:val="00CC0B6D"/>
    <w:rsid w:val="00CE1CD3"/>
    <w:rsid w:val="00CE4F01"/>
    <w:rsid w:val="00D20DD1"/>
    <w:rsid w:val="00D364A0"/>
    <w:rsid w:val="00D462CD"/>
    <w:rsid w:val="00D55546"/>
    <w:rsid w:val="00D6213C"/>
    <w:rsid w:val="00D647C0"/>
    <w:rsid w:val="00D65918"/>
    <w:rsid w:val="00D77694"/>
    <w:rsid w:val="00D77B0F"/>
    <w:rsid w:val="00D77BBB"/>
    <w:rsid w:val="00DB6B52"/>
    <w:rsid w:val="00DD2408"/>
    <w:rsid w:val="00DE5488"/>
    <w:rsid w:val="00DE75AC"/>
    <w:rsid w:val="00DF4706"/>
    <w:rsid w:val="00DF5A52"/>
    <w:rsid w:val="00E17C58"/>
    <w:rsid w:val="00E231C2"/>
    <w:rsid w:val="00E429DA"/>
    <w:rsid w:val="00E62C2A"/>
    <w:rsid w:val="00E719A2"/>
    <w:rsid w:val="00E77057"/>
    <w:rsid w:val="00E8586E"/>
    <w:rsid w:val="00E93949"/>
    <w:rsid w:val="00E96A06"/>
    <w:rsid w:val="00EA0919"/>
    <w:rsid w:val="00EB5240"/>
    <w:rsid w:val="00EC0B55"/>
    <w:rsid w:val="00EE1C74"/>
    <w:rsid w:val="00F034BF"/>
    <w:rsid w:val="00F1642E"/>
    <w:rsid w:val="00F233A3"/>
    <w:rsid w:val="00F26D30"/>
    <w:rsid w:val="00F57152"/>
    <w:rsid w:val="00F7362C"/>
    <w:rsid w:val="00F77E1B"/>
    <w:rsid w:val="00F92F61"/>
    <w:rsid w:val="00FA1F53"/>
    <w:rsid w:val="00FB2D7B"/>
    <w:rsid w:val="00FB6F10"/>
    <w:rsid w:val="00FC4CF8"/>
    <w:rsid w:val="00FC5DA7"/>
    <w:rsid w:val="00FD40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65F39"/>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7FC6"/>
    <w:pPr>
      <w:spacing w:after="0" w:line="240" w:lineRule="auto"/>
    </w:pPr>
    <w:rPr>
      <w:lang w:val="en-US"/>
    </w:rPr>
  </w:style>
  <w:style w:type="paragraph" w:styleId="Header">
    <w:name w:val="header"/>
    <w:basedOn w:val="Normal"/>
    <w:link w:val="HeaderChar"/>
    <w:uiPriority w:val="99"/>
    <w:unhideWhenUsed/>
    <w:rsid w:val="003E21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976229205">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37838053">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B8425-5435-4D40-89E4-A05416766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1558</Words>
  <Characters>8882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abramoma</dc:creator>
  <cp:lastModifiedBy>Judy But</cp:lastModifiedBy>
  <cp:revision>17</cp:revision>
  <cp:lastPrinted>2019-10-11T21:17:00Z</cp:lastPrinted>
  <dcterms:created xsi:type="dcterms:W3CDTF">2019-10-11T20:51:00Z</dcterms:created>
  <dcterms:modified xsi:type="dcterms:W3CDTF">2019-10-11T21:24:00Z</dcterms:modified>
</cp:coreProperties>
</file>