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4479F" w14:textId="77777777" w:rsidR="00E42ED0" w:rsidRPr="00E42ED0" w:rsidRDefault="00E42ED0" w:rsidP="00E42ED0">
      <w:pPr>
        <w:pStyle w:val="Default"/>
        <w:jc w:val="right"/>
        <w:rPr>
          <w:rFonts w:ascii="Arial" w:hAnsi="Arial" w:cs="Arial"/>
          <w:sz w:val="22"/>
          <w:szCs w:val="22"/>
        </w:rPr>
      </w:pPr>
      <w:r w:rsidRPr="00E42ED0">
        <w:rPr>
          <w:rFonts w:ascii="Arial" w:hAnsi="Arial" w:cs="Arial"/>
          <w:bCs/>
          <w:sz w:val="22"/>
          <w:szCs w:val="22"/>
          <w:lang w:val="en-US"/>
        </w:rPr>
        <w:t>Centre Wellington Hydro Ltd.</w:t>
      </w:r>
      <w:r w:rsidRPr="00E42ED0">
        <w:rPr>
          <w:rFonts w:ascii="Arial" w:hAnsi="Arial" w:cs="Arial"/>
          <w:bCs/>
          <w:sz w:val="22"/>
          <w:szCs w:val="22"/>
        </w:rPr>
        <w:t xml:space="preserve"> </w:t>
      </w:r>
    </w:p>
    <w:p w14:paraId="5EFC5828" w14:textId="77777777" w:rsidR="00E42ED0" w:rsidRPr="00E42ED0" w:rsidRDefault="00E42ED0" w:rsidP="00E42ED0">
      <w:pPr>
        <w:pStyle w:val="Default"/>
        <w:jc w:val="right"/>
        <w:rPr>
          <w:rFonts w:ascii="Arial" w:hAnsi="Arial" w:cs="Arial"/>
          <w:sz w:val="22"/>
          <w:szCs w:val="22"/>
        </w:rPr>
      </w:pPr>
      <w:r w:rsidRPr="00E42ED0">
        <w:rPr>
          <w:rFonts w:ascii="Arial" w:hAnsi="Arial" w:cs="Arial"/>
          <w:sz w:val="22"/>
          <w:szCs w:val="22"/>
        </w:rPr>
        <w:t>OEB Staff Questions</w:t>
      </w:r>
    </w:p>
    <w:p w14:paraId="11CED59E" w14:textId="77777777" w:rsidR="00E42ED0" w:rsidRDefault="00E42ED0" w:rsidP="00E42ED0">
      <w:pPr>
        <w:pStyle w:val="Default"/>
        <w:jc w:val="right"/>
        <w:rPr>
          <w:rFonts w:ascii="Arial" w:hAnsi="Arial" w:cs="Arial"/>
          <w:sz w:val="22"/>
          <w:szCs w:val="22"/>
        </w:rPr>
      </w:pPr>
      <w:r w:rsidRPr="00E42ED0">
        <w:rPr>
          <w:rFonts w:ascii="Arial" w:hAnsi="Arial" w:cs="Arial"/>
          <w:sz w:val="22"/>
          <w:szCs w:val="22"/>
        </w:rPr>
        <w:t>EB-2019-0025</w:t>
      </w:r>
    </w:p>
    <w:p w14:paraId="46E5D521" w14:textId="77777777" w:rsidR="00E42ED0" w:rsidRDefault="00E42ED0" w:rsidP="00E42ED0">
      <w:pPr>
        <w:pStyle w:val="Default"/>
        <w:rPr>
          <w:rFonts w:ascii="Arial" w:hAnsi="Arial" w:cs="Arial"/>
          <w:sz w:val="22"/>
          <w:szCs w:val="22"/>
        </w:rPr>
      </w:pPr>
    </w:p>
    <w:p w14:paraId="7A2E3ECF" w14:textId="77777777" w:rsidR="00E42ED0" w:rsidRPr="00A07077" w:rsidRDefault="00E42ED0" w:rsidP="00E42ED0">
      <w:pPr>
        <w:pStyle w:val="Default"/>
        <w:jc w:val="center"/>
        <w:rPr>
          <w:rFonts w:ascii="Arial" w:hAnsi="Arial" w:cs="Arial"/>
          <w:sz w:val="28"/>
          <w:szCs w:val="28"/>
        </w:rPr>
      </w:pPr>
      <w:r>
        <w:rPr>
          <w:rFonts w:ascii="Arial" w:hAnsi="Arial" w:cs="Arial"/>
          <w:b/>
          <w:bCs/>
          <w:sz w:val="28"/>
          <w:szCs w:val="28"/>
        </w:rPr>
        <w:t xml:space="preserve">Centre Wellington Hydro Ltd.  </w:t>
      </w:r>
    </w:p>
    <w:p w14:paraId="5B2C73A6" w14:textId="77777777" w:rsidR="00E42ED0" w:rsidRDefault="00E42ED0" w:rsidP="00E42ED0">
      <w:pPr>
        <w:pStyle w:val="Default"/>
        <w:jc w:val="center"/>
        <w:rPr>
          <w:rFonts w:ascii="Arial" w:hAnsi="Arial" w:cs="Arial"/>
          <w:b/>
          <w:bCs/>
          <w:sz w:val="28"/>
          <w:szCs w:val="28"/>
        </w:rPr>
      </w:pPr>
      <w:r>
        <w:rPr>
          <w:rFonts w:ascii="Arial" w:hAnsi="Arial" w:cs="Arial"/>
          <w:b/>
          <w:bCs/>
          <w:sz w:val="28"/>
          <w:szCs w:val="28"/>
        </w:rPr>
        <w:t>EB-2019-0025</w:t>
      </w:r>
    </w:p>
    <w:p w14:paraId="535D893C" w14:textId="77777777" w:rsidR="000B7468" w:rsidRDefault="000B7468" w:rsidP="000B7468">
      <w:pPr>
        <w:spacing w:line="276" w:lineRule="auto"/>
        <w:rPr>
          <w:rFonts w:ascii="Arial" w:hAnsi="Arial" w:cs="Arial"/>
          <w:b/>
          <w:sz w:val="24"/>
          <w:szCs w:val="24"/>
        </w:rPr>
      </w:pPr>
    </w:p>
    <w:p w14:paraId="4666AC25" w14:textId="77777777" w:rsidR="000B7468" w:rsidRPr="00492268" w:rsidRDefault="00E42ED0" w:rsidP="003D681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p>
    <w:p w14:paraId="6BE6F01D" w14:textId="77777777" w:rsidR="00492268" w:rsidRPr="00492268" w:rsidRDefault="00492268" w:rsidP="00492268">
      <w:pPr>
        <w:spacing w:after="0" w:line="240" w:lineRule="auto"/>
        <w:rPr>
          <w:rFonts w:ascii="Arial" w:hAnsi="Arial" w:cs="Arial"/>
          <w:b/>
          <w:sz w:val="24"/>
          <w:szCs w:val="24"/>
        </w:rPr>
      </w:pPr>
      <w:r w:rsidRPr="00492268">
        <w:rPr>
          <w:rFonts w:ascii="Arial" w:hAnsi="Arial" w:cs="Arial"/>
          <w:b/>
          <w:sz w:val="24"/>
          <w:szCs w:val="24"/>
        </w:rPr>
        <w:t>Ref:</w:t>
      </w:r>
      <w:r w:rsidRPr="00492268">
        <w:rPr>
          <w:rFonts w:ascii="Arial" w:hAnsi="Arial" w:cs="Arial"/>
          <w:b/>
          <w:sz w:val="24"/>
          <w:szCs w:val="24"/>
        </w:rPr>
        <w:tab/>
        <w:t>IRM Model, Tab 3</w:t>
      </w:r>
    </w:p>
    <w:p w14:paraId="15967F39" w14:textId="77777777" w:rsidR="00492268" w:rsidRPr="00492268" w:rsidRDefault="00492268" w:rsidP="00492268">
      <w:pPr>
        <w:spacing w:line="240" w:lineRule="auto"/>
        <w:rPr>
          <w:rFonts w:ascii="Arial" w:hAnsi="Arial" w:cs="Arial"/>
          <w:b/>
          <w:sz w:val="24"/>
          <w:szCs w:val="24"/>
        </w:rPr>
      </w:pPr>
      <w:r w:rsidRPr="00492268">
        <w:rPr>
          <w:rFonts w:ascii="Arial" w:hAnsi="Arial" w:cs="Arial"/>
          <w:b/>
          <w:sz w:val="24"/>
          <w:szCs w:val="24"/>
        </w:rPr>
        <w:tab/>
        <w:t>Manager’s Summary, p. 12</w:t>
      </w:r>
    </w:p>
    <w:p w14:paraId="499B7CC2" w14:textId="611AAD65" w:rsidR="0006417A" w:rsidRDefault="00492268" w:rsidP="003D6815">
      <w:pPr>
        <w:spacing w:line="276" w:lineRule="auto"/>
        <w:rPr>
          <w:rFonts w:ascii="Arial" w:hAnsi="Arial" w:cs="Arial"/>
          <w:sz w:val="24"/>
          <w:szCs w:val="24"/>
        </w:rPr>
      </w:pPr>
      <w:r w:rsidRPr="00492268">
        <w:rPr>
          <w:rFonts w:ascii="Arial" w:hAnsi="Arial" w:cs="Arial"/>
          <w:sz w:val="24"/>
          <w:szCs w:val="24"/>
        </w:rPr>
        <w:t xml:space="preserve">On </w:t>
      </w:r>
      <w:r w:rsidR="0006417A">
        <w:rPr>
          <w:rFonts w:ascii="Arial" w:hAnsi="Arial" w:cs="Arial"/>
          <w:sz w:val="24"/>
          <w:szCs w:val="24"/>
        </w:rPr>
        <w:t>p</w:t>
      </w:r>
      <w:r w:rsidRPr="00492268">
        <w:rPr>
          <w:rFonts w:ascii="Arial" w:hAnsi="Arial" w:cs="Arial"/>
          <w:sz w:val="24"/>
          <w:szCs w:val="24"/>
        </w:rPr>
        <w:t>age</w:t>
      </w:r>
      <w:r>
        <w:rPr>
          <w:rFonts w:ascii="Arial" w:hAnsi="Arial" w:cs="Arial"/>
          <w:sz w:val="24"/>
          <w:szCs w:val="24"/>
        </w:rPr>
        <w:t xml:space="preserve"> 12 of the Manager’s Summary, Centre Wellington Hydro identifie</w:t>
      </w:r>
      <w:r w:rsidR="002730C3">
        <w:rPr>
          <w:rFonts w:ascii="Arial" w:hAnsi="Arial" w:cs="Arial"/>
          <w:sz w:val="24"/>
          <w:szCs w:val="24"/>
        </w:rPr>
        <w:t>d</w:t>
      </w:r>
      <w:r>
        <w:rPr>
          <w:rFonts w:ascii="Arial" w:hAnsi="Arial" w:cs="Arial"/>
          <w:sz w:val="24"/>
          <w:szCs w:val="24"/>
        </w:rPr>
        <w:t xml:space="preserve"> the variance </w:t>
      </w:r>
      <w:r w:rsidRPr="00492268">
        <w:rPr>
          <w:rFonts w:ascii="Arial" w:hAnsi="Arial" w:cs="Arial"/>
          <w:sz w:val="24"/>
          <w:szCs w:val="24"/>
        </w:rPr>
        <w:t xml:space="preserve">between </w:t>
      </w:r>
      <w:r w:rsidR="00F15D6A">
        <w:rPr>
          <w:rFonts w:ascii="Arial" w:hAnsi="Arial" w:cs="Arial"/>
          <w:sz w:val="24"/>
          <w:szCs w:val="24"/>
        </w:rPr>
        <w:t>the amount</w:t>
      </w:r>
      <w:r w:rsidRPr="00492268">
        <w:rPr>
          <w:rFonts w:ascii="Arial" w:hAnsi="Arial" w:cs="Arial"/>
          <w:sz w:val="24"/>
          <w:szCs w:val="24"/>
        </w:rPr>
        <w:t xml:space="preserve"> proposed for disposit</w:t>
      </w:r>
      <w:r w:rsidR="00F15D6A">
        <w:rPr>
          <w:rFonts w:ascii="Arial" w:hAnsi="Arial" w:cs="Arial"/>
          <w:sz w:val="24"/>
          <w:szCs w:val="24"/>
        </w:rPr>
        <w:t xml:space="preserve">ion and </w:t>
      </w:r>
      <w:r w:rsidR="002730C3">
        <w:rPr>
          <w:rFonts w:ascii="Arial" w:hAnsi="Arial" w:cs="Arial"/>
          <w:sz w:val="24"/>
          <w:szCs w:val="24"/>
        </w:rPr>
        <w:t xml:space="preserve">the </w:t>
      </w:r>
      <w:r w:rsidR="00F15D6A">
        <w:rPr>
          <w:rFonts w:ascii="Arial" w:hAnsi="Arial" w:cs="Arial"/>
          <w:sz w:val="24"/>
          <w:szCs w:val="24"/>
        </w:rPr>
        <w:t>amount</w:t>
      </w:r>
      <w:r>
        <w:rPr>
          <w:rFonts w:ascii="Arial" w:hAnsi="Arial" w:cs="Arial"/>
          <w:sz w:val="24"/>
          <w:szCs w:val="24"/>
        </w:rPr>
        <w:t xml:space="preserve"> reported in RRR</w:t>
      </w:r>
      <w:r w:rsidR="0006417A">
        <w:rPr>
          <w:rFonts w:ascii="Arial" w:hAnsi="Arial" w:cs="Arial"/>
          <w:sz w:val="24"/>
          <w:szCs w:val="24"/>
        </w:rPr>
        <w:t xml:space="preserve"> </w:t>
      </w:r>
      <w:r w:rsidRPr="00492268">
        <w:rPr>
          <w:rFonts w:ascii="Arial" w:hAnsi="Arial" w:cs="Arial"/>
          <w:sz w:val="24"/>
          <w:szCs w:val="24"/>
        </w:rPr>
        <w:t xml:space="preserve">for </w:t>
      </w:r>
      <w:r w:rsidR="0006417A">
        <w:rPr>
          <w:rFonts w:ascii="Arial" w:hAnsi="Arial" w:cs="Arial"/>
          <w:sz w:val="24"/>
          <w:szCs w:val="24"/>
        </w:rPr>
        <w:t>A</w:t>
      </w:r>
      <w:r w:rsidRPr="00492268">
        <w:rPr>
          <w:rFonts w:ascii="Arial" w:hAnsi="Arial" w:cs="Arial"/>
          <w:sz w:val="24"/>
          <w:szCs w:val="24"/>
        </w:rPr>
        <w:t>ccount</w:t>
      </w:r>
      <w:r>
        <w:rPr>
          <w:rFonts w:ascii="Arial" w:hAnsi="Arial" w:cs="Arial"/>
          <w:sz w:val="24"/>
          <w:szCs w:val="24"/>
        </w:rPr>
        <w:t xml:space="preserve"> 1568 (LRAM) only. Tab 3 of the IRM Model shows a variance for</w:t>
      </w:r>
      <w:r w:rsidR="0006417A">
        <w:rPr>
          <w:rFonts w:ascii="Arial" w:hAnsi="Arial" w:cs="Arial"/>
          <w:sz w:val="24"/>
          <w:szCs w:val="24"/>
        </w:rPr>
        <w:t xml:space="preserve"> </w:t>
      </w:r>
      <w:r w:rsidR="0006417A" w:rsidRPr="0006417A">
        <w:rPr>
          <w:rFonts w:ascii="Arial" w:hAnsi="Arial" w:cs="Arial"/>
          <w:sz w:val="24"/>
          <w:szCs w:val="24"/>
        </w:rPr>
        <w:t xml:space="preserve">Account 1580 </w:t>
      </w:r>
      <w:r w:rsidR="0006417A">
        <w:rPr>
          <w:rFonts w:ascii="Arial" w:hAnsi="Arial" w:cs="Arial"/>
          <w:sz w:val="24"/>
          <w:szCs w:val="24"/>
        </w:rPr>
        <w:t>(</w:t>
      </w:r>
      <w:r w:rsidR="0006417A" w:rsidRPr="0006417A">
        <w:rPr>
          <w:rFonts w:ascii="Arial" w:hAnsi="Arial" w:cs="Arial"/>
          <w:sz w:val="24"/>
          <w:szCs w:val="24"/>
        </w:rPr>
        <w:t>RSVA – Wholesale Market Service Charge</w:t>
      </w:r>
      <w:r w:rsidR="0006417A">
        <w:rPr>
          <w:rFonts w:ascii="Arial" w:hAnsi="Arial" w:cs="Arial"/>
          <w:sz w:val="24"/>
          <w:szCs w:val="24"/>
        </w:rPr>
        <w:t>) of a credit of $1,233. Please provide an explanation on this variance amount.</w:t>
      </w:r>
      <w:r w:rsidR="0006417A" w:rsidRPr="0006417A">
        <w:rPr>
          <w:rFonts w:ascii="Arial" w:hAnsi="Arial" w:cs="Arial"/>
          <w:sz w:val="24"/>
          <w:szCs w:val="24"/>
        </w:rPr>
        <w:t xml:space="preserve"> </w:t>
      </w:r>
      <w:r w:rsidR="0006417A">
        <w:rPr>
          <w:rFonts w:ascii="Arial" w:hAnsi="Arial" w:cs="Arial"/>
          <w:sz w:val="24"/>
          <w:szCs w:val="24"/>
        </w:rPr>
        <w:t xml:space="preserve"> </w:t>
      </w:r>
      <w:r>
        <w:rPr>
          <w:rFonts w:ascii="Arial" w:hAnsi="Arial" w:cs="Arial"/>
          <w:sz w:val="24"/>
          <w:szCs w:val="24"/>
        </w:rPr>
        <w:t xml:space="preserve"> </w:t>
      </w:r>
    </w:p>
    <w:p w14:paraId="6D0DEA27" w14:textId="77777777" w:rsidR="00E15ADB" w:rsidRPr="00492268" w:rsidRDefault="00E15ADB" w:rsidP="003D6815">
      <w:pPr>
        <w:spacing w:line="276" w:lineRule="auto"/>
        <w:rPr>
          <w:rFonts w:ascii="Arial" w:hAnsi="Arial" w:cs="Arial"/>
          <w:sz w:val="24"/>
          <w:szCs w:val="24"/>
        </w:rPr>
      </w:pPr>
    </w:p>
    <w:p w14:paraId="49DCC58A" w14:textId="77777777" w:rsidR="0006417A" w:rsidRPr="00492268" w:rsidRDefault="00E42ED0" w:rsidP="003D681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Pr>
          <w:rFonts w:ascii="Arial" w:hAnsi="Arial" w:cs="Arial"/>
          <w:b/>
          <w:sz w:val="24"/>
          <w:szCs w:val="24"/>
        </w:rPr>
        <w:t>2</w:t>
      </w:r>
    </w:p>
    <w:p w14:paraId="35932436" w14:textId="77777777" w:rsidR="0006417A" w:rsidRPr="00492268" w:rsidRDefault="0006417A" w:rsidP="0006417A">
      <w:pPr>
        <w:spacing w:after="0" w:line="240" w:lineRule="auto"/>
        <w:rPr>
          <w:rFonts w:ascii="Arial" w:hAnsi="Arial" w:cs="Arial"/>
          <w:b/>
          <w:sz w:val="24"/>
          <w:szCs w:val="24"/>
        </w:rPr>
      </w:pPr>
      <w:r w:rsidRPr="00492268">
        <w:rPr>
          <w:rFonts w:ascii="Arial" w:hAnsi="Arial" w:cs="Arial"/>
          <w:b/>
          <w:sz w:val="24"/>
          <w:szCs w:val="24"/>
        </w:rPr>
        <w:t>Ref:</w:t>
      </w:r>
      <w:r w:rsidRPr="00492268">
        <w:rPr>
          <w:rFonts w:ascii="Arial" w:hAnsi="Arial" w:cs="Arial"/>
          <w:b/>
          <w:sz w:val="24"/>
          <w:szCs w:val="24"/>
        </w:rPr>
        <w:tab/>
        <w:t>IRM Model, Tab 3</w:t>
      </w:r>
    </w:p>
    <w:p w14:paraId="68E106BA" w14:textId="77777777" w:rsidR="0006417A" w:rsidRPr="00492268" w:rsidRDefault="0006417A" w:rsidP="0006417A">
      <w:pPr>
        <w:spacing w:line="240" w:lineRule="auto"/>
        <w:rPr>
          <w:rFonts w:ascii="Arial" w:hAnsi="Arial" w:cs="Arial"/>
          <w:b/>
          <w:sz w:val="24"/>
          <w:szCs w:val="24"/>
        </w:rPr>
      </w:pPr>
      <w:r w:rsidRPr="00492268">
        <w:rPr>
          <w:rFonts w:ascii="Arial" w:hAnsi="Arial" w:cs="Arial"/>
          <w:b/>
          <w:sz w:val="24"/>
          <w:szCs w:val="24"/>
        </w:rPr>
        <w:tab/>
        <w:t>Manager’s Summary, p. 1</w:t>
      </w:r>
      <w:r>
        <w:rPr>
          <w:rFonts w:ascii="Arial" w:hAnsi="Arial" w:cs="Arial"/>
          <w:b/>
          <w:sz w:val="24"/>
          <w:szCs w:val="24"/>
        </w:rPr>
        <w:t>3</w:t>
      </w:r>
    </w:p>
    <w:p w14:paraId="1BCC08FB" w14:textId="3C5C028D" w:rsidR="0006417A" w:rsidRPr="0006417A" w:rsidRDefault="0006417A" w:rsidP="003D6815">
      <w:pPr>
        <w:autoSpaceDE w:val="0"/>
        <w:autoSpaceDN w:val="0"/>
        <w:adjustRightInd w:val="0"/>
        <w:spacing w:after="0" w:line="276" w:lineRule="auto"/>
        <w:rPr>
          <w:rFonts w:ascii="Arial" w:hAnsi="Arial" w:cs="Arial"/>
          <w:sz w:val="24"/>
          <w:szCs w:val="24"/>
        </w:rPr>
      </w:pPr>
      <w:r w:rsidRPr="0006417A">
        <w:rPr>
          <w:rFonts w:ascii="Arial" w:hAnsi="Arial" w:cs="Arial"/>
          <w:sz w:val="24"/>
          <w:szCs w:val="24"/>
        </w:rPr>
        <w:t xml:space="preserve">On page 13 of the Manager’s Summary, Centre Wellington Hydro </w:t>
      </w:r>
      <w:r w:rsidR="002730C3" w:rsidRPr="0006417A">
        <w:rPr>
          <w:rFonts w:ascii="Arial" w:hAnsi="Arial" w:cs="Arial"/>
          <w:sz w:val="24"/>
          <w:szCs w:val="24"/>
        </w:rPr>
        <w:t>state</w:t>
      </w:r>
      <w:r w:rsidR="002730C3">
        <w:rPr>
          <w:rFonts w:ascii="Arial" w:hAnsi="Arial" w:cs="Arial"/>
          <w:sz w:val="24"/>
          <w:szCs w:val="24"/>
        </w:rPr>
        <w:t>d</w:t>
      </w:r>
      <w:r w:rsidR="002730C3" w:rsidRPr="0006417A">
        <w:rPr>
          <w:rFonts w:ascii="Arial" w:hAnsi="Arial" w:cs="Arial"/>
          <w:sz w:val="24"/>
          <w:szCs w:val="24"/>
        </w:rPr>
        <w:t xml:space="preserve"> </w:t>
      </w:r>
      <w:r w:rsidRPr="0006417A">
        <w:rPr>
          <w:rFonts w:ascii="Arial" w:hAnsi="Arial" w:cs="Arial"/>
          <w:sz w:val="24"/>
          <w:szCs w:val="24"/>
        </w:rPr>
        <w:t>that it filed a blank Account 1595 Workform given that it is not proposing to dispose of any of its 1595 balances as a full year has not passed since the sunset rate riders date expired.</w:t>
      </w:r>
    </w:p>
    <w:p w14:paraId="7D813EE0" w14:textId="77777777" w:rsidR="0006417A" w:rsidRPr="0006417A" w:rsidRDefault="0006417A" w:rsidP="003D6815">
      <w:pPr>
        <w:autoSpaceDE w:val="0"/>
        <w:autoSpaceDN w:val="0"/>
        <w:adjustRightInd w:val="0"/>
        <w:spacing w:after="0" w:line="276" w:lineRule="auto"/>
        <w:rPr>
          <w:rFonts w:ascii="Arial" w:hAnsi="Arial" w:cs="Arial"/>
          <w:sz w:val="24"/>
          <w:szCs w:val="24"/>
        </w:rPr>
      </w:pPr>
    </w:p>
    <w:p w14:paraId="62561255" w14:textId="77777777" w:rsidR="0006417A" w:rsidRDefault="0006417A" w:rsidP="003D6815">
      <w:pPr>
        <w:pStyle w:val="ListParagraph"/>
        <w:numPr>
          <w:ilvl w:val="0"/>
          <w:numId w:val="5"/>
        </w:numPr>
        <w:spacing w:after="160"/>
        <w:rPr>
          <w:rFonts w:ascii="Arial" w:hAnsi="Arial" w:cs="Arial"/>
          <w:sz w:val="24"/>
          <w:szCs w:val="24"/>
        </w:rPr>
      </w:pPr>
      <w:r w:rsidRPr="0006417A">
        <w:rPr>
          <w:rFonts w:ascii="Arial" w:hAnsi="Arial" w:cs="Arial"/>
          <w:sz w:val="24"/>
          <w:szCs w:val="24"/>
        </w:rPr>
        <w:t xml:space="preserve">Please confirm </w:t>
      </w:r>
      <w:r>
        <w:rPr>
          <w:rFonts w:ascii="Arial" w:hAnsi="Arial" w:cs="Arial"/>
          <w:sz w:val="24"/>
          <w:szCs w:val="24"/>
        </w:rPr>
        <w:t>that the</w:t>
      </w:r>
      <w:r w:rsidR="005E2398">
        <w:rPr>
          <w:rFonts w:ascii="Arial" w:hAnsi="Arial" w:cs="Arial"/>
          <w:sz w:val="24"/>
          <w:szCs w:val="24"/>
        </w:rPr>
        <w:t xml:space="preserve"> credit</w:t>
      </w:r>
      <w:r>
        <w:rPr>
          <w:rFonts w:ascii="Arial" w:hAnsi="Arial" w:cs="Arial"/>
          <w:sz w:val="24"/>
          <w:szCs w:val="24"/>
        </w:rPr>
        <w:t xml:space="preserve"> balance </w:t>
      </w:r>
      <w:r w:rsidR="005E2398">
        <w:rPr>
          <w:rFonts w:ascii="Arial" w:hAnsi="Arial" w:cs="Arial"/>
          <w:sz w:val="24"/>
          <w:szCs w:val="24"/>
        </w:rPr>
        <w:t xml:space="preserve">of $8,628 </w:t>
      </w:r>
      <w:r>
        <w:rPr>
          <w:rFonts w:ascii="Arial" w:hAnsi="Arial" w:cs="Arial"/>
          <w:sz w:val="24"/>
          <w:szCs w:val="24"/>
        </w:rPr>
        <w:t>showing</w:t>
      </w:r>
      <w:r w:rsidR="005E2398">
        <w:rPr>
          <w:rFonts w:ascii="Arial" w:hAnsi="Arial" w:cs="Arial"/>
          <w:sz w:val="24"/>
          <w:szCs w:val="24"/>
        </w:rPr>
        <w:t xml:space="preserve"> </w:t>
      </w:r>
      <w:r>
        <w:rPr>
          <w:rFonts w:ascii="Arial" w:hAnsi="Arial" w:cs="Arial"/>
          <w:sz w:val="24"/>
          <w:szCs w:val="24"/>
        </w:rPr>
        <w:t>for 2017 would not be eligible for disposition.</w:t>
      </w:r>
    </w:p>
    <w:p w14:paraId="1B0A2391" w14:textId="77777777" w:rsidR="00B31A84" w:rsidRPr="0006417A" w:rsidRDefault="005E2398" w:rsidP="003D6815">
      <w:pPr>
        <w:pStyle w:val="ListParagraph"/>
        <w:numPr>
          <w:ilvl w:val="0"/>
          <w:numId w:val="5"/>
        </w:numPr>
        <w:spacing w:after="160"/>
        <w:rPr>
          <w:rFonts w:ascii="Arial" w:hAnsi="Arial" w:cs="Arial"/>
          <w:sz w:val="24"/>
          <w:szCs w:val="24"/>
          <w:lang w:val="en-US"/>
        </w:rPr>
      </w:pPr>
      <w:r>
        <w:rPr>
          <w:rFonts w:ascii="Arial" w:hAnsi="Arial" w:cs="Arial"/>
          <w:sz w:val="24"/>
          <w:szCs w:val="24"/>
          <w:lang w:val="en-US"/>
        </w:rPr>
        <w:t>A</w:t>
      </w:r>
      <w:r w:rsidRPr="0006417A">
        <w:rPr>
          <w:rFonts w:ascii="Arial" w:hAnsi="Arial" w:cs="Arial"/>
          <w:sz w:val="24"/>
          <w:szCs w:val="24"/>
          <w:lang w:val="en-US"/>
        </w:rPr>
        <w:t xml:space="preserve">ll sub-accounts eligible for disposition are to have the </w:t>
      </w:r>
      <w:r>
        <w:rPr>
          <w:rFonts w:ascii="Arial" w:hAnsi="Arial" w:cs="Arial"/>
          <w:sz w:val="24"/>
          <w:szCs w:val="24"/>
          <w:lang w:val="en-US"/>
        </w:rPr>
        <w:t xml:space="preserve">1595 </w:t>
      </w:r>
      <w:r w:rsidRPr="0006417A">
        <w:rPr>
          <w:rFonts w:ascii="Arial" w:hAnsi="Arial" w:cs="Arial"/>
          <w:sz w:val="24"/>
          <w:szCs w:val="24"/>
          <w:lang w:val="en-US"/>
        </w:rPr>
        <w:t>Workform completed, regardless of whether the account is being requested for disposition</w:t>
      </w:r>
      <w:r>
        <w:rPr>
          <w:rFonts w:ascii="Arial" w:hAnsi="Arial" w:cs="Arial"/>
          <w:sz w:val="24"/>
          <w:szCs w:val="24"/>
          <w:lang w:val="en-US"/>
        </w:rPr>
        <w:t xml:space="preserve">. Please file a complete 1595 Workform for any eligible year(s) (e.g., 2017). </w:t>
      </w:r>
    </w:p>
    <w:p w14:paraId="6F033F99" w14:textId="77777777" w:rsidR="0006417A" w:rsidRDefault="0006417A" w:rsidP="003D6815">
      <w:pPr>
        <w:autoSpaceDE w:val="0"/>
        <w:autoSpaceDN w:val="0"/>
        <w:adjustRightInd w:val="0"/>
        <w:spacing w:line="276" w:lineRule="auto"/>
        <w:rPr>
          <w:rFonts w:ascii="Arial" w:hAnsi="Arial" w:cs="Arial"/>
          <w:sz w:val="24"/>
          <w:szCs w:val="24"/>
        </w:rPr>
      </w:pPr>
    </w:p>
    <w:p w14:paraId="6AABCD2F" w14:textId="77777777" w:rsidR="005E2398" w:rsidRPr="00492268" w:rsidRDefault="00E42ED0" w:rsidP="003D681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Pr>
          <w:rFonts w:ascii="Arial" w:hAnsi="Arial" w:cs="Arial"/>
          <w:b/>
          <w:sz w:val="24"/>
          <w:szCs w:val="24"/>
        </w:rPr>
        <w:t>3</w:t>
      </w:r>
    </w:p>
    <w:p w14:paraId="5BEB86F9" w14:textId="1007CD8B" w:rsidR="005E2398" w:rsidRDefault="005E2398" w:rsidP="003D6815">
      <w:pPr>
        <w:spacing w:line="240" w:lineRule="auto"/>
        <w:rPr>
          <w:rFonts w:ascii="Arial" w:hAnsi="Arial" w:cs="Arial"/>
          <w:b/>
          <w:sz w:val="24"/>
          <w:szCs w:val="24"/>
        </w:rPr>
      </w:pPr>
      <w:r w:rsidRPr="00492268">
        <w:rPr>
          <w:rFonts w:ascii="Arial" w:hAnsi="Arial" w:cs="Arial"/>
          <w:b/>
          <w:sz w:val="24"/>
          <w:szCs w:val="24"/>
        </w:rPr>
        <w:t>Ref:</w:t>
      </w:r>
      <w:r w:rsidRPr="00492268">
        <w:rPr>
          <w:rFonts w:ascii="Arial" w:hAnsi="Arial" w:cs="Arial"/>
          <w:b/>
          <w:sz w:val="24"/>
          <w:szCs w:val="24"/>
        </w:rPr>
        <w:tab/>
      </w:r>
      <w:r w:rsidR="00DF5CB3" w:rsidRPr="00492268">
        <w:rPr>
          <w:rFonts w:ascii="Arial" w:hAnsi="Arial" w:cs="Arial"/>
          <w:b/>
          <w:sz w:val="24"/>
          <w:szCs w:val="24"/>
        </w:rPr>
        <w:t>IRM Model, Tab 3</w:t>
      </w:r>
      <w:r w:rsidR="00DF5CB3">
        <w:rPr>
          <w:rFonts w:ascii="Arial" w:hAnsi="Arial" w:cs="Arial"/>
          <w:b/>
          <w:sz w:val="24"/>
          <w:szCs w:val="24"/>
        </w:rPr>
        <w:t xml:space="preserve"> </w:t>
      </w:r>
    </w:p>
    <w:p w14:paraId="7847B7AE" w14:textId="058CE838" w:rsidR="00DF5CB3" w:rsidRDefault="00DF5CB3" w:rsidP="003D6815">
      <w:pPr>
        <w:spacing w:after="0" w:line="276" w:lineRule="auto"/>
        <w:rPr>
          <w:rFonts w:ascii="Arial" w:hAnsi="Arial" w:cs="Arial"/>
          <w:sz w:val="24"/>
          <w:szCs w:val="24"/>
        </w:rPr>
      </w:pPr>
      <w:r w:rsidRPr="00DF5CB3">
        <w:rPr>
          <w:rFonts w:ascii="Arial" w:hAnsi="Arial" w:cs="Arial"/>
          <w:sz w:val="24"/>
          <w:szCs w:val="24"/>
        </w:rPr>
        <w:t>OEB staff</w:t>
      </w:r>
      <w:r>
        <w:rPr>
          <w:rFonts w:ascii="Arial" w:hAnsi="Arial" w:cs="Arial"/>
          <w:sz w:val="24"/>
          <w:szCs w:val="24"/>
        </w:rPr>
        <w:t xml:space="preserve"> identified an error in a formula in Tab 3 of the IRM Model. The formula for cell BM41 </w:t>
      </w:r>
      <w:r w:rsidR="002730C3">
        <w:rPr>
          <w:rFonts w:ascii="Arial" w:hAnsi="Arial" w:cs="Arial"/>
          <w:sz w:val="24"/>
          <w:szCs w:val="24"/>
        </w:rPr>
        <w:t>currently shows</w:t>
      </w:r>
      <w:r w:rsidR="002730C3">
        <w:rPr>
          <w:rFonts w:ascii="Arial" w:hAnsi="Arial" w:cs="Arial"/>
          <w:sz w:val="24"/>
          <w:szCs w:val="24"/>
        </w:rPr>
        <w:t xml:space="preserve"> </w:t>
      </w:r>
      <w:r>
        <w:rPr>
          <w:rFonts w:ascii="Arial" w:hAnsi="Arial" w:cs="Arial"/>
          <w:sz w:val="24"/>
          <w:szCs w:val="24"/>
        </w:rPr>
        <w:t xml:space="preserve">as follows: BM41 = SUM (BM39, BM40) - BM37. </w:t>
      </w:r>
    </w:p>
    <w:p w14:paraId="725E905C" w14:textId="77777777" w:rsidR="00DF5CB3" w:rsidRDefault="00031102" w:rsidP="00031102">
      <w:pPr>
        <w:spacing w:after="0" w:line="240" w:lineRule="auto"/>
        <w:jc w:val="center"/>
        <w:rPr>
          <w:rFonts w:ascii="Arial" w:hAnsi="Arial" w:cs="Arial"/>
          <w:sz w:val="24"/>
          <w:szCs w:val="24"/>
        </w:rPr>
      </w:pPr>
      <w:r>
        <w:rPr>
          <w:noProof/>
        </w:rPr>
        <w:lastRenderedPageBreak/>
        <w:drawing>
          <wp:inline distT="0" distB="0" distL="0" distR="0" wp14:anchorId="6681BD90" wp14:editId="1A522D68">
            <wp:extent cx="5463560" cy="276695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7231" cy="2778939"/>
                    </a:xfrm>
                    <a:prstGeom prst="rect">
                      <a:avLst/>
                    </a:prstGeom>
                  </pic:spPr>
                </pic:pic>
              </a:graphicData>
            </a:graphic>
          </wp:inline>
        </w:drawing>
      </w:r>
    </w:p>
    <w:p w14:paraId="30D506E5" w14:textId="77777777" w:rsidR="00DF5CB3" w:rsidRDefault="00DF5CB3" w:rsidP="005E2398">
      <w:pPr>
        <w:spacing w:after="0" w:line="240" w:lineRule="auto"/>
        <w:rPr>
          <w:rFonts w:ascii="Arial" w:hAnsi="Arial" w:cs="Arial"/>
          <w:sz w:val="24"/>
          <w:szCs w:val="24"/>
        </w:rPr>
      </w:pPr>
    </w:p>
    <w:p w14:paraId="77764133" w14:textId="77777777" w:rsidR="00DF5CB3" w:rsidRDefault="00DF5CB3" w:rsidP="005E2398">
      <w:pPr>
        <w:spacing w:after="0" w:line="240" w:lineRule="auto"/>
        <w:rPr>
          <w:rFonts w:ascii="Arial" w:hAnsi="Arial" w:cs="Arial"/>
          <w:sz w:val="24"/>
          <w:szCs w:val="24"/>
        </w:rPr>
      </w:pPr>
    </w:p>
    <w:p w14:paraId="0EB042B5" w14:textId="605E7B63" w:rsidR="00DF5CB3" w:rsidRDefault="00DF5CB3" w:rsidP="003D6815">
      <w:pPr>
        <w:spacing w:line="276" w:lineRule="auto"/>
        <w:rPr>
          <w:rFonts w:ascii="Arial" w:hAnsi="Arial" w:cs="Arial"/>
          <w:sz w:val="24"/>
          <w:szCs w:val="24"/>
        </w:rPr>
      </w:pPr>
      <w:r>
        <w:rPr>
          <w:rFonts w:ascii="Arial" w:hAnsi="Arial" w:cs="Arial"/>
          <w:sz w:val="24"/>
          <w:szCs w:val="24"/>
        </w:rPr>
        <w:t xml:space="preserve">The correct formula should be: BM41 = SUM (BM39, BM40). OEB staff has corrected the formula in </w:t>
      </w:r>
      <w:r w:rsidR="002730C3">
        <w:rPr>
          <w:rFonts w:ascii="Arial" w:hAnsi="Arial" w:cs="Arial"/>
          <w:sz w:val="24"/>
          <w:szCs w:val="24"/>
        </w:rPr>
        <w:t>cell BM41 in Tab 3</w:t>
      </w:r>
      <w:r>
        <w:rPr>
          <w:rFonts w:ascii="Arial" w:hAnsi="Arial" w:cs="Arial"/>
          <w:sz w:val="24"/>
          <w:szCs w:val="24"/>
        </w:rPr>
        <w:t xml:space="preserve"> of the IRM Model. Please confirm that the attached </w:t>
      </w:r>
      <w:r w:rsidR="002730C3">
        <w:rPr>
          <w:rFonts w:ascii="Arial" w:hAnsi="Arial" w:cs="Arial"/>
          <w:sz w:val="24"/>
          <w:szCs w:val="24"/>
        </w:rPr>
        <w:t xml:space="preserve">IRM </w:t>
      </w:r>
      <w:r>
        <w:rPr>
          <w:rFonts w:ascii="Arial" w:hAnsi="Arial" w:cs="Arial"/>
          <w:sz w:val="24"/>
          <w:szCs w:val="24"/>
        </w:rPr>
        <w:t xml:space="preserve">model </w:t>
      </w:r>
      <w:bookmarkStart w:id="0" w:name="_GoBack"/>
      <w:bookmarkEnd w:id="0"/>
      <w:r w:rsidR="00F72BB1">
        <w:rPr>
          <w:rFonts w:ascii="Arial" w:hAnsi="Arial" w:cs="Arial"/>
          <w:sz w:val="24"/>
          <w:szCs w:val="24"/>
        </w:rPr>
        <w:t>accurately</w:t>
      </w:r>
      <w:r w:rsidR="00F72BB1">
        <w:rPr>
          <w:rFonts w:ascii="Arial" w:hAnsi="Arial" w:cs="Arial"/>
          <w:sz w:val="24"/>
          <w:szCs w:val="24"/>
        </w:rPr>
        <w:t xml:space="preserve"> </w:t>
      </w:r>
      <w:r>
        <w:rPr>
          <w:rFonts w:ascii="Arial" w:hAnsi="Arial" w:cs="Arial"/>
          <w:sz w:val="24"/>
          <w:szCs w:val="24"/>
        </w:rPr>
        <w:t xml:space="preserve">reflects the correction.  </w:t>
      </w:r>
    </w:p>
    <w:p w14:paraId="1AFBD2ED" w14:textId="77777777" w:rsidR="00E15ADB" w:rsidRDefault="00E15ADB" w:rsidP="00E15ADB">
      <w:pPr>
        <w:spacing w:line="240" w:lineRule="auto"/>
        <w:rPr>
          <w:rFonts w:ascii="Arial" w:hAnsi="Arial" w:cs="Arial"/>
          <w:sz w:val="24"/>
          <w:szCs w:val="24"/>
        </w:rPr>
      </w:pPr>
    </w:p>
    <w:p w14:paraId="49D79847" w14:textId="77777777" w:rsidR="00E15ADB" w:rsidRPr="00492268" w:rsidRDefault="00E15ADB" w:rsidP="003D681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Pr>
          <w:rFonts w:ascii="Arial" w:hAnsi="Arial" w:cs="Arial"/>
          <w:b/>
          <w:sz w:val="24"/>
          <w:szCs w:val="24"/>
        </w:rPr>
        <w:t>4</w:t>
      </w:r>
    </w:p>
    <w:p w14:paraId="6EF9AEE3" w14:textId="77777777" w:rsidR="00E15ADB" w:rsidRDefault="00E15ADB" w:rsidP="003D6815">
      <w:pPr>
        <w:spacing w:line="240" w:lineRule="auto"/>
        <w:rPr>
          <w:rFonts w:ascii="Arial" w:hAnsi="Arial" w:cs="Arial"/>
          <w:b/>
          <w:sz w:val="24"/>
          <w:szCs w:val="24"/>
        </w:rPr>
      </w:pPr>
      <w:r w:rsidRPr="00492268">
        <w:rPr>
          <w:rFonts w:ascii="Arial" w:hAnsi="Arial" w:cs="Arial"/>
          <w:b/>
          <w:sz w:val="24"/>
          <w:szCs w:val="24"/>
        </w:rPr>
        <w:t>Ref:</w:t>
      </w:r>
      <w:r w:rsidRPr="00492268">
        <w:rPr>
          <w:rFonts w:ascii="Arial" w:hAnsi="Arial" w:cs="Arial"/>
          <w:b/>
          <w:sz w:val="24"/>
          <w:szCs w:val="24"/>
        </w:rPr>
        <w:tab/>
        <w:t xml:space="preserve">IRM Model, Tab </w:t>
      </w:r>
      <w:r>
        <w:rPr>
          <w:rFonts w:ascii="Arial" w:hAnsi="Arial" w:cs="Arial"/>
          <w:b/>
          <w:sz w:val="24"/>
          <w:szCs w:val="24"/>
        </w:rPr>
        <w:t>3</w:t>
      </w:r>
    </w:p>
    <w:p w14:paraId="3C1988E9" w14:textId="77777777" w:rsidR="00E15ADB" w:rsidRDefault="00E15ADB" w:rsidP="00E5202F">
      <w:pPr>
        <w:spacing w:after="0" w:line="276" w:lineRule="auto"/>
        <w:rPr>
          <w:rFonts w:ascii="Arial" w:hAnsi="Arial" w:cs="Arial"/>
          <w:sz w:val="24"/>
          <w:szCs w:val="24"/>
        </w:rPr>
      </w:pPr>
      <w:r w:rsidRPr="00E15ADB">
        <w:rPr>
          <w:rFonts w:ascii="Arial" w:hAnsi="Arial" w:cs="Arial"/>
          <w:sz w:val="24"/>
          <w:szCs w:val="24"/>
        </w:rPr>
        <w:t>In Tab 3 of the IRM</w:t>
      </w:r>
      <w:r>
        <w:rPr>
          <w:rFonts w:ascii="Arial" w:hAnsi="Arial" w:cs="Arial"/>
          <w:sz w:val="24"/>
          <w:szCs w:val="24"/>
        </w:rPr>
        <w:t xml:space="preserve"> Model, Centre </w:t>
      </w:r>
      <w:r w:rsidR="004A3EFA">
        <w:rPr>
          <w:rFonts w:ascii="Arial" w:hAnsi="Arial" w:cs="Arial"/>
          <w:sz w:val="24"/>
          <w:szCs w:val="24"/>
        </w:rPr>
        <w:t>Wellington</w:t>
      </w:r>
      <w:r>
        <w:rPr>
          <w:rFonts w:ascii="Arial" w:hAnsi="Arial" w:cs="Arial"/>
          <w:sz w:val="24"/>
          <w:szCs w:val="24"/>
        </w:rPr>
        <w:t xml:space="preserve"> Hydro selected “no” with respect to whether Accounts 1588 and 1589 are being requested for disposition. Please confirm whether “yes” </w:t>
      </w:r>
      <w:r w:rsidR="00134A9E">
        <w:rPr>
          <w:rFonts w:ascii="Arial" w:hAnsi="Arial" w:cs="Arial"/>
          <w:sz w:val="24"/>
          <w:szCs w:val="24"/>
        </w:rPr>
        <w:t xml:space="preserve">should have been selected </w:t>
      </w:r>
      <w:r>
        <w:rPr>
          <w:rFonts w:ascii="Arial" w:hAnsi="Arial" w:cs="Arial"/>
          <w:sz w:val="24"/>
          <w:szCs w:val="24"/>
        </w:rPr>
        <w:t>and update Tab 3 accordingly.</w:t>
      </w:r>
      <w:r w:rsidRPr="00E15ADB">
        <w:rPr>
          <w:rFonts w:ascii="Arial" w:hAnsi="Arial" w:cs="Arial"/>
          <w:sz w:val="24"/>
          <w:szCs w:val="24"/>
        </w:rPr>
        <w:t xml:space="preserve"> </w:t>
      </w:r>
    </w:p>
    <w:p w14:paraId="3AA62597" w14:textId="77777777" w:rsidR="00134A9E" w:rsidRDefault="00134A9E" w:rsidP="005E2398">
      <w:pPr>
        <w:spacing w:after="0" w:line="240" w:lineRule="auto"/>
        <w:rPr>
          <w:rFonts w:ascii="Arial" w:hAnsi="Arial" w:cs="Arial"/>
          <w:sz w:val="24"/>
          <w:szCs w:val="24"/>
        </w:rPr>
      </w:pPr>
    </w:p>
    <w:p w14:paraId="12FCEE9F" w14:textId="77777777" w:rsidR="00E15ADB" w:rsidRPr="00DF5CB3" w:rsidRDefault="00E15ADB" w:rsidP="00E15ADB">
      <w:pPr>
        <w:spacing w:after="0" w:line="240" w:lineRule="auto"/>
        <w:jc w:val="center"/>
        <w:rPr>
          <w:rFonts w:ascii="Arial" w:hAnsi="Arial" w:cs="Arial"/>
          <w:sz w:val="24"/>
          <w:szCs w:val="24"/>
        </w:rPr>
      </w:pPr>
      <w:r>
        <w:rPr>
          <w:noProof/>
        </w:rPr>
        <w:drawing>
          <wp:inline distT="0" distB="0" distL="0" distR="0" wp14:anchorId="5DA4BE6E" wp14:editId="142A5F06">
            <wp:extent cx="5545777" cy="2374423"/>
            <wp:effectExtent l="19050" t="19050" r="17145"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7443" cy="2392262"/>
                    </a:xfrm>
                    <a:prstGeom prst="rect">
                      <a:avLst/>
                    </a:prstGeom>
                    <a:ln>
                      <a:solidFill>
                        <a:schemeClr val="tx1"/>
                      </a:solidFill>
                    </a:ln>
                  </pic:spPr>
                </pic:pic>
              </a:graphicData>
            </a:graphic>
          </wp:inline>
        </w:drawing>
      </w:r>
    </w:p>
    <w:p w14:paraId="0C5AF84C" w14:textId="77777777" w:rsidR="005E2398" w:rsidRPr="00492268" w:rsidRDefault="005E2398" w:rsidP="00E15ADB">
      <w:pPr>
        <w:spacing w:before="160" w:line="240" w:lineRule="auto"/>
        <w:rPr>
          <w:rFonts w:ascii="Arial" w:hAnsi="Arial" w:cs="Arial"/>
          <w:b/>
          <w:sz w:val="24"/>
          <w:szCs w:val="24"/>
        </w:rPr>
      </w:pPr>
      <w:r w:rsidRPr="00492268">
        <w:rPr>
          <w:rFonts w:ascii="Arial" w:hAnsi="Arial" w:cs="Arial"/>
          <w:b/>
          <w:sz w:val="24"/>
          <w:szCs w:val="24"/>
        </w:rPr>
        <w:tab/>
      </w:r>
    </w:p>
    <w:p w14:paraId="18F4275F"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lastRenderedPageBreak/>
        <w:t>Staff Question-5</w:t>
      </w:r>
    </w:p>
    <w:p w14:paraId="69971DFB" w14:textId="77777777" w:rsidR="00037190" w:rsidRPr="00037190" w:rsidRDefault="00037190" w:rsidP="00134A9E">
      <w:pPr>
        <w:spacing w:after="0" w:line="257"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18</w:t>
      </w:r>
    </w:p>
    <w:p w14:paraId="65662868" w14:textId="2BBA99DC"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ab/>
        <w:t xml:space="preserve">CWH_Reply to OEB_Incomplete Letter_2020 IRM_20190823_20190827, </w:t>
      </w:r>
      <w:r w:rsidRPr="00037190">
        <w:rPr>
          <w:rFonts w:ascii="Arial" w:hAnsi="Arial" w:cs="Arial"/>
          <w:b/>
          <w:sz w:val="24"/>
          <w:szCs w:val="24"/>
        </w:rPr>
        <w:tab/>
        <w:t>p</w:t>
      </w:r>
      <w:r w:rsidR="003224DA">
        <w:rPr>
          <w:rFonts w:ascii="Arial" w:hAnsi="Arial" w:cs="Arial"/>
          <w:b/>
          <w:sz w:val="24"/>
          <w:szCs w:val="24"/>
        </w:rPr>
        <w:t xml:space="preserve">. </w:t>
      </w:r>
      <w:r w:rsidRPr="00037190">
        <w:rPr>
          <w:rFonts w:ascii="Arial" w:hAnsi="Arial" w:cs="Arial"/>
          <w:b/>
          <w:sz w:val="24"/>
          <w:szCs w:val="24"/>
        </w:rPr>
        <w:t>3</w:t>
      </w:r>
    </w:p>
    <w:p w14:paraId="1B291226"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 xml:space="preserve">On February 21, 2019, the OEB issued its letter entitled </w:t>
      </w:r>
      <w:r w:rsidRPr="00037190">
        <w:rPr>
          <w:rFonts w:ascii="Arial" w:hAnsi="Arial" w:cs="Arial"/>
          <w:i/>
          <w:sz w:val="24"/>
          <w:szCs w:val="24"/>
        </w:rPr>
        <w:t>Accounting Guidance related to Accounts 1588 Power, and 1589 RSVA Global Adjustment</w:t>
      </w:r>
      <w:r w:rsidRPr="00037190">
        <w:rPr>
          <w:rFonts w:ascii="Arial" w:hAnsi="Arial" w:cs="Arial"/>
          <w:sz w:val="24"/>
          <w:szCs w:val="24"/>
        </w:rPr>
        <w:t xml:space="preserve"> (GA) as well as the related accounting guidance. In their 2020 applications, distributors are to provide a status update on the implementation of the new accounting guidance, a review of historical balances, results of the review, and any adjustments made to account balances.</w:t>
      </w:r>
    </w:p>
    <w:p w14:paraId="11A9F2A8"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The OEB set out its expectations for final disposition requests of commodity pass-through account balances as noted in the Addendum.</w:t>
      </w:r>
      <w:r w:rsidRPr="00037190">
        <w:rPr>
          <w:rFonts w:ascii="Arial" w:hAnsi="Arial" w:cs="Arial"/>
          <w:sz w:val="24"/>
          <w:szCs w:val="24"/>
          <w:vertAlign w:val="superscript"/>
        </w:rPr>
        <w:footnoteReference w:id="1"/>
      </w:r>
    </w:p>
    <w:p w14:paraId="3FCEC902"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first reference Centre Wellington Hydro stated the following:</w:t>
      </w:r>
    </w:p>
    <w:p w14:paraId="7B02317B"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CWH is confident after studying the new accounting guidance published by the </w:t>
      </w:r>
      <w:r>
        <w:rPr>
          <w:rFonts w:ascii="Arial" w:hAnsi="Arial" w:cs="Arial"/>
          <w:sz w:val="24"/>
          <w:szCs w:val="24"/>
        </w:rPr>
        <w:tab/>
      </w:r>
      <w:r w:rsidRPr="00037190">
        <w:rPr>
          <w:rFonts w:ascii="Arial" w:hAnsi="Arial" w:cs="Arial"/>
          <w:sz w:val="24"/>
          <w:szCs w:val="24"/>
        </w:rPr>
        <w:t xml:space="preserve">OEB and reviewing CWH’s DVA’s historical balances which were disposed of in </w:t>
      </w:r>
      <w:r>
        <w:rPr>
          <w:rFonts w:ascii="Arial" w:hAnsi="Arial" w:cs="Arial"/>
          <w:sz w:val="24"/>
          <w:szCs w:val="24"/>
        </w:rPr>
        <w:tab/>
      </w:r>
      <w:r w:rsidRPr="00037190">
        <w:rPr>
          <w:rFonts w:ascii="Arial" w:hAnsi="Arial" w:cs="Arial"/>
          <w:sz w:val="24"/>
          <w:szCs w:val="24"/>
        </w:rPr>
        <w:t xml:space="preserve">CWH’s 2019 IRM, that those balances approved on an interim disposition are </w:t>
      </w:r>
      <w:r>
        <w:rPr>
          <w:rFonts w:ascii="Arial" w:hAnsi="Arial" w:cs="Arial"/>
          <w:sz w:val="24"/>
          <w:szCs w:val="24"/>
        </w:rPr>
        <w:tab/>
      </w:r>
      <w:r w:rsidRPr="00037190">
        <w:rPr>
          <w:rFonts w:ascii="Arial" w:hAnsi="Arial" w:cs="Arial"/>
          <w:sz w:val="24"/>
          <w:szCs w:val="24"/>
        </w:rPr>
        <w:t>accurate and complete and should be deemed final disposition.</w:t>
      </w:r>
    </w:p>
    <w:p w14:paraId="1E314122" w14:textId="77777777" w:rsid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second reference Centre Wellington Hydro stated the following:</w:t>
      </w:r>
    </w:p>
    <w:p w14:paraId="629C7C28" w14:textId="5194FAE5" w:rsidR="00037190" w:rsidRDefault="00037190" w:rsidP="003D6815">
      <w:pPr>
        <w:spacing w:after="0"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CWH is currently in the process of updating CWH’s methodology in order to </w:t>
      </w:r>
      <w:r>
        <w:rPr>
          <w:rFonts w:ascii="Arial" w:hAnsi="Arial" w:cs="Arial"/>
          <w:sz w:val="24"/>
          <w:szCs w:val="24"/>
        </w:rPr>
        <w:tab/>
      </w:r>
      <w:r w:rsidRPr="00037190">
        <w:rPr>
          <w:rFonts w:ascii="Arial" w:hAnsi="Arial" w:cs="Arial"/>
          <w:sz w:val="24"/>
          <w:szCs w:val="24"/>
        </w:rPr>
        <w:t>comply with the new accounting guidance effective January 1, 2019…</w:t>
      </w:r>
    </w:p>
    <w:p w14:paraId="5B69FC5B" w14:textId="77777777" w:rsidR="00B541B2" w:rsidRPr="00037190" w:rsidRDefault="00B541B2" w:rsidP="003D6815">
      <w:pPr>
        <w:spacing w:after="0" w:line="276" w:lineRule="auto"/>
        <w:rPr>
          <w:rFonts w:ascii="Arial" w:hAnsi="Arial" w:cs="Arial"/>
          <w:sz w:val="24"/>
          <w:szCs w:val="24"/>
        </w:rPr>
      </w:pPr>
    </w:p>
    <w:p w14:paraId="2853FD53" w14:textId="77777777" w:rsidR="00037190" w:rsidRPr="00037190" w:rsidRDefault="00037190" w:rsidP="003D6815">
      <w:pPr>
        <w:numPr>
          <w:ilvl w:val="0"/>
          <w:numId w:val="18"/>
        </w:numPr>
        <w:spacing w:after="0" w:line="276" w:lineRule="auto"/>
        <w:rPr>
          <w:rFonts w:ascii="Arial" w:hAnsi="Arial" w:cs="Arial"/>
          <w:sz w:val="24"/>
          <w:szCs w:val="24"/>
        </w:rPr>
      </w:pPr>
      <w:r w:rsidRPr="00037190">
        <w:rPr>
          <w:rFonts w:ascii="Arial" w:hAnsi="Arial" w:cs="Arial"/>
          <w:sz w:val="24"/>
          <w:szCs w:val="24"/>
        </w:rPr>
        <w:t>Please explain why Centre Wellington Hydro is seeking recovery of its deferral and variance account (DVA) balances approved on an interim disposition in its prior proceeding, on a final basis in this proceeding, when Centre Wellington is still in the process of updating its methodology to comply with the OEB’s new accounting guidance issued February 21, 2019.</w:t>
      </w:r>
    </w:p>
    <w:p w14:paraId="392A171E" w14:textId="77777777" w:rsidR="00037190" w:rsidRPr="00037190" w:rsidRDefault="00037190" w:rsidP="003D6815">
      <w:pPr>
        <w:numPr>
          <w:ilvl w:val="0"/>
          <w:numId w:val="18"/>
        </w:numPr>
        <w:spacing w:after="0" w:line="276" w:lineRule="auto"/>
        <w:rPr>
          <w:rFonts w:ascii="Arial" w:hAnsi="Arial" w:cs="Arial"/>
          <w:sz w:val="24"/>
          <w:szCs w:val="24"/>
        </w:rPr>
      </w:pPr>
      <w:r w:rsidRPr="00037190">
        <w:rPr>
          <w:rFonts w:ascii="Arial" w:hAnsi="Arial" w:cs="Arial"/>
          <w:sz w:val="24"/>
          <w:szCs w:val="24"/>
        </w:rPr>
        <w:t>Please provide further details on the review that was completed, and any summary reports available (e.g. how the review was done).</w:t>
      </w:r>
    </w:p>
    <w:p w14:paraId="1EC5BC0F" w14:textId="77777777" w:rsidR="00037190" w:rsidRPr="00037190" w:rsidRDefault="00037190" w:rsidP="003D6815">
      <w:pPr>
        <w:numPr>
          <w:ilvl w:val="0"/>
          <w:numId w:val="18"/>
        </w:numPr>
        <w:spacing w:line="276" w:lineRule="auto"/>
        <w:rPr>
          <w:rFonts w:ascii="Arial" w:hAnsi="Arial" w:cs="Arial"/>
          <w:sz w:val="24"/>
          <w:szCs w:val="24"/>
        </w:rPr>
      </w:pPr>
      <w:r w:rsidRPr="00037190">
        <w:rPr>
          <w:rFonts w:ascii="Arial" w:hAnsi="Arial" w:cs="Arial"/>
          <w:sz w:val="24"/>
          <w:szCs w:val="24"/>
        </w:rPr>
        <w:t>If adjustments to the DVAs have not been quantified, please provide a timeline as to when the applicant expects any discrepancies to be resolved.</w:t>
      </w:r>
    </w:p>
    <w:p w14:paraId="22CC3CFB" w14:textId="77777777" w:rsidR="00037190" w:rsidRPr="00037190" w:rsidRDefault="00037190" w:rsidP="003D6815">
      <w:pPr>
        <w:spacing w:line="276" w:lineRule="auto"/>
        <w:rPr>
          <w:rFonts w:ascii="Arial" w:hAnsi="Arial" w:cs="Arial"/>
          <w:sz w:val="24"/>
          <w:szCs w:val="24"/>
        </w:rPr>
      </w:pPr>
    </w:p>
    <w:p w14:paraId="0804E9DA" w14:textId="30AD5215"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Pr>
          <w:rFonts w:ascii="Arial" w:hAnsi="Arial" w:cs="Arial"/>
          <w:b/>
          <w:sz w:val="24"/>
          <w:szCs w:val="24"/>
        </w:rPr>
        <w:t>6</w:t>
      </w:r>
    </w:p>
    <w:p w14:paraId="3F8BF8BB"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Manger’s Summary, p. 19</w:t>
      </w:r>
    </w:p>
    <w:p w14:paraId="77D20209" w14:textId="232CA92F" w:rsidR="00037190" w:rsidRDefault="00037190" w:rsidP="003D6815">
      <w:pPr>
        <w:spacing w:after="0" w:line="276" w:lineRule="auto"/>
        <w:rPr>
          <w:rFonts w:ascii="Arial" w:hAnsi="Arial" w:cs="Arial"/>
          <w:sz w:val="24"/>
          <w:szCs w:val="24"/>
        </w:rPr>
      </w:pPr>
      <w:r w:rsidRPr="00037190">
        <w:rPr>
          <w:rFonts w:ascii="Arial" w:hAnsi="Arial" w:cs="Arial"/>
          <w:sz w:val="24"/>
          <w:szCs w:val="24"/>
        </w:rPr>
        <w:lastRenderedPageBreak/>
        <w:t>At the above noted reference, the Account 1588 balance is described. Specifically, regarding the Global Adjustment (GA) file “GA-Analysis-Workform-Instructions-20190715.docx”, “Appendix A GA Methodology Description Questions on Accounts 1588 &amp; 1589” (or page 15 of the document), the table in Question 1 for Account 1588 requests the “Balance December 31, 2018”.</w:t>
      </w:r>
    </w:p>
    <w:p w14:paraId="03632341" w14:textId="77777777" w:rsidR="00B541B2" w:rsidRPr="00037190" w:rsidRDefault="00B541B2" w:rsidP="003D6815">
      <w:pPr>
        <w:spacing w:after="0" w:line="276" w:lineRule="auto"/>
        <w:rPr>
          <w:rFonts w:ascii="Arial" w:hAnsi="Arial" w:cs="Arial"/>
          <w:sz w:val="24"/>
          <w:szCs w:val="24"/>
        </w:rPr>
      </w:pPr>
    </w:p>
    <w:p w14:paraId="4EA506E2" w14:textId="77777777" w:rsidR="00037190" w:rsidRPr="00037190" w:rsidRDefault="00037190" w:rsidP="003D6815">
      <w:pPr>
        <w:numPr>
          <w:ilvl w:val="0"/>
          <w:numId w:val="19"/>
        </w:numPr>
        <w:spacing w:after="0" w:line="276" w:lineRule="auto"/>
        <w:rPr>
          <w:rFonts w:ascii="Arial" w:hAnsi="Arial" w:cs="Arial"/>
          <w:sz w:val="24"/>
          <w:szCs w:val="24"/>
        </w:rPr>
      </w:pPr>
      <w:r w:rsidRPr="00037190">
        <w:rPr>
          <w:rFonts w:ascii="Arial" w:hAnsi="Arial" w:cs="Arial"/>
          <w:sz w:val="24"/>
          <w:szCs w:val="24"/>
        </w:rPr>
        <w:t xml:space="preserve">Please confirm that the first line of this table represents the Account 1588 general ledger balance as at December 31, 2018. </w:t>
      </w:r>
    </w:p>
    <w:p w14:paraId="2C05F06F" w14:textId="77777777" w:rsidR="00037190" w:rsidRPr="00037190" w:rsidRDefault="00037190" w:rsidP="003D6815">
      <w:pPr>
        <w:numPr>
          <w:ilvl w:val="0"/>
          <w:numId w:val="19"/>
        </w:numPr>
        <w:spacing w:after="0" w:line="276" w:lineRule="auto"/>
        <w:rPr>
          <w:rFonts w:ascii="Arial" w:hAnsi="Arial" w:cs="Arial"/>
          <w:sz w:val="24"/>
          <w:szCs w:val="24"/>
        </w:rPr>
      </w:pPr>
      <w:r w:rsidRPr="00037190">
        <w:rPr>
          <w:rFonts w:ascii="Arial" w:hAnsi="Arial" w:cs="Arial"/>
          <w:sz w:val="24"/>
          <w:szCs w:val="24"/>
        </w:rPr>
        <w:t>Please confirm that last line of this table represents the closing principal Account 1588 balance as at December 31, 2018 in the DVA continuity schedule (cell BG28).</w:t>
      </w:r>
    </w:p>
    <w:p w14:paraId="7AE58E1D" w14:textId="77777777" w:rsidR="00037190" w:rsidRPr="00037190" w:rsidRDefault="00037190" w:rsidP="003D6815">
      <w:pPr>
        <w:numPr>
          <w:ilvl w:val="0"/>
          <w:numId w:val="19"/>
        </w:numPr>
        <w:spacing w:after="0" w:line="276" w:lineRule="auto"/>
        <w:rPr>
          <w:rFonts w:ascii="Arial" w:hAnsi="Arial" w:cs="Arial"/>
          <w:sz w:val="24"/>
          <w:szCs w:val="24"/>
        </w:rPr>
      </w:pPr>
      <w:r w:rsidRPr="00037190">
        <w:rPr>
          <w:rFonts w:ascii="Arial" w:hAnsi="Arial" w:cs="Arial"/>
          <w:sz w:val="24"/>
          <w:szCs w:val="24"/>
        </w:rPr>
        <w:t>Please explain any differences between (i) and (ii), considering any OEB-approved dispositions that occurred in the year</w:t>
      </w:r>
    </w:p>
    <w:p w14:paraId="5389ECCA" w14:textId="77777777" w:rsidR="00037190" w:rsidRPr="00037190" w:rsidRDefault="00037190" w:rsidP="003D6815">
      <w:pPr>
        <w:numPr>
          <w:ilvl w:val="0"/>
          <w:numId w:val="19"/>
        </w:numPr>
        <w:spacing w:after="0" w:line="276" w:lineRule="auto"/>
        <w:rPr>
          <w:rFonts w:ascii="Arial" w:hAnsi="Arial" w:cs="Arial"/>
          <w:sz w:val="24"/>
          <w:szCs w:val="24"/>
        </w:rPr>
      </w:pPr>
      <w:r w:rsidRPr="00037190">
        <w:rPr>
          <w:rFonts w:ascii="Arial" w:hAnsi="Arial" w:cs="Arial"/>
          <w:sz w:val="24"/>
          <w:szCs w:val="24"/>
        </w:rPr>
        <w:t>Please also repeat steps (i), (ii), and (iii) for Account 1588 balances as at December 31, 2017.</w:t>
      </w:r>
    </w:p>
    <w:p w14:paraId="6D4DDDC4" w14:textId="77777777" w:rsidR="00037190" w:rsidRPr="00037190" w:rsidRDefault="00037190" w:rsidP="003D6815">
      <w:pPr>
        <w:numPr>
          <w:ilvl w:val="0"/>
          <w:numId w:val="19"/>
        </w:numPr>
        <w:spacing w:after="0" w:line="276" w:lineRule="auto"/>
        <w:rPr>
          <w:rFonts w:ascii="Arial" w:hAnsi="Arial" w:cs="Arial"/>
          <w:sz w:val="24"/>
          <w:szCs w:val="24"/>
        </w:rPr>
      </w:pPr>
      <w:r w:rsidRPr="00037190">
        <w:rPr>
          <w:rFonts w:ascii="Arial" w:hAnsi="Arial" w:cs="Arial"/>
          <w:sz w:val="24"/>
          <w:szCs w:val="24"/>
        </w:rPr>
        <w:t>If the revised table shows a material change in the assessment of the Account 1588 balance, please quantify and explain.</w:t>
      </w:r>
    </w:p>
    <w:p w14:paraId="5F41A6FB" w14:textId="77777777" w:rsidR="00037190" w:rsidRPr="00037190" w:rsidRDefault="00037190" w:rsidP="003D6815">
      <w:pPr>
        <w:numPr>
          <w:ilvl w:val="0"/>
          <w:numId w:val="19"/>
        </w:numPr>
        <w:spacing w:after="0" w:line="276" w:lineRule="auto"/>
        <w:rPr>
          <w:rFonts w:ascii="Arial" w:hAnsi="Arial" w:cs="Arial"/>
          <w:sz w:val="24"/>
          <w:szCs w:val="24"/>
        </w:rPr>
      </w:pPr>
      <w:r w:rsidRPr="00037190">
        <w:rPr>
          <w:rFonts w:ascii="Arial" w:hAnsi="Arial" w:cs="Arial"/>
          <w:sz w:val="24"/>
          <w:szCs w:val="24"/>
        </w:rPr>
        <w:t>Please also file a similar table relating to 2017 balances for Account 1588.</w:t>
      </w:r>
    </w:p>
    <w:p w14:paraId="74AFD1E8" w14:textId="77777777" w:rsidR="00037190" w:rsidRPr="00037190" w:rsidRDefault="00037190" w:rsidP="003D6815">
      <w:pPr>
        <w:numPr>
          <w:ilvl w:val="0"/>
          <w:numId w:val="19"/>
        </w:numPr>
        <w:spacing w:after="0" w:line="276" w:lineRule="auto"/>
        <w:rPr>
          <w:rFonts w:ascii="Arial" w:hAnsi="Arial" w:cs="Arial"/>
          <w:sz w:val="24"/>
          <w:szCs w:val="24"/>
        </w:rPr>
      </w:pPr>
      <w:r w:rsidRPr="00037190">
        <w:rPr>
          <w:rFonts w:ascii="Arial" w:hAnsi="Arial" w:cs="Arial"/>
          <w:sz w:val="24"/>
          <w:szCs w:val="24"/>
        </w:rPr>
        <w:t>Please quantify and explain any large amounts shown in these tables relating to 2017 and 2018 balances.</w:t>
      </w:r>
    </w:p>
    <w:p w14:paraId="1814B29C" w14:textId="77777777" w:rsidR="00037190" w:rsidRPr="00037190" w:rsidRDefault="00037190" w:rsidP="00037190">
      <w:pPr>
        <w:spacing w:line="256" w:lineRule="auto"/>
        <w:rPr>
          <w:rFonts w:ascii="Arial" w:hAnsi="Arial" w:cs="Arial"/>
          <w:sz w:val="24"/>
          <w:szCs w:val="24"/>
        </w:rPr>
      </w:pPr>
    </w:p>
    <w:p w14:paraId="6D14D1ED" w14:textId="0432BC36"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Pr>
          <w:rFonts w:ascii="Arial" w:hAnsi="Arial" w:cs="Arial"/>
          <w:b/>
          <w:sz w:val="24"/>
          <w:szCs w:val="24"/>
        </w:rPr>
        <w:t>7</w:t>
      </w:r>
    </w:p>
    <w:p w14:paraId="52C66755"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14</w:t>
      </w:r>
    </w:p>
    <w:p w14:paraId="207719FF"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reference Centre Wellington Hydro stated the following:</w:t>
      </w:r>
    </w:p>
    <w:p w14:paraId="142D179E"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During 2017 CWH did not have any Class A customers. As of July 1, 2018, CWH </w:t>
      </w:r>
      <w:r>
        <w:rPr>
          <w:rFonts w:ascii="Arial" w:hAnsi="Arial" w:cs="Arial"/>
          <w:sz w:val="24"/>
          <w:szCs w:val="24"/>
        </w:rPr>
        <w:tab/>
      </w:r>
      <w:r w:rsidRPr="00037190">
        <w:rPr>
          <w:rFonts w:ascii="Arial" w:hAnsi="Arial" w:cs="Arial"/>
          <w:sz w:val="24"/>
          <w:szCs w:val="24"/>
        </w:rPr>
        <w:t xml:space="preserve">had two customers become Class A. The same two customers effective July 1, </w:t>
      </w:r>
      <w:r>
        <w:rPr>
          <w:rFonts w:ascii="Arial" w:hAnsi="Arial" w:cs="Arial"/>
          <w:sz w:val="24"/>
          <w:szCs w:val="24"/>
        </w:rPr>
        <w:tab/>
      </w:r>
      <w:r w:rsidRPr="00037190">
        <w:rPr>
          <w:rFonts w:ascii="Arial" w:hAnsi="Arial" w:cs="Arial"/>
          <w:sz w:val="24"/>
          <w:szCs w:val="24"/>
        </w:rPr>
        <w:t>2019 have continued to be Class A customers.</w:t>
      </w:r>
    </w:p>
    <w:p w14:paraId="20EFC2EB"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Please complete the 2020 IRM generator model by populating the additional tabs applicable to customers that have transitioned to Class A, specifically the CBR additional tab and the GA additional tab.</w:t>
      </w:r>
    </w:p>
    <w:p w14:paraId="291585E4" w14:textId="77777777" w:rsidR="00037190" w:rsidRPr="00037190" w:rsidRDefault="00037190" w:rsidP="003D6815">
      <w:pPr>
        <w:spacing w:line="276" w:lineRule="auto"/>
        <w:rPr>
          <w:rFonts w:ascii="Arial" w:hAnsi="Arial" w:cs="Arial"/>
          <w:sz w:val="24"/>
          <w:szCs w:val="24"/>
        </w:rPr>
      </w:pPr>
    </w:p>
    <w:p w14:paraId="39BE5179" w14:textId="296B0928"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Pr>
          <w:rFonts w:ascii="Arial" w:hAnsi="Arial" w:cs="Arial"/>
          <w:b/>
          <w:sz w:val="24"/>
          <w:szCs w:val="24"/>
        </w:rPr>
        <w:t>8</w:t>
      </w:r>
    </w:p>
    <w:p w14:paraId="55485A09"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17</w:t>
      </w:r>
    </w:p>
    <w:p w14:paraId="53B2E542" w14:textId="77777777" w:rsidR="00037190" w:rsidRPr="00037190" w:rsidRDefault="00037190" w:rsidP="00037190">
      <w:pPr>
        <w:spacing w:line="256" w:lineRule="auto"/>
        <w:rPr>
          <w:rFonts w:ascii="Arial" w:hAnsi="Arial" w:cs="Arial"/>
          <w:sz w:val="24"/>
          <w:szCs w:val="24"/>
        </w:rPr>
      </w:pPr>
      <w:r w:rsidRPr="00037190">
        <w:rPr>
          <w:rFonts w:ascii="Arial" w:hAnsi="Arial" w:cs="Arial"/>
          <w:sz w:val="24"/>
          <w:szCs w:val="24"/>
        </w:rPr>
        <w:t>At the above noted reference Centre Wellington Hydro stated the following:</w:t>
      </w:r>
    </w:p>
    <w:p w14:paraId="1111F497" w14:textId="77777777" w:rsidR="00037190" w:rsidRPr="00037190" w:rsidRDefault="00037190" w:rsidP="003D6815">
      <w:pPr>
        <w:spacing w:after="0" w:line="257"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The Global Adjustment revenue, which is billed directly to the non-RPP </w:t>
      </w:r>
      <w:r>
        <w:rPr>
          <w:rFonts w:ascii="Arial" w:hAnsi="Arial" w:cs="Arial"/>
          <w:sz w:val="24"/>
          <w:szCs w:val="24"/>
        </w:rPr>
        <w:tab/>
      </w:r>
      <w:r w:rsidRPr="00037190">
        <w:rPr>
          <w:rFonts w:ascii="Arial" w:hAnsi="Arial" w:cs="Arial"/>
          <w:sz w:val="24"/>
          <w:szCs w:val="24"/>
        </w:rPr>
        <w:t xml:space="preserve">customers, is posted directly to account 4707 – Global Adjustment from our CIS </w:t>
      </w:r>
      <w:r>
        <w:rPr>
          <w:rFonts w:ascii="Arial" w:hAnsi="Arial" w:cs="Arial"/>
          <w:sz w:val="24"/>
          <w:szCs w:val="24"/>
        </w:rPr>
        <w:lastRenderedPageBreak/>
        <w:tab/>
      </w:r>
      <w:r w:rsidRPr="00037190">
        <w:rPr>
          <w:rFonts w:ascii="Arial" w:hAnsi="Arial" w:cs="Arial"/>
          <w:sz w:val="24"/>
          <w:szCs w:val="24"/>
        </w:rPr>
        <w:t>system and accrued back to the appropriate month, via a monthly journal entry.</w:t>
      </w:r>
      <w:r w:rsidRPr="00037190">
        <w:rPr>
          <w:rFonts w:ascii="Arial" w:hAnsi="Arial" w:cs="Arial"/>
          <w:b/>
          <w:sz w:val="24"/>
          <w:szCs w:val="24"/>
        </w:rPr>
        <w:br/>
      </w:r>
    </w:p>
    <w:p w14:paraId="78E0EFA3" w14:textId="77777777" w:rsidR="00037190" w:rsidRPr="00037190" w:rsidRDefault="00037190" w:rsidP="00037190">
      <w:pPr>
        <w:numPr>
          <w:ilvl w:val="0"/>
          <w:numId w:val="13"/>
        </w:numPr>
        <w:spacing w:after="0" w:line="257" w:lineRule="auto"/>
        <w:rPr>
          <w:rFonts w:ascii="Arial" w:hAnsi="Arial" w:cs="Arial"/>
          <w:sz w:val="24"/>
          <w:szCs w:val="24"/>
        </w:rPr>
      </w:pPr>
      <w:r w:rsidRPr="00037190">
        <w:rPr>
          <w:rFonts w:ascii="Arial" w:hAnsi="Arial" w:cs="Arial"/>
          <w:sz w:val="24"/>
          <w:szCs w:val="24"/>
        </w:rPr>
        <w:t>Please explain why GA revenue is posted directly to an expense account, Account 4707 Global Adjustment, instead of revenue accounts.</w:t>
      </w:r>
    </w:p>
    <w:p w14:paraId="6856358D" w14:textId="77777777" w:rsidR="00037190" w:rsidRPr="00037190" w:rsidRDefault="00037190" w:rsidP="00037190">
      <w:pPr>
        <w:numPr>
          <w:ilvl w:val="0"/>
          <w:numId w:val="13"/>
        </w:numPr>
        <w:spacing w:after="0" w:line="257" w:lineRule="auto"/>
        <w:rPr>
          <w:rFonts w:ascii="Arial" w:hAnsi="Arial" w:cs="Arial"/>
          <w:sz w:val="24"/>
          <w:szCs w:val="24"/>
        </w:rPr>
      </w:pPr>
      <w:r w:rsidRPr="00037190">
        <w:rPr>
          <w:rFonts w:ascii="Arial" w:hAnsi="Arial" w:cs="Arial"/>
          <w:sz w:val="24"/>
          <w:szCs w:val="24"/>
        </w:rPr>
        <w:t>Please explain and quantify any impact on Account 1588 and Account 1589 from Centre Wellington Hydro posting GA revenue to an expense account, instead of revenue accounts.</w:t>
      </w:r>
    </w:p>
    <w:p w14:paraId="2014E57C" w14:textId="7EB5770D" w:rsidR="00037190" w:rsidRPr="00037190" w:rsidRDefault="00037190" w:rsidP="00037190">
      <w:pPr>
        <w:numPr>
          <w:ilvl w:val="0"/>
          <w:numId w:val="13"/>
        </w:numPr>
        <w:spacing w:after="0" w:line="257" w:lineRule="auto"/>
        <w:rPr>
          <w:rFonts w:ascii="Arial" w:hAnsi="Arial" w:cs="Arial"/>
          <w:sz w:val="24"/>
          <w:szCs w:val="24"/>
        </w:rPr>
      </w:pPr>
      <w:r w:rsidRPr="00037190">
        <w:rPr>
          <w:rFonts w:ascii="Arial" w:hAnsi="Arial" w:cs="Arial"/>
          <w:sz w:val="24"/>
          <w:szCs w:val="24"/>
        </w:rPr>
        <w:t>Please explain Centre Wellington Hydro’s process in more detail to conform to the OEB’s February 21, 2019 Accounting Guidance, when it is evident that some deviations may remain.</w:t>
      </w:r>
    </w:p>
    <w:p w14:paraId="5CB47C12" w14:textId="77777777" w:rsidR="00037190" w:rsidRPr="00037190" w:rsidRDefault="00037190" w:rsidP="00037190">
      <w:pPr>
        <w:spacing w:line="256" w:lineRule="auto"/>
        <w:rPr>
          <w:rFonts w:ascii="Arial" w:hAnsi="Arial" w:cs="Arial"/>
          <w:sz w:val="24"/>
          <w:szCs w:val="24"/>
        </w:rPr>
      </w:pPr>
    </w:p>
    <w:p w14:paraId="130896F5" w14:textId="12A5295C"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Pr>
          <w:rFonts w:ascii="Arial" w:hAnsi="Arial" w:cs="Arial"/>
          <w:b/>
          <w:sz w:val="24"/>
          <w:szCs w:val="24"/>
        </w:rPr>
        <w:t>9</w:t>
      </w:r>
    </w:p>
    <w:p w14:paraId="4B93F55E"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21</w:t>
      </w:r>
    </w:p>
    <w:p w14:paraId="0638F21E"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reference Centre Wellington Hydro stated the following:</w:t>
      </w:r>
    </w:p>
    <w:p w14:paraId="3339F783" w14:textId="653056CE" w:rsidR="00B541B2" w:rsidRPr="00037190" w:rsidRDefault="00037190" w:rsidP="003D6815">
      <w:pPr>
        <w:spacing w:after="0"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CWH does the 1st true up by monthly true up of the GA rate to final rate, as </w:t>
      </w:r>
      <w:r>
        <w:rPr>
          <w:rFonts w:ascii="Arial" w:hAnsi="Arial" w:cs="Arial"/>
          <w:sz w:val="24"/>
          <w:szCs w:val="24"/>
        </w:rPr>
        <w:tab/>
      </w:r>
      <w:r w:rsidRPr="00037190">
        <w:rPr>
          <w:rFonts w:ascii="Arial" w:hAnsi="Arial" w:cs="Arial"/>
          <w:sz w:val="24"/>
          <w:szCs w:val="24"/>
        </w:rPr>
        <w:t xml:space="preserve">described in Section 10 “Global Adjustment” in the Managers Summary of </w:t>
      </w:r>
      <w:r>
        <w:rPr>
          <w:rFonts w:ascii="Arial" w:hAnsi="Arial" w:cs="Arial"/>
          <w:sz w:val="24"/>
          <w:szCs w:val="24"/>
        </w:rPr>
        <w:tab/>
      </w:r>
      <w:r w:rsidRPr="00037190">
        <w:rPr>
          <w:rFonts w:ascii="Arial" w:hAnsi="Arial" w:cs="Arial"/>
          <w:sz w:val="24"/>
          <w:szCs w:val="24"/>
        </w:rPr>
        <w:t xml:space="preserve">CWH’s 2020 IRM Application, and quarterly/annually 2nd true up of the </w:t>
      </w:r>
      <w:r>
        <w:rPr>
          <w:rFonts w:ascii="Arial" w:hAnsi="Arial" w:cs="Arial"/>
          <w:sz w:val="24"/>
          <w:szCs w:val="24"/>
        </w:rPr>
        <w:tab/>
      </w:r>
      <w:r w:rsidRPr="00037190">
        <w:rPr>
          <w:rFonts w:ascii="Arial" w:hAnsi="Arial" w:cs="Arial"/>
          <w:sz w:val="24"/>
          <w:szCs w:val="24"/>
        </w:rPr>
        <w:t xml:space="preserve">estimated volume to actual volume. The actual volume is obtained from our </w:t>
      </w:r>
      <w:r>
        <w:rPr>
          <w:rFonts w:ascii="Arial" w:hAnsi="Arial" w:cs="Arial"/>
          <w:sz w:val="24"/>
          <w:szCs w:val="24"/>
        </w:rPr>
        <w:tab/>
      </w:r>
      <w:r w:rsidRPr="00037190">
        <w:rPr>
          <w:rFonts w:ascii="Arial" w:hAnsi="Arial" w:cs="Arial"/>
          <w:sz w:val="24"/>
          <w:szCs w:val="24"/>
        </w:rPr>
        <w:t xml:space="preserve">billing system, which separates the volume of each TOU/Tier 1 &amp; 2 and uses the </w:t>
      </w:r>
      <w:r>
        <w:rPr>
          <w:rFonts w:ascii="Arial" w:hAnsi="Arial" w:cs="Arial"/>
          <w:sz w:val="24"/>
          <w:szCs w:val="24"/>
        </w:rPr>
        <w:tab/>
      </w:r>
      <w:r w:rsidRPr="00037190">
        <w:rPr>
          <w:rFonts w:ascii="Arial" w:hAnsi="Arial" w:cs="Arial"/>
          <w:sz w:val="24"/>
          <w:szCs w:val="24"/>
        </w:rPr>
        <w:t>particular prices for each TOU/Tier 1 &amp; 2.</w:t>
      </w:r>
    </w:p>
    <w:p w14:paraId="7657C0E0" w14:textId="77777777" w:rsidR="00037190" w:rsidRPr="00037190" w:rsidRDefault="00037190" w:rsidP="003D6815">
      <w:pPr>
        <w:spacing w:after="0" w:line="276" w:lineRule="auto"/>
        <w:rPr>
          <w:rFonts w:ascii="Arial" w:hAnsi="Arial" w:cs="Arial"/>
          <w:b/>
          <w:sz w:val="24"/>
          <w:szCs w:val="24"/>
        </w:rPr>
      </w:pPr>
    </w:p>
    <w:p w14:paraId="1F8F4B96" w14:textId="77777777" w:rsidR="00037190" w:rsidRPr="00037190" w:rsidRDefault="00037190" w:rsidP="003D6815">
      <w:pPr>
        <w:numPr>
          <w:ilvl w:val="0"/>
          <w:numId w:val="14"/>
        </w:numPr>
        <w:spacing w:after="0" w:line="276" w:lineRule="auto"/>
        <w:rPr>
          <w:rFonts w:ascii="Arial" w:hAnsi="Arial" w:cs="Arial"/>
          <w:sz w:val="24"/>
          <w:szCs w:val="24"/>
        </w:rPr>
      </w:pPr>
      <w:r w:rsidRPr="00037190">
        <w:rPr>
          <w:rFonts w:ascii="Arial" w:hAnsi="Arial" w:cs="Arial"/>
          <w:sz w:val="24"/>
          <w:szCs w:val="24"/>
        </w:rPr>
        <w:t>Please describe how Centre Wellington Hydro’s Account 1588 and Account 1589 balances are accurate, considering Centre Wellington Hydro is only performing certain true-ups on a quarterly/annual basis, instead of a monthly basis.</w:t>
      </w:r>
    </w:p>
    <w:p w14:paraId="575376DB" w14:textId="77777777" w:rsidR="00037190" w:rsidRPr="00134A9E" w:rsidRDefault="00037190" w:rsidP="003D6815">
      <w:pPr>
        <w:numPr>
          <w:ilvl w:val="0"/>
          <w:numId w:val="14"/>
        </w:numPr>
        <w:spacing w:line="276" w:lineRule="auto"/>
        <w:rPr>
          <w:rFonts w:ascii="Arial" w:hAnsi="Arial" w:cs="Arial"/>
          <w:sz w:val="24"/>
          <w:szCs w:val="24"/>
        </w:rPr>
      </w:pPr>
      <w:r w:rsidRPr="00037190">
        <w:rPr>
          <w:rFonts w:ascii="Arial" w:hAnsi="Arial" w:cs="Arial"/>
          <w:sz w:val="24"/>
          <w:szCs w:val="24"/>
        </w:rPr>
        <w:t>If there are impacts on Account 1588 and Account 1589 from only performing these true-ups on a quarterly/annual basis, instead of a monthly basis, please describe and quantify the impacts.</w:t>
      </w:r>
    </w:p>
    <w:p w14:paraId="3803A6B2" w14:textId="77777777" w:rsidR="00037190" w:rsidRPr="00037190" w:rsidRDefault="00037190" w:rsidP="003D6815">
      <w:pPr>
        <w:spacing w:line="276" w:lineRule="auto"/>
        <w:rPr>
          <w:rFonts w:ascii="Arial" w:hAnsi="Arial" w:cs="Arial"/>
          <w:sz w:val="24"/>
          <w:szCs w:val="24"/>
        </w:rPr>
      </w:pPr>
    </w:p>
    <w:p w14:paraId="7F1ECD28" w14:textId="0A7F195F"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sidRPr="00037190">
        <w:rPr>
          <w:rFonts w:ascii="Arial" w:hAnsi="Arial" w:cs="Arial"/>
          <w:b/>
          <w:sz w:val="24"/>
          <w:szCs w:val="24"/>
        </w:rPr>
        <w:t>1</w:t>
      </w:r>
      <w:r w:rsidR="003224DA">
        <w:rPr>
          <w:rFonts w:ascii="Arial" w:hAnsi="Arial" w:cs="Arial"/>
          <w:b/>
          <w:sz w:val="24"/>
          <w:szCs w:val="24"/>
        </w:rPr>
        <w:t>0</w:t>
      </w:r>
    </w:p>
    <w:p w14:paraId="5BB17735" w14:textId="77777777" w:rsidR="00037190" w:rsidRPr="00134A9E" w:rsidRDefault="00037190" w:rsidP="003D6815">
      <w:pPr>
        <w:spacing w:line="276"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21</w:t>
      </w:r>
    </w:p>
    <w:p w14:paraId="423719E0"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reference Centre Wellington Hydro stated the following regarding whether CT 1142 has been trued up for with the IESO for all of 2018:</w:t>
      </w:r>
    </w:p>
    <w:p w14:paraId="56E8763F"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Yes, CWH has trued up CT1142 with the IESO for all of 2018 and booked it into </w:t>
      </w:r>
      <w:r>
        <w:rPr>
          <w:rFonts w:ascii="Arial" w:hAnsi="Arial" w:cs="Arial"/>
          <w:sz w:val="24"/>
          <w:szCs w:val="24"/>
        </w:rPr>
        <w:tab/>
      </w:r>
      <w:r w:rsidRPr="00037190">
        <w:rPr>
          <w:rFonts w:ascii="Arial" w:hAnsi="Arial" w:cs="Arial"/>
          <w:sz w:val="24"/>
          <w:szCs w:val="24"/>
        </w:rPr>
        <w:t>2018.</w:t>
      </w:r>
    </w:p>
    <w:p w14:paraId="2F0D40DB"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reference Centre Wellington Hydro also stated the following regarding whether which months from 2018 were trued up in 2019:</w:t>
      </w:r>
    </w:p>
    <w:p w14:paraId="2A7DCF9A"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lastRenderedPageBreak/>
        <w:tab/>
      </w:r>
      <w:r w:rsidRPr="00037190">
        <w:rPr>
          <w:rFonts w:ascii="Arial" w:hAnsi="Arial" w:cs="Arial"/>
          <w:sz w:val="24"/>
          <w:szCs w:val="24"/>
        </w:rPr>
        <w:t xml:space="preserve">The October to December 2018 actual volume true up was done in 2019 and </w:t>
      </w:r>
      <w:r>
        <w:rPr>
          <w:rFonts w:ascii="Arial" w:hAnsi="Arial" w:cs="Arial"/>
          <w:sz w:val="24"/>
          <w:szCs w:val="24"/>
        </w:rPr>
        <w:tab/>
      </w:r>
      <w:r w:rsidRPr="00037190">
        <w:rPr>
          <w:rFonts w:ascii="Arial" w:hAnsi="Arial" w:cs="Arial"/>
          <w:sz w:val="24"/>
          <w:szCs w:val="24"/>
        </w:rPr>
        <w:t>booked into 2019.</w:t>
      </w:r>
    </w:p>
    <w:p w14:paraId="379209B5"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reference Centre Wellington Hydro also stated the following regarding whether these true ups were recorded in the 2018 or 2019 balance in the General Ledger:</w:t>
      </w:r>
    </w:p>
    <w:p w14:paraId="788B3885" w14:textId="0B1C560B" w:rsidR="00037190" w:rsidRDefault="00037190" w:rsidP="003D6815">
      <w:pPr>
        <w:spacing w:after="0"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CWH estimated the above true up at year end and accrued estimate in 2018.</w:t>
      </w:r>
    </w:p>
    <w:p w14:paraId="591DAD46" w14:textId="77777777" w:rsidR="00B541B2" w:rsidRPr="00037190" w:rsidRDefault="00B541B2" w:rsidP="003D6815">
      <w:pPr>
        <w:spacing w:after="0" w:line="276" w:lineRule="auto"/>
        <w:rPr>
          <w:rFonts w:ascii="Arial" w:hAnsi="Arial" w:cs="Arial"/>
          <w:sz w:val="24"/>
          <w:szCs w:val="24"/>
        </w:rPr>
      </w:pPr>
    </w:p>
    <w:p w14:paraId="1004495F" w14:textId="77777777" w:rsidR="00037190" w:rsidRPr="00037190" w:rsidRDefault="00037190" w:rsidP="003D6815">
      <w:pPr>
        <w:numPr>
          <w:ilvl w:val="0"/>
          <w:numId w:val="15"/>
        </w:numPr>
        <w:spacing w:after="0" w:line="276" w:lineRule="auto"/>
        <w:rPr>
          <w:rFonts w:ascii="Arial" w:hAnsi="Arial" w:cs="Arial"/>
          <w:sz w:val="24"/>
          <w:szCs w:val="24"/>
        </w:rPr>
      </w:pPr>
      <w:r w:rsidRPr="00037190">
        <w:rPr>
          <w:rFonts w:ascii="Arial" w:hAnsi="Arial" w:cs="Arial"/>
          <w:sz w:val="24"/>
          <w:szCs w:val="24"/>
        </w:rPr>
        <w:t>Please explain Centre Wellington Hydro’s potentially contradictory statements that all true-ups for 2018 have been booked into the 2018 versus its comment that the October to December 2018 actual volume true up was booked into 2019.</w:t>
      </w:r>
    </w:p>
    <w:p w14:paraId="0F7F6927" w14:textId="77777777" w:rsidR="00037190" w:rsidRPr="00037190" w:rsidRDefault="00037190" w:rsidP="003D6815">
      <w:pPr>
        <w:numPr>
          <w:ilvl w:val="0"/>
          <w:numId w:val="15"/>
        </w:numPr>
        <w:spacing w:after="0" w:line="276" w:lineRule="auto"/>
        <w:rPr>
          <w:rFonts w:ascii="Arial" w:hAnsi="Arial" w:cs="Arial"/>
          <w:sz w:val="24"/>
          <w:szCs w:val="24"/>
        </w:rPr>
      </w:pPr>
      <w:r w:rsidRPr="00037190">
        <w:rPr>
          <w:rFonts w:ascii="Arial" w:hAnsi="Arial" w:cs="Arial"/>
          <w:sz w:val="24"/>
          <w:szCs w:val="24"/>
        </w:rPr>
        <w:t>Does Centre Wellington Hydro mean that an estimate was booked in the 2018 general ledger for the October to December 2018 actual volume true up, which was reversed in 2019, and the actual true up for this period was booked in 2019? Please explain.</w:t>
      </w:r>
    </w:p>
    <w:p w14:paraId="25F1B404" w14:textId="77777777" w:rsidR="00037190" w:rsidRPr="00037190" w:rsidRDefault="00037190" w:rsidP="003D6815">
      <w:pPr>
        <w:numPr>
          <w:ilvl w:val="0"/>
          <w:numId w:val="15"/>
        </w:numPr>
        <w:spacing w:line="276" w:lineRule="auto"/>
        <w:rPr>
          <w:rFonts w:ascii="Arial" w:hAnsi="Arial" w:cs="Arial"/>
          <w:sz w:val="24"/>
          <w:szCs w:val="24"/>
        </w:rPr>
      </w:pPr>
      <w:r w:rsidRPr="00037190">
        <w:rPr>
          <w:rFonts w:ascii="Arial" w:hAnsi="Arial" w:cs="Arial"/>
          <w:sz w:val="24"/>
          <w:szCs w:val="24"/>
        </w:rPr>
        <w:t>If there are impacts on Account 1588 and Account 1589 from recorded an estimate of the October to December 2018 actual volume true up in 2018 versus the actual amount, please describe and quantify the impacts.</w:t>
      </w:r>
    </w:p>
    <w:p w14:paraId="4493D5CB" w14:textId="77777777" w:rsidR="00037190" w:rsidRPr="00037190" w:rsidRDefault="00037190" w:rsidP="003D6815">
      <w:pPr>
        <w:spacing w:line="276" w:lineRule="auto"/>
        <w:rPr>
          <w:rFonts w:ascii="Arial" w:hAnsi="Arial" w:cs="Arial"/>
          <w:sz w:val="24"/>
          <w:szCs w:val="24"/>
        </w:rPr>
      </w:pPr>
    </w:p>
    <w:p w14:paraId="767DAC80" w14:textId="2D0E7716"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sidRPr="00037190">
        <w:rPr>
          <w:rFonts w:ascii="Arial" w:hAnsi="Arial" w:cs="Arial"/>
          <w:b/>
          <w:sz w:val="24"/>
          <w:szCs w:val="24"/>
        </w:rPr>
        <w:t>1</w:t>
      </w:r>
      <w:r w:rsidR="003224DA">
        <w:rPr>
          <w:rFonts w:ascii="Arial" w:hAnsi="Arial" w:cs="Arial"/>
          <w:b/>
          <w:sz w:val="24"/>
          <w:szCs w:val="24"/>
        </w:rPr>
        <w:t>1</w:t>
      </w:r>
    </w:p>
    <w:p w14:paraId="4E4FAFF2" w14:textId="77777777" w:rsidR="00037190" w:rsidRPr="00037190" w:rsidRDefault="00037190" w:rsidP="00037190">
      <w:pPr>
        <w:spacing w:after="0" w:line="240"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Manager’s Summary, p. 21</w:t>
      </w:r>
    </w:p>
    <w:p w14:paraId="621DC415" w14:textId="77777777" w:rsidR="00037190" w:rsidRPr="00037190" w:rsidRDefault="00037190" w:rsidP="00037190">
      <w:pPr>
        <w:spacing w:after="0" w:line="240" w:lineRule="auto"/>
        <w:rPr>
          <w:rFonts w:ascii="Arial" w:hAnsi="Arial" w:cs="Arial"/>
          <w:b/>
          <w:sz w:val="24"/>
          <w:szCs w:val="24"/>
        </w:rPr>
      </w:pPr>
      <w:r w:rsidRPr="00037190">
        <w:rPr>
          <w:rFonts w:ascii="Arial" w:hAnsi="Arial" w:cs="Arial"/>
          <w:b/>
          <w:sz w:val="24"/>
          <w:szCs w:val="24"/>
        </w:rPr>
        <w:tab/>
        <w:t>Manager’s Summary, p. 15</w:t>
      </w:r>
    </w:p>
    <w:p w14:paraId="2AF84C6C"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ab/>
        <w:t>Manager’s Summary, p. 22</w:t>
      </w:r>
    </w:p>
    <w:p w14:paraId="00D44BB0"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first reference Centre Wellington Hydro stated the following regarding the process for the initial recording of CT 148 in the accounts (i.e. 1588 and 1589):</w:t>
      </w:r>
    </w:p>
    <w:p w14:paraId="6B685076"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CT 148 from IESO invoice is pro-rated based on the actual percentage of </w:t>
      </w:r>
      <w:r>
        <w:rPr>
          <w:rFonts w:ascii="Arial" w:hAnsi="Arial" w:cs="Arial"/>
          <w:sz w:val="24"/>
          <w:szCs w:val="24"/>
        </w:rPr>
        <w:tab/>
      </w:r>
      <w:r w:rsidRPr="00037190">
        <w:rPr>
          <w:rFonts w:ascii="Arial" w:hAnsi="Arial" w:cs="Arial"/>
          <w:sz w:val="24"/>
          <w:szCs w:val="24"/>
        </w:rPr>
        <w:t xml:space="preserve">RPP/non-RPP consumption for the actual month and then booked into Account </w:t>
      </w:r>
      <w:r>
        <w:rPr>
          <w:rFonts w:ascii="Arial" w:hAnsi="Arial" w:cs="Arial"/>
          <w:sz w:val="24"/>
          <w:szCs w:val="24"/>
        </w:rPr>
        <w:tab/>
      </w:r>
      <w:r w:rsidRPr="00037190">
        <w:rPr>
          <w:rFonts w:ascii="Arial" w:hAnsi="Arial" w:cs="Arial"/>
          <w:sz w:val="24"/>
          <w:szCs w:val="24"/>
        </w:rPr>
        <w:t xml:space="preserve">4705 Power Purchased and Account 4707 Charges – Global Adjustment. The </w:t>
      </w:r>
      <w:r>
        <w:rPr>
          <w:rFonts w:ascii="Arial" w:hAnsi="Arial" w:cs="Arial"/>
          <w:sz w:val="24"/>
          <w:szCs w:val="24"/>
        </w:rPr>
        <w:tab/>
      </w:r>
      <w:r w:rsidRPr="00037190">
        <w:rPr>
          <w:rFonts w:ascii="Arial" w:hAnsi="Arial" w:cs="Arial"/>
          <w:sz w:val="24"/>
          <w:szCs w:val="24"/>
        </w:rPr>
        <w:t xml:space="preserve">variance of GA charges and GA revenue is transferred into Account 1589 RSVA </w:t>
      </w:r>
      <w:r>
        <w:rPr>
          <w:rFonts w:ascii="Arial" w:hAnsi="Arial" w:cs="Arial"/>
          <w:sz w:val="24"/>
          <w:szCs w:val="24"/>
        </w:rPr>
        <w:tab/>
      </w:r>
      <w:r w:rsidRPr="00037190">
        <w:rPr>
          <w:rFonts w:ascii="Arial" w:hAnsi="Arial" w:cs="Arial"/>
          <w:sz w:val="24"/>
          <w:szCs w:val="24"/>
        </w:rPr>
        <w:t xml:space="preserve">GA, the variance of Power Purchased and Energy Sales is transferred into </w:t>
      </w:r>
      <w:r>
        <w:rPr>
          <w:rFonts w:ascii="Arial" w:hAnsi="Arial" w:cs="Arial"/>
          <w:sz w:val="24"/>
          <w:szCs w:val="24"/>
        </w:rPr>
        <w:tab/>
      </w:r>
      <w:r w:rsidRPr="00037190">
        <w:rPr>
          <w:rFonts w:ascii="Arial" w:hAnsi="Arial" w:cs="Arial"/>
          <w:sz w:val="24"/>
          <w:szCs w:val="24"/>
        </w:rPr>
        <w:t xml:space="preserve">Account 1588 RSVA Power. No part of CT 148 is posted to 1588 or 1589 </w:t>
      </w:r>
      <w:r>
        <w:rPr>
          <w:rFonts w:ascii="Arial" w:hAnsi="Arial" w:cs="Arial"/>
          <w:sz w:val="24"/>
          <w:szCs w:val="24"/>
        </w:rPr>
        <w:tab/>
      </w:r>
      <w:r w:rsidRPr="00037190">
        <w:rPr>
          <w:rFonts w:ascii="Arial" w:hAnsi="Arial" w:cs="Arial"/>
          <w:sz w:val="24"/>
          <w:szCs w:val="24"/>
        </w:rPr>
        <w:t>directly.</w:t>
      </w:r>
    </w:p>
    <w:p w14:paraId="1BE3C18C"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second reference, Centre Wellington Hydro stated the following regarding the percentage of each TOU period or Tier block:</w:t>
      </w:r>
    </w:p>
    <w:p w14:paraId="0B84CE7C" w14:textId="77777777" w:rsidR="00037190" w:rsidRPr="00037190" w:rsidRDefault="00037190" w:rsidP="003D6815">
      <w:pPr>
        <w:spacing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The percentage of each TOU period or Tier block is calculated by dividing the </w:t>
      </w:r>
      <w:r>
        <w:rPr>
          <w:rFonts w:ascii="Arial" w:hAnsi="Arial" w:cs="Arial"/>
          <w:sz w:val="24"/>
          <w:szCs w:val="24"/>
        </w:rPr>
        <w:tab/>
      </w:r>
      <w:r w:rsidRPr="00037190">
        <w:rPr>
          <w:rFonts w:ascii="Arial" w:hAnsi="Arial" w:cs="Arial"/>
          <w:sz w:val="24"/>
          <w:szCs w:val="24"/>
        </w:rPr>
        <w:t xml:space="preserve">volume of each TOU period or Tier block by total kWh’s for all of the tiers or </w:t>
      </w:r>
      <w:r>
        <w:rPr>
          <w:rFonts w:ascii="Arial" w:hAnsi="Arial" w:cs="Arial"/>
          <w:sz w:val="24"/>
          <w:szCs w:val="24"/>
        </w:rPr>
        <w:lastRenderedPageBreak/>
        <w:tab/>
      </w:r>
      <w:r w:rsidRPr="00037190">
        <w:rPr>
          <w:rFonts w:ascii="Arial" w:hAnsi="Arial" w:cs="Arial"/>
          <w:sz w:val="24"/>
          <w:szCs w:val="24"/>
        </w:rPr>
        <w:t xml:space="preserve">blocks respectively. CWH obtains the volume breakout between the RPP tier and </w:t>
      </w:r>
      <w:r>
        <w:rPr>
          <w:rFonts w:ascii="Arial" w:hAnsi="Arial" w:cs="Arial"/>
          <w:sz w:val="24"/>
          <w:szCs w:val="24"/>
        </w:rPr>
        <w:tab/>
      </w:r>
      <w:r w:rsidRPr="00037190">
        <w:rPr>
          <w:rFonts w:ascii="Arial" w:hAnsi="Arial" w:cs="Arial"/>
          <w:sz w:val="24"/>
          <w:szCs w:val="24"/>
        </w:rPr>
        <w:t xml:space="preserve">TOU buckets, by pulling stats codes used from its CIS system. This breakout is </w:t>
      </w:r>
      <w:r>
        <w:rPr>
          <w:rFonts w:ascii="Arial" w:hAnsi="Arial" w:cs="Arial"/>
          <w:sz w:val="24"/>
          <w:szCs w:val="24"/>
        </w:rPr>
        <w:tab/>
      </w:r>
      <w:r w:rsidRPr="00037190">
        <w:rPr>
          <w:rFonts w:ascii="Arial" w:hAnsi="Arial" w:cs="Arial"/>
          <w:sz w:val="24"/>
          <w:szCs w:val="24"/>
        </w:rPr>
        <w:t xml:space="preserve">based on the previous months actual consumption used within each TOU </w:t>
      </w:r>
      <w:r>
        <w:rPr>
          <w:rFonts w:ascii="Arial" w:hAnsi="Arial" w:cs="Arial"/>
          <w:sz w:val="24"/>
          <w:szCs w:val="24"/>
        </w:rPr>
        <w:tab/>
      </w:r>
      <w:r w:rsidRPr="00037190">
        <w:rPr>
          <w:rFonts w:ascii="Arial" w:hAnsi="Arial" w:cs="Arial"/>
          <w:sz w:val="24"/>
          <w:szCs w:val="24"/>
        </w:rPr>
        <w:t xml:space="preserve">period/tier block. This percentage is calculated each month, although from month </w:t>
      </w:r>
      <w:r>
        <w:rPr>
          <w:rFonts w:ascii="Arial" w:hAnsi="Arial" w:cs="Arial"/>
          <w:sz w:val="24"/>
          <w:szCs w:val="24"/>
        </w:rPr>
        <w:tab/>
      </w:r>
      <w:r w:rsidRPr="00037190">
        <w:rPr>
          <w:rFonts w:ascii="Arial" w:hAnsi="Arial" w:cs="Arial"/>
          <w:sz w:val="24"/>
          <w:szCs w:val="24"/>
        </w:rPr>
        <w:t xml:space="preserve">to month it is very consistent. For example, in the August 2018 IESO submission </w:t>
      </w:r>
      <w:r>
        <w:rPr>
          <w:rFonts w:ascii="Arial" w:hAnsi="Arial" w:cs="Arial"/>
          <w:sz w:val="24"/>
          <w:szCs w:val="24"/>
        </w:rPr>
        <w:tab/>
      </w:r>
      <w:r w:rsidRPr="00037190">
        <w:rPr>
          <w:rFonts w:ascii="Arial" w:hAnsi="Arial" w:cs="Arial"/>
          <w:sz w:val="24"/>
          <w:szCs w:val="24"/>
        </w:rPr>
        <w:t xml:space="preserve">the volume breakout is based on the monthly volumes billed in July for June’s </w:t>
      </w:r>
      <w:r>
        <w:rPr>
          <w:rFonts w:ascii="Arial" w:hAnsi="Arial" w:cs="Arial"/>
          <w:sz w:val="24"/>
          <w:szCs w:val="24"/>
        </w:rPr>
        <w:tab/>
      </w:r>
      <w:r w:rsidRPr="00037190">
        <w:rPr>
          <w:rFonts w:ascii="Arial" w:hAnsi="Arial" w:cs="Arial"/>
          <w:sz w:val="24"/>
          <w:szCs w:val="24"/>
        </w:rPr>
        <w:t>consumption. CWH bills its customer on the calendar month.</w:t>
      </w:r>
    </w:p>
    <w:p w14:paraId="00F22E7D"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above noted third reference, Centre Wellington stated that no true-up is needed, as the “actual” percentage of RPP and non-RPP is used:</w:t>
      </w:r>
    </w:p>
    <w:p w14:paraId="65EE10CE" w14:textId="24381850" w:rsidR="00037190" w:rsidRDefault="00037190" w:rsidP="003D6815">
      <w:pPr>
        <w:spacing w:after="0" w:line="276" w:lineRule="auto"/>
        <w:rPr>
          <w:rFonts w:ascii="Arial" w:hAnsi="Arial" w:cs="Arial"/>
          <w:sz w:val="24"/>
          <w:szCs w:val="24"/>
        </w:rPr>
      </w:pPr>
      <w:r>
        <w:rPr>
          <w:rFonts w:ascii="Arial" w:hAnsi="Arial" w:cs="Arial"/>
          <w:sz w:val="24"/>
          <w:szCs w:val="24"/>
        </w:rPr>
        <w:tab/>
      </w:r>
      <w:r w:rsidRPr="00037190">
        <w:rPr>
          <w:rFonts w:ascii="Arial" w:hAnsi="Arial" w:cs="Arial"/>
          <w:sz w:val="24"/>
          <w:szCs w:val="24"/>
        </w:rPr>
        <w:t xml:space="preserve">CWH used the actual percentage of RPP and non-RPP to split the amount on CT </w:t>
      </w:r>
      <w:r>
        <w:rPr>
          <w:rFonts w:ascii="Arial" w:hAnsi="Arial" w:cs="Arial"/>
          <w:sz w:val="24"/>
          <w:szCs w:val="24"/>
        </w:rPr>
        <w:tab/>
      </w:r>
      <w:r w:rsidRPr="00037190">
        <w:rPr>
          <w:rFonts w:ascii="Arial" w:hAnsi="Arial" w:cs="Arial"/>
          <w:sz w:val="24"/>
          <w:szCs w:val="24"/>
        </w:rPr>
        <w:t>148 in 2018. Therefore, there is no true-up needed in 2018.</w:t>
      </w:r>
    </w:p>
    <w:p w14:paraId="170980AB" w14:textId="77777777" w:rsidR="00B541B2" w:rsidRPr="00037190" w:rsidRDefault="00B541B2" w:rsidP="003D6815">
      <w:pPr>
        <w:spacing w:after="0" w:line="276" w:lineRule="auto"/>
        <w:rPr>
          <w:rFonts w:ascii="Arial" w:hAnsi="Arial" w:cs="Arial"/>
          <w:sz w:val="24"/>
          <w:szCs w:val="24"/>
        </w:rPr>
      </w:pPr>
    </w:p>
    <w:p w14:paraId="79078CCB" w14:textId="77777777" w:rsidR="00037190" w:rsidRPr="00037190" w:rsidRDefault="00037190" w:rsidP="003D6815">
      <w:pPr>
        <w:numPr>
          <w:ilvl w:val="0"/>
          <w:numId w:val="16"/>
        </w:numPr>
        <w:spacing w:after="0" w:line="276" w:lineRule="auto"/>
        <w:rPr>
          <w:rFonts w:ascii="Arial" w:hAnsi="Arial" w:cs="Arial"/>
          <w:sz w:val="24"/>
          <w:szCs w:val="24"/>
        </w:rPr>
      </w:pPr>
      <w:r w:rsidRPr="00037190">
        <w:rPr>
          <w:rFonts w:ascii="Arial" w:hAnsi="Arial" w:cs="Arial"/>
          <w:sz w:val="24"/>
          <w:szCs w:val="24"/>
        </w:rPr>
        <w:t>Please explain why “the actual percentage of RPP/non-RPP consumption for the actual month” is used, when at the time of initial recording of CT 148 into the accounts, the actual percentages would not be known. Are the actual percentages known, for example, due to the use of smart meter data?</w:t>
      </w:r>
    </w:p>
    <w:p w14:paraId="31B14ADF" w14:textId="77777777" w:rsidR="00037190" w:rsidRPr="00037190" w:rsidRDefault="00037190" w:rsidP="003D6815">
      <w:pPr>
        <w:numPr>
          <w:ilvl w:val="0"/>
          <w:numId w:val="16"/>
        </w:numPr>
        <w:spacing w:after="0" w:line="276" w:lineRule="auto"/>
        <w:rPr>
          <w:rFonts w:ascii="Arial" w:hAnsi="Arial" w:cs="Arial"/>
          <w:sz w:val="24"/>
          <w:szCs w:val="24"/>
        </w:rPr>
      </w:pPr>
      <w:r w:rsidRPr="00037190">
        <w:rPr>
          <w:rFonts w:ascii="Arial" w:hAnsi="Arial" w:cs="Arial"/>
          <w:sz w:val="24"/>
          <w:szCs w:val="24"/>
        </w:rPr>
        <w:t xml:space="preserve">Please explain why the description of the “actual” percentage of RPP/non-RPP consumption is different between the above noted first reference and the above noted second reference. </w:t>
      </w:r>
    </w:p>
    <w:p w14:paraId="7992220D" w14:textId="77777777" w:rsidR="00037190" w:rsidRPr="00037190" w:rsidRDefault="00037190" w:rsidP="003D6815">
      <w:pPr>
        <w:numPr>
          <w:ilvl w:val="0"/>
          <w:numId w:val="16"/>
        </w:numPr>
        <w:spacing w:after="0" w:line="276" w:lineRule="auto"/>
        <w:rPr>
          <w:rFonts w:ascii="Arial" w:hAnsi="Arial" w:cs="Arial"/>
          <w:sz w:val="24"/>
          <w:szCs w:val="24"/>
        </w:rPr>
      </w:pPr>
      <w:r w:rsidRPr="00037190">
        <w:rPr>
          <w:rFonts w:ascii="Arial" w:hAnsi="Arial" w:cs="Arial"/>
          <w:sz w:val="24"/>
          <w:szCs w:val="24"/>
        </w:rPr>
        <w:t>Please confirm whether Centre Wellington Hydro uses the above noted first reference or the above noted second reference to determine the “actual” percentage of RPP/non-RPP consumption and describe how it is in conformity with the OEB’s new accounting guidance issued on February 21, 2019.</w:t>
      </w:r>
    </w:p>
    <w:p w14:paraId="76315324" w14:textId="77777777" w:rsidR="00037190" w:rsidRDefault="00037190" w:rsidP="003D6815">
      <w:pPr>
        <w:numPr>
          <w:ilvl w:val="0"/>
          <w:numId w:val="16"/>
        </w:numPr>
        <w:spacing w:line="276" w:lineRule="auto"/>
        <w:rPr>
          <w:rFonts w:ascii="Arial" w:hAnsi="Arial" w:cs="Arial"/>
          <w:sz w:val="24"/>
          <w:szCs w:val="24"/>
        </w:rPr>
      </w:pPr>
      <w:r w:rsidRPr="00037190">
        <w:rPr>
          <w:rFonts w:ascii="Arial" w:hAnsi="Arial" w:cs="Arial"/>
          <w:sz w:val="24"/>
          <w:szCs w:val="24"/>
        </w:rPr>
        <w:t xml:space="preserve"> Please also describe Centre Wellington Hydro’s statement that no true-up is needed in 2018, as per the above noted third reference, and describe how it is in conformity with the OEB’s new accounting guidance issued on February 21, 2019.</w:t>
      </w:r>
    </w:p>
    <w:p w14:paraId="5D4F872F" w14:textId="77777777" w:rsidR="00037190" w:rsidRPr="00037190" w:rsidRDefault="00037190" w:rsidP="003D6815">
      <w:pPr>
        <w:spacing w:line="276" w:lineRule="auto"/>
        <w:ind w:left="720"/>
        <w:rPr>
          <w:rFonts w:ascii="Arial" w:hAnsi="Arial" w:cs="Arial"/>
          <w:sz w:val="24"/>
          <w:szCs w:val="24"/>
        </w:rPr>
      </w:pPr>
    </w:p>
    <w:p w14:paraId="4F0200B2" w14:textId="2840D0C8"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Staff Question-</w:t>
      </w:r>
      <w:r w:rsidR="003224DA" w:rsidRPr="00037190">
        <w:rPr>
          <w:rFonts w:ascii="Arial" w:hAnsi="Arial" w:cs="Arial"/>
          <w:b/>
          <w:sz w:val="24"/>
          <w:szCs w:val="24"/>
        </w:rPr>
        <w:t>1</w:t>
      </w:r>
      <w:r w:rsidR="003224DA">
        <w:rPr>
          <w:rFonts w:ascii="Arial" w:hAnsi="Arial" w:cs="Arial"/>
          <w:b/>
          <w:sz w:val="24"/>
          <w:szCs w:val="24"/>
        </w:rPr>
        <w:t>2</w:t>
      </w:r>
    </w:p>
    <w:p w14:paraId="1AE198B7" w14:textId="77777777" w:rsidR="00037190" w:rsidRPr="00037190" w:rsidRDefault="00037190" w:rsidP="00037190">
      <w:pPr>
        <w:spacing w:after="0" w:line="240" w:lineRule="auto"/>
        <w:rPr>
          <w:rFonts w:ascii="Arial" w:hAnsi="Arial" w:cs="Arial"/>
          <w:b/>
          <w:sz w:val="24"/>
          <w:szCs w:val="24"/>
        </w:rPr>
      </w:pPr>
      <w:r w:rsidRPr="00037190">
        <w:rPr>
          <w:rFonts w:ascii="Arial" w:hAnsi="Arial" w:cs="Arial"/>
          <w:b/>
          <w:sz w:val="24"/>
          <w:szCs w:val="24"/>
        </w:rPr>
        <w:t>Ref:</w:t>
      </w:r>
      <w:r w:rsidRPr="00037190">
        <w:rPr>
          <w:rFonts w:ascii="Arial" w:hAnsi="Arial" w:cs="Arial"/>
          <w:b/>
          <w:sz w:val="24"/>
          <w:szCs w:val="24"/>
        </w:rPr>
        <w:tab/>
        <w:t>IRM Model, Tab 3, filed August 12, 2019</w:t>
      </w:r>
    </w:p>
    <w:p w14:paraId="5BAC551C" w14:textId="77777777" w:rsidR="00037190" w:rsidRPr="00037190" w:rsidRDefault="00037190" w:rsidP="003D6815">
      <w:pPr>
        <w:spacing w:line="276" w:lineRule="auto"/>
        <w:rPr>
          <w:rFonts w:ascii="Arial" w:hAnsi="Arial" w:cs="Arial"/>
          <w:b/>
          <w:sz w:val="24"/>
          <w:szCs w:val="24"/>
        </w:rPr>
      </w:pPr>
      <w:r w:rsidRPr="00037190">
        <w:rPr>
          <w:rFonts w:ascii="Arial" w:hAnsi="Arial" w:cs="Arial"/>
          <w:b/>
          <w:sz w:val="24"/>
          <w:szCs w:val="24"/>
        </w:rPr>
        <w:tab/>
        <w:t>IRM Model, Tab 3, filed August 27, 2019</w:t>
      </w:r>
    </w:p>
    <w:p w14:paraId="176CC565"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At the first above noted reference, Centre Wellington Hydro filed its initial IRM Generator Model. At the second above noted reference, Centre Wellington Hydro filed a revised IRM Generator Model, particularly regarding Tab 3, the DVA Continuity Schedule.</w:t>
      </w:r>
    </w:p>
    <w:p w14:paraId="42DD73C1" w14:textId="77777777" w:rsidR="00037190" w:rsidRPr="00037190" w:rsidRDefault="00037190" w:rsidP="003D6815">
      <w:pPr>
        <w:spacing w:line="276" w:lineRule="auto"/>
        <w:rPr>
          <w:rFonts w:ascii="Arial" w:hAnsi="Arial" w:cs="Arial"/>
          <w:sz w:val="24"/>
          <w:szCs w:val="24"/>
        </w:rPr>
      </w:pPr>
      <w:r w:rsidRPr="00037190">
        <w:rPr>
          <w:rFonts w:ascii="Arial" w:hAnsi="Arial" w:cs="Arial"/>
          <w:sz w:val="24"/>
          <w:szCs w:val="24"/>
        </w:rPr>
        <w:t>OEB staff notes that Centre Wellington Hydro has provided the following Account 1588 and Account 1589 balances as at December 31, 2017:</w:t>
      </w:r>
    </w:p>
    <w:p w14:paraId="44AE9891" w14:textId="77777777" w:rsidR="00037190" w:rsidRPr="00544C2A" w:rsidRDefault="00037190" w:rsidP="00037190">
      <w:pPr>
        <w:spacing w:line="256" w:lineRule="auto"/>
        <w:rPr>
          <w:rFonts w:ascii="Arial" w:hAnsi="Arial" w:cs="Arial"/>
          <w:b/>
          <w:sz w:val="24"/>
          <w:szCs w:val="24"/>
        </w:rPr>
      </w:pPr>
      <w:r w:rsidRPr="00037190">
        <w:rPr>
          <w:rFonts w:ascii="Arial" w:hAnsi="Arial" w:cs="Arial"/>
          <w:b/>
          <w:sz w:val="24"/>
          <w:szCs w:val="24"/>
        </w:rPr>
        <w:lastRenderedPageBreak/>
        <w:t>Table 1 – Different Account 1588 and Account 1589 Balances as at December 31, 2017</w:t>
      </w:r>
    </w:p>
    <w:p w14:paraId="791FCA44" w14:textId="77777777" w:rsidR="00037190" w:rsidRPr="00037190" w:rsidRDefault="00037190" w:rsidP="00037190">
      <w:pPr>
        <w:spacing w:line="256" w:lineRule="auto"/>
        <w:rPr>
          <w:rFonts w:ascii="Arial" w:hAnsi="Arial" w:cs="Arial"/>
          <w:sz w:val="24"/>
          <w:szCs w:val="24"/>
        </w:rPr>
      </w:pPr>
      <w:r w:rsidRPr="00037190">
        <w:rPr>
          <w:rFonts w:ascii="Arial" w:hAnsi="Arial" w:cs="Arial"/>
          <w:noProof/>
          <w:sz w:val="24"/>
          <w:szCs w:val="24"/>
        </w:rPr>
        <w:drawing>
          <wp:inline distT="0" distB="0" distL="0" distR="0" wp14:anchorId="388C3396" wp14:editId="75A3C320">
            <wp:extent cx="5353050" cy="172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1720850"/>
                    </a:xfrm>
                    <a:prstGeom prst="rect">
                      <a:avLst/>
                    </a:prstGeom>
                    <a:noFill/>
                    <a:ln>
                      <a:noFill/>
                    </a:ln>
                  </pic:spPr>
                </pic:pic>
              </a:graphicData>
            </a:graphic>
          </wp:inline>
        </w:drawing>
      </w:r>
    </w:p>
    <w:p w14:paraId="539F7981" w14:textId="77777777" w:rsidR="00037190" w:rsidRPr="00037190" w:rsidRDefault="00037190" w:rsidP="00037190">
      <w:pPr>
        <w:spacing w:line="256" w:lineRule="auto"/>
        <w:rPr>
          <w:rFonts w:ascii="Arial" w:hAnsi="Arial" w:cs="Arial"/>
          <w:b/>
          <w:sz w:val="24"/>
          <w:szCs w:val="24"/>
        </w:rPr>
      </w:pPr>
    </w:p>
    <w:p w14:paraId="28052BCC" w14:textId="77777777" w:rsidR="00037190" w:rsidRPr="00544C2A" w:rsidRDefault="00037190" w:rsidP="00037190">
      <w:pPr>
        <w:spacing w:line="256" w:lineRule="auto"/>
        <w:rPr>
          <w:rFonts w:ascii="Arial" w:hAnsi="Arial" w:cs="Arial"/>
          <w:b/>
          <w:sz w:val="24"/>
          <w:szCs w:val="24"/>
        </w:rPr>
      </w:pPr>
      <w:r w:rsidRPr="00037190">
        <w:rPr>
          <w:rFonts w:ascii="Arial" w:hAnsi="Arial" w:cs="Arial"/>
          <w:b/>
          <w:sz w:val="24"/>
          <w:szCs w:val="24"/>
        </w:rPr>
        <w:t>Table 2 – Similar Account 1588 and Account 1589 Balances as at December 31, 2018</w:t>
      </w:r>
    </w:p>
    <w:p w14:paraId="696DF418" w14:textId="77777777" w:rsidR="00037190" w:rsidRPr="00037190" w:rsidRDefault="00037190" w:rsidP="00037190">
      <w:pPr>
        <w:spacing w:line="256" w:lineRule="auto"/>
        <w:rPr>
          <w:rFonts w:ascii="Arial" w:hAnsi="Arial" w:cs="Arial"/>
          <w:sz w:val="24"/>
          <w:szCs w:val="24"/>
        </w:rPr>
      </w:pPr>
      <w:r w:rsidRPr="00037190">
        <w:rPr>
          <w:rFonts w:ascii="Arial" w:hAnsi="Arial" w:cs="Arial"/>
          <w:noProof/>
          <w:sz w:val="24"/>
          <w:szCs w:val="24"/>
        </w:rPr>
        <w:drawing>
          <wp:inline distT="0" distB="0" distL="0" distR="0" wp14:anchorId="2681A753" wp14:editId="56FCE900">
            <wp:extent cx="5353050" cy="156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1568450"/>
                    </a:xfrm>
                    <a:prstGeom prst="rect">
                      <a:avLst/>
                    </a:prstGeom>
                    <a:noFill/>
                    <a:ln>
                      <a:noFill/>
                    </a:ln>
                  </pic:spPr>
                </pic:pic>
              </a:graphicData>
            </a:graphic>
          </wp:inline>
        </w:drawing>
      </w:r>
    </w:p>
    <w:p w14:paraId="3A3A2565" w14:textId="77777777" w:rsidR="00037190" w:rsidRPr="00037190" w:rsidRDefault="00037190" w:rsidP="00037190">
      <w:pPr>
        <w:spacing w:line="256" w:lineRule="auto"/>
        <w:rPr>
          <w:rFonts w:ascii="Arial" w:hAnsi="Arial" w:cs="Arial"/>
          <w:sz w:val="24"/>
          <w:szCs w:val="24"/>
        </w:rPr>
      </w:pPr>
    </w:p>
    <w:p w14:paraId="63B96403" w14:textId="77777777" w:rsidR="00037190" w:rsidRDefault="00037190" w:rsidP="003D6815">
      <w:pPr>
        <w:numPr>
          <w:ilvl w:val="0"/>
          <w:numId w:val="17"/>
        </w:numPr>
        <w:spacing w:after="0" w:line="276" w:lineRule="auto"/>
        <w:rPr>
          <w:rFonts w:ascii="Arial" w:hAnsi="Arial" w:cs="Arial"/>
          <w:sz w:val="24"/>
          <w:szCs w:val="24"/>
        </w:rPr>
      </w:pPr>
      <w:r w:rsidRPr="00037190">
        <w:rPr>
          <w:rFonts w:ascii="Arial" w:hAnsi="Arial" w:cs="Arial"/>
          <w:sz w:val="24"/>
          <w:szCs w:val="24"/>
        </w:rPr>
        <w:t>Please explain the differences shown in column E of the above noted Table 1, also discussing the reasons why there are no differences shown in column H of the above noted Table 2.</w:t>
      </w:r>
    </w:p>
    <w:p w14:paraId="5A3EBC80" w14:textId="77777777" w:rsidR="00BC4BAB" w:rsidRDefault="00037190" w:rsidP="003D6815">
      <w:pPr>
        <w:numPr>
          <w:ilvl w:val="0"/>
          <w:numId w:val="17"/>
        </w:numPr>
        <w:spacing w:line="276" w:lineRule="auto"/>
        <w:rPr>
          <w:rFonts w:ascii="Arial" w:hAnsi="Arial" w:cs="Arial"/>
          <w:sz w:val="24"/>
          <w:szCs w:val="24"/>
        </w:rPr>
      </w:pPr>
      <w:r w:rsidRPr="00037190">
        <w:rPr>
          <w:rFonts w:ascii="Arial" w:hAnsi="Arial" w:cs="Arial"/>
          <w:sz w:val="24"/>
          <w:szCs w:val="24"/>
        </w:rPr>
        <w:t>If there are impacts on Account 1588 and Account 1589 from the differences shown in column E of Table 1, please describe and quantify the impacts.</w:t>
      </w:r>
    </w:p>
    <w:p w14:paraId="33D26C8B" w14:textId="77777777" w:rsidR="00BC4BAB" w:rsidRDefault="00BC4BAB" w:rsidP="003D6815">
      <w:pPr>
        <w:spacing w:line="276" w:lineRule="auto"/>
        <w:rPr>
          <w:rFonts w:ascii="Arial" w:hAnsi="Arial" w:cs="Arial"/>
          <w:sz w:val="24"/>
          <w:szCs w:val="24"/>
        </w:rPr>
      </w:pPr>
    </w:p>
    <w:p w14:paraId="2A9AD582" w14:textId="790E36A7"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Staff Question-</w:t>
      </w:r>
      <w:r w:rsidR="003224DA" w:rsidRPr="00BC4BAB">
        <w:rPr>
          <w:rFonts w:ascii="Arial" w:hAnsi="Arial" w:cs="Arial"/>
          <w:b/>
          <w:sz w:val="24"/>
          <w:szCs w:val="24"/>
        </w:rPr>
        <w:t>1</w:t>
      </w:r>
      <w:r w:rsidR="003224DA">
        <w:rPr>
          <w:rFonts w:ascii="Arial" w:hAnsi="Arial" w:cs="Arial"/>
          <w:b/>
          <w:sz w:val="24"/>
          <w:szCs w:val="24"/>
        </w:rPr>
        <w:t>3</w:t>
      </w:r>
    </w:p>
    <w:p w14:paraId="10FD9ADF" w14:textId="77777777"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Ref:</w:t>
      </w:r>
      <w:r w:rsidRPr="00BC4BAB">
        <w:rPr>
          <w:rFonts w:ascii="Arial" w:hAnsi="Arial" w:cs="Arial"/>
          <w:b/>
          <w:sz w:val="24"/>
          <w:szCs w:val="24"/>
        </w:rPr>
        <w:tab/>
        <w:t>LRAMVA workform, Tab 1</w:t>
      </w:r>
    </w:p>
    <w:p w14:paraId="6C2B0ACA" w14:textId="3BA53FE1" w:rsidR="00BC4BAB" w:rsidRDefault="00BC4BAB" w:rsidP="003D6815">
      <w:pPr>
        <w:spacing w:after="0" w:line="276" w:lineRule="auto"/>
        <w:rPr>
          <w:rFonts w:ascii="Arial" w:hAnsi="Arial" w:cs="Arial"/>
          <w:sz w:val="24"/>
          <w:szCs w:val="24"/>
        </w:rPr>
      </w:pPr>
      <w:r w:rsidRPr="00BC4BAB">
        <w:rPr>
          <w:rFonts w:ascii="Arial" w:hAnsi="Arial" w:cs="Arial"/>
          <w:sz w:val="24"/>
          <w:szCs w:val="24"/>
        </w:rPr>
        <w:t>The LRAMVA balance in Table 1-a inadvertently includes 2019 savings amounts that are automatically pulled from Table 1-b. As a result, the total LRAMVA balance in Table 1-a and Table 1-b do not match.</w:t>
      </w:r>
    </w:p>
    <w:p w14:paraId="4D906C56" w14:textId="77777777" w:rsidR="00B541B2" w:rsidRPr="00BC4BAB" w:rsidRDefault="00B541B2" w:rsidP="003D6815">
      <w:pPr>
        <w:spacing w:after="0" w:line="276" w:lineRule="auto"/>
        <w:rPr>
          <w:rFonts w:ascii="Arial" w:hAnsi="Arial" w:cs="Arial"/>
          <w:sz w:val="24"/>
          <w:szCs w:val="24"/>
        </w:rPr>
      </w:pPr>
    </w:p>
    <w:p w14:paraId="4A49E6E9" w14:textId="77777777" w:rsidR="00BC4BAB" w:rsidRPr="00BC4BAB" w:rsidRDefault="00BC4BAB" w:rsidP="003D6815">
      <w:pPr>
        <w:numPr>
          <w:ilvl w:val="0"/>
          <w:numId w:val="20"/>
        </w:numPr>
        <w:spacing w:line="276" w:lineRule="auto"/>
        <w:rPr>
          <w:rFonts w:ascii="Arial" w:hAnsi="Arial" w:cs="Arial"/>
          <w:sz w:val="24"/>
          <w:szCs w:val="24"/>
        </w:rPr>
      </w:pPr>
      <w:r w:rsidRPr="00BC4BAB">
        <w:rPr>
          <w:rFonts w:ascii="Arial" w:hAnsi="Arial" w:cs="Arial"/>
          <w:sz w:val="24"/>
          <w:szCs w:val="24"/>
        </w:rPr>
        <w:lastRenderedPageBreak/>
        <w:t>In Table 1-b, please unhide rows 78 and 79 and remove the 2019 amounts in these rows that are not part of the LRAMVA claim.</w:t>
      </w:r>
    </w:p>
    <w:p w14:paraId="102C587B" w14:textId="77777777" w:rsidR="00BC4BAB" w:rsidRPr="00BC4BAB" w:rsidRDefault="00BC4BAB" w:rsidP="003D6815">
      <w:pPr>
        <w:numPr>
          <w:ilvl w:val="0"/>
          <w:numId w:val="20"/>
        </w:numPr>
        <w:spacing w:line="276" w:lineRule="auto"/>
        <w:rPr>
          <w:rFonts w:ascii="Arial" w:hAnsi="Arial" w:cs="Arial"/>
          <w:sz w:val="24"/>
          <w:szCs w:val="24"/>
        </w:rPr>
      </w:pPr>
      <w:r w:rsidRPr="00BC4BAB">
        <w:rPr>
          <w:rFonts w:ascii="Arial" w:hAnsi="Arial" w:cs="Arial"/>
          <w:sz w:val="24"/>
          <w:szCs w:val="24"/>
        </w:rPr>
        <w:t>Please confirm that Table 1-a of the LRAMVA workform has been updated.</w:t>
      </w:r>
    </w:p>
    <w:p w14:paraId="104B2660" w14:textId="77777777" w:rsidR="00BC4BAB" w:rsidRPr="00BC4BAB" w:rsidRDefault="00BC4BAB" w:rsidP="003D6815">
      <w:pPr>
        <w:spacing w:line="276" w:lineRule="auto"/>
        <w:rPr>
          <w:rFonts w:ascii="Arial" w:hAnsi="Arial" w:cs="Arial"/>
          <w:sz w:val="24"/>
          <w:szCs w:val="24"/>
        </w:rPr>
      </w:pPr>
    </w:p>
    <w:p w14:paraId="2E0BF37D" w14:textId="6D2E7BB1"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Staff Question-</w:t>
      </w:r>
      <w:r w:rsidR="003224DA" w:rsidRPr="00BC4BAB">
        <w:rPr>
          <w:rFonts w:ascii="Arial" w:hAnsi="Arial" w:cs="Arial"/>
          <w:b/>
          <w:sz w:val="24"/>
          <w:szCs w:val="24"/>
        </w:rPr>
        <w:t>1</w:t>
      </w:r>
      <w:r w:rsidR="003224DA">
        <w:rPr>
          <w:rFonts w:ascii="Arial" w:hAnsi="Arial" w:cs="Arial"/>
          <w:b/>
          <w:sz w:val="24"/>
          <w:szCs w:val="24"/>
        </w:rPr>
        <w:t>4</w:t>
      </w:r>
    </w:p>
    <w:p w14:paraId="1B88C83F" w14:textId="77777777"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Ref:</w:t>
      </w:r>
      <w:r w:rsidRPr="00BC4BAB">
        <w:rPr>
          <w:rFonts w:ascii="Arial" w:hAnsi="Arial" w:cs="Arial"/>
          <w:b/>
          <w:sz w:val="24"/>
          <w:szCs w:val="24"/>
        </w:rPr>
        <w:tab/>
        <w:t>LRAMVA workform, Tab 3</w:t>
      </w:r>
    </w:p>
    <w:p w14:paraId="6976D773" w14:textId="77777777" w:rsidR="00BC4BAB" w:rsidRPr="00BC4BAB" w:rsidRDefault="00BC4BAB" w:rsidP="003D6815">
      <w:pPr>
        <w:spacing w:line="276" w:lineRule="auto"/>
        <w:rPr>
          <w:rFonts w:ascii="Arial" w:hAnsi="Arial" w:cs="Arial"/>
          <w:sz w:val="24"/>
          <w:szCs w:val="24"/>
        </w:rPr>
      </w:pPr>
      <w:r w:rsidRPr="00BC4BAB">
        <w:rPr>
          <w:rFonts w:ascii="Arial" w:hAnsi="Arial" w:cs="Arial"/>
          <w:sz w:val="24"/>
          <w:szCs w:val="24"/>
        </w:rPr>
        <w:t>Tab 3 provides a template for distributors to input distribution rates by customer class. Based on the effective implementation dates of Centre Wellington</w:t>
      </w:r>
      <w:r w:rsidR="004A3EFA">
        <w:rPr>
          <w:rFonts w:ascii="Arial" w:hAnsi="Arial" w:cs="Arial"/>
          <w:sz w:val="24"/>
          <w:szCs w:val="24"/>
        </w:rPr>
        <w:t xml:space="preserve"> Hydro</w:t>
      </w:r>
      <w:r w:rsidRPr="00BC4BAB">
        <w:rPr>
          <w:rFonts w:ascii="Arial" w:hAnsi="Arial" w:cs="Arial"/>
          <w:sz w:val="24"/>
          <w:szCs w:val="24"/>
        </w:rPr>
        <w:t xml:space="preserve">’s tariff of rates, please revise the number of months entered in row 16 of Tab 3 to “0” in order to reflect a January 1 implementation date. </w:t>
      </w:r>
    </w:p>
    <w:p w14:paraId="0F344A52" w14:textId="77777777" w:rsidR="00BC4BAB" w:rsidRPr="00BC4BAB" w:rsidRDefault="00BC4BAB" w:rsidP="003D6815">
      <w:pPr>
        <w:spacing w:line="257" w:lineRule="auto"/>
        <w:rPr>
          <w:rFonts w:ascii="Arial" w:hAnsi="Arial" w:cs="Arial"/>
          <w:sz w:val="24"/>
          <w:szCs w:val="24"/>
        </w:rPr>
      </w:pPr>
    </w:p>
    <w:p w14:paraId="6413E2B6" w14:textId="24B912AE"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Staff Question-</w:t>
      </w:r>
      <w:r w:rsidR="003224DA" w:rsidRPr="00BC4BAB">
        <w:rPr>
          <w:rFonts w:ascii="Arial" w:hAnsi="Arial" w:cs="Arial"/>
          <w:b/>
          <w:sz w:val="24"/>
          <w:szCs w:val="24"/>
        </w:rPr>
        <w:t>1</w:t>
      </w:r>
      <w:r w:rsidR="003224DA">
        <w:rPr>
          <w:rFonts w:ascii="Arial" w:hAnsi="Arial" w:cs="Arial"/>
          <w:b/>
          <w:sz w:val="24"/>
          <w:szCs w:val="24"/>
        </w:rPr>
        <w:t>5</w:t>
      </w:r>
    </w:p>
    <w:p w14:paraId="69ED3F6C" w14:textId="77777777"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Ref:</w:t>
      </w:r>
      <w:r w:rsidRPr="00BC4BAB">
        <w:rPr>
          <w:rFonts w:ascii="Arial" w:hAnsi="Arial" w:cs="Arial"/>
          <w:b/>
          <w:sz w:val="24"/>
          <w:szCs w:val="24"/>
        </w:rPr>
        <w:tab/>
        <w:t>LRAMVA workform, Tabs 2 and 5</w:t>
      </w:r>
    </w:p>
    <w:p w14:paraId="4DA7143C" w14:textId="6B91C1D3" w:rsidR="00BC4BAB" w:rsidRDefault="00BC4BAB" w:rsidP="003D6815">
      <w:pPr>
        <w:spacing w:after="0" w:line="276" w:lineRule="auto"/>
        <w:rPr>
          <w:rFonts w:ascii="Arial" w:hAnsi="Arial" w:cs="Arial"/>
          <w:sz w:val="24"/>
          <w:szCs w:val="24"/>
        </w:rPr>
      </w:pPr>
      <w:r w:rsidRPr="00BC4BAB">
        <w:rPr>
          <w:rFonts w:ascii="Arial" w:hAnsi="Arial" w:cs="Arial"/>
          <w:sz w:val="24"/>
          <w:szCs w:val="24"/>
        </w:rPr>
        <w:t>There are various entries in Table 5-d that OEB staff seeks clarity on, as it relates to the calculation of 2018 lost revenues.</w:t>
      </w:r>
    </w:p>
    <w:p w14:paraId="51C5B928" w14:textId="77777777" w:rsidR="00B541B2" w:rsidRPr="00BC4BAB" w:rsidRDefault="00B541B2" w:rsidP="003D6815">
      <w:pPr>
        <w:spacing w:after="0" w:line="276" w:lineRule="auto"/>
        <w:rPr>
          <w:rFonts w:ascii="Arial" w:hAnsi="Arial" w:cs="Arial"/>
          <w:sz w:val="24"/>
          <w:szCs w:val="24"/>
        </w:rPr>
      </w:pPr>
    </w:p>
    <w:p w14:paraId="1DC02142" w14:textId="77777777" w:rsidR="00BC4BAB" w:rsidRPr="00BC4BAB" w:rsidRDefault="00BC4BAB" w:rsidP="003D6815">
      <w:pPr>
        <w:numPr>
          <w:ilvl w:val="0"/>
          <w:numId w:val="21"/>
        </w:numPr>
        <w:spacing w:after="0" w:line="276" w:lineRule="auto"/>
        <w:rPr>
          <w:rFonts w:ascii="Arial" w:hAnsi="Arial" w:cs="Arial"/>
          <w:sz w:val="24"/>
          <w:szCs w:val="24"/>
        </w:rPr>
      </w:pPr>
      <w:r w:rsidRPr="00BC4BAB">
        <w:rPr>
          <w:rFonts w:ascii="Arial" w:hAnsi="Arial" w:cs="Arial"/>
          <w:sz w:val="24"/>
          <w:szCs w:val="24"/>
        </w:rPr>
        <w:t xml:space="preserve">Please confirm that actual savings from 2011 to 2014 CDM programs were embedded in the 2018 base load forecast. If confirmed, please explain why the persistence of 2011 to 2014 savings in 2018 have been included in Table 5-d. </w:t>
      </w:r>
    </w:p>
    <w:p w14:paraId="6EC8A42F" w14:textId="77777777" w:rsidR="00BC4BAB" w:rsidRPr="00BC4BAB" w:rsidRDefault="00BC4BAB" w:rsidP="003D6815">
      <w:pPr>
        <w:numPr>
          <w:ilvl w:val="0"/>
          <w:numId w:val="21"/>
        </w:numPr>
        <w:spacing w:after="0" w:line="276" w:lineRule="auto"/>
        <w:rPr>
          <w:rFonts w:ascii="Arial" w:hAnsi="Arial" w:cs="Arial"/>
          <w:sz w:val="24"/>
          <w:szCs w:val="24"/>
        </w:rPr>
      </w:pPr>
      <w:r w:rsidRPr="00BC4BAB">
        <w:rPr>
          <w:rFonts w:ascii="Arial" w:hAnsi="Arial" w:cs="Arial"/>
          <w:sz w:val="24"/>
          <w:szCs w:val="24"/>
        </w:rPr>
        <w:t>As the LRAMVA threshold (of 7,405,795 kWh) includes forecast savings from 2015 to 2018, please confirm that it is appropriate to exclude the lost revenues from 2011 to 2014 in 2018, and modify Table 5-d accordingly.</w:t>
      </w:r>
    </w:p>
    <w:p w14:paraId="224F9CA8" w14:textId="77777777" w:rsidR="00BC4BAB" w:rsidRPr="00BC4BAB" w:rsidRDefault="00BC4BAB" w:rsidP="003D6815">
      <w:pPr>
        <w:numPr>
          <w:ilvl w:val="0"/>
          <w:numId w:val="21"/>
        </w:numPr>
        <w:spacing w:after="0" w:line="276" w:lineRule="auto"/>
        <w:rPr>
          <w:rFonts w:ascii="Arial" w:hAnsi="Arial" w:cs="Arial"/>
          <w:sz w:val="24"/>
          <w:szCs w:val="24"/>
        </w:rPr>
      </w:pPr>
      <w:r w:rsidRPr="00BC4BAB">
        <w:rPr>
          <w:rFonts w:ascii="Arial" w:hAnsi="Arial" w:cs="Arial"/>
          <w:sz w:val="24"/>
          <w:szCs w:val="24"/>
        </w:rPr>
        <w:t>Please clarify whether any 2017 unverified savings adjustments have been included in Tab 5. If yes, please ensure that the 2017 savings adjustments are entered in Table 5-c (as they relate to 2017 programs).</w:t>
      </w:r>
    </w:p>
    <w:p w14:paraId="63399CFD" w14:textId="77777777" w:rsidR="00BC4BAB" w:rsidRDefault="00BC4BAB" w:rsidP="003D6815">
      <w:pPr>
        <w:numPr>
          <w:ilvl w:val="0"/>
          <w:numId w:val="21"/>
        </w:numPr>
        <w:spacing w:line="276" w:lineRule="auto"/>
        <w:rPr>
          <w:rFonts w:ascii="Arial" w:hAnsi="Arial" w:cs="Arial"/>
          <w:sz w:val="24"/>
          <w:szCs w:val="24"/>
        </w:rPr>
      </w:pPr>
      <w:r w:rsidRPr="00BC4BAB">
        <w:rPr>
          <w:rFonts w:ascii="Arial" w:hAnsi="Arial" w:cs="Arial"/>
          <w:sz w:val="24"/>
          <w:szCs w:val="24"/>
        </w:rPr>
        <w:t>Please explain why the 2018 unverified savings entered into Table 5-d in the LRAMVA workform do not match the 2018 savings included in the P&amp;C report (dated December 31, 2018). Please revise the entries, in Table 5-d, using the latest P&amp;C report to support the 2017 unverified savings adjustments and 2018 unverified savings included in Tab 5 of the LRAMVA workform.</w:t>
      </w:r>
    </w:p>
    <w:p w14:paraId="34488C73" w14:textId="77777777" w:rsidR="00BC4BAB" w:rsidRPr="00BC4BAB" w:rsidRDefault="00BC4BAB" w:rsidP="003D6815">
      <w:pPr>
        <w:spacing w:line="276" w:lineRule="auto"/>
        <w:ind w:left="720"/>
        <w:rPr>
          <w:rFonts w:ascii="Arial" w:hAnsi="Arial" w:cs="Arial"/>
          <w:sz w:val="24"/>
          <w:szCs w:val="24"/>
        </w:rPr>
      </w:pPr>
    </w:p>
    <w:p w14:paraId="5E40D8E3" w14:textId="220041AB"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Staff Question-</w:t>
      </w:r>
      <w:r w:rsidR="003224DA" w:rsidRPr="00BC4BAB">
        <w:rPr>
          <w:rFonts w:ascii="Arial" w:hAnsi="Arial" w:cs="Arial"/>
          <w:b/>
          <w:sz w:val="24"/>
          <w:szCs w:val="24"/>
        </w:rPr>
        <w:t>1</w:t>
      </w:r>
      <w:r w:rsidR="003224DA">
        <w:rPr>
          <w:rFonts w:ascii="Arial" w:hAnsi="Arial" w:cs="Arial"/>
          <w:b/>
          <w:sz w:val="24"/>
          <w:szCs w:val="24"/>
        </w:rPr>
        <w:t>6</w:t>
      </w:r>
    </w:p>
    <w:p w14:paraId="78CD76BF" w14:textId="77777777" w:rsidR="00BC4BAB" w:rsidRPr="00BC4BAB" w:rsidRDefault="00BC4BAB" w:rsidP="003D6815">
      <w:pPr>
        <w:spacing w:line="276" w:lineRule="auto"/>
        <w:rPr>
          <w:rFonts w:ascii="Arial" w:hAnsi="Arial" w:cs="Arial"/>
          <w:b/>
          <w:sz w:val="24"/>
          <w:szCs w:val="24"/>
        </w:rPr>
      </w:pPr>
      <w:r w:rsidRPr="00BC4BAB">
        <w:rPr>
          <w:rFonts w:ascii="Arial" w:hAnsi="Arial" w:cs="Arial"/>
          <w:b/>
          <w:sz w:val="24"/>
          <w:szCs w:val="24"/>
        </w:rPr>
        <w:t>Ref:</w:t>
      </w:r>
      <w:r w:rsidRPr="00BC4BAB">
        <w:rPr>
          <w:rFonts w:ascii="Arial" w:hAnsi="Arial" w:cs="Arial"/>
          <w:b/>
          <w:sz w:val="24"/>
          <w:szCs w:val="24"/>
        </w:rPr>
        <w:tab/>
        <w:t>LRAMVA workform, Tab 6</w:t>
      </w:r>
    </w:p>
    <w:p w14:paraId="7D516802" w14:textId="77777777" w:rsidR="00BC4BAB" w:rsidRPr="00BC4BAB" w:rsidRDefault="00BC4BAB" w:rsidP="003D6815">
      <w:pPr>
        <w:spacing w:line="276" w:lineRule="auto"/>
        <w:rPr>
          <w:rFonts w:ascii="Arial" w:hAnsi="Arial" w:cs="Arial"/>
          <w:sz w:val="24"/>
          <w:szCs w:val="24"/>
        </w:rPr>
      </w:pPr>
      <w:r w:rsidRPr="00BC4BAB">
        <w:rPr>
          <w:rFonts w:ascii="Arial" w:hAnsi="Arial" w:cs="Arial"/>
          <w:sz w:val="24"/>
          <w:szCs w:val="24"/>
        </w:rPr>
        <w:lastRenderedPageBreak/>
        <w:t>Table 6-a includes projected carrying charges that are calculated up to December 31, 2020. Please update Table 6-a of the LRAMVA workform to include projected carrying charges up to December 31, 2019 only.</w:t>
      </w:r>
    </w:p>
    <w:p w14:paraId="371000D9" w14:textId="77777777" w:rsidR="00BC4BAB" w:rsidRPr="00BC4BAB" w:rsidRDefault="00BC4BAB" w:rsidP="003D6815">
      <w:pPr>
        <w:spacing w:line="276" w:lineRule="auto"/>
        <w:rPr>
          <w:rFonts w:ascii="Arial" w:hAnsi="Arial" w:cs="Arial"/>
          <w:b/>
          <w:sz w:val="24"/>
          <w:szCs w:val="24"/>
        </w:rPr>
      </w:pPr>
    </w:p>
    <w:p w14:paraId="7BFD62DD" w14:textId="0C3290FF" w:rsidR="00BC4BAB" w:rsidRDefault="00BC4BAB" w:rsidP="003D6815">
      <w:pPr>
        <w:spacing w:line="276" w:lineRule="auto"/>
        <w:rPr>
          <w:rFonts w:ascii="Arial" w:hAnsi="Arial" w:cs="Arial"/>
          <w:b/>
          <w:sz w:val="24"/>
          <w:szCs w:val="24"/>
        </w:rPr>
      </w:pPr>
      <w:r w:rsidRPr="00BC4BAB">
        <w:rPr>
          <w:rFonts w:ascii="Arial" w:hAnsi="Arial" w:cs="Arial"/>
          <w:b/>
          <w:sz w:val="24"/>
          <w:szCs w:val="24"/>
        </w:rPr>
        <w:t>Staff Question-</w:t>
      </w:r>
      <w:r w:rsidR="003224DA" w:rsidRPr="00BC4BAB">
        <w:rPr>
          <w:rFonts w:ascii="Arial" w:hAnsi="Arial" w:cs="Arial"/>
          <w:b/>
          <w:sz w:val="24"/>
          <w:szCs w:val="24"/>
        </w:rPr>
        <w:t>1</w:t>
      </w:r>
      <w:r w:rsidR="003224DA">
        <w:rPr>
          <w:rFonts w:ascii="Arial" w:hAnsi="Arial" w:cs="Arial"/>
          <w:b/>
          <w:sz w:val="24"/>
          <w:szCs w:val="24"/>
        </w:rPr>
        <w:t>7</w:t>
      </w:r>
    </w:p>
    <w:p w14:paraId="1EE275D1" w14:textId="32EB3B58" w:rsidR="00C666E5" w:rsidRPr="00BC4BAB" w:rsidRDefault="00C666E5" w:rsidP="003D6815">
      <w:pPr>
        <w:spacing w:line="276" w:lineRule="auto"/>
        <w:rPr>
          <w:rFonts w:ascii="Arial" w:hAnsi="Arial" w:cs="Arial"/>
          <w:b/>
          <w:sz w:val="24"/>
          <w:szCs w:val="24"/>
        </w:rPr>
      </w:pPr>
      <w:r>
        <w:rPr>
          <w:rFonts w:ascii="Arial" w:hAnsi="Arial" w:cs="Arial"/>
          <w:b/>
          <w:sz w:val="24"/>
          <w:szCs w:val="24"/>
        </w:rPr>
        <w:t>Ref:</w:t>
      </w:r>
      <w:r>
        <w:rPr>
          <w:rFonts w:ascii="Arial" w:hAnsi="Arial" w:cs="Arial"/>
          <w:b/>
          <w:sz w:val="24"/>
          <w:szCs w:val="24"/>
        </w:rPr>
        <w:tab/>
      </w:r>
      <w:r w:rsidRPr="00BC4BAB">
        <w:rPr>
          <w:rFonts w:ascii="Arial" w:hAnsi="Arial" w:cs="Arial"/>
          <w:b/>
          <w:sz w:val="24"/>
          <w:szCs w:val="24"/>
        </w:rPr>
        <w:t>LRAMVA workform</w:t>
      </w:r>
    </w:p>
    <w:p w14:paraId="42C6B6EA" w14:textId="0AF1346C" w:rsidR="00BC4BAB" w:rsidRPr="00BC4BAB" w:rsidRDefault="00BC4BAB" w:rsidP="003D6815">
      <w:pPr>
        <w:numPr>
          <w:ilvl w:val="0"/>
          <w:numId w:val="22"/>
        </w:numPr>
        <w:spacing w:after="0" w:line="276" w:lineRule="auto"/>
        <w:rPr>
          <w:rFonts w:ascii="Arial" w:hAnsi="Arial" w:cs="Arial"/>
          <w:sz w:val="24"/>
          <w:szCs w:val="24"/>
        </w:rPr>
      </w:pPr>
      <w:r w:rsidRPr="00BC4BAB">
        <w:rPr>
          <w:rFonts w:ascii="Arial" w:hAnsi="Arial" w:cs="Arial"/>
          <w:sz w:val="24"/>
          <w:szCs w:val="24"/>
        </w:rPr>
        <w:t>If Centre Wellington</w:t>
      </w:r>
      <w:r w:rsidR="004A3EFA">
        <w:rPr>
          <w:rFonts w:ascii="Arial" w:hAnsi="Arial" w:cs="Arial"/>
          <w:sz w:val="24"/>
          <w:szCs w:val="24"/>
        </w:rPr>
        <w:t xml:space="preserve"> Hydro</w:t>
      </w:r>
      <w:r w:rsidRPr="00BC4BAB">
        <w:rPr>
          <w:rFonts w:ascii="Arial" w:hAnsi="Arial" w:cs="Arial"/>
          <w:sz w:val="24"/>
          <w:szCs w:val="24"/>
        </w:rPr>
        <w:t xml:space="preserve"> made any changes to the LRAMVA workform as a result of its responses to the above LRAMVA questions, please file an updated LRAMVA work form, the revised LRAMVA balance requested for disposition, and a table summarizing the revised rate riders. </w:t>
      </w:r>
    </w:p>
    <w:p w14:paraId="5C6407F2" w14:textId="77777777" w:rsidR="00BC4BAB" w:rsidRPr="00BC4BAB" w:rsidRDefault="00BC4BAB" w:rsidP="003D6815">
      <w:pPr>
        <w:numPr>
          <w:ilvl w:val="0"/>
          <w:numId w:val="22"/>
        </w:numPr>
        <w:spacing w:line="276" w:lineRule="auto"/>
        <w:rPr>
          <w:rFonts w:ascii="Arial" w:hAnsi="Arial" w:cs="Arial"/>
          <w:sz w:val="24"/>
          <w:szCs w:val="24"/>
        </w:rPr>
      </w:pPr>
      <w:r w:rsidRPr="00BC4BAB">
        <w:rPr>
          <w:rFonts w:ascii="Arial" w:hAnsi="Arial" w:cs="Arial"/>
          <w:sz w:val="24"/>
          <w:szCs w:val="24"/>
        </w:rPr>
        <w:t>Please confirm any changes to the LRAMVA workform in response to these LRAMVA questions in “Table A-2.  Updates to LRAMVA Disposition (Tab 2)”.</w:t>
      </w:r>
    </w:p>
    <w:p w14:paraId="0491C00F" w14:textId="77777777" w:rsidR="00BC4BAB" w:rsidRPr="00BC4BAB" w:rsidRDefault="00BC4BAB" w:rsidP="00BC4BAB">
      <w:pPr>
        <w:spacing w:line="256" w:lineRule="auto"/>
        <w:rPr>
          <w:rFonts w:ascii="Arial" w:hAnsi="Arial" w:cs="Arial"/>
          <w:sz w:val="24"/>
          <w:szCs w:val="24"/>
        </w:rPr>
      </w:pPr>
    </w:p>
    <w:sectPr w:rsidR="00BC4BAB" w:rsidRPr="00BC4BA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068CF" w14:textId="77777777" w:rsidR="003E562C" w:rsidRDefault="003E562C" w:rsidP="003E562C">
      <w:pPr>
        <w:spacing w:after="0" w:line="240" w:lineRule="auto"/>
      </w:pPr>
      <w:r>
        <w:separator/>
      </w:r>
    </w:p>
  </w:endnote>
  <w:endnote w:type="continuationSeparator" w:id="0">
    <w:p w14:paraId="4D71FC4E" w14:textId="77777777" w:rsidR="003E562C" w:rsidRDefault="003E562C" w:rsidP="003E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60238"/>
      <w:docPartObj>
        <w:docPartGallery w:val="Page Numbers (Bottom of Page)"/>
        <w:docPartUnique/>
      </w:docPartObj>
    </w:sdtPr>
    <w:sdtEndPr/>
    <w:sdtContent>
      <w:sdt>
        <w:sdtPr>
          <w:id w:val="-1769616900"/>
          <w:docPartObj>
            <w:docPartGallery w:val="Page Numbers (Top of Page)"/>
            <w:docPartUnique/>
          </w:docPartObj>
        </w:sdtPr>
        <w:sdtEndPr/>
        <w:sdtContent>
          <w:p w14:paraId="10F34ECC" w14:textId="24268D57" w:rsidR="003E562C" w:rsidRPr="003E562C" w:rsidRDefault="003E562C">
            <w:pPr>
              <w:pStyle w:val="Footer"/>
              <w:jc w:val="right"/>
            </w:pPr>
            <w:r w:rsidRPr="003E562C">
              <w:t xml:space="preserve">Page </w:t>
            </w:r>
            <w:r w:rsidRPr="003E562C">
              <w:rPr>
                <w:bCs/>
                <w:sz w:val="24"/>
                <w:szCs w:val="24"/>
              </w:rPr>
              <w:fldChar w:fldCharType="begin"/>
            </w:r>
            <w:r w:rsidRPr="003E562C">
              <w:rPr>
                <w:bCs/>
              </w:rPr>
              <w:instrText xml:space="preserve"> PAGE </w:instrText>
            </w:r>
            <w:r w:rsidRPr="003E562C">
              <w:rPr>
                <w:bCs/>
                <w:sz w:val="24"/>
                <w:szCs w:val="24"/>
              </w:rPr>
              <w:fldChar w:fldCharType="separate"/>
            </w:r>
            <w:r w:rsidR="001B7FD1">
              <w:rPr>
                <w:bCs/>
                <w:noProof/>
              </w:rPr>
              <w:t>4</w:t>
            </w:r>
            <w:r w:rsidRPr="003E562C">
              <w:rPr>
                <w:bCs/>
                <w:sz w:val="24"/>
                <w:szCs w:val="24"/>
              </w:rPr>
              <w:fldChar w:fldCharType="end"/>
            </w:r>
            <w:r w:rsidRPr="003E562C">
              <w:t xml:space="preserve"> of </w:t>
            </w:r>
            <w:r w:rsidRPr="003E562C">
              <w:rPr>
                <w:bCs/>
                <w:sz w:val="24"/>
                <w:szCs w:val="24"/>
              </w:rPr>
              <w:fldChar w:fldCharType="begin"/>
            </w:r>
            <w:r w:rsidRPr="003E562C">
              <w:rPr>
                <w:bCs/>
              </w:rPr>
              <w:instrText xml:space="preserve"> NUMPAGES  </w:instrText>
            </w:r>
            <w:r w:rsidRPr="003E562C">
              <w:rPr>
                <w:bCs/>
                <w:sz w:val="24"/>
                <w:szCs w:val="24"/>
              </w:rPr>
              <w:fldChar w:fldCharType="separate"/>
            </w:r>
            <w:r w:rsidR="001B7FD1">
              <w:rPr>
                <w:bCs/>
                <w:noProof/>
              </w:rPr>
              <w:t>10</w:t>
            </w:r>
            <w:r w:rsidRPr="003E562C">
              <w:rPr>
                <w:bCs/>
                <w:sz w:val="24"/>
                <w:szCs w:val="24"/>
              </w:rPr>
              <w:fldChar w:fldCharType="end"/>
            </w:r>
          </w:p>
        </w:sdtContent>
      </w:sdt>
    </w:sdtContent>
  </w:sdt>
  <w:p w14:paraId="6122B3DC" w14:textId="77777777" w:rsidR="003E562C" w:rsidRDefault="003E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200BC" w14:textId="77777777" w:rsidR="003E562C" w:rsidRDefault="003E562C" w:rsidP="003E562C">
      <w:pPr>
        <w:spacing w:after="0" w:line="240" w:lineRule="auto"/>
      </w:pPr>
      <w:r>
        <w:separator/>
      </w:r>
    </w:p>
  </w:footnote>
  <w:footnote w:type="continuationSeparator" w:id="0">
    <w:p w14:paraId="0847EE8E" w14:textId="77777777" w:rsidR="003E562C" w:rsidRDefault="003E562C" w:rsidP="003E562C">
      <w:pPr>
        <w:spacing w:after="0" w:line="240" w:lineRule="auto"/>
      </w:pPr>
      <w:r>
        <w:continuationSeparator/>
      </w:r>
    </w:p>
  </w:footnote>
  <w:footnote w:id="1">
    <w:p w14:paraId="369EF73A" w14:textId="77777777" w:rsidR="00037190" w:rsidRPr="002667EF" w:rsidRDefault="00037190" w:rsidP="00037190">
      <w:pPr>
        <w:pStyle w:val="FootnoteText"/>
        <w:rPr>
          <w:rFonts w:ascii="Arial" w:hAnsi="Arial" w:cs="Arial"/>
        </w:rPr>
      </w:pPr>
      <w:r w:rsidRPr="002667EF">
        <w:rPr>
          <w:rStyle w:val="FootnoteReference"/>
          <w:rFonts w:ascii="Arial" w:hAnsi="Arial" w:cs="Arial"/>
        </w:rPr>
        <w:footnoteRef/>
      </w:r>
      <w:r w:rsidRPr="002667EF">
        <w:rPr>
          <w:rFonts w:ascii="Arial" w:hAnsi="Arial" w:cs="Arial"/>
        </w:rPr>
        <w:t xml:space="preserve"> Addendum to Filing Requirements For Electricity Distribution Rate Applications - 2020 Rate Applications, dated July 15,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41"/>
    <w:multiLevelType w:val="hybridMultilevel"/>
    <w:tmpl w:val="DFAC5E5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9C9"/>
    <w:multiLevelType w:val="hybridMultilevel"/>
    <w:tmpl w:val="5DF61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94069"/>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32420"/>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76DD7"/>
    <w:multiLevelType w:val="hybridMultilevel"/>
    <w:tmpl w:val="200E0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F37"/>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90521"/>
    <w:multiLevelType w:val="hybridMultilevel"/>
    <w:tmpl w:val="48C41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A7413"/>
    <w:multiLevelType w:val="hybridMultilevel"/>
    <w:tmpl w:val="23AAB8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250C6"/>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54D82"/>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916D1"/>
    <w:multiLevelType w:val="hybridMultilevel"/>
    <w:tmpl w:val="4E128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F58F5"/>
    <w:multiLevelType w:val="hybridMultilevel"/>
    <w:tmpl w:val="0F429AAA"/>
    <w:lvl w:ilvl="0" w:tplc="FD60EF28">
      <w:start w:val="1"/>
      <w:numFmt w:val="bullet"/>
      <w:lvlText w:val="•"/>
      <w:lvlJc w:val="left"/>
      <w:pPr>
        <w:tabs>
          <w:tab w:val="num" w:pos="720"/>
        </w:tabs>
        <w:ind w:left="720" w:hanging="360"/>
      </w:pPr>
      <w:rPr>
        <w:rFonts w:ascii="Arial" w:hAnsi="Arial" w:hint="default"/>
      </w:rPr>
    </w:lvl>
    <w:lvl w:ilvl="1" w:tplc="6F0452C0" w:tentative="1">
      <w:start w:val="1"/>
      <w:numFmt w:val="bullet"/>
      <w:lvlText w:val="•"/>
      <w:lvlJc w:val="left"/>
      <w:pPr>
        <w:tabs>
          <w:tab w:val="num" w:pos="1440"/>
        </w:tabs>
        <w:ind w:left="1440" w:hanging="360"/>
      </w:pPr>
      <w:rPr>
        <w:rFonts w:ascii="Arial" w:hAnsi="Arial" w:hint="default"/>
      </w:rPr>
    </w:lvl>
    <w:lvl w:ilvl="2" w:tplc="E70EBCA8">
      <w:start w:val="1"/>
      <w:numFmt w:val="bullet"/>
      <w:lvlText w:val="•"/>
      <w:lvlJc w:val="left"/>
      <w:pPr>
        <w:tabs>
          <w:tab w:val="num" w:pos="2160"/>
        </w:tabs>
        <w:ind w:left="2160" w:hanging="360"/>
      </w:pPr>
      <w:rPr>
        <w:rFonts w:ascii="Arial" w:hAnsi="Arial" w:hint="default"/>
      </w:rPr>
    </w:lvl>
    <w:lvl w:ilvl="3" w:tplc="149CFDF2" w:tentative="1">
      <w:start w:val="1"/>
      <w:numFmt w:val="bullet"/>
      <w:lvlText w:val="•"/>
      <w:lvlJc w:val="left"/>
      <w:pPr>
        <w:tabs>
          <w:tab w:val="num" w:pos="2880"/>
        </w:tabs>
        <w:ind w:left="2880" w:hanging="360"/>
      </w:pPr>
      <w:rPr>
        <w:rFonts w:ascii="Arial" w:hAnsi="Arial" w:hint="default"/>
      </w:rPr>
    </w:lvl>
    <w:lvl w:ilvl="4" w:tplc="DF2A0BB2" w:tentative="1">
      <w:start w:val="1"/>
      <w:numFmt w:val="bullet"/>
      <w:lvlText w:val="•"/>
      <w:lvlJc w:val="left"/>
      <w:pPr>
        <w:tabs>
          <w:tab w:val="num" w:pos="3600"/>
        </w:tabs>
        <w:ind w:left="3600" w:hanging="360"/>
      </w:pPr>
      <w:rPr>
        <w:rFonts w:ascii="Arial" w:hAnsi="Arial" w:hint="default"/>
      </w:rPr>
    </w:lvl>
    <w:lvl w:ilvl="5" w:tplc="F7040E5E" w:tentative="1">
      <w:start w:val="1"/>
      <w:numFmt w:val="bullet"/>
      <w:lvlText w:val="•"/>
      <w:lvlJc w:val="left"/>
      <w:pPr>
        <w:tabs>
          <w:tab w:val="num" w:pos="4320"/>
        </w:tabs>
        <w:ind w:left="4320" w:hanging="360"/>
      </w:pPr>
      <w:rPr>
        <w:rFonts w:ascii="Arial" w:hAnsi="Arial" w:hint="default"/>
      </w:rPr>
    </w:lvl>
    <w:lvl w:ilvl="6" w:tplc="8408A89C" w:tentative="1">
      <w:start w:val="1"/>
      <w:numFmt w:val="bullet"/>
      <w:lvlText w:val="•"/>
      <w:lvlJc w:val="left"/>
      <w:pPr>
        <w:tabs>
          <w:tab w:val="num" w:pos="5040"/>
        </w:tabs>
        <w:ind w:left="5040" w:hanging="360"/>
      </w:pPr>
      <w:rPr>
        <w:rFonts w:ascii="Arial" w:hAnsi="Arial" w:hint="default"/>
      </w:rPr>
    </w:lvl>
    <w:lvl w:ilvl="7" w:tplc="D51C40DC" w:tentative="1">
      <w:start w:val="1"/>
      <w:numFmt w:val="bullet"/>
      <w:lvlText w:val="•"/>
      <w:lvlJc w:val="left"/>
      <w:pPr>
        <w:tabs>
          <w:tab w:val="num" w:pos="5760"/>
        </w:tabs>
        <w:ind w:left="5760" w:hanging="360"/>
      </w:pPr>
      <w:rPr>
        <w:rFonts w:ascii="Arial" w:hAnsi="Arial" w:hint="default"/>
      </w:rPr>
    </w:lvl>
    <w:lvl w:ilvl="8" w:tplc="8ACEAC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B6491"/>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94503"/>
    <w:multiLevelType w:val="hybridMultilevel"/>
    <w:tmpl w:val="A5321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34359"/>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B081C"/>
    <w:multiLevelType w:val="hybridMultilevel"/>
    <w:tmpl w:val="706C7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F0B4D"/>
    <w:multiLevelType w:val="hybridMultilevel"/>
    <w:tmpl w:val="92E4A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C4365"/>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D3D2F"/>
    <w:multiLevelType w:val="hybridMultilevel"/>
    <w:tmpl w:val="DACC3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55A18"/>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F1B36"/>
    <w:multiLevelType w:val="hybridMultilevel"/>
    <w:tmpl w:val="F1AAC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6"/>
  </w:num>
  <w:num w:numId="4">
    <w:abstractNumId w:val="7"/>
  </w:num>
  <w:num w:numId="5">
    <w:abstractNumId w:val="3"/>
  </w:num>
  <w:num w:numId="6">
    <w:abstractNumId w:val="21"/>
  </w:num>
  <w:num w:numId="7">
    <w:abstractNumId w:val="20"/>
  </w:num>
  <w:num w:numId="8">
    <w:abstractNumId w:val="13"/>
  </w:num>
  <w:num w:numId="9">
    <w:abstractNumId w:val="14"/>
  </w:num>
  <w:num w:numId="10">
    <w:abstractNumId w:val="19"/>
  </w:num>
  <w:num w:numId="11">
    <w:abstractNumId w:val="11"/>
  </w:num>
  <w:num w:numId="12">
    <w:abstractNumId w:val="2"/>
  </w:num>
  <w:num w:numId="13">
    <w:abstractNumId w:val="9"/>
  </w:num>
  <w:num w:numId="14">
    <w:abstractNumId w:val="18"/>
  </w:num>
  <w:num w:numId="15">
    <w:abstractNumId w:val="8"/>
  </w:num>
  <w:num w:numId="16">
    <w:abstractNumId w:val="5"/>
  </w:num>
  <w:num w:numId="17">
    <w:abstractNumId w:val="15"/>
  </w:num>
  <w:num w:numId="18">
    <w:abstractNumId w:val="10"/>
  </w:num>
  <w:num w:numId="19">
    <w:abstractNumId w:val="0"/>
  </w:num>
  <w:num w:numId="20">
    <w:abstractNumId w:val="4"/>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68"/>
    <w:rsid w:val="00007D74"/>
    <w:rsid w:val="00015FF6"/>
    <w:rsid w:val="00031102"/>
    <w:rsid w:val="00037190"/>
    <w:rsid w:val="00051703"/>
    <w:rsid w:val="0006417A"/>
    <w:rsid w:val="000B7468"/>
    <w:rsid w:val="000D1AB2"/>
    <w:rsid w:val="00134A9E"/>
    <w:rsid w:val="001A2CC8"/>
    <w:rsid w:val="001B7FD1"/>
    <w:rsid w:val="001D16DB"/>
    <w:rsid w:val="002047BC"/>
    <w:rsid w:val="002730C3"/>
    <w:rsid w:val="003224DA"/>
    <w:rsid w:val="003429D5"/>
    <w:rsid w:val="003804E7"/>
    <w:rsid w:val="0038639C"/>
    <w:rsid w:val="003B551D"/>
    <w:rsid w:val="003D6815"/>
    <w:rsid w:val="003E562C"/>
    <w:rsid w:val="00412437"/>
    <w:rsid w:val="00415D33"/>
    <w:rsid w:val="004409E6"/>
    <w:rsid w:val="00455547"/>
    <w:rsid w:val="00492268"/>
    <w:rsid w:val="004A3EFA"/>
    <w:rsid w:val="004C3DE5"/>
    <w:rsid w:val="00520305"/>
    <w:rsid w:val="0052497D"/>
    <w:rsid w:val="00544C2A"/>
    <w:rsid w:val="00577FE6"/>
    <w:rsid w:val="005E2398"/>
    <w:rsid w:val="006A62E7"/>
    <w:rsid w:val="006C4EB0"/>
    <w:rsid w:val="006C6BBA"/>
    <w:rsid w:val="00726FD3"/>
    <w:rsid w:val="007C2A5C"/>
    <w:rsid w:val="00872E7D"/>
    <w:rsid w:val="008821ED"/>
    <w:rsid w:val="00891E0B"/>
    <w:rsid w:val="00912E58"/>
    <w:rsid w:val="0095177C"/>
    <w:rsid w:val="009C1C8F"/>
    <w:rsid w:val="009E0C7B"/>
    <w:rsid w:val="00A00121"/>
    <w:rsid w:val="00AB7D96"/>
    <w:rsid w:val="00AC1361"/>
    <w:rsid w:val="00B31A84"/>
    <w:rsid w:val="00B541B2"/>
    <w:rsid w:val="00B9450E"/>
    <w:rsid w:val="00BC4BAB"/>
    <w:rsid w:val="00C00C2F"/>
    <w:rsid w:val="00C02BA9"/>
    <w:rsid w:val="00C666E5"/>
    <w:rsid w:val="00CA268B"/>
    <w:rsid w:val="00D44EDD"/>
    <w:rsid w:val="00D5124E"/>
    <w:rsid w:val="00DD422D"/>
    <w:rsid w:val="00DF5CB3"/>
    <w:rsid w:val="00E14FBD"/>
    <w:rsid w:val="00E15ADB"/>
    <w:rsid w:val="00E42ED0"/>
    <w:rsid w:val="00E5202F"/>
    <w:rsid w:val="00E53958"/>
    <w:rsid w:val="00EA15B0"/>
    <w:rsid w:val="00F15D6A"/>
    <w:rsid w:val="00F17A5B"/>
    <w:rsid w:val="00F214E6"/>
    <w:rsid w:val="00F7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72D4"/>
  <w15:chartTrackingRefBased/>
  <w15:docId w15:val="{8896BC7E-0B8B-4BB8-AEE1-43377FE5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E6"/>
    <w:pPr>
      <w:spacing w:after="200" w:line="276" w:lineRule="auto"/>
      <w:ind w:left="720"/>
      <w:contextualSpacing/>
    </w:pPr>
    <w:rPr>
      <w:lang w:val="en-CA"/>
    </w:rPr>
  </w:style>
  <w:style w:type="paragraph" w:styleId="Header">
    <w:name w:val="header"/>
    <w:basedOn w:val="Normal"/>
    <w:link w:val="HeaderChar"/>
    <w:uiPriority w:val="99"/>
    <w:unhideWhenUsed/>
    <w:rsid w:val="003E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62C"/>
  </w:style>
  <w:style w:type="paragraph" w:styleId="Footer">
    <w:name w:val="footer"/>
    <w:basedOn w:val="Normal"/>
    <w:link w:val="FooterChar"/>
    <w:uiPriority w:val="99"/>
    <w:unhideWhenUsed/>
    <w:rsid w:val="003E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62C"/>
  </w:style>
  <w:style w:type="paragraph" w:styleId="BalloonText">
    <w:name w:val="Balloon Text"/>
    <w:basedOn w:val="Normal"/>
    <w:link w:val="BalloonTextChar"/>
    <w:uiPriority w:val="99"/>
    <w:semiHidden/>
    <w:unhideWhenUsed/>
    <w:rsid w:val="0038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C"/>
    <w:rPr>
      <w:rFonts w:ascii="Segoe UI" w:hAnsi="Segoe UI" w:cs="Segoe UI"/>
      <w:sz w:val="18"/>
      <w:szCs w:val="18"/>
    </w:rPr>
  </w:style>
  <w:style w:type="paragraph" w:styleId="NoSpacing">
    <w:name w:val="No Spacing"/>
    <w:uiPriority w:val="1"/>
    <w:qFormat/>
    <w:rsid w:val="00577FE6"/>
    <w:pPr>
      <w:spacing w:after="0" w:line="240" w:lineRule="auto"/>
    </w:pPr>
    <w:rPr>
      <w:rFonts w:ascii="Times New Roman" w:hAnsi="Times New Roman"/>
      <w:sz w:val="24"/>
      <w:lang w:val="en-CA"/>
    </w:rPr>
  </w:style>
  <w:style w:type="paragraph" w:customStyle="1" w:styleId="Default">
    <w:name w:val="Default"/>
    <w:rsid w:val="00E42ED0"/>
    <w:pPr>
      <w:autoSpaceDE w:val="0"/>
      <w:autoSpaceDN w:val="0"/>
      <w:adjustRightInd w:val="0"/>
      <w:spacing w:after="0" w:line="240" w:lineRule="auto"/>
    </w:pPr>
    <w:rPr>
      <w:rFonts w:ascii="Calibri" w:hAnsi="Calibri" w:cs="Calibri"/>
      <w:color w:val="000000"/>
      <w:sz w:val="24"/>
      <w:szCs w:val="24"/>
      <w:lang w:val="en-CA"/>
    </w:rPr>
  </w:style>
  <w:style w:type="paragraph" w:styleId="FootnoteText">
    <w:name w:val="footnote text"/>
    <w:basedOn w:val="Normal"/>
    <w:link w:val="FootnoteTextChar"/>
    <w:uiPriority w:val="99"/>
    <w:semiHidden/>
    <w:unhideWhenUsed/>
    <w:rsid w:val="00037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190"/>
    <w:rPr>
      <w:sz w:val="20"/>
      <w:szCs w:val="20"/>
    </w:rPr>
  </w:style>
  <w:style w:type="character" w:styleId="FootnoteReference">
    <w:name w:val="footnote reference"/>
    <w:basedOn w:val="DefaultParagraphFont"/>
    <w:uiPriority w:val="99"/>
    <w:semiHidden/>
    <w:unhideWhenUsed/>
    <w:rsid w:val="00037190"/>
    <w:rPr>
      <w:vertAlign w:val="superscript"/>
    </w:rPr>
  </w:style>
  <w:style w:type="character" w:styleId="CommentReference">
    <w:name w:val="annotation reference"/>
    <w:basedOn w:val="DefaultParagraphFont"/>
    <w:uiPriority w:val="99"/>
    <w:semiHidden/>
    <w:unhideWhenUsed/>
    <w:rsid w:val="00E14FBD"/>
    <w:rPr>
      <w:sz w:val="16"/>
      <w:szCs w:val="16"/>
    </w:rPr>
  </w:style>
  <w:style w:type="paragraph" w:styleId="CommentText">
    <w:name w:val="annotation text"/>
    <w:basedOn w:val="Normal"/>
    <w:link w:val="CommentTextChar"/>
    <w:uiPriority w:val="99"/>
    <w:semiHidden/>
    <w:unhideWhenUsed/>
    <w:rsid w:val="00E14FBD"/>
    <w:pPr>
      <w:spacing w:line="240" w:lineRule="auto"/>
    </w:pPr>
    <w:rPr>
      <w:sz w:val="20"/>
      <w:szCs w:val="20"/>
    </w:rPr>
  </w:style>
  <w:style w:type="character" w:customStyle="1" w:styleId="CommentTextChar">
    <w:name w:val="Comment Text Char"/>
    <w:basedOn w:val="DefaultParagraphFont"/>
    <w:link w:val="CommentText"/>
    <w:uiPriority w:val="99"/>
    <w:semiHidden/>
    <w:rsid w:val="00E14FBD"/>
    <w:rPr>
      <w:sz w:val="20"/>
      <w:szCs w:val="20"/>
    </w:rPr>
  </w:style>
  <w:style w:type="paragraph" w:styleId="CommentSubject">
    <w:name w:val="annotation subject"/>
    <w:basedOn w:val="CommentText"/>
    <w:next w:val="CommentText"/>
    <w:link w:val="CommentSubjectChar"/>
    <w:uiPriority w:val="99"/>
    <w:semiHidden/>
    <w:unhideWhenUsed/>
    <w:rsid w:val="00E14FBD"/>
    <w:rPr>
      <w:b/>
      <w:bCs/>
    </w:rPr>
  </w:style>
  <w:style w:type="character" w:customStyle="1" w:styleId="CommentSubjectChar">
    <w:name w:val="Comment Subject Char"/>
    <w:basedOn w:val="CommentTextChar"/>
    <w:link w:val="CommentSubject"/>
    <w:uiPriority w:val="99"/>
    <w:semiHidden/>
    <w:rsid w:val="00E14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32852">
      <w:bodyDiv w:val="1"/>
      <w:marLeft w:val="0"/>
      <w:marRight w:val="0"/>
      <w:marTop w:val="0"/>
      <w:marBottom w:val="0"/>
      <w:divBdr>
        <w:top w:val="none" w:sz="0" w:space="0" w:color="auto"/>
        <w:left w:val="none" w:sz="0" w:space="0" w:color="auto"/>
        <w:bottom w:val="none" w:sz="0" w:space="0" w:color="auto"/>
        <w:right w:val="none" w:sz="0" w:space="0" w:color="auto"/>
      </w:divBdr>
      <w:divsChild>
        <w:div w:id="512720655">
          <w:marLeft w:val="1080"/>
          <w:marRight w:val="0"/>
          <w:marTop w:val="200"/>
          <w:marBottom w:val="0"/>
          <w:divBdr>
            <w:top w:val="none" w:sz="0" w:space="0" w:color="auto"/>
            <w:left w:val="none" w:sz="0" w:space="0" w:color="auto"/>
            <w:bottom w:val="none" w:sz="0" w:space="0" w:color="auto"/>
            <w:right w:val="none" w:sz="0" w:space="0" w:color="auto"/>
          </w:divBdr>
        </w:div>
      </w:divsChild>
    </w:div>
    <w:div w:id="951861497">
      <w:bodyDiv w:val="1"/>
      <w:marLeft w:val="0"/>
      <w:marRight w:val="0"/>
      <w:marTop w:val="0"/>
      <w:marBottom w:val="0"/>
      <w:divBdr>
        <w:top w:val="none" w:sz="0" w:space="0" w:color="auto"/>
        <w:left w:val="none" w:sz="0" w:space="0" w:color="auto"/>
        <w:bottom w:val="none" w:sz="0" w:space="0" w:color="auto"/>
        <w:right w:val="none" w:sz="0" w:space="0" w:color="auto"/>
      </w:divBdr>
      <w:divsChild>
        <w:div w:id="183789306">
          <w:marLeft w:val="1080"/>
          <w:marRight w:val="0"/>
          <w:marTop w:val="200"/>
          <w:marBottom w:val="0"/>
          <w:divBdr>
            <w:top w:val="none" w:sz="0" w:space="0" w:color="auto"/>
            <w:left w:val="none" w:sz="0" w:space="0" w:color="auto"/>
            <w:bottom w:val="none" w:sz="0" w:space="0" w:color="auto"/>
            <w:right w:val="none" w:sz="0" w:space="0" w:color="auto"/>
          </w:divBdr>
        </w:div>
      </w:divsChild>
    </w:div>
    <w:div w:id="1529949749">
      <w:bodyDiv w:val="1"/>
      <w:marLeft w:val="0"/>
      <w:marRight w:val="0"/>
      <w:marTop w:val="0"/>
      <w:marBottom w:val="0"/>
      <w:divBdr>
        <w:top w:val="none" w:sz="0" w:space="0" w:color="auto"/>
        <w:left w:val="none" w:sz="0" w:space="0" w:color="auto"/>
        <w:bottom w:val="none" w:sz="0" w:space="0" w:color="auto"/>
        <w:right w:val="none" w:sz="0" w:space="0" w:color="auto"/>
      </w:divBdr>
    </w:div>
    <w:div w:id="1784689252">
      <w:bodyDiv w:val="1"/>
      <w:marLeft w:val="0"/>
      <w:marRight w:val="0"/>
      <w:marTop w:val="0"/>
      <w:marBottom w:val="0"/>
      <w:divBdr>
        <w:top w:val="none" w:sz="0" w:space="0" w:color="auto"/>
        <w:left w:val="none" w:sz="0" w:space="0" w:color="auto"/>
        <w:bottom w:val="none" w:sz="0" w:space="0" w:color="auto"/>
        <w:right w:val="none" w:sz="0" w:space="0" w:color="auto"/>
      </w:divBdr>
    </w:div>
    <w:div w:id="20791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Vince Mazzone</cp:lastModifiedBy>
  <cp:revision>2</cp:revision>
  <cp:lastPrinted>2019-10-17T17:44:00Z</cp:lastPrinted>
  <dcterms:created xsi:type="dcterms:W3CDTF">2019-10-17T18:03:00Z</dcterms:created>
  <dcterms:modified xsi:type="dcterms:W3CDTF">2019-10-17T18:03:00Z</dcterms:modified>
</cp:coreProperties>
</file>