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A6D" w:rsidRDefault="00775BF8" w:rsidP="006823D7">
      <w:pPr>
        <w:spacing w:line="276" w:lineRule="auto"/>
        <w:jc w:val="center"/>
        <w:rPr>
          <w:rFonts w:cs="Arial"/>
          <w:b/>
          <w:sz w:val="28"/>
          <w:szCs w:val="28"/>
        </w:rPr>
      </w:pPr>
      <w:proofErr w:type="spellStart"/>
      <w:r>
        <w:rPr>
          <w:rFonts w:cs="Arial"/>
          <w:b/>
          <w:sz w:val="28"/>
          <w:szCs w:val="28"/>
        </w:rPr>
        <w:t>InnPower</w:t>
      </w:r>
      <w:proofErr w:type="spellEnd"/>
      <w:r w:rsidR="00F31213">
        <w:rPr>
          <w:rFonts w:cs="Arial"/>
          <w:b/>
          <w:sz w:val="28"/>
          <w:szCs w:val="28"/>
        </w:rPr>
        <w:t xml:space="preserve"> Corporation</w:t>
      </w:r>
      <w:r w:rsidR="00B13A6D">
        <w:rPr>
          <w:rFonts w:cs="Arial"/>
          <w:b/>
          <w:sz w:val="28"/>
          <w:szCs w:val="28"/>
        </w:rPr>
        <w:t xml:space="preserve"> (</w:t>
      </w:r>
      <w:proofErr w:type="spellStart"/>
      <w:r>
        <w:rPr>
          <w:rFonts w:cs="Arial"/>
          <w:b/>
          <w:sz w:val="28"/>
          <w:szCs w:val="28"/>
        </w:rPr>
        <w:t>InnPower</w:t>
      </w:r>
      <w:proofErr w:type="spellEnd"/>
      <w:r w:rsidR="00B13A6D">
        <w:rPr>
          <w:rFonts w:cs="Arial"/>
          <w:b/>
          <w:sz w:val="28"/>
          <w:szCs w:val="28"/>
        </w:rPr>
        <w:t>)</w:t>
      </w:r>
    </w:p>
    <w:p w:rsidR="00B13A6D" w:rsidRDefault="00B13A6D" w:rsidP="006823D7">
      <w:pPr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2020 IRM Application</w:t>
      </w:r>
    </w:p>
    <w:p w:rsidR="00B13A6D" w:rsidRDefault="00775BF8" w:rsidP="006823D7">
      <w:pPr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EB-2019-0047</w:t>
      </w:r>
    </w:p>
    <w:p w:rsidR="00B13A6D" w:rsidRDefault="00B13A6D" w:rsidP="006823D7">
      <w:pPr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Application Analysis</w:t>
      </w:r>
    </w:p>
    <w:p w:rsidR="00B13A6D" w:rsidRDefault="00F31213" w:rsidP="006823D7">
      <w:pPr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October </w:t>
      </w:r>
      <w:r w:rsidR="006823D7">
        <w:rPr>
          <w:rFonts w:cs="Arial"/>
          <w:b/>
          <w:sz w:val="24"/>
          <w:szCs w:val="24"/>
        </w:rPr>
        <w:t>10</w:t>
      </w:r>
      <w:r w:rsidR="00B13A6D">
        <w:rPr>
          <w:rFonts w:cs="Arial"/>
          <w:b/>
          <w:sz w:val="24"/>
          <w:szCs w:val="24"/>
        </w:rPr>
        <w:t>, 2019</w:t>
      </w:r>
    </w:p>
    <w:p w:rsidR="00B13A6D" w:rsidRDefault="00B13A6D" w:rsidP="006823D7">
      <w:pPr>
        <w:spacing w:line="276" w:lineRule="auto"/>
        <w:rPr>
          <w:rFonts w:cs="Arial"/>
          <w:b/>
          <w:sz w:val="24"/>
          <w:szCs w:val="24"/>
          <w:u w:val="single"/>
        </w:rPr>
      </w:pPr>
    </w:p>
    <w:p w:rsidR="00F45008" w:rsidRDefault="00F45008" w:rsidP="006823D7">
      <w:pPr>
        <w:spacing w:line="276" w:lineRule="auto"/>
        <w:rPr>
          <w:rFonts w:cs="Arial"/>
          <w:b/>
          <w:sz w:val="24"/>
          <w:szCs w:val="24"/>
          <w:u w:val="single"/>
        </w:rPr>
      </w:pPr>
    </w:p>
    <w:p w:rsidR="00D30EF9" w:rsidRPr="00B13A6D" w:rsidRDefault="00D30EF9" w:rsidP="006823D7">
      <w:pPr>
        <w:spacing w:line="276" w:lineRule="auto"/>
        <w:rPr>
          <w:rFonts w:cs="Arial"/>
          <w:b/>
          <w:sz w:val="24"/>
          <w:szCs w:val="24"/>
        </w:rPr>
      </w:pPr>
      <w:r w:rsidRPr="00B13A6D">
        <w:rPr>
          <w:rFonts w:cs="Arial"/>
          <w:b/>
          <w:sz w:val="24"/>
          <w:szCs w:val="24"/>
        </w:rPr>
        <w:t xml:space="preserve">Staff Question </w:t>
      </w:r>
      <w:r>
        <w:rPr>
          <w:rFonts w:cs="Arial"/>
          <w:b/>
          <w:sz w:val="24"/>
          <w:szCs w:val="24"/>
        </w:rPr>
        <w:t>#1</w:t>
      </w:r>
    </w:p>
    <w:p w:rsidR="00D30EF9" w:rsidRDefault="00D30EF9" w:rsidP="006823D7">
      <w:pPr>
        <w:spacing w:line="276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Ref:</w:t>
      </w:r>
      <w:r>
        <w:rPr>
          <w:rFonts w:cs="Arial"/>
          <w:b/>
          <w:sz w:val="24"/>
          <w:szCs w:val="24"/>
        </w:rPr>
        <w:tab/>
        <w:t>IRM Rate Generator, Tab 3. Continuity Schedule</w:t>
      </w:r>
    </w:p>
    <w:p w:rsidR="00D30EF9" w:rsidRDefault="00D30EF9" w:rsidP="006823D7">
      <w:p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 2016, Account 1550, RSVA LV Variance Account captured transactions debit transactions of $583,100. In 2017, further debit transactions amounted to $445,237. In 2018, debit transactions were $265,570. These transactions account for the total 2018 closing balance of $1,293,907.</w:t>
      </w:r>
    </w:p>
    <w:p w:rsidR="00D30EF9" w:rsidRPr="00D30EF9" w:rsidRDefault="00D30EF9" w:rsidP="006823D7">
      <w:pPr>
        <w:pStyle w:val="ListParagraph"/>
        <w:numPr>
          <w:ilvl w:val="0"/>
          <w:numId w:val="27"/>
        </w:numPr>
        <w:spacing w:line="276" w:lineRule="auto"/>
        <w:rPr>
          <w:rFonts w:cs="Arial"/>
          <w:sz w:val="24"/>
          <w:szCs w:val="24"/>
        </w:rPr>
      </w:pPr>
      <w:r w:rsidRPr="00D30EF9">
        <w:rPr>
          <w:rFonts w:cs="Arial"/>
          <w:sz w:val="24"/>
          <w:szCs w:val="24"/>
        </w:rPr>
        <w:t>Please provide a table for the years 2016, 2017, and 2018 which outlines, by rate class, all Revenues and Expenses related to LV charges.</w:t>
      </w:r>
    </w:p>
    <w:p w:rsidR="00D30EF9" w:rsidRPr="00D30EF9" w:rsidRDefault="00D30EF9" w:rsidP="006823D7">
      <w:pPr>
        <w:pStyle w:val="ListParagraph"/>
        <w:numPr>
          <w:ilvl w:val="0"/>
          <w:numId w:val="27"/>
        </w:numPr>
        <w:spacing w:line="276" w:lineRule="auto"/>
        <w:rPr>
          <w:rFonts w:cs="Arial"/>
          <w:sz w:val="24"/>
          <w:szCs w:val="24"/>
        </w:rPr>
      </w:pPr>
      <w:r w:rsidRPr="00D30EF9">
        <w:rPr>
          <w:rFonts w:cs="Arial"/>
          <w:sz w:val="24"/>
          <w:szCs w:val="24"/>
        </w:rPr>
        <w:t>Please provide an explanation for material differences between revenues and expenses</w:t>
      </w:r>
    </w:p>
    <w:p w:rsidR="00D30EF9" w:rsidRDefault="00D30EF9" w:rsidP="006823D7">
      <w:pPr>
        <w:spacing w:line="276" w:lineRule="auto"/>
        <w:rPr>
          <w:rFonts w:cs="Arial"/>
          <w:sz w:val="24"/>
          <w:szCs w:val="24"/>
        </w:rPr>
      </w:pPr>
    </w:p>
    <w:p w:rsidR="00D30EF9" w:rsidRPr="00B13A6D" w:rsidRDefault="00D30EF9" w:rsidP="006823D7">
      <w:pPr>
        <w:spacing w:line="276" w:lineRule="auto"/>
        <w:rPr>
          <w:rFonts w:cs="Arial"/>
          <w:b/>
          <w:sz w:val="24"/>
          <w:szCs w:val="24"/>
        </w:rPr>
      </w:pPr>
      <w:r w:rsidRPr="00B13A6D">
        <w:rPr>
          <w:rFonts w:cs="Arial"/>
          <w:b/>
          <w:sz w:val="24"/>
          <w:szCs w:val="24"/>
        </w:rPr>
        <w:t xml:space="preserve">Staff Question </w:t>
      </w:r>
      <w:r>
        <w:rPr>
          <w:rFonts w:cs="Arial"/>
          <w:b/>
          <w:sz w:val="24"/>
          <w:szCs w:val="24"/>
        </w:rPr>
        <w:t>#2</w:t>
      </w:r>
    </w:p>
    <w:p w:rsidR="00D30EF9" w:rsidRDefault="00D30EF9" w:rsidP="006823D7">
      <w:pPr>
        <w:spacing w:line="276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Ref:</w:t>
      </w:r>
      <w:r>
        <w:rPr>
          <w:rFonts w:cs="Arial"/>
          <w:b/>
          <w:sz w:val="24"/>
          <w:szCs w:val="24"/>
        </w:rPr>
        <w:tab/>
        <w:t>IRM Rate Generator, Tab 3. Continuity Schedule</w:t>
      </w:r>
    </w:p>
    <w:p w:rsidR="00D30EF9" w:rsidRDefault="00D30EF9" w:rsidP="006823D7">
      <w:p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 2016, Account 1580, RSVA Wholesale Market Service Charge captured credit transactions of $317,938. In 2017, further credit transactions amounted to $275,006. In 2018, credit transactions were $35,850.</w:t>
      </w:r>
    </w:p>
    <w:p w:rsidR="00D30EF9" w:rsidRPr="00D30EF9" w:rsidRDefault="00D30EF9" w:rsidP="006823D7">
      <w:pPr>
        <w:pStyle w:val="ListParagraph"/>
        <w:numPr>
          <w:ilvl w:val="0"/>
          <w:numId w:val="28"/>
        </w:numPr>
        <w:spacing w:line="276" w:lineRule="auto"/>
        <w:rPr>
          <w:rFonts w:cs="Arial"/>
          <w:sz w:val="24"/>
          <w:szCs w:val="24"/>
        </w:rPr>
      </w:pPr>
      <w:r w:rsidRPr="00D30EF9">
        <w:rPr>
          <w:rFonts w:cs="Arial"/>
          <w:sz w:val="24"/>
          <w:szCs w:val="24"/>
        </w:rPr>
        <w:t xml:space="preserve">Please provide a table for the years 2016, 2017, and 2018 which outlines, </w:t>
      </w:r>
      <w:r w:rsidR="00D01B03">
        <w:rPr>
          <w:rFonts w:cs="Arial"/>
          <w:sz w:val="24"/>
          <w:szCs w:val="24"/>
        </w:rPr>
        <w:t xml:space="preserve">the retail volumes, rates and revenue </w:t>
      </w:r>
      <w:r w:rsidRPr="00D30EF9">
        <w:rPr>
          <w:rFonts w:cs="Arial"/>
          <w:sz w:val="24"/>
          <w:szCs w:val="24"/>
        </w:rPr>
        <w:t xml:space="preserve">by rate class, </w:t>
      </w:r>
      <w:r w:rsidR="00D01B03">
        <w:rPr>
          <w:rFonts w:cs="Arial"/>
          <w:sz w:val="24"/>
          <w:szCs w:val="24"/>
        </w:rPr>
        <w:t>and the wholesale volumes, rates and e</w:t>
      </w:r>
      <w:r w:rsidRPr="00D30EF9">
        <w:rPr>
          <w:rFonts w:cs="Arial"/>
          <w:sz w:val="24"/>
          <w:szCs w:val="24"/>
        </w:rPr>
        <w:t xml:space="preserve">xpenses related to </w:t>
      </w:r>
      <w:r w:rsidR="00FE4621">
        <w:rPr>
          <w:rFonts w:cs="Arial"/>
          <w:sz w:val="24"/>
          <w:szCs w:val="24"/>
        </w:rPr>
        <w:t>RSVA Wholesale Market Service Charge</w:t>
      </w:r>
      <w:r w:rsidRPr="00D30EF9">
        <w:rPr>
          <w:rFonts w:cs="Arial"/>
          <w:sz w:val="24"/>
          <w:szCs w:val="24"/>
        </w:rPr>
        <w:t>.</w:t>
      </w:r>
    </w:p>
    <w:p w:rsidR="00D30EF9" w:rsidRDefault="00D30EF9" w:rsidP="006823D7">
      <w:pPr>
        <w:pStyle w:val="ListParagraph"/>
        <w:numPr>
          <w:ilvl w:val="0"/>
          <w:numId w:val="28"/>
        </w:numPr>
        <w:spacing w:line="276" w:lineRule="auto"/>
        <w:rPr>
          <w:rFonts w:cs="Arial"/>
          <w:sz w:val="24"/>
          <w:szCs w:val="24"/>
        </w:rPr>
      </w:pPr>
      <w:r w:rsidRPr="00D30EF9">
        <w:rPr>
          <w:rFonts w:cs="Arial"/>
          <w:sz w:val="24"/>
          <w:szCs w:val="24"/>
        </w:rPr>
        <w:t>Please provide an explanation for material differences between revenues and expenses</w:t>
      </w:r>
    </w:p>
    <w:p w:rsidR="00D30EF9" w:rsidRPr="00D30EF9" w:rsidRDefault="00D30EF9" w:rsidP="006823D7">
      <w:pPr>
        <w:spacing w:line="276" w:lineRule="auto"/>
        <w:rPr>
          <w:rFonts w:cs="Arial"/>
          <w:sz w:val="24"/>
          <w:szCs w:val="24"/>
        </w:rPr>
      </w:pPr>
    </w:p>
    <w:p w:rsidR="00D30EF9" w:rsidRPr="00B13A6D" w:rsidRDefault="00D30EF9" w:rsidP="006823D7">
      <w:pPr>
        <w:keepNext/>
        <w:keepLines/>
        <w:spacing w:line="276" w:lineRule="auto"/>
        <w:rPr>
          <w:rFonts w:cs="Arial"/>
          <w:b/>
          <w:sz w:val="24"/>
          <w:szCs w:val="24"/>
        </w:rPr>
      </w:pPr>
      <w:r w:rsidRPr="00B13A6D">
        <w:rPr>
          <w:rFonts w:cs="Arial"/>
          <w:b/>
          <w:sz w:val="24"/>
          <w:szCs w:val="24"/>
        </w:rPr>
        <w:lastRenderedPageBreak/>
        <w:t xml:space="preserve">Staff Question </w:t>
      </w:r>
      <w:r>
        <w:rPr>
          <w:rFonts w:cs="Arial"/>
          <w:b/>
          <w:sz w:val="24"/>
          <w:szCs w:val="24"/>
        </w:rPr>
        <w:t>#3</w:t>
      </w:r>
    </w:p>
    <w:p w:rsidR="00D30EF9" w:rsidRDefault="00D30EF9" w:rsidP="006823D7">
      <w:pPr>
        <w:keepNext/>
        <w:keepLines/>
        <w:spacing w:after="0" w:line="276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Ref:</w:t>
      </w:r>
      <w:r>
        <w:rPr>
          <w:rFonts w:cs="Arial"/>
          <w:b/>
          <w:sz w:val="24"/>
          <w:szCs w:val="24"/>
        </w:rPr>
        <w:tab/>
        <w:t>IRM Rate Generator, Tab 3. Continuity Schedule</w:t>
      </w:r>
    </w:p>
    <w:p w:rsidR="000C63FD" w:rsidRDefault="000C63FD" w:rsidP="006823D7">
      <w:pPr>
        <w:keepNext/>
        <w:keepLines/>
        <w:spacing w:line="276" w:lineRule="auto"/>
        <w:ind w:firstLine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IRM Rate Generator, Tab 12. Historic Wholesale</w:t>
      </w:r>
    </w:p>
    <w:p w:rsidR="00D30EF9" w:rsidRDefault="00D30EF9" w:rsidP="006823D7">
      <w:p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In 2016, Account 1584, RSVA </w:t>
      </w:r>
      <w:r w:rsidR="00FE4621">
        <w:rPr>
          <w:rFonts w:cs="Arial"/>
          <w:sz w:val="24"/>
          <w:szCs w:val="24"/>
        </w:rPr>
        <w:t>Retail Transmission Network Charge</w:t>
      </w:r>
      <w:r>
        <w:rPr>
          <w:rFonts w:cs="Arial"/>
          <w:sz w:val="24"/>
          <w:szCs w:val="24"/>
        </w:rPr>
        <w:t xml:space="preserve"> captured </w:t>
      </w:r>
      <w:r w:rsidR="00FE4621">
        <w:rPr>
          <w:rFonts w:cs="Arial"/>
          <w:sz w:val="24"/>
          <w:szCs w:val="24"/>
        </w:rPr>
        <w:t xml:space="preserve">debit </w:t>
      </w:r>
      <w:r>
        <w:rPr>
          <w:rFonts w:cs="Arial"/>
          <w:sz w:val="24"/>
          <w:szCs w:val="24"/>
        </w:rPr>
        <w:t>transactions of $</w:t>
      </w:r>
      <w:r w:rsidR="00FE4621">
        <w:rPr>
          <w:rFonts w:cs="Arial"/>
          <w:sz w:val="24"/>
          <w:szCs w:val="24"/>
        </w:rPr>
        <w:t>726,323</w:t>
      </w:r>
      <w:r>
        <w:rPr>
          <w:rFonts w:cs="Arial"/>
          <w:sz w:val="24"/>
          <w:szCs w:val="24"/>
        </w:rPr>
        <w:t xml:space="preserve">. In 2017, further </w:t>
      </w:r>
      <w:r w:rsidR="00FE4621">
        <w:rPr>
          <w:rFonts w:cs="Arial"/>
          <w:sz w:val="24"/>
          <w:szCs w:val="24"/>
        </w:rPr>
        <w:t xml:space="preserve">debit </w:t>
      </w:r>
      <w:r>
        <w:rPr>
          <w:rFonts w:cs="Arial"/>
          <w:sz w:val="24"/>
          <w:szCs w:val="24"/>
        </w:rPr>
        <w:t>transactions amounted to $</w:t>
      </w:r>
      <w:r w:rsidR="00FE4621">
        <w:rPr>
          <w:rFonts w:cs="Arial"/>
          <w:sz w:val="24"/>
          <w:szCs w:val="24"/>
        </w:rPr>
        <w:t>314,868</w:t>
      </w:r>
      <w:r>
        <w:rPr>
          <w:rFonts w:cs="Arial"/>
          <w:sz w:val="24"/>
          <w:szCs w:val="24"/>
        </w:rPr>
        <w:t xml:space="preserve">. In 2018, </w:t>
      </w:r>
      <w:r w:rsidR="00FE4621">
        <w:rPr>
          <w:rFonts w:cs="Arial"/>
          <w:sz w:val="24"/>
          <w:szCs w:val="24"/>
        </w:rPr>
        <w:t xml:space="preserve">debit </w:t>
      </w:r>
      <w:r>
        <w:rPr>
          <w:rFonts w:cs="Arial"/>
          <w:sz w:val="24"/>
          <w:szCs w:val="24"/>
        </w:rPr>
        <w:t>transactions were $</w:t>
      </w:r>
      <w:r w:rsidR="00FE4621">
        <w:rPr>
          <w:rFonts w:cs="Arial"/>
          <w:sz w:val="24"/>
          <w:szCs w:val="24"/>
        </w:rPr>
        <w:t>381,546</w:t>
      </w:r>
      <w:r>
        <w:rPr>
          <w:rFonts w:cs="Arial"/>
          <w:sz w:val="24"/>
          <w:szCs w:val="24"/>
        </w:rPr>
        <w:t>.</w:t>
      </w:r>
    </w:p>
    <w:p w:rsidR="00FE4621" w:rsidRDefault="00FE4621" w:rsidP="006823D7">
      <w:p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 2016, Account 1586, RSVA Retail Transmission Connection Charge captured debit transactions of $592,663. In 2017, further debit transactions amounted to $320,942. In 2018, debit transactions were $329,317.</w:t>
      </w:r>
    </w:p>
    <w:p w:rsidR="00A846A2" w:rsidRPr="005F47F1" w:rsidRDefault="00D30EF9" w:rsidP="006823D7">
      <w:pPr>
        <w:pStyle w:val="ListParagraph"/>
        <w:numPr>
          <w:ilvl w:val="0"/>
          <w:numId w:val="29"/>
        </w:numPr>
        <w:spacing w:line="276" w:lineRule="auto"/>
        <w:rPr>
          <w:rFonts w:cs="Arial"/>
          <w:sz w:val="24"/>
          <w:szCs w:val="24"/>
        </w:rPr>
      </w:pPr>
      <w:r w:rsidRPr="005F47F1">
        <w:rPr>
          <w:rFonts w:cs="Arial"/>
          <w:sz w:val="24"/>
          <w:szCs w:val="24"/>
        </w:rPr>
        <w:t>Please provide table</w:t>
      </w:r>
      <w:r w:rsidR="005F47F1">
        <w:rPr>
          <w:rFonts w:cs="Arial"/>
          <w:sz w:val="24"/>
          <w:szCs w:val="24"/>
        </w:rPr>
        <w:t>s</w:t>
      </w:r>
      <w:r w:rsidRPr="005F47F1">
        <w:rPr>
          <w:rFonts w:cs="Arial"/>
          <w:sz w:val="24"/>
          <w:szCs w:val="24"/>
        </w:rPr>
        <w:t xml:space="preserve"> for the years 2016, 2017</w:t>
      </w:r>
      <w:r w:rsidR="008E3436" w:rsidRPr="005F47F1">
        <w:rPr>
          <w:rFonts w:cs="Arial"/>
          <w:sz w:val="24"/>
          <w:szCs w:val="24"/>
        </w:rPr>
        <w:t xml:space="preserve"> and</w:t>
      </w:r>
      <w:r w:rsidRPr="005F47F1">
        <w:rPr>
          <w:rFonts w:cs="Arial"/>
          <w:sz w:val="24"/>
          <w:szCs w:val="24"/>
        </w:rPr>
        <w:t xml:space="preserve"> 2018, by rate class,</w:t>
      </w:r>
      <w:r w:rsidR="00FC4470" w:rsidRPr="005F47F1">
        <w:rPr>
          <w:rFonts w:cs="Arial"/>
          <w:sz w:val="24"/>
          <w:szCs w:val="24"/>
        </w:rPr>
        <w:t xml:space="preserve"> </w:t>
      </w:r>
      <w:r w:rsidR="005F47F1" w:rsidRPr="005F47F1">
        <w:rPr>
          <w:rFonts w:cs="Arial"/>
          <w:sz w:val="24"/>
          <w:szCs w:val="24"/>
        </w:rPr>
        <w:t xml:space="preserve">including volumes and </w:t>
      </w:r>
      <w:r w:rsidR="00FC4470" w:rsidRPr="005F47F1">
        <w:rPr>
          <w:rFonts w:cs="Arial"/>
          <w:sz w:val="24"/>
          <w:szCs w:val="24"/>
        </w:rPr>
        <w:t>RTSR charge</w:t>
      </w:r>
      <w:r w:rsidR="005F47F1" w:rsidRPr="005F47F1">
        <w:rPr>
          <w:rFonts w:cs="Arial"/>
          <w:sz w:val="24"/>
          <w:szCs w:val="24"/>
        </w:rPr>
        <w:t>s</w:t>
      </w:r>
      <w:r w:rsidR="00FC4470" w:rsidRPr="005F47F1">
        <w:rPr>
          <w:rFonts w:cs="Arial"/>
          <w:sz w:val="24"/>
          <w:szCs w:val="24"/>
        </w:rPr>
        <w:t>,</w:t>
      </w:r>
      <w:r w:rsidRPr="005F47F1">
        <w:rPr>
          <w:rFonts w:cs="Arial"/>
          <w:sz w:val="24"/>
          <w:szCs w:val="24"/>
        </w:rPr>
        <w:t xml:space="preserve"> </w:t>
      </w:r>
      <w:r w:rsidR="005F47F1" w:rsidRPr="005F47F1">
        <w:rPr>
          <w:rFonts w:cs="Arial"/>
          <w:sz w:val="24"/>
          <w:szCs w:val="24"/>
        </w:rPr>
        <w:t xml:space="preserve">for </w:t>
      </w:r>
      <w:r w:rsidRPr="005F47F1">
        <w:rPr>
          <w:rFonts w:cs="Arial"/>
          <w:sz w:val="24"/>
          <w:szCs w:val="24"/>
        </w:rPr>
        <w:t>all Revenues</w:t>
      </w:r>
      <w:r w:rsidR="005F47F1" w:rsidRPr="005F47F1">
        <w:rPr>
          <w:rFonts w:cs="Arial"/>
          <w:sz w:val="24"/>
          <w:szCs w:val="24"/>
        </w:rPr>
        <w:t>, as well as the wholesale transmission/host distributor transmission volumes and rates for all e</w:t>
      </w:r>
      <w:r w:rsidRPr="005F47F1">
        <w:rPr>
          <w:rFonts w:cs="Arial"/>
          <w:sz w:val="24"/>
          <w:szCs w:val="24"/>
        </w:rPr>
        <w:t>xpenses</w:t>
      </w:r>
      <w:r w:rsidR="005F47F1">
        <w:rPr>
          <w:rFonts w:cs="Arial"/>
          <w:sz w:val="24"/>
          <w:szCs w:val="24"/>
        </w:rPr>
        <w:t xml:space="preserve"> reconciling back to the annual RSVA </w:t>
      </w:r>
      <w:r w:rsidR="00D01B03">
        <w:rPr>
          <w:rFonts w:cs="Arial"/>
          <w:sz w:val="24"/>
          <w:szCs w:val="24"/>
        </w:rPr>
        <w:t>variances</w:t>
      </w:r>
      <w:r w:rsidR="005F47F1" w:rsidRPr="005F47F1">
        <w:rPr>
          <w:rFonts w:cs="Arial"/>
          <w:sz w:val="24"/>
          <w:szCs w:val="24"/>
        </w:rPr>
        <w:t>.</w:t>
      </w:r>
      <w:r w:rsidR="00D01B03">
        <w:rPr>
          <w:rFonts w:cs="Arial"/>
          <w:sz w:val="24"/>
          <w:szCs w:val="24"/>
        </w:rPr>
        <w:t xml:space="preserve"> </w:t>
      </w:r>
      <w:r w:rsidRPr="005F47F1">
        <w:rPr>
          <w:rFonts w:cs="Arial"/>
          <w:sz w:val="24"/>
          <w:szCs w:val="24"/>
        </w:rPr>
        <w:t>Please provide explanation</w:t>
      </w:r>
      <w:r w:rsidR="005F47F1">
        <w:rPr>
          <w:rFonts w:cs="Arial"/>
          <w:sz w:val="24"/>
          <w:szCs w:val="24"/>
        </w:rPr>
        <w:t>s</w:t>
      </w:r>
      <w:r w:rsidRPr="005F47F1">
        <w:rPr>
          <w:rFonts w:cs="Arial"/>
          <w:sz w:val="24"/>
          <w:szCs w:val="24"/>
        </w:rPr>
        <w:t xml:space="preserve"> for material differences between revenues and expenses</w:t>
      </w:r>
      <w:r w:rsidR="00927611" w:rsidRPr="005F47F1">
        <w:rPr>
          <w:rFonts w:cs="Arial"/>
          <w:sz w:val="24"/>
          <w:szCs w:val="24"/>
        </w:rPr>
        <w:t xml:space="preserve"> </w:t>
      </w:r>
      <w:r w:rsidR="005F47F1">
        <w:rPr>
          <w:rFonts w:cs="Arial"/>
          <w:sz w:val="24"/>
          <w:szCs w:val="24"/>
        </w:rPr>
        <w:t>by year, and between years.</w:t>
      </w:r>
    </w:p>
    <w:p w:rsidR="00A846A2" w:rsidRDefault="00A846A2" w:rsidP="006823D7">
      <w:pPr>
        <w:keepNext/>
        <w:keepLines/>
        <w:spacing w:line="276" w:lineRule="auto"/>
        <w:rPr>
          <w:rFonts w:cs="Arial"/>
          <w:b/>
          <w:sz w:val="24"/>
          <w:szCs w:val="24"/>
        </w:rPr>
      </w:pPr>
    </w:p>
    <w:p w:rsidR="00A846A2" w:rsidRPr="00B13A6D" w:rsidRDefault="00A846A2" w:rsidP="006823D7">
      <w:pPr>
        <w:keepNext/>
        <w:keepLines/>
        <w:spacing w:line="276" w:lineRule="auto"/>
        <w:rPr>
          <w:rFonts w:cs="Arial"/>
          <w:b/>
          <w:sz w:val="24"/>
          <w:szCs w:val="24"/>
        </w:rPr>
      </w:pPr>
      <w:r w:rsidRPr="00B13A6D">
        <w:rPr>
          <w:rFonts w:cs="Arial"/>
          <w:b/>
          <w:sz w:val="24"/>
          <w:szCs w:val="24"/>
        </w:rPr>
        <w:t xml:space="preserve">Staff Question </w:t>
      </w:r>
      <w:r w:rsidR="006823D7">
        <w:rPr>
          <w:rFonts w:cs="Arial"/>
          <w:b/>
          <w:sz w:val="24"/>
          <w:szCs w:val="24"/>
        </w:rPr>
        <w:t>#4</w:t>
      </w:r>
    </w:p>
    <w:p w:rsidR="00A846A2" w:rsidRDefault="00A846A2" w:rsidP="006823D7">
      <w:pPr>
        <w:keepNext/>
        <w:keepLines/>
        <w:spacing w:line="276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Ref:</w:t>
      </w:r>
      <w:r>
        <w:rPr>
          <w:rFonts w:cs="Arial"/>
          <w:b/>
          <w:sz w:val="24"/>
          <w:szCs w:val="24"/>
        </w:rPr>
        <w:tab/>
        <w:t>IRM Rate Generator, Tab 15. RTSR Rates to Forecast</w:t>
      </w:r>
    </w:p>
    <w:p w:rsidR="00A846A2" w:rsidRDefault="00A846A2" w:rsidP="006823D7">
      <w:pPr>
        <w:spacing w:line="276" w:lineRule="auto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InnPower</w:t>
      </w:r>
      <w:proofErr w:type="spellEnd"/>
      <w:r>
        <w:rPr>
          <w:rFonts w:cs="Arial"/>
          <w:sz w:val="24"/>
          <w:szCs w:val="24"/>
        </w:rPr>
        <w:t xml:space="preserve"> is proposing increase</w:t>
      </w:r>
      <w:r w:rsidR="006823D7">
        <w:rPr>
          <w:rFonts w:cs="Arial"/>
          <w:sz w:val="24"/>
          <w:szCs w:val="24"/>
        </w:rPr>
        <w:t>s to</w:t>
      </w:r>
      <w:r>
        <w:rPr>
          <w:rFonts w:cs="Arial"/>
          <w:sz w:val="24"/>
          <w:szCs w:val="24"/>
        </w:rPr>
        <w:t xml:space="preserve"> its RTSR rates </w:t>
      </w:r>
      <w:r w:rsidR="005F47F1">
        <w:rPr>
          <w:rFonts w:cs="Arial"/>
          <w:sz w:val="24"/>
          <w:szCs w:val="24"/>
        </w:rPr>
        <w:t>from</w:t>
      </w:r>
      <w:r>
        <w:rPr>
          <w:rFonts w:cs="Arial"/>
          <w:sz w:val="24"/>
          <w:szCs w:val="24"/>
        </w:rPr>
        <w:t xml:space="preserve"> 7.7% to 17.5%</w:t>
      </w:r>
      <w:r w:rsidR="005F47F1">
        <w:rPr>
          <w:rFonts w:cs="Arial"/>
          <w:sz w:val="24"/>
          <w:szCs w:val="24"/>
        </w:rPr>
        <w:t xml:space="preserve"> in 2020</w:t>
      </w:r>
      <w:r>
        <w:rPr>
          <w:rFonts w:cs="Arial"/>
          <w:sz w:val="24"/>
          <w:szCs w:val="24"/>
        </w:rPr>
        <w:t>.</w:t>
      </w:r>
    </w:p>
    <w:p w:rsidR="00A846A2" w:rsidRDefault="00A846A2" w:rsidP="006823D7">
      <w:pPr>
        <w:pStyle w:val="ListParagraph"/>
        <w:numPr>
          <w:ilvl w:val="0"/>
          <w:numId w:val="33"/>
        </w:numPr>
        <w:spacing w:line="276" w:lineRule="auto"/>
        <w:rPr>
          <w:rFonts w:cs="Arial"/>
          <w:sz w:val="24"/>
          <w:szCs w:val="24"/>
        </w:rPr>
      </w:pPr>
      <w:r w:rsidRPr="00D30EF9">
        <w:rPr>
          <w:rFonts w:cs="Arial"/>
          <w:sz w:val="24"/>
          <w:szCs w:val="24"/>
        </w:rPr>
        <w:t xml:space="preserve">Please </w:t>
      </w:r>
      <w:r w:rsidR="005F47F1">
        <w:rPr>
          <w:rFonts w:cs="Arial"/>
          <w:sz w:val="24"/>
          <w:szCs w:val="24"/>
        </w:rPr>
        <w:t xml:space="preserve">reconcile the components of the increase, i.e. price and volume contributors explaining causes for each of the reasons for the increase, </w:t>
      </w:r>
      <w:r w:rsidRPr="00D30EF9">
        <w:rPr>
          <w:rFonts w:cs="Arial"/>
          <w:sz w:val="24"/>
          <w:szCs w:val="24"/>
        </w:rPr>
        <w:t>provide a table by rate class</w:t>
      </w:r>
      <w:r>
        <w:rPr>
          <w:rFonts w:cs="Arial"/>
          <w:sz w:val="24"/>
          <w:szCs w:val="24"/>
        </w:rPr>
        <w:t xml:space="preserve"> outlining the drivers of the proposed increase to both the connection and network RTSRs.</w:t>
      </w:r>
    </w:p>
    <w:p w:rsidR="00A846A2" w:rsidRPr="0061062C" w:rsidRDefault="00A846A2" w:rsidP="006823D7">
      <w:pPr>
        <w:pStyle w:val="ListParagraph"/>
        <w:numPr>
          <w:ilvl w:val="0"/>
          <w:numId w:val="33"/>
        </w:numPr>
        <w:spacing w:line="276" w:lineRule="auto"/>
        <w:rPr>
          <w:rFonts w:cs="Arial"/>
          <w:sz w:val="24"/>
          <w:szCs w:val="24"/>
        </w:rPr>
      </w:pPr>
      <w:r w:rsidRPr="0061062C">
        <w:rPr>
          <w:rFonts w:cs="Arial"/>
          <w:sz w:val="24"/>
          <w:szCs w:val="24"/>
        </w:rPr>
        <w:t xml:space="preserve">To the extent that the increase is driven </w:t>
      </w:r>
      <w:r w:rsidR="005F47F1">
        <w:rPr>
          <w:rFonts w:cs="Arial"/>
          <w:sz w:val="24"/>
          <w:szCs w:val="24"/>
        </w:rPr>
        <w:t xml:space="preserve">by </w:t>
      </w:r>
      <w:r w:rsidRPr="0061062C">
        <w:rPr>
          <w:rFonts w:cs="Arial"/>
          <w:sz w:val="24"/>
          <w:szCs w:val="24"/>
        </w:rPr>
        <w:t xml:space="preserve">changes in wholesale and retail </w:t>
      </w:r>
      <w:r w:rsidR="00421294">
        <w:rPr>
          <w:rFonts w:cs="Arial"/>
          <w:sz w:val="24"/>
          <w:szCs w:val="24"/>
        </w:rPr>
        <w:t xml:space="preserve">billed volumes, please </w:t>
      </w:r>
      <w:r w:rsidR="005F47F1">
        <w:rPr>
          <w:rFonts w:cs="Arial"/>
          <w:sz w:val="24"/>
          <w:szCs w:val="24"/>
        </w:rPr>
        <w:t xml:space="preserve">explain </w:t>
      </w:r>
      <w:r w:rsidR="00421294">
        <w:rPr>
          <w:rFonts w:cs="Arial"/>
          <w:sz w:val="24"/>
          <w:szCs w:val="24"/>
        </w:rPr>
        <w:t xml:space="preserve">the </w:t>
      </w:r>
      <w:r w:rsidR="007874F8">
        <w:rPr>
          <w:rFonts w:cs="Arial"/>
          <w:sz w:val="24"/>
          <w:szCs w:val="24"/>
        </w:rPr>
        <w:t xml:space="preserve">underlying </w:t>
      </w:r>
      <w:r w:rsidR="005F47F1">
        <w:rPr>
          <w:rFonts w:cs="Arial"/>
          <w:sz w:val="24"/>
          <w:szCs w:val="24"/>
        </w:rPr>
        <w:t xml:space="preserve">reasons for the change in </w:t>
      </w:r>
      <w:r w:rsidR="00421294">
        <w:rPr>
          <w:rFonts w:cs="Arial"/>
          <w:sz w:val="24"/>
          <w:szCs w:val="24"/>
        </w:rPr>
        <w:t xml:space="preserve">wholesale </w:t>
      </w:r>
      <w:r w:rsidR="005F47F1">
        <w:rPr>
          <w:rFonts w:cs="Arial"/>
          <w:sz w:val="24"/>
          <w:szCs w:val="24"/>
        </w:rPr>
        <w:t xml:space="preserve">volumes, </w:t>
      </w:r>
      <w:r w:rsidR="00421294">
        <w:rPr>
          <w:rFonts w:cs="Arial"/>
          <w:sz w:val="24"/>
          <w:szCs w:val="24"/>
        </w:rPr>
        <w:t xml:space="preserve">and retail </w:t>
      </w:r>
      <w:r w:rsidR="005F47F1">
        <w:rPr>
          <w:rFonts w:cs="Arial"/>
          <w:sz w:val="24"/>
          <w:szCs w:val="24"/>
        </w:rPr>
        <w:t xml:space="preserve">volumes </w:t>
      </w:r>
      <w:r w:rsidR="00421294">
        <w:rPr>
          <w:rFonts w:cs="Arial"/>
          <w:sz w:val="24"/>
          <w:szCs w:val="24"/>
        </w:rPr>
        <w:t>billed quantities for 2017 and 2018</w:t>
      </w:r>
      <w:r w:rsidR="007874F8">
        <w:rPr>
          <w:rFonts w:cs="Arial"/>
          <w:sz w:val="24"/>
          <w:szCs w:val="24"/>
        </w:rPr>
        <w:t>.</w:t>
      </w:r>
      <w:r w:rsidR="00D01B03">
        <w:rPr>
          <w:rFonts w:cs="Arial"/>
          <w:sz w:val="24"/>
          <w:szCs w:val="24"/>
        </w:rPr>
        <w:t xml:space="preserve"> </w:t>
      </w:r>
    </w:p>
    <w:p w:rsidR="00D30EF9" w:rsidRDefault="00D30EF9" w:rsidP="006823D7">
      <w:pPr>
        <w:spacing w:line="276" w:lineRule="auto"/>
        <w:rPr>
          <w:rFonts w:cs="Arial"/>
          <w:sz w:val="24"/>
          <w:szCs w:val="24"/>
        </w:rPr>
      </w:pPr>
    </w:p>
    <w:p w:rsidR="007634A9" w:rsidRPr="007C7CF6" w:rsidRDefault="006823D7" w:rsidP="006823D7">
      <w:pPr>
        <w:spacing w:line="276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Staff Question #5</w:t>
      </w:r>
    </w:p>
    <w:p w:rsidR="007634A9" w:rsidRPr="00930D69" w:rsidRDefault="007634A9" w:rsidP="006823D7">
      <w:pPr>
        <w:spacing w:line="276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Ref: Rate Generator Model, Tab 3 - DVA Continuity Schedule</w:t>
      </w:r>
    </w:p>
    <w:p w:rsidR="007634A9" w:rsidRPr="00F45008" w:rsidRDefault="007634A9" w:rsidP="006823D7">
      <w:pPr>
        <w:pStyle w:val="ListParagraph"/>
        <w:numPr>
          <w:ilvl w:val="0"/>
          <w:numId w:val="32"/>
        </w:numPr>
        <w:spacing w:line="276" w:lineRule="auto"/>
        <w:rPr>
          <w:rFonts w:cs="Arial"/>
          <w:sz w:val="24"/>
          <w:szCs w:val="24"/>
        </w:rPr>
      </w:pPr>
      <w:r w:rsidRPr="00F45008">
        <w:rPr>
          <w:rFonts w:cs="Arial"/>
          <w:sz w:val="24"/>
          <w:szCs w:val="24"/>
        </w:rPr>
        <w:t>Please explain the “Interest Adjustment” for a debit of $958,573 in Account 1588 shown for year 2018 on the DVA Continuity Schedule.</w:t>
      </w:r>
    </w:p>
    <w:p w:rsidR="007634A9" w:rsidRDefault="007634A9" w:rsidP="006823D7">
      <w:pPr>
        <w:spacing w:line="276" w:lineRule="auto"/>
        <w:rPr>
          <w:rFonts w:cs="Arial"/>
          <w:sz w:val="24"/>
          <w:szCs w:val="24"/>
        </w:rPr>
      </w:pPr>
    </w:p>
    <w:p w:rsidR="00C8427F" w:rsidRPr="00B13A6D" w:rsidRDefault="00C8427F" w:rsidP="006823D7">
      <w:pPr>
        <w:spacing w:line="276" w:lineRule="auto"/>
        <w:rPr>
          <w:rFonts w:cs="Arial"/>
          <w:b/>
          <w:sz w:val="24"/>
          <w:szCs w:val="24"/>
        </w:rPr>
      </w:pPr>
      <w:r w:rsidRPr="00B13A6D">
        <w:rPr>
          <w:rFonts w:cs="Arial"/>
          <w:b/>
          <w:sz w:val="24"/>
          <w:szCs w:val="24"/>
        </w:rPr>
        <w:lastRenderedPageBreak/>
        <w:t xml:space="preserve">Staff Question </w:t>
      </w:r>
      <w:r w:rsidR="006823D7">
        <w:rPr>
          <w:rFonts w:cs="Arial"/>
          <w:b/>
          <w:sz w:val="24"/>
          <w:szCs w:val="24"/>
        </w:rPr>
        <w:t>#6</w:t>
      </w:r>
    </w:p>
    <w:p w:rsidR="00C8427F" w:rsidRDefault="00C8427F" w:rsidP="006823D7">
      <w:pPr>
        <w:spacing w:line="276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Ref:</w:t>
      </w:r>
      <w:r>
        <w:rPr>
          <w:rFonts w:cs="Arial"/>
          <w:b/>
          <w:sz w:val="24"/>
          <w:szCs w:val="24"/>
        </w:rPr>
        <w:tab/>
        <w:t>IRM Rate Generator, Tab 4. B</w:t>
      </w:r>
      <w:r w:rsidR="002873FF">
        <w:rPr>
          <w:rFonts w:cs="Arial"/>
          <w:b/>
          <w:sz w:val="24"/>
          <w:szCs w:val="24"/>
        </w:rPr>
        <w:t>illing Det. For Def-</w:t>
      </w:r>
      <w:proofErr w:type="spellStart"/>
      <w:r w:rsidR="002873FF">
        <w:rPr>
          <w:rFonts w:cs="Arial"/>
          <w:b/>
          <w:sz w:val="24"/>
          <w:szCs w:val="24"/>
        </w:rPr>
        <w:t>Var</w:t>
      </w:r>
      <w:proofErr w:type="spellEnd"/>
    </w:p>
    <w:p w:rsidR="00C8427F" w:rsidRDefault="00C8427F" w:rsidP="006823D7">
      <w:p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In cell J4, </w:t>
      </w:r>
      <w:proofErr w:type="spellStart"/>
      <w:r>
        <w:rPr>
          <w:rFonts w:cs="Arial"/>
          <w:sz w:val="24"/>
          <w:szCs w:val="24"/>
        </w:rPr>
        <w:t>InnPower</w:t>
      </w:r>
      <w:proofErr w:type="spellEnd"/>
      <w:r>
        <w:rPr>
          <w:rFonts w:cs="Arial"/>
          <w:sz w:val="24"/>
          <w:szCs w:val="24"/>
        </w:rPr>
        <w:t xml:space="preserve"> has not indicated that it confirms the accuracy of the information entered in this worksheet.</w:t>
      </w:r>
    </w:p>
    <w:p w:rsidR="00C8427F" w:rsidRDefault="00C8427F" w:rsidP="006823D7">
      <w:pPr>
        <w:pStyle w:val="ListParagraph"/>
        <w:numPr>
          <w:ilvl w:val="0"/>
          <w:numId w:val="20"/>
        </w:num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Can </w:t>
      </w:r>
      <w:proofErr w:type="spellStart"/>
      <w:r>
        <w:rPr>
          <w:rFonts w:cs="Arial"/>
          <w:sz w:val="24"/>
          <w:szCs w:val="24"/>
        </w:rPr>
        <w:t>InnPower</w:t>
      </w:r>
      <w:proofErr w:type="spellEnd"/>
      <w:r>
        <w:rPr>
          <w:rFonts w:cs="Arial"/>
          <w:sz w:val="24"/>
          <w:szCs w:val="24"/>
        </w:rPr>
        <w:t xml:space="preserve"> can confirm the accuracy of the information in this worksheet?</w:t>
      </w:r>
    </w:p>
    <w:p w:rsidR="00C8427F" w:rsidRDefault="00C8427F" w:rsidP="006823D7">
      <w:pPr>
        <w:pStyle w:val="ListParagraph"/>
        <w:numPr>
          <w:ilvl w:val="0"/>
          <w:numId w:val="20"/>
        </w:num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If a) cannot be confirmed, please provide details on the information </w:t>
      </w:r>
      <w:proofErr w:type="spellStart"/>
      <w:r>
        <w:rPr>
          <w:rFonts w:cs="Arial"/>
          <w:sz w:val="24"/>
          <w:szCs w:val="24"/>
        </w:rPr>
        <w:t>InnPower</w:t>
      </w:r>
      <w:proofErr w:type="spellEnd"/>
      <w:r>
        <w:rPr>
          <w:rFonts w:cs="Arial"/>
          <w:sz w:val="24"/>
          <w:szCs w:val="24"/>
        </w:rPr>
        <w:t xml:space="preserve"> believes should be populated, and reconcile this to the information </w:t>
      </w:r>
      <w:r w:rsidR="005363E9">
        <w:rPr>
          <w:rFonts w:cs="Arial"/>
          <w:sz w:val="24"/>
          <w:szCs w:val="24"/>
        </w:rPr>
        <w:t>populated.</w:t>
      </w:r>
    </w:p>
    <w:p w:rsidR="00C8427F" w:rsidRDefault="00C8427F" w:rsidP="006823D7">
      <w:pPr>
        <w:spacing w:line="276" w:lineRule="auto"/>
        <w:rPr>
          <w:rFonts w:cs="Arial"/>
          <w:sz w:val="24"/>
          <w:szCs w:val="24"/>
        </w:rPr>
      </w:pPr>
    </w:p>
    <w:p w:rsidR="002873FF" w:rsidRPr="00B13A6D" w:rsidRDefault="002873FF" w:rsidP="006823D7">
      <w:pPr>
        <w:keepNext/>
        <w:keepLines/>
        <w:spacing w:line="276" w:lineRule="auto"/>
        <w:rPr>
          <w:rFonts w:cs="Arial"/>
          <w:b/>
          <w:sz w:val="24"/>
          <w:szCs w:val="24"/>
        </w:rPr>
      </w:pPr>
      <w:r w:rsidRPr="00B13A6D">
        <w:rPr>
          <w:rFonts w:cs="Arial"/>
          <w:b/>
          <w:sz w:val="24"/>
          <w:szCs w:val="24"/>
        </w:rPr>
        <w:t xml:space="preserve">Staff Question </w:t>
      </w:r>
      <w:r w:rsidR="006823D7">
        <w:rPr>
          <w:rFonts w:cs="Arial"/>
          <w:b/>
          <w:sz w:val="24"/>
          <w:szCs w:val="24"/>
        </w:rPr>
        <w:t>#7</w:t>
      </w:r>
    </w:p>
    <w:p w:rsidR="00F31213" w:rsidRDefault="002873FF" w:rsidP="006823D7">
      <w:pPr>
        <w:keepNext/>
        <w:keepLines/>
        <w:spacing w:after="0" w:line="276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Ref:</w:t>
      </w:r>
      <w:r>
        <w:rPr>
          <w:rFonts w:cs="Arial"/>
          <w:b/>
          <w:sz w:val="24"/>
          <w:szCs w:val="24"/>
        </w:rPr>
        <w:tab/>
      </w:r>
      <w:r w:rsidR="00F31213">
        <w:rPr>
          <w:rFonts w:cs="Arial"/>
          <w:b/>
          <w:sz w:val="24"/>
          <w:szCs w:val="24"/>
        </w:rPr>
        <w:t xml:space="preserve">Manager’s Summary, </w:t>
      </w:r>
      <w:r w:rsidR="00E022FB">
        <w:rPr>
          <w:rFonts w:cs="Arial"/>
          <w:b/>
          <w:sz w:val="24"/>
          <w:szCs w:val="24"/>
        </w:rPr>
        <w:t>Appendix B</w:t>
      </w:r>
    </w:p>
    <w:p w:rsidR="002873FF" w:rsidRDefault="002873FF" w:rsidP="006823D7">
      <w:pPr>
        <w:keepNext/>
        <w:keepLines/>
        <w:spacing w:after="0" w:line="276" w:lineRule="auto"/>
        <w:ind w:firstLine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IRM Rate Generator, Tab 4. Billing Det. For Def-</w:t>
      </w:r>
      <w:proofErr w:type="spellStart"/>
      <w:r>
        <w:rPr>
          <w:rFonts w:cs="Arial"/>
          <w:b/>
          <w:sz w:val="24"/>
          <w:szCs w:val="24"/>
        </w:rPr>
        <w:t>Var</w:t>
      </w:r>
      <w:proofErr w:type="spellEnd"/>
    </w:p>
    <w:p w:rsidR="002873FF" w:rsidRDefault="002873FF" w:rsidP="006823D7">
      <w:pPr>
        <w:keepNext/>
        <w:keepLines/>
        <w:spacing w:line="276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  <w:t>IRM Rate Generator, Tab 5. Allocating Def-</w:t>
      </w:r>
      <w:proofErr w:type="spellStart"/>
      <w:r>
        <w:rPr>
          <w:rFonts w:cs="Arial"/>
          <w:b/>
          <w:sz w:val="24"/>
          <w:szCs w:val="24"/>
        </w:rPr>
        <w:t>Var</w:t>
      </w:r>
      <w:proofErr w:type="spellEnd"/>
      <w:r>
        <w:rPr>
          <w:rFonts w:cs="Arial"/>
          <w:b/>
          <w:sz w:val="24"/>
          <w:szCs w:val="24"/>
        </w:rPr>
        <w:t xml:space="preserve"> Balances</w:t>
      </w:r>
    </w:p>
    <w:p w:rsidR="00E022FB" w:rsidRDefault="00E022FB" w:rsidP="006823D7">
      <w:pPr>
        <w:spacing w:line="276" w:lineRule="auto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InnPower</w:t>
      </w:r>
      <w:proofErr w:type="spellEnd"/>
      <w:r>
        <w:rPr>
          <w:rFonts w:cs="Arial"/>
          <w:sz w:val="24"/>
          <w:szCs w:val="24"/>
        </w:rPr>
        <w:t xml:space="preserve"> explained that</w:t>
      </w:r>
      <w:r w:rsidR="000023B7">
        <w:rPr>
          <w:rFonts w:cs="Arial"/>
          <w:sz w:val="24"/>
          <w:szCs w:val="24"/>
        </w:rPr>
        <w:t xml:space="preserve"> the </w:t>
      </w:r>
      <w:r w:rsidR="00080923">
        <w:rPr>
          <w:rFonts w:cs="Arial"/>
          <w:sz w:val="24"/>
          <w:szCs w:val="24"/>
        </w:rPr>
        <w:t>2016 Group 1 r</w:t>
      </w:r>
      <w:r w:rsidR="000023B7">
        <w:rPr>
          <w:rFonts w:cs="Arial"/>
          <w:sz w:val="24"/>
          <w:szCs w:val="24"/>
        </w:rPr>
        <w:t xml:space="preserve">ate </w:t>
      </w:r>
      <w:r w:rsidR="00080923">
        <w:rPr>
          <w:rFonts w:cs="Arial"/>
          <w:sz w:val="24"/>
          <w:szCs w:val="24"/>
        </w:rPr>
        <w:t>r</w:t>
      </w:r>
      <w:r w:rsidR="000023B7">
        <w:rPr>
          <w:rFonts w:cs="Arial"/>
          <w:sz w:val="24"/>
          <w:szCs w:val="24"/>
        </w:rPr>
        <w:t>ider</w:t>
      </w:r>
      <w:r w:rsidR="00080923">
        <w:rPr>
          <w:rFonts w:cs="Arial"/>
          <w:sz w:val="24"/>
          <w:szCs w:val="24"/>
        </w:rPr>
        <w:t>s</w:t>
      </w:r>
      <w:r w:rsidR="000023B7">
        <w:rPr>
          <w:rFonts w:cs="Arial"/>
          <w:sz w:val="24"/>
          <w:szCs w:val="24"/>
        </w:rPr>
        <w:t xml:space="preserve"> </w:t>
      </w:r>
      <w:r w:rsidR="00080923">
        <w:rPr>
          <w:rFonts w:cs="Arial"/>
          <w:sz w:val="24"/>
          <w:szCs w:val="24"/>
        </w:rPr>
        <w:t xml:space="preserve">were </w:t>
      </w:r>
      <w:r w:rsidR="000023B7">
        <w:rPr>
          <w:rFonts w:cs="Arial"/>
          <w:sz w:val="24"/>
          <w:szCs w:val="24"/>
        </w:rPr>
        <w:t>calculated based on a 12 month disposition, but was collected for 24 months.</w:t>
      </w:r>
      <w:r w:rsidR="00287EB3">
        <w:rPr>
          <w:rFonts w:cs="Arial"/>
          <w:sz w:val="24"/>
          <w:szCs w:val="24"/>
        </w:rPr>
        <w:t xml:space="preserve"> </w:t>
      </w:r>
      <w:r w:rsidR="000023B7">
        <w:rPr>
          <w:rFonts w:cs="Arial"/>
          <w:sz w:val="24"/>
          <w:szCs w:val="24"/>
        </w:rPr>
        <w:t>It explained that this collection results in a credit owing to customers of $4</w:t>
      </w:r>
      <w:r w:rsidR="00287EB3">
        <w:rPr>
          <w:rFonts w:cs="Arial"/>
          <w:sz w:val="24"/>
          <w:szCs w:val="24"/>
        </w:rPr>
        <w:t>38,430</w:t>
      </w:r>
      <w:r w:rsidR="000023B7">
        <w:rPr>
          <w:rFonts w:cs="Arial"/>
          <w:sz w:val="24"/>
          <w:szCs w:val="24"/>
        </w:rPr>
        <w:t>.</w:t>
      </w:r>
      <w:r w:rsidR="00287EB3">
        <w:rPr>
          <w:rFonts w:cs="Arial"/>
          <w:sz w:val="24"/>
          <w:szCs w:val="24"/>
        </w:rPr>
        <w:t xml:space="preserve"> The factors for this include:</w:t>
      </w:r>
    </w:p>
    <w:p w:rsidR="00287EB3" w:rsidRPr="00287EB3" w:rsidRDefault="00287EB3" w:rsidP="006823D7">
      <w:pPr>
        <w:pStyle w:val="ListParagraph"/>
        <w:numPr>
          <w:ilvl w:val="0"/>
          <w:numId w:val="26"/>
        </w:numPr>
        <w:spacing w:line="276" w:lineRule="auto"/>
        <w:rPr>
          <w:rFonts w:cs="Arial"/>
          <w:sz w:val="24"/>
          <w:szCs w:val="24"/>
        </w:rPr>
      </w:pPr>
      <w:r w:rsidRPr="00287EB3">
        <w:rPr>
          <w:rFonts w:cs="Arial"/>
          <w:sz w:val="24"/>
          <w:szCs w:val="24"/>
        </w:rPr>
        <w:t>An over collection of the GA Rate Rider for 2016</w:t>
      </w:r>
    </w:p>
    <w:p w:rsidR="00287EB3" w:rsidRPr="00287EB3" w:rsidRDefault="00287EB3" w:rsidP="006823D7">
      <w:pPr>
        <w:pStyle w:val="ListParagraph"/>
        <w:numPr>
          <w:ilvl w:val="0"/>
          <w:numId w:val="26"/>
        </w:numPr>
        <w:spacing w:line="276" w:lineRule="auto"/>
        <w:rPr>
          <w:rFonts w:cs="Arial"/>
          <w:sz w:val="24"/>
          <w:szCs w:val="24"/>
        </w:rPr>
      </w:pPr>
      <w:r w:rsidRPr="00287EB3">
        <w:rPr>
          <w:rFonts w:cs="Arial"/>
          <w:sz w:val="24"/>
          <w:szCs w:val="24"/>
        </w:rPr>
        <w:t>An over collection of other rate variance accounts for 2016</w:t>
      </w:r>
    </w:p>
    <w:p w:rsidR="00287EB3" w:rsidRPr="00287EB3" w:rsidRDefault="00287EB3" w:rsidP="006823D7">
      <w:pPr>
        <w:pStyle w:val="ListParagraph"/>
        <w:numPr>
          <w:ilvl w:val="0"/>
          <w:numId w:val="26"/>
        </w:numPr>
        <w:spacing w:line="276" w:lineRule="auto"/>
        <w:rPr>
          <w:rFonts w:cs="Arial"/>
          <w:sz w:val="24"/>
          <w:szCs w:val="24"/>
        </w:rPr>
      </w:pPr>
      <w:r w:rsidRPr="00287EB3">
        <w:rPr>
          <w:rFonts w:cs="Arial"/>
          <w:sz w:val="24"/>
          <w:szCs w:val="24"/>
        </w:rPr>
        <w:t>No collection of 1595 for the years 2009-2014, even though disposition was intended.</w:t>
      </w:r>
    </w:p>
    <w:p w:rsidR="00342719" w:rsidRDefault="00342719" w:rsidP="006823D7">
      <w:p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In column O of the second reference, </w:t>
      </w:r>
      <w:proofErr w:type="spellStart"/>
      <w:r>
        <w:rPr>
          <w:rFonts w:cs="Arial"/>
          <w:sz w:val="24"/>
          <w:szCs w:val="24"/>
        </w:rPr>
        <w:t>InnPower</w:t>
      </w:r>
      <w:proofErr w:type="spellEnd"/>
      <w:r>
        <w:rPr>
          <w:rFonts w:cs="Arial"/>
          <w:sz w:val="24"/>
          <w:szCs w:val="24"/>
        </w:rPr>
        <w:t xml:space="preserve"> has proposed recovery of 1595 to be allocated 61% to Residential, 14% to General Service less than 50 kW and 25% to General Service 50 kW to 4,999 kW. OEB staff notes that these are the same percentages located in column C of the third reference – reflecting the kWh proportions for allocation of 2020 rate riders.</w:t>
      </w:r>
    </w:p>
    <w:p w:rsidR="006A2AA3" w:rsidRDefault="000023B7" w:rsidP="006823D7">
      <w:p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OEB Staff notes that the </w:t>
      </w:r>
      <w:r w:rsidR="00287EB3">
        <w:rPr>
          <w:rFonts w:cs="Arial"/>
          <w:sz w:val="24"/>
          <w:szCs w:val="24"/>
        </w:rPr>
        <w:t xml:space="preserve">rate riders contributing to the Account 1595 (2016) balance are varied, and may have different allocations. For instance, the GA rate rider was </w:t>
      </w:r>
      <w:r>
        <w:rPr>
          <w:rFonts w:cs="Arial"/>
          <w:sz w:val="24"/>
          <w:szCs w:val="24"/>
        </w:rPr>
        <w:t>allocated to rate payers on the basis of non-RPP kWh:</w:t>
      </w:r>
    </w:p>
    <w:p w:rsidR="006823D7" w:rsidRDefault="003643A4" w:rsidP="006823D7">
      <w:pPr>
        <w:pStyle w:val="ListParagraph"/>
        <w:numPr>
          <w:ilvl w:val="0"/>
          <w:numId w:val="21"/>
        </w:num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Please </w:t>
      </w:r>
      <w:r w:rsidR="00287EB3">
        <w:rPr>
          <w:rFonts w:cs="Arial"/>
          <w:sz w:val="24"/>
          <w:szCs w:val="24"/>
        </w:rPr>
        <w:t xml:space="preserve">complete the attached worksheet itemizing </w:t>
      </w:r>
      <w:r w:rsidR="00D7136D">
        <w:rPr>
          <w:rFonts w:cs="Arial"/>
          <w:sz w:val="24"/>
          <w:szCs w:val="24"/>
        </w:rPr>
        <w:t>the drivers of</w:t>
      </w:r>
      <w:r w:rsidR="006823D7">
        <w:rPr>
          <w:rFonts w:cs="Arial"/>
          <w:sz w:val="24"/>
          <w:szCs w:val="24"/>
        </w:rPr>
        <w:t xml:space="preserve"> the</w:t>
      </w:r>
      <w:r w:rsidR="00D7136D">
        <w:rPr>
          <w:rFonts w:cs="Arial"/>
          <w:sz w:val="24"/>
          <w:szCs w:val="24"/>
        </w:rPr>
        <w:t xml:space="preserve"> Account</w:t>
      </w:r>
      <w:r w:rsidR="00C603E1">
        <w:rPr>
          <w:rFonts w:cs="Arial"/>
          <w:sz w:val="24"/>
          <w:szCs w:val="24"/>
        </w:rPr>
        <w:t xml:space="preserve"> 1595 (2016) balance.</w:t>
      </w:r>
      <w:r w:rsidR="00D7136D">
        <w:rPr>
          <w:rFonts w:cs="Arial"/>
          <w:sz w:val="24"/>
          <w:szCs w:val="24"/>
        </w:rPr>
        <w:t xml:space="preserve"> Add further columns, if necessary.</w:t>
      </w:r>
    </w:p>
    <w:p w:rsidR="006A2AA3" w:rsidRPr="006823D7" w:rsidRDefault="00287EB3" w:rsidP="006823D7">
      <w:pPr>
        <w:pStyle w:val="ListParagraph"/>
        <w:numPr>
          <w:ilvl w:val="0"/>
          <w:numId w:val="21"/>
        </w:numPr>
        <w:spacing w:line="276" w:lineRule="auto"/>
        <w:rPr>
          <w:rFonts w:cs="Arial"/>
          <w:sz w:val="24"/>
          <w:szCs w:val="24"/>
        </w:rPr>
      </w:pPr>
      <w:r w:rsidRPr="006823D7">
        <w:rPr>
          <w:rFonts w:cs="Arial"/>
          <w:sz w:val="24"/>
          <w:szCs w:val="24"/>
        </w:rPr>
        <w:t xml:space="preserve">Does </w:t>
      </w:r>
      <w:proofErr w:type="spellStart"/>
      <w:r w:rsidRPr="006823D7">
        <w:rPr>
          <w:rFonts w:cs="Arial"/>
          <w:sz w:val="24"/>
          <w:szCs w:val="24"/>
        </w:rPr>
        <w:t>InnPower</w:t>
      </w:r>
      <w:proofErr w:type="spellEnd"/>
      <w:r w:rsidRPr="006823D7">
        <w:rPr>
          <w:rFonts w:cs="Arial"/>
          <w:sz w:val="24"/>
          <w:szCs w:val="24"/>
        </w:rPr>
        <w:t xml:space="preserve"> consider it reasonable to allocate 1595 (2016) on the basis calculated in step a)?</w:t>
      </w:r>
    </w:p>
    <w:p w:rsidR="00287EB3" w:rsidRDefault="00287EB3" w:rsidP="006823D7">
      <w:pPr>
        <w:pStyle w:val="ListParagraph"/>
        <w:numPr>
          <w:ilvl w:val="0"/>
          <w:numId w:val="21"/>
        </w:num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If </w:t>
      </w:r>
      <w:proofErr w:type="spellStart"/>
      <w:r>
        <w:rPr>
          <w:rFonts w:cs="Arial"/>
          <w:sz w:val="24"/>
          <w:szCs w:val="24"/>
        </w:rPr>
        <w:t>InnPower</w:t>
      </w:r>
      <w:proofErr w:type="spellEnd"/>
      <w:r>
        <w:rPr>
          <w:rFonts w:cs="Arial"/>
          <w:sz w:val="24"/>
          <w:szCs w:val="24"/>
        </w:rPr>
        <w:t xml:space="preserve"> disagrees with b), Please confirm that </w:t>
      </w:r>
      <w:proofErr w:type="spellStart"/>
      <w:r>
        <w:rPr>
          <w:rFonts w:cs="Arial"/>
          <w:sz w:val="24"/>
          <w:szCs w:val="24"/>
        </w:rPr>
        <w:t>InnPower</w:t>
      </w:r>
      <w:proofErr w:type="spellEnd"/>
      <w:r>
        <w:rPr>
          <w:rFonts w:cs="Arial"/>
          <w:sz w:val="24"/>
          <w:szCs w:val="24"/>
        </w:rPr>
        <w:t xml:space="preserve"> is proposing to </w:t>
      </w:r>
      <w:proofErr w:type="gramStart"/>
      <w:r>
        <w:rPr>
          <w:rFonts w:cs="Arial"/>
          <w:sz w:val="24"/>
          <w:szCs w:val="24"/>
        </w:rPr>
        <w:t>dispose</w:t>
      </w:r>
      <w:proofErr w:type="gramEnd"/>
      <w:r>
        <w:rPr>
          <w:rFonts w:cs="Arial"/>
          <w:sz w:val="24"/>
          <w:szCs w:val="24"/>
        </w:rPr>
        <w:t xml:space="preserve"> of 1595 using the total kWh share in the current application, rather than proportionate share from the 2016 rate application.</w:t>
      </w:r>
    </w:p>
    <w:p w:rsidR="00287EB3" w:rsidRPr="00287EB3" w:rsidRDefault="00287EB3" w:rsidP="006823D7">
      <w:pPr>
        <w:pStyle w:val="ListParagraph"/>
        <w:numPr>
          <w:ilvl w:val="0"/>
          <w:numId w:val="21"/>
        </w:num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If </w:t>
      </w:r>
      <w:proofErr w:type="spellStart"/>
      <w:r>
        <w:rPr>
          <w:rFonts w:cs="Arial"/>
          <w:sz w:val="24"/>
          <w:szCs w:val="24"/>
        </w:rPr>
        <w:t>InnPower</w:t>
      </w:r>
      <w:proofErr w:type="spellEnd"/>
      <w:r>
        <w:rPr>
          <w:rFonts w:cs="Arial"/>
          <w:sz w:val="24"/>
          <w:szCs w:val="24"/>
        </w:rPr>
        <w:t xml:space="preserve"> disagrees with b) and c) cannot be confirmed, please explain the methodology used and provide a derivation of the allocation percentages in column O of the first reference.</w:t>
      </w:r>
    </w:p>
    <w:p w:rsidR="00005A80" w:rsidRPr="00005A80" w:rsidRDefault="00005A80" w:rsidP="006823D7">
      <w:pPr>
        <w:spacing w:line="276" w:lineRule="auto"/>
        <w:rPr>
          <w:rFonts w:cs="Arial"/>
          <w:sz w:val="24"/>
          <w:szCs w:val="24"/>
        </w:rPr>
      </w:pPr>
    </w:p>
    <w:p w:rsidR="00005A80" w:rsidRPr="006823D7" w:rsidRDefault="00005A80" w:rsidP="006823D7">
      <w:pPr>
        <w:keepNext/>
        <w:keepLines/>
        <w:spacing w:line="276" w:lineRule="auto"/>
        <w:rPr>
          <w:rFonts w:cs="Arial"/>
          <w:b/>
          <w:sz w:val="24"/>
          <w:szCs w:val="24"/>
        </w:rPr>
      </w:pPr>
      <w:r w:rsidRPr="006823D7">
        <w:rPr>
          <w:rFonts w:cs="Arial"/>
          <w:b/>
          <w:sz w:val="24"/>
          <w:szCs w:val="24"/>
        </w:rPr>
        <w:t xml:space="preserve">Staff Question </w:t>
      </w:r>
      <w:r w:rsidR="006823D7" w:rsidRPr="006823D7">
        <w:rPr>
          <w:rFonts w:cs="Arial"/>
          <w:b/>
          <w:sz w:val="24"/>
          <w:szCs w:val="24"/>
        </w:rPr>
        <w:t>#8</w:t>
      </w:r>
    </w:p>
    <w:p w:rsidR="00C260C9" w:rsidRPr="006823D7" w:rsidRDefault="00005A80" w:rsidP="006823D7">
      <w:pPr>
        <w:keepNext/>
        <w:keepLines/>
        <w:spacing w:after="0" w:line="276" w:lineRule="auto"/>
        <w:rPr>
          <w:rFonts w:cs="Arial"/>
          <w:b/>
          <w:sz w:val="24"/>
          <w:szCs w:val="24"/>
        </w:rPr>
      </w:pPr>
      <w:r w:rsidRPr="006823D7">
        <w:rPr>
          <w:rFonts w:cs="Arial"/>
          <w:b/>
          <w:sz w:val="24"/>
          <w:szCs w:val="24"/>
        </w:rPr>
        <w:t>Ref:</w:t>
      </w:r>
      <w:r w:rsidRPr="006823D7">
        <w:rPr>
          <w:rFonts w:cs="Arial"/>
          <w:b/>
          <w:sz w:val="24"/>
          <w:szCs w:val="24"/>
        </w:rPr>
        <w:tab/>
      </w:r>
      <w:r w:rsidR="00C260C9" w:rsidRPr="006823D7">
        <w:rPr>
          <w:rFonts w:cs="Arial"/>
          <w:b/>
          <w:sz w:val="24"/>
          <w:szCs w:val="24"/>
        </w:rPr>
        <w:t xml:space="preserve">Manager’s </w:t>
      </w:r>
      <w:proofErr w:type="gramStart"/>
      <w:r w:rsidR="00C260C9" w:rsidRPr="006823D7">
        <w:rPr>
          <w:rFonts w:cs="Arial"/>
          <w:b/>
          <w:sz w:val="24"/>
          <w:szCs w:val="24"/>
        </w:rPr>
        <w:t>Summary</w:t>
      </w:r>
      <w:proofErr w:type="gramEnd"/>
      <w:r w:rsidR="00C260C9" w:rsidRPr="006823D7">
        <w:rPr>
          <w:rFonts w:cs="Arial"/>
          <w:b/>
          <w:sz w:val="24"/>
          <w:szCs w:val="24"/>
        </w:rPr>
        <w:t>, page 14.</w:t>
      </w:r>
    </w:p>
    <w:p w:rsidR="00005A80" w:rsidRPr="006823D7" w:rsidRDefault="00005A80" w:rsidP="006823D7">
      <w:pPr>
        <w:keepNext/>
        <w:keepLines/>
        <w:spacing w:line="276" w:lineRule="auto"/>
        <w:ind w:firstLine="720"/>
        <w:rPr>
          <w:rFonts w:cs="Arial"/>
          <w:b/>
          <w:sz w:val="24"/>
          <w:szCs w:val="24"/>
        </w:rPr>
      </w:pPr>
      <w:r w:rsidRPr="006823D7">
        <w:rPr>
          <w:rFonts w:cs="Arial"/>
          <w:b/>
          <w:sz w:val="24"/>
          <w:szCs w:val="24"/>
        </w:rPr>
        <w:t xml:space="preserve">IRM Rate Generator, Tab 6. Class </w:t>
      </w:r>
      <w:proofErr w:type="gramStart"/>
      <w:r w:rsidRPr="006823D7">
        <w:rPr>
          <w:rFonts w:cs="Arial"/>
          <w:b/>
          <w:sz w:val="24"/>
          <w:szCs w:val="24"/>
        </w:rPr>
        <w:t>A</w:t>
      </w:r>
      <w:proofErr w:type="gramEnd"/>
      <w:r w:rsidRPr="006823D7">
        <w:rPr>
          <w:rFonts w:cs="Arial"/>
          <w:b/>
          <w:sz w:val="24"/>
          <w:szCs w:val="24"/>
        </w:rPr>
        <w:t xml:space="preserve"> Consumption Data</w:t>
      </w:r>
    </w:p>
    <w:p w:rsidR="002873FF" w:rsidRPr="006823D7" w:rsidRDefault="00C260C9" w:rsidP="006823D7">
      <w:pPr>
        <w:spacing w:line="276" w:lineRule="auto"/>
        <w:rPr>
          <w:sz w:val="24"/>
          <w:szCs w:val="24"/>
        </w:rPr>
      </w:pPr>
      <w:proofErr w:type="spellStart"/>
      <w:r w:rsidRPr="006823D7">
        <w:rPr>
          <w:rFonts w:cs="Arial"/>
          <w:sz w:val="24"/>
          <w:szCs w:val="24"/>
        </w:rPr>
        <w:t>InnPower</w:t>
      </w:r>
      <w:proofErr w:type="spellEnd"/>
      <w:r w:rsidRPr="006823D7">
        <w:rPr>
          <w:rFonts w:cs="Arial"/>
          <w:sz w:val="24"/>
          <w:szCs w:val="24"/>
        </w:rPr>
        <w:t xml:space="preserve"> states that it “</w:t>
      </w:r>
      <w:r w:rsidRPr="006823D7">
        <w:rPr>
          <w:sz w:val="24"/>
          <w:szCs w:val="24"/>
        </w:rPr>
        <w:t>has had two customers who have transitioned to Class A or the Industrial Conservation Initiative (“ICI”). The second reference indicates that Customer 1 transitioned in 2017, and spent the entire year of 2018 in Class A. Customer 2 does not have consumption data for 2017, implying a 2018 transition. However, Customer 2 has both the first and second half of 2018 recorded as being in Class A.</w:t>
      </w:r>
    </w:p>
    <w:p w:rsidR="00C260C9" w:rsidRPr="006823D7" w:rsidRDefault="00C260C9" w:rsidP="006823D7">
      <w:pPr>
        <w:spacing w:line="276" w:lineRule="auto"/>
        <w:rPr>
          <w:sz w:val="24"/>
          <w:szCs w:val="24"/>
        </w:rPr>
      </w:pPr>
      <w:r w:rsidRPr="006823D7">
        <w:rPr>
          <w:sz w:val="24"/>
          <w:szCs w:val="24"/>
        </w:rPr>
        <w:t>The total 2018 consumption for non-transitioning customers reconciles to that of Customer 1 alone.</w:t>
      </w:r>
    </w:p>
    <w:p w:rsidR="00C260C9" w:rsidRPr="006823D7" w:rsidRDefault="00C260C9" w:rsidP="006823D7">
      <w:pPr>
        <w:pStyle w:val="ListParagraph"/>
        <w:numPr>
          <w:ilvl w:val="0"/>
          <w:numId w:val="23"/>
        </w:numPr>
        <w:spacing w:line="276" w:lineRule="auto"/>
        <w:rPr>
          <w:rFonts w:cs="Arial"/>
          <w:sz w:val="24"/>
          <w:szCs w:val="24"/>
        </w:rPr>
      </w:pPr>
      <w:r w:rsidRPr="006823D7">
        <w:rPr>
          <w:sz w:val="24"/>
          <w:szCs w:val="24"/>
        </w:rPr>
        <w:t>Please confirm that there are only two Class A customers, and no other customers have been Class A customers.</w:t>
      </w:r>
    </w:p>
    <w:p w:rsidR="00C260C9" w:rsidRPr="006823D7" w:rsidRDefault="00C260C9" w:rsidP="006823D7">
      <w:pPr>
        <w:pStyle w:val="ListParagraph"/>
        <w:numPr>
          <w:ilvl w:val="0"/>
          <w:numId w:val="23"/>
        </w:numPr>
        <w:spacing w:line="276" w:lineRule="auto"/>
        <w:rPr>
          <w:rFonts w:cs="Arial"/>
          <w:sz w:val="24"/>
          <w:szCs w:val="24"/>
        </w:rPr>
      </w:pPr>
      <w:r w:rsidRPr="006823D7">
        <w:rPr>
          <w:sz w:val="24"/>
          <w:szCs w:val="24"/>
        </w:rPr>
        <w:t xml:space="preserve">Please indicate when Customer 2 became a Class </w:t>
      </w:r>
      <w:proofErr w:type="gramStart"/>
      <w:r w:rsidRPr="006823D7">
        <w:rPr>
          <w:sz w:val="24"/>
          <w:szCs w:val="24"/>
        </w:rPr>
        <w:t>A</w:t>
      </w:r>
      <w:proofErr w:type="gramEnd"/>
      <w:r w:rsidRPr="006823D7">
        <w:rPr>
          <w:sz w:val="24"/>
          <w:szCs w:val="24"/>
        </w:rPr>
        <w:t xml:space="preserve"> customer.</w:t>
      </w:r>
    </w:p>
    <w:p w:rsidR="00C603E1" w:rsidRPr="006823D7" w:rsidRDefault="00C603E1" w:rsidP="006823D7">
      <w:pPr>
        <w:spacing w:line="276" w:lineRule="auto"/>
        <w:rPr>
          <w:rFonts w:cs="Arial"/>
          <w:sz w:val="24"/>
          <w:szCs w:val="24"/>
        </w:rPr>
      </w:pPr>
    </w:p>
    <w:p w:rsidR="00F8212E" w:rsidRPr="006823D7" w:rsidRDefault="00F8212E" w:rsidP="006823D7">
      <w:pPr>
        <w:spacing w:line="276" w:lineRule="auto"/>
        <w:rPr>
          <w:rFonts w:cs="Arial"/>
          <w:b/>
          <w:sz w:val="24"/>
          <w:szCs w:val="24"/>
        </w:rPr>
      </w:pPr>
      <w:r w:rsidRPr="006823D7">
        <w:rPr>
          <w:rFonts w:cs="Arial"/>
          <w:b/>
          <w:sz w:val="24"/>
          <w:szCs w:val="24"/>
        </w:rPr>
        <w:t xml:space="preserve">Staff Question </w:t>
      </w:r>
      <w:r w:rsidR="006823D7" w:rsidRPr="006823D7">
        <w:rPr>
          <w:rFonts w:cs="Arial"/>
          <w:b/>
          <w:sz w:val="24"/>
          <w:szCs w:val="24"/>
        </w:rPr>
        <w:t>#9</w:t>
      </w:r>
    </w:p>
    <w:p w:rsidR="00F8212E" w:rsidRDefault="00F8212E" w:rsidP="006823D7">
      <w:pPr>
        <w:spacing w:line="276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Ref:</w:t>
      </w:r>
      <w:r>
        <w:rPr>
          <w:rFonts w:cs="Arial"/>
          <w:b/>
          <w:sz w:val="24"/>
          <w:szCs w:val="24"/>
        </w:rPr>
        <w:tab/>
        <w:t>IRM Rate Generator, Tab 6</w:t>
      </w:r>
      <w:r w:rsidR="00662EEF">
        <w:rPr>
          <w:rFonts w:cs="Arial"/>
          <w:b/>
          <w:sz w:val="24"/>
          <w:szCs w:val="24"/>
        </w:rPr>
        <w:t>.2a</w:t>
      </w:r>
      <w:r>
        <w:rPr>
          <w:rFonts w:cs="Arial"/>
          <w:b/>
          <w:sz w:val="24"/>
          <w:szCs w:val="24"/>
        </w:rPr>
        <w:t xml:space="preserve">. </w:t>
      </w:r>
      <w:r w:rsidR="00662EEF">
        <w:rPr>
          <w:rFonts w:cs="Arial"/>
          <w:b/>
          <w:sz w:val="24"/>
          <w:szCs w:val="24"/>
        </w:rPr>
        <w:t xml:space="preserve">CBR </w:t>
      </w:r>
      <w:proofErr w:type="spellStart"/>
      <w:r w:rsidR="00662EEF">
        <w:rPr>
          <w:rFonts w:cs="Arial"/>
          <w:b/>
          <w:sz w:val="24"/>
          <w:szCs w:val="24"/>
        </w:rPr>
        <w:t>B_Allocat</w:t>
      </w:r>
      <w:r w:rsidR="00364CD5">
        <w:rPr>
          <w:rFonts w:cs="Arial"/>
          <w:b/>
          <w:sz w:val="24"/>
          <w:szCs w:val="24"/>
        </w:rPr>
        <w:t>i</w:t>
      </w:r>
      <w:r w:rsidR="00662EEF">
        <w:rPr>
          <w:rFonts w:cs="Arial"/>
          <w:b/>
          <w:sz w:val="24"/>
          <w:szCs w:val="24"/>
        </w:rPr>
        <w:t>on</w:t>
      </w:r>
      <w:proofErr w:type="spellEnd"/>
    </w:p>
    <w:p w:rsidR="00005A80" w:rsidRDefault="00662EEF" w:rsidP="006823D7">
      <w:p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Total Consumption Less WMP Consumption has not been populated for 2017 and 2016.</w:t>
      </w:r>
    </w:p>
    <w:p w:rsidR="00662EEF" w:rsidRDefault="00662EEF" w:rsidP="006823D7">
      <w:pPr>
        <w:pStyle w:val="ListParagraph"/>
        <w:numPr>
          <w:ilvl w:val="0"/>
          <w:numId w:val="25"/>
        </w:num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Please provide the total consumption less WMP consumption for 2017 and 2016.</w:t>
      </w:r>
    </w:p>
    <w:p w:rsidR="00662EEF" w:rsidRDefault="00662EEF" w:rsidP="006823D7">
      <w:pPr>
        <w:spacing w:line="276" w:lineRule="auto"/>
        <w:rPr>
          <w:rFonts w:cs="Arial"/>
          <w:sz w:val="24"/>
          <w:szCs w:val="24"/>
        </w:rPr>
      </w:pPr>
    </w:p>
    <w:p w:rsidR="007634A9" w:rsidRPr="007C7CF6" w:rsidRDefault="006823D7" w:rsidP="006823D7">
      <w:pPr>
        <w:spacing w:line="276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Staff Question #10</w:t>
      </w:r>
    </w:p>
    <w:p w:rsidR="007634A9" w:rsidRPr="007C7CF6" w:rsidRDefault="007634A9" w:rsidP="006823D7">
      <w:pPr>
        <w:spacing w:line="276" w:lineRule="auto"/>
        <w:rPr>
          <w:rFonts w:cs="Arial"/>
          <w:b/>
          <w:sz w:val="24"/>
          <w:szCs w:val="24"/>
        </w:rPr>
      </w:pPr>
      <w:r w:rsidRPr="007C7CF6">
        <w:rPr>
          <w:rFonts w:cs="Arial"/>
          <w:b/>
          <w:sz w:val="24"/>
          <w:szCs w:val="24"/>
        </w:rPr>
        <w:t>Ref: Completeness Item #</w:t>
      </w:r>
      <w:r>
        <w:rPr>
          <w:rFonts w:cs="Arial"/>
          <w:b/>
          <w:sz w:val="24"/>
          <w:szCs w:val="24"/>
        </w:rPr>
        <w:t>2</w:t>
      </w:r>
      <w:r w:rsidRPr="007C7CF6">
        <w:rPr>
          <w:rFonts w:cs="Arial"/>
          <w:b/>
          <w:sz w:val="24"/>
          <w:szCs w:val="24"/>
        </w:rPr>
        <w:t xml:space="preserve"> filed Aug. 30, 2019</w:t>
      </w:r>
      <w:r>
        <w:rPr>
          <w:rFonts w:cs="Arial"/>
          <w:b/>
          <w:sz w:val="24"/>
          <w:szCs w:val="24"/>
        </w:rPr>
        <w:t>, DVA Continuity Schedule</w:t>
      </w:r>
    </w:p>
    <w:p w:rsidR="007634A9" w:rsidRPr="00912B21" w:rsidRDefault="007634A9" w:rsidP="006823D7">
      <w:pPr>
        <w:pStyle w:val="ListParagraph"/>
        <w:numPr>
          <w:ilvl w:val="0"/>
          <w:numId w:val="30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912B21">
        <w:rPr>
          <w:rFonts w:cs="Arial"/>
          <w:sz w:val="24"/>
          <w:szCs w:val="24"/>
        </w:rPr>
        <w:t>InnPower</w:t>
      </w:r>
      <w:proofErr w:type="spellEnd"/>
      <w:r w:rsidRPr="00912B21">
        <w:rPr>
          <w:rFonts w:cs="Arial"/>
          <w:sz w:val="24"/>
          <w:szCs w:val="24"/>
        </w:rPr>
        <w:t xml:space="preserve"> has made material adjustments to its commodity accounts from 2015 to 2018 as indicated by the evidence (an excerpt reproduced below) as it was not performing proper true-ups in the past. </w:t>
      </w:r>
    </w:p>
    <w:p w:rsidR="007634A9" w:rsidRDefault="007634A9" w:rsidP="00682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noProof/>
        </w:rPr>
      </w:pPr>
      <w:r>
        <w:rPr>
          <w:noProof/>
        </w:rPr>
        <w:lastRenderedPageBreak/>
        <w:drawing>
          <wp:inline distT="0" distB="0" distL="0" distR="0" wp14:anchorId="41983B3A" wp14:editId="0824FF88">
            <wp:extent cx="5943600" cy="5105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7CF6">
        <w:rPr>
          <w:noProof/>
        </w:rPr>
        <w:t xml:space="preserve"> </w:t>
      </w:r>
      <w:r>
        <w:rPr>
          <w:noProof/>
        </w:rPr>
        <w:drawing>
          <wp:inline distT="0" distB="0" distL="0" distR="0" wp14:anchorId="0E6BC79F" wp14:editId="57D5CF9D">
            <wp:extent cx="5943600" cy="60229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2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4A9" w:rsidRPr="00E531EB" w:rsidRDefault="007634A9" w:rsidP="006823D7">
      <w:pPr>
        <w:pStyle w:val="ListParagraph"/>
        <w:numPr>
          <w:ilvl w:val="0"/>
          <w:numId w:val="30"/>
        </w:numPr>
        <w:spacing w:line="276" w:lineRule="auto"/>
        <w:rPr>
          <w:rFonts w:cs="Arial"/>
          <w:sz w:val="24"/>
          <w:szCs w:val="24"/>
        </w:rPr>
      </w:pPr>
      <w:r w:rsidRPr="00E531EB">
        <w:rPr>
          <w:rFonts w:cs="Arial"/>
          <w:sz w:val="24"/>
          <w:szCs w:val="24"/>
        </w:rPr>
        <w:t xml:space="preserve">In addition, </w:t>
      </w:r>
      <w:r>
        <w:rPr>
          <w:rFonts w:cs="Arial"/>
          <w:sz w:val="24"/>
          <w:szCs w:val="24"/>
        </w:rPr>
        <w:t xml:space="preserve">the </w:t>
      </w:r>
      <w:r w:rsidRPr="00E531EB">
        <w:rPr>
          <w:rFonts w:cs="Arial"/>
          <w:sz w:val="24"/>
          <w:szCs w:val="24"/>
        </w:rPr>
        <w:t>OEB expressed numerous concerns</w:t>
      </w:r>
      <w:r>
        <w:rPr>
          <w:rStyle w:val="FootnoteReference"/>
          <w:rFonts w:cs="Arial"/>
          <w:sz w:val="24"/>
          <w:szCs w:val="24"/>
        </w:rPr>
        <w:footnoteReference w:id="2"/>
      </w:r>
      <w:r w:rsidRPr="00E531E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over </w:t>
      </w:r>
      <w:proofErr w:type="spellStart"/>
      <w:r>
        <w:rPr>
          <w:rFonts w:cs="Arial"/>
          <w:sz w:val="24"/>
          <w:szCs w:val="24"/>
        </w:rPr>
        <w:t>InnP</w:t>
      </w:r>
      <w:r w:rsidRPr="00E531EB">
        <w:rPr>
          <w:rFonts w:cs="Arial"/>
          <w:sz w:val="24"/>
          <w:szCs w:val="24"/>
        </w:rPr>
        <w:t>ower’s</w:t>
      </w:r>
      <w:proofErr w:type="spellEnd"/>
      <w:r w:rsidRPr="00E531EB">
        <w:rPr>
          <w:rFonts w:cs="Arial"/>
          <w:sz w:val="24"/>
          <w:szCs w:val="24"/>
        </w:rPr>
        <w:t xml:space="preserve"> settlement and accounting processes </w:t>
      </w:r>
      <w:r>
        <w:rPr>
          <w:rFonts w:cs="Arial"/>
          <w:sz w:val="24"/>
          <w:szCs w:val="24"/>
        </w:rPr>
        <w:t xml:space="preserve">and </w:t>
      </w:r>
      <w:r w:rsidRPr="00E531EB">
        <w:rPr>
          <w:rFonts w:cs="Arial"/>
          <w:sz w:val="24"/>
          <w:szCs w:val="24"/>
        </w:rPr>
        <w:t>its Group 1 account balances, and ordered an audit. It stated:</w:t>
      </w:r>
    </w:p>
    <w:p w:rsidR="007634A9" w:rsidRDefault="007634A9" w:rsidP="006823D7">
      <w:pPr>
        <w:pStyle w:val="ListParagraph"/>
        <w:spacing w:line="276" w:lineRule="auto"/>
        <w:rPr>
          <w:rFonts w:cs="Arial"/>
          <w:sz w:val="24"/>
          <w:szCs w:val="24"/>
        </w:rPr>
      </w:pPr>
    </w:p>
    <w:p w:rsidR="007634A9" w:rsidRDefault="007634A9" w:rsidP="006823D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08AA45C" wp14:editId="21D02D99">
            <wp:extent cx="5486400" cy="12217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4A9" w:rsidRDefault="007634A9" w:rsidP="006823D7">
      <w:pPr>
        <w:pStyle w:val="ListParagraph"/>
        <w:spacing w:line="276" w:lineRule="auto"/>
        <w:rPr>
          <w:rFonts w:cs="Arial"/>
          <w:sz w:val="24"/>
          <w:szCs w:val="24"/>
        </w:rPr>
      </w:pPr>
    </w:p>
    <w:p w:rsidR="007634A9" w:rsidRDefault="007634A9" w:rsidP="006823D7">
      <w:p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OEB staff notes that the audit has not yet been completed. </w:t>
      </w:r>
    </w:p>
    <w:p w:rsidR="007634A9" w:rsidRDefault="007634A9" w:rsidP="006823D7">
      <w:p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Given the magnitude of the adjustments made by </w:t>
      </w:r>
      <w:proofErr w:type="spellStart"/>
      <w:r>
        <w:rPr>
          <w:rFonts w:cs="Arial"/>
          <w:sz w:val="24"/>
          <w:szCs w:val="24"/>
        </w:rPr>
        <w:t>InnPower</w:t>
      </w:r>
      <w:proofErr w:type="spellEnd"/>
      <w:r>
        <w:rPr>
          <w:rFonts w:cs="Arial"/>
          <w:sz w:val="24"/>
          <w:szCs w:val="24"/>
        </w:rPr>
        <w:t xml:space="preserve"> to the commodity accounts (provided in part a) above), and the OEB’s concerns over the accuracy of </w:t>
      </w:r>
      <w:proofErr w:type="spellStart"/>
      <w:r>
        <w:rPr>
          <w:rFonts w:cs="Arial"/>
          <w:sz w:val="24"/>
          <w:szCs w:val="24"/>
        </w:rPr>
        <w:t>InnPower’s</w:t>
      </w:r>
      <w:proofErr w:type="spellEnd"/>
      <w:r>
        <w:rPr>
          <w:rFonts w:cs="Arial"/>
          <w:sz w:val="24"/>
          <w:szCs w:val="24"/>
        </w:rPr>
        <w:t xml:space="preserve"> commodity variance accounts, why does </w:t>
      </w:r>
      <w:proofErr w:type="spellStart"/>
      <w:r>
        <w:rPr>
          <w:rFonts w:cs="Arial"/>
          <w:sz w:val="24"/>
          <w:szCs w:val="24"/>
        </w:rPr>
        <w:t>InnPower</w:t>
      </w:r>
      <w:proofErr w:type="spellEnd"/>
      <w:r>
        <w:rPr>
          <w:rFonts w:cs="Arial"/>
          <w:sz w:val="24"/>
          <w:szCs w:val="24"/>
        </w:rPr>
        <w:t xml:space="preserve"> deem it appropriate to dispose of the commodity account balances before the completion of the audit?</w:t>
      </w:r>
    </w:p>
    <w:p w:rsidR="007634A9" w:rsidRDefault="007634A9" w:rsidP="006823D7">
      <w:pPr>
        <w:spacing w:line="276" w:lineRule="auto"/>
        <w:rPr>
          <w:rFonts w:cs="Arial"/>
          <w:b/>
          <w:sz w:val="24"/>
          <w:szCs w:val="24"/>
        </w:rPr>
      </w:pPr>
    </w:p>
    <w:p w:rsidR="007634A9" w:rsidRDefault="006823D7" w:rsidP="006823D7">
      <w:pPr>
        <w:spacing w:line="276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Staff Question #11</w:t>
      </w:r>
    </w:p>
    <w:p w:rsidR="007634A9" w:rsidRDefault="007634A9" w:rsidP="006823D7">
      <w:pPr>
        <w:spacing w:line="276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Ref: GA Analysis </w:t>
      </w:r>
      <w:proofErr w:type="spellStart"/>
      <w:r>
        <w:rPr>
          <w:rFonts w:cs="Arial"/>
          <w:b/>
          <w:sz w:val="24"/>
          <w:szCs w:val="24"/>
        </w:rPr>
        <w:t>Workform</w:t>
      </w:r>
      <w:proofErr w:type="spellEnd"/>
      <w:r>
        <w:rPr>
          <w:rFonts w:cs="Arial"/>
          <w:b/>
          <w:sz w:val="24"/>
          <w:szCs w:val="24"/>
        </w:rPr>
        <w:t xml:space="preserve"> for years 2015, 2016, 2017 and 2018</w:t>
      </w:r>
    </w:p>
    <w:p w:rsidR="007634A9" w:rsidRDefault="007634A9" w:rsidP="006823D7">
      <w:p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Table below provides the calculated loss factor in the evidence for each of the 4 years:</w:t>
      </w: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1980"/>
        <w:gridCol w:w="1351"/>
      </w:tblGrid>
      <w:tr w:rsidR="007634A9" w:rsidTr="00185153">
        <w:tc>
          <w:tcPr>
            <w:tcW w:w="1980" w:type="dxa"/>
          </w:tcPr>
          <w:p w:rsidR="007634A9" w:rsidRDefault="007634A9" w:rsidP="006823D7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Year</w:t>
            </w:r>
          </w:p>
        </w:tc>
        <w:tc>
          <w:tcPr>
            <w:tcW w:w="1350" w:type="dxa"/>
          </w:tcPr>
          <w:p w:rsidR="007634A9" w:rsidRDefault="007634A9" w:rsidP="006823D7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Calculated Loss Factor</w:t>
            </w:r>
          </w:p>
        </w:tc>
      </w:tr>
      <w:tr w:rsidR="007634A9" w:rsidTr="00185153">
        <w:tc>
          <w:tcPr>
            <w:tcW w:w="1980" w:type="dxa"/>
          </w:tcPr>
          <w:p w:rsidR="007634A9" w:rsidRDefault="007634A9" w:rsidP="006823D7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2015</w:t>
            </w:r>
          </w:p>
        </w:tc>
        <w:tc>
          <w:tcPr>
            <w:tcW w:w="1350" w:type="dxa"/>
          </w:tcPr>
          <w:p w:rsidR="007634A9" w:rsidRDefault="007634A9" w:rsidP="006823D7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1.0720</w:t>
            </w:r>
          </w:p>
        </w:tc>
      </w:tr>
      <w:tr w:rsidR="007634A9" w:rsidTr="00185153">
        <w:tc>
          <w:tcPr>
            <w:tcW w:w="1980" w:type="dxa"/>
          </w:tcPr>
          <w:p w:rsidR="007634A9" w:rsidRDefault="007634A9" w:rsidP="006823D7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2016</w:t>
            </w:r>
          </w:p>
        </w:tc>
        <w:tc>
          <w:tcPr>
            <w:tcW w:w="1350" w:type="dxa"/>
          </w:tcPr>
          <w:p w:rsidR="007634A9" w:rsidRDefault="007634A9" w:rsidP="006823D7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1.0747</w:t>
            </w:r>
          </w:p>
        </w:tc>
      </w:tr>
      <w:tr w:rsidR="007634A9" w:rsidTr="00185153">
        <w:tc>
          <w:tcPr>
            <w:tcW w:w="1980" w:type="dxa"/>
          </w:tcPr>
          <w:p w:rsidR="007634A9" w:rsidRDefault="007634A9" w:rsidP="006823D7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2017</w:t>
            </w:r>
          </w:p>
        </w:tc>
        <w:tc>
          <w:tcPr>
            <w:tcW w:w="1350" w:type="dxa"/>
          </w:tcPr>
          <w:p w:rsidR="007634A9" w:rsidRDefault="007634A9" w:rsidP="006823D7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1.0385</w:t>
            </w:r>
          </w:p>
        </w:tc>
      </w:tr>
      <w:tr w:rsidR="007634A9" w:rsidTr="00185153">
        <w:tc>
          <w:tcPr>
            <w:tcW w:w="1980" w:type="dxa"/>
          </w:tcPr>
          <w:p w:rsidR="007634A9" w:rsidRDefault="007634A9" w:rsidP="006823D7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2018</w:t>
            </w:r>
          </w:p>
        </w:tc>
        <w:tc>
          <w:tcPr>
            <w:tcW w:w="1350" w:type="dxa"/>
          </w:tcPr>
          <w:p w:rsidR="007634A9" w:rsidRDefault="007634A9" w:rsidP="006823D7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0.09503</w:t>
            </w:r>
          </w:p>
        </w:tc>
      </w:tr>
    </w:tbl>
    <w:p w:rsidR="007634A9" w:rsidRPr="0046408C" w:rsidRDefault="007634A9" w:rsidP="006823D7">
      <w:p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Please explain the variation in the calculated loss factor over the years.</w:t>
      </w:r>
    </w:p>
    <w:p w:rsidR="00F70A32" w:rsidRDefault="00F70A32" w:rsidP="006823D7">
      <w:pPr>
        <w:spacing w:line="276" w:lineRule="auto"/>
        <w:rPr>
          <w:rFonts w:cs="Arial"/>
          <w:sz w:val="24"/>
          <w:szCs w:val="24"/>
        </w:rPr>
      </w:pPr>
    </w:p>
    <w:p w:rsidR="007634A9" w:rsidRPr="007C7CF6" w:rsidRDefault="006823D7" w:rsidP="006823D7">
      <w:pPr>
        <w:spacing w:line="276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Staff Question #12</w:t>
      </w:r>
    </w:p>
    <w:p w:rsidR="007634A9" w:rsidRDefault="007634A9" w:rsidP="006823D7">
      <w:pPr>
        <w:spacing w:line="276" w:lineRule="auto"/>
        <w:rPr>
          <w:rFonts w:cs="Arial"/>
          <w:b/>
          <w:sz w:val="24"/>
          <w:szCs w:val="24"/>
        </w:rPr>
      </w:pPr>
      <w:r w:rsidRPr="007C7CF6">
        <w:rPr>
          <w:rFonts w:cs="Arial"/>
          <w:b/>
          <w:sz w:val="24"/>
          <w:szCs w:val="24"/>
        </w:rPr>
        <w:t xml:space="preserve">Ref: </w:t>
      </w:r>
      <w:r w:rsidR="00ED3697">
        <w:rPr>
          <w:rFonts w:cs="Arial"/>
          <w:b/>
          <w:sz w:val="24"/>
          <w:szCs w:val="24"/>
        </w:rPr>
        <w:t xml:space="preserve">Response to </w:t>
      </w:r>
      <w:r w:rsidRPr="007C7CF6">
        <w:rPr>
          <w:rFonts w:cs="Arial"/>
          <w:b/>
          <w:sz w:val="24"/>
          <w:szCs w:val="24"/>
        </w:rPr>
        <w:t>Completeness</w:t>
      </w:r>
      <w:r w:rsidR="00ED3697">
        <w:rPr>
          <w:rFonts w:cs="Arial"/>
          <w:b/>
          <w:sz w:val="24"/>
          <w:szCs w:val="24"/>
        </w:rPr>
        <w:t xml:space="preserve"> Letter</w:t>
      </w:r>
      <w:r w:rsidRPr="007C7CF6">
        <w:rPr>
          <w:rFonts w:cs="Arial"/>
          <w:b/>
          <w:sz w:val="24"/>
          <w:szCs w:val="24"/>
        </w:rPr>
        <w:t xml:space="preserve"> Item #</w:t>
      </w:r>
      <w:r>
        <w:rPr>
          <w:rFonts w:cs="Arial"/>
          <w:b/>
          <w:sz w:val="24"/>
          <w:szCs w:val="24"/>
        </w:rPr>
        <w:t>3</w:t>
      </w:r>
      <w:r w:rsidR="00ED3697">
        <w:rPr>
          <w:rFonts w:cs="Arial"/>
          <w:b/>
          <w:sz w:val="24"/>
          <w:szCs w:val="24"/>
        </w:rPr>
        <w:t>,</w:t>
      </w:r>
      <w:r w:rsidRPr="007C7CF6">
        <w:rPr>
          <w:rFonts w:cs="Arial"/>
          <w:b/>
          <w:sz w:val="24"/>
          <w:szCs w:val="24"/>
        </w:rPr>
        <w:t xml:space="preserve"> filed Aug. 30, 2019</w:t>
      </w:r>
    </w:p>
    <w:p w:rsidR="007634A9" w:rsidRPr="00F45008" w:rsidRDefault="007634A9" w:rsidP="006823D7">
      <w:pPr>
        <w:spacing w:line="276" w:lineRule="auto"/>
        <w:rPr>
          <w:rFonts w:cs="Arial"/>
          <w:sz w:val="24"/>
          <w:szCs w:val="24"/>
        </w:rPr>
      </w:pPr>
      <w:proofErr w:type="spellStart"/>
      <w:r w:rsidRPr="00F45008">
        <w:rPr>
          <w:rFonts w:cs="Arial"/>
          <w:sz w:val="24"/>
          <w:szCs w:val="24"/>
        </w:rPr>
        <w:t>InnPower</w:t>
      </w:r>
      <w:proofErr w:type="spellEnd"/>
      <w:r w:rsidRPr="00F45008">
        <w:rPr>
          <w:rFonts w:cs="Arial"/>
          <w:sz w:val="24"/>
          <w:szCs w:val="24"/>
        </w:rPr>
        <w:t xml:space="preserve"> “confirms that it follows the OEB’s letter dated May 23, 2017 – Guidance on the disposition of Accounts 1588 and 1589.”</w:t>
      </w:r>
    </w:p>
    <w:p w:rsidR="00F45008" w:rsidRPr="00F45008" w:rsidRDefault="00F45008" w:rsidP="006823D7">
      <w:pPr>
        <w:spacing w:line="276" w:lineRule="auto"/>
        <w:rPr>
          <w:rFonts w:cs="Arial"/>
          <w:sz w:val="24"/>
          <w:szCs w:val="24"/>
        </w:rPr>
      </w:pPr>
      <w:r w:rsidRPr="00F45008">
        <w:rPr>
          <w:color w:val="000000"/>
          <w:sz w:val="24"/>
          <w:szCs w:val="24"/>
        </w:rPr>
        <w:t>On February 21, 2019, the OEB issued its letter entitled Accounting Guidance related to Accounts 1588 Power, and 1589 RSVA Global Adjustment as well as the related accounting guidance. The accounting</w:t>
      </w:r>
      <w:bookmarkStart w:id="0" w:name="_GoBack"/>
      <w:bookmarkEnd w:id="0"/>
      <w:r w:rsidRPr="00F45008">
        <w:rPr>
          <w:color w:val="000000"/>
          <w:sz w:val="24"/>
          <w:szCs w:val="24"/>
        </w:rPr>
        <w:t xml:space="preserve"> guidance is effective January 1, 2019 and is to be </w:t>
      </w:r>
      <w:r w:rsidRPr="00F45008">
        <w:rPr>
          <w:color w:val="000000"/>
          <w:sz w:val="24"/>
          <w:szCs w:val="24"/>
        </w:rPr>
        <w:lastRenderedPageBreak/>
        <w:t>implemented by August 31, 2019. Distributors are expected to consider the accounting guidance in the context of historical balances that have yet to be disposed on a final basis (including the 2018 balances that may be requested for disposition in this rate application). In this application, distributors are to provide a status update on the implementation of the new accounting guidance, a review of historical balances, results of the review, and any adjustments made to account balances.</w:t>
      </w:r>
    </w:p>
    <w:p w:rsidR="00F45008" w:rsidRPr="008E3436" w:rsidRDefault="007634A9" w:rsidP="006823D7">
      <w:pPr>
        <w:pStyle w:val="ListParagraph"/>
        <w:numPr>
          <w:ilvl w:val="0"/>
          <w:numId w:val="31"/>
        </w:numPr>
        <w:spacing w:line="276" w:lineRule="auto"/>
        <w:rPr>
          <w:rFonts w:cs="Arial"/>
          <w:sz w:val="24"/>
          <w:szCs w:val="24"/>
        </w:rPr>
      </w:pPr>
      <w:r w:rsidRPr="00F45008">
        <w:rPr>
          <w:rFonts w:cs="Arial"/>
          <w:sz w:val="24"/>
          <w:szCs w:val="24"/>
        </w:rPr>
        <w:t xml:space="preserve">Can </w:t>
      </w:r>
      <w:proofErr w:type="spellStart"/>
      <w:r w:rsidRPr="00F45008">
        <w:rPr>
          <w:rFonts w:cs="Arial"/>
          <w:sz w:val="24"/>
          <w:szCs w:val="24"/>
        </w:rPr>
        <w:t>InnPower</w:t>
      </w:r>
      <w:proofErr w:type="spellEnd"/>
      <w:r w:rsidRPr="00F45008">
        <w:rPr>
          <w:rFonts w:cs="Arial"/>
          <w:sz w:val="24"/>
          <w:szCs w:val="24"/>
        </w:rPr>
        <w:t xml:space="preserve"> confirm that it has also implemented guidance </w:t>
      </w:r>
      <w:r w:rsidR="00F45008" w:rsidRPr="00F45008">
        <w:rPr>
          <w:rFonts w:cs="Arial"/>
          <w:sz w:val="24"/>
          <w:szCs w:val="24"/>
        </w:rPr>
        <w:t xml:space="preserve">in the </w:t>
      </w:r>
      <w:r w:rsidR="00F45008" w:rsidRPr="00ED3697">
        <w:rPr>
          <w:rFonts w:cs="Arial"/>
          <w:b/>
          <w:sz w:val="24"/>
          <w:szCs w:val="24"/>
        </w:rPr>
        <w:t>February 21, 2019</w:t>
      </w:r>
      <w:r w:rsidR="00F45008" w:rsidRPr="00F45008">
        <w:rPr>
          <w:rFonts w:cs="Arial"/>
          <w:sz w:val="24"/>
          <w:szCs w:val="24"/>
        </w:rPr>
        <w:t xml:space="preserve"> </w:t>
      </w:r>
      <w:r w:rsidR="00F45008">
        <w:rPr>
          <w:rFonts w:cs="Arial"/>
          <w:sz w:val="24"/>
          <w:szCs w:val="24"/>
        </w:rPr>
        <w:t>letter? If not,</w:t>
      </w:r>
      <w:r w:rsidR="00ED3697">
        <w:rPr>
          <w:rFonts w:cs="Arial"/>
          <w:sz w:val="24"/>
          <w:szCs w:val="24"/>
        </w:rPr>
        <w:t xml:space="preserve"> please explain why and provide </w:t>
      </w:r>
      <w:proofErr w:type="spellStart"/>
      <w:r w:rsidR="00F45008">
        <w:rPr>
          <w:rFonts w:cs="Arial"/>
          <w:sz w:val="24"/>
          <w:szCs w:val="24"/>
        </w:rPr>
        <w:t>InnPower</w:t>
      </w:r>
      <w:r w:rsidR="00ED3697">
        <w:rPr>
          <w:rFonts w:cs="Arial"/>
          <w:sz w:val="24"/>
          <w:szCs w:val="24"/>
        </w:rPr>
        <w:t>’s</w:t>
      </w:r>
      <w:proofErr w:type="spellEnd"/>
      <w:r w:rsidR="00ED3697">
        <w:rPr>
          <w:rFonts w:cs="Arial"/>
          <w:sz w:val="24"/>
          <w:szCs w:val="24"/>
        </w:rPr>
        <w:t xml:space="preserve"> </w:t>
      </w:r>
      <w:r w:rsidR="00F45008">
        <w:rPr>
          <w:rFonts w:cs="Arial"/>
          <w:sz w:val="24"/>
          <w:szCs w:val="24"/>
        </w:rPr>
        <w:t>plan for when this guidance will be implemented?</w:t>
      </w:r>
    </w:p>
    <w:sectPr w:rsidR="00F45008" w:rsidRPr="008E343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5B" w:rsidRDefault="00BD7F5B" w:rsidP="0054349A">
      <w:pPr>
        <w:spacing w:after="0" w:line="240" w:lineRule="auto"/>
      </w:pPr>
      <w:r>
        <w:separator/>
      </w:r>
    </w:p>
  </w:endnote>
  <w:endnote w:type="continuationSeparator" w:id="0">
    <w:p w:rsidR="00BD7F5B" w:rsidRDefault="00BD7F5B" w:rsidP="0054349A">
      <w:pPr>
        <w:spacing w:after="0" w:line="240" w:lineRule="auto"/>
      </w:pPr>
      <w:r>
        <w:continuationSeparator/>
      </w:r>
    </w:p>
  </w:endnote>
  <w:endnote w:type="continuationNotice" w:id="1">
    <w:p w:rsidR="00BD7F5B" w:rsidRDefault="00BD7F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5B" w:rsidRDefault="00BD7F5B" w:rsidP="0054349A">
      <w:pPr>
        <w:spacing w:after="0" w:line="240" w:lineRule="auto"/>
      </w:pPr>
      <w:r>
        <w:separator/>
      </w:r>
    </w:p>
  </w:footnote>
  <w:footnote w:type="continuationSeparator" w:id="0">
    <w:p w:rsidR="00BD7F5B" w:rsidRDefault="00BD7F5B" w:rsidP="0054349A">
      <w:pPr>
        <w:spacing w:after="0" w:line="240" w:lineRule="auto"/>
      </w:pPr>
      <w:r>
        <w:continuationSeparator/>
      </w:r>
    </w:p>
  </w:footnote>
  <w:footnote w:type="continuationNotice" w:id="1">
    <w:p w:rsidR="00BD7F5B" w:rsidRDefault="00BD7F5B">
      <w:pPr>
        <w:spacing w:after="0" w:line="240" w:lineRule="auto"/>
      </w:pPr>
    </w:p>
  </w:footnote>
  <w:footnote w:id="2">
    <w:p w:rsidR="007634A9" w:rsidRDefault="007634A9" w:rsidP="007634A9">
      <w:pPr>
        <w:pStyle w:val="FootnoteText"/>
      </w:pPr>
      <w:r>
        <w:rPr>
          <w:rStyle w:val="FootnoteReference"/>
        </w:rPr>
        <w:footnoteRef/>
      </w:r>
      <w:r>
        <w:t xml:space="preserve"> Decision and Order </w:t>
      </w:r>
      <w:r w:rsidRPr="0058179D">
        <w:rPr>
          <w:rFonts w:cs="Arial"/>
          <w:sz w:val="16"/>
          <w:szCs w:val="16"/>
        </w:rPr>
        <w:t>EB-2018-0045</w:t>
      </w:r>
      <w:r>
        <w:rPr>
          <w:rFonts w:cs="Arial"/>
          <w:sz w:val="16"/>
          <w:szCs w:val="16"/>
        </w:rPr>
        <w:t xml:space="preserve"> dated December 13, 2018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847" w:rsidRDefault="001B0847" w:rsidP="00CD50E4">
    <w:pPr>
      <w:pStyle w:val="Header"/>
      <w:jc w:val="right"/>
      <w:rPr>
        <w:rFonts w:cs="Arial"/>
        <w:sz w:val="20"/>
        <w:szCs w:val="20"/>
      </w:rPr>
    </w:pPr>
    <w:proofErr w:type="spellStart"/>
    <w:r>
      <w:rPr>
        <w:rFonts w:cs="Arial"/>
        <w:sz w:val="20"/>
        <w:szCs w:val="20"/>
      </w:rPr>
      <w:t>InnPower</w:t>
    </w:r>
    <w:proofErr w:type="spellEnd"/>
    <w:r w:rsidR="00364CD5">
      <w:rPr>
        <w:rFonts w:cs="Arial"/>
        <w:sz w:val="20"/>
        <w:szCs w:val="20"/>
      </w:rPr>
      <w:t xml:space="preserve"> Corporation</w:t>
    </w:r>
  </w:p>
  <w:p w:rsidR="001B0847" w:rsidRDefault="001B0847" w:rsidP="00CD50E4">
    <w:pPr>
      <w:pStyle w:val="Header"/>
      <w:rPr>
        <w:rFonts w:cs="Arial"/>
        <w:sz w:val="20"/>
        <w:szCs w:val="20"/>
      </w:rPr>
    </w:pP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  <w:t>EB-2019-0047</w:t>
    </w:r>
  </w:p>
  <w:p w:rsidR="001B0847" w:rsidRDefault="001B0847" w:rsidP="00CD50E4">
    <w:pPr>
      <w:pStyle w:val="Header"/>
      <w:rPr>
        <w:rFonts w:cs="Arial"/>
        <w:b/>
        <w:sz w:val="20"/>
        <w:szCs w:val="20"/>
      </w:rPr>
    </w:pP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  <w:t xml:space="preserve">Page </w:t>
    </w:r>
    <w:r>
      <w:rPr>
        <w:rFonts w:cs="Arial"/>
        <w:b/>
        <w:sz w:val="20"/>
        <w:szCs w:val="20"/>
      </w:rPr>
      <w:fldChar w:fldCharType="begin"/>
    </w:r>
    <w:r>
      <w:rPr>
        <w:rFonts w:cs="Arial"/>
        <w:b/>
        <w:sz w:val="20"/>
        <w:szCs w:val="20"/>
      </w:rPr>
      <w:instrText xml:space="preserve"> PAGE  \* Arabic  \* MERGEFORMAT </w:instrText>
    </w:r>
    <w:r>
      <w:rPr>
        <w:rFonts w:cs="Arial"/>
        <w:b/>
        <w:sz w:val="20"/>
        <w:szCs w:val="20"/>
      </w:rPr>
      <w:fldChar w:fldCharType="separate"/>
    </w:r>
    <w:r w:rsidR="006823D7">
      <w:rPr>
        <w:rFonts w:cs="Arial"/>
        <w:b/>
        <w:noProof/>
        <w:sz w:val="20"/>
        <w:szCs w:val="20"/>
      </w:rPr>
      <w:t>1</w:t>
    </w:r>
    <w:r>
      <w:rPr>
        <w:rFonts w:cs="Arial"/>
        <w:b/>
        <w:sz w:val="20"/>
        <w:szCs w:val="20"/>
      </w:rPr>
      <w:fldChar w:fldCharType="end"/>
    </w:r>
    <w:r>
      <w:rPr>
        <w:rFonts w:cs="Arial"/>
        <w:sz w:val="20"/>
        <w:szCs w:val="20"/>
      </w:rPr>
      <w:t xml:space="preserve"> of </w:t>
    </w:r>
    <w:r>
      <w:rPr>
        <w:rFonts w:cs="Arial"/>
        <w:b/>
        <w:sz w:val="20"/>
        <w:szCs w:val="20"/>
      </w:rPr>
      <w:fldChar w:fldCharType="begin"/>
    </w:r>
    <w:r>
      <w:rPr>
        <w:rFonts w:cs="Arial"/>
        <w:b/>
        <w:sz w:val="20"/>
        <w:szCs w:val="20"/>
      </w:rPr>
      <w:instrText xml:space="preserve"> NUMPAGES  \* Arabic  \* MERGEFORMAT </w:instrText>
    </w:r>
    <w:r>
      <w:rPr>
        <w:rFonts w:cs="Arial"/>
        <w:b/>
        <w:sz w:val="20"/>
        <w:szCs w:val="20"/>
      </w:rPr>
      <w:fldChar w:fldCharType="separate"/>
    </w:r>
    <w:r w:rsidR="006823D7">
      <w:rPr>
        <w:rFonts w:cs="Arial"/>
        <w:b/>
        <w:noProof/>
        <w:sz w:val="20"/>
        <w:szCs w:val="20"/>
      </w:rPr>
      <w:t>7</w:t>
    </w:r>
    <w:r>
      <w:rPr>
        <w:rFonts w:cs="Arial"/>
        <w:b/>
        <w:sz w:val="20"/>
        <w:szCs w:val="20"/>
      </w:rPr>
      <w:fldChar w:fldCharType="end"/>
    </w:r>
  </w:p>
  <w:p w:rsidR="001B0847" w:rsidRDefault="001B0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B53"/>
    <w:multiLevelType w:val="hybridMultilevel"/>
    <w:tmpl w:val="B42ECDAA"/>
    <w:lvl w:ilvl="0" w:tplc="7C043B34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722AC3"/>
    <w:multiLevelType w:val="hybridMultilevel"/>
    <w:tmpl w:val="07B87AD4"/>
    <w:lvl w:ilvl="0" w:tplc="EEE2D61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21821"/>
    <w:multiLevelType w:val="hybridMultilevel"/>
    <w:tmpl w:val="9D7ADF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61A52"/>
    <w:multiLevelType w:val="hybridMultilevel"/>
    <w:tmpl w:val="FA8C67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01DB4"/>
    <w:multiLevelType w:val="hybridMultilevel"/>
    <w:tmpl w:val="FA8C67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B2059"/>
    <w:multiLevelType w:val="hybridMultilevel"/>
    <w:tmpl w:val="FA8C67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D52DD"/>
    <w:multiLevelType w:val="hybridMultilevel"/>
    <w:tmpl w:val="55843F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182BE8"/>
    <w:multiLevelType w:val="hybridMultilevel"/>
    <w:tmpl w:val="373659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C043B34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13E5C"/>
    <w:multiLevelType w:val="hybridMultilevel"/>
    <w:tmpl w:val="1F02E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F6552"/>
    <w:multiLevelType w:val="hybridMultilevel"/>
    <w:tmpl w:val="7B4A4F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C043B34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A23DE"/>
    <w:multiLevelType w:val="hybridMultilevel"/>
    <w:tmpl w:val="513A7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02A9B"/>
    <w:multiLevelType w:val="hybridMultilevel"/>
    <w:tmpl w:val="1AA0F3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211D2"/>
    <w:multiLevelType w:val="hybridMultilevel"/>
    <w:tmpl w:val="51F0CA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043B34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24DC7"/>
    <w:multiLevelType w:val="hybridMultilevel"/>
    <w:tmpl w:val="FA8C67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C4CDE"/>
    <w:multiLevelType w:val="hybridMultilevel"/>
    <w:tmpl w:val="467C8F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7C043B34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7D416E"/>
    <w:multiLevelType w:val="hybridMultilevel"/>
    <w:tmpl w:val="EB4C71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66544"/>
    <w:multiLevelType w:val="hybridMultilevel"/>
    <w:tmpl w:val="8C2C0B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92607"/>
    <w:multiLevelType w:val="hybridMultilevel"/>
    <w:tmpl w:val="39DC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F152B"/>
    <w:multiLevelType w:val="hybridMultilevel"/>
    <w:tmpl w:val="BBA065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F776D"/>
    <w:multiLevelType w:val="hybridMultilevel"/>
    <w:tmpl w:val="51F0CA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043B34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164FB"/>
    <w:multiLevelType w:val="hybridMultilevel"/>
    <w:tmpl w:val="4C48EA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C4D67"/>
    <w:multiLevelType w:val="hybridMultilevel"/>
    <w:tmpl w:val="6DA012EC"/>
    <w:lvl w:ilvl="0" w:tplc="7C043B34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E4EA2"/>
    <w:multiLevelType w:val="hybridMultilevel"/>
    <w:tmpl w:val="4C48EA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F3CD1"/>
    <w:multiLevelType w:val="hybridMultilevel"/>
    <w:tmpl w:val="BA7008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77BDC"/>
    <w:multiLevelType w:val="hybridMultilevel"/>
    <w:tmpl w:val="687005A4"/>
    <w:lvl w:ilvl="0" w:tplc="DFC2C3E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C01EC"/>
    <w:multiLevelType w:val="hybridMultilevel"/>
    <w:tmpl w:val="F31E8A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C043B34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B06FB"/>
    <w:multiLevelType w:val="hybridMultilevel"/>
    <w:tmpl w:val="25D813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C043B34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91564"/>
    <w:multiLevelType w:val="hybridMultilevel"/>
    <w:tmpl w:val="7B4A4F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C043B34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F01"/>
    <w:multiLevelType w:val="hybridMultilevel"/>
    <w:tmpl w:val="E8AE1E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719DC"/>
    <w:multiLevelType w:val="hybridMultilevel"/>
    <w:tmpl w:val="8E142A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9E17D8"/>
    <w:multiLevelType w:val="hybridMultilevel"/>
    <w:tmpl w:val="2C0C3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5383A"/>
    <w:multiLevelType w:val="hybridMultilevel"/>
    <w:tmpl w:val="A4FA7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25"/>
  </w:num>
  <w:num w:numId="4">
    <w:abstractNumId w:val="9"/>
  </w:num>
  <w:num w:numId="5">
    <w:abstractNumId w:val="6"/>
  </w:num>
  <w:num w:numId="6">
    <w:abstractNumId w:val="0"/>
  </w:num>
  <w:num w:numId="7">
    <w:abstractNumId w:val="27"/>
  </w:num>
  <w:num w:numId="8">
    <w:abstractNumId w:val="31"/>
  </w:num>
  <w:num w:numId="9">
    <w:abstractNumId w:val="18"/>
  </w:num>
  <w:num w:numId="10">
    <w:abstractNumId w:val="26"/>
  </w:num>
  <w:num w:numId="11">
    <w:abstractNumId w:val="23"/>
  </w:num>
  <w:num w:numId="12">
    <w:abstractNumId w:val="14"/>
  </w:num>
  <w:num w:numId="13">
    <w:abstractNumId w:val="21"/>
  </w:num>
  <w:num w:numId="14">
    <w:abstractNumId w:val="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30"/>
  </w:num>
  <w:num w:numId="18">
    <w:abstractNumId w:val="11"/>
  </w:num>
  <w:num w:numId="19">
    <w:abstractNumId w:val="29"/>
  </w:num>
  <w:num w:numId="20">
    <w:abstractNumId w:val="20"/>
  </w:num>
  <w:num w:numId="21">
    <w:abstractNumId w:val="22"/>
  </w:num>
  <w:num w:numId="22">
    <w:abstractNumId w:val="8"/>
  </w:num>
  <w:num w:numId="23">
    <w:abstractNumId w:val="24"/>
  </w:num>
  <w:num w:numId="24">
    <w:abstractNumId w:val="10"/>
  </w:num>
  <w:num w:numId="25">
    <w:abstractNumId w:val="16"/>
  </w:num>
  <w:num w:numId="26">
    <w:abstractNumId w:val="17"/>
  </w:num>
  <w:num w:numId="27">
    <w:abstractNumId w:val="3"/>
  </w:num>
  <w:num w:numId="28">
    <w:abstractNumId w:val="4"/>
  </w:num>
  <w:num w:numId="29">
    <w:abstractNumId w:val="13"/>
  </w:num>
  <w:num w:numId="30">
    <w:abstractNumId w:val="1"/>
  </w:num>
  <w:num w:numId="31">
    <w:abstractNumId w:val="15"/>
  </w:num>
  <w:num w:numId="32">
    <w:abstractNumId w:val="2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7B"/>
    <w:rsid w:val="000023B7"/>
    <w:rsid w:val="00005A80"/>
    <w:rsid w:val="00021C4C"/>
    <w:rsid w:val="00075A9E"/>
    <w:rsid w:val="00080923"/>
    <w:rsid w:val="00083518"/>
    <w:rsid w:val="000C63FD"/>
    <w:rsid w:val="001037ED"/>
    <w:rsid w:val="0012274A"/>
    <w:rsid w:val="00131C1B"/>
    <w:rsid w:val="00197543"/>
    <w:rsid w:val="001B0847"/>
    <w:rsid w:val="002073FD"/>
    <w:rsid w:val="00213FC5"/>
    <w:rsid w:val="002169D4"/>
    <w:rsid w:val="00236A16"/>
    <w:rsid w:val="00260708"/>
    <w:rsid w:val="0026699B"/>
    <w:rsid w:val="002873FF"/>
    <w:rsid w:val="00287EB3"/>
    <w:rsid w:val="002A5D91"/>
    <w:rsid w:val="002D7378"/>
    <w:rsid w:val="002E1F29"/>
    <w:rsid w:val="002F3E17"/>
    <w:rsid w:val="0031616A"/>
    <w:rsid w:val="00342719"/>
    <w:rsid w:val="003643A4"/>
    <w:rsid w:val="00364CD5"/>
    <w:rsid w:val="003666F5"/>
    <w:rsid w:val="0038251F"/>
    <w:rsid w:val="003A2E14"/>
    <w:rsid w:val="003B0585"/>
    <w:rsid w:val="003C39B0"/>
    <w:rsid w:val="003F6349"/>
    <w:rsid w:val="00421294"/>
    <w:rsid w:val="00427646"/>
    <w:rsid w:val="004E6DBB"/>
    <w:rsid w:val="00507C87"/>
    <w:rsid w:val="005363E9"/>
    <w:rsid w:val="0054349A"/>
    <w:rsid w:val="00580FAD"/>
    <w:rsid w:val="005A7E12"/>
    <w:rsid w:val="005B207C"/>
    <w:rsid w:val="005E39D9"/>
    <w:rsid w:val="005F47F1"/>
    <w:rsid w:val="0061062C"/>
    <w:rsid w:val="00625A7B"/>
    <w:rsid w:val="00662EEF"/>
    <w:rsid w:val="00673900"/>
    <w:rsid w:val="00681F32"/>
    <w:rsid w:val="006823D7"/>
    <w:rsid w:val="006A2AA3"/>
    <w:rsid w:val="006F7BE8"/>
    <w:rsid w:val="0076230F"/>
    <w:rsid w:val="007634A9"/>
    <w:rsid w:val="00775BF8"/>
    <w:rsid w:val="007874F8"/>
    <w:rsid w:val="008821BB"/>
    <w:rsid w:val="00897B99"/>
    <w:rsid w:val="008A3AB2"/>
    <w:rsid w:val="008E3436"/>
    <w:rsid w:val="00912B21"/>
    <w:rsid w:val="00916BDB"/>
    <w:rsid w:val="009213D8"/>
    <w:rsid w:val="00927611"/>
    <w:rsid w:val="00982F15"/>
    <w:rsid w:val="00996ABF"/>
    <w:rsid w:val="009F4F54"/>
    <w:rsid w:val="009F5739"/>
    <w:rsid w:val="00A071E7"/>
    <w:rsid w:val="00A51CBE"/>
    <w:rsid w:val="00A53F6A"/>
    <w:rsid w:val="00A72AE5"/>
    <w:rsid w:val="00A846A2"/>
    <w:rsid w:val="00AC5D74"/>
    <w:rsid w:val="00AC68BE"/>
    <w:rsid w:val="00AF1397"/>
    <w:rsid w:val="00B13A6D"/>
    <w:rsid w:val="00B97EF9"/>
    <w:rsid w:val="00BA1E73"/>
    <w:rsid w:val="00BA2686"/>
    <w:rsid w:val="00BB5625"/>
    <w:rsid w:val="00BD7521"/>
    <w:rsid w:val="00BD7F5B"/>
    <w:rsid w:val="00C170B4"/>
    <w:rsid w:val="00C260C9"/>
    <w:rsid w:val="00C33B27"/>
    <w:rsid w:val="00C603E1"/>
    <w:rsid w:val="00C8427F"/>
    <w:rsid w:val="00CD50E4"/>
    <w:rsid w:val="00D01B03"/>
    <w:rsid w:val="00D30EF9"/>
    <w:rsid w:val="00D41668"/>
    <w:rsid w:val="00D4584A"/>
    <w:rsid w:val="00D624C2"/>
    <w:rsid w:val="00D7136D"/>
    <w:rsid w:val="00D7382A"/>
    <w:rsid w:val="00DA060C"/>
    <w:rsid w:val="00DC32A5"/>
    <w:rsid w:val="00DC3683"/>
    <w:rsid w:val="00DE73C5"/>
    <w:rsid w:val="00E022FB"/>
    <w:rsid w:val="00E538CF"/>
    <w:rsid w:val="00E970FB"/>
    <w:rsid w:val="00EB198F"/>
    <w:rsid w:val="00EB6D57"/>
    <w:rsid w:val="00ED3697"/>
    <w:rsid w:val="00EE24DC"/>
    <w:rsid w:val="00F31213"/>
    <w:rsid w:val="00F45008"/>
    <w:rsid w:val="00F70A32"/>
    <w:rsid w:val="00F8212E"/>
    <w:rsid w:val="00FA5422"/>
    <w:rsid w:val="00FC4470"/>
    <w:rsid w:val="00FE4621"/>
    <w:rsid w:val="00FF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0E01D"/>
  <w15:chartTrackingRefBased/>
  <w15:docId w15:val="{62F74F10-2DAF-4FD0-B580-B74B4455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B11"/>
    <w:pPr>
      <w:ind w:left="720"/>
      <w:contextualSpacing/>
    </w:pPr>
  </w:style>
  <w:style w:type="paragraph" w:customStyle="1" w:styleId="Default">
    <w:name w:val="Default"/>
    <w:rsid w:val="00FF2B11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A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434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34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349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97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E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EF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EF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68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5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0E4"/>
  </w:style>
  <w:style w:type="paragraph" w:styleId="Footer">
    <w:name w:val="footer"/>
    <w:basedOn w:val="Normal"/>
    <w:link w:val="FooterChar"/>
    <w:uiPriority w:val="99"/>
    <w:unhideWhenUsed/>
    <w:rsid w:val="00CD5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9A6FF-FDF7-4767-A8DE-28721C9B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Energy Board</Company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Kwan</dc:creator>
  <cp:keywords/>
  <dc:description/>
  <cp:lastModifiedBy>Andrew Frank</cp:lastModifiedBy>
  <cp:revision>3</cp:revision>
  <cp:lastPrinted>2019-10-09T14:17:00Z</cp:lastPrinted>
  <dcterms:created xsi:type="dcterms:W3CDTF">2019-10-10T14:44:00Z</dcterms:created>
  <dcterms:modified xsi:type="dcterms:W3CDTF">2019-10-10T14:52:00Z</dcterms:modified>
</cp:coreProperties>
</file>