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A6D" w:rsidRDefault="00775BF8" w:rsidP="006823D7">
      <w:pPr>
        <w:spacing w:line="276" w:lineRule="auto"/>
        <w:jc w:val="center"/>
        <w:rPr>
          <w:rFonts w:cs="Arial"/>
          <w:b/>
          <w:sz w:val="28"/>
          <w:szCs w:val="28"/>
        </w:rPr>
      </w:pPr>
      <w:r>
        <w:rPr>
          <w:rFonts w:cs="Arial"/>
          <w:b/>
          <w:sz w:val="28"/>
          <w:szCs w:val="28"/>
        </w:rPr>
        <w:t>InnPower</w:t>
      </w:r>
      <w:r w:rsidR="00F31213">
        <w:rPr>
          <w:rFonts w:cs="Arial"/>
          <w:b/>
          <w:sz w:val="28"/>
          <w:szCs w:val="28"/>
        </w:rPr>
        <w:t xml:space="preserve"> Corporation</w:t>
      </w:r>
      <w:r w:rsidR="00B13A6D">
        <w:rPr>
          <w:rFonts w:cs="Arial"/>
          <w:b/>
          <w:sz w:val="28"/>
          <w:szCs w:val="28"/>
        </w:rPr>
        <w:t xml:space="preserve"> (</w:t>
      </w:r>
      <w:r>
        <w:rPr>
          <w:rFonts w:cs="Arial"/>
          <w:b/>
          <w:sz w:val="28"/>
          <w:szCs w:val="28"/>
        </w:rPr>
        <w:t>InnPower</w:t>
      </w:r>
      <w:r w:rsidR="00B13A6D">
        <w:rPr>
          <w:rFonts w:cs="Arial"/>
          <w:b/>
          <w:sz w:val="28"/>
          <w:szCs w:val="28"/>
        </w:rPr>
        <w:t>)</w:t>
      </w:r>
    </w:p>
    <w:p w:rsidR="00B13A6D" w:rsidRDefault="00B13A6D" w:rsidP="006823D7">
      <w:pPr>
        <w:spacing w:line="276" w:lineRule="auto"/>
        <w:jc w:val="center"/>
        <w:rPr>
          <w:rFonts w:cs="Arial"/>
          <w:b/>
          <w:sz w:val="24"/>
          <w:szCs w:val="24"/>
        </w:rPr>
      </w:pPr>
      <w:r>
        <w:rPr>
          <w:rFonts w:cs="Arial"/>
          <w:b/>
          <w:sz w:val="24"/>
          <w:szCs w:val="24"/>
        </w:rPr>
        <w:t>2020 IRM Application</w:t>
      </w:r>
    </w:p>
    <w:p w:rsidR="00B13A6D" w:rsidRDefault="00775BF8" w:rsidP="006823D7">
      <w:pPr>
        <w:spacing w:line="276" w:lineRule="auto"/>
        <w:jc w:val="center"/>
        <w:rPr>
          <w:rFonts w:cs="Arial"/>
          <w:b/>
          <w:sz w:val="24"/>
          <w:szCs w:val="24"/>
        </w:rPr>
      </w:pPr>
      <w:r>
        <w:rPr>
          <w:rFonts w:cs="Arial"/>
          <w:b/>
          <w:sz w:val="24"/>
          <w:szCs w:val="24"/>
        </w:rPr>
        <w:t>EB-2019-0047</w:t>
      </w:r>
    </w:p>
    <w:p w:rsidR="00B13A6D" w:rsidRDefault="00B13A6D" w:rsidP="006823D7">
      <w:pPr>
        <w:spacing w:line="276" w:lineRule="auto"/>
        <w:jc w:val="center"/>
        <w:rPr>
          <w:rFonts w:cs="Arial"/>
          <w:b/>
          <w:sz w:val="24"/>
          <w:szCs w:val="24"/>
        </w:rPr>
      </w:pPr>
      <w:r>
        <w:rPr>
          <w:rFonts w:cs="Arial"/>
          <w:b/>
          <w:sz w:val="24"/>
          <w:szCs w:val="24"/>
        </w:rPr>
        <w:t>Application Analysis</w:t>
      </w:r>
    </w:p>
    <w:p w:rsidR="00B13A6D" w:rsidRDefault="00F31213" w:rsidP="006823D7">
      <w:pPr>
        <w:spacing w:line="276" w:lineRule="auto"/>
        <w:jc w:val="center"/>
        <w:rPr>
          <w:rFonts w:cs="Arial"/>
          <w:b/>
          <w:sz w:val="24"/>
          <w:szCs w:val="24"/>
        </w:rPr>
      </w:pPr>
      <w:r>
        <w:rPr>
          <w:rFonts w:cs="Arial"/>
          <w:b/>
          <w:sz w:val="24"/>
          <w:szCs w:val="24"/>
        </w:rPr>
        <w:t xml:space="preserve">October </w:t>
      </w:r>
      <w:r w:rsidR="006823D7">
        <w:rPr>
          <w:rFonts w:cs="Arial"/>
          <w:b/>
          <w:sz w:val="24"/>
          <w:szCs w:val="24"/>
        </w:rPr>
        <w:t>10</w:t>
      </w:r>
      <w:r w:rsidR="00B13A6D">
        <w:rPr>
          <w:rFonts w:cs="Arial"/>
          <w:b/>
          <w:sz w:val="24"/>
          <w:szCs w:val="24"/>
        </w:rPr>
        <w:t>, 2019</w:t>
      </w:r>
    </w:p>
    <w:p w:rsidR="00B13A6D" w:rsidRDefault="00B13A6D" w:rsidP="006823D7">
      <w:pPr>
        <w:spacing w:line="276" w:lineRule="auto"/>
        <w:rPr>
          <w:rFonts w:cs="Arial"/>
          <w:b/>
          <w:sz w:val="24"/>
          <w:szCs w:val="24"/>
          <w:u w:val="single"/>
        </w:rPr>
      </w:pPr>
    </w:p>
    <w:p w:rsidR="00F45008" w:rsidRDefault="00F45008" w:rsidP="006823D7">
      <w:pPr>
        <w:spacing w:line="276" w:lineRule="auto"/>
        <w:rPr>
          <w:rFonts w:cs="Arial"/>
          <w:b/>
          <w:sz w:val="24"/>
          <w:szCs w:val="24"/>
          <w:u w:val="single"/>
        </w:rPr>
      </w:pPr>
    </w:p>
    <w:p w:rsidR="00D30EF9" w:rsidRPr="00B13A6D" w:rsidRDefault="00D30EF9" w:rsidP="006823D7">
      <w:pPr>
        <w:spacing w:line="276" w:lineRule="auto"/>
        <w:rPr>
          <w:rFonts w:cs="Arial"/>
          <w:b/>
          <w:sz w:val="24"/>
          <w:szCs w:val="24"/>
        </w:rPr>
      </w:pPr>
      <w:r w:rsidRPr="002B1050">
        <w:rPr>
          <w:rFonts w:cs="Arial"/>
          <w:b/>
          <w:sz w:val="24"/>
          <w:szCs w:val="24"/>
          <w:highlight w:val="green"/>
        </w:rPr>
        <w:t>Staff Question #1</w:t>
      </w:r>
    </w:p>
    <w:p w:rsidR="00D30EF9" w:rsidRDefault="00D30EF9" w:rsidP="006823D7">
      <w:pPr>
        <w:spacing w:line="276" w:lineRule="auto"/>
        <w:rPr>
          <w:rFonts w:cs="Arial"/>
          <w:b/>
          <w:sz w:val="24"/>
          <w:szCs w:val="24"/>
        </w:rPr>
      </w:pPr>
      <w:r>
        <w:rPr>
          <w:rFonts w:cs="Arial"/>
          <w:b/>
          <w:sz w:val="24"/>
          <w:szCs w:val="24"/>
        </w:rPr>
        <w:t>Ref:</w:t>
      </w:r>
      <w:r>
        <w:rPr>
          <w:rFonts w:cs="Arial"/>
          <w:b/>
          <w:sz w:val="24"/>
          <w:szCs w:val="24"/>
        </w:rPr>
        <w:tab/>
        <w:t>IRM Rate Generator, Tab 3. Continuity Schedule</w:t>
      </w:r>
    </w:p>
    <w:p w:rsidR="00D30EF9" w:rsidRDefault="00D30EF9" w:rsidP="006823D7">
      <w:pPr>
        <w:spacing w:line="276" w:lineRule="auto"/>
        <w:rPr>
          <w:rFonts w:cs="Arial"/>
          <w:sz w:val="24"/>
          <w:szCs w:val="24"/>
        </w:rPr>
      </w:pPr>
      <w:r>
        <w:rPr>
          <w:rFonts w:cs="Arial"/>
          <w:sz w:val="24"/>
          <w:szCs w:val="24"/>
        </w:rPr>
        <w:t>In 2016, Account 1550, RSVA LV Variance Account captured transactions debit transactions of $583,100. In 2017, further debit transactions amounted to $445,237. In 2018, debit transactions were $265,570. These transactions account for the total 2018 closing balance of $1,293,907.</w:t>
      </w:r>
    </w:p>
    <w:p w:rsidR="00C8330C" w:rsidRPr="00C8330C" w:rsidRDefault="00D30EF9" w:rsidP="00C8330C">
      <w:pPr>
        <w:pStyle w:val="ListParagraph"/>
        <w:numPr>
          <w:ilvl w:val="0"/>
          <w:numId w:val="38"/>
        </w:numPr>
        <w:rPr>
          <w:rFonts w:cs="Arial"/>
          <w:sz w:val="24"/>
          <w:szCs w:val="24"/>
        </w:rPr>
      </w:pPr>
      <w:r w:rsidRPr="00C8330C">
        <w:rPr>
          <w:rFonts w:cs="Arial"/>
          <w:sz w:val="24"/>
          <w:szCs w:val="24"/>
        </w:rPr>
        <w:t>Please provide a table for the years 2016, 2017, and 2018 which outlines, by rate class, all Revenues and Expenses related to LV charges.</w:t>
      </w:r>
      <w:r w:rsidR="00835F29" w:rsidRPr="00C8330C">
        <w:rPr>
          <w:rFonts w:cs="Arial"/>
          <w:sz w:val="24"/>
          <w:szCs w:val="24"/>
        </w:rPr>
        <w:br/>
      </w:r>
      <w:r w:rsidR="00835F29" w:rsidRPr="00C8330C">
        <w:rPr>
          <w:rFonts w:cs="Arial"/>
          <w:sz w:val="24"/>
          <w:szCs w:val="24"/>
        </w:rPr>
        <w:br/>
      </w:r>
      <w:r w:rsidR="00835F29" w:rsidRPr="00C8330C">
        <w:rPr>
          <w:rFonts w:cs="Arial"/>
          <w:sz w:val="24"/>
          <w:szCs w:val="24"/>
          <w:highlight w:val="green"/>
        </w:rPr>
        <w:t>Answer:</w:t>
      </w:r>
      <w:r w:rsidR="00835F29" w:rsidRPr="00C8330C">
        <w:rPr>
          <w:rFonts w:cs="Arial"/>
          <w:sz w:val="24"/>
          <w:szCs w:val="24"/>
        </w:rPr>
        <w:t xml:space="preserve"> </w:t>
      </w:r>
      <w:r w:rsidR="00835F29" w:rsidRPr="00C8330C">
        <w:rPr>
          <w:rFonts w:cs="Arial"/>
          <w:sz w:val="24"/>
          <w:szCs w:val="24"/>
        </w:rPr>
        <w:br/>
        <w:t xml:space="preserve">See file </w:t>
      </w:r>
      <w:r w:rsidR="002B1050" w:rsidRPr="00C8330C">
        <w:rPr>
          <w:rFonts w:cs="Arial"/>
          <w:sz w:val="24"/>
          <w:szCs w:val="24"/>
        </w:rPr>
        <w:t>IRR staff question 1_2_3_EB-2019-0045_November 5_2019.xlsx</w:t>
      </w:r>
      <w:r w:rsidR="00C8330C" w:rsidRPr="00C8330C">
        <w:rPr>
          <w:rFonts w:cs="Arial"/>
          <w:sz w:val="24"/>
          <w:szCs w:val="24"/>
        </w:rPr>
        <w:br/>
      </w:r>
      <w:r w:rsidR="00C8330C">
        <w:rPr>
          <w:rFonts w:cs="Arial"/>
          <w:sz w:val="24"/>
          <w:szCs w:val="24"/>
        </w:rPr>
        <w:br/>
      </w:r>
      <w:bookmarkStart w:id="0" w:name="_GoBack"/>
      <w:bookmarkEnd w:id="0"/>
      <w:r w:rsidR="00C8330C" w:rsidRPr="00C8330C">
        <w:rPr>
          <w:rFonts w:cs="Arial"/>
          <w:sz w:val="24"/>
          <w:szCs w:val="24"/>
        </w:rPr>
        <w:t>Question 1, 2, 3 – Adjustments to Rate Generator Model</w:t>
      </w:r>
    </w:p>
    <w:p w:rsidR="00C8330C" w:rsidRPr="00C8330C" w:rsidRDefault="00C8330C" w:rsidP="00C8330C">
      <w:pPr>
        <w:pStyle w:val="ListParagraph"/>
        <w:numPr>
          <w:ilvl w:val="0"/>
          <w:numId w:val="37"/>
        </w:numPr>
        <w:spacing w:after="0" w:line="240" w:lineRule="auto"/>
        <w:contextualSpacing w:val="0"/>
        <w:rPr>
          <w:rFonts w:cs="Arial"/>
          <w:sz w:val="24"/>
          <w:szCs w:val="24"/>
        </w:rPr>
      </w:pPr>
      <w:r w:rsidRPr="00C8330C">
        <w:rPr>
          <w:rFonts w:cs="Arial"/>
          <w:sz w:val="24"/>
          <w:szCs w:val="24"/>
        </w:rPr>
        <w:t xml:space="preserve">Adjustment to 1580 CBR in 2016 principle column (Cell AL23, AL25) for $10,131.12 – Calculated as difference of $103,370.01 revenue and $93,238.89 expense.  Previously amounts for CBR were not separated out for 2016.      </w:t>
      </w:r>
    </w:p>
    <w:p w:rsidR="00C8330C" w:rsidRPr="00C8330C" w:rsidRDefault="00C8330C" w:rsidP="00C8330C">
      <w:pPr>
        <w:pStyle w:val="ListParagraph"/>
        <w:numPr>
          <w:ilvl w:val="0"/>
          <w:numId w:val="37"/>
        </w:numPr>
        <w:spacing w:after="0" w:line="240" w:lineRule="auto"/>
        <w:contextualSpacing w:val="0"/>
        <w:rPr>
          <w:rFonts w:cs="Arial"/>
          <w:sz w:val="24"/>
          <w:szCs w:val="24"/>
        </w:rPr>
      </w:pPr>
      <w:r w:rsidRPr="00C8330C">
        <w:rPr>
          <w:rFonts w:cs="Arial"/>
          <w:sz w:val="24"/>
          <w:szCs w:val="24"/>
        </w:rPr>
        <w:t>Adjustment to 1580 CBR in 2016 interest column (Cell AQ23, AQ25) for $60.66 -  Calculated as 10,131 prorated equally over 12 months x 1.10% (interest rate the same all year).  Previously amounts for CBR were not separated out for 2016.</w:t>
      </w:r>
    </w:p>
    <w:p w:rsidR="00C8330C" w:rsidRPr="00C8330C" w:rsidRDefault="00C8330C" w:rsidP="00C8330C">
      <w:pPr>
        <w:pStyle w:val="ListParagraph"/>
        <w:numPr>
          <w:ilvl w:val="0"/>
          <w:numId w:val="37"/>
        </w:numPr>
        <w:spacing w:after="0" w:line="240" w:lineRule="auto"/>
        <w:contextualSpacing w:val="0"/>
        <w:rPr>
          <w:rFonts w:cs="Arial"/>
          <w:sz w:val="24"/>
          <w:szCs w:val="24"/>
        </w:rPr>
      </w:pPr>
      <w:r w:rsidRPr="00C8330C">
        <w:rPr>
          <w:rFonts w:cs="Arial"/>
          <w:sz w:val="24"/>
          <w:szCs w:val="24"/>
        </w:rPr>
        <w:t>Adjustment to 1580 CBR in 2017 principle column (Cell AV23, AV24 and AV25).  CBR amounts were separated out mid 2017.  There was an adjustment for YTD cost, with no adjustment for revenue.  Revenue amount was included and variance was recalculated.</w:t>
      </w:r>
    </w:p>
    <w:p w:rsidR="00C8330C" w:rsidRPr="00C8330C" w:rsidRDefault="00C8330C" w:rsidP="00C8330C">
      <w:pPr>
        <w:pStyle w:val="ListParagraph"/>
        <w:numPr>
          <w:ilvl w:val="0"/>
          <w:numId w:val="37"/>
        </w:numPr>
        <w:spacing w:after="0" w:line="240" w:lineRule="auto"/>
        <w:contextualSpacing w:val="0"/>
        <w:rPr>
          <w:rFonts w:cs="Arial"/>
          <w:sz w:val="24"/>
          <w:szCs w:val="24"/>
        </w:rPr>
      </w:pPr>
      <w:r w:rsidRPr="00C8330C">
        <w:rPr>
          <w:rFonts w:cs="Arial"/>
          <w:sz w:val="24"/>
          <w:szCs w:val="24"/>
        </w:rPr>
        <w:t>Adjustment to 1580 CBR in 2017 interest column (Cell BA23, BA24 and BA25).  Amount calculated as interest for new principle amount in 2016 and 2017.</w:t>
      </w:r>
    </w:p>
    <w:p w:rsidR="00C8330C" w:rsidRPr="00C8330C" w:rsidRDefault="00C8330C" w:rsidP="00C8330C">
      <w:pPr>
        <w:pStyle w:val="ListParagraph"/>
        <w:numPr>
          <w:ilvl w:val="0"/>
          <w:numId w:val="37"/>
        </w:numPr>
        <w:spacing w:after="0" w:line="240" w:lineRule="auto"/>
        <w:contextualSpacing w:val="0"/>
        <w:rPr>
          <w:rFonts w:cs="Arial"/>
          <w:sz w:val="24"/>
          <w:szCs w:val="24"/>
        </w:rPr>
      </w:pPr>
      <w:r w:rsidRPr="00C8330C">
        <w:rPr>
          <w:rFonts w:cs="Arial"/>
          <w:sz w:val="24"/>
          <w:szCs w:val="24"/>
        </w:rPr>
        <w:t>Adjustment to 1580 CBR in 2018 principle column (Cell BF23, BF24, BF25) – Amount adjusted to reflect correct principle amount.</w:t>
      </w:r>
    </w:p>
    <w:p w:rsidR="00C8330C" w:rsidRPr="00C8330C" w:rsidRDefault="00C8330C" w:rsidP="00C8330C">
      <w:pPr>
        <w:pStyle w:val="ListParagraph"/>
        <w:numPr>
          <w:ilvl w:val="0"/>
          <w:numId w:val="37"/>
        </w:numPr>
        <w:spacing w:after="0" w:line="240" w:lineRule="auto"/>
        <w:contextualSpacing w:val="0"/>
        <w:rPr>
          <w:rFonts w:cs="Arial"/>
          <w:sz w:val="24"/>
          <w:szCs w:val="24"/>
        </w:rPr>
      </w:pPr>
      <w:r w:rsidRPr="00C8330C">
        <w:rPr>
          <w:rFonts w:cs="Arial"/>
          <w:sz w:val="24"/>
          <w:szCs w:val="24"/>
        </w:rPr>
        <w:lastRenderedPageBreak/>
        <w:t>Adjustment to 1580 CBR in 2018 interest column (Cell BK25) – Amount calculated as interest for new principle amount in 2016 and 2017.</w:t>
      </w:r>
    </w:p>
    <w:p w:rsidR="00D30EF9" w:rsidRPr="00D30EF9" w:rsidRDefault="00835F29" w:rsidP="00C8330C">
      <w:pPr>
        <w:pStyle w:val="ListParagraph"/>
        <w:spacing w:line="276" w:lineRule="auto"/>
        <w:rPr>
          <w:rFonts w:cs="Arial"/>
          <w:sz w:val="24"/>
          <w:szCs w:val="24"/>
        </w:rPr>
      </w:pPr>
      <w:r>
        <w:rPr>
          <w:rFonts w:cs="Arial"/>
          <w:sz w:val="24"/>
          <w:szCs w:val="24"/>
        </w:rPr>
        <w:br/>
      </w:r>
    </w:p>
    <w:p w:rsidR="00D30EF9" w:rsidRPr="00D30EF9" w:rsidRDefault="00D30EF9" w:rsidP="006823D7">
      <w:pPr>
        <w:pStyle w:val="ListParagraph"/>
        <w:numPr>
          <w:ilvl w:val="0"/>
          <w:numId w:val="27"/>
        </w:numPr>
        <w:spacing w:line="276" w:lineRule="auto"/>
        <w:rPr>
          <w:rFonts w:cs="Arial"/>
          <w:sz w:val="24"/>
          <w:szCs w:val="24"/>
        </w:rPr>
      </w:pPr>
      <w:r w:rsidRPr="00D30EF9">
        <w:rPr>
          <w:rFonts w:cs="Arial"/>
          <w:sz w:val="24"/>
          <w:szCs w:val="24"/>
        </w:rPr>
        <w:t>Please provide an explanation for material differences between revenues and expenses</w:t>
      </w:r>
      <w:r w:rsidR="00835F29">
        <w:rPr>
          <w:rFonts w:cs="Arial"/>
          <w:sz w:val="24"/>
          <w:szCs w:val="24"/>
        </w:rPr>
        <w:br/>
      </w:r>
      <w:r w:rsidR="00835F29">
        <w:rPr>
          <w:rFonts w:cs="Arial"/>
          <w:sz w:val="24"/>
          <w:szCs w:val="24"/>
        </w:rPr>
        <w:br/>
      </w:r>
      <w:r w:rsidR="00835F29" w:rsidRPr="002B1050">
        <w:rPr>
          <w:rFonts w:cs="Arial"/>
          <w:sz w:val="24"/>
          <w:szCs w:val="24"/>
          <w:highlight w:val="green"/>
        </w:rPr>
        <w:t>Answer:</w:t>
      </w:r>
      <w:r w:rsidR="00835F29">
        <w:rPr>
          <w:rFonts w:cs="Arial"/>
          <w:sz w:val="24"/>
          <w:szCs w:val="24"/>
        </w:rPr>
        <w:br/>
        <w:t>There are no material variances</w:t>
      </w:r>
    </w:p>
    <w:p w:rsidR="00D30EF9" w:rsidRDefault="00D30EF9" w:rsidP="006823D7">
      <w:pPr>
        <w:spacing w:line="276" w:lineRule="auto"/>
        <w:rPr>
          <w:rFonts w:cs="Arial"/>
          <w:sz w:val="24"/>
          <w:szCs w:val="24"/>
        </w:rPr>
      </w:pPr>
    </w:p>
    <w:p w:rsidR="00D30EF9" w:rsidRPr="00B13A6D" w:rsidRDefault="00D30EF9" w:rsidP="006823D7">
      <w:pPr>
        <w:spacing w:line="276" w:lineRule="auto"/>
        <w:rPr>
          <w:rFonts w:cs="Arial"/>
          <w:b/>
          <w:sz w:val="24"/>
          <w:szCs w:val="24"/>
        </w:rPr>
      </w:pPr>
      <w:r w:rsidRPr="002B1050">
        <w:rPr>
          <w:rFonts w:cs="Arial"/>
          <w:b/>
          <w:sz w:val="24"/>
          <w:szCs w:val="24"/>
          <w:highlight w:val="green"/>
        </w:rPr>
        <w:t>Staff Question #2</w:t>
      </w:r>
    </w:p>
    <w:p w:rsidR="00D30EF9" w:rsidRDefault="00D30EF9" w:rsidP="006823D7">
      <w:pPr>
        <w:spacing w:line="276" w:lineRule="auto"/>
        <w:rPr>
          <w:rFonts w:cs="Arial"/>
          <w:b/>
          <w:sz w:val="24"/>
          <w:szCs w:val="24"/>
        </w:rPr>
      </w:pPr>
      <w:r>
        <w:rPr>
          <w:rFonts w:cs="Arial"/>
          <w:b/>
          <w:sz w:val="24"/>
          <w:szCs w:val="24"/>
        </w:rPr>
        <w:t>Ref:</w:t>
      </w:r>
      <w:r>
        <w:rPr>
          <w:rFonts w:cs="Arial"/>
          <w:b/>
          <w:sz w:val="24"/>
          <w:szCs w:val="24"/>
        </w:rPr>
        <w:tab/>
        <w:t>IRM Rate Generator, Tab 3. Continuity Schedule</w:t>
      </w:r>
    </w:p>
    <w:p w:rsidR="00D30EF9" w:rsidRDefault="00D30EF9" w:rsidP="006823D7">
      <w:pPr>
        <w:spacing w:line="276" w:lineRule="auto"/>
        <w:rPr>
          <w:rFonts w:cs="Arial"/>
          <w:sz w:val="24"/>
          <w:szCs w:val="24"/>
        </w:rPr>
      </w:pPr>
      <w:r>
        <w:rPr>
          <w:rFonts w:cs="Arial"/>
          <w:sz w:val="24"/>
          <w:szCs w:val="24"/>
        </w:rPr>
        <w:t>In 2016, Account 1580, RSVA Wholesale Market Service Charge captured credit transactions of $317,938. In 2017, further credit transactions amounted to $275,006. In 2018, credit transactions were $35,850.</w:t>
      </w:r>
    </w:p>
    <w:p w:rsidR="00D30EF9" w:rsidRPr="00D30EF9" w:rsidRDefault="00D30EF9" w:rsidP="006823D7">
      <w:pPr>
        <w:pStyle w:val="ListParagraph"/>
        <w:numPr>
          <w:ilvl w:val="0"/>
          <w:numId w:val="28"/>
        </w:numPr>
        <w:spacing w:line="276" w:lineRule="auto"/>
        <w:rPr>
          <w:rFonts w:cs="Arial"/>
          <w:sz w:val="24"/>
          <w:szCs w:val="24"/>
        </w:rPr>
      </w:pPr>
      <w:r w:rsidRPr="00D30EF9">
        <w:rPr>
          <w:rFonts w:cs="Arial"/>
          <w:sz w:val="24"/>
          <w:szCs w:val="24"/>
        </w:rPr>
        <w:t xml:space="preserve">Please provide a table for the years 2016, 2017, and 2018 which outlines, </w:t>
      </w:r>
      <w:r w:rsidR="00D01B03">
        <w:rPr>
          <w:rFonts w:cs="Arial"/>
          <w:sz w:val="24"/>
          <w:szCs w:val="24"/>
        </w:rPr>
        <w:t xml:space="preserve">the retail volumes, rates and revenue </w:t>
      </w:r>
      <w:r w:rsidRPr="00D30EF9">
        <w:rPr>
          <w:rFonts w:cs="Arial"/>
          <w:sz w:val="24"/>
          <w:szCs w:val="24"/>
        </w:rPr>
        <w:t xml:space="preserve">by rate class, </w:t>
      </w:r>
      <w:r w:rsidR="00D01B03">
        <w:rPr>
          <w:rFonts w:cs="Arial"/>
          <w:sz w:val="24"/>
          <w:szCs w:val="24"/>
        </w:rPr>
        <w:t>and the wholesale volumes, rates and e</w:t>
      </w:r>
      <w:r w:rsidRPr="00D30EF9">
        <w:rPr>
          <w:rFonts w:cs="Arial"/>
          <w:sz w:val="24"/>
          <w:szCs w:val="24"/>
        </w:rPr>
        <w:t xml:space="preserve">xpenses related to </w:t>
      </w:r>
      <w:r w:rsidR="00FE4621">
        <w:rPr>
          <w:rFonts w:cs="Arial"/>
          <w:sz w:val="24"/>
          <w:szCs w:val="24"/>
        </w:rPr>
        <w:t>RSVA Wholesale Market Service Charge</w:t>
      </w:r>
      <w:r w:rsidRPr="00D30EF9">
        <w:rPr>
          <w:rFonts w:cs="Arial"/>
          <w:sz w:val="24"/>
          <w:szCs w:val="24"/>
        </w:rPr>
        <w:t>.</w:t>
      </w:r>
      <w:r w:rsidR="00835F29">
        <w:rPr>
          <w:rFonts w:cs="Arial"/>
          <w:sz w:val="24"/>
          <w:szCs w:val="24"/>
        </w:rPr>
        <w:br/>
      </w:r>
      <w:r w:rsidR="00835F29">
        <w:rPr>
          <w:rFonts w:cs="Arial"/>
          <w:sz w:val="24"/>
          <w:szCs w:val="24"/>
        </w:rPr>
        <w:br/>
      </w:r>
      <w:r w:rsidR="00835F29" w:rsidRPr="002B1050">
        <w:rPr>
          <w:rFonts w:cs="Arial"/>
          <w:sz w:val="24"/>
          <w:szCs w:val="24"/>
          <w:highlight w:val="green"/>
        </w:rPr>
        <w:t>Answer</w:t>
      </w:r>
      <w:r w:rsidR="00835F29">
        <w:rPr>
          <w:rFonts w:cs="Arial"/>
          <w:sz w:val="24"/>
          <w:szCs w:val="24"/>
        </w:rPr>
        <w:br/>
        <w:t xml:space="preserve">See file </w:t>
      </w:r>
      <w:r w:rsidR="002B1050" w:rsidRPr="002B1050">
        <w:rPr>
          <w:rFonts w:cs="Arial"/>
          <w:sz w:val="24"/>
          <w:szCs w:val="24"/>
        </w:rPr>
        <w:t>IRR staff question 1_2_3_EB-2019-0045_November 5_2019</w:t>
      </w:r>
      <w:r w:rsidR="002B1050">
        <w:rPr>
          <w:rFonts w:cs="Arial"/>
          <w:sz w:val="24"/>
          <w:szCs w:val="24"/>
        </w:rPr>
        <w:t>.xlsx</w:t>
      </w:r>
      <w:r w:rsidR="00835F29">
        <w:rPr>
          <w:rFonts w:cs="Arial"/>
          <w:sz w:val="24"/>
          <w:szCs w:val="24"/>
        </w:rPr>
        <w:br/>
      </w:r>
    </w:p>
    <w:p w:rsidR="00D30EF9" w:rsidRDefault="00D30EF9" w:rsidP="006823D7">
      <w:pPr>
        <w:pStyle w:val="ListParagraph"/>
        <w:numPr>
          <w:ilvl w:val="0"/>
          <w:numId w:val="28"/>
        </w:numPr>
        <w:spacing w:line="276" w:lineRule="auto"/>
        <w:rPr>
          <w:rFonts w:cs="Arial"/>
          <w:sz w:val="24"/>
          <w:szCs w:val="24"/>
        </w:rPr>
      </w:pPr>
      <w:r w:rsidRPr="00D30EF9">
        <w:rPr>
          <w:rFonts w:cs="Arial"/>
          <w:sz w:val="24"/>
          <w:szCs w:val="24"/>
        </w:rPr>
        <w:t>Please provide an explanation for material differences between revenues and expenses</w:t>
      </w:r>
      <w:r w:rsidR="00835F29">
        <w:rPr>
          <w:rFonts w:cs="Arial"/>
          <w:sz w:val="24"/>
          <w:szCs w:val="24"/>
        </w:rPr>
        <w:br/>
      </w:r>
      <w:r w:rsidR="00835F29">
        <w:rPr>
          <w:rFonts w:cs="Arial"/>
          <w:sz w:val="24"/>
          <w:szCs w:val="24"/>
        </w:rPr>
        <w:br/>
      </w:r>
      <w:r w:rsidR="00835F29" w:rsidRPr="002B1050">
        <w:rPr>
          <w:rFonts w:cs="Arial"/>
          <w:sz w:val="24"/>
          <w:szCs w:val="24"/>
          <w:highlight w:val="green"/>
        </w:rPr>
        <w:t>Answer:</w:t>
      </w:r>
      <w:r w:rsidR="00835F29">
        <w:rPr>
          <w:rFonts w:cs="Arial"/>
          <w:sz w:val="24"/>
          <w:szCs w:val="24"/>
        </w:rPr>
        <w:br/>
        <w:t>There are no material variances</w:t>
      </w:r>
    </w:p>
    <w:p w:rsidR="00D30EF9" w:rsidRPr="00D30EF9" w:rsidRDefault="00D30EF9" w:rsidP="006823D7">
      <w:pPr>
        <w:spacing w:line="276" w:lineRule="auto"/>
        <w:rPr>
          <w:rFonts w:cs="Arial"/>
          <w:sz w:val="24"/>
          <w:szCs w:val="24"/>
        </w:rPr>
      </w:pPr>
    </w:p>
    <w:p w:rsidR="00D30EF9" w:rsidRPr="00B13A6D" w:rsidRDefault="00D30EF9" w:rsidP="006823D7">
      <w:pPr>
        <w:keepNext/>
        <w:keepLines/>
        <w:spacing w:line="276" w:lineRule="auto"/>
        <w:rPr>
          <w:rFonts w:cs="Arial"/>
          <w:b/>
          <w:sz w:val="24"/>
          <w:szCs w:val="24"/>
        </w:rPr>
      </w:pPr>
      <w:r w:rsidRPr="002B1050">
        <w:rPr>
          <w:rFonts w:cs="Arial"/>
          <w:b/>
          <w:sz w:val="24"/>
          <w:szCs w:val="24"/>
          <w:highlight w:val="green"/>
        </w:rPr>
        <w:t>Staff Question #3</w:t>
      </w:r>
    </w:p>
    <w:p w:rsidR="00D30EF9" w:rsidRDefault="00D30EF9" w:rsidP="006823D7">
      <w:pPr>
        <w:keepNext/>
        <w:keepLines/>
        <w:spacing w:after="0" w:line="276" w:lineRule="auto"/>
        <w:rPr>
          <w:rFonts w:cs="Arial"/>
          <w:b/>
          <w:sz w:val="24"/>
          <w:szCs w:val="24"/>
        </w:rPr>
      </w:pPr>
      <w:r>
        <w:rPr>
          <w:rFonts w:cs="Arial"/>
          <w:b/>
          <w:sz w:val="24"/>
          <w:szCs w:val="24"/>
        </w:rPr>
        <w:t>Ref:</w:t>
      </w:r>
      <w:r>
        <w:rPr>
          <w:rFonts w:cs="Arial"/>
          <w:b/>
          <w:sz w:val="24"/>
          <w:szCs w:val="24"/>
        </w:rPr>
        <w:tab/>
        <w:t>IRM Rate Generator, Tab 3. Continuity Schedule</w:t>
      </w:r>
    </w:p>
    <w:p w:rsidR="000C63FD" w:rsidRDefault="000C63FD" w:rsidP="006823D7">
      <w:pPr>
        <w:keepNext/>
        <w:keepLines/>
        <w:spacing w:line="276" w:lineRule="auto"/>
        <w:ind w:firstLine="720"/>
        <w:rPr>
          <w:rFonts w:cs="Arial"/>
          <w:b/>
          <w:sz w:val="24"/>
          <w:szCs w:val="24"/>
        </w:rPr>
      </w:pPr>
      <w:r>
        <w:rPr>
          <w:rFonts w:cs="Arial"/>
          <w:b/>
          <w:sz w:val="24"/>
          <w:szCs w:val="24"/>
        </w:rPr>
        <w:t>IRM Rate Generator, Tab 12. Historic Wholesale</w:t>
      </w:r>
    </w:p>
    <w:p w:rsidR="00D30EF9" w:rsidRDefault="00D30EF9" w:rsidP="006823D7">
      <w:pPr>
        <w:spacing w:line="276" w:lineRule="auto"/>
        <w:rPr>
          <w:rFonts w:cs="Arial"/>
          <w:sz w:val="24"/>
          <w:szCs w:val="24"/>
        </w:rPr>
      </w:pPr>
      <w:r>
        <w:rPr>
          <w:rFonts w:cs="Arial"/>
          <w:sz w:val="24"/>
          <w:szCs w:val="24"/>
        </w:rPr>
        <w:t xml:space="preserve">In 2016, Account 1584, RSVA </w:t>
      </w:r>
      <w:r w:rsidR="00FE4621">
        <w:rPr>
          <w:rFonts w:cs="Arial"/>
          <w:sz w:val="24"/>
          <w:szCs w:val="24"/>
        </w:rPr>
        <w:t>Retail Transmission Network Charge</w:t>
      </w:r>
      <w:r>
        <w:rPr>
          <w:rFonts w:cs="Arial"/>
          <w:sz w:val="24"/>
          <w:szCs w:val="24"/>
        </w:rPr>
        <w:t xml:space="preserve"> captured </w:t>
      </w:r>
      <w:r w:rsidR="00FE4621">
        <w:rPr>
          <w:rFonts w:cs="Arial"/>
          <w:sz w:val="24"/>
          <w:szCs w:val="24"/>
        </w:rPr>
        <w:t xml:space="preserve">debit </w:t>
      </w:r>
      <w:r>
        <w:rPr>
          <w:rFonts w:cs="Arial"/>
          <w:sz w:val="24"/>
          <w:szCs w:val="24"/>
        </w:rPr>
        <w:t>transactions of $</w:t>
      </w:r>
      <w:r w:rsidR="00FE4621">
        <w:rPr>
          <w:rFonts w:cs="Arial"/>
          <w:sz w:val="24"/>
          <w:szCs w:val="24"/>
        </w:rPr>
        <w:t>726,323</w:t>
      </w:r>
      <w:r>
        <w:rPr>
          <w:rFonts w:cs="Arial"/>
          <w:sz w:val="24"/>
          <w:szCs w:val="24"/>
        </w:rPr>
        <w:t xml:space="preserve">. In 2017, further </w:t>
      </w:r>
      <w:r w:rsidR="00FE4621">
        <w:rPr>
          <w:rFonts w:cs="Arial"/>
          <w:sz w:val="24"/>
          <w:szCs w:val="24"/>
        </w:rPr>
        <w:t xml:space="preserve">debit </w:t>
      </w:r>
      <w:r>
        <w:rPr>
          <w:rFonts w:cs="Arial"/>
          <w:sz w:val="24"/>
          <w:szCs w:val="24"/>
        </w:rPr>
        <w:t>transactions amounted to $</w:t>
      </w:r>
      <w:r w:rsidR="00FE4621">
        <w:rPr>
          <w:rFonts w:cs="Arial"/>
          <w:sz w:val="24"/>
          <w:szCs w:val="24"/>
        </w:rPr>
        <w:t>314,868</w:t>
      </w:r>
      <w:r>
        <w:rPr>
          <w:rFonts w:cs="Arial"/>
          <w:sz w:val="24"/>
          <w:szCs w:val="24"/>
        </w:rPr>
        <w:t xml:space="preserve">. In 2018, </w:t>
      </w:r>
      <w:r w:rsidR="00FE4621">
        <w:rPr>
          <w:rFonts w:cs="Arial"/>
          <w:sz w:val="24"/>
          <w:szCs w:val="24"/>
        </w:rPr>
        <w:t xml:space="preserve">debit </w:t>
      </w:r>
      <w:r>
        <w:rPr>
          <w:rFonts w:cs="Arial"/>
          <w:sz w:val="24"/>
          <w:szCs w:val="24"/>
        </w:rPr>
        <w:t>transactions were $</w:t>
      </w:r>
      <w:r w:rsidR="00FE4621">
        <w:rPr>
          <w:rFonts w:cs="Arial"/>
          <w:sz w:val="24"/>
          <w:szCs w:val="24"/>
        </w:rPr>
        <w:t>381,546</w:t>
      </w:r>
      <w:r>
        <w:rPr>
          <w:rFonts w:cs="Arial"/>
          <w:sz w:val="24"/>
          <w:szCs w:val="24"/>
        </w:rPr>
        <w:t>.</w:t>
      </w:r>
    </w:p>
    <w:p w:rsidR="00FE4621" w:rsidRDefault="00FE4621" w:rsidP="006823D7">
      <w:pPr>
        <w:spacing w:line="276" w:lineRule="auto"/>
        <w:rPr>
          <w:rFonts w:cs="Arial"/>
          <w:sz w:val="24"/>
          <w:szCs w:val="24"/>
        </w:rPr>
      </w:pPr>
      <w:r>
        <w:rPr>
          <w:rFonts w:cs="Arial"/>
          <w:sz w:val="24"/>
          <w:szCs w:val="24"/>
        </w:rPr>
        <w:lastRenderedPageBreak/>
        <w:t>In 2016, Account 1586, RSVA Retail Transmission Connection Charge captured debit transactions of $592,663. In 2017, further debit transactions amounted to $320,942. In 2018, debit transactions were $329,317.</w:t>
      </w:r>
    </w:p>
    <w:p w:rsidR="00A846A2" w:rsidRPr="005F47F1" w:rsidRDefault="00D30EF9" w:rsidP="006823D7">
      <w:pPr>
        <w:pStyle w:val="ListParagraph"/>
        <w:numPr>
          <w:ilvl w:val="0"/>
          <w:numId w:val="29"/>
        </w:numPr>
        <w:spacing w:line="276" w:lineRule="auto"/>
        <w:rPr>
          <w:rFonts w:cs="Arial"/>
          <w:sz w:val="24"/>
          <w:szCs w:val="24"/>
        </w:rPr>
      </w:pPr>
      <w:r w:rsidRPr="005F47F1">
        <w:rPr>
          <w:rFonts w:cs="Arial"/>
          <w:sz w:val="24"/>
          <w:szCs w:val="24"/>
        </w:rPr>
        <w:t>Please provide table</w:t>
      </w:r>
      <w:r w:rsidR="005F47F1">
        <w:rPr>
          <w:rFonts w:cs="Arial"/>
          <w:sz w:val="24"/>
          <w:szCs w:val="24"/>
        </w:rPr>
        <w:t>s</w:t>
      </w:r>
      <w:r w:rsidRPr="005F47F1">
        <w:rPr>
          <w:rFonts w:cs="Arial"/>
          <w:sz w:val="24"/>
          <w:szCs w:val="24"/>
        </w:rPr>
        <w:t xml:space="preserve"> for the years 2016, 2017</w:t>
      </w:r>
      <w:r w:rsidR="008E3436" w:rsidRPr="005F47F1">
        <w:rPr>
          <w:rFonts w:cs="Arial"/>
          <w:sz w:val="24"/>
          <w:szCs w:val="24"/>
        </w:rPr>
        <w:t xml:space="preserve"> and</w:t>
      </w:r>
      <w:r w:rsidRPr="005F47F1">
        <w:rPr>
          <w:rFonts w:cs="Arial"/>
          <w:sz w:val="24"/>
          <w:szCs w:val="24"/>
        </w:rPr>
        <w:t xml:space="preserve"> 2018, by rate class,</w:t>
      </w:r>
      <w:r w:rsidR="00FC4470" w:rsidRPr="005F47F1">
        <w:rPr>
          <w:rFonts w:cs="Arial"/>
          <w:sz w:val="24"/>
          <w:szCs w:val="24"/>
        </w:rPr>
        <w:t xml:space="preserve"> </w:t>
      </w:r>
      <w:r w:rsidR="005F47F1" w:rsidRPr="005F47F1">
        <w:rPr>
          <w:rFonts w:cs="Arial"/>
          <w:sz w:val="24"/>
          <w:szCs w:val="24"/>
        </w:rPr>
        <w:t xml:space="preserve">including volumes and </w:t>
      </w:r>
      <w:r w:rsidR="00FC4470" w:rsidRPr="005F47F1">
        <w:rPr>
          <w:rFonts w:cs="Arial"/>
          <w:sz w:val="24"/>
          <w:szCs w:val="24"/>
        </w:rPr>
        <w:t>RTSR charge</w:t>
      </w:r>
      <w:r w:rsidR="005F47F1" w:rsidRPr="005F47F1">
        <w:rPr>
          <w:rFonts w:cs="Arial"/>
          <w:sz w:val="24"/>
          <w:szCs w:val="24"/>
        </w:rPr>
        <w:t>s</w:t>
      </w:r>
      <w:r w:rsidR="00FC4470" w:rsidRPr="005F47F1">
        <w:rPr>
          <w:rFonts w:cs="Arial"/>
          <w:sz w:val="24"/>
          <w:szCs w:val="24"/>
        </w:rPr>
        <w:t>,</w:t>
      </w:r>
      <w:r w:rsidRPr="005F47F1">
        <w:rPr>
          <w:rFonts w:cs="Arial"/>
          <w:sz w:val="24"/>
          <w:szCs w:val="24"/>
        </w:rPr>
        <w:t xml:space="preserve"> </w:t>
      </w:r>
      <w:r w:rsidR="005F47F1" w:rsidRPr="005F47F1">
        <w:rPr>
          <w:rFonts w:cs="Arial"/>
          <w:sz w:val="24"/>
          <w:szCs w:val="24"/>
        </w:rPr>
        <w:t xml:space="preserve">for </w:t>
      </w:r>
      <w:r w:rsidRPr="005F47F1">
        <w:rPr>
          <w:rFonts w:cs="Arial"/>
          <w:sz w:val="24"/>
          <w:szCs w:val="24"/>
        </w:rPr>
        <w:t>all Revenues</w:t>
      </w:r>
      <w:r w:rsidR="005F47F1" w:rsidRPr="005F47F1">
        <w:rPr>
          <w:rFonts w:cs="Arial"/>
          <w:sz w:val="24"/>
          <w:szCs w:val="24"/>
        </w:rPr>
        <w:t>, as well as the wholesale transmission/host distributor transmission volumes and rates for all e</w:t>
      </w:r>
      <w:r w:rsidRPr="005F47F1">
        <w:rPr>
          <w:rFonts w:cs="Arial"/>
          <w:sz w:val="24"/>
          <w:szCs w:val="24"/>
        </w:rPr>
        <w:t>xpenses</w:t>
      </w:r>
      <w:r w:rsidR="005F47F1">
        <w:rPr>
          <w:rFonts w:cs="Arial"/>
          <w:sz w:val="24"/>
          <w:szCs w:val="24"/>
        </w:rPr>
        <w:t xml:space="preserve"> reconciling back to the annual RSVA </w:t>
      </w:r>
      <w:r w:rsidR="00D01B03">
        <w:rPr>
          <w:rFonts w:cs="Arial"/>
          <w:sz w:val="24"/>
          <w:szCs w:val="24"/>
        </w:rPr>
        <w:t>variances</w:t>
      </w:r>
      <w:r w:rsidR="005F47F1" w:rsidRPr="005F47F1">
        <w:rPr>
          <w:rFonts w:cs="Arial"/>
          <w:sz w:val="24"/>
          <w:szCs w:val="24"/>
        </w:rPr>
        <w:t>.</w:t>
      </w:r>
      <w:r w:rsidR="00D01B03">
        <w:rPr>
          <w:rFonts w:cs="Arial"/>
          <w:sz w:val="24"/>
          <w:szCs w:val="24"/>
        </w:rPr>
        <w:t xml:space="preserve"> </w:t>
      </w:r>
      <w:r w:rsidRPr="005F47F1">
        <w:rPr>
          <w:rFonts w:cs="Arial"/>
          <w:sz w:val="24"/>
          <w:szCs w:val="24"/>
        </w:rPr>
        <w:t>Please provide explanation</w:t>
      </w:r>
      <w:r w:rsidR="005F47F1">
        <w:rPr>
          <w:rFonts w:cs="Arial"/>
          <w:sz w:val="24"/>
          <w:szCs w:val="24"/>
        </w:rPr>
        <w:t>s</w:t>
      </w:r>
      <w:r w:rsidRPr="005F47F1">
        <w:rPr>
          <w:rFonts w:cs="Arial"/>
          <w:sz w:val="24"/>
          <w:szCs w:val="24"/>
        </w:rPr>
        <w:t xml:space="preserve"> for material differences between revenues and expenses</w:t>
      </w:r>
      <w:r w:rsidR="00927611" w:rsidRPr="005F47F1">
        <w:rPr>
          <w:rFonts w:cs="Arial"/>
          <w:sz w:val="24"/>
          <w:szCs w:val="24"/>
        </w:rPr>
        <w:t xml:space="preserve"> </w:t>
      </w:r>
      <w:r w:rsidR="005F47F1">
        <w:rPr>
          <w:rFonts w:cs="Arial"/>
          <w:sz w:val="24"/>
          <w:szCs w:val="24"/>
        </w:rPr>
        <w:t>by year, and between years.</w:t>
      </w:r>
      <w:r w:rsidR="005B2081">
        <w:rPr>
          <w:rFonts w:cs="Arial"/>
          <w:sz w:val="24"/>
          <w:szCs w:val="24"/>
        </w:rPr>
        <w:br/>
      </w:r>
      <w:r w:rsidR="005B2081">
        <w:rPr>
          <w:rFonts w:cs="Arial"/>
          <w:sz w:val="24"/>
          <w:szCs w:val="24"/>
        </w:rPr>
        <w:br/>
      </w:r>
      <w:r w:rsidR="005B2081" w:rsidRPr="002B1050">
        <w:rPr>
          <w:rFonts w:cs="Arial"/>
          <w:sz w:val="24"/>
          <w:szCs w:val="24"/>
          <w:highlight w:val="green"/>
        </w:rPr>
        <w:t>Answer</w:t>
      </w:r>
      <w:proofErr w:type="gramStart"/>
      <w:r w:rsidR="005B2081" w:rsidRPr="002B1050">
        <w:rPr>
          <w:rFonts w:cs="Arial"/>
          <w:sz w:val="24"/>
          <w:szCs w:val="24"/>
          <w:highlight w:val="green"/>
        </w:rPr>
        <w:t>:</w:t>
      </w:r>
      <w:proofErr w:type="gramEnd"/>
      <w:r w:rsidR="005B2081">
        <w:rPr>
          <w:rFonts w:cs="Arial"/>
          <w:sz w:val="24"/>
          <w:szCs w:val="24"/>
        </w:rPr>
        <w:br/>
        <w:t xml:space="preserve">See file </w:t>
      </w:r>
      <w:r w:rsidR="002B1050" w:rsidRPr="002B1050">
        <w:rPr>
          <w:rFonts w:cs="Arial"/>
          <w:sz w:val="24"/>
          <w:szCs w:val="24"/>
        </w:rPr>
        <w:t>IRR staff question 1_2_3_EB-2019-0045_November 5_2019</w:t>
      </w:r>
      <w:r w:rsidR="002B1050">
        <w:rPr>
          <w:rFonts w:cs="Arial"/>
          <w:sz w:val="24"/>
          <w:szCs w:val="24"/>
        </w:rPr>
        <w:t>.xlsx</w:t>
      </w:r>
      <w:r w:rsidR="005B2081">
        <w:rPr>
          <w:rFonts w:cs="Arial"/>
          <w:sz w:val="24"/>
          <w:szCs w:val="24"/>
        </w:rPr>
        <w:br/>
        <w:t>There are no material variances.</w:t>
      </w:r>
    </w:p>
    <w:p w:rsidR="00A846A2" w:rsidRDefault="00A846A2" w:rsidP="006823D7">
      <w:pPr>
        <w:keepNext/>
        <w:keepLines/>
        <w:spacing w:line="276" w:lineRule="auto"/>
        <w:rPr>
          <w:rFonts w:cs="Arial"/>
          <w:b/>
          <w:sz w:val="24"/>
          <w:szCs w:val="24"/>
        </w:rPr>
      </w:pPr>
    </w:p>
    <w:p w:rsidR="00A846A2" w:rsidRPr="00B13A6D" w:rsidRDefault="00A846A2" w:rsidP="006823D7">
      <w:pPr>
        <w:keepNext/>
        <w:keepLines/>
        <w:spacing w:line="276" w:lineRule="auto"/>
        <w:rPr>
          <w:rFonts w:cs="Arial"/>
          <w:b/>
          <w:sz w:val="24"/>
          <w:szCs w:val="24"/>
        </w:rPr>
      </w:pPr>
      <w:r w:rsidRPr="002B1050">
        <w:rPr>
          <w:rFonts w:cs="Arial"/>
          <w:b/>
          <w:sz w:val="24"/>
          <w:szCs w:val="24"/>
          <w:highlight w:val="green"/>
        </w:rPr>
        <w:t xml:space="preserve">Staff Question </w:t>
      </w:r>
      <w:r w:rsidR="006823D7" w:rsidRPr="002B1050">
        <w:rPr>
          <w:rFonts w:cs="Arial"/>
          <w:b/>
          <w:sz w:val="24"/>
          <w:szCs w:val="24"/>
          <w:highlight w:val="green"/>
        </w:rPr>
        <w:t>#4</w:t>
      </w:r>
    </w:p>
    <w:p w:rsidR="00A846A2" w:rsidRDefault="00A846A2" w:rsidP="006823D7">
      <w:pPr>
        <w:keepNext/>
        <w:keepLines/>
        <w:spacing w:line="276" w:lineRule="auto"/>
        <w:rPr>
          <w:rFonts w:cs="Arial"/>
          <w:b/>
          <w:sz w:val="24"/>
          <w:szCs w:val="24"/>
        </w:rPr>
      </w:pPr>
      <w:r>
        <w:rPr>
          <w:rFonts w:cs="Arial"/>
          <w:b/>
          <w:sz w:val="24"/>
          <w:szCs w:val="24"/>
        </w:rPr>
        <w:t>Ref:</w:t>
      </w:r>
      <w:r>
        <w:rPr>
          <w:rFonts w:cs="Arial"/>
          <w:b/>
          <w:sz w:val="24"/>
          <w:szCs w:val="24"/>
        </w:rPr>
        <w:tab/>
        <w:t>IRM Rate Generator, Tab 15. RTSR Rates to Forecast</w:t>
      </w:r>
    </w:p>
    <w:p w:rsidR="00A846A2" w:rsidRDefault="00A846A2" w:rsidP="006823D7">
      <w:pPr>
        <w:spacing w:line="276" w:lineRule="auto"/>
        <w:rPr>
          <w:rFonts w:cs="Arial"/>
          <w:sz w:val="24"/>
          <w:szCs w:val="24"/>
        </w:rPr>
      </w:pPr>
      <w:r>
        <w:rPr>
          <w:rFonts w:cs="Arial"/>
          <w:sz w:val="24"/>
          <w:szCs w:val="24"/>
        </w:rPr>
        <w:t>InnPower is proposing increase</w:t>
      </w:r>
      <w:r w:rsidR="006823D7">
        <w:rPr>
          <w:rFonts w:cs="Arial"/>
          <w:sz w:val="24"/>
          <w:szCs w:val="24"/>
        </w:rPr>
        <w:t>s to</w:t>
      </w:r>
      <w:r>
        <w:rPr>
          <w:rFonts w:cs="Arial"/>
          <w:sz w:val="24"/>
          <w:szCs w:val="24"/>
        </w:rPr>
        <w:t xml:space="preserve"> its RTSR rates </w:t>
      </w:r>
      <w:r w:rsidR="005F47F1">
        <w:rPr>
          <w:rFonts w:cs="Arial"/>
          <w:sz w:val="24"/>
          <w:szCs w:val="24"/>
        </w:rPr>
        <w:t>from</w:t>
      </w:r>
      <w:r>
        <w:rPr>
          <w:rFonts w:cs="Arial"/>
          <w:sz w:val="24"/>
          <w:szCs w:val="24"/>
        </w:rPr>
        <w:t xml:space="preserve"> 7.7% to 17.5%</w:t>
      </w:r>
      <w:r w:rsidR="005F47F1">
        <w:rPr>
          <w:rFonts w:cs="Arial"/>
          <w:sz w:val="24"/>
          <w:szCs w:val="24"/>
        </w:rPr>
        <w:t xml:space="preserve"> in 2020</w:t>
      </w:r>
      <w:r>
        <w:rPr>
          <w:rFonts w:cs="Arial"/>
          <w:sz w:val="24"/>
          <w:szCs w:val="24"/>
        </w:rPr>
        <w:t>.</w:t>
      </w:r>
    </w:p>
    <w:p w:rsidR="00A846A2" w:rsidRDefault="00A846A2" w:rsidP="00D03446">
      <w:pPr>
        <w:pStyle w:val="ListParagraph"/>
        <w:numPr>
          <w:ilvl w:val="0"/>
          <w:numId w:val="33"/>
        </w:numPr>
        <w:spacing w:line="276" w:lineRule="auto"/>
        <w:rPr>
          <w:rFonts w:cs="Arial"/>
          <w:sz w:val="24"/>
          <w:szCs w:val="24"/>
        </w:rPr>
      </w:pPr>
      <w:r w:rsidRPr="00D30EF9">
        <w:rPr>
          <w:rFonts w:cs="Arial"/>
          <w:sz w:val="24"/>
          <w:szCs w:val="24"/>
        </w:rPr>
        <w:t xml:space="preserve">Please </w:t>
      </w:r>
      <w:r w:rsidR="005F47F1">
        <w:rPr>
          <w:rFonts w:cs="Arial"/>
          <w:sz w:val="24"/>
          <w:szCs w:val="24"/>
        </w:rPr>
        <w:t xml:space="preserve">reconcile the components of the increase, i.e. price and volume contributors explaining causes for each of the reasons for the increase, </w:t>
      </w:r>
      <w:r w:rsidRPr="00D30EF9">
        <w:rPr>
          <w:rFonts w:cs="Arial"/>
          <w:sz w:val="24"/>
          <w:szCs w:val="24"/>
        </w:rPr>
        <w:t>provide a table by rate class</w:t>
      </w:r>
      <w:r>
        <w:rPr>
          <w:rFonts w:cs="Arial"/>
          <w:sz w:val="24"/>
          <w:szCs w:val="24"/>
        </w:rPr>
        <w:t xml:space="preserve"> outlining the drivers of the proposed increase to both the connection and network RTSRs.</w:t>
      </w:r>
      <w:r w:rsidR="005B2081">
        <w:rPr>
          <w:rFonts w:cs="Arial"/>
          <w:sz w:val="24"/>
          <w:szCs w:val="24"/>
        </w:rPr>
        <w:br/>
      </w:r>
      <w:r w:rsidR="005B2081">
        <w:rPr>
          <w:rFonts w:cs="Arial"/>
          <w:sz w:val="24"/>
          <w:szCs w:val="24"/>
        </w:rPr>
        <w:br/>
      </w:r>
      <w:r w:rsidR="005B2081" w:rsidRPr="002B1050">
        <w:rPr>
          <w:rFonts w:cs="Arial"/>
          <w:sz w:val="24"/>
          <w:szCs w:val="24"/>
          <w:highlight w:val="green"/>
        </w:rPr>
        <w:t>Answer:</w:t>
      </w:r>
      <w:r w:rsidR="005B2081">
        <w:rPr>
          <w:rFonts w:cs="Arial"/>
          <w:sz w:val="24"/>
          <w:szCs w:val="24"/>
        </w:rPr>
        <w:br/>
        <w:t xml:space="preserve">See file </w:t>
      </w:r>
      <w:r w:rsidR="00D03446" w:rsidRPr="00D03446">
        <w:rPr>
          <w:rFonts w:cs="Arial"/>
          <w:sz w:val="24"/>
          <w:szCs w:val="24"/>
        </w:rPr>
        <w:t>IRR staff question 4_EB-2019-0045_November 5_2019</w:t>
      </w:r>
      <w:r w:rsidR="00D03446">
        <w:rPr>
          <w:rFonts w:cs="Arial"/>
          <w:sz w:val="24"/>
          <w:szCs w:val="24"/>
        </w:rPr>
        <w:t>.xlsx</w:t>
      </w:r>
      <w:r w:rsidR="005B2081">
        <w:rPr>
          <w:rFonts w:cs="Arial"/>
          <w:sz w:val="24"/>
          <w:szCs w:val="24"/>
        </w:rPr>
        <w:br/>
      </w:r>
    </w:p>
    <w:p w:rsidR="00B63034" w:rsidRPr="00B63034" w:rsidRDefault="00A846A2" w:rsidP="001D17DC">
      <w:pPr>
        <w:pStyle w:val="ListParagraph"/>
        <w:numPr>
          <w:ilvl w:val="0"/>
          <w:numId w:val="33"/>
        </w:numPr>
        <w:spacing w:line="276" w:lineRule="auto"/>
        <w:rPr>
          <w:rFonts w:cs="Arial"/>
          <w:sz w:val="24"/>
          <w:szCs w:val="24"/>
        </w:rPr>
      </w:pPr>
      <w:r w:rsidRPr="0061062C">
        <w:rPr>
          <w:rFonts w:cs="Arial"/>
          <w:sz w:val="24"/>
          <w:szCs w:val="24"/>
        </w:rPr>
        <w:t xml:space="preserve">To the extent that the increase is driven </w:t>
      </w:r>
      <w:r w:rsidR="005F47F1">
        <w:rPr>
          <w:rFonts w:cs="Arial"/>
          <w:sz w:val="24"/>
          <w:szCs w:val="24"/>
        </w:rPr>
        <w:t xml:space="preserve">by </w:t>
      </w:r>
      <w:r w:rsidRPr="0061062C">
        <w:rPr>
          <w:rFonts w:cs="Arial"/>
          <w:sz w:val="24"/>
          <w:szCs w:val="24"/>
        </w:rPr>
        <w:t xml:space="preserve">changes in wholesale and retail </w:t>
      </w:r>
      <w:r w:rsidR="00421294">
        <w:rPr>
          <w:rFonts w:cs="Arial"/>
          <w:sz w:val="24"/>
          <w:szCs w:val="24"/>
        </w:rPr>
        <w:t xml:space="preserve">billed volumes, please </w:t>
      </w:r>
      <w:r w:rsidR="005F47F1">
        <w:rPr>
          <w:rFonts w:cs="Arial"/>
          <w:sz w:val="24"/>
          <w:szCs w:val="24"/>
        </w:rPr>
        <w:t xml:space="preserve">explain </w:t>
      </w:r>
      <w:r w:rsidR="00421294">
        <w:rPr>
          <w:rFonts w:cs="Arial"/>
          <w:sz w:val="24"/>
          <w:szCs w:val="24"/>
        </w:rPr>
        <w:t xml:space="preserve">the </w:t>
      </w:r>
      <w:r w:rsidR="007874F8">
        <w:rPr>
          <w:rFonts w:cs="Arial"/>
          <w:sz w:val="24"/>
          <w:szCs w:val="24"/>
        </w:rPr>
        <w:t xml:space="preserve">underlying </w:t>
      </w:r>
      <w:r w:rsidR="005F47F1">
        <w:rPr>
          <w:rFonts w:cs="Arial"/>
          <w:sz w:val="24"/>
          <w:szCs w:val="24"/>
        </w:rPr>
        <w:t xml:space="preserve">reasons for the change in </w:t>
      </w:r>
      <w:r w:rsidR="00421294">
        <w:rPr>
          <w:rFonts w:cs="Arial"/>
          <w:sz w:val="24"/>
          <w:szCs w:val="24"/>
        </w:rPr>
        <w:t xml:space="preserve">wholesale </w:t>
      </w:r>
      <w:r w:rsidR="005F47F1">
        <w:rPr>
          <w:rFonts w:cs="Arial"/>
          <w:sz w:val="24"/>
          <w:szCs w:val="24"/>
        </w:rPr>
        <w:t xml:space="preserve">volumes, </w:t>
      </w:r>
      <w:r w:rsidR="00421294">
        <w:rPr>
          <w:rFonts w:cs="Arial"/>
          <w:sz w:val="24"/>
          <w:szCs w:val="24"/>
        </w:rPr>
        <w:t xml:space="preserve">and retail </w:t>
      </w:r>
      <w:r w:rsidR="005F47F1">
        <w:rPr>
          <w:rFonts w:cs="Arial"/>
          <w:sz w:val="24"/>
          <w:szCs w:val="24"/>
        </w:rPr>
        <w:t xml:space="preserve">volumes </w:t>
      </w:r>
      <w:r w:rsidR="00421294">
        <w:rPr>
          <w:rFonts w:cs="Arial"/>
          <w:sz w:val="24"/>
          <w:szCs w:val="24"/>
        </w:rPr>
        <w:t>billed quantities for 2017 and 2018</w:t>
      </w:r>
      <w:r w:rsidR="007874F8">
        <w:rPr>
          <w:rFonts w:cs="Arial"/>
          <w:sz w:val="24"/>
          <w:szCs w:val="24"/>
        </w:rPr>
        <w:t>.</w:t>
      </w:r>
      <w:r w:rsidR="00D01B03">
        <w:rPr>
          <w:rFonts w:cs="Arial"/>
          <w:sz w:val="24"/>
          <w:szCs w:val="24"/>
        </w:rPr>
        <w:t xml:space="preserve"> </w:t>
      </w:r>
      <w:r w:rsidR="005B2081">
        <w:rPr>
          <w:rFonts w:cs="Arial"/>
          <w:sz w:val="24"/>
          <w:szCs w:val="24"/>
        </w:rPr>
        <w:br/>
      </w:r>
      <w:r w:rsidR="005B2081">
        <w:rPr>
          <w:rFonts w:cs="Arial"/>
          <w:sz w:val="24"/>
          <w:szCs w:val="24"/>
        </w:rPr>
        <w:br/>
        <w:t>Answer</w:t>
      </w:r>
      <w:proofErr w:type="gramStart"/>
      <w:r w:rsidR="005B2081">
        <w:rPr>
          <w:rFonts w:cs="Arial"/>
          <w:sz w:val="24"/>
          <w:szCs w:val="24"/>
        </w:rPr>
        <w:t>:</w:t>
      </w:r>
      <w:proofErr w:type="gramEnd"/>
      <w:r w:rsidR="005B2081">
        <w:rPr>
          <w:rFonts w:cs="Arial"/>
          <w:sz w:val="24"/>
          <w:szCs w:val="24"/>
        </w:rPr>
        <w:br/>
        <w:t xml:space="preserve">The above noted increases in RTSR’s are driven from the cost </w:t>
      </w:r>
      <w:r w:rsidR="00502141">
        <w:rPr>
          <w:rFonts w:cs="Arial"/>
          <w:sz w:val="24"/>
          <w:szCs w:val="24"/>
        </w:rPr>
        <w:t xml:space="preserve">of </w:t>
      </w:r>
      <w:r w:rsidR="005B2081">
        <w:rPr>
          <w:rFonts w:cs="Arial"/>
          <w:sz w:val="24"/>
          <w:szCs w:val="24"/>
        </w:rPr>
        <w:t xml:space="preserve">power, i.e. charges from Hydro One. InnPower’s cost of power has been significantly increased due to a number of months where InnPower was the recipient of double peak billing from Hydro One. As you will see from the file </w:t>
      </w:r>
      <w:r w:rsidR="001D17DC" w:rsidRPr="001D17DC">
        <w:rPr>
          <w:rFonts w:cs="Arial"/>
          <w:sz w:val="24"/>
          <w:szCs w:val="24"/>
        </w:rPr>
        <w:t>IRR staff question 4_EB-2019-0045_November 5_2019</w:t>
      </w:r>
      <w:r w:rsidR="001D17DC">
        <w:rPr>
          <w:rFonts w:cs="Arial"/>
          <w:sz w:val="24"/>
          <w:szCs w:val="24"/>
        </w:rPr>
        <w:t>.xlsx</w:t>
      </w:r>
      <w:r w:rsidR="005B2081">
        <w:rPr>
          <w:rFonts w:cs="Arial"/>
          <w:sz w:val="24"/>
          <w:szCs w:val="24"/>
        </w:rPr>
        <w:t xml:space="preserve">, on average InnPower’s </w:t>
      </w:r>
      <w:r w:rsidR="001D17DC">
        <w:rPr>
          <w:rFonts w:cs="Arial"/>
          <w:sz w:val="24"/>
          <w:szCs w:val="24"/>
        </w:rPr>
        <w:t xml:space="preserve">billed MW from Hydro One invoices are normally less than or slightly above 50MW, as is denoted by the numbers in black in column J of the above noted file. </w:t>
      </w:r>
      <w:r w:rsidR="005B2081">
        <w:rPr>
          <w:rFonts w:cs="Arial"/>
          <w:sz w:val="24"/>
          <w:szCs w:val="24"/>
        </w:rPr>
        <w:t xml:space="preserve">However </w:t>
      </w:r>
      <w:r w:rsidR="005B2081">
        <w:rPr>
          <w:rFonts w:cs="Arial"/>
          <w:sz w:val="24"/>
          <w:szCs w:val="24"/>
        </w:rPr>
        <w:lastRenderedPageBreak/>
        <w:t xml:space="preserve">you will also see that there were </w:t>
      </w:r>
      <w:r w:rsidR="001D17DC">
        <w:rPr>
          <w:rFonts w:cs="Arial"/>
          <w:sz w:val="24"/>
          <w:szCs w:val="24"/>
        </w:rPr>
        <w:t>13 months over the past 3 years</w:t>
      </w:r>
      <w:r w:rsidR="005B2081">
        <w:rPr>
          <w:rFonts w:cs="Arial"/>
          <w:sz w:val="24"/>
          <w:szCs w:val="24"/>
        </w:rPr>
        <w:t xml:space="preserve"> where InnPower’s Hydro</w:t>
      </w:r>
      <w:r w:rsidR="001D17DC">
        <w:rPr>
          <w:rFonts w:cs="Arial"/>
          <w:sz w:val="24"/>
          <w:szCs w:val="24"/>
        </w:rPr>
        <w:t xml:space="preserve"> One invoices were abnormally high due to Hydro One’s double peak bi</w:t>
      </w:r>
      <w:r w:rsidR="002B1050">
        <w:rPr>
          <w:rFonts w:cs="Arial"/>
          <w:sz w:val="24"/>
          <w:szCs w:val="24"/>
        </w:rPr>
        <w:t>lling</w:t>
      </w:r>
      <w:r w:rsidR="005B2081">
        <w:rPr>
          <w:rFonts w:cs="Arial"/>
          <w:sz w:val="24"/>
          <w:szCs w:val="24"/>
        </w:rPr>
        <w:t>.</w:t>
      </w:r>
      <w:r w:rsidR="002B1050">
        <w:rPr>
          <w:rFonts w:cs="Arial"/>
          <w:sz w:val="24"/>
          <w:szCs w:val="24"/>
        </w:rPr>
        <w:t xml:space="preserve"> The values in red in column J of the above noted file show abnormal billings from Hydro One.</w:t>
      </w:r>
      <w:r w:rsidR="00B63034">
        <w:rPr>
          <w:rFonts w:cs="Arial"/>
          <w:sz w:val="24"/>
          <w:szCs w:val="24"/>
        </w:rPr>
        <w:t xml:space="preserve"> As InnPower’s current RTSR’s were reflected to capture the “normal” Hydro One charges, this has </w:t>
      </w:r>
      <w:proofErr w:type="spellStart"/>
      <w:r w:rsidR="00B63034">
        <w:rPr>
          <w:rFonts w:cs="Arial"/>
          <w:sz w:val="24"/>
          <w:szCs w:val="24"/>
        </w:rPr>
        <w:t>lead</w:t>
      </w:r>
      <w:proofErr w:type="spellEnd"/>
      <w:r w:rsidR="00B63034">
        <w:rPr>
          <w:rFonts w:cs="Arial"/>
          <w:sz w:val="24"/>
          <w:szCs w:val="24"/>
        </w:rPr>
        <w:t xml:space="preserve"> to InnPower’s RTSR</w:t>
      </w:r>
      <w:r w:rsidR="00502141">
        <w:rPr>
          <w:rFonts w:cs="Arial"/>
          <w:sz w:val="24"/>
          <w:szCs w:val="24"/>
        </w:rPr>
        <w:t xml:space="preserve"> rates</w:t>
      </w:r>
      <w:r w:rsidR="00B63034">
        <w:rPr>
          <w:rFonts w:cs="Arial"/>
          <w:sz w:val="24"/>
          <w:szCs w:val="24"/>
        </w:rPr>
        <w:t xml:space="preserve"> being insufficient to</w:t>
      </w:r>
      <w:r w:rsidR="00502141">
        <w:rPr>
          <w:rFonts w:cs="Arial"/>
          <w:sz w:val="24"/>
          <w:szCs w:val="24"/>
        </w:rPr>
        <w:t xml:space="preserve"> capture the true cost of power, which in turn has </w:t>
      </w:r>
      <w:proofErr w:type="spellStart"/>
      <w:r w:rsidR="00502141">
        <w:rPr>
          <w:rFonts w:cs="Arial"/>
          <w:sz w:val="24"/>
          <w:szCs w:val="24"/>
        </w:rPr>
        <w:t>lead</w:t>
      </w:r>
      <w:proofErr w:type="spellEnd"/>
      <w:r w:rsidR="00502141">
        <w:rPr>
          <w:rFonts w:cs="Arial"/>
          <w:sz w:val="24"/>
          <w:szCs w:val="24"/>
        </w:rPr>
        <w:t xml:space="preserve"> to the above noted increases.</w:t>
      </w:r>
    </w:p>
    <w:p w:rsidR="00D30EF9" w:rsidRDefault="00D30EF9" w:rsidP="006823D7">
      <w:pPr>
        <w:spacing w:line="276" w:lineRule="auto"/>
        <w:rPr>
          <w:rFonts w:cs="Arial"/>
          <w:sz w:val="24"/>
          <w:szCs w:val="24"/>
        </w:rPr>
      </w:pPr>
    </w:p>
    <w:p w:rsidR="007634A9" w:rsidRPr="007C7CF6" w:rsidRDefault="006823D7" w:rsidP="006823D7">
      <w:pPr>
        <w:spacing w:line="276" w:lineRule="auto"/>
        <w:rPr>
          <w:rFonts w:cs="Arial"/>
          <w:b/>
          <w:sz w:val="24"/>
          <w:szCs w:val="24"/>
        </w:rPr>
      </w:pPr>
      <w:r w:rsidRPr="00936EBF">
        <w:rPr>
          <w:rFonts w:cs="Arial"/>
          <w:b/>
          <w:sz w:val="24"/>
          <w:szCs w:val="24"/>
          <w:highlight w:val="green"/>
        </w:rPr>
        <w:t>Staff Question #5</w:t>
      </w:r>
    </w:p>
    <w:p w:rsidR="007634A9" w:rsidRPr="00930D69" w:rsidRDefault="007634A9" w:rsidP="006823D7">
      <w:pPr>
        <w:spacing w:line="276" w:lineRule="auto"/>
        <w:rPr>
          <w:rFonts w:cs="Arial"/>
          <w:sz w:val="24"/>
          <w:szCs w:val="24"/>
        </w:rPr>
      </w:pPr>
      <w:r>
        <w:rPr>
          <w:rFonts w:cs="Arial"/>
          <w:b/>
          <w:sz w:val="24"/>
          <w:szCs w:val="24"/>
        </w:rPr>
        <w:t>Ref: Rate Generator Model, Tab 3 - DVA Continuity Schedule</w:t>
      </w:r>
    </w:p>
    <w:p w:rsidR="00D03446" w:rsidRPr="00D03446" w:rsidRDefault="007634A9" w:rsidP="00D03446">
      <w:pPr>
        <w:pStyle w:val="ListParagraph"/>
        <w:numPr>
          <w:ilvl w:val="0"/>
          <w:numId w:val="37"/>
        </w:numPr>
        <w:spacing w:after="0" w:line="240" w:lineRule="auto"/>
        <w:contextualSpacing w:val="0"/>
        <w:rPr>
          <w:rFonts w:cs="Arial"/>
          <w:sz w:val="24"/>
          <w:szCs w:val="24"/>
        </w:rPr>
      </w:pPr>
      <w:r w:rsidRPr="00F45008">
        <w:rPr>
          <w:rFonts w:cs="Arial"/>
          <w:sz w:val="24"/>
          <w:szCs w:val="24"/>
        </w:rPr>
        <w:t>Please explain the “Interest Adjustment” for a debit of $958,573 in Account 1588 shown for year 2018 on the DVA Continuity Schedule.</w:t>
      </w:r>
      <w:r w:rsidR="00936EBF">
        <w:rPr>
          <w:rFonts w:cs="Arial"/>
          <w:sz w:val="24"/>
          <w:szCs w:val="24"/>
        </w:rPr>
        <w:br/>
      </w:r>
      <w:r w:rsidR="00936EBF">
        <w:rPr>
          <w:rFonts w:cs="Arial"/>
          <w:sz w:val="24"/>
          <w:szCs w:val="24"/>
        </w:rPr>
        <w:br/>
      </w:r>
      <w:r w:rsidR="00936EBF" w:rsidRPr="00936EBF">
        <w:rPr>
          <w:rFonts w:cs="Arial"/>
          <w:sz w:val="24"/>
          <w:szCs w:val="24"/>
          <w:highlight w:val="green"/>
        </w:rPr>
        <w:t>Answer</w:t>
      </w:r>
      <w:proofErr w:type="gramStart"/>
      <w:r w:rsidR="00936EBF" w:rsidRPr="00936EBF">
        <w:rPr>
          <w:rFonts w:cs="Arial"/>
          <w:sz w:val="24"/>
          <w:szCs w:val="24"/>
          <w:highlight w:val="green"/>
        </w:rPr>
        <w:t>:</w:t>
      </w:r>
      <w:proofErr w:type="gramEnd"/>
      <w:r w:rsidR="00936EBF">
        <w:rPr>
          <w:rFonts w:cs="Arial"/>
          <w:sz w:val="24"/>
          <w:szCs w:val="24"/>
        </w:rPr>
        <w:br/>
      </w:r>
      <w:r w:rsidR="00D03446" w:rsidRPr="00D03446">
        <w:rPr>
          <w:rFonts w:cs="Arial"/>
          <w:sz w:val="24"/>
          <w:szCs w:val="24"/>
        </w:rPr>
        <w:t>Amount was put in wrong column, should be in column BF under principle instead of interest.  The amount is calculated based on the attached file above.  The amount is made up of RPP 2nd True-up for the year and difference between unbilled and actuals.</w:t>
      </w:r>
      <w:r w:rsidR="00D03446">
        <w:rPr>
          <w:rFonts w:cs="Arial"/>
          <w:sz w:val="24"/>
          <w:szCs w:val="24"/>
        </w:rPr>
        <w:br/>
      </w:r>
    </w:p>
    <w:p w:rsidR="007634A9" w:rsidRPr="00F45008" w:rsidRDefault="00936EBF" w:rsidP="00D03446">
      <w:pPr>
        <w:pStyle w:val="ListParagraph"/>
        <w:spacing w:line="276" w:lineRule="auto"/>
        <w:rPr>
          <w:rFonts w:cs="Arial"/>
          <w:sz w:val="24"/>
          <w:szCs w:val="24"/>
        </w:rPr>
      </w:pPr>
      <w:r>
        <w:rPr>
          <w:rFonts w:cs="Arial"/>
          <w:sz w:val="24"/>
          <w:szCs w:val="24"/>
        </w:rPr>
        <w:t xml:space="preserve">Please see file </w:t>
      </w:r>
      <w:r w:rsidRPr="00936EBF">
        <w:rPr>
          <w:rFonts w:cs="Arial"/>
          <w:sz w:val="24"/>
          <w:szCs w:val="24"/>
        </w:rPr>
        <w:t>IRR staff question 5_EB-2019-0045</w:t>
      </w:r>
      <w:r>
        <w:rPr>
          <w:rFonts w:cs="Arial"/>
          <w:sz w:val="24"/>
          <w:szCs w:val="24"/>
        </w:rPr>
        <w:t>_Novmeber 5_2019.xlsx</w:t>
      </w:r>
    </w:p>
    <w:p w:rsidR="007634A9" w:rsidRDefault="007634A9" w:rsidP="006823D7">
      <w:pPr>
        <w:spacing w:line="276" w:lineRule="auto"/>
        <w:rPr>
          <w:rFonts w:cs="Arial"/>
          <w:sz w:val="24"/>
          <w:szCs w:val="24"/>
        </w:rPr>
      </w:pPr>
    </w:p>
    <w:p w:rsidR="00C8427F" w:rsidRPr="00B13A6D" w:rsidRDefault="00C8427F" w:rsidP="006823D7">
      <w:pPr>
        <w:spacing w:line="276" w:lineRule="auto"/>
        <w:rPr>
          <w:rFonts w:cs="Arial"/>
          <w:b/>
          <w:sz w:val="24"/>
          <w:szCs w:val="24"/>
        </w:rPr>
      </w:pPr>
      <w:r w:rsidRPr="00D03446">
        <w:rPr>
          <w:rFonts w:cs="Arial"/>
          <w:b/>
          <w:sz w:val="24"/>
          <w:szCs w:val="24"/>
          <w:highlight w:val="green"/>
        </w:rPr>
        <w:t xml:space="preserve">Staff Question </w:t>
      </w:r>
      <w:r w:rsidR="006823D7" w:rsidRPr="00D03446">
        <w:rPr>
          <w:rFonts w:cs="Arial"/>
          <w:b/>
          <w:sz w:val="24"/>
          <w:szCs w:val="24"/>
          <w:highlight w:val="green"/>
        </w:rPr>
        <w:t>#6</w:t>
      </w:r>
    </w:p>
    <w:p w:rsidR="00C8427F" w:rsidRDefault="00C8427F" w:rsidP="006823D7">
      <w:pPr>
        <w:spacing w:line="276" w:lineRule="auto"/>
        <w:rPr>
          <w:rFonts w:cs="Arial"/>
          <w:b/>
          <w:sz w:val="24"/>
          <w:szCs w:val="24"/>
        </w:rPr>
      </w:pPr>
      <w:r>
        <w:rPr>
          <w:rFonts w:cs="Arial"/>
          <w:b/>
          <w:sz w:val="24"/>
          <w:szCs w:val="24"/>
        </w:rPr>
        <w:t>Ref:</w:t>
      </w:r>
      <w:r>
        <w:rPr>
          <w:rFonts w:cs="Arial"/>
          <w:b/>
          <w:sz w:val="24"/>
          <w:szCs w:val="24"/>
        </w:rPr>
        <w:tab/>
        <w:t>IRM Rate Generator, Tab 4. B</w:t>
      </w:r>
      <w:r w:rsidR="002873FF">
        <w:rPr>
          <w:rFonts w:cs="Arial"/>
          <w:b/>
          <w:sz w:val="24"/>
          <w:szCs w:val="24"/>
        </w:rPr>
        <w:t>illing Det. For Def-</w:t>
      </w:r>
      <w:proofErr w:type="spellStart"/>
      <w:r w:rsidR="002873FF">
        <w:rPr>
          <w:rFonts w:cs="Arial"/>
          <w:b/>
          <w:sz w:val="24"/>
          <w:szCs w:val="24"/>
        </w:rPr>
        <w:t>Var</w:t>
      </w:r>
      <w:proofErr w:type="spellEnd"/>
    </w:p>
    <w:p w:rsidR="00C8427F" w:rsidRDefault="00C8427F" w:rsidP="006823D7">
      <w:pPr>
        <w:spacing w:line="276" w:lineRule="auto"/>
        <w:rPr>
          <w:rFonts w:cs="Arial"/>
          <w:sz w:val="24"/>
          <w:szCs w:val="24"/>
        </w:rPr>
      </w:pPr>
      <w:r>
        <w:rPr>
          <w:rFonts w:cs="Arial"/>
          <w:sz w:val="24"/>
          <w:szCs w:val="24"/>
        </w:rPr>
        <w:t>In cell J4, InnPower has not indicated that it confirms the accuracy of the information entered in this worksheet.</w:t>
      </w:r>
    </w:p>
    <w:p w:rsidR="00C8427F" w:rsidRDefault="00C8427F" w:rsidP="006823D7">
      <w:pPr>
        <w:pStyle w:val="ListParagraph"/>
        <w:numPr>
          <w:ilvl w:val="0"/>
          <w:numId w:val="20"/>
        </w:numPr>
        <w:spacing w:line="276" w:lineRule="auto"/>
        <w:rPr>
          <w:rFonts w:cs="Arial"/>
          <w:sz w:val="24"/>
          <w:szCs w:val="24"/>
        </w:rPr>
      </w:pPr>
      <w:r>
        <w:rPr>
          <w:rFonts w:cs="Arial"/>
          <w:sz w:val="24"/>
          <w:szCs w:val="24"/>
        </w:rPr>
        <w:t>Can InnPower can confirm the accuracy of the information in this worksheet?</w:t>
      </w:r>
      <w:r w:rsidR="00D03446">
        <w:rPr>
          <w:rFonts w:cs="Arial"/>
          <w:sz w:val="24"/>
          <w:szCs w:val="24"/>
        </w:rPr>
        <w:br/>
      </w:r>
      <w:r w:rsidR="00D03446">
        <w:rPr>
          <w:rFonts w:cs="Arial"/>
          <w:sz w:val="24"/>
          <w:szCs w:val="24"/>
        </w:rPr>
        <w:br/>
      </w:r>
      <w:r w:rsidR="00D03446" w:rsidRPr="00D03446">
        <w:rPr>
          <w:rFonts w:cs="Arial"/>
          <w:sz w:val="24"/>
          <w:szCs w:val="24"/>
          <w:highlight w:val="green"/>
        </w:rPr>
        <w:t>Answer</w:t>
      </w:r>
      <w:proofErr w:type="gramStart"/>
      <w:r w:rsidR="00D03446" w:rsidRPr="00D03446">
        <w:rPr>
          <w:rFonts w:cs="Arial"/>
          <w:sz w:val="24"/>
          <w:szCs w:val="24"/>
          <w:highlight w:val="green"/>
        </w:rPr>
        <w:t>:</w:t>
      </w:r>
      <w:proofErr w:type="gramEnd"/>
      <w:r w:rsidR="00D03446">
        <w:rPr>
          <w:rFonts w:cs="Arial"/>
          <w:sz w:val="24"/>
          <w:szCs w:val="24"/>
        </w:rPr>
        <w:br/>
        <w:t>InnPower has confirmed the accuracy of the data in Tab 4 cell J4.</w:t>
      </w:r>
      <w:r w:rsidR="00D03446">
        <w:rPr>
          <w:rFonts w:cs="Arial"/>
          <w:sz w:val="24"/>
          <w:szCs w:val="24"/>
        </w:rPr>
        <w:br/>
      </w:r>
    </w:p>
    <w:p w:rsidR="00C8427F" w:rsidRDefault="00C8427F" w:rsidP="006823D7">
      <w:pPr>
        <w:pStyle w:val="ListParagraph"/>
        <w:numPr>
          <w:ilvl w:val="0"/>
          <w:numId w:val="20"/>
        </w:numPr>
        <w:spacing w:line="276" w:lineRule="auto"/>
        <w:rPr>
          <w:rFonts w:cs="Arial"/>
          <w:sz w:val="24"/>
          <w:szCs w:val="24"/>
        </w:rPr>
      </w:pPr>
      <w:r>
        <w:rPr>
          <w:rFonts w:cs="Arial"/>
          <w:sz w:val="24"/>
          <w:szCs w:val="24"/>
        </w:rPr>
        <w:t xml:space="preserve">If a) cannot be confirmed, please provide details on the information InnPower believes should be populated, and reconcile this to the information </w:t>
      </w:r>
      <w:r w:rsidR="005363E9">
        <w:rPr>
          <w:rFonts w:cs="Arial"/>
          <w:sz w:val="24"/>
          <w:szCs w:val="24"/>
        </w:rPr>
        <w:t>populated.</w:t>
      </w:r>
    </w:p>
    <w:p w:rsidR="00C8427F" w:rsidRDefault="00C8427F" w:rsidP="006823D7">
      <w:pPr>
        <w:spacing w:line="276" w:lineRule="auto"/>
        <w:rPr>
          <w:rFonts w:cs="Arial"/>
          <w:sz w:val="24"/>
          <w:szCs w:val="24"/>
        </w:rPr>
      </w:pPr>
    </w:p>
    <w:p w:rsidR="002873FF" w:rsidRPr="00B13A6D" w:rsidRDefault="002873FF" w:rsidP="006823D7">
      <w:pPr>
        <w:keepNext/>
        <w:keepLines/>
        <w:spacing w:line="276" w:lineRule="auto"/>
        <w:rPr>
          <w:rFonts w:cs="Arial"/>
          <w:b/>
          <w:sz w:val="24"/>
          <w:szCs w:val="24"/>
        </w:rPr>
      </w:pPr>
      <w:r w:rsidRPr="00D03446">
        <w:rPr>
          <w:rFonts w:cs="Arial"/>
          <w:b/>
          <w:sz w:val="24"/>
          <w:szCs w:val="24"/>
          <w:highlight w:val="green"/>
        </w:rPr>
        <w:lastRenderedPageBreak/>
        <w:t xml:space="preserve">Staff Question </w:t>
      </w:r>
      <w:r w:rsidR="006823D7" w:rsidRPr="00D03446">
        <w:rPr>
          <w:rFonts w:cs="Arial"/>
          <w:b/>
          <w:sz w:val="24"/>
          <w:szCs w:val="24"/>
          <w:highlight w:val="green"/>
        </w:rPr>
        <w:t>#7</w:t>
      </w:r>
    </w:p>
    <w:p w:rsidR="00F31213" w:rsidRDefault="002873FF" w:rsidP="006823D7">
      <w:pPr>
        <w:keepNext/>
        <w:keepLines/>
        <w:spacing w:after="0" w:line="276" w:lineRule="auto"/>
        <w:rPr>
          <w:rFonts w:cs="Arial"/>
          <w:b/>
          <w:sz w:val="24"/>
          <w:szCs w:val="24"/>
        </w:rPr>
      </w:pPr>
      <w:r>
        <w:rPr>
          <w:rFonts w:cs="Arial"/>
          <w:b/>
          <w:sz w:val="24"/>
          <w:szCs w:val="24"/>
        </w:rPr>
        <w:t>Ref:</w:t>
      </w:r>
      <w:r>
        <w:rPr>
          <w:rFonts w:cs="Arial"/>
          <w:b/>
          <w:sz w:val="24"/>
          <w:szCs w:val="24"/>
        </w:rPr>
        <w:tab/>
      </w:r>
      <w:r w:rsidR="00F31213">
        <w:rPr>
          <w:rFonts w:cs="Arial"/>
          <w:b/>
          <w:sz w:val="24"/>
          <w:szCs w:val="24"/>
        </w:rPr>
        <w:t xml:space="preserve">Manager’s Summary, </w:t>
      </w:r>
      <w:r w:rsidR="00E022FB">
        <w:rPr>
          <w:rFonts w:cs="Arial"/>
          <w:b/>
          <w:sz w:val="24"/>
          <w:szCs w:val="24"/>
        </w:rPr>
        <w:t>Appendix B</w:t>
      </w:r>
    </w:p>
    <w:p w:rsidR="002873FF" w:rsidRDefault="002873FF" w:rsidP="006823D7">
      <w:pPr>
        <w:keepNext/>
        <w:keepLines/>
        <w:spacing w:after="0" w:line="276" w:lineRule="auto"/>
        <w:ind w:firstLine="720"/>
        <w:rPr>
          <w:rFonts w:cs="Arial"/>
          <w:b/>
          <w:sz w:val="24"/>
          <w:szCs w:val="24"/>
        </w:rPr>
      </w:pPr>
      <w:r>
        <w:rPr>
          <w:rFonts w:cs="Arial"/>
          <w:b/>
          <w:sz w:val="24"/>
          <w:szCs w:val="24"/>
        </w:rPr>
        <w:t>IRM Rate Generator, Tab 4. Billing Det. For Def-</w:t>
      </w:r>
      <w:proofErr w:type="spellStart"/>
      <w:r>
        <w:rPr>
          <w:rFonts w:cs="Arial"/>
          <w:b/>
          <w:sz w:val="24"/>
          <w:szCs w:val="24"/>
        </w:rPr>
        <w:t>Var</w:t>
      </w:r>
      <w:proofErr w:type="spellEnd"/>
    </w:p>
    <w:p w:rsidR="002873FF" w:rsidRDefault="002873FF" w:rsidP="006823D7">
      <w:pPr>
        <w:keepNext/>
        <w:keepLines/>
        <w:spacing w:line="276" w:lineRule="auto"/>
        <w:rPr>
          <w:rFonts w:cs="Arial"/>
          <w:b/>
          <w:sz w:val="24"/>
          <w:szCs w:val="24"/>
        </w:rPr>
      </w:pPr>
      <w:r>
        <w:rPr>
          <w:rFonts w:cs="Arial"/>
          <w:b/>
          <w:sz w:val="24"/>
          <w:szCs w:val="24"/>
        </w:rPr>
        <w:tab/>
        <w:t>IRM Rate Generator, Tab 5. Allocating Def-</w:t>
      </w:r>
      <w:proofErr w:type="spellStart"/>
      <w:r>
        <w:rPr>
          <w:rFonts w:cs="Arial"/>
          <w:b/>
          <w:sz w:val="24"/>
          <w:szCs w:val="24"/>
        </w:rPr>
        <w:t>Var</w:t>
      </w:r>
      <w:proofErr w:type="spellEnd"/>
      <w:r>
        <w:rPr>
          <w:rFonts w:cs="Arial"/>
          <w:b/>
          <w:sz w:val="24"/>
          <w:szCs w:val="24"/>
        </w:rPr>
        <w:t xml:space="preserve"> Balances</w:t>
      </w:r>
    </w:p>
    <w:p w:rsidR="00E022FB" w:rsidRDefault="00E022FB" w:rsidP="006823D7">
      <w:pPr>
        <w:spacing w:line="276" w:lineRule="auto"/>
        <w:rPr>
          <w:rFonts w:cs="Arial"/>
          <w:sz w:val="24"/>
          <w:szCs w:val="24"/>
        </w:rPr>
      </w:pPr>
      <w:r>
        <w:rPr>
          <w:rFonts w:cs="Arial"/>
          <w:sz w:val="24"/>
          <w:szCs w:val="24"/>
        </w:rPr>
        <w:t>InnPower explained that</w:t>
      </w:r>
      <w:r w:rsidR="000023B7">
        <w:rPr>
          <w:rFonts w:cs="Arial"/>
          <w:sz w:val="24"/>
          <w:szCs w:val="24"/>
        </w:rPr>
        <w:t xml:space="preserve"> the </w:t>
      </w:r>
      <w:r w:rsidR="00080923">
        <w:rPr>
          <w:rFonts w:cs="Arial"/>
          <w:sz w:val="24"/>
          <w:szCs w:val="24"/>
        </w:rPr>
        <w:t>2016 Group 1 r</w:t>
      </w:r>
      <w:r w:rsidR="000023B7">
        <w:rPr>
          <w:rFonts w:cs="Arial"/>
          <w:sz w:val="24"/>
          <w:szCs w:val="24"/>
        </w:rPr>
        <w:t xml:space="preserve">ate </w:t>
      </w:r>
      <w:r w:rsidR="00080923">
        <w:rPr>
          <w:rFonts w:cs="Arial"/>
          <w:sz w:val="24"/>
          <w:szCs w:val="24"/>
        </w:rPr>
        <w:t>r</w:t>
      </w:r>
      <w:r w:rsidR="000023B7">
        <w:rPr>
          <w:rFonts w:cs="Arial"/>
          <w:sz w:val="24"/>
          <w:szCs w:val="24"/>
        </w:rPr>
        <w:t>ider</w:t>
      </w:r>
      <w:r w:rsidR="00080923">
        <w:rPr>
          <w:rFonts w:cs="Arial"/>
          <w:sz w:val="24"/>
          <w:szCs w:val="24"/>
        </w:rPr>
        <w:t>s</w:t>
      </w:r>
      <w:r w:rsidR="000023B7">
        <w:rPr>
          <w:rFonts w:cs="Arial"/>
          <w:sz w:val="24"/>
          <w:szCs w:val="24"/>
        </w:rPr>
        <w:t xml:space="preserve"> </w:t>
      </w:r>
      <w:r w:rsidR="00080923">
        <w:rPr>
          <w:rFonts w:cs="Arial"/>
          <w:sz w:val="24"/>
          <w:szCs w:val="24"/>
        </w:rPr>
        <w:t xml:space="preserve">were </w:t>
      </w:r>
      <w:r w:rsidR="000023B7">
        <w:rPr>
          <w:rFonts w:cs="Arial"/>
          <w:sz w:val="24"/>
          <w:szCs w:val="24"/>
        </w:rPr>
        <w:t>calculated based on a 12 month disposition, but was collected for 24 months.</w:t>
      </w:r>
      <w:r w:rsidR="00287EB3">
        <w:rPr>
          <w:rFonts w:cs="Arial"/>
          <w:sz w:val="24"/>
          <w:szCs w:val="24"/>
        </w:rPr>
        <w:t xml:space="preserve"> </w:t>
      </w:r>
      <w:r w:rsidR="000023B7">
        <w:rPr>
          <w:rFonts w:cs="Arial"/>
          <w:sz w:val="24"/>
          <w:szCs w:val="24"/>
        </w:rPr>
        <w:t>It explained that this collection results in a credit owing to customers of $4</w:t>
      </w:r>
      <w:r w:rsidR="00287EB3">
        <w:rPr>
          <w:rFonts w:cs="Arial"/>
          <w:sz w:val="24"/>
          <w:szCs w:val="24"/>
        </w:rPr>
        <w:t>38,430</w:t>
      </w:r>
      <w:r w:rsidR="000023B7">
        <w:rPr>
          <w:rFonts w:cs="Arial"/>
          <w:sz w:val="24"/>
          <w:szCs w:val="24"/>
        </w:rPr>
        <w:t>.</w:t>
      </w:r>
      <w:r w:rsidR="00287EB3">
        <w:rPr>
          <w:rFonts w:cs="Arial"/>
          <w:sz w:val="24"/>
          <w:szCs w:val="24"/>
        </w:rPr>
        <w:t xml:space="preserve"> The factors for this include:</w:t>
      </w:r>
    </w:p>
    <w:p w:rsidR="00287EB3" w:rsidRPr="00287EB3" w:rsidRDefault="00287EB3" w:rsidP="006823D7">
      <w:pPr>
        <w:pStyle w:val="ListParagraph"/>
        <w:numPr>
          <w:ilvl w:val="0"/>
          <w:numId w:val="26"/>
        </w:numPr>
        <w:spacing w:line="276" w:lineRule="auto"/>
        <w:rPr>
          <w:rFonts w:cs="Arial"/>
          <w:sz w:val="24"/>
          <w:szCs w:val="24"/>
        </w:rPr>
      </w:pPr>
      <w:r w:rsidRPr="00287EB3">
        <w:rPr>
          <w:rFonts w:cs="Arial"/>
          <w:sz w:val="24"/>
          <w:szCs w:val="24"/>
        </w:rPr>
        <w:t>An over collection of the GA Rate Rider for 2016</w:t>
      </w:r>
    </w:p>
    <w:p w:rsidR="00287EB3" w:rsidRPr="00287EB3" w:rsidRDefault="00287EB3" w:rsidP="006823D7">
      <w:pPr>
        <w:pStyle w:val="ListParagraph"/>
        <w:numPr>
          <w:ilvl w:val="0"/>
          <w:numId w:val="26"/>
        </w:numPr>
        <w:spacing w:line="276" w:lineRule="auto"/>
        <w:rPr>
          <w:rFonts w:cs="Arial"/>
          <w:sz w:val="24"/>
          <w:szCs w:val="24"/>
        </w:rPr>
      </w:pPr>
      <w:r w:rsidRPr="00287EB3">
        <w:rPr>
          <w:rFonts w:cs="Arial"/>
          <w:sz w:val="24"/>
          <w:szCs w:val="24"/>
        </w:rPr>
        <w:t>An over collection of other rate variance accounts for 2016</w:t>
      </w:r>
    </w:p>
    <w:p w:rsidR="00287EB3" w:rsidRPr="00287EB3" w:rsidRDefault="00287EB3" w:rsidP="006823D7">
      <w:pPr>
        <w:pStyle w:val="ListParagraph"/>
        <w:numPr>
          <w:ilvl w:val="0"/>
          <w:numId w:val="26"/>
        </w:numPr>
        <w:spacing w:line="276" w:lineRule="auto"/>
        <w:rPr>
          <w:rFonts w:cs="Arial"/>
          <w:sz w:val="24"/>
          <w:szCs w:val="24"/>
        </w:rPr>
      </w:pPr>
      <w:r w:rsidRPr="00287EB3">
        <w:rPr>
          <w:rFonts w:cs="Arial"/>
          <w:sz w:val="24"/>
          <w:szCs w:val="24"/>
        </w:rPr>
        <w:t>No collection of 1595 for the years 2009-2014, even though disposition was intended.</w:t>
      </w:r>
    </w:p>
    <w:p w:rsidR="00342719" w:rsidRDefault="00342719" w:rsidP="006823D7">
      <w:pPr>
        <w:spacing w:line="276" w:lineRule="auto"/>
        <w:rPr>
          <w:rFonts w:cs="Arial"/>
          <w:sz w:val="24"/>
          <w:szCs w:val="24"/>
        </w:rPr>
      </w:pPr>
      <w:r>
        <w:rPr>
          <w:rFonts w:cs="Arial"/>
          <w:sz w:val="24"/>
          <w:szCs w:val="24"/>
        </w:rPr>
        <w:t>In column O of the second reference, InnPower has proposed recovery of 1595 to be allocated 61% to Residential, 14% to General Service less than 50 kW and 25% to General Service 50 kW to 4,999 kW. OEB staff notes that these are the same percentages located in column C of the third reference – reflecting the kWh proportions for allocation of 2020 rate riders.</w:t>
      </w:r>
    </w:p>
    <w:p w:rsidR="006A2AA3" w:rsidRDefault="000023B7" w:rsidP="006823D7">
      <w:pPr>
        <w:spacing w:line="276" w:lineRule="auto"/>
        <w:rPr>
          <w:rFonts w:cs="Arial"/>
          <w:sz w:val="24"/>
          <w:szCs w:val="24"/>
        </w:rPr>
      </w:pPr>
      <w:r>
        <w:rPr>
          <w:rFonts w:cs="Arial"/>
          <w:sz w:val="24"/>
          <w:szCs w:val="24"/>
        </w:rPr>
        <w:t xml:space="preserve">OEB Staff notes that the </w:t>
      </w:r>
      <w:r w:rsidR="00287EB3">
        <w:rPr>
          <w:rFonts w:cs="Arial"/>
          <w:sz w:val="24"/>
          <w:szCs w:val="24"/>
        </w:rPr>
        <w:t xml:space="preserve">rate riders contributing to the Account 1595 (2016) balance are varied, and may have different allocations. For instance, the GA rate rider was </w:t>
      </w:r>
      <w:r>
        <w:rPr>
          <w:rFonts w:cs="Arial"/>
          <w:sz w:val="24"/>
          <w:szCs w:val="24"/>
        </w:rPr>
        <w:t>allocated to rate payers on the basis of non-RPP kWh:</w:t>
      </w:r>
    </w:p>
    <w:p w:rsidR="006823D7" w:rsidRDefault="003643A4" w:rsidP="00D03446">
      <w:pPr>
        <w:pStyle w:val="ListParagraph"/>
        <w:numPr>
          <w:ilvl w:val="0"/>
          <w:numId w:val="21"/>
        </w:numPr>
        <w:spacing w:line="276" w:lineRule="auto"/>
        <w:rPr>
          <w:rFonts w:cs="Arial"/>
          <w:sz w:val="24"/>
          <w:szCs w:val="24"/>
        </w:rPr>
      </w:pPr>
      <w:r>
        <w:rPr>
          <w:rFonts w:cs="Arial"/>
          <w:sz w:val="24"/>
          <w:szCs w:val="24"/>
        </w:rPr>
        <w:t xml:space="preserve">Please </w:t>
      </w:r>
      <w:r w:rsidR="00287EB3">
        <w:rPr>
          <w:rFonts w:cs="Arial"/>
          <w:sz w:val="24"/>
          <w:szCs w:val="24"/>
        </w:rPr>
        <w:t xml:space="preserve">complete the attached worksheet itemizing </w:t>
      </w:r>
      <w:r w:rsidR="00D7136D">
        <w:rPr>
          <w:rFonts w:cs="Arial"/>
          <w:sz w:val="24"/>
          <w:szCs w:val="24"/>
        </w:rPr>
        <w:t>the drivers of</w:t>
      </w:r>
      <w:r w:rsidR="006823D7">
        <w:rPr>
          <w:rFonts w:cs="Arial"/>
          <w:sz w:val="24"/>
          <w:szCs w:val="24"/>
        </w:rPr>
        <w:t xml:space="preserve"> the</w:t>
      </w:r>
      <w:r w:rsidR="00D7136D">
        <w:rPr>
          <w:rFonts w:cs="Arial"/>
          <w:sz w:val="24"/>
          <w:szCs w:val="24"/>
        </w:rPr>
        <w:t xml:space="preserve"> Account</w:t>
      </w:r>
      <w:r w:rsidR="00C603E1">
        <w:rPr>
          <w:rFonts w:cs="Arial"/>
          <w:sz w:val="24"/>
          <w:szCs w:val="24"/>
        </w:rPr>
        <w:t xml:space="preserve"> 1595 (2016) balance.</w:t>
      </w:r>
      <w:r w:rsidR="00D7136D">
        <w:rPr>
          <w:rFonts w:cs="Arial"/>
          <w:sz w:val="24"/>
          <w:szCs w:val="24"/>
        </w:rPr>
        <w:t xml:space="preserve"> Add further columns, if necessary.</w:t>
      </w:r>
      <w:r w:rsidR="00D03446">
        <w:rPr>
          <w:rFonts w:cs="Arial"/>
          <w:sz w:val="24"/>
          <w:szCs w:val="24"/>
        </w:rPr>
        <w:br/>
      </w:r>
      <w:r w:rsidR="00D03446">
        <w:rPr>
          <w:rFonts w:cs="Arial"/>
          <w:sz w:val="24"/>
          <w:szCs w:val="24"/>
        </w:rPr>
        <w:br/>
      </w:r>
      <w:r w:rsidR="00D03446" w:rsidRPr="00D03446">
        <w:rPr>
          <w:rFonts w:cs="Arial"/>
          <w:sz w:val="24"/>
          <w:szCs w:val="24"/>
          <w:highlight w:val="green"/>
        </w:rPr>
        <w:t>Answer:</w:t>
      </w:r>
      <w:r w:rsidR="00D03446">
        <w:rPr>
          <w:rFonts w:cs="Arial"/>
          <w:sz w:val="24"/>
          <w:szCs w:val="24"/>
        </w:rPr>
        <w:br/>
        <w:t xml:space="preserve">Please see file </w:t>
      </w:r>
      <w:r w:rsidR="00D03446" w:rsidRPr="00D03446">
        <w:rPr>
          <w:rFonts w:cs="Arial"/>
          <w:sz w:val="24"/>
          <w:szCs w:val="24"/>
        </w:rPr>
        <w:t>IRR staff question 7a_EB-2019-0045_November 5_2019</w:t>
      </w:r>
      <w:r w:rsidR="00D03446">
        <w:rPr>
          <w:rFonts w:cs="Arial"/>
          <w:sz w:val="24"/>
          <w:szCs w:val="24"/>
        </w:rPr>
        <w:t>.xlsx</w:t>
      </w:r>
      <w:r w:rsidR="00D03446">
        <w:rPr>
          <w:rFonts w:cs="Arial"/>
          <w:sz w:val="24"/>
          <w:szCs w:val="24"/>
        </w:rPr>
        <w:br/>
      </w:r>
    </w:p>
    <w:p w:rsidR="006A2AA3" w:rsidRDefault="00287EB3" w:rsidP="006823D7">
      <w:pPr>
        <w:pStyle w:val="ListParagraph"/>
        <w:numPr>
          <w:ilvl w:val="0"/>
          <w:numId w:val="21"/>
        </w:numPr>
        <w:spacing w:line="276" w:lineRule="auto"/>
        <w:rPr>
          <w:rFonts w:cs="Arial"/>
          <w:sz w:val="24"/>
          <w:szCs w:val="24"/>
        </w:rPr>
      </w:pPr>
      <w:r w:rsidRPr="006823D7">
        <w:rPr>
          <w:rFonts w:cs="Arial"/>
          <w:sz w:val="24"/>
          <w:szCs w:val="24"/>
        </w:rPr>
        <w:t>Does InnPower consider it reasonable to allocate 1595 (2016) on the basis calculated in step a)?</w:t>
      </w:r>
      <w:r w:rsidR="00835F29">
        <w:rPr>
          <w:rFonts w:cs="Arial"/>
          <w:sz w:val="24"/>
          <w:szCs w:val="24"/>
        </w:rPr>
        <w:br/>
      </w:r>
    </w:p>
    <w:p w:rsidR="00835F29" w:rsidRPr="006823D7" w:rsidRDefault="00835F29" w:rsidP="00835F29">
      <w:pPr>
        <w:pStyle w:val="ListParagraph"/>
        <w:spacing w:line="276" w:lineRule="auto"/>
        <w:rPr>
          <w:rFonts w:cs="Arial"/>
          <w:sz w:val="24"/>
          <w:szCs w:val="24"/>
        </w:rPr>
      </w:pPr>
      <w:r w:rsidRPr="00D03446">
        <w:rPr>
          <w:rFonts w:cs="Arial"/>
          <w:sz w:val="24"/>
          <w:szCs w:val="24"/>
          <w:highlight w:val="green"/>
        </w:rPr>
        <w:t>Answer</w:t>
      </w:r>
      <w:proofErr w:type="gramStart"/>
      <w:r w:rsidRPr="00D03446">
        <w:rPr>
          <w:rFonts w:cs="Arial"/>
          <w:sz w:val="24"/>
          <w:szCs w:val="24"/>
          <w:highlight w:val="green"/>
        </w:rPr>
        <w:t>:</w:t>
      </w:r>
      <w:proofErr w:type="gramEnd"/>
      <w:r>
        <w:rPr>
          <w:rFonts w:cs="Arial"/>
          <w:sz w:val="24"/>
          <w:szCs w:val="24"/>
        </w:rPr>
        <w:br/>
        <w:t xml:space="preserve">InnPower agrees that the above noted account should be disposed of based on the calculations provided in the file, </w:t>
      </w:r>
      <w:r w:rsidR="00D03446" w:rsidRPr="00D03446">
        <w:rPr>
          <w:rFonts w:cs="Arial"/>
          <w:sz w:val="24"/>
          <w:szCs w:val="24"/>
        </w:rPr>
        <w:t>IRR staff question 7a_EB-2019-0045_November 5_2019</w:t>
      </w:r>
      <w:r w:rsidR="00D03446">
        <w:rPr>
          <w:rFonts w:cs="Arial"/>
          <w:sz w:val="24"/>
          <w:szCs w:val="24"/>
        </w:rPr>
        <w:t>.xlsx</w:t>
      </w:r>
      <w:r>
        <w:rPr>
          <w:rFonts w:cs="Arial"/>
          <w:sz w:val="24"/>
          <w:szCs w:val="24"/>
        </w:rPr>
        <w:br/>
      </w:r>
    </w:p>
    <w:p w:rsidR="00287EB3" w:rsidRDefault="00287EB3" w:rsidP="006823D7">
      <w:pPr>
        <w:pStyle w:val="ListParagraph"/>
        <w:numPr>
          <w:ilvl w:val="0"/>
          <w:numId w:val="21"/>
        </w:numPr>
        <w:spacing w:line="276" w:lineRule="auto"/>
        <w:rPr>
          <w:rFonts w:cs="Arial"/>
          <w:sz w:val="24"/>
          <w:szCs w:val="24"/>
        </w:rPr>
      </w:pPr>
      <w:r>
        <w:rPr>
          <w:rFonts w:cs="Arial"/>
          <w:sz w:val="24"/>
          <w:szCs w:val="24"/>
        </w:rPr>
        <w:t>If InnPower disagrees with b), Please confirm that InnPower is proposing to dispose of 1595 using the total kWh share in the current application, rather than proportionate share from the 2016 rate application.</w:t>
      </w:r>
    </w:p>
    <w:p w:rsidR="00287EB3" w:rsidRPr="00287EB3" w:rsidRDefault="00287EB3" w:rsidP="006823D7">
      <w:pPr>
        <w:pStyle w:val="ListParagraph"/>
        <w:numPr>
          <w:ilvl w:val="0"/>
          <w:numId w:val="21"/>
        </w:numPr>
        <w:spacing w:line="276" w:lineRule="auto"/>
        <w:rPr>
          <w:rFonts w:cs="Arial"/>
          <w:sz w:val="24"/>
          <w:szCs w:val="24"/>
        </w:rPr>
      </w:pPr>
      <w:r>
        <w:rPr>
          <w:rFonts w:cs="Arial"/>
          <w:sz w:val="24"/>
          <w:szCs w:val="24"/>
        </w:rPr>
        <w:lastRenderedPageBreak/>
        <w:t>If InnPower disagrees with b) and c) cannot be confirmed, please explain the methodology used and provide a derivation of the allocation percentages in column O of the first reference.</w:t>
      </w:r>
    </w:p>
    <w:p w:rsidR="00005A80" w:rsidRPr="00005A80" w:rsidRDefault="00005A80" w:rsidP="006823D7">
      <w:pPr>
        <w:spacing w:line="276" w:lineRule="auto"/>
        <w:rPr>
          <w:rFonts w:cs="Arial"/>
          <w:sz w:val="24"/>
          <w:szCs w:val="24"/>
        </w:rPr>
      </w:pPr>
    </w:p>
    <w:p w:rsidR="00005A80" w:rsidRPr="006823D7" w:rsidRDefault="00005A80" w:rsidP="006823D7">
      <w:pPr>
        <w:keepNext/>
        <w:keepLines/>
        <w:spacing w:line="276" w:lineRule="auto"/>
        <w:rPr>
          <w:rFonts w:cs="Arial"/>
          <w:b/>
          <w:sz w:val="24"/>
          <w:szCs w:val="24"/>
        </w:rPr>
      </w:pPr>
      <w:r w:rsidRPr="00004E42">
        <w:rPr>
          <w:rFonts w:cs="Arial"/>
          <w:b/>
          <w:sz w:val="24"/>
          <w:szCs w:val="24"/>
          <w:highlight w:val="green"/>
        </w:rPr>
        <w:t xml:space="preserve">Staff Question </w:t>
      </w:r>
      <w:r w:rsidR="006823D7" w:rsidRPr="00004E42">
        <w:rPr>
          <w:rFonts w:cs="Arial"/>
          <w:b/>
          <w:sz w:val="24"/>
          <w:szCs w:val="24"/>
          <w:highlight w:val="green"/>
        </w:rPr>
        <w:t>#8</w:t>
      </w:r>
    </w:p>
    <w:p w:rsidR="00C260C9" w:rsidRPr="006823D7" w:rsidRDefault="00005A80" w:rsidP="006823D7">
      <w:pPr>
        <w:keepNext/>
        <w:keepLines/>
        <w:spacing w:after="0" w:line="276" w:lineRule="auto"/>
        <w:rPr>
          <w:rFonts w:cs="Arial"/>
          <w:b/>
          <w:sz w:val="24"/>
          <w:szCs w:val="24"/>
        </w:rPr>
      </w:pPr>
      <w:r w:rsidRPr="006823D7">
        <w:rPr>
          <w:rFonts w:cs="Arial"/>
          <w:b/>
          <w:sz w:val="24"/>
          <w:szCs w:val="24"/>
        </w:rPr>
        <w:t>Ref:</w:t>
      </w:r>
      <w:r w:rsidRPr="006823D7">
        <w:rPr>
          <w:rFonts w:cs="Arial"/>
          <w:b/>
          <w:sz w:val="24"/>
          <w:szCs w:val="24"/>
        </w:rPr>
        <w:tab/>
      </w:r>
      <w:r w:rsidR="00C260C9" w:rsidRPr="006823D7">
        <w:rPr>
          <w:rFonts w:cs="Arial"/>
          <w:b/>
          <w:sz w:val="24"/>
          <w:szCs w:val="24"/>
        </w:rPr>
        <w:t xml:space="preserve">Manager’s </w:t>
      </w:r>
      <w:proofErr w:type="gramStart"/>
      <w:r w:rsidR="00C260C9" w:rsidRPr="006823D7">
        <w:rPr>
          <w:rFonts w:cs="Arial"/>
          <w:b/>
          <w:sz w:val="24"/>
          <w:szCs w:val="24"/>
        </w:rPr>
        <w:t>Summary</w:t>
      </w:r>
      <w:proofErr w:type="gramEnd"/>
      <w:r w:rsidR="00C260C9" w:rsidRPr="006823D7">
        <w:rPr>
          <w:rFonts w:cs="Arial"/>
          <w:b/>
          <w:sz w:val="24"/>
          <w:szCs w:val="24"/>
        </w:rPr>
        <w:t>, page 14.</w:t>
      </w:r>
    </w:p>
    <w:p w:rsidR="00005A80" w:rsidRPr="006823D7" w:rsidRDefault="00005A80" w:rsidP="006823D7">
      <w:pPr>
        <w:keepNext/>
        <w:keepLines/>
        <w:spacing w:line="276" w:lineRule="auto"/>
        <w:ind w:firstLine="720"/>
        <w:rPr>
          <w:rFonts w:cs="Arial"/>
          <w:b/>
          <w:sz w:val="24"/>
          <w:szCs w:val="24"/>
        </w:rPr>
      </w:pPr>
      <w:r w:rsidRPr="006823D7">
        <w:rPr>
          <w:rFonts w:cs="Arial"/>
          <w:b/>
          <w:sz w:val="24"/>
          <w:szCs w:val="24"/>
        </w:rPr>
        <w:t xml:space="preserve">IRM Rate Generator, Tab 6. Class </w:t>
      </w:r>
      <w:proofErr w:type="gramStart"/>
      <w:r w:rsidRPr="006823D7">
        <w:rPr>
          <w:rFonts w:cs="Arial"/>
          <w:b/>
          <w:sz w:val="24"/>
          <w:szCs w:val="24"/>
        </w:rPr>
        <w:t>A</w:t>
      </w:r>
      <w:proofErr w:type="gramEnd"/>
      <w:r w:rsidRPr="006823D7">
        <w:rPr>
          <w:rFonts w:cs="Arial"/>
          <w:b/>
          <w:sz w:val="24"/>
          <w:szCs w:val="24"/>
        </w:rPr>
        <w:t xml:space="preserve"> Consumption Data</w:t>
      </w:r>
    </w:p>
    <w:p w:rsidR="002873FF" w:rsidRPr="006823D7" w:rsidRDefault="00C260C9" w:rsidP="006823D7">
      <w:pPr>
        <w:spacing w:line="276" w:lineRule="auto"/>
        <w:rPr>
          <w:sz w:val="24"/>
          <w:szCs w:val="24"/>
        </w:rPr>
      </w:pPr>
      <w:r w:rsidRPr="006823D7">
        <w:rPr>
          <w:rFonts w:cs="Arial"/>
          <w:sz w:val="24"/>
          <w:szCs w:val="24"/>
        </w:rPr>
        <w:t>InnPower states that it “</w:t>
      </w:r>
      <w:r w:rsidRPr="006823D7">
        <w:rPr>
          <w:sz w:val="24"/>
          <w:szCs w:val="24"/>
        </w:rPr>
        <w:t>has had two customers who have transitioned to Class A or the Industrial Conservation Initiative (“ICI”). The second reference indicates that Customer 1 transitioned in 2017, and spent the entire year of 2018 in Class A. Customer 2 does not have consumption data for 2017, implying a 2018 transition. However, Customer 2 has both the first and second half of 2018 recorded as being in Class A.</w:t>
      </w:r>
    </w:p>
    <w:p w:rsidR="00C260C9" w:rsidRPr="006823D7" w:rsidRDefault="00C260C9" w:rsidP="006823D7">
      <w:pPr>
        <w:spacing w:line="276" w:lineRule="auto"/>
        <w:rPr>
          <w:sz w:val="24"/>
          <w:szCs w:val="24"/>
        </w:rPr>
      </w:pPr>
      <w:r w:rsidRPr="006823D7">
        <w:rPr>
          <w:sz w:val="24"/>
          <w:szCs w:val="24"/>
        </w:rPr>
        <w:t>The total 2018 consumption for non-transitioning customers reconciles to that of Customer 1 alone.</w:t>
      </w:r>
    </w:p>
    <w:p w:rsidR="00C260C9" w:rsidRPr="00E8074F" w:rsidRDefault="00C260C9" w:rsidP="006823D7">
      <w:pPr>
        <w:pStyle w:val="ListParagraph"/>
        <w:numPr>
          <w:ilvl w:val="0"/>
          <w:numId w:val="23"/>
        </w:numPr>
        <w:spacing w:line="276" w:lineRule="auto"/>
        <w:rPr>
          <w:rFonts w:cs="Arial"/>
          <w:sz w:val="24"/>
          <w:szCs w:val="24"/>
        </w:rPr>
      </w:pPr>
      <w:r w:rsidRPr="006823D7">
        <w:rPr>
          <w:sz w:val="24"/>
          <w:szCs w:val="24"/>
        </w:rPr>
        <w:t>Please confirm that there are only two Class A customers, and no other customers have been Class A customers.</w:t>
      </w:r>
    </w:p>
    <w:p w:rsidR="0091368B" w:rsidRDefault="0091368B" w:rsidP="00E8074F">
      <w:pPr>
        <w:pStyle w:val="ListParagraph"/>
        <w:spacing w:line="276" w:lineRule="auto"/>
        <w:rPr>
          <w:sz w:val="24"/>
          <w:szCs w:val="24"/>
        </w:rPr>
      </w:pPr>
    </w:p>
    <w:p w:rsidR="0091368B" w:rsidRPr="0091368B" w:rsidRDefault="0091368B" w:rsidP="00E8074F">
      <w:pPr>
        <w:pStyle w:val="ListParagraph"/>
        <w:spacing w:line="276" w:lineRule="auto"/>
        <w:rPr>
          <w:sz w:val="24"/>
          <w:szCs w:val="24"/>
        </w:rPr>
      </w:pPr>
      <w:r w:rsidRPr="00D03446">
        <w:rPr>
          <w:sz w:val="24"/>
          <w:szCs w:val="24"/>
          <w:highlight w:val="green"/>
        </w:rPr>
        <w:t>Answer:</w:t>
      </w:r>
    </w:p>
    <w:p w:rsidR="00E8074F" w:rsidRPr="0091368B" w:rsidRDefault="00E8074F" w:rsidP="00E8074F">
      <w:pPr>
        <w:pStyle w:val="ListParagraph"/>
        <w:spacing w:line="276" w:lineRule="auto"/>
        <w:rPr>
          <w:rFonts w:cs="Arial"/>
          <w:sz w:val="24"/>
          <w:szCs w:val="24"/>
        </w:rPr>
      </w:pPr>
      <w:r w:rsidRPr="0091368B">
        <w:rPr>
          <w:sz w:val="24"/>
          <w:szCs w:val="24"/>
        </w:rPr>
        <w:t>Yes, there are only two customers.</w:t>
      </w:r>
    </w:p>
    <w:p w:rsidR="00E8074F" w:rsidRPr="006823D7" w:rsidRDefault="00E8074F" w:rsidP="00E8074F">
      <w:pPr>
        <w:pStyle w:val="ListParagraph"/>
        <w:spacing w:line="276" w:lineRule="auto"/>
        <w:rPr>
          <w:rFonts w:cs="Arial"/>
          <w:sz w:val="24"/>
          <w:szCs w:val="24"/>
        </w:rPr>
      </w:pPr>
    </w:p>
    <w:p w:rsidR="00C260C9" w:rsidRPr="0091368B" w:rsidRDefault="00C260C9" w:rsidP="006823D7">
      <w:pPr>
        <w:pStyle w:val="ListParagraph"/>
        <w:numPr>
          <w:ilvl w:val="0"/>
          <w:numId w:val="23"/>
        </w:numPr>
        <w:spacing w:line="276" w:lineRule="auto"/>
        <w:rPr>
          <w:rFonts w:cs="Arial"/>
          <w:sz w:val="24"/>
          <w:szCs w:val="24"/>
        </w:rPr>
      </w:pPr>
      <w:r w:rsidRPr="006823D7">
        <w:rPr>
          <w:sz w:val="24"/>
          <w:szCs w:val="24"/>
        </w:rPr>
        <w:t xml:space="preserve">Please indicate when Customer 2 became a Class </w:t>
      </w:r>
      <w:proofErr w:type="gramStart"/>
      <w:r w:rsidRPr="006823D7">
        <w:rPr>
          <w:sz w:val="24"/>
          <w:szCs w:val="24"/>
        </w:rPr>
        <w:t>A</w:t>
      </w:r>
      <w:proofErr w:type="gramEnd"/>
      <w:r w:rsidRPr="006823D7">
        <w:rPr>
          <w:sz w:val="24"/>
          <w:szCs w:val="24"/>
        </w:rPr>
        <w:t xml:space="preserve"> customer.</w:t>
      </w:r>
    </w:p>
    <w:p w:rsidR="0091368B" w:rsidRDefault="0091368B" w:rsidP="0091368B">
      <w:pPr>
        <w:pStyle w:val="ListParagraph"/>
        <w:spacing w:line="276" w:lineRule="auto"/>
        <w:rPr>
          <w:rFonts w:cs="Arial"/>
          <w:sz w:val="24"/>
          <w:szCs w:val="24"/>
        </w:rPr>
      </w:pPr>
    </w:p>
    <w:p w:rsidR="0091368B" w:rsidRPr="00D03446" w:rsidRDefault="0091368B" w:rsidP="0091368B">
      <w:pPr>
        <w:pStyle w:val="ListParagraph"/>
        <w:spacing w:line="276" w:lineRule="auto"/>
        <w:rPr>
          <w:rFonts w:cs="Arial"/>
          <w:sz w:val="24"/>
          <w:szCs w:val="24"/>
          <w:highlight w:val="green"/>
        </w:rPr>
      </w:pPr>
      <w:r w:rsidRPr="00D03446">
        <w:rPr>
          <w:rFonts w:cs="Arial"/>
          <w:sz w:val="24"/>
          <w:szCs w:val="24"/>
          <w:highlight w:val="green"/>
        </w:rPr>
        <w:t>Answer:</w:t>
      </w:r>
    </w:p>
    <w:p w:rsidR="00E8074F" w:rsidRPr="0091368B" w:rsidRDefault="00E8074F" w:rsidP="00E8074F">
      <w:pPr>
        <w:pStyle w:val="ListParagraph"/>
        <w:spacing w:line="276" w:lineRule="auto"/>
        <w:rPr>
          <w:rFonts w:cs="Arial"/>
          <w:sz w:val="24"/>
          <w:szCs w:val="24"/>
        </w:rPr>
      </w:pPr>
      <w:r w:rsidRPr="00D03446">
        <w:rPr>
          <w:sz w:val="24"/>
          <w:szCs w:val="24"/>
          <w:highlight w:val="green"/>
        </w:rPr>
        <w:t>Customer</w:t>
      </w:r>
      <w:r w:rsidRPr="0091368B">
        <w:rPr>
          <w:sz w:val="24"/>
          <w:szCs w:val="24"/>
        </w:rPr>
        <w:t xml:space="preserve"> 2 became a Class </w:t>
      </w:r>
      <w:proofErr w:type="gramStart"/>
      <w:r w:rsidRPr="0091368B">
        <w:rPr>
          <w:sz w:val="24"/>
          <w:szCs w:val="24"/>
        </w:rPr>
        <w:t>A</w:t>
      </w:r>
      <w:proofErr w:type="gramEnd"/>
      <w:r w:rsidRPr="0091368B">
        <w:rPr>
          <w:sz w:val="24"/>
          <w:szCs w:val="24"/>
        </w:rPr>
        <w:t xml:space="preserve"> customer July 1, 2018.  The original submission should have indicated consumption January 2018 – June 2018 as Class B.</w:t>
      </w:r>
    </w:p>
    <w:p w:rsidR="00C603E1" w:rsidRPr="006823D7" w:rsidRDefault="00C603E1" w:rsidP="006823D7">
      <w:pPr>
        <w:spacing w:line="276" w:lineRule="auto"/>
        <w:rPr>
          <w:rFonts w:cs="Arial"/>
          <w:sz w:val="24"/>
          <w:szCs w:val="24"/>
        </w:rPr>
      </w:pPr>
    </w:p>
    <w:p w:rsidR="00F8212E" w:rsidRPr="006823D7" w:rsidRDefault="00F8212E" w:rsidP="006823D7">
      <w:pPr>
        <w:spacing w:line="276" w:lineRule="auto"/>
        <w:rPr>
          <w:rFonts w:cs="Arial"/>
          <w:b/>
          <w:sz w:val="24"/>
          <w:szCs w:val="24"/>
        </w:rPr>
      </w:pPr>
      <w:r w:rsidRPr="004D4837">
        <w:rPr>
          <w:rFonts w:cs="Arial"/>
          <w:b/>
          <w:sz w:val="24"/>
          <w:szCs w:val="24"/>
          <w:highlight w:val="green"/>
        </w:rPr>
        <w:t xml:space="preserve">Staff Question </w:t>
      </w:r>
      <w:r w:rsidR="006823D7" w:rsidRPr="004D4837">
        <w:rPr>
          <w:rFonts w:cs="Arial"/>
          <w:b/>
          <w:sz w:val="24"/>
          <w:szCs w:val="24"/>
          <w:highlight w:val="green"/>
        </w:rPr>
        <w:t>#9</w:t>
      </w:r>
    </w:p>
    <w:p w:rsidR="00F8212E" w:rsidRDefault="00F8212E" w:rsidP="006823D7">
      <w:pPr>
        <w:spacing w:line="276" w:lineRule="auto"/>
        <w:rPr>
          <w:rFonts w:cs="Arial"/>
          <w:b/>
          <w:sz w:val="24"/>
          <w:szCs w:val="24"/>
        </w:rPr>
      </w:pPr>
      <w:r>
        <w:rPr>
          <w:rFonts w:cs="Arial"/>
          <w:b/>
          <w:sz w:val="24"/>
          <w:szCs w:val="24"/>
        </w:rPr>
        <w:t>Ref:</w:t>
      </w:r>
      <w:r>
        <w:rPr>
          <w:rFonts w:cs="Arial"/>
          <w:b/>
          <w:sz w:val="24"/>
          <w:szCs w:val="24"/>
        </w:rPr>
        <w:tab/>
        <w:t>IRM Rate Generator, Tab 6</w:t>
      </w:r>
      <w:r w:rsidR="00662EEF">
        <w:rPr>
          <w:rFonts w:cs="Arial"/>
          <w:b/>
          <w:sz w:val="24"/>
          <w:szCs w:val="24"/>
        </w:rPr>
        <w:t>.2a</w:t>
      </w:r>
      <w:r>
        <w:rPr>
          <w:rFonts w:cs="Arial"/>
          <w:b/>
          <w:sz w:val="24"/>
          <w:szCs w:val="24"/>
        </w:rPr>
        <w:t xml:space="preserve">. </w:t>
      </w:r>
      <w:r w:rsidR="00662EEF">
        <w:rPr>
          <w:rFonts w:cs="Arial"/>
          <w:b/>
          <w:sz w:val="24"/>
          <w:szCs w:val="24"/>
        </w:rPr>
        <w:t xml:space="preserve">CBR </w:t>
      </w:r>
      <w:proofErr w:type="spellStart"/>
      <w:r w:rsidR="00662EEF">
        <w:rPr>
          <w:rFonts w:cs="Arial"/>
          <w:b/>
          <w:sz w:val="24"/>
          <w:szCs w:val="24"/>
        </w:rPr>
        <w:t>B_Allocat</w:t>
      </w:r>
      <w:r w:rsidR="00364CD5">
        <w:rPr>
          <w:rFonts w:cs="Arial"/>
          <w:b/>
          <w:sz w:val="24"/>
          <w:szCs w:val="24"/>
        </w:rPr>
        <w:t>i</w:t>
      </w:r>
      <w:r w:rsidR="00662EEF">
        <w:rPr>
          <w:rFonts w:cs="Arial"/>
          <w:b/>
          <w:sz w:val="24"/>
          <w:szCs w:val="24"/>
        </w:rPr>
        <w:t>on</w:t>
      </w:r>
      <w:proofErr w:type="spellEnd"/>
    </w:p>
    <w:p w:rsidR="00005A80" w:rsidRDefault="00662EEF" w:rsidP="006823D7">
      <w:pPr>
        <w:spacing w:line="276" w:lineRule="auto"/>
        <w:rPr>
          <w:rFonts w:cs="Arial"/>
          <w:sz w:val="24"/>
          <w:szCs w:val="24"/>
        </w:rPr>
      </w:pPr>
      <w:r>
        <w:rPr>
          <w:rFonts w:cs="Arial"/>
          <w:sz w:val="24"/>
          <w:szCs w:val="24"/>
        </w:rPr>
        <w:t>The Total Consumption Less WMP Consumption has not been populated for 2017 and 2016.</w:t>
      </w:r>
    </w:p>
    <w:p w:rsidR="00662EEF" w:rsidRDefault="00662EEF" w:rsidP="006823D7">
      <w:pPr>
        <w:pStyle w:val="ListParagraph"/>
        <w:numPr>
          <w:ilvl w:val="0"/>
          <w:numId w:val="25"/>
        </w:numPr>
        <w:spacing w:line="276" w:lineRule="auto"/>
        <w:rPr>
          <w:rFonts w:cs="Arial"/>
          <w:sz w:val="24"/>
          <w:szCs w:val="24"/>
        </w:rPr>
      </w:pPr>
      <w:r>
        <w:rPr>
          <w:rFonts w:cs="Arial"/>
          <w:sz w:val="24"/>
          <w:szCs w:val="24"/>
        </w:rPr>
        <w:t>Please provide the total consumption less WMP consumption for 2017 and 2016.</w:t>
      </w:r>
      <w:r w:rsidR="004D4837">
        <w:rPr>
          <w:rFonts w:cs="Arial"/>
          <w:sz w:val="24"/>
          <w:szCs w:val="24"/>
        </w:rPr>
        <w:br/>
      </w:r>
      <w:r w:rsidR="004D4837">
        <w:rPr>
          <w:rFonts w:cs="Arial"/>
          <w:sz w:val="24"/>
          <w:szCs w:val="24"/>
        </w:rPr>
        <w:br/>
      </w:r>
      <w:r w:rsidR="004D4837" w:rsidRPr="004D4837">
        <w:rPr>
          <w:rFonts w:cs="Arial"/>
          <w:sz w:val="24"/>
          <w:szCs w:val="24"/>
          <w:highlight w:val="green"/>
        </w:rPr>
        <w:t>Answer</w:t>
      </w:r>
      <w:proofErr w:type="gramStart"/>
      <w:r w:rsidR="004D4837" w:rsidRPr="004D4837">
        <w:rPr>
          <w:rFonts w:cs="Arial"/>
          <w:sz w:val="24"/>
          <w:szCs w:val="24"/>
          <w:highlight w:val="green"/>
        </w:rPr>
        <w:t>:</w:t>
      </w:r>
      <w:proofErr w:type="gramEnd"/>
      <w:r w:rsidR="004D4837">
        <w:rPr>
          <w:rFonts w:cs="Arial"/>
          <w:sz w:val="24"/>
          <w:szCs w:val="24"/>
        </w:rPr>
        <w:br/>
        <w:t>Please see updated Rate Generator model Tab 6.2a.</w:t>
      </w:r>
    </w:p>
    <w:p w:rsidR="00662EEF" w:rsidRDefault="00662EEF" w:rsidP="006823D7">
      <w:pPr>
        <w:spacing w:line="276" w:lineRule="auto"/>
        <w:rPr>
          <w:rFonts w:cs="Arial"/>
          <w:sz w:val="24"/>
          <w:szCs w:val="24"/>
        </w:rPr>
      </w:pPr>
    </w:p>
    <w:p w:rsidR="007634A9" w:rsidRPr="007C7CF6" w:rsidRDefault="006823D7" w:rsidP="006823D7">
      <w:pPr>
        <w:spacing w:line="276" w:lineRule="auto"/>
        <w:rPr>
          <w:rFonts w:cs="Arial"/>
          <w:b/>
          <w:sz w:val="24"/>
          <w:szCs w:val="24"/>
        </w:rPr>
      </w:pPr>
      <w:r w:rsidRPr="00703799">
        <w:rPr>
          <w:rFonts w:cs="Arial"/>
          <w:b/>
          <w:sz w:val="24"/>
          <w:szCs w:val="24"/>
          <w:highlight w:val="green"/>
        </w:rPr>
        <w:t>Staff Question #10</w:t>
      </w:r>
    </w:p>
    <w:p w:rsidR="007634A9" w:rsidRPr="007C7CF6" w:rsidRDefault="007634A9" w:rsidP="006823D7">
      <w:pPr>
        <w:spacing w:line="276" w:lineRule="auto"/>
        <w:rPr>
          <w:rFonts w:cs="Arial"/>
          <w:b/>
          <w:sz w:val="24"/>
          <w:szCs w:val="24"/>
        </w:rPr>
      </w:pPr>
      <w:r w:rsidRPr="007C7CF6">
        <w:rPr>
          <w:rFonts w:cs="Arial"/>
          <w:b/>
          <w:sz w:val="24"/>
          <w:szCs w:val="24"/>
        </w:rPr>
        <w:t>Ref: Completeness Item #</w:t>
      </w:r>
      <w:r>
        <w:rPr>
          <w:rFonts w:cs="Arial"/>
          <w:b/>
          <w:sz w:val="24"/>
          <w:szCs w:val="24"/>
        </w:rPr>
        <w:t>2</w:t>
      </w:r>
      <w:r w:rsidRPr="007C7CF6">
        <w:rPr>
          <w:rFonts w:cs="Arial"/>
          <w:b/>
          <w:sz w:val="24"/>
          <w:szCs w:val="24"/>
        </w:rPr>
        <w:t xml:space="preserve"> filed Aug. 30, 2019</w:t>
      </w:r>
      <w:r>
        <w:rPr>
          <w:rFonts w:cs="Arial"/>
          <w:b/>
          <w:sz w:val="24"/>
          <w:szCs w:val="24"/>
        </w:rPr>
        <w:t>, DVA Continuity Schedule</w:t>
      </w:r>
    </w:p>
    <w:p w:rsidR="007634A9" w:rsidRPr="00912B21" w:rsidRDefault="007634A9" w:rsidP="006823D7">
      <w:pPr>
        <w:pStyle w:val="ListParagraph"/>
        <w:numPr>
          <w:ilvl w:val="0"/>
          <w:numId w:val="30"/>
        </w:numPr>
        <w:spacing w:line="276" w:lineRule="auto"/>
        <w:rPr>
          <w:rFonts w:cs="Arial"/>
          <w:sz w:val="24"/>
          <w:szCs w:val="24"/>
        </w:rPr>
      </w:pPr>
      <w:r w:rsidRPr="00912B21">
        <w:rPr>
          <w:rFonts w:cs="Arial"/>
          <w:sz w:val="24"/>
          <w:szCs w:val="24"/>
        </w:rPr>
        <w:t xml:space="preserve">InnPower has made material adjustments to its commodity accounts from 2015 to 2018 as indicated by the evidence (an excerpt reproduced below) as it was not performing proper true-ups in the past. </w:t>
      </w:r>
    </w:p>
    <w:p w:rsidR="007634A9" w:rsidRDefault="007634A9" w:rsidP="006823D7">
      <w:pPr>
        <w:pBdr>
          <w:top w:val="single" w:sz="4" w:space="1" w:color="auto"/>
          <w:left w:val="single" w:sz="4" w:space="4" w:color="auto"/>
          <w:bottom w:val="single" w:sz="4" w:space="1" w:color="auto"/>
          <w:right w:val="single" w:sz="4" w:space="4" w:color="auto"/>
        </w:pBdr>
        <w:spacing w:line="276" w:lineRule="auto"/>
        <w:rPr>
          <w:noProof/>
        </w:rPr>
      </w:pPr>
      <w:r>
        <w:rPr>
          <w:noProof/>
        </w:rPr>
        <w:lastRenderedPageBreak/>
        <w:drawing>
          <wp:inline distT="0" distB="0" distL="0" distR="0" wp14:anchorId="41983B3A" wp14:editId="0824FF88">
            <wp:extent cx="5943600" cy="51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10540"/>
                    </a:xfrm>
                    <a:prstGeom prst="rect">
                      <a:avLst/>
                    </a:prstGeom>
                  </pic:spPr>
                </pic:pic>
              </a:graphicData>
            </a:graphic>
          </wp:inline>
        </w:drawing>
      </w:r>
      <w:r w:rsidRPr="007C7CF6">
        <w:rPr>
          <w:noProof/>
        </w:rPr>
        <w:t xml:space="preserve"> </w:t>
      </w:r>
      <w:r>
        <w:rPr>
          <w:noProof/>
        </w:rPr>
        <w:drawing>
          <wp:inline distT="0" distB="0" distL="0" distR="0" wp14:anchorId="0E6BC79F" wp14:editId="57D5CF9D">
            <wp:extent cx="5943600" cy="602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022975"/>
                    </a:xfrm>
                    <a:prstGeom prst="rect">
                      <a:avLst/>
                    </a:prstGeom>
                  </pic:spPr>
                </pic:pic>
              </a:graphicData>
            </a:graphic>
          </wp:inline>
        </w:drawing>
      </w:r>
    </w:p>
    <w:p w:rsidR="007634A9" w:rsidRPr="00E531EB" w:rsidRDefault="007634A9" w:rsidP="006823D7">
      <w:pPr>
        <w:pStyle w:val="ListParagraph"/>
        <w:numPr>
          <w:ilvl w:val="0"/>
          <w:numId w:val="30"/>
        </w:numPr>
        <w:spacing w:line="276" w:lineRule="auto"/>
        <w:rPr>
          <w:rFonts w:cs="Arial"/>
          <w:sz w:val="24"/>
          <w:szCs w:val="24"/>
        </w:rPr>
      </w:pPr>
      <w:r w:rsidRPr="00E531EB">
        <w:rPr>
          <w:rFonts w:cs="Arial"/>
          <w:sz w:val="24"/>
          <w:szCs w:val="24"/>
        </w:rPr>
        <w:t xml:space="preserve">In addition, </w:t>
      </w:r>
      <w:r>
        <w:rPr>
          <w:rFonts w:cs="Arial"/>
          <w:sz w:val="24"/>
          <w:szCs w:val="24"/>
        </w:rPr>
        <w:t xml:space="preserve">the </w:t>
      </w:r>
      <w:r w:rsidRPr="00E531EB">
        <w:rPr>
          <w:rFonts w:cs="Arial"/>
          <w:sz w:val="24"/>
          <w:szCs w:val="24"/>
        </w:rPr>
        <w:t>OEB expressed numerous concerns</w:t>
      </w:r>
      <w:r>
        <w:rPr>
          <w:rStyle w:val="FootnoteReference"/>
          <w:rFonts w:cs="Arial"/>
          <w:sz w:val="24"/>
          <w:szCs w:val="24"/>
        </w:rPr>
        <w:footnoteReference w:id="2"/>
      </w:r>
      <w:r w:rsidRPr="00E531EB">
        <w:rPr>
          <w:rFonts w:cs="Arial"/>
          <w:sz w:val="24"/>
          <w:szCs w:val="24"/>
        </w:rPr>
        <w:t xml:space="preserve"> </w:t>
      </w:r>
      <w:r>
        <w:rPr>
          <w:rFonts w:cs="Arial"/>
          <w:sz w:val="24"/>
          <w:szCs w:val="24"/>
        </w:rPr>
        <w:t>over InnP</w:t>
      </w:r>
      <w:r w:rsidRPr="00E531EB">
        <w:rPr>
          <w:rFonts w:cs="Arial"/>
          <w:sz w:val="24"/>
          <w:szCs w:val="24"/>
        </w:rPr>
        <w:t xml:space="preserve">ower’s settlement and accounting processes </w:t>
      </w:r>
      <w:r>
        <w:rPr>
          <w:rFonts w:cs="Arial"/>
          <w:sz w:val="24"/>
          <w:szCs w:val="24"/>
        </w:rPr>
        <w:t xml:space="preserve">and </w:t>
      </w:r>
      <w:r w:rsidRPr="00E531EB">
        <w:rPr>
          <w:rFonts w:cs="Arial"/>
          <w:sz w:val="24"/>
          <w:szCs w:val="24"/>
        </w:rPr>
        <w:t>its Group 1 account balances, and ordered an audit. It stated:</w:t>
      </w:r>
    </w:p>
    <w:p w:rsidR="007634A9" w:rsidRDefault="007634A9" w:rsidP="006823D7">
      <w:pPr>
        <w:pStyle w:val="ListParagraph"/>
        <w:spacing w:line="276" w:lineRule="auto"/>
        <w:rPr>
          <w:rFonts w:cs="Arial"/>
          <w:sz w:val="24"/>
          <w:szCs w:val="24"/>
        </w:rPr>
      </w:pPr>
    </w:p>
    <w:p w:rsidR="007634A9" w:rsidRDefault="007634A9" w:rsidP="006823D7">
      <w:pPr>
        <w:pStyle w:val="ListParagraph"/>
        <w:pBdr>
          <w:top w:val="single" w:sz="4" w:space="1" w:color="auto"/>
          <w:left w:val="single" w:sz="4" w:space="4" w:color="auto"/>
          <w:bottom w:val="single" w:sz="4" w:space="1" w:color="auto"/>
          <w:right w:val="single" w:sz="4" w:space="4" w:color="auto"/>
        </w:pBdr>
        <w:spacing w:line="276" w:lineRule="auto"/>
        <w:rPr>
          <w:rFonts w:cs="Arial"/>
          <w:sz w:val="24"/>
          <w:szCs w:val="24"/>
        </w:rPr>
      </w:pPr>
      <w:r>
        <w:rPr>
          <w:noProof/>
        </w:rPr>
        <w:lastRenderedPageBreak/>
        <w:drawing>
          <wp:inline distT="0" distB="0" distL="0" distR="0" wp14:anchorId="408AA45C" wp14:editId="21D02D99">
            <wp:extent cx="5486400" cy="1221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1221740"/>
                    </a:xfrm>
                    <a:prstGeom prst="rect">
                      <a:avLst/>
                    </a:prstGeom>
                  </pic:spPr>
                </pic:pic>
              </a:graphicData>
            </a:graphic>
          </wp:inline>
        </w:drawing>
      </w:r>
    </w:p>
    <w:p w:rsidR="007634A9" w:rsidRDefault="007634A9" w:rsidP="006823D7">
      <w:pPr>
        <w:pStyle w:val="ListParagraph"/>
        <w:spacing w:line="276" w:lineRule="auto"/>
        <w:rPr>
          <w:rFonts w:cs="Arial"/>
          <w:sz w:val="24"/>
          <w:szCs w:val="24"/>
        </w:rPr>
      </w:pPr>
    </w:p>
    <w:p w:rsidR="007634A9" w:rsidRDefault="007634A9" w:rsidP="006823D7">
      <w:pPr>
        <w:spacing w:line="276" w:lineRule="auto"/>
        <w:rPr>
          <w:rFonts w:cs="Arial"/>
          <w:sz w:val="24"/>
          <w:szCs w:val="24"/>
        </w:rPr>
      </w:pPr>
      <w:r>
        <w:rPr>
          <w:rFonts w:cs="Arial"/>
          <w:sz w:val="24"/>
          <w:szCs w:val="24"/>
        </w:rPr>
        <w:t xml:space="preserve">OEB staff notes that the audit has not yet been completed. </w:t>
      </w:r>
    </w:p>
    <w:p w:rsidR="007634A9" w:rsidRDefault="007634A9" w:rsidP="006823D7">
      <w:pPr>
        <w:spacing w:line="276" w:lineRule="auto"/>
        <w:rPr>
          <w:rFonts w:cs="Arial"/>
          <w:sz w:val="24"/>
          <w:szCs w:val="24"/>
        </w:rPr>
      </w:pPr>
      <w:r>
        <w:rPr>
          <w:rFonts w:cs="Arial"/>
          <w:sz w:val="24"/>
          <w:szCs w:val="24"/>
        </w:rPr>
        <w:t>Given the magnitude of the adjustments made by InnPower to the commodity accounts (provided in part a) above), and the OEB’s concerns over the accuracy of InnPower’s commodity variance accounts, why does InnPower deem it appropriate to dispose of the commodity account balances before the completion of the audit?</w:t>
      </w:r>
    </w:p>
    <w:p w:rsidR="002C2505" w:rsidRPr="004D4837" w:rsidRDefault="002C2505" w:rsidP="006823D7">
      <w:pPr>
        <w:spacing w:line="276" w:lineRule="auto"/>
        <w:rPr>
          <w:rFonts w:cs="Arial"/>
          <w:sz w:val="24"/>
          <w:szCs w:val="24"/>
          <w:highlight w:val="green"/>
        </w:rPr>
      </w:pPr>
      <w:r w:rsidRPr="004D4837">
        <w:rPr>
          <w:rFonts w:cs="Arial"/>
          <w:sz w:val="24"/>
          <w:szCs w:val="24"/>
          <w:highlight w:val="green"/>
        </w:rPr>
        <w:t>Answer:</w:t>
      </w:r>
    </w:p>
    <w:p w:rsidR="0050142C" w:rsidRDefault="002C2505" w:rsidP="006823D7">
      <w:pPr>
        <w:spacing w:line="276" w:lineRule="auto"/>
        <w:rPr>
          <w:rFonts w:cs="Arial"/>
          <w:sz w:val="24"/>
          <w:szCs w:val="24"/>
        </w:rPr>
      </w:pPr>
      <w:r w:rsidRPr="006631EF">
        <w:rPr>
          <w:rFonts w:cs="Arial"/>
          <w:sz w:val="24"/>
          <w:szCs w:val="24"/>
        </w:rPr>
        <w:t xml:space="preserve">InnPower has </w:t>
      </w:r>
      <w:r w:rsidR="0050142C" w:rsidRPr="006631EF">
        <w:rPr>
          <w:rFonts w:cs="Arial"/>
          <w:sz w:val="24"/>
          <w:szCs w:val="24"/>
        </w:rPr>
        <w:t>requested in its application an interim rate order in the event that a full disposition was not ordered. The interim order</w:t>
      </w:r>
      <w:r w:rsidR="008518A4" w:rsidRPr="006631EF">
        <w:rPr>
          <w:rFonts w:cs="Arial"/>
          <w:sz w:val="24"/>
          <w:szCs w:val="24"/>
        </w:rPr>
        <w:t xml:space="preserve"> is</w:t>
      </w:r>
      <w:r w:rsidR="0050142C" w:rsidRPr="006631EF">
        <w:rPr>
          <w:rFonts w:cs="Arial"/>
          <w:sz w:val="24"/>
          <w:szCs w:val="24"/>
        </w:rPr>
        <w:t xml:space="preserve"> to alleviate the potential for increased rates as a result of disposing </w:t>
      </w:r>
      <w:r w:rsidR="002A2784" w:rsidRPr="006631EF">
        <w:rPr>
          <w:rFonts w:cs="Arial"/>
          <w:sz w:val="24"/>
          <w:szCs w:val="24"/>
        </w:rPr>
        <w:t>of 3 years, or more, of Group 1 accounts</w:t>
      </w:r>
      <w:r w:rsidR="0050142C" w:rsidRPr="006631EF">
        <w:rPr>
          <w:rFonts w:cs="Arial"/>
          <w:sz w:val="24"/>
          <w:szCs w:val="24"/>
        </w:rPr>
        <w:t>. InnPower agrees</w:t>
      </w:r>
      <w:r w:rsidR="008518A4" w:rsidRPr="006631EF">
        <w:rPr>
          <w:rFonts w:cs="Arial"/>
          <w:sz w:val="24"/>
          <w:szCs w:val="24"/>
        </w:rPr>
        <w:t xml:space="preserve"> and confirms</w:t>
      </w:r>
      <w:r w:rsidR="0050142C" w:rsidRPr="006631EF">
        <w:rPr>
          <w:rFonts w:cs="Arial"/>
          <w:sz w:val="24"/>
          <w:szCs w:val="24"/>
        </w:rPr>
        <w:t xml:space="preserve"> that the OEB has not started the audit on InnPower’s Group 1 </w:t>
      </w:r>
      <w:r w:rsidR="002A2784" w:rsidRPr="006631EF">
        <w:rPr>
          <w:rFonts w:cs="Arial"/>
          <w:sz w:val="24"/>
          <w:szCs w:val="24"/>
        </w:rPr>
        <w:t>accounts</w:t>
      </w:r>
      <w:r w:rsidR="0050142C" w:rsidRPr="006631EF">
        <w:rPr>
          <w:rFonts w:cs="Arial"/>
          <w:sz w:val="24"/>
          <w:szCs w:val="24"/>
        </w:rPr>
        <w:t>. To our knowledge the OEB has not been in contact with InnPower to setup or arrange the audit</w:t>
      </w:r>
      <w:r w:rsidR="008518A4" w:rsidRPr="006631EF">
        <w:rPr>
          <w:rFonts w:cs="Arial"/>
          <w:sz w:val="24"/>
          <w:szCs w:val="24"/>
        </w:rPr>
        <w:t xml:space="preserve"> which, as noted above, was included in the Decision and Rate Order EB-2018-0045 issued December 13, 2018</w:t>
      </w:r>
      <w:r w:rsidR="0050142C" w:rsidRPr="006631EF">
        <w:rPr>
          <w:rFonts w:cs="Arial"/>
          <w:sz w:val="24"/>
          <w:szCs w:val="24"/>
        </w:rPr>
        <w:t>. InnPower is requesting that an interim rate order be issued for the disposition of the Group 1</w:t>
      </w:r>
      <w:r w:rsidR="008518A4" w:rsidRPr="006631EF">
        <w:rPr>
          <w:rFonts w:cs="Arial"/>
          <w:sz w:val="24"/>
          <w:szCs w:val="24"/>
        </w:rPr>
        <w:t xml:space="preserve"> accounts until such time as the OEB audit has been performed and completed.</w:t>
      </w:r>
    </w:p>
    <w:p w:rsidR="007634A9" w:rsidRDefault="007634A9" w:rsidP="006823D7">
      <w:pPr>
        <w:spacing w:line="276" w:lineRule="auto"/>
        <w:rPr>
          <w:rFonts w:cs="Arial"/>
          <w:b/>
          <w:sz w:val="24"/>
          <w:szCs w:val="24"/>
        </w:rPr>
      </w:pPr>
    </w:p>
    <w:p w:rsidR="007634A9" w:rsidRDefault="006823D7" w:rsidP="006823D7">
      <w:pPr>
        <w:spacing w:line="276" w:lineRule="auto"/>
        <w:rPr>
          <w:rFonts w:cs="Arial"/>
          <w:b/>
          <w:sz w:val="24"/>
          <w:szCs w:val="24"/>
        </w:rPr>
      </w:pPr>
      <w:r w:rsidRPr="00703799">
        <w:rPr>
          <w:rFonts w:cs="Arial"/>
          <w:b/>
          <w:sz w:val="24"/>
          <w:szCs w:val="24"/>
          <w:highlight w:val="green"/>
        </w:rPr>
        <w:t>Staff Question #11</w:t>
      </w:r>
    </w:p>
    <w:p w:rsidR="007634A9" w:rsidRDefault="007634A9" w:rsidP="006823D7">
      <w:pPr>
        <w:spacing w:line="276" w:lineRule="auto"/>
        <w:rPr>
          <w:rFonts w:cs="Arial"/>
          <w:b/>
          <w:sz w:val="24"/>
          <w:szCs w:val="24"/>
        </w:rPr>
      </w:pPr>
      <w:r>
        <w:rPr>
          <w:rFonts w:cs="Arial"/>
          <w:b/>
          <w:sz w:val="24"/>
          <w:szCs w:val="24"/>
        </w:rPr>
        <w:t xml:space="preserve">Ref: GA Analysis </w:t>
      </w:r>
      <w:proofErr w:type="spellStart"/>
      <w:r>
        <w:rPr>
          <w:rFonts w:cs="Arial"/>
          <w:b/>
          <w:sz w:val="24"/>
          <w:szCs w:val="24"/>
        </w:rPr>
        <w:t>Workform</w:t>
      </w:r>
      <w:proofErr w:type="spellEnd"/>
      <w:r>
        <w:rPr>
          <w:rFonts w:cs="Arial"/>
          <w:b/>
          <w:sz w:val="24"/>
          <w:szCs w:val="24"/>
        </w:rPr>
        <w:t xml:space="preserve"> for years 2015, 2016, 2017 and 2018</w:t>
      </w:r>
    </w:p>
    <w:p w:rsidR="007634A9" w:rsidRDefault="007634A9" w:rsidP="006823D7">
      <w:pPr>
        <w:spacing w:line="276" w:lineRule="auto"/>
        <w:rPr>
          <w:rFonts w:cs="Arial"/>
          <w:sz w:val="24"/>
          <w:szCs w:val="24"/>
        </w:rPr>
      </w:pPr>
      <w:r>
        <w:rPr>
          <w:rFonts w:cs="Arial"/>
          <w:sz w:val="24"/>
          <w:szCs w:val="24"/>
        </w:rPr>
        <w:t>The Table below provides the calculated loss factor in the evidence for each of the 4 years:</w:t>
      </w:r>
    </w:p>
    <w:tbl>
      <w:tblPr>
        <w:tblStyle w:val="TableGrid"/>
        <w:tblW w:w="0" w:type="auto"/>
        <w:tblInd w:w="1165" w:type="dxa"/>
        <w:tblLook w:val="04A0" w:firstRow="1" w:lastRow="0" w:firstColumn="1" w:lastColumn="0" w:noHBand="0" w:noVBand="1"/>
      </w:tblPr>
      <w:tblGrid>
        <w:gridCol w:w="1980"/>
        <w:gridCol w:w="1351"/>
      </w:tblGrid>
      <w:tr w:rsidR="007634A9" w:rsidTr="00185153">
        <w:tc>
          <w:tcPr>
            <w:tcW w:w="1980" w:type="dxa"/>
          </w:tcPr>
          <w:p w:rsidR="007634A9" w:rsidRDefault="007634A9" w:rsidP="006823D7">
            <w:pPr>
              <w:spacing w:line="276" w:lineRule="auto"/>
              <w:rPr>
                <w:rFonts w:cs="Arial"/>
                <w:sz w:val="24"/>
                <w:szCs w:val="24"/>
              </w:rPr>
            </w:pPr>
            <w:r>
              <w:rPr>
                <w:rFonts w:cs="Arial"/>
                <w:sz w:val="24"/>
                <w:szCs w:val="24"/>
              </w:rPr>
              <w:t>Year</w:t>
            </w:r>
          </w:p>
        </w:tc>
        <w:tc>
          <w:tcPr>
            <w:tcW w:w="1350" w:type="dxa"/>
          </w:tcPr>
          <w:p w:rsidR="007634A9" w:rsidRDefault="007634A9" w:rsidP="006823D7">
            <w:pPr>
              <w:spacing w:line="276" w:lineRule="auto"/>
              <w:rPr>
                <w:rFonts w:cs="Arial"/>
                <w:sz w:val="24"/>
                <w:szCs w:val="24"/>
              </w:rPr>
            </w:pPr>
            <w:r>
              <w:rPr>
                <w:rFonts w:cs="Arial"/>
                <w:sz w:val="24"/>
                <w:szCs w:val="24"/>
              </w:rPr>
              <w:t>Calculated Loss Factor</w:t>
            </w:r>
          </w:p>
        </w:tc>
      </w:tr>
      <w:tr w:rsidR="007634A9" w:rsidTr="00185153">
        <w:tc>
          <w:tcPr>
            <w:tcW w:w="1980" w:type="dxa"/>
          </w:tcPr>
          <w:p w:rsidR="007634A9" w:rsidRDefault="007634A9" w:rsidP="006823D7">
            <w:pPr>
              <w:spacing w:line="276" w:lineRule="auto"/>
              <w:rPr>
                <w:rFonts w:cs="Arial"/>
                <w:sz w:val="24"/>
                <w:szCs w:val="24"/>
              </w:rPr>
            </w:pPr>
            <w:r>
              <w:rPr>
                <w:rFonts w:cs="Arial"/>
                <w:sz w:val="24"/>
                <w:szCs w:val="24"/>
              </w:rPr>
              <w:t>2015</w:t>
            </w:r>
          </w:p>
        </w:tc>
        <w:tc>
          <w:tcPr>
            <w:tcW w:w="1350" w:type="dxa"/>
          </w:tcPr>
          <w:p w:rsidR="007634A9" w:rsidRDefault="007634A9" w:rsidP="006823D7">
            <w:pPr>
              <w:spacing w:line="276" w:lineRule="auto"/>
              <w:rPr>
                <w:rFonts w:cs="Arial"/>
                <w:sz w:val="24"/>
                <w:szCs w:val="24"/>
              </w:rPr>
            </w:pPr>
            <w:r>
              <w:rPr>
                <w:rFonts w:cs="Arial"/>
                <w:sz w:val="24"/>
                <w:szCs w:val="24"/>
              </w:rPr>
              <w:t>1.0720</w:t>
            </w:r>
          </w:p>
        </w:tc>
      </w:tr>
      <w:tr w:rsidR="007634A9" w:rsidTr="00185153">
        <w:tc>
          <w:tcPr>
            <w:tcW w:w="1980" w:type="dxa"/>
          </w:tcPr>
          <w:p w:rsidR="007634A9" w:rsidRDefault="007634A9" w:rsidP="006823D7">
            <w:pPr>
              <w:spacing w:line="276" w:lineRule="auto"/>
              <w:rPr>
                <w:rFonts w:cs="Arial"/>
                <w:sz w:val="24"/>
                <w:szCs w:val="24"/>
              </w:rPr>
            </w:pPr>
            <w:r>
              <w:rPr>
                <w:rFonts w:cs="Arial"/>
                <w:sz w:val="24"/>
                <w:szCs w:val="24"/>
              </w:rPr>
              <w:t>2016</w:t>
            </w:r>
          </w:p>
        </w:tc>
        <w:tc>
          <w:tcPr>
            <w:tcW w:w="1350" w:type="dxa"/>
          </w:tcPr>
          <w:p w:rsidR="007634A9" w:rsidRDefault="007634A9" w:rsidP="006823D7">
            <w:pPr>
              <w:spacing w:line="276" w:lineRule="auto"/>
              <w:rPr>
                <w:rFonts w:cs="Arial"/>
                <w:sz w:val="24"/>
                <w:szCs w:val="24"/>
              </w:rPr>
            </w:pPr>
            <w:r>
              <w:rPr>
                <w:rFonts w:cs="Arial"/>
                <w:sz w:val="24"/>
                <w:szCs w:val="24"/>
              </w:rPr>
              <w:t>1.0747</w:t>
            </w:r>
          </w:p>
        </w:tc>
      </w:tr>
      <w:tr w:rsidR="007634A9" w:rsidTr="00185153">
        <w:tc>
          <w:tcPr>
            <w:tcW w:w="1980" w:type="dxa"/>
          </w:tcPr>
          <w:p w:rsidR="007634A9" w:rsidRDefault="007634A9" w:rsidP="006823D7">
            <w:pPr>
              <w:spacing w:line="276" w:lineRule="auto"/>
              <w:rPr>
                <w:rFonts w:cs="Arial"/>
                <w:sz w:val="24"/>
                <w:szCs w:val="24"/>
              </w:rPr>
            </w:pPr>
            <w:r>
              <w:rPr>
                <w:rFonts w:cs="Arial"/>
                <w:sz w:val="24"/>
                <w:szCs w:val="24"/>
              </w:rPr>
              <w:t>2017</w:t>
            </w:r>
          </w:p>
        </w:tc>
        <w:tc>
          <w:tcPr>
            <w:tcW w:w="1350" w:type="dxa"/>
          </w:tcPr>
          <w:p w:rsidR="007634A9" w:rsidRDefault="007634A9" w:rsidP="006823D7">
            <w:pPr>
              <w:spacing w:line="276" w:lineRule="auto"/>
              <w:rPr>
                <w:rFonts w:cs="Arial"/>
                <w:sz w:val="24"/>
                <w:szCs w:val="24"/>
              </w:rPr>
            </w:pPr>
            <w:r>
              <w:rPr>
                <w:rFonts w:cs="Arial"/>
                <w:sz w:val="24"/>
                <w:szCs w:val="24"/>
              </w:rPr>
              <w:t>1.0385</w:t>
            </w:r>
          </w:p>
        </w:tc>
      </w:tr>
      <w:tr w:rsidR="007634A9" w:rsidTr="00185153">
        <w:tc>
          <w:tcPr>
            <w:tcW w:w="1980" w:type="dxa"/>
          </w:tcPr>
          <w:p w:rsidR="007634A9" w:rsidRDefault="007634A9" w:rsidP="006823D7">
            <w:pPr>
              <w:spacing w:line="276" w:lineRule="auto"/>
              <w:rPr>
                <w:rFonts w:cs="Arial"/>
                <w:sz w:val="24"/>
                <w:szCs w:val="24"/>
              </w:rPr>
            </w:pPr>
            <w:r>
              <w:rPr>
                <w:rFonts w:cs="Arial"/>
                <w:sz w:val="24"/>
                <w:szCs w:val="24"/>
              </w:rPr>
              <w:t>2018</w:t>
            </w:r>
          </w:p>
        </w:tc>
        <w:tc>
          <w:tcPr>
            <w:tcW w:w="1350" w:type="dxa"/>
          </w:tcPr>
          <w:p w:rsidR="007634A9" w:rsidRDefault="007634A9" w:rsidP="006823D7">
            <w:pPr>
              <w:spacing w:line="276" w:lineRule="auto"/>
              <w:rPr>
                <w:rFonts w:cs="Arial"/>
                <w:sz w:val="24"/>
                <w:szCs w:val="24"/>
              </w:rPr>
            </w:pPr>
            <w:r>
              <w:rPr>
                <w:rFonts w:cs="Arial"/>
                <w:sz w:val="24"/>
                <w:szCs w:val="24"/>
              </w:rPr>
              <w:t>0.09503</w:t>
            </w:r>
          </w:p>
        </w:tc>
      </w:tr>
    </w:tbl>
    <w:p w:rsidR="007634A9" w:rsidRDefault="007634A9" w:rsidP="006823D7">
      <w:pPr>
        <w:spacing w:line="276" w:lineRule="auto"/>
        <w:rPr>
          <w:rFonts w:cs="Arial"/>
          <w:sz w:val="24"/>
          <w:szCs w:val="24"/>
        </w:rPr>
      </w:pPr>
      <w:r>
        <w:rPr>
          <w:rFonts w:cs="Arial"/>
          <w:sz w:val="24"/>
          <w:szCs w:val="24"/>
        </w:rPr>
        <w:t>Please explain the variation in the calculated loss factor over the years.</w:t>
      </w:r>
    </w:p>
    <w:p w:rsidR="00703799" w:rsidRPr="0046408C" w:rsidRDefault="00703799" w:rsidP="006823D7">
      <w:pPr>
        <w:spacing w:line="276" w:lineRule="auto"/>
        <w:rPr>
          <w:rFonts w:cs="Arial"/>
          <w:sz w:val="24"/>
          <w:szCs w:val="24"/>
        </w:rPr>
      </w:pPr>
      <w:r w:rsidRPr="00936EBF">
        <w:rPr>
          <w:rFonts w:cs="Arial"/>
          <w:sz w:val="24"/>
          <w:szCs w:val="24"/>
          <w:highlight w:val="green"/>
        </w:rPr>
        <w:lastRenderedPageBreak/>
        <w:t>Answer:</w:t>
      </w:r>
    </w:p>
    <w:p w:rsidR="00F70A32" w:rsidRDefault="00703799" w:rsidP="006823D7">
      <w:pPr>
        <w:spacing w:line="276" w:lineRule="auto"/>
        <w:rPr>
          <w:rFonts w:cs="Arial"/>
          <w:sz w:val="24"/>
          <w:szCs w:val="24"/>
        </w:rPr>
      </w:pPr>
      <w:r>
        <w:rPr>
          <w:rFonts w:cs="Arial"/>
          <w:sz w:val="24"/>
          <w:szCs w:val="24"/>
        </w:rPr>
        <w:t>See file IRR staff question 11_EB-2019-0045</w:t>
      </w:r>
      <w:r w:rsidR="00936EBF">
        <w:rPr>
          <w:rFonts w:cs="Arial"/>
          <w:sz w:val="24"/>
          <w:szCs w:val="24"/>
        </w:rPr>
        <w:t>_November 5_2019.xlsx</w:t>
      </w:r>
    </w:p>
    <w:p w:rsidR="007634A9" w:rsidRPr="007C7CF6" w:rsidRDefault="006823D7" w:rsidP="006823D7">
      <w:pPr>
        <w:spacing w:line="276" w:lineRule="auto"/>
        <w:rPr>
          <w:rFonts w:cs="Arial"/>
          <w:b/>
          <w:sz w:val="24"/>
          <w:szCs w:val="24"/>
        </w:rPr>
      </w:pPr>
      <w:r w:rsidRPr="00703799">
        <w:rPr>
          <w:rFonts w:cs="Arial"/>
          <w:b/>
          <w:sz w:val="24"/>
          <w:szCs w:val="24"/>
          <w:highlight w:val="green"/>
        </w:rPr>
        <w:t>Staff Question #12</w:t>
      </w:r>
    </w:p>
    <w:p w:rsidR="007634A9" w:rsidRDefault="007634A9" w:rsidP="006823D7">
      <w:pPr>
        <w:spacing w:line="276" w:lineRule="auto"/>
        <w:rPr>
          <w:rFonts w:cs="Arial"/>
          <w:b/>
          <w:sz w:val="24"/>
          <w:szCs w:val="24"/>
        </w:rPr>
      </w:pPr>
      <w:r w:rsidRPr="007C7CF6">
        <w:rPr>
          <w:rFonts w:cs="Arial"/>
          <w:b/>
          <w:sz w:val="24"/>
          <w:szCs w:val="24"/>
        </w:rPr>
        <w:t xml:space="preserve">Ref: </w:t>
      </w:r>
      <w:r w:rsidR="00ED3697">
        <w:rPr>
          <w:rFonts w:cs="Arial"/>
          <w:b/>
          <w:sz w:val="24"/>
          <w:szCs w:val="24"/>
        </w:rPr>
        <w:t xml:space="preserve">Response to </w:t>
      </w:r>
      <w:r w:rsidRPr="007C7CF6">
        <w:rPr>
          <w:rFonts w:cs="Arial"/>
          <w:b/>
          <w:sz w:val="24"/>
          <w:szCs w:val="24"/>
        </w:rPr>
        <w:t>Completeness</w:t>
      </w:r>
      <w:r w:rsidR="00ED3697">
        <w:rPr>
          <w:rFonts w:cs="Arial"/>
          <w:b/>
          <w:sz w:val="24"/>
          <w:szCs w:val="24"/>
        </w:rPr>
        <w:t xml:space="preserve"> Letter</w:t>
      </w:r>
      <w:r w:rsidRPr="007C7CF6">
        <w:rPr>
          <w:rFonts w:cs="Arial"/>
          <w:b/>
          <w:sz w:val="24"/>
          <w:szCs w:val="24"/>
        </w:rPr>
        <w:t xml:space="preserve"> Item #</w:t>
      </w:r>
      <w:r>
        <w:rPr>
          <w:rFonts w:cs="Arial"/>
          <w:b/>
          <w:sz w:val="24"/>
          <w:szCs w:val="24"/>
        </w:rPr>
        <w:t>3</w:t>
      </w:r>
      <w:r w:rsidR="00ED3697">
        <w:rPr>
          <w:rFonts w:cs="Arial"/>
          <w:b/>
          <w:sz w:val="24"/>
          <w:szCs w:val="24"/>
        </w:rPr>
        <w:t>,</w:t>
      </w:r>
      <w:r w:rsidRPr="007C7CF6">
        <w:rPr>
          <w:rFonts w:cs="Arial"/>
          <w:b/>
          <w:sz w:val="24"/>
          <w:szCs w:val="24"/>
        </w:rPr>
        <w:t xml:space="preserve"> filed Aug. 30, 2019</w:t>
      </w:r>
    </w:p>
    <w:p w:rsidR="007634A9" w:rsidRPr="00F45008" w:rsidRDefault="007634A9" w:rsidP="006823D7">
      <w:pPr>
        <w:spacing w:line="276" w:lineRule="auto"/>
        <w:rPr>
          <w:rFonts w:cs="Arial"/>
          <w:sz w:val="24"/>
          <w:szCs w:val="24"/>
        </w:rPr>
      </w:pPr>
      <w:r w:rsidRPr="00F45008">
        <w:rPr>
          <w:rFonts w:cs="Arial"/>
          <w:sz w:val="24"/>
          <w:szCs w:val="24"/>
        </w:rPr>
        <w:t>InnPower “confirms that it follows the OEB’s letter dated May 23, 2017 – Guidance on the disposition of Accounts 1588 and 1589.”</w:t>
      </w:r>
    </w:p>
    <w:p w:rsidR="00F45008" w:rsidRPr="00F45008" w:rsidRDefault="00F45008" w:rsidP="006823D7">
      <w:pPr>
        <w:spacing w:line="276" w:lineRule="auto"/>
        <w:rPr>
          <w:rFonts w:cs="Arial"/>
          <w:sz w:val="24"/>
          <w:szCs w:val="24"/>
        </w:rPr>
      </w:pPr>
      <w:r w:rsidRPr="00F45008">
        <w:rPr>
          <w:color w:val="000000"/>
          <w:sz w:val="24"/>
          <w:szCs w:val="24"/>
        </w:rPr>
        <w:t>On February 21, 2019, the OEB issued its letter entitled Accounting Guidance related to Accounts 1588 Power, and 1589 RSVA Global Adjustment as well as the related accounting guidance. The accounting guidance is effective January 1, 2019 and is to be implemented by August 31, 2019. Distributors are expected to consider the accounting guidance in the context of historical balances that have yet to be disposed on a final basis (including the 2018 balances that may be requested for disposition in this rate application). In this application, distributors are to provide a status update on the implementation of the new accounting guidance, a review of historical balances, results of the review, and any adjustments made to account balances.</w:t>
      </w:r>
    </w:p>
    <w:p w:rsidR="00F45008" w:rsidRDefault="007634A9" w:rsidP="006823D7">
      <w:pPr>
        <w:pStyle w:val="ListParagraph"/>
        <w:numPr>
          <w:ilvl w:val="0"/>
          <w:numId w:val="31"/>
        </w:numPr>
        <w:spacing w:line="276" w:lineRule="auto"/>
        <w:rPr>
          <w:rFonts w:cs="Arial"/>
          <w:sz w:val="24"/>
          <w:szCs w:val="24"/>
        </w:rPr>
      </w:pPr>
      <w:r w:rsidRPr="00F45008">
        <w:rPr>
          <w:rFonts w:cs="Arial"/>
          <w:sz w:val="24"/>
          <w:szCs w:val="24"/>
        </w:rPr>
        <w:t xml:space="preserve">Can InnPower confirm that it has also implemented guidance </w:t>
      </w:r>
      <w:r w:rsidR="00F45008" w:rsidRPr="00F45008">
        <w:rPr>
          <w:rFonts w:cs="Arial"/>
          <w:sz w:val="24"/>
          <w:szCs w:val="24"/>
        </w:rPr>
        <w:t xml:space="preserve">in the </w:t>
      </w:r>
      <w:r w:rsidR="00F45008" w:rsidRPr="00ED3697">
        <w:rPr>
          <w:rFonts w:cs="Arial"/>
          <w:b/>
          <w:sz w:val="24"/>
          <w:szCs w:val="24"/>
        </w:rPr>
        <w:t>February 21, 2019</w:t>
      </w:r>
      <w:r w:rsidR="00F45008" w:rsidRPr="00F45008">
        <w:rPr>
          <w:rFonts w:cs="Arial"/>
          <w:sz w:val="24"/>
          <w:szCs w:val="24"/>
        </w:rPr>
        <w:t xml:space="preserve"> </w:t>
      </w:r>
      <w:r w:rsidR="00F45008">
        <w:rPr>
          <w:rFonts w:cs="Arial"/>
          <w:sz w:val="24"/>
          <w:szCs w:val="24"/>
        </w:rPr>
        <w:t>letter? If not,</w:t>
      </w:r>
      <w:r w:rsidR="00ED3697">
        <w:rPr>
          <w:rFonts w:cs="Arial"/>
          <w:sz w:val="24"/>
          <w:szCs w:val="24"/>
        </w:rPr>
        <w:t xml:space="preserve"> please explain why and provide </w:t>
      </w:r>
      <w:r w:rsidR="00F45008">
        <w:rPr>
          <w:rFonts w:cs="Arial"/>
          <w:sz w:val="24"/>
          <w:szCs w:val="24"/>
        </w:rPr>
        <w:t>InnPower</w:t>
      </w:r>
      <w:r w:rsidR="00ED3697">
        <w:rPr>
          <w:rFonts w:cs="Arial"/>
          <w:sz w:val="24"/>
          <w:szCs w:val="24"/>
        </w:rPr>
        <w:t xml:space="preserve">’s </w:t>
      </w:r>
      <w:r w:rsidR="00F45008">
        <w:rPr>
          <w:rFonts w:cs="Arial"/>
          <w:sz w:val="24"/>
          <w:szCs w:val="24"/>
        </w:rPr>
        <w:t>plan for when this guidance will be implemented?</w:t>
      </w:r>
    </w:p>
    <w:p w:rsidR="00D35637" w:rsidRPr="006631EF" w:rsidRDefault="00D35637" w:rsidP="00D35637">
      <w:pPr>
        <w:spacing w:line="276" w:lineRule="auto"/>
        <w:rPr>
          <w:rFonts w:cs="Arial"/>
          <w:sz w:val="24"/>
          <w:szCs w:val="24"/>
        </w:rPr>
      </w:pPr>
      <w:r w:rsidRPr="00936EBF">
        <w:rPr>
          <w:rFonts w:cs="Arial"/>
          <w:sz w:val="24"/>
          <w:szCs w:val="24"/>
          <w:highlight w:val="green"/>
        </w:rPr>
        <w:t>Answ</w:t>
      </w:r>
      <w:r w:rsidR="006631EF" w:rsidRPr="00936EBF">
        <w:rPr>
          <w:rFonts w:cs="Arial"/>
          <w:sz w:val="24"/>
          <w:szCs w:val="24"/>
          <w:highlight w:val="green"/>
        </w:rPr>
        <w:t>er:</w:t>
      </w:r>
    </w:p>
    <w:p w:rsidR="006631EF" w:rsidRPr="00EC1F3C" w:rsidRDefault="006E6664" w:rsidP="006E6664">
      <w:pPr>
        <w:spacing w:line="276" w:lineRule="auto"/>
        <w:rPr>
          <w:rFonts w:ascii="Times New Roman" w:hAnsi="Times New Roman" w:cs="Times New Roman"/>
          <w:sz w:val="24"/>
          <w:szCs w:val="24"/>
        </w:rPr>
      </w:pPr>
      <w:r>
        <w:rPr>
          <w:rFonts w:cs="Arial"/>
          <w:sz w:val="24"/>
          <w:szCs w:val="24"/>
        </w:rPr>
        <w:t>InnPower has resubmitted its certification letter indicating InnPower has implemented the guidance in the February 21, 2019 letter.</w:t>
      </w:r>
    </w:p>
    <w:p w:rsidR="006631EF" w:rsidRDefault="006631EF" w:rsidP="00D35637">
      <w:pPr>
        <w:spacing w:line="276" w:lineRule="auto"/>
        <w:rPr>
          <w:rFonts w:cs="Arial"/>
          <w:sz w:val="24"/>
          <w:szCs w:val="24"/>
        </w:rPr>
      </w:pPr>
    </w:p>
    <w:p w:rsidR="006631EF" w:rsidRPr="00D35637" w:rsidRDefault="006631EF" w:rsidP="00D35637">
      <w:pPr>
        <w:spacing w:line="276" w:lineRule="auto"/>
        <w:rPr>
          <w:rFonts w:cs="Arial"/>
          <w:sz w:val="24"/>
          <w:szCs w:val="24"/>
        </w:rPr>
      </w:pPr>
    </w:p>
    <w:sectPr w:rsidR="006631EF" w:rsidRPr="00D3563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5B" w:rsidRDefault="00BD7F5B" w:rsidP="0054349A">
      <w:pPr>
        <w:spacing w:after="0" w:line="240" w:lineRule="auto"/>
      </w:pPr>
      <w:r>
        <w:separator/>
      </w:r>
    </w:p>
  </w:endnote>
  <w:endnote w:type="continuationSeparator" w:id="0">
    <w:p w:rsidR="00BD7F5B" w:rsidRDefault="00BD7F5B" w:rsidP="0054349A">
      <w:pPr>
        <w:spacing w:after="0" w:line="240" w:lineRule="auto"/>
      </w:pPr>
      <w:r>
        <w:continuationSeparator/>
      </w:r>
    </w:p>
  </w:endnote>
  <w:endnote w:type="continuationNotice" w:id="1">
    <w:p w:rsidR="00BD7F5B" w:rsidRDefault="00BD7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5B" w:rsidRDefault="00BD7F5B" w:rsidP="0054349A">
      <w:pPr>
        <w:spacing w:after="0" w:line="240" w:lineRule="auto"/>
      </w:pPr>
      <w:r>
        <w:separator/>
      </w:r>
    </w:p>
  </w:footnote>
  <w:footnote w:type="continuationSeparator" w:id="0">
    <w:p w:rsidR="00BD7F5B" w:rsidRDefault="00BD7F5B" w:rsidP="0054349A">
      <w:pPr>
        <w:spacing w:after="0" w:line="240" w:lineRule="auto"/>
      </w:pPr>
      <w:r>
        <w:continuationSeparator/>
      </w:r>
    </w:p>
  </w:footnote>
  <w:footnote w:type="continuationNotice" w:id="1">
    <w:p w:rsidR="00BD7F5B" w:rsidRDefault="00BD7F5B">
      <w:pPr>
        <w:spacing w:after="0" w:line="240" w:lineRule="auto"/>
      </w:pPr>
    </w:p>
  </w:footnote>
  <w:footnote w:id="2">
    <w:p w:rsidR="007634A9" w:rsidRDefault="007634A9" w:rsidP="007634A9">
      <w:pPr>
        <w:pStyle w:val="FootnoteText"/>
      </w:pPr>
      <w:r>
        <w:rPr>
          <w:rStyle w:val="FootnoteReference"/>
        </w:rPr>
        <w:footnoteRef/>
      </w:r>
      <w:r>
        <w:t xml:space="preserve"> Decision and Order </w:t>
      </w:r>
      <w:r w:rsidRPr="0058179D">
        <w:rPr>
          <w:rFonts w:cs="Arial"/>
          <w:sz w:val="16"/>
          <w:szCs w:val="16"/>
        </w:rPr>
        <w:t>EB-2018-0045</w:t>
      </w:r>
      <w:r>
        <w:rPr>
          <w:rFonts w:cs="Arial"/>
          <w:sz w:val="16"/>
          <w:szCs w:val="16"/>
        </w:rPr>
        <w:t xml:space="preserve"> dated December 13,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47" w:rsidRDefault="001B0847" w:rsidP="00CD50E4">
    <w:pPr>
      <w:pStyle w:val="Header"/>
      <w:jc w:val="right"/>
      <w:rPr>
        <w:rFonts w:cs="Arial"/>
        <w:sz w:val="20"/>
        <w:szCs w:val="20"/>
      </w:rPr>
    </w:pPr>
    <w:r>
      <w:rPr>
        <w:rFonts w:cs="Arial"/>
        <w:sz w:val="20"/>
        <w:szCs w:val="20"/>
      </w:rPr>
      <w:t>InnPower</w:t>
    </w:r>
    <w:r w:rsidR="00364CD5">
      <w:rPr>
        <w:rFonts w:cs="Arial"/>
        <w:sz w:val="20"/>
        <w:szCs w:val="20"/>
      </w:rPr>
      <w:t xml:space="preserve"> Corporation</w:t>
    </w:r>
  </w:p>
  <w:p w:rsidR="001B0847" w:rsidRDefault="001B0847" w:rsidP="00CD50E4">
    <w:pPr>
      <w:pStyle w:val="Header"/>
      <w:rPr>
        <w:rFonts w:cs="Arial"/>
        <w:sz w:val="20"/>
        <w:szCs w:val="20"/>
      </w:rPr>
    </w:pPr>
    <w:r>
      <w:rPr>
        <w:rFonts w:cs="Arial"/>
        <w:sz w:val="20"/>
        <w:szCs w:val="20"/>
      </w:rPr>
      <w:tab/>
    </w:r>
    <w:r>
      <w:rPr>
        <w:rFonts w:cs="Arial"/>
        <w:sz w:val="20"/>
        <w:szCs w:val="20"/>
      </w:rPr>
      <w:tab/>
      <w:t>EB-2019-0047</w:t>
    </w:r>
  </w:p>
  <w:p w:rsidR="001B0847" w:rsidRDefault="001B0847" w:rsidP="00CD50E4">
    <w:pPr>
      <w:pStyle w:val="Header"/>
      <w:rPr>
        <w:rFonts w:cs="Arial"/>
        <w:b/>
        <w:sz w:val="20"/>
        <w:szCs w:val="20"/>
      </w:rPr>
    </w:pPr>
    <w:r>
      <w:rPr>
        <w:rFonts w:cs="Arial"/>
        <w:sz w:val="20"/>
        <w:szCs w:val="20"/>
      </w:rPr>
      <w:tab/>
    </w:r>
    <w:r>
      <w:rPr>
        <w:rFonts w:cs="Arial"/>
        <w:sz w:val="20"/>
        <w:szCs w:val="20"/>
      </w:rPr>
      <w:tab/>
      <w:t xml:space="preserve">Page </w:t>
    </w:r>
    <w:r>
      <w:rPr>
        <w:rFonts w:cs="Arial"/>
        <w:b/>
        <w:sz w:val="20"/>
        <w:szCs w:val="20"/>
      </w:rPr>
      <w:fldChar w:fldCharType="begin"/>
    </w:r>
    <w:r>
      <w:rPr>
        <w:rFonts w:cs="Arial"/>
        <w:b/>
        <w:sz w:val="20"/>
        <w:szCs w:val="20"/>
      </w:rPr>
      <w:instrText xml:space="preserve"> PAGE  \* Arabic  \* MERGEFORMAT </w:instrText>
    </w:r>
    <w:r>
      <w:rPr>
        <w:rFonts w:cs="Arial"/>
        <w:b/>
        <w:sz w:val="20"/>
        <w:szCs w:val="20"/>
      </w:rPr>
      <w:fldChar w:fldCharType="separate"/>
    </w:r>
    <w:r w:rsidR="009D4FAE">
      <w:rPr>
        <w:rFonts w:cs="Arial"/>
        <w:b/>
        <w:noProof/>
        <w:sz w:val="20"/>
        <w:szCs w:val="20"/>
      </w:rPr>
      <w:t>10</w:t>
    </w:r>
    <w:r>
      <w:rPr>
        <w:rFonts w:cs="Arial"/>
        <w:b/>
        <w:sz w:val="20"/>
        <w:szCs w:val="20"/>
      </w:rPr>
      <w:fldChar w:fldCharType="end"/>
    </w:r>
    <w:r>
      <w:rPr>
        <w:rFonts w:cs="Arial"/>
        <w:sz w:val="20"/>
        <w:szCs w:val="20"/>
      </w:rPr>
      <w:t xml:space="preserve"> of </w:t>
    </w:r>
    <w:r>
      <w:rPr>
        <w:rFonts w:cs="Arial"/>
        <w:b/>
        <w:sz w:val="20"/>
        <w:szCs w:val="20"/>
      </w:rPr>
      <w:fldChar w:fldCharType="begin"/>
    </w:r>
    <w:r>
      <w:rPr>
        <w:rFonts w:cs="Arial"/>
        <w:b/>
        <w:sz w:val="20"/>
        <w:szCs w:val="20"/>
      </w:rPr>
      <w:instrText xml:space="preserve"> NUMPAGES  \* Arabic  \* MERGEFORMAT </w:instrText>
    </w:r>
    <w:r>
      <w:rPr>
        <w:rFonts w:cs="Arial"/>
        <w:b/>
        <w:sz w:val="20"/>
        <w:szCs w:val="20"/>
      </w:rPr>
      <w:fldChar w:fldCharType="separate"/>
    </w:r>
    <w:r w:rsidR="009D4FAE">
      <w:rPr>
        <w:rFonts w:cs="Arial"/>
        <w:b/>
        <w:noProof/>
        <w:sz w:val="20"/>
        <w:szCs w:val="20"/>
      </w:rPr>
      <w:t>10</w:t>
    </w:r>
    <w:r>
      <w:rPr>
        <w:rFonts w:cs="Arial"/>
        <w:b/>
        <w:sz w:val="20"/>
        <w:szCs w:val="20"/>
      </w:rPr>
      <w:fldChar w:fldCharType="end"/>
    </w:r>
  </w:p>
  <w:p w:rsidR="001B0847" w:rsidRDefault="001B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B53"/>
    <w:multiLevelType w:val="hybridMultilevel"/>
    <w:tmpl w:val="B42ECDAA"/>
    <w:lvl w:ilvl="0" w:tplc="7C043B3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722AC3"/>
    <w:multiLevelType w:val="hybridMultilevel"/>
    <w:tmpl w:val="07B87AD4"/>
    <w:lvl w:ilvl="0" w:tplc="EEE2D6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21821"/>
    <w:multiLevelType w:val="hybridMultilevel"/>
    <w:tmpl w:val="9D7AD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61A52"/>
    <w:multiLevelType w:val="hybridMultilevel"/>
    <w:tmpl w:val="FA8C6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01DB4"/>
    <w:multiLevelType w:val="hybridMultilevel"/>
    <w:tmpl w:val="FA8C6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B2059"/>
    <w:multiLevelType w:val="hybridMultilevel"/>
    <w:tmpl w:val="FA8C6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D52DD"/>
    <w:multiLevelType w:val="hybridMultilevel"/>
    <w:tmpl w:val="55843F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182BE8"/>
    <w:multiLevelType w:val="hybridMultilevel"/>
    <w:tmpl w:val="3736597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13E5C"/>
    <w:multiLevelType w:val="hybridMultilevel"/>
    <w:tmpl w:val="1F02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F6552"/>
    <w:multiLevelType w:val="hybridMultilevel"/>
    <w:tmpl w:val="7B4A4FA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A23DE"/>
    <w:multiLevelType w:val="hybridMultilevel"/>
    <w:tmpl w:val="513A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02A9B"/>
    <w:multiLevelType w:val="hybridMultilevel"/>
    <w:tmpl w:val="1AA0F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211D2"/>
    <w:multiLevelType w:val="hybridMultilevel"/>
    <w:tmpl w:val="51F0CACE"/>
    <w:lvl w:ilvl="0" w:tplc="04090017">
      <w:start w:val="1"/>
      <w:numFmt w:val="lowerLetter"/>
      <w:lvlText w:val="%1)"/>
      <w:lvlJc w:val="left"/>
      <w:pPr>
        <w:ind w:left="720" w:hanging="360"/>
      </w:pPr>
      <w:rPr>
        <w:rFonts w:hint="default"/>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A3424"/>
    <w:multiLevelType w:val="hybridMultilevel"/>
    <w:tmpl w:val="FAE6F12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4" w15:restartNumberingAfterBreak="0">
    <w:nsid w:val="2CC24DC7"/>
    <w:multiLevelType w:val="hybridMultilevel"/>
    <w:tmpl w:val="FA8C6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C4CDE"/>
    <w:multiLevelType w:val="hybridMultilevel"/>
    <w:tmpl w:val="467C8F3C"/>
    <w:lvl w:ilvl="0" w:tplc="04090017">
      <w:start w:val="1"/>
      <w:numFmt w:val="lowerLetter"/>
      <w:lvlText w:val="%1)"/>
      <w:lvlJc w:val="left"/>
      <w:pPr>
        <w:ind w:left="360" w:hanging="360"/>
      </w:pPr>
    </w:lvl>
    <w:lvl w:ilvl="1" w:tplc="7C043B34">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D416E"/>
    <w:multiLevelType w:val="hybridMultilevel"/>
    <w:tmpl w:val="EB4C7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F4AFE"/>
    <w:multiLevelType w:val="hybridMultilevel"/>
    <w:tmpl w:val="60ECD30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8" w15:restartNumberingAfterBreak="0">
    <w:nsid w:val="42266544"/>
    <w:multiLevelType w:val="hybridMultilevel"/>
    <w:tmpl w:val="8C2C0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22E21"/>
    <w:multiLevelType w:val="hybridMultilevel"/>
    <w:tmpl w:val="5950CCD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F92607"/>
    <w:multiLevelType w:val="hybridMultilevel"/>
    <w:tmpl w:val="39DC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F152B"/>
    <w:multiLevelType w:val="hybridMultilevel"/>
    <w:tmpl w:val="BBA0653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F776D"/>
    <w:multiLevelType w:val="hybridMultilevel"/>
    <w:tmpl w:val="51F0CACE"/>
    <w:lvl w:ilvl="0" w:tplc="04090017">
      <w:start w:val="1"/>
      <w:numFmt w:val="lowerLetter"/>
      <w:lvlText w:val="%1)"/>
      <w:lvlJc w:val="left"/>
      <w:pPr>
        <w:ind w:left="720" w:hanging="360"/>
      </w:pPr>
      <w:rPr>
        <w:rFonts w:hint="default"/>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164FB"/>
    <w:multiLevelType w:val="hybridMultilevel"/>
    <w:tmpl w:val="4C48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C4D67"/>
    <w:multiLevelType w:val="hybridMultilevel"/>
    <w:tmpl w:val="6DA012EC"/>
    <w:lvl w:ilvl="0" w:tplc="7C043B3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E4EA2"/>
    <w:multiLevelType w:val="hybridMultilevel"/>
    <w:tmpl w:val="4C48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F3CD1"/>
    <w:multiLevelType w:val="hybridMultilevel"/>
    <w:tmpl w:val="BA7008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77BDC"/>
    <w:multiLevelType w:val="hybridMultilevel"/>
    <w:tmpl w:val="687005A4"/>
    <w:lvl w:ilvl="0" w:tplc="DFC2C3E2">
      <w:start w:val="1"/>
      <w:numFmt w:val="lowerLetter"/>
      <w:lvlText w:val="%1)"/>
      <w:lvlJc w:val="left"/>
      <w:pPr>
        <w:ind w:left="720" w:hanging="360"/>
      </w:pPr>
      <w:rPr>
        <w:rFonts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C01EC"/>
    <w:multiLevelType w:val="hybridMultilevel"/>
    <w:tmpl w:val="F31E8AF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D1EB4"/>
    <w:multiLevelType w:val="hybridMultilevel"/>
    <w:tmpl w:val="96A81776"/>
    <w:lvl w:ilvl="0" w:tplc="DFC2C3E2">
      <w:start w:val="1"/>
      <w:numFmt w:val="lowerLetter"/>
      <w:lvlText w:val="%1)"/>
      <w:lvlJc w:val="left"/>
      <w:pPr>
        <w:ind w:left="720" w:hanging="360"/>
      </w:pPr>
      <w:rPr>
        <w:rFonts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B06FB"/>
    <w:multiLevelType w:val="hybridMultilevel"/>
    <w:tmpl w:val="25D81300"/>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91564"/>
    <w:multiLevelType w:val="hybridMultilevel"/>
    <w:tmpl w:val="7B4A4FA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04F01"/>
    <w:multiLevelType w:val="hybridMultilevel"/>
    <w:tmpl w:val="E8AE1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719DC"/>
    <w:multiLevelType w:val="hybridMultilevel"/>
    <w:tmpl w:val="8E142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E17D8"/>
    <w:multiLevelType w:val="hybridMultilevel"/>
    <w:tmpl w:val="2C0C3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45383A"/>
    <w:multiLevelType w:val="hybridMultilevel"/>
    <w:tmpl w:val="A4FA7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C03EC"/>
    <w:multiLevelType w:val="hybridMultilevel"/>
    <w:tmpl w:val="CA60624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7"/>
  </w:num>
  <w:num w:numId="2">
    <w:abstractNumId w:val="12"/>
  </w:num>
  <w:num w:numId="3">
    <w:abstractNumId w:val="28"/>
  </w:num>
  <w:num w:numId="4">
    <w:abstractNumId w:val="9"/>
  </w:num>
  <w:num w:numId="5">
    <w:abstractNumId w:val="6"/>
  </w:num>
  <w:num w:numId="6">
    <w:abstractNumId w:val="0"/>
  </w:num>
  <w:num w:numId="7">
    <w:abstractNumId w:val="31"/>
  </w:num>
  <w:num w:numId="8">
    <w:abstractNumId w:val="35"/>
  </w:num>
  <w:num w:numId="9">
    <w:abstractNumId w:val="21"/>
  </w:num>
  <w:num w:numId="10">
    <w:abstractNumId w:val="30"/>
  </w:num>
  <w:num w:numId="11">
    <w:abstractNumId w:val="26"/>
  </w:num>
  <w:num w:numId="12">
    <w:abstractNumId w:val="15"/>
  </w:num>
  <w:num w:numId="13">
    <w:abstractNumId w:val="24"/>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4"/>
  </w:num>
  <w:num w:numId="18">
    <w:abstractNumId w:val="11"/>
  </w:num>
  <w:num w:numId="19">
    <w:abstractNumId w:val="33"/>
  </w:num>
  <w:num w:numId="20">
    <w:abstractNumId w:val="23"/>
  </w:num>
  <w:num w:numId="21">
    <w:abstractNumId w:val="25"/>
  </w:num>
  <w:num w:numId="22">
    <w:abstractNumId w:val="8"/>
  </w:num>
  <w:num w:numId="23">
    <w:abstractNumId w:val="27"/>
  </w:num>
  <w:num w:numId="24">
    <w:abstractNumId w:val="10"/>
  </w:num>
  <w:num w:numId="25">
    <w:abstractNumId w:val="18"/>
  </w:num>
  <w:num w:numId="26">
    <w:abstractNumId w:val="20"/>
  </w:num>
  <w:num w:numId="27">
    <w:abstractNumId w:val="3"/>
  </w:num>
  <w:num w:numId="28">
    <w:abstractNumId w:val="4"/>
  </w:num>
  <w:num w:numId="29">
    <w:abstractNumId w:val="14"/>
  </w:num>
  <w:num w:numId="30">
    <w:abstractNumId w:val="1"/>
  </w:num>
  <w:num w:numId="31">
    <w:abstractNumId w:val="16"/>
  </w:num>
  <w:num w:numId="32">
    <w:abstractNumId w:val="32"/>
  </w:num>
  <w:num w:numId="33">
    <w:abstractNumId w:val="5"/>
  </w:num>
  <w:num w:numId="34">
    <w:abstractNumId w:val="19"/>
  </w:num>
  <w:num w:numId="35">
    <w:abstractNumId w:val="17"/>
  </w:num>
  <w:num w:numId="36">
    <w:abstractNumId w:val="13"/>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7B"/>
    <w:rsid w:val="000023B7"/>
    <w:rsid w:val="00004E42"/>
    <w:rsid w:val="00005A80"/>
    <w:rsid w:val="00021C4C"/>
    <w:rsid w:val="00075A9E"/>
    <w:rsid w:val="00080923"/>
    <w:rsid w:val="00083518"/>
    <w:rsid w:val="000C63FD"/>
    <w:rsid w:val="001037ED"/>
    <w:rsid w:val="0012274A"/>
    <w:rsid w:val="00131C1B"/>
    <w:rsid w:val="00197543"/>
    <w:rsid w:val="001B0847"/>
    <w:rsid w:val="001D17DC"/>
    <w:rsid w:val="002073FD"/>
    <w:rsid w:val="00213FC5"/>
    <w:rsid w:val="002169D4"/>
    <w:rsid w:val="00236A16"/>
    <w:rsid w:val="00260708"/>
    <w:rsid w:val="0026699B"/>
    <w:rsid w:val="002873FF"/>
    <w:rsid w:val="00287EB3"/>
    <w:rsid w:val="002A2784"/>
    <w:rsid w:val="002A5D91"/>
    <w:rsid w:val="002B1050"/>
    <w:rsid w:val="002C2505"/>
    <w:rsid w:val="002D7378"/>
    <w:rsid w:val="002E1F29"/>
    <w:rsid w:val="002F3E17"/>
    <w:rsid w:val="0031616A"/>
    <w:rsid w:val="00342719"/>
    <w:rsid w:val="003643A4"/>
    <w:rsid w:val="00364CD5"/>
    <w:rsid w:val="003666F5"/>
    <w:rsid w:val="0038251F"/>
    <w:rsid w:val="003A2E14"/>
    <w:rsid w:val="003B0585"/>
    <w:rsid w:val="003C39B0"/>
    <w:rsid w:val="003F6349"/>
    <w:rsid w:val="00421294"/>
    <w:rsid w:val="00427646"/>
    <w:rsid w:val="004D4837"/>
    <w:rsid w:val="004E6DBB"/>
    <w:rsid w:val="0050142C"/>
    <w:rsid w:val="00502141"/>
    <w:rsid w:val="00507C87"/>
    <w:rsid w:val="005363E9"/>
    <w:rsid w:val="0054349A"/>
    <w:rsid w:val="005700D7"/>
    <w:rsid w:val="00580FAD"/>
    <w:rsid w:val="005A7E12"/>
    <w:rsid w:val="005B207C"/>
    <w:rsid w:val="005B2081"/>
    <w:rsid w:val="005E39D9"/>
    <w:rsid w:val="005F47F1"/>
    <w:rsid w:val="0061062C"/>
    <w:rsid w:val="00625A7B"/>
    <w:rsid w:val="00662EEF"/>
    <w:rsid w:val="006631EF"/>
    <w:rsid w:val="00673900"/>
    <w:rsid w:val="00681F32"/>
    <w:rsid w:val="006823D7"/>
    <w:rsid w:val="006A2AA3"/>
    <w:rsid w:val="006E6664"/>
    <w:rsid w:val="006F7BE8"/>
    <w:rsid w:val="00703799"/>
    <w:rsid w:val="0076230F"/>
    <w:rsid w:val="007634A9"/>
    <w:rsid w:val="00775BF8"/>
    <w:rsid w:val="007874F8"/>
    <w:rsid w:val="00835F29"/>
    <w:rsid w:val="008518A4"/>
    <w:rsid w:val="00860D98"/>
    <w:rsid w:val="008821BB"/>
    <w:rsid w:val="008923E3"/>
    <w:rsid w:val="00897B99"/>
    <w:rsid w:val="008A3AB2"/>
    <w:rsid w:val="008E3436"/>
    <w:rsid w:val="00912B21"/>
    <w:rsid w:val="0091368B"/>
    <w:rsid w:val="00916BDB"/>
    <w:rsid w:val="009213D8"/>
    <w:rsid w:val="00927611"/>
    <w:rsid w:val="00936EBF"/>
    <w:rsid w:val="00982F15"/>
    <w:rsid w:val="00996ABF"/>
    <w:rsid w:val="009D4FAE"/>
    <w:rsid w:val="009F4F54"/>
    <w:rsid w:val="009F5739"/>
    <w:rsid w:val="00A071E7"/>
    <w:rsid w:val="00A51CBE"/>
    <w:rsid w:val="00A53F6A"/>
    <w:rsid w:val="00A72AE5"/>
    <w:rsid w:val="00A846A2"/>
    <w:rsid w:val="00AC5D74"/>
    <w:rsid w:val="00AC68BE"/>
    <w:rsid w:val="00AF1397"/>
    <w:rsid w:val="00B13A6D"/>
    <w:rsid w:val="00B63034"/>
    <w:rsid w:val="00B97EF9"/>
    <w:rsid w:val="00BA1E73"/>
    <w:rsid w:val="00BA2686"/>
    <w:rsid w:val="00BB5625"/>
    <w:rsid w:val="00BD7521"/>
    <w:rsid w:val="00BD7F5B"/>
    <w:rsid w:val="00C170B4"/>
    <w:rsid w:val="00C260C9"/>
    <w:rsid w:val="00C33B27"/>
    <w:rsid w:val="00C603E1"/>
    <w:rsid w:val="00C8330C"/>
    <w:rsid w:val="00C8427F"/>
    <w:rsid w:val="00CD50E4"/>
    <w:rsid w:val="00D01B03"/>
    <w:rsid w:val="00D03446"/>
    <w:rsid w:val="00D30EF9"/>
    <w:rsid w:val="00D35637"/>
    <w:rsid w:val="00D41668"/>
    <w:rsid w:val="00D4584A"/>
    <w:rsid w:val="00D624C2"/>
    <w:rsid w:val="00D7136D"/>
    <w:rsid w:val="00D7382A"/>
    <w:rsid w:val="00DA060C"/>
    <w:rsid w:val="00DC32A5"/>
    <w:rsid w:val="00DC3683"/>
    <w:rsid w:val="00DE73C5"/>
    <w:rsid w:val="00E022FB"/>
    <w:rsid w:val="00E538CF"/>
    <w:rsid w:val="00E8074F"/>
    <w:rsid w:val="00E970FB"/>
    <w:rsid w:val="00EB198F"/>
    <w:rsid w:val="00EB6D57"/>
    <w:rsid w:val="00ED3697"/>
    <w:rsid w:val="00EE24DC"/>
    <w:rsid w:val="00F31213"/>
    <w:rsid w:val="00F45008"/>
    <w:rsid w:val="00F70A32"/>
    <w:rsid w:val="00F8212E"/>
    <w:rsid w:val="00FA5422"/>
    <w:rsid w:val="00FC4470"/>
    <w:rsid w:val="00FE4621"/>
    <w:rsid w:val="00FF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436C"/>
  <w15:chartTrackingRefBased/>
  <w15:docId w15:val="{62F74F10-2DAF-4FD0-B580-B74B4455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B11"/>
    <w:pPr>
      <w:ind w:left="720"/>
      <w:contextualSpacing/>
    </w:pPr>
  </w:style>
  <w:style w:type="paragraph" w:customStyle="1" w:styleId="Default">
    <w:name w:val="Default"/>
    <w:rsid w:val="00FF2B11"/>
    <w:pPr>
      <w:autoSpaceDE w:val="0"/>
      <w:autoSpaceDN w:val="0"/>
      <w:adjustRightInd w:val="0"/>
      <w:spacing w:after="0" w:line="240" w:lineRule="auto"/>
    </w:pPr>
    <w:rPr>
      <w:rFonts w:cs="Arial"/>
      <w:color w:val="000000"/>
      <w:sz w:val="24"/>
      <w:szCs w:val="24"/>
    </w:rPr>
  </w:style>
  <w:style w:type="table" w:styleId="TableGrid">
    <w:name w:val="Table Grid"/>
    <w:basedOn w:val="TableNormal"/>
    <w:uiPriority w:val="39"/>
    <w:rsid w:val="002A5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34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49A"/>
    <w:rPr>
      <w:sz w:val="20"/>
      <w:szCs w:val="20"/>
    </w:rPr>
  </w:style>
  <w:style w:type="character" w:styleId="FootnoteReference">
    <w:name w:val="footnote reference"/>
    <w:basedOn w:val="DefaultParagraphFont"/>
    <w:uiPriority w:val="99"/>
    <w:semiHidden/>
    <w:unhideWhenUsed/>
    <w:rsid w:val="0054349A"/>
    <w:rPr>
      <w:vertAlign w:val="superscript"/>
    </w:rPr>
  </w:style>
  <w:style w:type="character" w:styleId="CommentReference">
    <w:name w:val="annotation reference"/>
    <w:basedOn w:val="DefaultParagraphFont"/>
    <w:uiPriority w:val="99"/>
    <w:semiHidden/>
    <w:unhideWhenUsed/>
    <w:rsid w:val="00B97EF9"/>
    <w:rPr>
      <w:sz w:val="16"/>
      <w:szCs w:val="16"/>
    </w:rPr>
  </w:style>
  <w:style w:type="paragraph" w:styleId="CommentText">
    <w:name w:val="annotation text"/>
    <w:basedOn w:val="Normal"/>
    <w:link w:val="CommentTextChar"/>
    <w:uiPriority w:val="99"/>
    <w:semiHidden/>
    <w:unhideWhenUsed/>
    <w:rsid w:val="00B97EF9"/>
    <w:pPr>
      <w:spacing w:line="240" w:lineRule="auto"/>
    </w:pPr>
    <w:rPr>
      <w:sz w:val="20"/>
      <w:szCs w:val="20"/>
    </w:rPr>
  </w:style>
  <w:style w:type="character" w:customStyle="1" w:styleId="CommentTextChar">
    <w:name w:val="Comment Text Char"/>
    <w:basedOn w:val="DefaultParagraphFont"/>
    <w:link w:val="CommentText"/>
    <w:uiPriority w:val="99"/>
    <w:semiHidden/>
    <w:rsid w:val="00B97EF9"/>
    <w:rPr>
      <w:sz w:val="20"/>
      <w:szCs w:val="20"/>
    </w:rPr>
  </w:style>
  <w:style w:type="paragraph" w:styleId="BalloonText">
    <w:name w:val="Balloon Text"/>
    <w:basedOn w:val="Normal"/>
    <w:link w:val="BalloonTextChar"/>
    <w:uiPriority w:val="99"/>
    <w:semiHidden/>
    <w:unhideWhenUsed/>
    <w:rsid w:val="00B97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2686"/>
    <w:rPr>
      <w:b/>
      <w:bCs/>
    </w:rPr>
  </w:style>
  <w:style w:type="character" w:customStyle="1" w:styleId="CommentSubjectChar">
    <w:name w:val="Comment Subject Char"/>
    <w:basedOn w:val="CommentTextChar"/>
    <w:link w:val="CommentSubject"/>
    <w:uiPriority w:val="99"/>
    <w:semiHidden/>
    <w:rsid w:val="00BA2686"/>
    <w:rPr>
      <w:b/>
      <w:bCs/>
      <w:sz w:val="20"/>
      <w:szCs w:val="20"/>
    </w:rPr>
  </w:style>
  <w:style w:type="paragraph" w:styleId="Header">
    <w:name w:val="header"/>
    <w:basedOn w:val="Normal"/>
    <w:link w:val="HeaderChar"/>
    <w:uiPriority w:val="99"/>
    <w:unhideWhenUsed/>
    <w:rsid w:val="00CD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E4"/>
  </w:style>
  <w:style w:type="paragraph" w:styleId="Footer">
    <w:name w:val="footer"/>
    <w:basedOn w:val="Normal"/>
    <w:link w:val="FooterChar"/>
    <w:uiPriority w:val="99"/>
    <w:unhideWhenUsed/>
    <w:rsid w:val="00CD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3594">
      <w:bodyDiv w:val="1"/>
      <w:marLeft w:val="0"/>
      <w:marRight w:val="0"/>
      <w:marTop w:val="0"/>
      <w:marBottom w:val="0"/>
      <w:divBdr>
        <w:top w:val="none" w:sz="0" w:space="0" w:color="auto"/>
        <w:left w:val="none" w:sz="0" w:space="0" w:color="auto"/>
        <w:bottom w:val="none" w:sz="0" w:space="0" w:color="auto"/>
        <w:right w:val="none" w:sz="0" w:space="0" w:color="auto"/>
      </w:divBdr>
    </w:div>
    <w:div w:id="73626520">
      <w:bodyDiv w:val="1"/>
      <w:marLeft w:val="0"/>
      <w:marRight w:val="0"/>
      <w:marTop w:val="0"/>
      <w:marBottom w:val="0"/>
      <w:divBdr>
        <w:top w:val="none" w:sz="0" w:space="0" w:color="auto"/>
        <w:left w:val="none" w:sz="0" w:space="0" w:color="auto"/>
        <w:bottom w:val="none" w:sz="0" w:space="0" w:color="auto"/>
        <w:right w:val="none" w:sz="0" w:space="0" w:color="auto"/>
      </w:divBdr>
    </w:div>
    <w:div w:id="122231225">
      <w:bodyDiv w:val="1"/>
      <w:marLeft w:val="0"/>
      <w:marRight w:val="0"/>
      <w:marTop w:val="0"/>
      <w:marBottom w:val="0"/>
      <w:divBdr>
        <w:top w:val="none" w:sz="0" w:space="0" w:color="auto"/>
        <w:left w:val="none" w:sz="0" w:space="0" w:color="auto"/>
        <w:bottom w:val="none" w:sz="0" w:space="0" w:color="auto"/>
        <w:right w:val="none" w:sz="0" w:space="0" w:color="auto"/>
      </w:divBdr>
    </w:div>
    <w:div w:id="259142024">
      <w:bodyDiv w:val="1"/>
      <w:marLeft w:val="0"/>
      <w:marRight w:val="0"/>
      <w:marTop w:val="0"/>
      <w:marBottom w:val="0"/>
      <w:divBdr>
        <w:top w:val="none" w:sz="0" w:space="0" w:color="auto"/>
        <w:left w:val="none" w:sz="0" w:space="0" w:color="auto"/>
        <w:bottom w:val="none" w:sz="0" w:space="0" w:color="auto"/>
        <w:right w:val="none" w:sz="0" w:space="0" w:color="auto"/>
      </w:divBdr>
    </w:div>
    <w:div w:id="329063053">
      <w:bodyDiv w:val="1"/>
      <w:marLeft w:val="0"/>
      <w:marRight w:val="0"/>
      <w:marTop w:val="0"/>
      <w:marBottom w:val="0"/>
      <w:divBdr>
        <w:top w:val="none" w:sz="0" w:space="0" w:color="auto"/>
        <w:left w:val="none" w:sz="0" w:space="0" w:color="auto"/>
        <w:bottom w:val="none" w:sz="0" w:space="0" w:color="auto"/>
        <w:right w:val="none" w:sz="0" w:space="0" w:color="auto"/>
      </w:divBdr>
    </w:div>
    <w:div w:id="466169624">
      <w:bodyDiv w:val="1"/>
      <w:marLeft w:val="0"/>
      <w:marRight w:val="0"/>
      <w:marTop w:val="0"/>
      <w:marBottom w:val="0"/>
      <w:divBdr>
        <w:top w:val="none" w:sz="0" w:space="0" w:color="auto"/>
        <w:left w:val="none" w:sz="0" w:space="0" w:color="auto"/>
        <w:bottom w:val="none" w:sz="0" w:space="0" w:color="auto"/>
        <w:right w:val="none" w:sz="0" w:space="0" w:color="auto"/>
      </w:divBdr>
    </w:div>
    <w:div w:id="678047880">
      <w:bodyDiv w:val="1"/>
      <w:marLeft w:val="0"/>
      <w:marRight w:val="0"/>
      <w:marTop w:val="0"/>
      <w:marBottom w:val="0"/>
      <w:divBdr>
        <w:top w:val="none" w:sz="0" w:space="0" w:color="auto"/>
        <w:left w:val="none" w:sz="0" w:space="0" w:color="auto"/>
        <w:bottom w:val="none" w:sz="0" w:space="0" w:color="auto"/>
        <w:right w:val="none" w:sz="0" w:space="0" w:color="auto"/>
      </w:divBdr>
    </w:div>
    <w:div w:id="1380785312">
      <w:bodyDiv w:val="1"/>
      <w:marLeft w:val="0"/>
      <w:marRight w:val="0"/>
      <w:marTop w:val="0"/>
      <w:marBottom w:val="0"/>
      <w:divBdr>
        <w:top w:val="none" w:sz="0" w:space="0" w:color="auto"/>
        <w:left w:val="none" w:sz="0" w:space="0" w:color="auto"/>
        <w:bottom w:val="none" w:sz="0" w:space="0" w:color="auto"/>
        <w:right w:val="none" w:sz="0" w:space="0" w:color="auto"/>
      </w:divBdr>
    </w:div>
    <w:div w:id="1458449247">
      <w:bodyDiv w:val="1"/>
      <w:marLeft w:val="0"/>
      <w:marRight w:val="0"/>
      <w:marTop w:val="0"/>
      <w:marBottom w:val="0"/>
      <w:divBdr>
        <w:top w:val="none" w:sz="0" w:space="0" w:color="auto"/>
        <w:left w:val="none" w:sz="0" w:space="0" w:color="auto"/>
        <w:bottom w:val="none" w:sz="0" w:space="0" w:color="auto"/>
        <w:right w:val="none" w:sz="0" w:space="0" w:color="auto"/>
      </w:divBdr>
    </w:div>
    <w:div w:id="1486320792">
      <w:bodyDiv w:val="1"/>
      <w:marLeft w:val="0"/>
      <w:marRight w:val="0"/>
      <w:marTop w:val="0"/>
      <w:marBottom w:val="0"/>
      <w:divBdr>
        <w:top w:val="none" w:sz="0" w:space="0" w:color="auto"/>
        <w:left w:val="none" w:sz="0" w:space="0" w:color="auto"/>
        <w:bottom w:val="none" w:sz="0" w:space="0" w:color="auto"/>
        <w:right w:val="none" w:sz="0" w:space="0" w:color="auto"/>
      </w:divBdr>
    </w:div>
    <w:div w:id="1683704758">
      <w:bodyDiv w:val="1"/>
      <w:marLeft w:val="0"/>
      <w:marRight w:val="0"/>
      <w:marTop w:val="0"/>
      <w:marBottom w:val="0"/>
      <w:divBdr>
        <w:top w:val="none" w:sz="0" w:space="0" w:color="auto"/>
        <w:left w:val="none" w:sz="0" w:space="0" w:color="auto"/>
        <w:bottom w:val="none" w:sz="0" w:space="0" w:color="auto"/>
        <w:right w:val="none" w:sz="0" w:space="0" w:color="auto"/>
      </w:divBdr>
    </w:div>
    <w:div w:id="1870608288">
      <w:bodyDiv w:val="1"/>
      <w:marLeft w:val="0"/>
      <w:marRight w:val="0"/>
      <w:marTop w:val="0"/>
      <w:marBottom w:val="0"/>
      <w:divBdr>
        <w:top w:val="none" w:sz="0" w:space="0" w:color="auto"/>
        <w:left w:val="none" w:sz="0" w:space="0" w:color="auto"/>
        <w:bottom w:val="none" w:sz="0" w:space="0" w:color="auto"/>
        <w:right w:val="none" w:sz="0" w:space="0" w:color="auto"/>
      </w:divBdr>
    </w:div>
    <w:div w:id="19161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65623-36ED-48C1-915D-27AA23AB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10</Pages>
  <Words>1906</Words>
  <Characters>11208</Characters>
  <Application>Microsoft Office Word</Application>
  <DocSecurity>0</DocSecurity>
  <Lines>448</Lines>
  <Paragraphs>312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glenm@innpower.ca</cp:lastModifiedBy>
  <cp:revision>9</cp:revision>
  <cp:lastPrinted>2019-10-09T14:17:00Z</cp:lastPrinted>
  <dcterms:created xsi:type="dcterms:W3CDTF">2019-10-17T19:46:00Z</dcterms:created>
  <dcterms:modified xsi:type="dcterms:W3CDTF">2019-11-05T15:48:00Z</dcterms:modified>
</cp:coreProperties>
</file>