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2938F" w14:textId="77777777" w:rsidR="00746080" w:rsidRPr="00394351" w:rsidRDefault="00E96915" w:rsidP="00D0773D">
      <w:pPr>
        <w:jc w:val="center"/>
        <w:rPr>
          <w:rFonts w:ascii="Arial" w:hAnsi="Arial" w:cs="Arial"/>
          <w:b/>
          <w:sz w:val="28"/>
          <w:szCs w:val="28"/>
        </w:rPr>
      </w:pPr>
      <w:bookmarkStart w:id="0" w:name="_GoBack"/>
      <w:bookmarkEnd w:id="0"/>
      <w:r>
        <w:rPr>
          <w:rFonts w:ascii="Arial" w:hAnsi="Arial" w:cs="Arial"/>
          <w:b/>
          <w:sz w:val="28"/>
          <w:szCs w:val="28"/>
        </w:rPr>
        <w:t xml:space="preserve">Cooperative Hydro Embrun </w:t>
      </w:r>
      <w:r w:rsidR="002F334C">
        <w:rPr>
          <w:rFonts w:ascii="Arial" w:hAnsi="Arial" w:cs="Arial"/>
          <w:b/>
          <w:sz w:val="28"/>
          <w:szCs w:val="28"/>
        </w:rPr>
        <w:t xml:space="preserve">Inc. </w:t>
      </w:r>
      <w:r w:rsidR="002F218C">
        <w:rPr>
          <w:rFonts w:ascii="Arial" w:hAnsi="Arial" w:cs="Arial"/>
          <w:b/>
          <w:sz w:val="28"/>
          <w:szCs w:val="28"/>
        </w:rPr>
        <w:t>(</w:t>
      </w:r>
      <w:r>
        <w:rPr>
          <w:rFonts w:ascii="Arial" w:hAnsi="Arial" w:cs="Arial"/>
          <w:b/>
          <w:sz w:val="28"/>
          <w:szCs w:val="28"/>
        </w:rPr>
        <w:t>Cooperative Hydro Embrun</w:t>
      </w:r>
      <w:r w:rsidR="0066243E">
        <w:rPr>
          <w:rFonts w:ascii="Arial" w:hAnsi="Arial" w:cs="Arial"/>
          <w:b/>
          <w:sz w:val="28"/>
          <w:szCs w:val="28"/>
        </w:rPr>
        <w:t>)</w:t>
      </w:r>
    </w:p>
    <w:p w14:paraId="3593B1B6" w14:textId="77777777" w:rsidR="002F218C" w:rsidRPr="002F218C" w:rsidRDefault="00866E79" w:rsidP="00394351">
      <w:pPr>
        <w:jc w:val="center"/>
        <w:rPr>
          <w:rFonts w:ascii="Arial" w:hAnsi="Arial" w:cs="Arial"/>
          <w:b/>
          <w:sz w:val="24"/>
          <w:szCs w:val="24"/>
        </w:rPr>
      </w:pPr>
      <w:r>
        <w:rPr>
          <w:rFonts w:ascii="Arial" w:hAnsi="Arial" w:cs="Arial"/>
          <w:b/>
          <w:sz w:val="24"/>
          <w:szCs w:val="24"/>
        </w:rPr>
        <w:t>20</w:t>
      </w:r>
      <w:r w:rsidR="00E96915">
        <w:rPr>
          <w:rFonts w:ascii="Arial" w:hAnsi="Arial" w:cs="Arial"/>
          <w:b/>
          <w:sz w:val="24"/>
          <w:szCs w:val="24"/>
        </w:rPr>
        <w:t>20</w:t>
      </w:r>
      <w:r w:rsidR="0021184B" w:rsidRPr="002F218C">
        <w:rPr>
          <w:rFonts w:ascii="Arial" w:hAnsi="Arial" w:cs="Arial"/>
          <w:b/>
          <w:sz w:val="24"/>
          <w:szCs w:val="24"/>
        </w:rPr>
        <w:t xml:space="preserve">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14:paraId="7E156802" w14:textId="77777777"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E96915">
        <w:rPr>
          <w:rFonts w:ascii="Arial" w:hAnsi="Arial" w:cs="Arial"/>
          <w:b/>
          <w:sz w:val="24"/>
          <w:szCs w:val="24"/>
        </w:rPr>
        <w:t>9-0028</w:t>
      </w:r>
      <w:r w:rsidR="00B20109" w:rsidRPr="002F218C">
        <w:rPr>
          <w:rFonts w:ascii="Arial" w:hAnsi="Arial" w:cs="Arial"/>
          <w:b/>
          <w:sz w:val="24"/>
          <w:szCs w:val="24"/>
        </w:rPr>
        <w:t xml:space="preserve">                                                                                                                                                                                                                                                                                                       </w:t>
      </w:r>
      <w:r w:rsidR="00E96915">
        <w:rPr>
          <w:rFonts w:ascii="Arial" w:hAnsi="Arial" w:cs="Arial"/>
          <w:b/>
          <w:sz w:val="24"/>
          <w:szCs w:val="24"/>
        </w:rPr>
        <w:t xml:space="preserve">                        </w:t>
      </w:r>
    </w:p>
    <w:p w14:paraId="16440D37" w14:textId="77777777"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14:paraId="4BBBAD74" w14:textId="77777777" w:rsidR="00E6651E" w:rsidRPr="002F218C" w:rsidRDefault="00E96915" w:rsidP="00304228">
      <w:pPr>
        <w:jc w:val="center"/>
        <w:rPr>
          <w:rFonts w:ascii="Arial" w:hAnsi="Arial" w:cs="Arial"/>
          <w:b/>
          <w:sz w:val="24"/>
          <w:szCs w:val="24"/>
        </w:rPr>
      </w:pPr>
      <w:r>
        <w:rPr>
          <w:rFonts w:ascii="Arial" w:hAnsi="Arial" w:cs="Arial"/>
          <w:b/>
          <w:sz w:val="24"/>
          <w:szCs w:val="24"/>
        </w:rPr>
        <w:t>September</w:t>
      </w:r>
      <w:r w:rsidR="0066243E">
        <w:rPr>
          <w:rFonts w:ascii="Arial" w:hAnsi="Arial" w:cs="Arial"/>
          <w:b/>
          <w:sz w:val="24"/>
          <w:szCs w:val="24"/>
        </w:rPr>
        <w:t xml:space="preserve"> </w:t>
      </w:r>
      <w:r w:rsidR="000E066E">
        <w:rPr>
          <w:rFonts w:ascii="Arial" w:hAnsi="Arial" w:cs="Arial"/>
          <w:b/>
          <w:sz w:val="24"/>
          <w:szCs w:val="24"/>
        </w:rPr>
        <w:t>10</w:t>
      </w:r>
      <w:r>
        <w:rPr>
          <w:rFonts w:ascii="Arial" w:hAnsi="Arial" w:cs="Arial"/>
          <w:b/>
          <w:sz w:val="24"/>
          <w:szCs w:val="24"/>
        </w:rPr>
        <w:t>, 2019</w:t>
      </w:r>
    </w:p>
    <w:p w14:paraId="79FA1700" w14:textId="77777777" w:rsidR="00450CB6" w:rsidRDefault="00450CB6" w:rsidP="00A668A7">
      <w:pPr>
        <w:spacing w:after="0" w:line="240" w:lineRule="auto"/>
        <w:rPr>
          <w:rFonts w:ascii="Arial" w:hAnsi="Arial" w:cs="Arial"/>
          <w:b/>
          <w:sz w:val="24"/>
          <w:szCs w:val="24"/>
        </w:rPr>
      </w:pPr>
    </w:p>
    <w:p w14:paraId="0A514F5E" w14:textId="7E96D108" w:rsidR="000069CF" w:rsidRDefault="001F5CB6" w:rsidP="00A668A7">
      <w:pPr>
        <w:spacing w:after="0" w:line="240" w:lineRule="auto"/>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0069CF">
        <w:rPr>
          <w:rFonts w:ascii="Arial" w:hAnsi="Arial" w:cs="Arial"/>
          <w:b/>
          <w:sz w:val="24"/>
          <w:szCs w:val="24"/>
        </w:rPr>
        <w:t>1</w:t>
      </w:r>
      <w:r w:rsidR="00630D86">
        <w:rPr>
          <w:rFonts w:ascii="Arial" w:hAnsi="Arial" w:cs="Arial"/>
          <w:b/>
          <w:sz w:val="24"/>
          <w:szCs w:val="24"/>
        </w:rPr>
        <w:t xml:space="preserve"> </w:t>
      </w:r>
    </w:p>
    <w:p w14:paraId="6C5E8012" w14:textId="77777777" w:rsidR="00392AA2" w:rsidRDefault="003B36F7" w:rsidP="00392AA2">
      <w:pPr>
        <w:spacing w:after="0" w:line="240" w:lineRule="auto"/>
        <w:jc w:val="both"/>
        <w:rPr>
          <w:rFonts w:ascii="Arial" w:hAnsi="Arial" w:cs="Arial"/>
          <w:b/>
          <w:sz w:val="24"/>
          <w:szCs w:val="24"/>
        </w:rPr>
      </w:pPr>
      <w:r>
        <w:rPr>
          <w:rFonts w:ascii="Arial" w:hAnsi="Arial" w:cs="Arial"/>
          <w:b/>
          <w:sz w:val="24"/>
          <w:szCs w:val="24"/>
        </w:rPr>
        <w:t>Ref: A portion of Sheet 3 “Continuit</w:t>
      </w:r>
      <w:r w:rsidR="008D2187">
        <w:rPr>
          <w:rFonts w:ascii="Arial" w:hAnsi="Arial" w:cs="Arial"/>
          <w:b/>
          <w:sz w:val="24"/>
          <w:szCs w:val="24"/>
        </w:rPr>
        <w:t xml:space="preserve">y Schedule” </w:t>
      </w:r>
      <w:r w:rsidR="004A4811">
        <w:rPr>
          <w:rFonts w:ascii="Arial" w:hAnsi="Arial" w:cs="Arial"/>
          <w:b/>
          <w:sz w:val="24"/>
          <w:szCs w:val="24"/>
        </w:rPr>
        <w:t xml:space="preserve">2020 IRM </w:t>
      </w:r>
      <w:r w:rsidR="008D2187">
        <w:rPr>
          <w:rFonts w:ascii="Arial" w:hAnsi="Arial" w:cs="Arial"/>
          <w:b/>
          <w:sz w:val="24"/>
          <w:szCs w:val="24"/>
        </w:rPr>
        <w:t>is reproduced below</w:t>
      </w:r>
    </w:p>
    <w:p w14:paraId="006411DA" w14:textId="77777777" w:rsidR="004A4811" w:rsidRDefault="004A4811" w:rsidP="00392AA2">
      <w:pPr>
        <w:spacing w:after="0"/>
        <w:jc w:val="both"/>
        <w:rPr>
          <w:rFonts w:ascii="Arial" w:hAnsi="Arial" w:cs="Arial"/>
          <w:b/>
          <w:sz w:val="24"/>
          <w:szCs w:val="24"/>
        </w:rPr>
      </w:pPr>
      <w:r>
        <w:rPr>
          <w:rFonts w:ascii="Arial" w:hAnsi="Arial" w:cs="Arial"/>
          <w:b/>
          <w:sz w:val="24"/>
          <w:szCs w:val="24"/>
        </w:rPr>
        <w:t>Ref: A portion of Sheet 3 “Continuity Schedule” 2019 is reproduced below</w:t>
      </w:r>
    </w:p>
    <w:p w14:paraId="1A0D8D79" w14:textId="77777777" w:rsidR="004A4811" w:rsidRDefault="004A4811" w:rsidP="003B36F7">
      <w:pPr>
        <w:jc w:val="both"/>
        <w:rPr>
          <w:rFonts w:ascii="Arial" w:hAnsi="Arial" w:cs="Arial"/>
          <w:b/>
          <w:sz w:val="24"/>
          <w:szCs w:val="24"/>
        </w:rPr>
      </w:pPr>
    </w:p>
    <w:p w14:paraId="14F9140F" w14:textId="77777777" w:rsidR="004F0ED1" w:rsidRDefault="004F0ED1" w:rsidP="004F0ED1">
      <w:pPr>
        <w:rPr>
          <w:rFonts w:ascii="Arial" w:hAnsi="Arial" w:cs="Arial"/>
          <w:sz w:val="24"/>
          <w:szCs w:val="24"/>
        </w:rPr>
      </w:pPr>
      <w:r>
        <w:rPr>
          <w:rFonts w:ascii="Arial" w:hAnsi="Arial" w:cs="Arial"/>
          <w:sz w:val="24"/>
          <w:szCs w:val="24"/>
        </w:rPr>
        <w:t>Table 1</w:t>
      </w:r>
      <w:r w:rsidRPr="00096D51">
        <w:rPr>
          <w:rFonts w:ascii="Arial" w:hAnsi="Arial" w:cs="Arial"/>
          <w:sz w:val="24"/>
          <w:szCs w:val="24"/>
        </w:rPr>
        <w:t xml:space="preserve"> </w:t>
      </w:r>
      <w:r w:rsidR="004A4811">
        <w:rPr>
          <w:rFonts w:ascii="Arial" w:hAnsi="Arial" w:cs="Arial"/>
          <w:sz w:val="24"/>
          <w:szCs w:val="24"/>
        </w:rPr>
        <w:t>-</w:t>
      </w:r>
      <w:r>
        <w:rPr>
          <w:rFonts w:ascii="Arial" w:hAnsi="Arial" w:cs="Arial"/>
          <w:sz w:val="24"/>
          <w:szCs w:val="24"/>
        </w:rPr>
        <w:t xml:space="preserve"> 2020 IRM Rate Generator Model</w:t>
      </w:r>
      <w:r w:rsidRPr="00096D51">
        <w:rPr>
          <w:rFonts w:ascii="Arial" w:hAnsi="Arial" w:cs="Arial"/>
          <w:sz w:val="24"/>
          <w:szCs w:val="24"/>
        </w:rPr>
        <w:t xml:space="preserve">, which identified the </w:t>
      </w:r>
      <w:r>
        <w:rPr>
          <w:rFonts w:ascii="Arial" w:hAnsi="Arial" w:cs="Arial"/>
          <w:sz w:val="24"/>
          <w:szCs w:val="24"/>
        </w:rPr>
        <w:t>“Principal Adjustments during 2017”</w:t>
      </w:r>
      <w:r w:rsidRPr="00096D51">
        <w:rPr>
          <w:rFonts w:ascii="Arial" w:hAnsi="Arial" w:cs="Arial"/>
          <w:sz w:val="24"/>
          <w:szCs w:val="24"/>
        </w:rPr>
        <w:t>, is reproduced below.</w:t>
      </w:r>
    </w:p>
    <w:p w14:paraId="32832EAA" w14:textId="77777777" w:rsidR="004F0ED1" w:rsidRDefault="004F0ED1" w:rsidP="004F0ED1">
      <w:pPr>
        <w:rPr>
          <w:rFonts w:ascii="Arial" w:hAnsi="Arial" w:cs="Arial"/>
          <w:sz w:val="24"/>
          <w:szCs w:val="24"/>
        </w:rPr>
      </w:pPr>
    </w:p>
    <w:p w14:paraId="6DA20A06" w14:textId="77777777" w:rsidR="004F0ED1" w:rsidRPr="004F0ED1" w:rsidRDefault="004F0ED1" w:rsidP="004F0ED1">
      <w:pPr>
        <w:jc w:val="center"/>
        <w:rPr>
          <w:rFonts w:ascii="Arial" w:hAnsi="Arial" w:cs="Arial"/>
          <w:b/>
          <w:sz w:val="24"/>
          <w:szCs w:val="24"/>
        </w:rPr>
      </w:pPr>
      <w:r>
        <w:rPr>
          <w:rFonts w:ascii="Arial" w:hAnsi="Arial" w:cs="Arial"/>
          <w:b/>
          <w:sz w:val="24"/>
          <w:szCs w:val="24"/>
        </w:rPr>
        <w:t>Table 1</w:t>
      </w:r>
      <w:r w:rsidR="004A4811">
        <w:rPr>
          <w:rFonts w:ascii="Arial" w:hAnsi="Arial" w:cs="Arial"/>
          <w:b/>
          <w:sz w:val="24"/>
          <w:szCs w:val="24"/>
        </w:rPr>
        <w:t xml:space="preserve"> -</w:t>
      </w:r>
      <w:r>
        <w:rPr>
          <w:rFonts w:ascii="Arial" w:hAnsi="Arial" w:cs="Arial"/>
          <w:b/>
          <w:sz w:val="24"/>
          <w:szCs w:val="24"/>
        </w:rPr>
        <w:t xml:space="preserve"> </w:t>
      </w:r>
      <w:r w:rsidRPr="004F0ED1">
        <w:rPr>
          <w:rFonts w:ascii="Arial" w:hAnsi="Arial" w:cs="Arial"/>
          <w:b/>
          <w:sz w:val="24"/>
          <w:szCs w:val="24"/>
        </w:rPr>
        <w:t>2020 IRM Rate Generator Model</w:t>
      </w:r>
    </w:p>
    <w:p w14:paraId="7C678B87" w14:textId="77777777" w:rsidR="00F2171F" w:rsidRDefault="00F2171F" w:rsidP="003B36F7">
      <w:pPr>
        <w:jc w:val="both"/>
        <w:rPr>
          <w:rFonts w:ascii="Arial" w:hAnsi="Arial" w:cs="Arial"/>
          <w:b/>
          <w:sz w:val="24"/>
          <w:szCs w:val="24"/>
        </w:rPr>
      </w:pPr>
      <w:r>
        <w:rPr>
          <w:noProof/>
          <w:lang w:val="en-US"/>
        </w:rPr>
        <w:drawing>
          <wp:inline distT="0" distB="0" distL="0" distR="0" wp14:anchorId="69896E2A" wp14:editId="58542E6D">
            <wp:extent cx="5087390" cy="3441597"/>
            <wp:effectExtent l="19050" t="19050" r="18415"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5508" cy="3447089"/>
                    </a:xfrm>
                    <a:prstGeom prst="rect">
                      <a:avLst/>
                    </a:prstGeom>
                    <a:ln>
                      <a:solidFill>
                        <a:schemeClr val="tx1"/>
                      </a:solidFill>
                    </a:ln>
                  </pic:spPr>
                </pic:pic>
              </a:graphicData>
            </a:graphic>
          </wp:inline>
        </w:drawing>
      </w:r>
    </w:p>
    <w:p w14:paraId="2B60A3EB" w14:textId="77777777" w:rsidR="004F0ED1" w:rsidRPr="00B72A7C" w:rsidRDefault="004F0ED1" w:rsidP="00B72A7C">
      <w:pPr>
        <w:rPr>
          <w:rFonts w:ascii="Arial" w:hAnsi="Arial" w:cs="Arial"/>
          <w:sz w:val="24"/>
          <w:szCs w:val="24"/>
        </w:rPr>
      </w:pPr>
      <w:r w:rsidRPr="00B72A7C">
        <w:rPr>
          <w:rFonts w:ascii="Arial" w:hAnsi="Arial" w:cs="Arial"/>
          <w:sz w:val="24"/>
          <w:szCs w:val="24"/>
        </w:rPr>
        <w:lastRenderedPageBreak/>
        <w:t xml:space="preserve">OEB staff notes that the amounts </w:t>
      </w:r>
      <w:r w:rsidR="004A4811" w:rsidRPr="00B72A7C">
        <w:rPr>
          <w:rFonts w:ascii="Arial" w:hAnsi="Arial" w:cs="Arial"/>
          <w:sz w:val="24"/>
          <w:szCs w:val="24"/>
        </w:rPr>
        <w:t xml:space="preserve">in </w:t>
      </w:r>
      <w:r w:rsidRPr="00B72A7C">
        <w:rPr>
          <w:rFonts w:ascii="Arial" w:hAnsi="Arial" w:cs="Arial"/>
          <w:sz w:val="24"/>
          <w:szCs w:val="24"/>
        </w:rPr>
        <w:t>account 1580, cell AV23</w:t>
      </w:r>
      <w:r w:rsidR="004A4811" w:rsidRPr="00B72A7C">
        <w:rPr>
          <w:rFonts w:ascii="Arial" w:hAnsi="Arial" w:cs="Arial"/>
          <w:sz w:val="24"/>
          <w:szCs w:val="24"/>
        </w:rPr>
        <w:t>,</w:t>
      </w:r>
      <w:r w:rsidRPr="00B72A7C">
        <w:rPr>
          <w:rFonts w:ascii="Arial" w:hAnsi="Arial" w:cs="Arial"/>
          <w:sz w:val="24"/>
          <w:szCs w:val="24"/>
        </w:rPr>
        <w:t xml:space="preserve"> “RSVA – Wholesale Market Service Charge” and cell AV25</w:t>
      </w:r>
      <w:r w:rsidR="004A4811" w:rsidRPr="00B72A7C">
        <w:rPr>
          <w:rFonts w:ascii="Arial" w:hAnsi="Arial" w:cs="Arial"/>
          <w:sz w:val="24"/>
          <w:szCs w:val="24"/>
        </w:rPr>
        <w:t>,</w:t>
      </w:r>
      <w:r w:rsidRPr="00B72A7C">
        <w:rPr>
          <w:rFonts w:ascii="Arial" w:hAnsi="Arial" w:cs="Arial"/>
          <w:sz w:val="24"/>
          <w:szCs w:val="24"/>
        </w:rPr>
        <w:t xml:space="preserve"> “Variance WMS – Sub-account CBR Class B” do not reconcile with the amounts in </w:t>
      </w:r>
      <w:r w:rsidR="004A4811" w:rsidRPr="00B72A7C">
        <w:rPr>
          <w:rFonts w:ascii="Arial" w:hAnsi="Arial" w:cs="Arial"/>
          <w:sz w:val="24"/>
          <w:szCs w:val="24"/>
        </w:rPr>
        <w:t>the</w:t>
      </w:r>
      <w:r w:rsidRPr="00B72A7C">
        <w:rPr>
          <w:rFonts w:ascii="Arial" w:hAnsi="Arial" w:cs="Arial"/>
          <w:sz w:val="24"/>
          <w:szCs w:val="24"/>
        </w:rPr>
        <w:t xml:space="preserve"> 2019 IRM Rate Generator Model</w:t>
      </w:r>
      <w:r w:rsidR="004A4811" w:rsidRPr="00B72A7C">
        <w:rPr>
          <w:rFonts w:ascii="Arial" w:hAnsi="Arial" w:cs="Arial"/>
          <w:sz w:val="24"/>
          <w:szCs w:val="24"/>
        </w:rPr>
        <w:t xml:space="preserve"> (Table 2).</w:t>
      </w:r>
    </w:p>
    <w:p w14:paraId="357D3B2C" w14:textId="77777777" w:rsidR="004F0ED1" w:rsidRDefault="004F0ED1" w:rsidP="00B72A7C">
      <w:pPr>
        <w:rPr>
          <w:rFonts w:ascii="Arial" w:hAnsi="Arial" w:cs="Arial"/>
          <w:sz w:val="24"/>
          <w:szCs w:val="24"/>
        </w:rPr>
      </w:pPr>
      <w:r>
        <w:rPr>
          <w:rFonts w:ascii="Arial" w:hAnsi="Arial" w:cs="Arial"/>
          <w:sz w:val="24"/>
          <w:szCs w:val="24"/>
        </w:rPr>
        <w:t xml:space="preserve">Please reconcile differences. </w:t>
      </w:r>
      <w:r w:rsidRPr="00096D51">
        <w:rPr>
          <w:rFonts w:ascii="Arial" w:hAnsi="Arial" w:cs="Arial"/>
          <w:sz w:val="24"/>
          <w:szCs w:val="24"/>
        </w:rPr>
        <w:t>If the input into the Rate Generator Model is an error</w:t>
      </w:r>
      <w:r>
        <w:rPr>
          <w:rFonts w:ascii="Arial" w:hAnsi="Arial" w:cs="Arial"/>
          <w:sz w:val="24"/>
          <w:szCs w:val="24"/>
        </w:rPr>
        <w:t xml:space="preserve">, please provide corrections and OEB staff will make the necessary changes to the model. </w:t>
      </w:r>
    </w:p>
    <w:p w14:paraId="2053E7CB" w14:textId="77777777" w:rsidR="004F0ED1" w:rsidRDefault="004F0ED1" w:rsidP="004F0ED1">
      <w:pPr>
        <w:ind w:left="720"/>
        <w:rPr>
          <w:rFonts w:ascii="Arial" w:hAnsi="Arial" w:cs="Arial"/>
          <w:sz w:val="24"/>
          <w:szCs w:val="24"/>
        </w:rPr>
      </w:pPr>
    </w:p>
    <w:p w14:paraId="4DF0244C" w14:textId="77777777" w:rsidR="004F0ED1" w:rsidRPr="004F0ED1" w:rsidRDefault="004A4811" w:rsidP="004F0ED1">
      <w:pPr>
        <w:ind w:left="720"/>
        <w:jc w:val="center"/>
        <w:rPr>
          <w:rFonts w:ascii="Arial" w:hAnsi="Arial" w:cs="Arial"/>
          <w:b/>
          <w:sz w:val="24"/>
          <w:szCs w:val="24"/>
        </w:rPr>
      </w:pPr>
      <w:r>
        <w:rPr>
          <w:rFonts w:ascii="Arial" w:hAnsi="Arial" w:cs="Arial"/>
          <w:b/>
          <w:sz w:val="24"/>
          <w:szCs w:val="24"/>
        </w:rPr>
        <w:t xml:space="preserve">Table 2 - </w:t>
      </w:r>
      <w:r w:rsidR="004F0ED1" w:rsidRPr="004F0ED1">
        <w:rPr>
          <w:rFonts w:ascii="Arial" w:hAnsi="Arial" w:cs="Arial"/>
          <w:b/>
          <w:sz w:val="24"/>
          <w:szCs w:val="24"/>
        </w:rPr>
        <w:t>2019 IRM Rate Generator Model</w:t>
      </w:r>
    </w:p>
    <w:p w14:paraId="10AD5160" w14:textId="77777777" w:rsidR="004F0ED1" w:rsidRDefault="004F0ED1" w:rsidP="00F167EE">
      <w:pPr>
        <w:ind w:left="720"/>
        <w:jc w:val="center"/>
        <w:rPr>
          <w:rFonts w:ascii="Arial" w:hAnsi="Arial" w:cs="Arial"/>
          <w:sz w:val="24"/>
          <w:szCs w:val="24"/>
        </w:rPr>
      </w:pPr>
      <w:r>
        <w:rPr>
          <w:noProof/>
          <w:lang w:val="en-US"/>
        </w:rPr>
        <w:drawing>
          <wp:inline distT="0" distB="0" distL="0" distR="0" wp14:anchorId="3085FE64" wp14:editId="1F7D004C">
            <wp:extent cx="4405746" cy="3419845"/>
            <wp:effectExtent l="19050" t="19050" r="1397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6017" cy="3427818"/>
                    </a:xfrm>
                    <a:prstGeom prst="rect">
                      <a:avLst/>
                    </a:prstGeom>
                    <a:ln>
                      <a:solidFill>
                        <a:sysClr val="windowText" lastClr="000000"/>
                      </a:solidFill>
                    </a:ln>
                  </pic:spPr>
                </pic:pic>
              </a:graphicData>
            </a:graphic>
          </wp:inline>
        </w:drawing>
      </w:r>
    </w:p>
    <w:p w14:paraId="64179A94" w14:textId="77777777" w:rsidR="004F0ED1" w:rsidRDefault="004F0ED1" w:rsidP="004F0ED1">
      <w:pPr>
        <w:rPr>
          <w:rFonts w:ascii="Arial" w:hAnsi="Arial" w:cs="Arial"/>
          <w:sz w:val="24"/>
          <w:szCs w:val="24"/>
        </w:rPr>
      </w:pPr>
    </w:p>
    <w:p w14:paraId="7891FD46" w14:textId="77777777" w:rsidR="002E04F0" w:rsidRPr="002E04F0" w:rsidRDefault="0081325A" w:rsidP="002E04F0">
      <w:pPr>
        <w:pStyle w:val="ListParagraph"/>
        <w:numPr>
          <w:ilvl w:val="0"/>
          <w:numId w:val="33"/>
        </w:numPr>
        <w:rPr>
          <w:rFonts w:ascii="Arial" w:hAnsi="Arial" w:cs="Arial"/>
          <w:color w:val="7030A0"/>
          <w:sz w:val="24"/>
          <w:szCs w:val="24"/>
        </w:rPr>
      </w:pPr>
      <w:r w:rsidRPr="002E04F0">
        <w:rPr>
          <w:rFonts w:ascii="Arial" w:hAnsi="Arial" w:cs="Arial"/>
          <w:color w:val="0070C0"/>
          <w:sz w:val="24"/>
          <w:szCs w:val="24"/>
        </w:rPr>
        <w:t xml:space="preserve">CHEI Response: </w:t>
      </w:r>
      <w:r w:rsidR="002E04F0" w:rsidRPr="002E04F0">
        <w:rPr>
          <w:rFonts w:ascii="Arial" w:hAnsi="Arial" w:cs="Arial"/>
          <w:color w:val="0070C0"/>
          <w:sz w:val="24"/>
          <w:szCs w:val="24"/>
        </w:rPr>
        <w:t>The difference is due to the “Principal adjustment during 2017” from the 2019 IRM Rate Generator Model. The amount should have been $8,567 and not $6,134.</w:t>
      </w:r>
      <w:r w:rsidR="002E04F0">
        <w:rPr>
          <w:rFonts w:ascii="Arial" w:hAnsi="Arial" w:cs="Arial"/>
          <w:color w:val="0070C0"/>
          <w:sz w:val="24"/>
          <w:szCs w:val="24"/>
        </w:rPr>
        <w:t xml:space="preserve"> This explains the $2,434 difference. </w:t>
      </w:r>
    </w:p>
    <w:p w14:paraId="13AE5AA6" w14:textId="77777777" w:rsidR="0081325A" w:rsidRPr="002E04F0" w:rsidRDefault="0081325A" w:rsidP="002E04F0">
      <w:pPr>
        <w:rPr>
          <w:rFonts w:ascii="Arial" w:hAnsi="Arial" w:cs="Arial"/>
          <w:color w:val="0070C0"/>
          <w:sz w:val="24"/>
          <w:szCs w:val="24"/>
        </w:rPr>
      </w:pPr>
    </w:p>
    <w:p w14:paraId="22D83B4B" w14:textId="77777777" w:rsidR="004F0ED1" w:rsidRDefault="004F0ED1" w:rsidP="004F0ED1">
      <w:pPr>
        <w:rPr>
          <w:rFonts w:ascii="Arial" w:hAnsi="Arial" w:cs="Arial"/>
          <w:sz w:val="24"/>
          <w:szCs w:val="24"/>
        </w:rPr>
      </w:pPr>
    </w:p>
    <w:p w14:paraId="5C676D6F" w14:textId="77777777" w:rsidR="004F0ED1" w:rsidRDefault="004F0ED1" w:rsidP="004F0ED1">
      <w:pPr>
        <w:ind w:left="720"/>
        <w:rPr>
          <w:rFonts w:ascii="Arial" w:hAnsi="Arial" w:cs="Arial"/>
          <w:sz w:val="24"/>
          <w:szCs w:val="24"/>
        </w:rPr>
      </w:pPr>
    </w:p>
    <w:p w14:paraId="06DE1637" w14:textId="77777777" w:rsidR="004F0ED1" w:rsidRDefault="004F0ED1">
      <w:pPr>
        <w:rPr>
          <w:rFonts w:ascii="Arial" w:hAnsi="Arial" w:cs="Arial"/>
          <w:b/>
          <w:sz w:val="24"/>
          <w:szCs w:val="24"/>
        </w:rPr>
      </w:pPr>
      <w:r>
        <w:rPr>
          <w:rFonts w:ascii="Arial" w:hAnsi="Arial" w:cs="Arial"/>
          <w:b/>
          <w:sz w:val="24"/>
          <w:szCs w:val="24"/>
        </w:rPr>
        <w:br w:type="page"/>
      </w:r>
    </w:p>
    <w:p w14:paraId="1106FC1F" w14:textId="52BBD2EF" w:rsidR="00F2171F" w:rsidRDefault="00F2171F" w:rsidP="00F2171F">
      <w:pPr>
        <w:spacing w:after="0" w:line="240" w:lineRule="auto"/>
        <w:rPr>
          <w:rFonts w:ascii="Arial" w:hAnsi="Arial" w:cs="Arial"/>
          <w:b/>
          <w:sz w:val="24"/>
          <w:szCs w:val="24"/>
        </w:rPr>
      </w:pPr>
      <w:r>
        <w:rPr>
          <w:rFonts w:ascii="Arial" w:hAnsi="Arial" w:cs="Arial"/>
          <w:b/>
          <w:sz w:val="24"/>
          <w:szCs w:val="24"/>
        </w:rPr>
        <w:lastRenderedPageBreak/>
        <w:t>Staff Question #2</w:t>
      </w:r>
      <w:r w:rsidR="00630D86" w:rsidRPr="00D021B2">
        <w:rPr>
          <w:rFonts w:ascii="Arial" w:hAnsi="Arial" w:cs="Arial"/>
          <w:b/>
          <w:sz w:val="24"/>
          <w:szCs w:val="24"/>
        </w:rPr>
        <w:t xml:space="preserve"> </w:t>
      </w:r>
    </w:p>
    <w:p w14:paraId="5402F752" w14:textId="77777777" w:rsidR="00F2171F" w:rsidRDefault="00F2171F" w:rsidP="00F2171F">
      <w:pPr>
        <w:jc w:val="both"/>
        <w:rPr>
          <w:rFonts w:ascii="Arial" w:hAnsi="Arial" w:cs="Arial"/>
          <w:b/>
          <w:sz w:val="24"/>
          <w:szCs w:val="24"/>
        </w:rPr>
      </w:pPr>
      <w:r>
        <w:rPr>
          <w:rFonts w:ascii="Arial" w:hAnsi="Arial" w:cs="Arial"/>
          <w:b/>
          <w:sz w:val="24"/>
          <w:szCs w:val="24"/>
        </w:rPr>
        <w:t>Ref: A portion of Sheet 3 “Continuity Schedule” is reproduced below</w:t>
      </w:r>
    </w:p>
    <w:p w14:paraId="10D6D843" w14:textId="77777777" w:rsidR="00856394" w:rsidRDefault="00856394" w:rsidP="00856394">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he table from</w:t>
      </w:r>
      <w:r>
        <w:rPr>
          <w:rFonts w:ascii="Arial" w:hAnsi="Arial" w:cs="Arial"/>
          <w:sz w:val="24"/>
          <w:szCs w:val="24"/>
        </w:rPr>
        <w:t xml:space="preserve"> Cooperative Hydro Embrun’s 2019 IRM </w:t>
      </w:r>
      <w:r w:rsidRPr="00096D51">
        <w:rPr>
          <w:rFonts w:ascii="Arial" w:hAnsi="Arial" w:cs="Arial"/>
          <w:sz w:val="24"/>
          <w:szCs w:val="24"/>
        </w:rPr>
        <w:t>Decision</w:t>
      </w:r>
      <w:r>
        <w:rPr>
          <w:rStyle w:val="FootnoteReference"/>
          <w:rFonts w:ascii="Arial" w:hAnsi="Arial" w:cs="Arial"/>
          <w:sz w:val="24"/>
          <w:szCs w:val="24"/>
        </w:rPr>
        <w:footnoteReference w:id="1"/>
      </w:r>
      <w:r w:rsidRPr="00096D51">
        <w:rPr>
          <w:rFonts w:ascii="Arial" w:hAnsi="Arial" w:cs="Arial"/>
          <w:sz w:val="24"/>
          <w:szCs w:val="24"/>
        </w:rPr>
        <w:t xml:space="preserve"> which identified the principal and interest amounts approved for disposition, is reproduced below.</w:t>
      </w:r>
    </w:p>
    <w:p w14:paraId="1D334328" w14:textId="77777777" w:rsidR="00856394" w:rsidRDefault="00856394" w:rsidP="00856394">
      <w:pPr>
        <w:spacing w:after="0"/>
        <w:rPr>
          <w:rFonts w:ascii="Arial" w:hAnsi="Arial" w:cs="Arial"/>
          <w:sz w:val="24"/>
          <w:szCs w:val="24"/>
        </w:rPr>
      </w:pPr>
    </w:p>
    <w:p w14:paraId="52A40D94" w14:textId="77777777" w:rsidR="00856394" w:rsidRDefault="00E96ADE" w:rsidP="00E96ADE">
      <w:pPr>
        <w:spacing w:after="0"/>
        <w:jc w:val="center"/>
        <w:rPr>
          <w:rFonts w:ascii="Arial" w:hAnsi="Arial" w:cs="Arial"/>
          <w:sz w:val="24"/>
          <w:szCs w:val="24"/>
        </w:rPr>
      </w:pPr>
      <w:r>
        <w:rPr>
          <w:noProof/>
          <w:lang w:val="en-US"/>
        </w:rPr>
        <w:drawing>
          <wp:inline distT="0" distB="0" distL="0" distR="0" wp14:anchorId="19811F68" wp14:editId="099E8A50">
            <wp:extent cx="5212532" cy="4061812"/>
            <wp:effectExtent l="19050" t="19050" r="2667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2532" cy="4061812"/>
                    </a:xfrm>
                    <a:prstGeom prst="rect">
                      <a:avLst/>
                    </a:prstGeom>
                    <a:ln>
                      <a:solidFill>
                        <a:schemeClr val="tx1"/>
                      </a:solidFill>
                    </a:ln>
                  </pic:spPr>
                </pic:pic>
              </a:graphicData>
            </a:graphic>
          </wp:inline>
        </w:drawing>
      </w:r>
    </w:p>
    <w:p w14:paraId="7AA9BB82" w14:textId="77777777" w:rsidR="00856394" w:rsidRDefault="00856394" w:rsidP="00856394">
      <w:pPr>
        <w:spacing w:after="0"/>
        <w:rPr>
          <w:rFonts w:ascii="Arial" w:hAnsi="Arial" w:cs="Arial"/>
          <w:sz w:val="24"/>
          <w:szCs w:val="24"/>
        </w:rPr>
      </w:pPr>
    </w:p>
    <w:p w14:paraId="5C8B54C6" w14:textId="77777777" w:rsidR="00856394" w:rsidRDefault="00856394" w:rsidP="00856394">
      <w:pPr>
        <w:spacing w:after="0"/>
        <w:rPr>
          <w:rFonts w:ascii="Arial" w:hAnsi="Arial" w:cs="Arial"/>
          <w:sz w:val="24"/>
          <w:szCs w:val="24"/>
        </w:rPr>
      </w:pPr>
    </w:p>
    <w:p w14:paraId="68401528" w14:textId="77777777" w:rsidR="00856394" w:rsidRPr="00B72A7C" w:rsidRDefault="00856394" w:rsidP="00B72A7C">
      <w:pPr>
        <w:rPr>
          <w:rFonts w:ascii="Arial" w:hAnsi="Arial" w:cs="Arial"/>
          <w:sz w:val="24"/>
          <w:szCs w:val="24"/>
        </w:rPr>
      </w:pPr>
      <w:r w:rsidRPr="00B72A7C">
        <w:rPr>
          <w:rFonts w:ascii="Arial" w:hAnsi="Arial" w:cs="Arial"/>
          <w:sz w:val="24"/>
          <w:szCs w:val="24"/>
        </w:rPr>
        <w:t>OEB staff notes that the “OEB-Approved Disposition during 2019” and interest Disposition during 2019 do not reconcile with the approved amounts in the 2019 IRM Decision</w:t>
      </w:r>
      <w:r w:rsidR="007770CD" w:rsidRPr="00B72A7C">
        <w:rPr>
          <w:rFonts w:ascii="Arial" w:hAnsi="Arial" w:cs="Arial"/>
          <w:sz w:val="24"/>
          <w:szCs w:val="24"/>
        </w:rPr>
        <w:t xml:space="preserve"> (columns BM and BN</w:t>
      </w:r>
      <w:r w:rsidR="00EB17A4" w:rsidRPr="00B72A7C">
        <w:rPr>
          <w:rFonts w:ascii="Arial" w:hAnsi="Arial" w:cs="Arial"/>
          <w:sz w:val="24"/>
          <w:szCs w:val="24"/>
        </w:rPr>
        <w:t>)</w:t>
      </w:r>
      <w:r w:rsidRPr="00B72A7C">
        <w:rPr>
          <w:rFonts w:ascii="Arial" w:hAnsi="Arial" w:cs="Arial"/>
          <w:sz w:val="24"/>
          <w:szCs w:val="24"/>
        </w:rPr>
        <w:t>.</w:t>
      </w:r>
    </w:p>
    <w:p w14:paraId="7D788894" w14:textId="77777777" w:rsidR="00856394" w:rsidRDefault="00856394" w:rsidP="00B72A7C">
      <w:pPr>
        <w:rPr>
          <w:rFonts w:ascii="Arial" w:hAnsi="Arial" w:cs="Arial"/>
          <w:sz w:val="24"/>
          <w:szCs w:val="24"/>
        </w:rPr>
      </w:pPr>
      <w:r w:rsidRPr="009363EA">
        <w:rPr>
          <w:rFonts w:ascii="Arial" w:hAnsi="Arial" w:cs="Arial"/>
          <w:sz w:val="24"/>
          <w:szCs w:val="24"/>
        </w:rPr>
        <w:t xml:space="preserve">Please reconcile differences. If the input into the Rate Generator Model is an error please provide corrections and OEB staff will make the necessary changes to the model. </w:t>
      </w:r>
    </w:p>
    <w:p w14:paraId="141C88EF" w14:textId="77777777" w:rsidR="0081325A" w:rsidRDefault="0081325A" w:rsidP="00B72A7C">
      <w:pPr>
        <w:rPr>
          <w:rFonts w:ascii="Arial" w:hAnsi="Arial" w:cs="Arial"/>
          <w:sz w:val="24"/>
          <w:szCs w:val="24"/>
        </w:rPr>
      </w:pPr>
    </w:p>
    <w:p w14:paraId="25BDF358" w14:textId="77777777" w:rsidR="00856394" w:rsidRDefault="00856394" w:rsidP="00856394">
      <w:pPr>
        <w:jc w:val="center"/>
        <w:rPr>
          <w:rFonts w:ascii="Arial" w:hAnsi="Arial" w:cs="Arial"/>
          <w:b/>
          <w:sz w:val="24"/>
          <w:szCs w:val="24"/>
        </w:rPr>
      </w:pPr>
      <w:r>
        <w:rPr>
          <w:noProof/>
          <w:lang w:val="en-US"/>
        </w:rPr>
        <w:drawing>
          <wp:inline distT="0" distB="0" distL="0" distR="0" wp14:anchorId="222CD503" wp14:editId="2CF4A58A">
            <wp:extent cx="4000500" cy="3305114"/>
            <wp:effectExtent l="19050" t="19050" r="1905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07364" cy="3310785"/>
                    </a:xfrm>
                    <a:prstGeom prst="rect">
                      <a:avLst/>
                    </a:prstGeom>
                    <a:ln>
                      <a:solidFill>
                        <a:schemeClr val="tx1"/>
                      </a:solidFill>
                    </a:ln>
                  </pic:spPr>
                </pic:pic>
              </a:graphicData>
            </a:graphic>
          </wp:inline>
        </w:drawing>
      </w:r>
    </w:p>
    <w:p w14:paraId="032D4B7E" w14:textId="77777777" w:rsidR="00856394" w:rsidRDefault="00856394" w:rsidP="00856394">
      <w:pPr>
        <w:jc w:val="center"/>
        <w:rPr>
          <w:rFonts w:ascii="Arial" w:hAnsi="Arial" w:cs="Arial"/>
          <w:b/>
          <w:sz w:val="24"/>
          <w:szCs w:val="24"/>
        </w:rPr>
      </w:pPr>
    </w:p>
    <w:p w14:paraId="7BB5D00D" w14:textId="77777777" w:rsidR="0009378B" w:rsidRPr="0081325A" w:rsidRDefault="0009378B" w:rsidP="0009378B">
      <w:pPr>
        <w:pStyle w:val="ListParagraph"/>
        <w:numPr>
          <w:ilvl w:val="0"/>
          <w:numId w:val="35"/>
        </w:numPr>
        <w:rPr>
          <w:rFonts w:ascii="Arial" w:hAnsi="Arial" w:cs="Arial"/>
          <w:color w:val="0070C0"/>
          <w:sz w:val="24"/>
          <w:szCs w:val="24"/>
        </w:rPr>
      </w:pPr>
      <w:r w:rsidRPr="0081325A">
        <w:rPr>
          <w:rFonts w:ascii="Arial" w:hAnsi="Arial" w:cs="Arial"/>
          <w:color w:val="0070C0"/>
          <w:sz w:val="24"/>
          <w:szCs w:val="24"/>
        </w:rPr>
        <w:t xml:space="preserve">CHEI Response: </w:t>
      </w:r>
      <w:r>
        <w:rPr>
          <w:rFonts w:ascii="Arial" w:hAnsi="Arial" w:cs="Arial"/>
          <w:color w:val="0070C0"/>
          <w:sz w:val="24"/>
          <w:szCs w:val="24"/>
        </w:rPr>
        <w:t>CHEI added the 2019 approved dispositions to columns BM and BN.</w:t>
      </w:r>
    </w:p>
    <w:p w14:paraId="08FB742C" w14:textId="77777777" w:rsidR="006C35A0" w:rsidRDefault="006C35A0">
      <w:pPr>
        <w:rPr>
          <w:rFonts w:ascii="Arial" w:hAnsi="Arial" w:cs="Arial"/>
          <w:b/>
          <w:sz w:val="24"/>
          <w:szCs w:val="24"/>
        </w:rPr>
      </w:pPr>
      <w:r>
        <w:rPr>
          <w:rFonts w:ascii="Arial" w:hAnsi="Arial" w:cs="Arial"/>
          <w:b/>
          <w:sz w:val="24"/>
          <w:szCs w:val="24"/>
        </w:rPr>
        <w:br w:type="page"/>
      </w:r>
    </w:p>
    <w:p w14:paraId="31A46053" w14:textId="70307227" w:rsidR="00E20A78" w:rsidRDefault="00E20A78" w:rsidP="00E20A78">
      <w:pPr>
        <w:spacing w:after="0" w:line="259" w:lineRule="auto"/>
        <w:rPr>
          <w:rFonts w:ascii="Arial" w:hAnsi="Arial" w:cs="Arial"/>
          <w:b/>
          <w:sz w:val="24"/>
          <w:szCs w:val="24"/>
        </w:rPr>
      </w:pPr>
      <w:r w:rsidRPr="00A82A42">
        <w:rPr>
          <w:rFonts w:ascii="Arial" w:hAnsi="Arial" w:cs="Arial"/>
          <w:b/>
          <w:sz w:val="24"/>
          <w:szCs w:val="24"/>
        </w:rPr>
        <w:t xml:space="preserve">Staff Question </w:t>
      </w:r>
      <w:r w:rsidR="00FA3786">
        <w:rPr>
          <w:rFonts w:ascii="Arial" w:hAnsi="Arial" w:cs="Arial"/>
          <w:b/>
          <w:sz w:val="24"/>
          <w:szCs w:val="24"/>
        </w:rPr>
        <w:t>#</w:t>
      </w:r>
      <w:r w:rsidR="00F167EE">
        <w:rPr>
          <w:rFonts w:ascii="Arial" w:hAnsi="Arial" w:cs="Arial"/>
          <w:b/>
          <w:sz w:val="24"/>
          <w:szCs w:val="24"/>
        </w:rPr>
        <w:t>3</w:t>
      </w:r>
      <w:r w:rsidR="00630D86" w:rsidRPr="00D021B2">
        <w:rPr>
          <w:rFonts w:ascii="Arial" w:hAnsi="Arial" w:cs="Arial"/>
          <w:b/>
          <w:sz w:val="24"/>
          <w:szCs w:val="24"/>
        </w:rPr>
        <w:t xml:space="preserve"> </w:t>
      </w:r>
    </w:p>
    <w:p w14:paraId="0A102DAB" w14:textId="77777777" w:rsidR="006C35A0" w:rsidRDefault="006C35A0" w:rsidP="006C35A0">
      <w:pPr>
        <w:jc w:val="both"/>
        <w:rPr>
          <w:rFonts w:ascii="Arial" w:hAnsi="Arial" w:cs="Arial"/>
          <w:b/>
          <w:sz w:val="24"/>
          <w:szCs w:val="24"/>
        </w:rPr>
      </w:pPr>
      <w:r>
        <w:rPr>
          <w:rFonts w:ascii="Arial" w:hAnsi="Arial" w:cs="Arial"/>
          <w:b/>
          <w:sz w:val="24"/>
          <w:szCs w:val="24"/>
        </w:rPr>
        <w:t>Ref: A portion of Sheet 3 “Continuity Schedule” is reproduced below</w:t>
      </w:r>
    </w:p>
    <w:p w14:paraId="29B4A09C" w14:textId="77777777" w:rsidR="007703FE" w:rsidRDefault="007703FE" w:rsidP="001C7CD2">
      <w:pPr>
        <w:autoSpaceDE w:val="0"/>
        <w:autoSpaceDN w:val="0"/>
        <w:adjustRightInd w:val="0"/>
        <w:spacing w:after="0"/>
        <w:rPr>
          <w:rFonts w:ascii="Arial" w:hAnsi="Arial" w:cs="Arial"/>
          <w:sz w:val="24"/>
          <w:szCs w:val="24"/>
          <w:lang w:val="en-US"/>
        </w:rPr>
      </w:pPr>
      <w:r>
        <w:rPr>
          <w:rFonts w:ascii="Arial" w:hAnsi="Arial" w:cs="Arial"/>
          <w:sz w:val="24"/>
          <w:szCs w:val="24"/>
          <w:lang w:val="en-US"/>
        </w:rPr>
        <w:t>Board staff notes that the column</w:t>
      </w:r>
      <w:r w:rsidR="006C35A0">
        <w:rPr>
          <w:rFonts w:ascii="Arial" w:hAnsi="Arial" w:cs="Arial"/>
          <w:sz w:val="24"/>
          <w:szCs w:val="24"/>
          <w:lang w:val="en-US"/>
        </w:rPr>
        <w:t xml:space="preserve"> BQ</w:t>
      </w:r>
      <w:r>
        <w:rPr>
          <w:rFonts w:ascii="Arial" w:hAnsi="Arial" w:cs="Arial"/>
          <w:sz w:val="24"/>
          <w:szCs w:val="24"/>
          <w:lang w:val="en-US"/>
        </w:rPr>
        <w:t xml:space="preserve"> pertaining to the </w:t>
      </w:r>
      <w:r w:rsidR="00FB5B17">
        <w:rPr>
          <w:rFonts w:ascii="Arial" w:hAnsi="Arial" w:cs="Arial"/>
          <w:sz w:val="24"/>
          <w:szCs w:val="24"/>
          <w:lang w:val="en-US"/>
        </w:rPr>
        <w:t>“</w:t>
      </w:r>
      <w:r>
        <w:rPr>
          <w:rFonts w:ascii="Arial" w:hAnsi="Arial" w:cs="Arial"/>
          <w:sz w:val="24"/>
          <w:szCs w:val="24"/>
          <w:lang w:val="en-US"/>
        </w:rPr>
        <w:t>Projected Interest from</w:t>
      </w:r>
    </w:p>
    <w:p w14:paraId="11824FF3" w14:textId="77777777" w:rsidR="007703FE" w:rsidRDefault="006C35A0" w:rsidP="001C7CD2">
      <w:pPr>
        <w:autoSpaceDE w:val="0"/>
        <w:autoSpaceDN w:val="0"/>
        <w:adjustRightInd w:val="0"/>
        <w:spacing w:after="0"/>
        <w:rPr>
          <w:rFonts w:ascii="Arial" w:hAnsi="Arial" w:cs="Arial"/>
          <w:sz w:val="24"/>
          <w:szCs w:val="24"/>
          <w:lang w:val="en-US"/>
        </w:rPr>
      </w:pPr>
      <w:r>
        <w:rPr>
          <w:rFonts w:ascii="Arial" w:hAnsi="Arial" w:cs="Arial"/>
          <w:sz w:val="24"/>
          <w:szCs w:val="24"/>
          <w:lang w:val="en-US"/>
        </w:rPr>
        <w:t>January 1, 2019 to December 31, 2019</w:t>
      </w:r>
      <w:r w:rsidR="00FB5B17">
        <w:rPr>
          <w:rFonts w:ascii="Arial" w:hAnsi="Arial" w:cs="Arial"/>
          <w:sz w:val="24"/>
          <w:szCs w:val="24"/>
          <w:lang w:val="en-US"/>
        </w:rPr>
        <w:t xml:space="preserve"> balance adjusted for disposition during 2019”</w:t>
      </w:r>
      <w:r w:rsidR="007703FE">
        <w:rPr>
          <w:rFonts w:ascii="Arial" w:hAnsi="Arial" w:cs="Arial"/>
          <w:sz w:val="24"/>
          <w:szCs w:val="24"/>
          <w:lang w:val="en-US"/>
        </w:rPr>
        <w:t xml:space="preserve"> is unpopulated.</w:t>
      </w:r>
    </w:p>
    <w:p w14:paraId="4F41D77F" w14:textId="77777777" w:rsidR="001C7CD2" w:rsidRDefault="001C7CD2" w:rsidP="001C7CD2">
      <w:pPr>
        <w:autoSpaceDE w:val="0"/>
        <w:autoSpaceDN w:val="0"/>
        <w:adjustRightInd w:val="0"/>
        <w:spacing w:after="0"/>
        <w:rPr>
          <w:rFonts w:ascii="Arial" w:hAnsi="Arial" w:cs="Arial"/>
          <w:sz w:val="24"/>
          <w:szCs w:val="24"/>
          <w:lang w:val="en-US"/>
        </w:rPr>
      </w:pPr>
    </w:p>
    <w:p w14:paraId="2BF50226" w14:textId="77777777" w:rsidR="006C35A0" w:rsidRDefault="006C35A0" w:rsidP="007703FE">
      <w:pPr>
        <w:autoSpaceDE w:val="0"/>
        <w:autoSpaceDN w:val="0"/>
        <w:adjustRightInd w:val="0"/>
        <w:spacing w:after="0" w:line="240" w:lineRule="auto"/>
        <w:rPr>
          <w:rFonts w:ascii="Arial" w:hAnsi="Arial" w:cs="Arial"/>
          <w:sz w:val="24"/>
          <w:szCs w:val="24"/>
          <w:lang w:val="en-US"/>
        </w:rPr>
      </w:pPr>
    </w:p>
    <w:p w14:paraId="71602B91" w14:textId="77777777" w:rsidR="006C35A0" w:rsidRDefault="006C35A0" w:rsidP="007703FE">
      <w:pPr>
        <w:autoSpaceDE w:val="0"/>
        <w:autoSpaceDN w:val="0"/>
        <w:adjustRightInd w:val="0"/>
        <w:spacing w:after="0" w:line="240" w:lineRule="auto"/>
        <w:rPr>
          <w:rFonts w:ascii="Arial" w:hAnsi="Arial" w:cs="Arial"/>
          <w:sz w:val="24"/>
          <w:szCs w:val="24"/>
          <w:lang w:val="en-US"/>
        </w:rPr>
      </w:pPr>
      <w:r>
        <w:rPr>
          <w:noProof/>
          <w:lang w:val="en-US"/>
        </w:rPr>
        <w:drawing>
          <wp:inline distT="0" distB="0" distL="0" distR="0" wp14:anchorId="407F639E" wp14:editId="721D7EFC">
            <wp:extent cx="5943600" cy="25431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543175"/>
                    </a:xfrm>
                    <a:prstGeom prst="rect">
                      <a:avLst/>
                    </a:prstGeom>
                    <a:ln>
                      <a:solidFill>
                        <a:schemeClr val="tx1"/>
                      </a:solidFill>
                    </a:ln>
                  </pic:spPr>
                </pic:pic>
              </a:graphicData>
            </a:graphic>
          </wp:inline>
        </w:drawing>
      </w:r>
    </w:p>
    <w:p w14:paraId="1174499F" w14:textId="77777777" w:rsidR="006C35A0" w:rsidRDefault="006C35A0" w:rsidP="007703FE">
      <w:pPr>
        <w:autoSpaceDE w:val="0"/>
        <w:autoSpaceDN w:val="0"/>
        <w:adjustRightInd w:val="0"/>
        <w:spacing w:after="0" w:line="240" w:lineRule="auto"/>
        <w:rPr>
          <w:rFonts w:ascii="Arial" w:hAnsi="Arial" w:cs="Arial"/>
          <w:sz w:val="24"/>
          <w:szCs w:val="24"/>
          <w:lang w:val="en-US"/>
        </w:rPr>
      </w:pPr>
    </w:p>
    <w:p w14:paraId="35391AA0" w14:textId="77777777" w:rsidR="006C35A0" w:rsidRDefault="006C35A0" w:rsidP="007703FE">
      <w:pPr>
        <w:autoSpaceDE w:val="0"/>
        <w:autoSpaceDN w:val="0"/>
        <w:adjustRightInd w:val="0"/>
        <w:spacing w:after="0" w:line="240" w:lineRule="auto"/>
        <w:rPr>
          <w:rFonts w:ascii="Arial" w:hAnsi="Arial" w:cs="Arial"/>
          <w:sz w:val="24"/>
          <w:szCs w:val="24"/>
          <w:lang w:val="en-US"/>
        </w:rPr>
      </w:pPr>
    </w:p>
    <w:p w14:paraId="6ABF3900" w14:textId="77777777" w:rsidR="007703FE" w:rsidRPr="00B72A7C" w:rsidRDefault="007703FE" w:rsidP="00B72A7C">
      <w:pPr>
        <w:tabs>
          <w:tab w:val="left" w:pos="360"/>
        </w:tabs>
        <w:autoSpaceDE w:val="0"/>
        <w:autoSpaceDN w:val="0"/>
        <w:adjustRightInd w:val="0"/>
        <w:spacing w:after="0" w:line="240" w:lineRule="auto"/>
        <w:rPr>
          <w:rFonts w:ascii="Arial" w:hAnsi="Arial" w:cs="Arial"/>
          <w:sz w:val="24"/>
          <w:szCs w:val="24"/>
          <w:lang w:val="en-US"/>
        </w:rPr>
      </w:pPr>
      <w:r w:rsidRPr="006C35A0">
        <w:rPr>
          <w:rFonts w:ascii="Arial" w:hAnsi="Arial" w:cs="Arial"/>
          <w:sz w:val="24"/>
          <w:szCs w:val="24"/>
          <w:lang w:val="en-US"/>
        </w:rPr>
        <w:t>If the omission of this interest is an error, Board staff will make the relevant</w:t>
      </w:r>
      <w:r w:rsidR="00B72A7C">
        <w:rPr>
          <w:rFonts w:ascii="Arial" w:hAnsi="Arial" w:cs="Arial"/>
          <w:sz w:val="24"/>
          <w:szCs w:val="24"/>
          <w:lang w:val="en-US"/>
        </w:rPr>
        <w:t xml:space="preserve"> </w:t>
      </w:r>
      <w:r w:rsidRPr="006C35A0">
        <w:rPr>
          <w:rFonts w:ascii="Arial" w:hAnsi="Arial" w:cs="Arial"/>
          <w:sz w:val="24"/>
          <w:szCs w:val="24"/>
          <w:lang w:val="en-US"/>
        </w:rPr>
        <w:t>correction.</w:t>
      </w:r>
    </w:p>
    <w:p w14:paraId="44FA9CC7" w14:textId="77777777" w:rsidR="006C35A0" w:rsidRDefault="006C35A0" w:rsidP="00E20A78">
      <w:pPr>
        <w:spacing w:after="0" w:line="259" w:lineRule="auto"/>
        <w:rPr>
          <w:rFonts w:ascii="Arial" w:hAnsi="Arial" w:cs="Arial"/>
          <w:b/>
          <w:sz w:val="24"/>
          <w:szCs w:val="24"/>
        </w:rPr>
      </w:pPr>
    </w:p>
    <w:p w14:paraId="5D5D47B9" w14:textId="77777777" w:rsidR="0009378B" w:rsidRPr="0009378B" w:rsidRDefault="0081325A" w:rsidP="0009378B">
      <w:pPr>
        <w:pStyle w:val="ListParagraph"/>
        <w:numPr>
          <w:ilvl w:val="0"/>
          <w:numId w:val="41"/>
        </w:numPr>
        <w:spacing w:after="0" w:line="259" w:lineRule="auto"/>
        <w:rPr>
          <w:rFonts w:ascii="Arial" w:hAnsi="Arial" w:cs="Arial"/>
          <w:color w:val="0070C0"/>
          <w:sz w:val="24"/>
          <w:szCs w:val="24"/>
        </w:rPr>
      </w:pPr>
      <w:r w:rsidRPr="0009378B">
        <w:rPr>
          <w:rFonts w:ascii="Arial" w:hAnsi="Arial" w:cs="Arial"/>
          <w:color w:val="0070C0"/>
          <w:sz w:val="24"/>
          <w:szCs w:val="24"/>
        </w:rPr>
        <w:t xml:space="preserve">CHEI Response: </w:t>
      </w:r>
      <w:r w:rsidR="0009378B" w:rsidRPr="0009378B">
        <w:rPr>
          <w:rFonts w:ascii="Arial" w:hAnsi="Arial" w:cs="Arial"/>
          <w:color w:val="0070C0"/>
          <w:sz w:val="24"/>
          <w:szCs w:val="24"/>
        </w:rPr>
        <w:t>The omission of this interest is an error. Please have staff make the relevant correction.</w:t>
      </w:r>
    </w:p>
    <w:p w14:paraId="5E955E58" w14:textId="77777777" w:rsidR="0081325A" w:rsidRPr="0009378B" w:rsidRDefault="0081325A" w:rsidP="0009378B">
      <w:pPr>
        <w:rPr>
          <w:rFonts w:ascii="Arial" w:hAnsi="Arial" w:cs="Arial"/>
          <w:color w:val="0070C0"/>
          <w:sz w:val="24"/>
          <w:szCs w:val="24"/>
        </w:rPr>
      </w:pPr>
    </w:p>
    <w:p w14:paraId="23514384" w14:textId="77777777" w:rsidR="00B72A7C" w:rsidRDefault="00B72A7C" w:rsidP="00E20A78">
      <w:pPr>
        <w:spacing w:after="0" w:line="259" w:lineRule="auto"/>
        <w:rPr>
          <w:rFonts w:ascii="Arial" w:hAnsi="Arial" w:cs="Arial"/>
          <w:b/>
          <w:sz w:val="24"/>
          <w:szCs w:val="24"/>
        </w:rPr>
      </w:pPr>
    </w:p>
    <w:p w14:paraId="7F97E7DB" w14:textId="77777777" w:rsidR="00B72A7C" w:rsidRDefault="00B72A7C" w:rsidP="00E20A78">
      <w:pPr>
        <w:spacing w:after="0" w:line="259" w:lineRule="auto"/>
        <w:rPr>
          <w:rFonts w:ascii="Arial" w:hAnsi="Arial" w:cs="Arial"/>
          <w:b/>
          <w:sz w:val="24"/>
          <w:szCs w:val="24"/>
        </w:rPr>
      </w:pPr>
    </w:p>
    <w:p w14:paraId="01A6B2A6" w14:textId="77777777" w:rsidR="007703FE" w:rsidRPr="00A82A42" w:rsidRDefault="00F167EE" w:rsidP="00E20A78">
      <w:pPr>
        <w:spacing w:after="0" w:line="259" w:lineRule="auto"/>
        <w:rPr>
          <w:rFonts w:ascii="Arial" w:hAnsi="Arial" w:cs="Arial"/>
          <w:b/>
          <w:sz w:val="24"/>
          <w:szCs w:val="24"/>
        </w:rPr>
      </w:pPr>
      <w:r>
        <w:rPr>
          <w:rFonts w:ascii="Arial" w:hAnsi="Arial" w:cs="Arial"/>
          <w:b/>
          <w:sz w:val="24"/>
          <w:szCs w:val="24"/>
        </w:rPr>
        <w:t>Staff Question #4</w:t>
      </w:r>
    </w:p>
    <w:p w14:paraId="732047F8" w14:textId="77777777" w:rsidR="00E20A78" w:rsidRPr="00A82A42" w:rsidRDefault="00E20A78" w:rsidP="00E20A78">
      <w:pPr>
        <w:spacing w:after="0" w:line="259" w:lineRule="auto"/>
        <w:rPr>
          <w:rFonts w:ascii="Arial" w:hAnsi="Arial" w:cs="Arial"/>
          <w:b/>
          <w:sz w:val="24"/>
          <w:szCs w:val="24"/>
        </w:rPr>
      </w:pPr>
      <w:r w:rsidRPr="00A82A42">
        <w:rPr>
          <w:rFonts w:ascii="Arial" w:hAnsi="Arial" w:cs="Arial"/>
          <w:b/>
          <w:sz w:val="24"/>
          <w:szCs w:val="24"/>
        </w:rPr>
        <w:t xml:space="preserve">Ref: GA Analysis Workform </w:t>
      </w:r>
    </w:p>
    <w:p w14:paraId="3875E1BE" w14:textId="77777777" w:rsidR="00E20A78" w:rsidRPr="00E20A78" w:rsidRDefault="00E20A78" w:rsidP="00E20A78">
      <w:pPr>
        <w:spacing w:after="0" w:line="259" w:lineRule="auto"/>
        <w:rPr>
          <w:rFonts w:ascii="Arial" w:hAnsi="Arial" w:cs="Arial"/>
          <w:sz w:val="24"/>
          <w:szCs w:val="24"/>
        </w:rPr>
      </w:pPr>
    </w:p>
    <w:p w14:paraId="1D620394" w14:textId="77777777" w:rsidR="00695807" w:rsidRPr="001C7CD2" w:rsidRDefault="00695807" w:rsidP="001C7CD2">
      <w:pPr>
        <w:rPr>
          <w:rFonts w:ascii="Arial" w:hAnsi="Arial" w:cs="Arial"/>
          <w:sz w:val="24"/>
          <w:szCs w:val="24"/>
        </w:rPr>
      </w:pPr>
      <w:r w:rsidRPr="001C7CD2">
        <w:rPr>
          <w:rFonts w:ascii="Arial" w:hAnsi="Arial" w:cs="Arial"/>
          <w:sz w:val="24"/>
          <w:szCs w:val="24"/>
        </w:rPr>
        <w:t>Under Note 4 of the GA Analysis Workform, Class B Non-RPP monthly consumption totals are calculated by inputting the current month’s billed consumption (Column F), subtracting the prior month’s closing unbilled consumption (Column G), and adding the current month’s closing unbilled consumption (Column H). Cooperative Hydro Embrun’s 2018 GA Analysis Workform does not include data for columns G and H.</w:t>
      </w:r>
    </w:p>
    <w:p w14:paraId="542FF82A" w14:textId="77777777" w:rsidR="00E20A78" w:rsidRPr="001C7CD2" w:rsidRDefault="00695807" w:rsidP="001C7CD2">
      <w:pPr>
        <w:spacing w:after="160"/>
        <w:rPr>
          <w:rFonts w:ascii="Arial" w:hAnsi="Arial" w:cs="Arial"/>
          <w:b/>
          <w:sz w:val="24"/>
          <w:szCs w:val="24"/>
        </w:rPr>
      </w:pPr>
      <w:r w:rsidRPr="001C7CD2">
        <w:rPr>
          <w:rFonts w:ascii="Arial" w:hAnsi="Arial" w:cs="Arial"/>
          <w:sz w:val="24"/>
          <w:szCs w:val="24"/>
        </w:rPr>
        <w:t>Please re</w:t>
      </w:r>
      <w:r w:rsidR="00B54866" w:rsidRPr="001C7CD2">
        <w:rPr>
          <w:rFonts w:ascii="Arial" w:hAnsi="Arial" w:cs="Arial"/>
          <w:sz w:val="24"/>
          <w:szCs w:val="24"/>
        </w:rPr>
        <w:t>-</w:t>
      </w:r>
      <w:r w:rsidRPr="001C7CD2">
        <w:rPr>
          <w:rFonts w:ascii="Arial" w:hAnsi="Arial" w:cs="Arial"/>
          <w:sz w:val="24"/>
          <w:szCs w:val="24"/>
        </w:rPr>
        <w:t>populate the GA Analysis Workform to include the unbilled consumption from the prior and current months (Column G and H, respectively</w:t>
      </w:r>
      <w:r w:rsidR="00B54866" w:rsidRPr="001C7CD2">
        <w:rPr>
          <w:rFonts w:ascii="Arial" w:hAnsi="Arial" w:cs="Arial"/>
          <w:sz w:val="24"/>
          <w:szCs w:val="24"/>
        </w:rPr>
        <w:t>).</w:t>
      </w:r>
    </w:p>
    <w:p w14:paraId="4F505453" w14:textId="77777777" w:rsidR="0081325A" w:rsidRDefault="0081325A" w:rsidP="0081325A">
      <w:pPr>
        <w:pStyle w:val="ListParagraph"/>
        <w:numPr>
          <w:ilvl w:val="0"/>
          <w:numId w:val="38"/>
        </w:numPr>
        <w:rPr>
          <w:rFonts w:ascii="Arial" w:hAnsi="Arial" w:cs="Arial"/>
          <w:color w:val="0070C0"/>
          <w:sz w:val="24"/>
          <w:szCs w:val="24"/>
        </w:rPr>
      </w:pPr>
      <w:r w:rsidRPr="0081325A">
        <w:rPr>
          <w:rFonts w:ascii="Arial" w:hAnsi="Arial" w:cs="Arial"/>
          <w:color w:val="0070C0"/>
          <w:sz w:val="24"/>
          <w:szCs w:val="24"/>
        </w:rPr>
        <w:t xml:space="preserve">CHEI Response: </w:t>
      </w:r>
      <w:r w:rsidR="0009378B">
        <w:rPr>
          <w:rFonts w:ascii="Arial" w:hAnsi="Arial" w:cs="Arial"/>
          <w:color w:val="0070C0"/>
          <w:sz w:val="24"/>
          <w:szCs w:val="24"/>
        </w:rPr>
        <w:t xml:space="preserve">CHEI only uses actual amounts. They only record an unbilled amount for the year-end financial statements, which is recorded retrospectively when they obtain the actual amounts. Column G&amp;H do not apply since they do not make estimates. </w:t>
      </w:r>
    </w:p>
    <w:p w14:paraId="57BFD1A9" w14:textId="77777777" w:rsidR="0009378B" w:rsidRPr="0009378B" w:rsidRDefault="0009378B" w:rsidP="0009378B">
      <w:pPr>
        <w:rPr>
          <w:rFonts w:ascii="Arial" w:hAnsi="Arial" w:cs="Arial"/>
          <w:color w:val="0070C0"/>
          <w:sz w:val="24"/>
          <w:szCs w:val="24"/>
        </w:rPr>
      </w:pPr>
    </w:p>
    <w:p w14:paraId="74DB349B" w14:textId="535FFF2B" w:rsidR="00630D86" w:rsidRDefault="00FA3786" w:rsidP="00FA3786">
      <w:pPr>
        <w:spacing w:after="0"/>
        <w:rPr>
          <w:rFonts w:ascii="Arial" w:hAnsi="Arial" w:cs="Arial"/>
          <w:b/>
          <w:sz w:val="24"/>
          <w:szCs w:val="24"/>
        </w:rPr>
      </w:pPr>
      <w:r w:rsidRPr="00FA3786">
        <w:rPr>
          <w:rFonts w:ascii="Arial" w:hAnsi="Arial" w:cs="Arial"/>
          <w:b/>
          <w:sz w:val="24"/>
          <w:szCs w:val="24"/>
        </w:rPr>
        <w:t>Staff Question #</w:t>
      </w:r>
      <w:r w:rsidR="00F167EE">
        <w:rPr>
          <w:rFonts w:ascii="Arial" w:hAnsi="Arial" w:cs="Arial"/>
          <w:b/>
          <w:sz w:val="24"/>
          <w:szCs w:val="24"/>
        </w:rPr>
        <w:t>5</w:t>
      </w:r>
      <w:r w:rsidR="00630D86" w:rsidRPr="00FA3786">
        <w:rPr>
          <w:rFonts w:ascii="Arial" w:hAnsi="Arial" w:cs="Arial"/>
          <w:b/>
          <w:sz w:val="24"/>
          <w:szCs w:val="24"/>
        </w:rPr>
        <w:t xml:space="preserve"> </w:t>
      </w:r>
    </w:p>
    <w:p w14:paraId="187E13F3" w14:textId="77777777" w:rsidR="00FA3786" w:rsidRPr="00FA3786" w:rsidRDefault="00FA3786" w:rsidP="00FA3786">
      <w:pPr>
        <w:spacing w:after="0"/>
        <w:rPr>
          <w:rFonts w:ascii="Arial" w:hAnsi="Arial" w:cs="Arial"/>
          <w:b/>
          <w:sz w:val="24"/>
          <w:szCs w:val="24"/>
        </w:rPr>
      </w:pPr>
      <w:r w:rsidRPr="00FA3786">
        <w:rPr>
          <w:rFonts w:ascii="Arial" w:hAnsi="Arial" w:cs="Arial"/>
          <w:b/>
          <w:sz w:val="24"/>
          <w:szCs w:val="24"/>
        </w:rPr>
        <w:t>Ref: GA Analysis Workform</w:t>
      </w:r>
    </w:p>
    <w:p w14:paraId="37D00BA6" w14:textId="77777777" w:rsidR="00FA3786" w:rsidRDefault="00FA3786" w:rsidP="00C175A8">
      <w:pPr>
        <w:spacing w:after="0"/>
        <w:rPr>
          <w:rFonts w:ascii="Arial" w:hAnsi="Arial" w:cs="Arial"/>
          <w:sz w:val="24"/>
          <w:szCs w:val="24"/>
        </w:rPr>
      </w:pPr>
    </w:p>
    <w:p w14:paraId="435BA5E3" w14:textId="77777777" w:rsidR="0000198F" w:rsidRPr="00C175A8" w:rsidRDefault="0000198F" w:rsidP="00C175A8">
      <w:pPr>
        <w:spacing w:after="0"/>
        <w:rPr>
          <w:rFonts w:ascii="Arial" w:hAnsi="Arial" w:cs="Arial"/>
          <w:sz w:val="24"/>
          <w:szCs w:val="24"/>
        </w:rPr>
      </w:pPr>
      <w:r>
        <w:rPr>
          <w:rFonts w:ascii="Arial" w:hAnsi="Arial" w:cs="Arial"/>
          <w:sz w:val="24"/>
          <w:szCs w:val="24"/>
        </w:rPr>
        <w:t>The excerpt below shows the Non-RPP Class B kWh before losses.</w:t>
      </w:r>
    </w:p>
    <w:p w14:paraId="2DF7D35A" w14:textId="77777777" w:rsidR="00FF13C1" w:rsidRDefault="0000198F" w:rsidP="00FA3786">
      <w:pPr>
        <w:spacing w:after="0" w:line="240" w:lineRule="auto"/>
        <w:rPr>
          <w:rFonts w:ascii="Arial" w:hAnsi="Arial" w:cs="Arial"/>
          <w:sz w:val="24"/>
          <w:szCs w:val="24"/>
        </w:rPr>
      </w:pPr>
      <w:r>
        <w:rPr>
          <w:noProof/>
          <w:lang w:val="en-US"/>
        </w:rPr>
        <w:drawing>
          <wp:inline distT="0" distB="0" distL="0" distR="0" wp14:anchorId="709D7A89" wp14:editId="6472D6AC">
            <wp:extent cx="5943600" cy="903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03605"/>
                    </a:xfrm>
                    <a:prstGeom prst="rect">
                      <a:avLst/>
                    </a:prstGeom>
                  </pic:spPr>
                </pic:pic>
              </a:graphicData>
            </a:graphic>
          </wp:inline>
        </w:drawing>
      </w:r>
    </w:p>
    <w:p w14:paraId="1773EE07" w14:textId="77777777" w:rsidR="00FF13C1" w:rsidRDefault="00FF13C1" w:rsidP="00FA3786">
      <w:pPr>
        <w:spacing w:after="0" w:line="240" w:lineRule="auto"/>
        <w:rPr>
          <w:rFonts w:ascii="Arial" w:hAnsi="Arial" w:cs="Arial"/>
          <w:sz w:val="24"/>
          <w:szCs w:val="24"/>
        </w:rPr>
      </w:pPr>
    </w:p>
    <w:p w14:paraId="557F3D36" w14:textId="77777777" w:rsidR="0000198F" w:rsidRDefault="0000198F" w:rsidP="00FA3786">
      <w:pPr>
        <w:spacing w:after="0" w:line="240" w:lineRule="auto"/>
        <w:rPr>
          <w:rFonts w:ascii="Arial" w:hAnsi="Arial" w:cs="Arial"/>
          <w:sz w:val="24"/>
          <w:szCs w:val="24"/>
        </w:rPr>
      </w:pPr>
      <w:r>
        <w:rPr>
          <w:rFonts w:ascii="Arial" w:hAnsi="Arial" w:cs="Arial"/>
          <w:sz w:val="24"/>
          <w:szCs w:val="24"/>
        </w:rPr>
        <w:t>The excerpt below shows the Non-RPP Class B kWh including losses.</w:t>
      </w:r>
    </w:p>
    <w:p w14:paraId="0D5C2314" w14:textId="77777777" w:rsidR="0000198F" w:rsidRDefault="0000198F" w:rsidP="00FA3786">
      <w:pPr>
        <w:spacing w:after="0" w:line="240" w:lineRule="auto"/>
        <w:rPr>
          <w:rFonts w:ascii="Arial" w:hAnsi="Arial" w:cs="Arial"/>
          <w:sz w:val="24"/>
          <w:szCs w:val="24"/>
        </w:rPr>
      </w:pPr>
    </w:p>
    <w:p w14:paraId="22BA5D4E" w14:textId="77777777" w:rsidR="0000198F" w:rsidRDefault="0000198F" w:rsidP="00FA3786">
      <w:pPr>
        <w:spacing w:after="0" w:line="240" w:lineRule="auto"/>
        <w:rPr>
          <w:rFonts w:ascii="Arial" w:hAnsi="Arial" w:cs="Arial"/>
          <w:sz w:val="24"/>
          <w:szCs w:val="24"/>
        </w:rPr>
      </w:pPr>
      <w:r>
        <w:rPr>
          <w:noProof/>
          <w:lang w:val="en-US"/>
        </w:rPr>
        <w:drawing>
          <wp:inline distT="0" distB="0" distL="0" distR="0" wp14:anchorId="24A27CE5" wp14:editId="089E3310">
            <wp:extent cx="5943600" cy="23393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339340"/>
                    </a:xfrm>
                    <a:prstGeom prst="rect">
                      <a:avLst/>
                    </a:prstGeom>
                  </pic:spPr>
                </pic:pic>
              </a:graphicData>
            </a:graphic>
          </wp:inline>
        </w:drawing>
      </w:r>
    </w:p>
    <w:p w14:paraId="629A4529" w14:textId="77777777" w:rsidR="0000198F" w:rsidRDefault="0000198F" w:rsidP="00FA3786">
      <w:pPr>
        <w:spacing w:after="0" w:line="240" w:lineRule="auto"/>
        <w:rPr>
          <w:rFonts w:ascii="Arial" w:hAnsi="Arial" w:cs="Arial"/>
          <w:sz w:val="24"/>
          <w:szCs w:val="24"/>
        </w:rPr>
      </w:pPr>
    </w:p>
    <w:p w14:paraId="535C2F34" w14:textId="77777777" w:rsidR="0000198F" w:rsidRDefault="0000198F" w:rsidP="00FA3786">
      <w:pPr>
        <w:spacing w:after="0" w:line="240" w:lineRule="auto"/>
        <w:rPr>
          <w:rFonts w:ascii="Arial" w:hAnsi="Arial" w:cs="Arial"/>
          <w:sz w:val="24"/>
          <w:szCs w:val="24"/>
        </w:rPr>
      </w:pPr>
      <w:r>
        <w:rPr>
          <w:rFonts w:ascii="Arial" w:hAnsi="Arial" w:cs="Arial"/>
          <w:sz w:val="24"/>
          <w:szCs w:val="24"/>
        </w:rPr>
        <w:t>The kWh without losses should be lower than the kWh with losses. Please make the necessary corrections to the GA Workform.</w:t>
      </w:r>
    </w:p>
    <w:p w14:paraId="128BBAA8" w14:textId="77777777" w:rsidR="0000198F" w:rsidRDefault="0000198F" w:rsidP="00FA3786">
      <w:pPr>
        <w:spacing w:after="0" w:line="240" w:lineRule="auto"/>
        <w:rPr>
          <w:rFonts w:ascii="Arial" w:hAnsi="Arial" w:cs="Arial"/>
          <w:sz w:val="24"/>
          <w:szCs w:val="24"/>
        </w:rPr>
      </w:pPr>
    </w:p>
    <w:p w14:paraId="15846D91" w14:textId="77777777" w:rsidR="00E8086C" w:rsidRDefault="00E8086C" w:rsidP="00FA3786">
      <w:pPr>
        <w:spacing w:after="0" w:line="240" w:lineRule="auto"/>
        <w:rPr>
          <w:rFonts w:ascii="Arial" w:hAnsi="Arial" w:cs="Arial"/>
          <w:sz w:val="24"/>
          <w:szCs w:val="24"/>
        </w:rPr>
      </w:pPr>
    </w:p>
    <w:p w14:paraId="146BFF70" w14:textId="4A40C2E5" w:rsidR="0081325A" w:rsidRPr="0081325A" w:rsidRDefault="0081325A" w:rsidP="0081325A">
      <w:pPr>
        <w:pStyle w:val="ListParagraph"/>
        <w:numPr>
          <w:ilvl w:val="0"/>
          <w:numId w:val="39"/>
        </w:numPr>
        <w:rPr>
          <w:rFonts w:ascii="Arial" w:hAnsi="Arial" w:cs="Arial"/>
          <w:color w:val="0070C0"/>
          <w:sz w:val="24"/>
          <w:szCs w:val="24"/>
        </w:rPr>
      </w:pPr>
      <w:r w:rsidRPr="0081325A">
        <w:rPr>
          <w:rFonts w:ascii="Arial" w:hAnsi="Arial" w:cs="Arial"/>
          <w:color w:val="0070C0"/>
          <w:sz w:val="24"/>
          <w:szCs w:val="24"/>
        </w:rPr>
        <w:t xml:space="preserve">CHEI Response: </w:t>
      </w:r>
      <w:r w:rsidR="0009378B">
        <w:rPr>
          <w:rFonts w:ascii="Arial" w:hAnsi="Arial" w:cs="Arial"/>
          <w:color w:val="0070C0"/>
          <w:sz w:val="24"/>
          <w:szCs w:val="24"/>
        </w:rPr>
        <w:t xml:space="preserve">Following an </w:t>
      </w:r>
      <w:r w:rsidR="00D021B2">
        <w:rPr>
          <w:rFonts w:ascii="Arial" w:hAnsi="Arial" w:cs="Arial"/>
          <w:color w:val="0070C0"/>
          <w:sz w:val="24"/>
          <w:szCs w:val="24"/>
        </w:rPr>
        <w:t>revision</w:t>
      </w:r>
      <w:r w:rsidR="0009378B">
        <w:rPr>
          <w:rFonts w:ascii="Arial" w:hAnsi="Arial" w:cs="Arial"/>
          <w:color w:val="0070C0"/>
          <w:sz w:val="24"/>
          <w:szCs w:val="24"/>
        </w:rPr>
        <w:t xml:space="preserve"> request, the amount from Note 2 should be at 3,893,178.</w:t>
      </w:r>
      <w:r w:rsidR="005D11A2">
        <w:rPr>
          <w:rFonts w:ascii="Arial" w:hAnsi="Arial" w:cs="Arial"/>
          <w:color w:val="0070C0"/>
          <w:sz w:val="24"/>
          <w:szCs w:val="24"/>
        </w:rPr>
        <w:t xml:space="preserve"> No adjustment required to the GA Workform.</w:t>
      </w:r>
    </w:p>
    <w:p w14:paraId="0E33222A" w14:textId="77777777" w:rsidR="0000091F" w:rsidRDefault="0000091F" w:rsidP="00E8086C">
      <w:pPr>
        <w:spacing w:after="0" w:line="259" w:lineRule="auto"/>
        <w:rPr>
          <w:rFonts w:ascii="Arial" w:hAnsi="Arial" w:cs="Arial"/>
          <w:b/>
          <w:sz w:val="24"/>
          <w:szCs w:val="24"/>
        </w:rPr>
      </w:pPr>
    </w:p>
    <w:p w14:paraId="5AB25AC1" w14:textId="77777777" w:rsidR="0000091F" w:rsidRDefault="0000091F">
      <w:pPr>
        <w:rPr>
          <w:rFonts w:ascii="Arial" w:hAnsi="Arial" w:cs="Arial"/>
          <w:b/>
          <w:sz w:val="24"/>
          <w:szCs w:val="24"/>
        </w:rPr>
      </w:pPr>
      <w:r>
        <w:rPr>
          <w:rFonts w:ascii="Arial" w:hAnsi="Arial" w:cs="Arial"/>
          <w:b/>
          <w:sz w:val="24"/>
          <w:szCs w:val="24"/>
        </w:rPr>
        <w:br w:type="page"/>
      </w:r>
    </w:p>
    <w:p w14:paraId="0750927B" w14:textId="014AE151" w:rsidR="00E8086C" w:rsidRPr="00A82A42" w:rsidRDefault="00E8086C" w:rsidP="00E8086C">
      <w:pPr>
        <w:spacing w:after="0" w:line="259" w:lineRule="auto"/>
        <w:rPr>
          <w:rFonts w:ascii="Arial" w:hAnsi="Arial" w:cs="Arial"/>
          <w:b/>
          <w:sz w:val="24"/>
          <w:szCs w:val="24"/>
        </w:rPr>
      </w:pPr>
      <w:r>
        <w:rPr>
          <w:rFonts w:ascii="Arial" w:hAnsi="Arial" w:cs="Arial"/>
          <w:b/>
          <w:sz w:val="24"/>
          <w:szCs w:val="24"/>
        </w:rPr>
        <w:t>Staff Question #6</w:t>
      </w:r>
    </w:p>
    <w:p w14:paraId="39102F88" w14:textId="77777777" w:rsidR="00E8086C" w:rsidRPr="00A82A42" w:rsidRDefault="00E8086C" w:rsidP="00E8086C">
      <w:pPr>
        <w:spacing w:after="0" w:line="259" w:lineRule="auto"/>
        <w:rPr>
          <w:rFonts w:ascii="Arial" w:hAnsi="Arial" w:cs="Arial"/>
          <w:b/>
          <w:sz w:val="24"/>
          <w:szCs w:val="24"/>
        </w:rPr>
      </w:pPr>
      <w:r w:rsidRPr="00A82A42">
        <w:rPr>
          <w:rFonts w:ascii="Arial" w:hAnsi="Arial" w:cs="Arial"/>
          <w:b/>
          <w:sz w:val="24"/>
          <w:szCs w:val="24"/>
        </w:rPr>
        <w:t xml:space="preserve">Ref: GA Analysis Workform </w:t>
      </w:r>
    </w:p>
    <w:p w14:paraId="3CFC4CBF" w14:textId="77777777" w:rsidR="00E8086C" w:rsidRDefault="00E8086C" w:rsidP="00FA3786">
      <w:pPr>
        <w:spacing w:after="0" w:line="240" w:lineRule="auto"/>
        <w:rPr>
          <w:rFonts w:ascii="Arial" w:hAnsi="Arial" w:cs="Arial"/>
          <w:sz w:val="24"/>
          <w:szCs w:val="24"/>
        </w:rPr>
      </w:pPr>
    </w:p>
    <w:p w14:paraId="36191B25" w14:textId="77777777" w:rsidR="00E8086C" w:rsidRDefault="00E8086C" w:rsidP="00FA3786">
      <w:pPr>
        <w:spacing w:after="0" w:line="240" w:lineRule="auto"/>
        <w:rPr>
          <w:rFonts w:ascii="Arial" w:hAnsi="Arial" w:cs="Arial"/>
          <w:sz w:val="24"/>
          <w:szCs w:val="24"/>
        </w:rPr>
      </w:pPr>
      <w:r>
        <w:rPr>
          <w:rFonts w:ascii="Arial" w:hAnsi="Arial" w:cs="Arial"/>
          <w:sz w:val="24"/>
          <w:szCs w:val="24"/>
        </w:rPr>
        <w:t>The net change in principal balance in the GL (transactions in the year) per Note 5 is reproduced below:</w:t>
      </w:r>
    </w:p>
    <w:p w14:paraId="7C333986" w14:textId="77777777" w:rsidR="00E8086C" w:rsidRDefault="00E8086C" w:rsidP="00FA3786">
      <w:pPr>
        <w:spacing w:after="0" w:line="240" w:lineRule="auto"/>
        <w:rPr>
          <w:rFonts w:ascii="Arial" w:hAnsi="Arial" w:cs="Arial"/>
          <w:sz w:val="24"/>
          <w:szCs w:val="24"/>
        </w:rPr>
      </w:pPr>
    </w:p>
    <w:p w14:paraId="5432B6C6" w14:textId="77777777" w:rsidR="00E8086C" w:rsidRDefault="00E8086C" w:rsidP="00FA3786">
      <w:pPr>
        <w:spacing w:after="0" w:line="240" w:lineRule="auto"/>
        <w:rPr>
          <w:rFonts w:ascii="Arial" w:hAnsi="Arial" w:cs="Arial"/>
          <w:sz w:val="24"/>
          <w:szCs w:val="24"/>
        </w:rPr>
      </w:pPr>
      <w:r>
        <w:rPr>
          <w:noProof/>
          <w:lang w:val="en-US"/>
        </w:rPr>
        <w:drawing>
          <wp:inline distT="0" distB="0" distL="0" distR="0" wp14:anchorId="3819A66F" wp14:editId="4B12BDF3">
            <wp:extent cx="542925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29250" cy="1047750"/>
                    </a:xfrm>
                    <a:prstGeom prst="rect">
                      <a:avLst/>
                    </a:prstGeom>
                  </pic:spPr>
                </pic:pic>
              </a:graphicData>
            </a:graphic>
          </wp:inline>
        </w:drawing>
      </w:r>
    </w:p>
    <w:p w14:paraId="389AB5C1" w14:textId="77777777" w:rsidR="00E8086C" w:rsidRDefault="00E8086C" w:rsidP="00FA3786">
      <w:pPr>
        <w:spacing w:after="0" w:line="240" w:lineRule="auto"/>
        <w:rPr>
          <w:rFonts w:ascii="Arial" w:hAnsi="Arial" w:cs="Arial"/>
          <w:sz w:val="24"/>
          <w:szCs w:val="24"/>
        </w:rPr>
      </w:pPr>
    </w:p>
    <w:p w14:paraId="223B6F34" w14:textId="77777777" w:rsidR="00E8086C" w:rsidRDefault="00E8086C" w:rsidP="00FA3786">
      <w:pPr>
        <w:spacing w:after="0" w:line="240" w:lineRule="auto"/>
        <w:rPr>
          <w:rFonts w:ascii="Arial" w:hAnsi="Arial" w:cs="Arial"/>
          <w:sz w:val="24"/>
          <w:szCs w:val="24"/>
        </w:rPr>
      </w:pPr>
      <w:r>
        <w:rPr>
          <w:rFonts w:ascii="Arial" w:hAnsi="Arial" w:cs="Arial"/>
          <w:sz w:val="24"/>
          <w:szCs w:val="24"/>
        </w:rPr>
        <w:t>As indicated by the highlighted parts above, this amount should be the same as the transactions in the year shown on the DVA Continuity Schedule. However, the excerpt below shows that amount to be different.</w:t>
      </w:r>
    </w:p>
    <w:p w14:paraId="5D25D94F" w14:textId="77777777" w:rsidR="00E8086C" w:rsidRDefault="00E8086C" w:rsidP="00FA3786">
      <w:pPr>
        <w:spacing w:after="0" w:line="240" w:lineRule="auto"/>
        <w:rPr>
          <w:rFonts w:ascii="Arial" w:hAnsi="Arial" w:cs="Arial"/>
          <w:sz w:val="24"/>
          <w:szCs w:val="24"/>
        </w:rPr>
      </w:pPr>
    </w:p>
    <w:p w14:paraId="100E871D" w14:textId="77777777" w:rsidR="00E8086C" w:rsidRDefault="00E8086C" w:rsidP="00FA3786">
      <w:pPr>
        <w:spacing w:after="0" w:line="240" w:lineRule="auto"/>
        <w:rPr>
          <w:rFonts w:ascii="Arial" w:hAnsi="Arial" w:cs="Arial"/>
          <w:sz w:val="24"/>
          <w:szCs w:val="24"/>
        </w:rPr>
      </w:pPr>
      <w:r>
        <w:rPr>
          <w:noProof/>
          <w:lang w:val="en-US"/>
        </w:rPr>
        <w:drawing>
          <wp:inline distT="0" distB="0" distL="0" distR="0" wp14:anchorId="290DF403" wp14:editId="1756DDAD">
            <wp:extent cx="5943600" cy="22536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253615"/>
                    </a:xfrm>
                    <a:prstGeom prst="rect">
                      <a:avLst/>
                    </a:prstGeom>
                  </pic:spPr>
                </pic:pic>
              </a:graphicData>
            </a:graphic>
          </wp:inline>
        </w:drawing>
      </w:r>
    </w:p>
    <w:p w14:paraId="18622E17" w14:textId="77777777" w:rsidR="00E8086C" w:rsidRDefault="00E8086C" w:rsidP="00FA3786">
      <w:pPr>
        <w:spacing w:after="0" w:line="240" w:lineRule="auto"/>
        <w:rPr>
          <w:rFonts w:ascii="Arial" w:hAnsi="Arial" w:cs="Arial"/>
          <w:sz w:val="24"/>
          <w:szCs w:val="24"/>
        </w:rPr>
      </w:pPr>
    </w:p>
    <w:p w14:paraId="098EF7EF" w14:textId="77777777" w:rsidR="00E8086C" w:rsidRDefault="00E8086C" w:rsidP="00FA3786">
      <w:pPr>
        <w:spacing w:after="0" w:line="240" w:lineRule="auto"/>
        <w:rPr>
          <w:rFonts w:ascii="Arial" w:hAnsi="Arial" w:cs="Arial"/>
          <w:sz w:val="24"/>
          <w:szCs w:val="24"/>
        </w:rPr>
      </w:pPr>
      <w:r>
        <w:rPr>
          <w:rFonts w:ascii="Arial" w:hAnsi="Arial" w:cs="Arial"/>
          <w:sz w:val="24"/>
          <w:szCs w:val="24"/>
        </w:rPr>
        <w:t>Please explain the discrepancy and provide a corrected version of the evidence.</w:t>
      </w:r>
    </w:p>
    <w:p w14:paraId="4CCA3B8E" w14:textId="77777777" w:rsidR="00E8086C" w:rsidRDefault="00E8086C" w:rsidP="00FA3786">
      <w:pPr>
        <w:spacing w:after="0" w:line="240" w:lineRule="auto"/>
        <w:rPr>
          <w:rFonts w:ascii="Arial" w:hAnsi="Arial" w:cs="Arial"/>
          <w:sz w:val="24"/>
          <w:szCs w:val="24"/>
        </w:rPr>
      </w:pPr>
    </w:p>
    <w:p w14:paraId="055B851D" w14:textId="77777777" w:rsidR="0009378B" w:rsidRPr="0009378B" w:rsidRDefault="0081325A" w:rsidP="0009378B">
      <w:pPr>
        <w:pStyle w:val="ListParagraph"/>
        <w:numPr>
          <w:ilvl w:val="0"/>
          <w:numId w:val="40"/>
        </w:numPr>
        <w:rPr>
          <w:rFonts w:ascii="Arial" w:hAnsi="Arial" w:cs="Arial"/>
          <w:color w:val="0070C0"/>
          <w:sz w:val="24"/>
          <w:szCs w:val="24"/>
        </w:rPr>
      </w:pPr>
      <w:r w:rsidRPr="0081325A">
        <w:rPr>
          <w:rFonts w:ascii="Arial" w:hAnsi="Arial" w:cs="Arial"/>
          <w:color w:val="0070C0"/>
          <w:sz w:val="24"/>
          <w:szCs w:val="24"/>
        </w:rPr>
        <w:t xml:space="preserve">CHEI Response: </w:t>
      </w:r>
      <w:r w:rsidR="0009378B">
        <w:rPr>
          <w:rFonts w:ascii="Arial" w:hAnsi="Arial" w:cs="Arial"/>
          <w:color w:val="0070C0"/>
          <w:sz w:val="24"/>
          <w:szCs w:val="24"/>
        </w:rPr>
        <w:t xml:space="preserve">The Net change in principal balance in the GL showed the OEB approved dispositions during 2018, which was shown on line 9 of the reconciliation. CHEI made the correcting adjustment to the </w:t>
      </w:r>
      <w:r w:rsidR="002E04F0">
        <w:rPr>
          <w:rFonts w:ascii="Arial" w:hAnsi="Arial" w:cs="Arial"/>
          <w:color w:val="0070C0"/>
          <w:sz w:val="24"/>
          <w:szCs w:val="24"/>
        </w:rPr>
        <w:t xml:space="preserve">DVA Continuity Schedule to only include the Transactions Debit/Credit during 2018. </w:t>
      </w:r>
    </w:p>
    <w:p w14:paraId="230E6ACD" w14:textId="77777777" w:rsidR="00E75D9D" w:rsidRDefault="00E75D9D">
      <w:pPr>
        <w:rPr>
          <w:rFonts w:ascii="Arial" w:hAnsi="Arial" w:cs="Arial"/>
          <w:b/>
          <w:sz w:val="24"/>
          <w:szCs w:val="24"/>
        </w:rPr>
      </w:pPr>
      <w:r>
        <w:rPr>
          <w:rFonts w:ascii="Arial" w:hAnsi="Arial" w:cs="Arial"/>
          <w:b/>
          <w:sz w:val="24"/>
          <w:szCs w:val="24"/>
        </w:rPr>
        <w:br w:type="page"/>
      </w:r>
    </w:p>
    <w:p w14:paraId="7B23F5F6" w14:textId="30B29DF1" w:rsidR="00FF13C1" w:rsidRPr="007703FE" w:rsidRDefault="00F167EE" w:rsidP="00FA3786">
      <w:pPr>
        <w:spacing w:after="0" w:line="240" w:lineRule="auto"/>
        <w:rPr>
          <w:rFonts w:ascii="Arial" w:hAnsi="Arial" w:cs="Arial"/>
          <w:b/>
          <w:sz w:val="24"/>
          <w:szCs w:val="24"/>
        </w:rPr>
      </w:pPr>
      <w:r>
        <w:rPr>
          <w:rFonts w:ascii="Arial" w:hAnsi="Arial" w:cs="Arial"/>
          <w:b/>
          <w:sz w:val="24"/>
          <w:szCs w:val="24"/>
        </w:rPr>
        <w:t>Staff Question #</w:t>
      </w:r>
      <w:r w:rsidR="00E8086C">
        <w:rPr>
          <w:rFonts w:ascii="Arial" w:hAnsi="Arial" w:cs="Arial"/>
          <w:b/>
          <w:sz w:val="24"/>
          <w:szCs w:val="24"/>
        </w:rPr>
        <w:t>7</w:t>
      </w:r>
      <w:r w:rsidR="00630D86">
        <w:rPr>
          <w:rFonts w:ascii="Arial" w:hAnsi="Arial" w:cs="Arial"/>
          <w:b/>
          <w:sz w:val="24"/>
          <w:szCs w:val="24"/>
        </w:rPr>
        <w:t xml:space="preserve"> </w:t>
      </w:r>
    </w:p>
    <w:p w14:paraId="2D9FE71D" w14:textId="77777777" w:rsidR="00FF13C1" w:rsidRDefault="00C03F60" w:rsidP="00FA3786">
      <w:pPr>
        <w:spacing w:after="0" w:line="240" w:lineRule="auto"/>
        <w:rPr>
          <w:rFonts w:ascii="Arial" w:hAnsi="Arial" w:cs="Arial"/>
          <w:sz w:val="24"/>
          <w:szCs w:val="24"/>
        </w:rPr>
      </w:pPr>
      <w:r w:rsidRPr="00FA3786">
        <w:rPr>
          <w:rFonts w:ascii="Arial" w:hAnsi="Arial" w:cs="Arial"/>
          <w:b/>
          <w:sz w:val="24"/>
          <w:szCs w:val="24"/>
        </w:rPr>
        <w:t>Ref:</w:t>
      </w:r>
      <w:r>
        <w:rPr>
          <w:rFonts w:ascii="Arial" w:hAnsi="Arial" w:cs="Arial"/>
          <w:b/>
          <w:sz w:val="24"/>
          <w:szCs w:val="24"/>
        </w:rPr>
        <w:t xml:space="preserve"> Application, page 14 (lines 9 – 15)</w:t>
      </w:r>
    </w:p>
    <w:p w14:paraId="6A720A0A" w14:textId="77777777" w:rsidR="00C03F60" w:rsidRDefault="00C03F60" w:rsidP="00FA3786">
      <w:pPr>
        <w:spacing w:after="0" w:line="240" w:lineRule="auto"/>
        <w:rPr>
          <w:rFonts w:ascii="Arial" w:hAnsi="Arial" w:cs="Arial"/>
          <w:sz w:val="24"/>
          <w:szCs w:val="24"/>
        </w:rPr>
      </w:pPr>
    </w:p>
    <w:p w14:paraId="33F81EEA" w14:textId="77777777" w:rsidR="00C03F60" w:rsidRPr="00FA3786" w:rsidRDefault="00C03F60" w:rsidP="00FA3786">
      <w:pPr>
        <w:spacing w:after="0" w:line="240" w:lineRule="auto"/>
        <w:rPr>
          <w:rFonts w:ascii="Arial" w:hAnsi="Arial" w:cs="Arial"/>
          <w:sz w:val="24"/>
          <w:szCs w:val="24"/>
        </w:rPr>
      </w:pPr>
      <w:r>
        <w:rPr>
          <w:rFonts w:ascii="Arial" w:hAnsi="Arial" w:cs="Arial"/>
          <w:sz w:val="24"/>
          <w:szCs w:val="24"/>
        </w:rPr>
        <w:t>An excerpt from the application is reproduced below:</w:t>
      </w:r>
    </w:p>
    <w:p w14:paraId="50C6C575" w14:textId="77777777" w:rsidR="00FA3786" w:rsidRDefault="00C03F60" w:rsidP="00C03F60">
      <w:pPr>
        <w:rPr>
          <w:rFonts w:ascii="Arial" w:hAnsi="Arial" w:cs="Arial"/>
          <w:sz w:val="24"/>
          <w:szCs w:val="24"/>
        </w:rPr>
      </w:pPr>
      <w:r>
        <w:rPr>
          <w:noProof/>
          <w:lang w:val="en-US"/>
        </w:rPr>
        <w:drawing>
          <wp:inline distT="0" distB="0" distL="0" distR="0" wp14:anchorId="7A82ED5E" wp14:editId="0BD91FD8">
            <wp:extent cx="5943600" cy="2887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87980"/>
                    </a:xfrm>
                    <a:prstGeom prst="rect">
                      <a:avLst/>
                    </a:prstGeom>
                  </pic:spPr>
                </pic:pic>
              </a:graphicData>
            </a:graphic>
          </wp:inline>
        </w:drawing>
      </w:r>
    </w:p>
    <w:p w14:paraId="7491FA29" w14:textId="77777777" w:rsidR="0081325A" w:rsidRPr="0081325A" w:rsidRDefault="00C03F60" w:rsidP="0081325A">
      <w:pPr>
        <w:pStyle w:val="ListParagraph"/>
        <w:numPr>
          <w:ilvl w:val="0"/>
          <w:numId w:val="23"/>
        </w:numPr>
        <w:rPr>
          <w:rFonts w:ascii="Arial" w:hAnsi="Arial" w:cs="Arial"/>
          <w:sz w:val="24"/>
          <w:szCs w:val="24"/>
        </w:rPr>
      </w:pPr>
      <w:r w:rsidRPr="00C03F60">
        <w:rPr>
          <w:rFonts w:ascii="Arial" w:hAnsi="Arial" w:cs="Arial"/>
          <w:sz w:val="24"/>
          <w:szCs w:val="24"/>
        </w:rPr>
        <w:t xml:space="preserve">Please explain </w:t>
      </w:r>
      <w:r>
        <w:rPr>
          <w:rFonts w:ascii="Arial" w:hAnsi="Arial" w:cs="Arial"/>
          <w:sz w:val="24"/>
          <w:szCs w:val="24"/>
        </w:rPr>
        <w:t>the process for obtaining the RPP kWh at each RPP price in more detail, given that there are 5 different RPP rates.</w:t>
      </w:r>
    </w:p>
    <w:p w14:paraId="1F36DCE0" w14:textId="77777777" w:rsidR="00C03F60" w:rsidRDefault="006578F8" w:rsidP="00C03F60">
      <w:pPr>
        <w:pStyle w:val="ListParagraph"/>
        <w:numPr>
          <w:ilvl w:val="0"/>
          <w:numId w:val="23"/>
        </w:numPr>
        <w:rPr>
          <w:rFonts w:ascii="Arial" w:hAnsi="Arial" w:cs="Arial"/>
          <w:sz w:val="24"/>
          <w:szCs w:val="24"/>
        </w:rPr>
      </w:pPr>
      <w:r>
        <w:rPr>
          <w:rFonts w:ascii="Arial" w:hAnsi="Arial" w:cs="Arial"/>
          <w:sz w:val="24"/>
          <w:szCs w:val="24"/>
        </w:rPr>
        <w:t>Please explain the process for calculating the dollars claimed or owed to the IESO for each of the 5 RPP prices, based on the respective consumption at each price.</w:t>
      </w:r>
    </w:p>
    <w:p w14:paraId="16C43918" w14:textId="77777777" w:rsidR="001301BC" w:rsidRDefault="001301BC" w:rsidP="001301BC">
      <w:pPr>
        <w:pStyle w:val="ListParagraph"/>
        <w:rPr>
          <w:rFonts w:ascii="Arial" w:hAnsi="Arial" w:cs="Arial"/>
          <w:sz w:val="24"/>
          <w:szCs w:val="24"/>
        </w:rPr>
      </w:pPr>
    </w:p>
    <w:p w14:paraId="00CF1EA5" w14:textId="77777777" w:rsidR="006578F8" w:rsidRDefault="006578F8" w:rsidP="00C03F60">
      <w:pPr>
        <w:pStyle w:val="ListParagraph"/>
        <w:numPr>
          <w:ilvl w:val="0"/>
          <w:numId w:val="23"/>
        </w:numPr>
        <w:rPr>
          <w:rFonts w:ascii="Arial" w:hAnsi="Arial" w:cs="Arial"/>
          <w:sz w:val="24"/>
          <w:szCs w:val="24"/>
        </w:rPr>
      </w:pPr>
      <w:r>
        <w:rPr>
          <w:rFonts w:ascii="Arial" w:hAnsi="Arial" w:cs="Arial"/>
          <w:sz w:val="24"/>
          <w:szCs w:val="24"/>
        </w:rPr>
        <w:t>Please provide an example of the calculation for the sub parts a) and b) of this question.</w:t>
      </w:r>
    </w:p>
    <w:p w14:paraId="24D75A03" w14:textId="77777777" w:rsidR="0081325A" w:rsidRPr="0081325A" w:rsidRDefault="0081325A" w:rsidP="0081325A">
      <w:pPr>
        <w:rPr>
          <w:rFonts w:ascii="Arial" w:hAnsi="Arial" w:cs="Arial"/>
          <w:sz w:val="24"/>
          <w:szCs w:val="24"/>
        </w:rPr>
      </w:pPr>
    </w:p>
    <w:p w14:paraId="74A4F629" w14:textId="77777777" w:rsidR="0081325A" w:rsidRDefault="0081325A" w:rsidP="002E04F0">
      <w:pPr>
        <w:pStyle w:val="ListParagraph"/>
        <w:numPr>
          <w:ilvl w:val="0"/>
          <w:numId w:val="42"/>
        </w:numPr>
        <w:rPr>
          <w:rFonts w:ascii="Arial" w:hAnsi="Arial" w:cs="Arial"/>
          <w:color w:val="0070C0"/>
          <w:sz w:val="24"/>
          <w:szCs w:val="24"/>
        </w:rPr>
      </w:pPr>
      <w:r w:rsidRPr="0081325A">
        <w:rPr>
          <w:rFonts w:ascii="Arial" w:hAnsi="Arial" w:cs="Arial"/>
          <w:color w:val="0070C0"/>
          <w:sz w:val="24"/>
          <w:szCs w:val="24"/>
        </w:rPr>
        <w:t xml:space="preserve">CHEI Response: </w:t>
      </w:r>
      <w:r w:rsidR="003062DA">
        <w:rPr>
          <w:rFonts w:ascii="Arial" w:hAnsi="Arial" w:cs="Arial"/>
          <w:color w:val="0070C0"/>
          <w:sz w:val="24"/>
          <w:szCs w:val="24"/>
        </w:rPr>
        <w:t xml:space="preserve">Wording is wrong as it was copied from an older Summary. </w:t>
      </w:r>
      <w:r w:rsidR="002E04F0">
        <w:rPr>
          <w:rFonts w:ascii="Arial" w:hAnsi="Arial" w:cs="Arial"/>
          <w:color w:val="0070C0"/>
          <w:sz w:val="24"/>
          <w:szCs w:val="24"/>
        </w:rPr>
        <w:t xml:space="preserve">RPP kWh are based on the smart meter readings. </w:t>
      </w:r>
      <w:r w:rsidR="00712664">
        <w:rPr>
          <w:rFonts w:ascii="Arial" w:hAnsi="Arial" w:cs="Arial"/>
          <w:color w:val="0070C0"/>
          <w:sz w:val="24"/>
          <w:szCs w:val="24"/>
        </w:rPr>
        <w:t xml:space="preserve">The readings are </w:t>
      </w:r>
      <w:r w:rsidR="003062DA">
        <w:rPr>
          <w:rFonts w:ascii="Arial" w:hAnsi="Arial" w:cs="Arial"/>
          <w:color w:val="0070C0"/>
          <w:sz w:val="24"/>
          <w:szCs w:val="24"/>
        </w:rPr>
        <w:t xml:space="preserve">made per </w:t>
      </w:r>
      <w:r w:rsidR="00712664">
        <w:rPr>
          <w:rFonts w:ascii="Arial" w:hAnsi="Arial" w:cs="Arial"/>
          <w:color w:val="0070C0"/>
          <w:sz w:val="24"/>
          <w:szCs w:val="24"/>
        </w:rPr>
        <w:t xml:space="preserve">cycles and types of customers. The readings are also split </w:t>
      </w:r>
      <w:r w:rsidR="009214EC">
        <w:rPr>
          <w:rFonts w:ascii="Arial" w:hAnsi="Arial" w:cs="Arial"/>
          <w:color w:val="0070C0"/>
          <w:sz w:val="24"/>
          <w:szCs w:val="24"/>
        </w:rPr>
        <w:t xml:space="preserve">by </w:t>
      </w:r>
      <w:r w:rsidR="003062DA">
        <w:rPr>
          <w:rFonts w:ascii="Arial" w:hAnsi="Arial" w:cs="Arial"/>
          <w:color w:val="0070C0"/>
          <w:sz w:val="24"/>
          <w:szCs w:val="24"/>
        </w:rPr>
        <w:t>OFF/MID/ON</w:t>
      </w:r>
      <w:r w:rsidR="009214EC">
        <w:rPr>
          <w:rFonts w:ascii="Arial" w:hAnsi="Arial" w:cs="Arial"/>
          <w:color w:val="0070C0"/>
          <w:sz w:val="24"/>
          <w:szCs w:val="24"/>
        </w:rPr>
        <w:t xml:space="preserve"> peaks</w:t>
      </w:r>
      <w:r w:rsidR="003062DA">
        <w:rPr>
          <w:rFonts w:ascii="Arial" w:hAnsi="Arial" w:cs="Arial"/>
          <w:color w:val="0070C0"/>
          <w:sz w:val="24"/>
          <w:szCs w:val="24"/>
        </w:rPr>
        <w:t xml:space="preserve"> automatically</w:t>
      </w:r>
      <w:r w:rsidR="009214EC">
        <w:rPr>
          <w:rFonts w:ascii="Arial" w:hAnsi="Arial" w:cs="Arial"/>
          <w:color w:val="0070C0"/>
          <w:sz w:val="24"/>
          <w:szCs w:val="24"/>
        </w:rPr>
        <w:t xml:space="preserve">. Following the readings, CHEI is able to easily split the information based on the 5 different RPP rates. </w:t>
      </w:r>
    </w:p>
    <w:p w14:paraId="77847CC3" w14:textId="77777777" w:rsidR="009214EC" w:rsidRDefault="009214EC" w:rsidP="009214EC">
      <w:pPr>
        <w:pStyle w:val="ListParagraph"/>
        <w:ind w:left="360"/>
        <w:rPr>
          <w:rFonts w:ascii="Arial" w:hAnsi="Arial" w:cs="Arial"/>
          <w:color w:val="0070C0"/>
          <w:sz w:val="24"/>
          <w:szCs w:val="24"/>
        </w:rPr>
      </w:pPr>
    </w:p>
    <w:p w14:paraId="30B342CC" w14:textId="77777777" w:rsidR="0081325A" w:rsidRDefault="0081325A" w:rsidP="002E04F0">
      <w:pPr>
        <w:pStyle w:val="ListParagraph"/>
        <w:numPr>
          <w:ilvl w:val="0"/>
          <w:numId w:val="42"/>
        </w:numPr>
        <w:rPr>
          <w:rFonts w:ascii="Arial" w:hAnsi="Arial" w:cs="Arial"/>
          <w:color w:val="0070C0"/>
          <w:sz w:val="24"/>
          <w:szCs w:val="24"/>
        </w:rPr>
      </w:pPr>
      <w:r w:rsidRPr="0081325A">
        <w:rPr>
          <w:rFonts w:ascii="Arial" w:hAnsi="Arial" w:cs="Arial"/>
          <w:color w:val="0070C0"/>
          <w:sz w:val="24"/>
          <w:szCs w:val="24"/>
        </w:rPr>
        <w:t xml:space="preserve">CHEI Response: </w:t>
      </w:r>
      <w:r w:rsidR="009214EC">
        <w:rPr>
          <w:rFonts w:ascii="Arial" w:hAnsi="Arial" w:cs="Arial"/>
          <w:color w:val="0070C0"/>
          <w:sz w:val="24"/>
          <w:szCs w:val="24"/>
        </w:rPr>
        <w:t xml:space="preserve">Wording is wrong as CHEI does not deal with IESO. They receive an invoice from Hydro One. </w:t>
      </w:r>
    </w:p>
    <w:p w14:paraId="68164C9F" w14:textId="77777777" w:rsidR="0081325A" w:rsidRPr="0081325A" w:rsidRDefault="0081325A" w:rsidP="0081325A">
      <w:pPr>
        <w:rPr>
          <w:rFonts w:ascii="Arial" w:hAnsi="Arial" w:cs="Arial"/>
          <w:color w:val="0070C0"/>
          <w:sz w:val="24"/>
          <w:szCs w:val="24"/>
        </w:rPr>
      </w:pPr>
    </w:p>
    <w:p w14:paraId="3A8658A9" w14:textId="77777777" w:rsidR="0081325A" w:rsidRPr="0081325A" w:rsidRDefault="009214EC" w:rsidP="002E04F0">
      <w:pPr>
        <w:pStyle w:val="ListParagraph"/>
        <w:numPr>
          <w:ilvl w:val="0"/>
          <w:numId w:val="42"/>
        </w:numPr>
        <w:rPr>
          <w:rFonts w:ascii="Arial" w:hAnsi="Arial" w:cs="Arial"/>
          <w:color w:val="0070C0"/>
          <w:sz w:val="24"/>
          <w:szCs w:val="24"/>
        </w:rPr>
      </w:pPr>
      <w:r>
        <w:rPr>
          <w:rFonts w:ascii="Arial" w:hAnsi="Arial" w:cs="Arial"/>
          <w:color w:val="0070C0"/>
          <w:sz w:val="24"/>
          <w:szCs w:val="24"/>
        </w:rPr>
        <w:t xml:space="preserve">CHEI Response: </w:t>
      </w:r>
      <w:r w:rsidR="001D4ECC">
        <w:rPr>
          <w:rFonts w:ascii="Arial" w:hAnsi="Arial" w:cs="Arial"/>
          <w:color w:val="0070C0"/>
          <w:sz w:val="24"/>
          <w:szCs w:val="24"/>
        </w:rPr>
        <w:t>Based on answers above, there is no example to give for a) and b)</w:t>
      </w:r>
    </w:p>
    <w:p w14:paraId="4F04309F" w14:textId="77777777" w:rsidR="0081325A" w:rsidRPr="0081325A" w:rsidRDefault="0081325A" w:rsidP="0081325A">
      <w:pPr>
        <w:pStyle w:val="ListParagraph"/>
        <w:ind w:left="1080"/>
        <w:rPr>
          <w:rFonts w:ascii="Arial" w:hAnsi="Arial" w:cs="Arial"/>
          <w:color w:val="0070C0"/>
          <w:sz w:val="24"/>
          <w:szCs w:val="24"/>
        </w:rPr>
      </w:pPr>
    </w:p>
    <w:p w14:paraId="6ECA2CCF" w14:textId="77777777" w:rsidR="00A22D57" w:rsidRDefault="00A22D57" w:rsidP="00A22D57">
      <w:pPr>
        <w:rPr>
          <w:rFonts w:ascii="Arial" w:hAnsi="Arial" w:cs="Arial"/>
          <w:sz w:val="24"/>
          <w:szCs w:val="24"/>
        </w:rPr>
      </w:pPr>
    </w:p>
    <w:p w14:paraId="5D25F45D" w14:textId="4F620543" w:rsidR="00A22D57" w:rsidRPr="007703FE" w:rsidRDefault="00A22D57" w:rsidP="00A22D57">
      <w:pPr>
        <w:spacing w:after="0" w:line="240" w:lineRule="auto"/>
        <w:rPr>
          <w:rFonts w:ascii="Arial" w:hAnsi="Arial" w:cs="Arial"/>
          <w:b/>
          <w:sz w:val="24"/>
          <w:szCs w:val="24"/>
        </w:rPr>
      </w:pPr>
      <w:r>
        <w:rPr>
          <w:rFonts w:ascii="Arial" w:hAnsi="Arial" w:cs="Arial"/>
          <w:b/>
          <w:sz w:val="24"/>
          <w:szCs w:val="24"/>
        </w:rPr>
        <w:t>Staff Question #</w:t>
      </w:r>
      <w:r w:rsidR="00E8086C">
        <w:rPr>
          <w:rFonts w:ascii="Arial" w:hAnsi="Arial" w:cs="Arial"/>
          <w:b/>
          <w:sz w:val="24"/>
          <w:szCs w:val="24"/>
        </w:rPr>
        <w:t>8</w:t>
      </w:r>
      <w:r w:rsidR="00630D86" w:rsidRPr="00630D86">
        <w:rPr>
          <w:rFonts w:ascii="Arial" w:hAnsi="Arial" w:cs="Arial"/>
          <w:b/>
          <w:sz w:val="24"/>
          <w:szCs w:val="24"/>
          <w:highlight w:val="yellow"/>
        </w:rPr>
        <w:t xml:space="preserve"> </w:t>
      </w:r>
    </w:p>
    <w:p w14:paraId="141C74AC" w14:textId="77777777" w:rsidR="00A22D57" w:rsidRDefault="00A22D57" w:rsidP="00A22D57">
      <w:pPr>
        <w:spacing w:after="0" w:line="240" w:lineRule="auto"/>
        <w:rPr>
          <w:rFonts w:ascii="Arial" w:hAnsi="Arial" w:cs="Arial"/>
          <w:sz w:val="24"/>
          <w:szCs w:val="24"/>
        </w:rPr>
      </w:pPr>
      <w:r w:rsidRPr="00FA3786">
        <w:rPr>
          <w:rFonts w:ascii="Arial" w:hAnsi="Arial" w:cs="Arial"/>
          <w:b/>
          <w:sz w:val="24"/>
          <w:szCs w:val="24"/>
        </w:rPr>
        <w:t>Ref:</w:t>
      </w:r>
      <w:r>
        <w:rPr>
          <w:rFonts w:ascii="Arial" w:hAnsi="Arial" w:cs="Arial"/>
          <w:b/>
          <w:sz w:val="24"/>
          <w:szCs w:val="24"/>
        </w:rPr>
        <w:t xml:space="preserve"> Application, page 14 (lines 16 – 24)</w:t>
      </w:r>
    </w:p>
    <w:p w14:paraId="22B498A4" w14:textId="77777777" w:rsidR="00A22D57" w:rsidRDefault="00A22D57" w:rsidP="00A22D57">
      <w:pPr>
        <w:rPr>
          <w:rFonts w:ascii="Arial" w:hAnsi="Arial" w:cs="Arial"/>
          <w:sz w:val="24"/>
          <w:szCs w:val="24"/>
        </w:rPr>
      </w:pPr>
    </w:p>
    <w:p w14:paraId="0550A13A" w14:textId="77777777" w:rsidR="00A22D57" w:rsidRDefault="00A22D57" w:rsidP="00A22D57">
      <w:pPr>
        <w:rPr>
          <w:rFonts w:ascii="Arial" w:hAnsi="Arial" w:cs="Arial"/>
          <w:sz w:val="24"/>
          <w:szCs w:val="24"/>
        </w:rPr>
      </w:pPr>
      <w:r>
        <w:rPr>
          <w:rFonts w:ascii="Arial" w:hAnsi="Arial" w:cs="Arial"/>
          <w:sz w:val="24"/>
          <w:szCs w:val="24"/>
        </w:rPr>
        <w:t>An excerpt from the application is reproduced below:</w:t>
      </w:r>
    </w:p>
    <w:p w14:paraId="0145D2CA" w14:textId="77777777" w:rsidR="00A22D57" w:rsidRDefault="00A22D57" w:rsidP="00A22D57">
      <w:pPr>
        <w:rPr>
          <w:rFonts w:ascii="Arial" w:hAnsi="Arial" w:cs="Arial"/>
          <w:sz w:val="24"/>
          <w:szCs w:val="24"/>
        </w:rPr>
      </w:pPr>
      <w:r>
        <w:rPr>
          <w:noProof/>
          <w:lang w:val="en-US"/>
        </w:rPr>
        <w:drawing>
          <wp:inline distT="0" distB="0" distL="0" distR="0" wp14:anchorId="23A75C24" wp14:editId="66868D2B">
            <wp:extent cx="5591175" cy="3143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1175" cy="3143250"/>
                    </a:xfrm>
                    <a:prstGeom prst="rect">
                      <a:avLst/>
                    </a:prstGeom>
                  </pic:spPr>
                </pic:pic>
              </a:graphicData>
            </a:graphic>
          </wp:inline>
        </w:drawing>
      </w:r>
    </w:p>
    <w:p w14:paraId="6EB44302" w14:textId="77777777" w:rsidR="00A22D57" w:rsidRDefault="00A22D57" w:rsidP="00A22D57">
      <w:pPr>
        <w:rPr>
          <w:rFonts w:ascii="Arial" w:hAnsi="Arial" w:cs="Arial"/>
          <w:sz w:val="24"/>
          <w:szCs w:val="24"/>
        </w:rPr>
      </w:pPr>
      <w:r>
        <w:rPr>
          <w:rFonts w:ascii="Arial" w:hAnsi="Arial" w:cs="Arial"/>
          <w:sz w:val="24"/>
          <w:szCs w:val="24"/>
        </w:rPr>
        <w:t xml:space="preserve">The description above appears to indicate that Cooperative Hydro Embrun uses billings completed in a month (in this example, December 2018) and not the </w:t>
      </w:r>
      <w:r>
        <w:rPr>
          <w:rFonts w:ascii="Arial" w:hAnsi="Arial" w:cs="Arial"/>
          <w:b/>
          <w:sz w:val="24"/>
          <w:szCs w:val="24"/>
        </w:rPr>
        <w:t>consumption for December</w:t>
      </w:r>
      <w:r>
        <w:rPr>
          <w:rFonts w:ascii="Arial" w:hAnsi="Arial" w:cs="Arial"/>
          <w:sz w:val="24"/>
          <w:szCs w:val="24"/>
        </w:rPr>
        <w:t xml:space="preserve"> (which would generally not be billed in December) to determine the volume split for RPP and non-RPP.</w:t>
      </w:r>
    </w:p>
    <w:p w14:paraId="147B8357" w14:textId="77777777" w:rsidR="00FA66B4" w:rsidRDefault="00A22D57" w:rsidP="00A22D57">
      <w:pPr>
        <w:pStyle w:val="ListParagraph"/>
        <w:numPr>
          <w:ilvl w:val="0"/>
          <w:numId w:val="24"/>
        </w:numPr>
        <w:rPr>
          <w:rFonts w:ascii="Arial" w:hAnsi="Arial" w:cs="Arial"/>
          <w:sz w:val="24"/>
          <w:szCs w:val="24"/>
        </w:rPr>
      </w:pPr>
      <w:r>
        <w:rPr>
          <w:rFonts w:ascii="Arial" w:hAnsi="Arial" w:cs="Arial"/>
          <w:sz w:val="24"/>
          <w:szCs w:val="24"/>
        </w:rPr>
        <w:t>There appears to be a mismatch between the billing stats used and the wholesale kWh</w:t>
      </w:r>
      <w:r w:rsidR="00FA66B4">
        <w:rPr>
          <w:rFonts w:ascii="Arial" w:hAnsi="Arial" w:cs="Arial"/>
          <w:sz w:val="24"/>
          <w:szCs w:val="24"/>
        </w:rPr>
        <w:t xml:space="preserve"> (lines 20-24). </w:t>
      </w:r>
    </w:p>
    <w:p w14:paraId="616A56ED" w14:textId="77777777" w:rsidR="00A22D57" w:rsidRDefault="00FA66B4" w:rsidP="00FA66B4">
      <w:pPr>
        <w:pStyle w:val="ListParagraph"/>
        <w:numPr>
          <w:ilvl w:val="1"/>
          <w:numId w:val="24"/>
        </w:numPr>
        <w:rPr>
          <w:rFonts w:ascii="Arial" w:hAnsi="Arial" w:cs="Arial"/>
          <w:sz w:val="24"/>
          <w:szCs w:val="24"/>
        </w:rPr>
      </w:pPr>
      <w:r>
        <w:rPr>
          <w:rFonts w:ascii="Arial" w:hAnsi="Arial" w:cs="Arial"/>
          <w:sz w:val="24"/>
          <w:szCs w:val="24"/>
        </w:rPr>
        <w:t>Is this data used to record the initial split of CT 148 into RPP and non-RPP?</w:t>
      </w:r>
    </w:p>
    <w:p w14:paraId="4795B663" w14:textId="77777777" w:rsidR="00FA66B4" w:rsidRDefault="00FA66B4" w:rsidP="00FA66B4">
      <w:pPr>
        <w:pStyle w:val="ListParagraph"/>
        <w:numPr>
          <w:ilvl w:val="1"/>
          <w:numId w:val="24"/>
        </w:numPr>
        <w:rPr>
          <w:rFonts w:ascii="Arial" w:hAnsi="Arial" w:cs="Arial"/>
          <w:sz w:val="24"/>
          <w:szCs w:val="24"/>
        </w:rPr>
      </w:pPr>
      <w:r>
        <w:rPr>
          <w:rFonts w:ascii="Arial" w:hAnsi="Arial" w:cs="Arial"/>
          <w:sz w:val="24"/>
          <w:szCs w:val="24"/>
        </w:rPr>
        <w:t xml:space="preserve">If yes to </w:t>
      </w:r>
      <w:r w:rsidR="00D52B64">
        <w:rPr>
          <w:rFonts w:ascii="Arial" w:hAnsi="Arial" w:cs="Arial"/>
          <w:sz w:val="24"/>
          <w:szCs w:val="24"/>
        </w:rPr>
        <w:t xml:space="preserve">subpart </w:t>
      </w:r>
      <w:r>
        <w:rPr>
          <w:rFonts w:ascii="Arial" w:hAnsi="Arial" w:cs="Arial"/>
          <w:sz w:val="24"/>
          <w:szCs w:val="24"/>
        </w:rPr>
        <w:t>i. above, is this split between RPP and non-RPP trued up at a later date when actual retail data becomes available?</w:t>
      </w:r>
    </w:p>
    <w:p w14:paraId="5582CA35" w14:textId="77777777" w:rsidR="00FA66B4" w:rsidRDefault="00FA66B4" w:rsidP="00FA66B4">
      <w:pPr>
        <w:pStyle w:val="ListParagraph"/>
        <w:numPr>
          <w:ilvl w:val="1"/>
          <w:numId w:val="24"/>
        </w:numPr>
        <w:rPr>
          <w:rFonts w:ascii="Arial" w:hAnsi="Arial" w:cs="Arial"/>
          <w:sz w:val="24"/>
          <w:szCs w:val="24"/>
        </w:rPr>
      </w:pPr>
      <w:r>
        <w:rPr>
          <w:rFonts w:ascii="Arial" w:hAnsi="Arial" w:cs="Arial"/>
          <w:sz w:val="24"/>
          <w:szCs w:val="24"/>
        </w:rPr>
        <w:t>Please provide a more detailed description of the process.</w:t>
      </w:r>
    </w:p>
    <w:p w14:paraId="15942FB8" w14:textId="77777777" w:rsidR="00D52B64" w:rsidRDefault="00D52B64" w:rsidP="00D52B64">
      <w:pPr>
        <w:spacing w:after="0" w:line="240" w:lineRule="auto"/>
        <w:rPr>
          <w:rFonts w:ascii="Arial" w:hAnsi="Arial" w:cs="Arial"/>
          <w:b/>
          <w:sz w:val="24"/>
          <w:szCs w:val="24"/>
        </w:rPr>
      </w:pPr>
    </w:p>
    <w:p w14:paraId="70F75EDD" w14:textId="77777777" w:rsidR="0081325A" w:rsidRDefault="00E75D9D" w:rsidP="0081325A">
      <w:pPr>
        <w:pStyle w:val="ListParagraph"/>
        <w:numPr>
          <w:ilvl w:val="0"/>
          <w:numId w:val="34"/>
        </w:numPr>
        <w:rPr>
          <w:rFonts w:ascii="Arial" w:hAnsi="Arial" w:cs="Arial"/>
          <w:color w:val="0070C0"/>
          <w:sz w:val="24"/>
          <w:szCs w:val="24"/>
        </w:rPr>
      </w:pPr>
      <w:r>
        <w:rPr>
          <w:rFonts w:ascii="Arial" w:hAnsi="Arial" w:cs="Arial"/>
          <w:b/>
          <w:sz w:val="24"/>
          <w:szCs w:val="24"/>
        </w:rPr>
        <w:br w:type="page"/>
      </w:r>
      <w:r w:rsidR="0081325A" w:rsidRPr="0081325A">
        <w:rPr>
          <w:rFonts w:ascii="Arial" w:hAnsi="Arial" w:cs="Arial"/>
          <w:color w:val="0070C0"/>
          <w:sz w:val="24"/>
          <w:szCs w:val="24"/>
        </w:rPr>
        <w:t xml:space="preserve">CHEI Response: </w:t>
      </w:r>
      <w:r w:rsidR="00051E15">
        <w:rPr>
          <w:rFonts w:ascii="Arial" w:hAnsi="Arial" w:cs="Arial"/>
          <w:color w:val="0070C0"/>
          <w:sz w:val="24"/>
          <w:szCs w:val="24"/>
        </w:rPr>
        <w:t>Yes</w:t>
      </w:r>
    </w:p>
    <w:p w14:paraId="5CFF26E4" w14:textId="77777777" w:rsidR="0081325A" w:rsidRPr="0081325A" w:rsidRDefault="0081325A" w:rsidP="0081325A">
      <w:pPr>
        <w:ind w:left="360"/>
        <w:rPr>
          <w:rFonts w:ascii="Arial" w:hAnsi="Arial" w:cs="Arial"/>
          <w:color w:val="0070C0"/>
          <w:sz w:val="24"/>
          <w:szCs w:val="24"/>
        </w:rPr>
      </w:pPr>
    </w:p>
    <w:p w14:paraId="4383D42A" w14:textId="77777777" w:rsidR="0081325A" w:rsidRDefault="0081325A" w:rsidP="0081325A">
      <w:pPr>
        <w:pStyle w:val="ListParagraph"/>
        <w:numPr>
          <w:ilvl w:val="0"/>
          <w:numId w:val="34"/>
        </w:numPr>
        <w:rPr>
          <w:rFonts w:ascii="Arial" w:hAnsi="Arial" w:cs="Arial"/>
          <w:color w:val="0070C0"/>
          <w:sz w:val="24"/>
          <w:szCs w:val="24"/>
        </w:rPr>
      </w:pPr>
      <w:r w:rsidRPr="0081325A">
        <w:rPr>
          <w:rFonts w:ascii="Arial" w:hAnsi="Arial" w:cs="Arial"/>
          <w:color w:val="0070C0"/>
          <w:sz w:val="24"/>
          <w:szCs w:val="24"/>
        </w:rPr>
        <w:t xml:space="preserve">CHEI </w:t>
      </w:r>
      <w:r w:rsidR="00051E15">
        <w:rPr>
          <w:rFonts w:ascii="Arial" w:hAnsi="Arial" w:cs="Arial"/>
          <w:color w:val="0070C0"/>
          <w:sz w:val="24"/>
          <w:szCs w:val="24"/>
        </w:rPr>
        <w:t xml:space="preserve">Response: The split between RPP and non-RPP is only performed with actual consumptions. There is no need for a true-up since the split is not performed on estimates. </w:t>
      </w:r>
    </w:p>
    <w:p w14:paraId="336F3935" w14:textId="77777777" w:rsidR="0081325A" w:rsidRPr="0081325A" w:rsidRDefault="0081325A" w:rsidP="0081325A">
      <w:pPr>
        <w:ind w:left="360"/>
        <w:rPr>
          <w:rFonts w:ascii="Arial" w:hAnsi="Arial" w:cs="Arial"/>
          <w:color w:val="0070C0"/>
          <w:sz w:val="24"/>
          <w:szCs w:val="24"/>
        </w:rPr>
      </w:pPr>
    </w:p>
    <w:p w14:paraId="4CF279F3" w14:textId="77777777" w:rsidR="0081325A" w:rsidRPr="0081325A" w:rsidRDefault="0081325A" w:rsidP="0081325A">
      <w:pPr>
        <w:pStyle w:val="ListParagraph"/>
        <w:numPr>
          <w:ilvl w:val="0"/>
          <w:numId w:val="34"/>
        </w:numPr>
        <w:rPr>
          <w:rFonts w:ascii="Arial" w:hAnsi="Arial" w:cs="Arial"/>
          <w:color w:val="0070C0"/>
          <w:sz w:val="24"/>
          <w:szCs w:val="24"/>
        </w:rPr>
      </w:pPr>
      <w:r w:rsidRPr="0081325A">
        <w:rPr>
          <w:rFonts w:ascii="Arial" w:hAnsi="Arial" w:cs="Arial"/>
          <w:color w:val="0070C0"/>
          <w:sz w:val="24"/>
          <w:szCs w:val="24"/>
        </w:rPr>
        <w:t>CHEI Response: [Insert response here]</w:t>
      </w:r>
    </w:p>
    <w:p w14:paraId="0D3D3500" w14:textId="77777777" w:rsidR="00E75D9D" w:rsidRPr="0081325A" w:rsidRDefault="00E75D9D">
      <w:pPr>
        <w:rPr>
          <w:rFonts w:ascii="Arial" w:hAnsi="Arial" w:cs="Arial"/>
          <w:bCs/>
          <w:sz w:val="24"/>
          <w:szCs w:val="24"/>
        </w:rPr>
      </w:pPr>
    </w:p>
    <w:p w14:paraId="0026ECB0" w14:textId="7E70B117" w:rsidR="00D52B64" w:rsidRPr="007703FE" w:rsidRDefault="00D52B64" w:rsidP="00D52B64">
      <w:pPr>
        <w:spacing w:after="0" w:line="240" w:lineRule="auto"/>
        <w:rPr>
          <w:rFonts w:ascii="Arial" w:hAnsi="Arial" w:cs="Arial"/>
          <w:b/>
          <w:sz w:val="24"/>
          <w:szCs w:val="24"/>
        </w:rPr>
      </w:pPr>
      <w:r>
        <w:rPr>
          <w:rFonts w:ascii="Arial" w:hAnsi="Arial" w:cs="Arial"/>
          <w:b/>
          <w:sz w:val="24"/>
          <w:szCs w:val="24"/>
        </w:rPr>
        <w:t>Staff Question #</w:t>
      </w:r>
      <w:r w:rsidR="00E8086C">
        <w:rPr>
          <w:rFonts w:ascii="Arial" w:hAnsi="Arial" w:cs="Arial"/>
          <w:b/>
          <w:sz w:val="24"/>
          <w:szCs w:val="24"/>
        </w:rPr>
        <w:t>9</w:t>
      </w:r>
      <w:r w:rsidR="00630D86" w:rsidRPr="00630D86">
        <w:rPr>
          <w:rFonts w:ascii="Arial" w:hAnsi="Arial" w:cs="Arial"/>
          <w:b/>
          <w:sz w:val="24"/>
          <w:szCs w:val="24"/>
          <w:highlight w:val="yellow"/>
        </w:rPr>
        <w:t xml:space="preserve"> </w:t>
      </w:r>
    </w:p>
    <w:p w14:paraId="7052CB70" w14:textId="77777777" w:rsidR="00D52B64" w:rsidRDefault="00D52B64" w:rsidP="00D52B64">
      <w:pPr>
        <w:rPr>
          <w:rFonts w:ascii="Arial" w:hAnsi="Arial" w:cs="Arial"/>
          <w:b/>
          <w:sz w:val="24"/>
          <w:szCs w:val="24"/>
        </w:rPr>
      </w:pPr>
      <w:r w:rsidRPr="00FA3786">
        <w:rPr>
          <w:rFonts w:ascii="Arial" w:hAnsi="Arial" w:cs="Arial"/>
          <w:b/>
          <w:sz w:val="24"/>
          <w:szCs w:val="24"/>
        </w:rPr>
        <w:t>Ref:</w:t>
      </w:r>
      <w:r>
        <w:rPr>
          <w:rFonts w:ascii="Arial" w:hAnsi="Arial" w:cs="Arial"/>
          <w:b/>
          <w:sz w:val="24"/>
          <w:szCs w:val="24"/>
        </w:rPr>
        <w:t xml:space="preserve"> Application, page</w:t>
      </w:r>
      <w:r w:rsidR="00DF69EE">
        <w:rPr>
          <w:rFonts w:ascii="Arial" w:hAnsi="Arial" w:cs="Arial"/>
          <w:b/>
          <w:sz w:val="24"/>
          <w:szCs w:val="24"/>
        </w:rPr>
        <w:t xml:space="preserve"> 17 (lines 9 – 12)</w:t>
      </w:r>
    </w:p>
    <w:p w14:paraId="33538E09" w14:textId="77777777" w:rsidR="00DF69EE" w:rsidRDefault="00DF69EE" w:rsidP="00D52B64">
      <w:pPr>
        <w:rPr>
          <w:rFonts w:ascii="Arial" w:hAnsi="Arial" w:cs="Arial"/>
          <w:sz w:val="24"/>
          <w:szCs w:val="24"/>
        </w:rPr>
      </w:pPr>
      <w:r>
        <w:rPr>
          <w:rFonts w:ascii="Arial" w:hAnsi="Arial" w:cs="Arial"/>
          <w:sz w:val="24"/>
          <w:szCs w:val="24"/>
        </w:rPr>
        <w:t>Please see the excerpt from application reproduced below:</w:t>
      </w:r>
    </w:p>
    <w:p w14:paraId="277CCB5C" w14:textId="77777777" w:rsidR="00DF69EE" w:rsidRDefault="00DF69EE" w:rsidP="00D52B64">
      <w:pPr>
        <w:rPr>
          <w:rFonts w:ascii="Arial" w:hAnsi="Arial" w:cs="Arial"/>
          <w:sz w:val="24"/>
          <w:szCs w:val="24"/>
        </w:rPr>
      </w:pPr>
      <w:r>
        <w:rPr>
          <w:noProof/>
          <w:lang w:val="en-US"/>
        </w:rPr>
        <w:drawing>
          <wp:inline distT="0" distB="0" distL="0" distR="0" wp14:anchorId="52E29E62" wp14:editId="5AE307CA">
            <wp:extent cx="5705475" cy="1390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05475" cy="1390650"/>
                    </a:xfrm>
                    <a:prstGeom prst="rect">
                      <a:avLst/>
                    </a:prstGeom>
                  </pic:spPr>
                </pic:pic>
              </a:graphicData>
            </a:graphic>
          </wp:inline>
        </w:drawing>
      </w:r>
    </w:p>
    <w:p w14:paraId="799244F6" w14:textId="77777777" w:rsidR="00DF69EE" w:rsidRDefault="00DF69EE" w:rsidP="00DF69EE">
      <w:pPr>
        <w:pStyle w:val="ListParagraph"/>
        <w:numPr>
          <w:ilvl w:val="0"/>
          <w:numId w:val="25"/>
        </w:numPr>
        <w:rPr>
          <w:rFonts w:ascii="Arial" w:hAnsi="Arial" w:cs="Arial"/>
          <w:sz w:val="24"/>
          <w:szCs w:val="24"/>
        </w:rPr>
      </w:pPr>
      <w:r>
        <w:rPr>
          <w:rFonts w:ascii="Arial" w:hAnsi="Arial" w:cs="Arial"/>
          <w:sz w:val="24"/>
          <w:szCs w:val="24"/>
        </w:rPr>
        <w:t>Please explain why there is a balance related to 2017 still in Cooperative Hydro Embrun’s books, given that 2017 amounts were already disposed in 2019?</w:t>
      </w:r>
    </w:p>
    <w:p w14:paraId="7B6C8893" w14:textId="77777777" w:rsidR="001B2695" w:rsidRDefault="001B2695" w:rsidP="001B2695">
      <w:pPr>
        <w:pStyle w:val="ListParagraph"/>
        <w:rPr>
          <w:rFonts w:ascii="Arial" w:hAnsi="Arial" w:cs="Arial"/>
          <w:sz w:val="24"/>
          <w:szCs w:val="24"/>
        </w:rPr>
      </w:pPr>
    </w:p>
    <w:p w14:paraId="0DC06F4F" w14:textId="77777777" w:rsidR="0081325A" w:rsidRDefault="00DF69EE" w:rsidP="0081325A">
      <w:pPr>
        <w:pStyle w:val="ListParagraph"/>
        <w:numPr>
          <w:ilvl w:val="0"/>
          <w:numId w:val="25"/>
        </w:numPr>
        <w:rPr>
          <w:rFonts w:ascii="Arial" w:hAnsi="Arial" w:cs="Arial"/>
          <w:sz w:val="24"/>
          <w:szCs w:val="24"/>
        </w:rPr>
      </w:pPr>
      <w:r>
        <w:rPr>
          <w:rFonts w:ascii="Arial" w:hAnsi="Arial" w:cs="Arial"/>
          <w:sz w:val="24"/>
          <w:szCs w:val="24"/>
        </w:rPr>
        <w:t>What amount is remaining in CBR Class B that remains to be transferred to 1580 WMS in the “following year”? Please explain.</w:t>
      </w:r>
    </w:p>
    <w:p w14:paraId="2A7ADF93" w14:textId="77777777" w:rsidR="0081325A" w:rsidRPr="0081325A" w:rsidRDefault="0081325A" w:rsidP="0081325A">
      <w:pPr>
        <w:rPr>
          <w:rFonts w:ascii="Arial" w:hAnsi="Arial" w:cs="Arial"/>
          <w:sz w:val="24"/>
          <w:szCs w:val="24"/>
        </w:rPr>
      </w:pPr>
    </w:p>
    <w:p w14:paraId="46DFD4E2" w14:textId="179C0731" w:rsidR="00342DF0" w:rsidRPr="00F252C6" w:rsidRDefault="0081325A" w:rsidP="00F252C6">
      <w:pPr>
        <w:pStyle w:val="ListParagraph"/>
        <w:numPr>
          <w:ilvl w:val="0"/>
          <w:numId w:val="44"/>
        </w:numPr>
        <w:rPr>
          <w:rFonts w:ascii="Arial" w:hAnsi="Arial" w:cs="Arial"/>
          <w:color w:val="0070C0"/>
          <w:sz w:val="24"/>
          <w:szCs w:val="24"/>
        </w:rPr>
      </w:pPr>
      <w:r w:rsidRPr="00F252C6">
        <w:rPr>
          <w:rFonts w:ascii="Arial" w:hAnsi="Arial" w:cs="Arial"/>
          <w:color w:val="0070C0"/>
          <w:sz w:val="24"/>
          <w:szCs w:val="24"/>
        </w:rPr>
        <w:t xml:space="preserve">CHEI Response: </w:t>
      </w:r>
      <w:r w:rsidR="001A5EB4" w:rsidRPr="00F252C6">
        <w:rPr>
          <w:rFonts w:ascii="Arial" w:hAnsi="Arial" w:cs="Arial"/>
          <w:color w:val="0070C0"/>
          <w:sz w:val="24"/>
          <w:szCs w:val="24"/>
        </w:rPr>
        <w:t xml:space="preserve">The application for disposition did not factor in adjustments to the balance of 2017. As such, this is why there is still a balance. </w:t>
      </w:r>
    </w:p>
    <w:p w14:paraId="13F6AAB6" w14:textId="77777777" w:rsidR="0081325A" w:rsidRPr="0081325A" w:rsidRDefault="0081325A" w:rsidP="0081325A">
      <w:pPr>
        <w:rPr>
          <w:rFonts w:ascii="Arial" w:hAnsi="Arial" w:cs="Arial"/>
          <w:color w:val="0070C0"/>
          <w:sz w:val="24"/>
          <w:szCs w:val="24"/>
        </w:rPr>
      </w:pPr>
    </w:p>
    <w:p w14:paraId="5AE682DF" w14:textId="5EE30E76" w:rsidR="002F74C5" w:rsidRPr="002F74C5" w:rsidRDefault="002F74C5" w:rsidP="002F74C5">
      <w:pPr>
        <w:pStyle w:val="ListParagraph"/>
        <w:numPr>
          <w:ilvl w:val="0"/>
          <w:numId w:val="44"/>
        </w:numPr>
        <w:rPr>
          <w:rFonts w:ascii="Arial" w:hAnsi="Arial" w:cs="Arial"/>
          <w:color w:val="0070C0"/>
          <w:sz w:val="24"/>
          <w:szCs w:val="24"/>
        </w:rPr>
      </w:pPr>
      <w:r w:rsidRPr="002F74C5">
        <w:rPr>
          <w:rFonts w:ascii="Arial" w:hAnsi="Arial" w:cs="Arial"/>
          <w:color w:val="0070C0"/>
          <w:sz w:val="24"/>
          <w:szCs w:val="24"/>
        </w:rPr>
        <w:t xml:space="preserve">CHEI Response: As shown on question a), the year-end adjustments, hence the differences noted between the balances and the request for dispositions, will be factored into the subsequent year disposition request. This is only a timing difference and the remaining full balance of 2017 will be transferred. </w:t>
      </w:r>
    </w:p>
    <w:p w14:paraId="05DAE73F" w14:textId="77777777" w:rsidR="0081325A" w:rsidRPr="0081325A" w:rsidRDefault="0081325A" w:rsidP="0081325A">
      <w:pPr>
        <w:pStyle w:val="ListParagraph"/>
        <w:rPr>
          <w:rFonts w:ascii="Arial" w:hAnsi="Arial" w:cs="Arial"/>
          <w:sz w:val="24"/>
          <w:szCs w:val="24"/>
        </w:rPr>
      </w:pPr>
    </w:p>
    <w:p w14:paraId="39E620BF" w14:textId="77777777" w:rsidR="0081325A" w:rsidRPr="0081325A" w:rsidRDefault="0081325A" w:rsidP="0081325A">
      <w:pPr>
        <w:rPr>
          <w:rFonts w:ascii="Arial" w:hAnsi="Arial" w:cs="Arial"/>
          <w:sz w:val="24"/>
          <w:szCs w:val="24"/>
        </w:rPr>
      </w:pPr>
    </w:p>
    <w:p w14:paraId="5C013C87" w14:textId="4FF38498" w:rsidR="00695082" w:rsidRPr="00695082" w:rsidRDefault="0081325A" w:rsidP="00695082">
      <w:pPr>
        <w:rPr>
          <w:rFonts w:ascii="Arial" w:hAnsi="Arial" w:cs="Arial"/>
          <w:b/>
          <w:sz w:val="24"/>
          <w:szCs w:val="24"/>
        </w:rPr>
      </w:pPr>
      <w:r>
        <w:rPr>
          <w:rFonts w:ascii="Arial" w:hAnsi="Arial" w:cs="Arial"/>
          <w:b/>
          <w:sz w:val="24"/>
          <w:szCs w:val="24"/>
        </w:rPr>
        <w:br w:type="page"/>
      </w:r>
      <w:r w:rsidR="00695082" w:rsidRPr="00695082">
        <w:rPr>
          <w:rFonts w:ascii="Arial" w:hAnsi="Arial" w:cs="Arial"/>
          <w:b/>
          <w:sz w:val="24"/>
          <w:szCs w:val="24"/>
        </w:rPr>
        <w:t>LRAMVA</w:t>
      </w:r>
    </w:p>
    <w:p w14:paraId="367BDF76" w14:textId="77777777" w:rsidR="00695082" w:rsidRPr="00695082" w:rsidRDefault="00695082" w:rsidP="00695082">
      <w:pPr>
        <w:pStyle w:val="NoSpacing"/>
        <w:spacing w:line="276" w:lineRule="auto"/>
        <w:rPr>
          <w:rFonts w:ascii="Arial" w:hAnsi="Arial" w:cs="Arial"/>
          <w:b/>
          <w:sz w:val="24"/>
          <w:szCs w:val="24"/>
        </w:rPr>
      </w:pPr>
      <w:r w:rsidRPr="00695082">
        <w:rPr>
          <w:rFonts w:ascii="Arial" w:hAnsi="Arial" w:cs="Arial"/>
          <w:b/>
          <w:sz w:val="24"/>
          <w:szCs w:val="24"/>
        </w:rPr>
        <w:t>Staff Question</w:t>
      </w:r>
      <w:r>
        <w:rPr>
          <w:rFonts w:ascii="Arial" w:hAnsi="Arial" w:cs="Arial"/>
          <w:b/>
          <w:sz w:val="24"/>
          <w:szCs w:val="24"/>
        </w:rPr>
        <w:t xml:space="preserve"> </w:t>
      </w:r>
      <w:r w:rsidRPr="00695082">
        <w:rPr>
          <w:rFonts w:ascii="Arial" w:hAnsi="Arial" w:cs="Arial"/>
          <w:b/>
          <w:sz w:val="24"/>
          <w:szCs w:val="24"/>
        </w:rPr>
        <w:t>#10</w:t>
      </w:r>
    </w:p>
    <w:p w14:paraId="4938723B" w14:textId="77777777" w:rsidR="00695082" w:rsidRPr="00695082" w:rsidRDefault="00695082" w:rsidP="00695082">
      <w:pPr>
        <w:rPr>
          <w:rFonts w:ascii="Arial" w:hAnsi="Arial" w:cs="Arial"/>
          <w:b/>
          <w:sz w:val="24"/>
          <w:szCs w:val="24"/>
        </w:rPr>
      </w:pPr>
      <w:r>
        <w:rPr>
          <w:rFonts w:ascii="Arial" w:hAnsi="Arial" w:cs="Arial"/>
          <w:b/>
          <w:sz w:val="24"/>
          <w:szCs w:val="24"/>
        </w:rPr>
        <w:t xml:space="preserve">Ref: </w:t>
      </w:r>
      <w:r w:rsidRPr="00695082">
        <w:rPr>
          <w:rFonts w:ascii="Arial" w:hAnsi="Arial" w:cs="Arial"/>
          <w:b/>
          <w:sz w:val="24"/>
          <w:szCs w:val="24"/>
        </w:rPr>
        <w:t>Tab 1-a of LRAMVA workform (LRAMVA summary)</w:t>
      </w:r>
    </w:p>
    <w:p w14:paraId="15831C66" w14:textId="77777777" w:rsidR="00695082" w:rsidRPr="004247E4" w:rsidRDefault="00695082" w:rsidP="00695082">
      <w:pPr>
        <w:rPr>
          <w:rFonts w:ascii="Arial" w:hAnsi="Arial" w:cs="Arial"/>
          <w:sz w:val="24"/>
          <w:szCs w:val="24"/>
        </w:rPr>
      </w:pPr>
      <w:r w:rsidRPr="004247E4">
        <w:rPr>
          <w:rFonts w:ascii="Arial" w:hAnsi="Arial" w:cs="Arial"/>
          <w:sz w:val="24"/>
          <w:szCs w:val="24"/>
        </w:rPr>
        <w:t xml:space="preserve">Cooperative Hydro Embrun applied to dispose of an LRAMVA debit balance of $8,533 associated with new CDM program savings from 2017 and 2018, including persisting savings from 2015 and 2016 in 2017, persisting savings from 2015 and 2017 in 2018, and carrying charges.  </w:t>
      </w:r>
    </w:p>
    <w:p w14:paraId="61E53C29" w14:textId="77777777" w:rsidR="00695082" w:rsidRPr="004247E4" w:rsidRDefault="00695082" w:rsidP="00695082">
      <w:pPr>
        <w:rPr>
          <w:rFonts w:ascii="Arial" w:hAnsi="Arial" w:cs="Arial"/>
          <w:sz w:val="24"/>
          <w:szCs w:val="24"/>
        </w:rPr>
      </w:pPr>
      <w:r w:rsidRPr="004247E4">
        <w:rPr>
          <w:rFonts w:ascii="Arial" w:hAnsi="Arial" w:cs="Arial"/>
          <w:sz w:val="24"/>
          <w:szCs w:val="24"/>
        </w:rPr>
        <w:t>The LRAMVA balance calculated in Table 1-a inadvertently includes 2019 amounts that are pulled from Table 1-b. As a result, the total LRAMVA amounts in Table 1-a and Table 1-b do not match.</w:t>
      </w:r>
    </w:p>
    <w:p w14:paraId="3241D932" w14:textId="77777777" w:rsidR="00695082" w:rsidRPr="004247E4" w:rsidRDefault="00695082" w:rsidP="00695082">
      <w:pPr>
        <w:pStyle w:val="NoSpacing"/>
        <w:numPr>
          <w:ilvl w:val="0"/>
          <w:numId w:val="28"/>
        </w:numPr>
        <w:spacing w:line="276" w:lineRule="auto"/>
        <w:rPr>
          <w:rFonts w:ascii="Arial" w:hAnsi="Arial" w:cs="Arial"/>
          <w:sz w:val="24"/>
          <w:szCs w:val="24"/>
        </w:rPr>
      </w:pPr>
      <w:r w:rsidRPr="004247E4">
        <w:rPr>
          <w:rFonts w:ascii="Arial" w:hAnsi="Arial" w:cs="Arial"/>
          <w:sz w:val="24"/>
          <w:szCs w:val="24"/>
        </w:rPr>
        <w:t>In Table 1-b, please unhide rows 78 and 79 and remove the amounts in these rows as they relate to 2019 lost revenues that are not part of the claim.</w:t>
      </w:r>
    </w:p>
    <w:p w14:paraId="23362703" w14:textId="77777777" w:rsidR="00695082" w:rsidRPr="004247E4" w:rsidRDefault="00695082" w:rsidP="00695082">
      <w:pPr>
        <w:pStyle w:val="NoSpacing"/>
        <w:numPr>
          <w:ilvl w:val="0"/>
          <w:numId w:val="28"/>
        </w:numPr>
        <w:spacing w:line="276" w:lineRule="auto"/>
        <w:rPr>
          <w:rFonts w:ascii="Arial" w:hAnsi="Arial" w:cs="Arial"/>
          <w:sz w:val="24"/>
          <w:szCs w:val="24"/>
        </w:rPr>
      </w:pPr>
      <w:r w:rsidRPr="004247E4">
        <w:rPr>
          <w:rFonts w:ascii="Arial" w:hAnsi="Arial" w:cs="Arial"/>
          <w:sz w:val="24"/>
          <w:szCs w:val="24"/>
        </w:rPr>
        <w:t>Please confirm that Table 1-a of the LRAMVA workform has been updated.</w:t>
      </w:r>
    </w:p>
    <w:p w14:paraId="6F835B61" w14:textId="77777777" w:rsidR="00695082" w:rsidRPr="004247E4" w:rsidRDefault="00695082" w:rsidP="00695082">
      <w:pPr>
        <w:pStyle w:val="NoSpacing"/>
        <w:spacing w:line="276" w:lineRule="auto"/>
        <w:rPr>
          <w:rFonts w:ascii="Arial" w:hAnsi="Arial" w:cs="Arial"/>
          <w:sz w:val="24"/>
          <w:szCs w:val="24"/>
        </w:rPr>
      </w:pPr>
    </w:p>
    <w:p w14:paraId="1D558869" w14:textId="77777777" w:rsidR="0081325A" w:rsidRPr="00576F1B" w:rsidRDefault="0081325A" w:rsidP="0081325A">
      <w:pPr>
        <w:spacing w:after="160"/>
        <w:rPr>
          <w:rFonts w:ascii="Arial" w:hAnsi="Arial" w:cs="Arial"/>
          <w:color w:val="0070C0"/>
          <w:sz w:val="24"/>
          <w:szCs w:val="24"/>
        </w:rPr>
      </w:pPr>
      <w:r w:rsidRPr="00576F1B">
        <w:rPr>
          <w:rFonts w:ascii="Arial" w:hAnsi="Arial" w:cs="Arial"/>
          <w:color w:val="0070C0"/>
          <w:sz w:val="24"/>
          <w:szCs w:val="24"/>
        </w:rPr>
        <w:t xml:space="preserve">CHEI Response: Board Staff is correct in that </w:t>
      </w:r>
      <w:r w:rsidR="0098730F">
        <w:rPr>
          <w:rFonts w:ascii="Arial" w:hAnsi="Arial" w:cs="Arial"/>
          <w:color w:val="0070C0"/>
          <w:sz w:val="24"/>
          <w:szCs w:val="24"/>
        </w:rPr>
        <w:t>the model incorrectly sums the LRAMVA total to include 2019.</w:t>
      </w:r>
      <w:r w:rsidRPr="00576F1B">
        <w:rPr>
          <w:rFonts w:ascii="Arial" w:hAnsi="Arial" w:cs="Arial"/>
          <w:color w:val="0070C0"/>
          <w:sz w:val="24"/>
          <w:szCs w:val="24"/>
        </w:rPr>
        <w:t xml:space="preserve"> CHEI has rectified the threshold in the LRAMVA model filed in conjunction with these responses.</w:t>
      </w:r>
      <w:r w:rsidR="0098730F">
        <w:rPr>
          <w:rFonts w:ascii="Arial" w:hAnsi="Arial" w:cs="Arial"/>
          <w:color w:val="0070C0"/>
          <w:sz w:val="24"/>
          <w:szCs w:val="24"/>
        </w:rPr>
        <w:t xml:space="preserve"> </w:t>
      </w:r>
    </w:p>
    <w:p w14:paraId="755ED478" w14:textId="77777777" w:rsidR="00695082" w:rsidRPr="0081325A" w:rsidRDefault="00695082" w:rsidP="00695082">
      <w:pPr>
        <w:pStyle w:val="NoSpacing"/>
        <w:spacing w:line="276" w:lineRule="auto"/>
        <w:rPr>
          <w:rFonts w:ascii="Arial" w:hAnsi="Arial" w:cs="Arial"/>
          <w:sz w:val="24"/>
          <w:szCs w:val="24"/>
          <w:lang w:val="en-CA"/>
        </w:rPr>
      </w:pPr>
    </w:p>
    <w:p w14:paraId="520A05DD" w14:textId="77777777" w:rsidR="00695082" w:rsidRPr="00695082" w:rsidRDefault="00695082" w:rsidP="00695082">
      <w:pPr>
        <w:pStyle w:val="NoSpacing"/>
        <w:spacing w:line="276" w:lineRule="auto"/>
        <w:rPr>
          <w:rFonts w:ascii="Arial" w:hAnsi="Arial" w:cs="Arial"/>
          <w:b/>
          <w:sz w:val="24"/>
          <w:szCs w:val="24"/>
        </w:rPr>
      </w:pPr>
      <w:r w:rsidRPr="00695082">
        <w:rPr>
          <w:rFonts w:ascii="Arial" w:hAnsi="Arial" w:cs="Arial"/>
          <w:b/>
          <w:sz w:val="24"/>
          <w:szCs w:val="24"/>
        </w:rPr>
        <w:t>Staff Question</w:t>
      </w:r>
      <w:r>
        <w:rPr>
          <w:rFonts w:ascii="Arial" w:hAnsi="Arial" w:cs="Arial"/>
          <w:b/>
          <w:sz w:val="24"/>
          <w:szCs w:val="24"/>
        </w:rPr>
        <w:t xml:space="preserve"> </w:t>
      </w:r>
      <w:r w:rsidRPr="00695082">
        <w:rPr>
          <w:rFonts w:ascii="Arial" w:hAnsi="Arial" w:cs="Arial"/>
          <w:b/>
          <w:sz w:val="24"/>
          <w:szCs w:val="24"/>
        </w:rPr>
        <w:t>#</w:t>
      </w:r>
      <w:r>
        <w:rPr>
          <w:rFonts w:ascii="Arial" w:hAnsi="Arial" w:cs="Arial"/>
          <w:b/>
          <w:sz w:val="24"/>
          <w:szCs w:val="24"/>
        </w:rPr>
        <w:t>11</w:t>
      </w:r>
    </w:p>
    <w:p w14:paraId="658FDC4E" w14:textId="77777777" w:rsidR="00695082" w:rsidRPr="00695082" w:rsidRDefault="00695082" w:rsidP="00695082">
      <w:pPr>
        <w:pStyle w:val="NoSpacing"/>
        <w:spacing w:line="276" w:lineRule="auto"/>
        <w:rPr>
          <w:rFonts w:ascii="Arial" w:hAnsi="Arial" w:cs="Arial"/>
          <w:b/>
          <w:sz w:val="24"/>
          <w:szCs w:val="24"/>
        </w:rPr>
      </w:pPr>
      <w:r w:rsidRPr="00695082">
        <w:rPr>
          <w:rFonts w:ascii="Arial" w:hAnsi="Arial" w:cs="Arial"/>
          <w:b/>
          <w:sz w:val="24"/>
          <w:szCs w:val="24"/>
        </w:rPr>
        <w:t>Ref:</w:t>
      </w:r>
      <w:r w:rsidRPr="00695082">
        <w:rPr>
          <w:rFonts w:ascii="Arial" w:hAnsi="Arial" w:cs="Arial"/>
          <w:b/>
          <w:sz w:val="24"/>
          <w:szCs w:val="24"/>
        </w:rPr>
        <w:tab/>
        <w:t>Tab 2 of LRAMVA workform (threshold)</w:t>
      </w:r>
    </w:p>
    <w:p w14:paraId="5B038130" w14:textId="77777777" w:rsidR="00695082" w:rsidRPr="00695082" w:rsidRDefault="00695082" w:rsidP="00695082">
      <w:pPr>
        <w:pStyle w:val="NoSpacing"/>
        <w:spacing w:line="276" w:lineRule="auto"/>
        <w:rPr>
          <w:rFonts w:ascii="Arial" w:hAnsi="Arial" w:cs="Arial"/>
          <w:b/>
          <w:sz w:val="24"/>
          <w:szCs w:val="24"/>
        </w:rPr>
      </w:pPr>
      <w:r w:rsidRPr="00695082">
        <w:rPr>
          <w:rFonts w:ascii="Arial" w:hAnsi="Arial" w:cs="Arial"/>
          <w:b/>
          <w:sz w:val="24"/>
          <w:szCs w:val="24"/>
        </w:rPr>
        <w:tab/>
        <w:t>EB-2017-0035, Load Forecasting Model, Tab CDM Adjustment</w:t>
      </w:r>
    </w:p>
    <w:p w14:paraId="307FFB03" w14:textId="77777777" w:rsidR="00695082" w:rsidRPr="004247E4" w:rsidRDefault="00695082" w:rsidP="00695082">
      <w:pPr>
        <w:pStyle w:val="NoSpacing"/>
        <w:spacing w:line="276" w:lineRule="auto"/>
        <w:rPr>
          <w:rFonts w:ascii="Arial" w:hAnsi="Arial" w:cs="Arial"/>
          <w:sz w:val="24"/>
          <w:szCs w:val="24"/>
        </w:rPr>
      </w:pPr>
      <w:r w:rsidRPr="004247E4">
        <w:rPr>
          <w:rFonts w:ascii="Arial" w:hAnsi="Arial" w:cs="Arial"/>
          <w:sz w:val="24"/>
          <w:szCs w:val="24"/>
        </w:rPr>
        <w:tab/>
        <w:t>EB-2017-0035, Table 16 of Settlement Agreement, p. 34 of 57</w:t>
      </w:r>
    </w:p>
    <w:p w14:paraId="38CD5D22" w14:textId="77777777" w:rsidR="00695082" w:rsidRPr="004247E4" w:rsidRDefault="00695082" w:rsidP="00695082">
      <w:pPr>
        <w:pStyle w:val="NoSpacing"/>
        <w:spacing w:line="276" w:lineRule="auto"/>
        <w:rPr>
          <w:rFonts w:ascii="Arial" w:hAnsi="Arial" w:cs="Arial"/>
          <w:sz w:val="24"/>
          <w:szCs w:val="24"/>
        </w:rPr>
      </w:pPr>
    </w:p>
    <w:p w14:paraId="397AC049" w14:textId="77777777" w:rsidR="00695082" w:rsidRPr="004247E4" w:rsidRDefault="00695082" w:rsidP="00695082">
      <w:pPr>
        <w:rPr>
          <w:rFonts w:ascii="Arial" w:hAnsi="Arial" w:cs="Arial"/>
          <w:sz w:val="24"/>
          <w:szCs w:val="24"/>
        </w:rPr>
      </w:pPr>
      <w:r w:rsidRPr="004247E4">
        <w:rPr>
          <w:rFonts w:ascii="Arial" w:hAnsi="Arial" w:cs="Arial"/>
          <w:sz w:val="24"/>
          <w:szCs w:val="24"/>
        </w:rPr>
        <w:t xml:space="preserve">In Cooperative Hydro Embrun’s 2018 cost of service proceeding, an LRAMVA threshold of </w:t>
      </w:r>
      <w:r w:rsidRPr="004247E4">
        <w:rPr>
          <w:rFonts w:ascii="Arial" w:eastAsia="Times New Roman" w:hAnsi="Arial" w:cs="Arial"/>
          <w:color w:val="000000"/>
          <w:sz w:val="24"/>
          <w:szCs w:val="24"/>
        </w:rPr>
        <w:t>1,405,902</w:t>
      </w:r>
      <w:r w:rsidRPr="004247E4">
        <w:rPr>
          <w:rFonts w:ascii="Arial" w:hAnsi="Arial" w:cs="Arial"/>
          <w:sz w:val="24"/>
          <w:szCs w:val="24"/>
        </w:rPr>
        <w:t xml:space="preserve"> kWh comprised of forecast savings from 2015 to the 2018 test year was established. In the LRAMVA workform, Cooperative Hydro Embrun used an LRAMVA threshold of </w:t>
      </w:r>
      <w:r w:rsidRPr="004247E4">
        <w:rPr>
          <w:rFonts w:ascii="Arial" w:eastAsia="Times New Roman" w:hAnsi="Arial" w:cs="Arial"/>
          <w:color w:val="000000"/>
          <w:sz w:val="24"/>
          <w:szCs w:val="24"/>
        </w:rPr>
        <w:t>1,405,719 kWh</w:t>
      </w:r>
      <w:r w:rsidRPr="004247E4">
        <w:rPr>
          <w:rFonts w:ascii="Arial" w:hAnsi="Arial" w:cs="Arial"/>
          <w:sz w:val="24"/>
          <w:szCs w:val="24"/>
        </w:rPr>
        <w:t xml:space="preserve"> to compare forecast savings to actual savings in 2018.</w:t>
      </w:r>
    </w:p>
    <w:p w14:paraId="352F8FAE" w14:textId="77777777" w:rsidR="00695082" w:rsidRPr="004247E4" w:rsidRDefault="00695082" w:rsidP="00695082">
      <w:pPr>
        <w:pStyle w:val="ListParagraph"/>
        <w:numPr>
          <w:ilvl w:val="0"/>
          <w:numId w:val="27"/>
        </w:numPr>
        <w:spacing w:after="160"/>
        <w:rPr>
          <w:rFonts w:ascii="Arial" w:hAnsi="Arial" w:cs="Arial"/>
          <w:sz w:val="24"/>
          <w:szCs w:val="24"/>
        </w:rPr>
      </w:pPr>
      <w:r w:rsidRPr="004247E4">
        <w:rPr>
          <w:rFonts w:ascii="Arial" w:hAnsi="Arial" w:cs="Arial"/>
          <w:sz w:val="24"/>
          <w:szCs w:val="24"/>
        </w:rPr>
        <w:t xml:space="preserve">Please explain why an LRAMVA threshold of </w:t>
      </w:r>
      <w:r w:rsidRPr="004247E4">
        <w:rPr>
          <w:rFonts w:ascii="Arial" w:eastAsia="Times New Roman" w:hAnsi="Arial" w:cs="Arial"/>
          <w:color w:val="000000"/>
          <w:sz w:val="24"/>
          <w:szCs w:val="24"/>
        </w:rPr>
        <w:t>1,405,719</w:t>
      </w:r>
      <w:r w:rsidRPr="004247E4">
        <w:rPr>
          <w:rFonts w:ascii="Arial" w:hAnsi="Arial" w:cs="Arial"/>
          <w:sz w:val="24"/>
          <w:szCs w:val="24"/>
        </w:rPr>
        <w:t xml:space="preserve"> kWh is used, as opposed to a threshold of </w:t>
      </w:r>
      <w:r w:rsidRPr="004247E4">
        <w:rPr>
          <w:rFonts w:ascii="Arial" w:eastAsia="Times New Roman" w:hAnsi="Arial" w:cs="Arial"/>
          <w:color w:val="000000"/>
          <w:sz w:val="24"/>
          <w:szCs w:val="24"/>
        </w:rPr>
        <w:t>1,405,902</w:t>
      </w:r>
      <w:r w:rsidRPr="004247E4">
        <w:rPr>
          <w:rFonts w:ascii="Arial" w:hAnsi="Arial" w:cs="Arial"/>
          <w:sz w:val="24"/>
          <w:szCs w:val="24"/>
        </w:rPr>
        <w:t xml:space="preserve"> </w:t>
      </w:r>
      <w:r w:rsidRPr="004247E4">
        <w:rPr>
          <w:rFonts w:ascii="Arial" w:eastAsia="Times New Roman" w:hAnsi="Arial" w:cs="Arial"/>
          <w:color w:val="000000"/>
          <w:sz w:val="24"/>
          <w:szCs w:val="24"/>
        </w:rPr>
        <w:t>kWh</w:t>
      </w:r>
      <w:r w:rsidRPr="004247E4">
        <w:rPr>
          <w:rFonts w:ascii="Arial" w:hAnsi="Arial" w:cs="Arial"/>
          <w:sz w:val="24"/>
          <w:szCs w:val="24"/>
        </w:rPr>
        <w:t xml:space="preserve"> established in the 2018 cost of service proceeding.</w:t>
      </w:r>
    </w:p>
    <w:p w14:paraId="7CA7D3E8" w14:textId="77777777" w:rsidR="00695082" w:rsidRDefault="00695082" w:rsidP="00695082">
      <w:pPr>
        <w:pStyle w:val="ListParagraph"/>
        <w:numPr>
          <w:ilvl w:val="0"/>
          <w:numId w:val="27"/>
        </w:numPr>
        <w:spacing w:after="160"/>
        <w:rPr>
          <w:rFonts w:ascii="Arial" w:hAnsi="Arial" w:cs="Arial"/>
          <w:sz w:val="24"/>
          <w:szCs w:val="24"/>
        </w:rPr>
      </w:pPr>
      <w:r w:rsidRPr="004247E4">
        <w:rPr>
          <w:rFonts w:ascii="Arial" w:hAnsi="Arial" w:cs="Arial"/>
          <w:sz w:val="24"/>
          <w:szCs w:val="24"/>
        </w:rPr>
        <w:t xml:space="preserve">Please revise Tab 2 of the LRAMVA workform, as appropriate, to ensure that the </w:t>
      </w:r>
      <w:r>
        <w:rPr>
          <w:rFonts w:ascii="Arial" w:hAnsi="Arial" w:cs="Arial"/>
          <w:sz w:val="24"/>
          <w:szCs w:val="24"/>
        </w:rPr>
        <w:t xml:space="preserve">rate class breakdown of the </w:t>
      </w:r>
      <w:r w:rsidRPr="004247E4">
        <w:rPr>
          <w:rFonts w:ascii="Arial" w:hAnsi="Arial" w:cs="Arial"/>
          <w:sz w:val="24"/>
          <w:szCs w:val="24"/>
        </w:rPr>
        <w:t>LRAMVA threshold for 2018 aligns with what was approved in Table 16 of the Settlement Agreement.</w:t>
      </w:r>
    </w:p>
    <w:p w14:paraId="4D797958" w14:textId="77777777" w:rsidR="00576F1B" w:rsidRPr="00576F1B" w:rsidRDefault="00576F1B" w:rsidP="00576F1B">
      <w:pPr>
        <w:spacing w:after="160"/>
        <w:rPr>
          <w:rFonts w:ascii="Arial" w:hAnsi="Arial" w:cs="Arial"/>
          <w:color w:val="0070C0"/>
          <w:sz w:val="24"/>
          <w:szCs w:val="24"/>
        </w:rPr>
      </w:pPr>
      <w:r w:rsidRPr="00576F1B">
        <w:rPr>
          <w:rFonts w:ascii="Arial" w:hAnsi="Arial" w:cs="Arial"/>
          <w:color w:val="0070C0"/>
          <w:sz w:val="24"/>
          <w:szCs w:val="24"/>
        </w:rPr>
        <w:t>CHEI Response: Board Staff is correct in that there is a variance of 183kWh from the model and Table 16 of the settlement agreement. CHEI has rectified the threshold in the LRAMVA model filed in conjunction with these responses.</w:t>
      </w:r>
    </w:p>
    <w:p w14:paraId="48310DCB" w14:textId="77777777" w:rsidR="00695082" w:rsidRPr="004247E4" w:rsidRDefault="00695082" w:rsidP="00695082">
      <w:pPr>
        <w:pStyle w:val="NoSpacing"/>
        <w:spacing w:line="276" w:lineRule="auto"/>
        <w:rPr>
          <w:rFonts w:ascii="Arial" w:hAnsi="Arial" w:cs="Arial"/>
          <w:sz w:val="24"/>
          <w:szCs w:val="24"/>
        </w:rPr>
      </w:pPr>
    </w:p>
    <w:p w14:paraId="1CEB0302" w14:textId="77777777" w:rsidR="0090088A" w:rsidRPr="00695082" w:rsidRDefault="0090088A" w:rsidP="0090088A">
      <w:pPr>
        <w:pStyle w:val="NoSpacing"/>
        <w:spacing w:line="276" w:lineRule="auto"/>
        <w:rPr>
          <w:rFonts w:ascii="Arial" w:hAnsi="Arial" w:cs="Arial"/>
          <w:b/>
          <w:sz w:val="24"/>
          <w:szCs w:val="24"/>
        </w:rPr>
      </w:pPr>
      <w:r w:rsidRPr="00695082">
        <w:rPr>
          <w:rFonts w:ascii="Arial" w:hAnsi="Arial" w:cs="Arial"/>
          <w:b/>
          <w:sz w:val="24"/>
          <w:szCs w:val="24"/>
        </w:rPr>
        <w:t>Staff Question</w:t>
      </w:r>
      <w:r>
        <w:rPr>
          <w:rFonts w:ascii="Arial" w:hAnsi="Arial" w:cs="Arial"/>
          <w:b/>
          <w:sz w:val="24"/>
          <w:szCs w:val="24"/>
        </w:rPr>
        <w:t xml:space="preserve"> </w:t>
      </w:r>
      <w:r w:rsidRPr="00695082">
        <w:rPr>
          <w:rFonts w:ascii="Arial" w:hAnsi="Arial" w:cs="Arial"/>
          <w:b/>
          <w:sz w:val="24"/>
          <w:szCs w:val="24"/>
        </w:rPr>
        <w:t>#</w:t>
      </w:r>
      <w:r>
        <w:rPr>
          <w:rFonts w:ascii="Arial" w:hAnsi="Arial" w:cs="Arial"/>
          <w:b/>
          <w:sz w:val="24"/>
          <w:szCs w:val="24"/>
        </w:rPr>
        <w:t>12</w:t>
      </w:r>
    </w:p>
    <w:p w14:paraId="7EDF2A88" w14:textId="77777777" w:rsidR="00695082" w:rsidRPr="0090088A" w:rsidRDefault="00695082" w:rsidP="00695082">
      <w:pPr>
        <w:rPr>
          <w:rFonts w:ascii="Arial" w:hAnsi="Arial" w:cs="Arial"/>
          <w:b/>
          <w:sz w:val="24"/>
          <w:szCs w:val="24"/>
        </w:rPr>
      </w:pPr>
      <w:r w:rsidRPr="0090088A">
        <w:rPr>
          <w:rFonts w:ascii="Arial" w:hAnsi="Arial" w:cs="Arial"/>
          <w:b/>
          <w:sz w:val="24"/>
          <w:szCs w:val="24"/>
        </w:rPr>
        <w:t>Ref:</w:t>
      </w:r>
      <w:r w:rsidR="0090088A">
        <w:rPr>
          <w:rFonts w:ascii="Arial" w:hAnsi="Arial" w:cs="Arial"/>
          <w:b/>
          <w:sz w:val="24"/>
          <w:szCs w:val="24"/>
        </w:rPr>
        <w:t xml:space="preserve"> </w:t>
      </w:r>
      <w:r w:rsidRPr="0090088A">
        <w:rPr>
          <w:rFonts w:ascii="Arial" w:hAnsi="Arial" w:cs="Arial"/>
          <w:b/>
          <w:sz w:val="24"/>
          <w:szCs w:val="24"/>
        </w:rPr>
        <w:t>Tab 6 of LRAMVA workform (carrying charges)</w:t>
      </w:r>
    </w:p>
    <w:p w14:paraId="526F9632" w14:textId="77777777" w:rsidR="00695082" w:rsidRPr="004247E4" w:rsidRDefault="00695082" w:rsidP="00695082">
      <w:pPr>
        <w:rPr>
          <w:rFonts w:ascii="Arial" w:hAnsi="Arial" w:cs="Arial"/>
          <w:sz w:val="24"/>
          <w:szCs w:val="24"/>
        </w:rPr>
      </w:pPr>
      <w:r w:rsidRPr="004247E4">
        <w:rPr>
          <w:rFonts w:ascii="Arial" w:hAnsi="Arial" w:cs="Arial"/>
          <w:sz w:val="24"/>
          <w:szCs w:val="24"/>
        </w:rPr>
        <w:t xml:space="preserve">Table 6-a includes projected carrying charges up to June 30, 2019 based on the LRAMVA balances determined in Table 1-b. </w:t>
      </w:r>
    </w:p>
    <w:p w14:paraId="1DE1E07F" w14:textId="77777777" w:rsidR="00695082" w:rsidRPr="004247E4" w:rsidRDefault="00695082" w:rsidP="00695082">
      <w:pPr>
        <w:pStyle w:val="ListParagraph"/>
        <w:numPr>
          <w:ilvl w:val="0"/>
          <w:numId w:val="29"/>
        </w:numPr>
        <w:spacing w:after="160"/>
        <w:rPr>
          <w:rFonts w:ascii="Arial" w:hAnsi="Arial" w:cs="Arial"/>
          <w:sz w:val="24"/>
          <w:szCs w:val="24"/>
        </w:rPr>
      </w:pPr>
      <w:r w:rsidRPr="004247E4">
        <w:rPr>
          <w:rFonts w:ascii="Arial" w:hAnsi="Arial" w:cs="Arial"/>
          <w:sz w:val="24"/>
          <w:szCs w:val="24"/>
        </w:rPr>
        <w:t>Please update Table 6 and Table 6-a of the LRAMVA workform to include projected carrying charges up to December 31, 2019.</w:t>
      </w:r>
    </w:p>
    <w:p w14:paraId="7D6E23ED" w14:textId="77777777" w:rsidR="001269CC" w:rsidRPr="001269CC" w:rsidRDefault="001269CC" w:rsidP="001269CC">
      <w:pPr>
        <w:spacing w:after="160"/>
        <w:rPr>
          <w:rFonts w:ascii="Arial" w:hAnsi="Arial" w:cs="Arial"/>
          <w:color w:val="0070C0"/>
          <w:sz w:val="24"/>
          <w:szCs w:val="24"/>
        </w:rPr>
      </w:pPr>
      <w:r w:rsidRPr="001269CC">
        <w:rPr>
          <w:rFonts w:ascii="Arial" w:hAnsi="Arial" w:cs="Arial"/>
          <w:color w:val="0070C0"/>
          <w:sz w:val="24"/>
          <w:szCs w:val="24"/>
        </w:rPr>
        <w:t xml:space="preserve">CHEI Response: </w:t>
      </w:r>
      <w:r w:rsidR="008B6F1C">
        <w:rPr>
          <w:rFonts w:ascii="Arial" w:hAnsi="Arial" w:cs="Arial"/>
          <w:color w:val="0070C0"/>
          <w:sz w:val="24"/>
          <w:szCs w:val="24"/>
        </w:rPr>
        <w:t xml:space="preserve">CHEI has updated the </w:t>
      </w:r>
      <w:r w:rsidRPr="001269CC">
        <w:rPr>
          <w:rFonts w:ascii="Arial" w:hAnsi="Arial" w:cs="Arial"/>
          <w:color w:val="0070C0"/>
          <w:sz w:val="24"/>
          <w:szCs w:val="24"/>
        </w:rPr>
        <w:t xml:space="preserve">a revised LRAMVA model </w:t>
      </w:r>
      <w:r w:rsidR="008B6F1C">
        <w:rPr>
          <w:rFonts w:ascii="Arial" w:hAnsi="Arial" w:cs="Arial"/>
          <w:color w:val="0070C0"/>
          <w:sz w:val="24"/>
          <w:szCs w:val="24"/>
        </w:rPr>
        <w:t xml:space="preserve">to include carrying charges up to December 31, 2019. The model </w:t>
      </w:r>
      <w:r w:rsidRPr="001269CC">
        <w:rPr>
          <w:rFonts w:ascii="Arial" w:hAnsi="Arial" w:cs="Arial"/>
          <w:color w:val="0070C0"/>
          <w:sz w:val="24"/>
          <w:szCs w:val="24"/>
        </w:rPr>
        <w:t>is filed along with these responses.</w:t>
      </w:r>
    </w:p>
    <w:p w14:paraId="0565395B" w14:textId="77777777" w:rsidR="0098730F" w:rsidRDefault="0098730F" w:rsidP="0090088A">
      <w:pPr>
        <w:pStyle w:val="NoSpacing"/>
        <w:spacing w:line="276" w:lineRule="auto"/>
        <w:rPr>
          <w:rFonts w:ascii="Arial" w:hAnsi="Arial" w:cs="Arial"/>
          <w:b/>
          <w:sz w:val="24"/>
          <w:szCs w:val="24"/>
        </w:rPr>
      </w:pPr>
    </w:p>
    <w:p w14:paraId="17560E16" w14:textId="77777777" w:rsidR="0090088A" w:rsidRPr="00695082" w:rsidRDefault="0090088A" w:rsidP="0090088A">
      <w:pPr>
        <w:pStyle w:val="NoSpacing"/>
        <w:spacing w:line="276" w:lineRule="auto"/>
        <w:rPr>
          <w:rFonts w:ascii="Arial" w:hAnsi="Arial" w:cs="Arial"/>
          <w:b/>
          <w:sz w:val="24"/>
          <w:szCs w:val="24"/>
        </w:rPr>
      </w:pPr>
      <w:r w:rsidRPr="00695082">
        <w:rPr>
          <w:rFonts w:ascii="Arial" w:hAnsi="Arial" w:cs="Arial"/>
          <w:b/>
          <w:sz w:val="24"/>
          <w:szCs w:val="24"/>
        </w:rPr>
        <w:t>Staff Question</w:t>
      </w:r>
      <w:r>
        <w:rPr>
          <w:rFonts w:ascii="Arial" w:hAnsi="Arial" w:cs="Arial"/>
          <w:b/>
          <w:sz w:val="24"/>
          <w:szCs w:val="24"/>
        </w:rPr>
        <w:t xml:space="preserve"> </w:t>
      </w:r>
      <w:r w:rsidRPr="00695082">
        <w:rPr>
          <w:rFonts w:ascii="Arial" w:hAnsi="Arial" w:cs="Arial"/>
          <w:b/>
          <w:sz w:val="24"/>
          <w:szCs w:val="24"/>
        </w:rPr>
        <w:t>#</w:t>
      </w:r>
      <w:r>
        <w:rPr>
          <w:rFonts w:ascii="Arial" w:hAnsi="Arial" w:cs="Arial"/>
          <w:b/>
          <w:sz w:val="24"/>
          <w:szCs w:val="24"/>
        </w:rPr>
        <w:t>13</w:t>
      </w:r>
    </w:p>
    <w:p w14:paraId="5B67140B" w14:textId="77777777" w:rsidR="00695082" w:rsidRDefault="00695082" w:rsidP="00695082">
      <w:pPr>
        <w:pStyle w:val="ListParagraph"/>
        <w:numPr>
          <w:ilvl w:val="0"/>
          <w:numId w:val="30"/>
        </w:numPr>
        <w:spacing w:after="160"/>
        <w:rPr>
          <w:rFonts w:ascii="Arial" w:hAnsi="Arial" w:cs="Arial"/>
          <w:sz w:val="24"/>
          <w:szCs w:val="24"/>
        </w:rPr>
      </w:pPr>
      <w:r w:rsidRPr="004247E4">
        <w:rPr>
          <w:rFonts w:ascii="Arial" w:hAnsi="Arial" w:cs="Arial"/>
          <w:sz w:val="24"/>
          <w:szCs w:val="24"/>
        </w:rPr>
        <w:t>If Cooperative Hydro Embrun made any changes to the LRAMVA work form as a result of its responses to the above LRAMVA questions, please file an updated LRAMVA work form.</w:t>
      </w:r>
    </w:p>
    <w:p w14:paraId="1C78D0BA" w14:textId="77777777" w:rsidR="00576F1B" w:rsidRPr="00576F1B" w:rsidRDefault="00576F1B" w:rsidP="00576F1B">
      <w:pPr>
        <w:spacing w:after="160"/>
        <w:rPr>
          <w:rFonts w:ascii="Arial" w:hAnsi="Arial" w:cs="Arial"/>
          <w:color w:val="0070C0"/>
          <w:sz w:val="24"/>
          <w:szCs w:val="24"/>
        </w:rPr>
      </w:pPr>
      <w:r w:rsidRPr="00576F1B">
        <w:rPr>
          <w:rFonts w:ascii="Arial" w:hAnsi="Arial" w:cs="Arial"/>
          <w:color w:val="0070C0"/>
          <w:sz w:val="24"/>
          <w:szCs w:val="24"/>
        </w:rPr>
        <w:t>CHEI Response: a revised LRAMVA model is filed along with these responses.</w:t>
      </w:r>
    </w:p>
    <w:p w14:paraId="61EC242B" w14:textId="77777777" w:rsidR="004B046B" w:rsidRPr="004247E4" w:rsidRDefault="004B046B" w:rsidP="004B046B">
      <w:pPr>
        <w:pStyle w:val="ListParagraph"/>
        <w:spacing w:after="160"/>
        <w:rPr>
          <w:rFonts w:ascii="Arial" w:hAnsi="Arial" w:cs="Arial"/>
          <w:sz w:val="24"/>
          <w:szCs w:val="24"/>
        </w:rPr>
      </w:pPr>
    </w:p>
    <w:p w14:paraId="3B347318" w14:textId="77777777" w:rsidR="00695082" w:rsidRPr="004247E4" w:rsidRDefault="00695082" w:rsidP="00695082">
      <w:pPr>
        <w:pStyle w:val="ListParagraph"/>
        <w:numPr>
          <w:ilvl w:val="0"/>
          <w:numId w:val="30"/>
        </w:numPr>
        <w:spacing w:after="160"/>
        <w:rPr>
          <w:rFonts w:ascii="Arial" w:hAnsi="Arial" w:cs="Arial"/>
          <w:sz w:val="24"/>
          <w:szCs w:val="24"/>
        </w:rPr>
      </w:pPr>
      <w:r w:rsidRPr="004247E4">
        <w:rPr>
          <w:rFonts w:ascii="Arial" w:hAnsi="Arial" w:cs="Arial"/>
          <w:sz w:val="24"/>
          <w:szCs w:val="24"/>
        </w:rPr>
        <w:t>Please confirm any changes to the LRAMVA workform in response to these LRAMVA questions in “Table A-2.  Updates to LRAMVA Disposition (Tab 2)”.</w:t>
      </w:r>
    </w:p>
    <w:p w14:paraId="663021A7" w14:textId="77777777" w:rsidR="008B6F1C" w:rsidRPr="008B6F1C" w:rsidRDefault="008B6F1C" w:rsidP="008B6F1C">
      <w:pPr>
        <w:spacing w:after="160"/>
        <w:ind w:left="360"/>
        <w:rPr>
          <w:rFonts w:ascii="Arial" w:hAnsi="Arial" w:cs="Arial"/>
          <w:color w:val="0070C0"/>
          <w:sz w:val="24"/>
          <w:szCs w:val="24"/>
        </w:rPr>
      </w:pPr>
      <w:r w:rsidRPr="008B6F1C">
        <w:rPr>
          <w:rFonts w:ascii="Arial" w:hAnsi="Arial" w:cs="Arial"/>
          <w:color w:val="0070C0"/>
          <w:sz w:val="24"/>
          <w:szCs w:val="24"/>
        </w:rPr>
        <w:t xml:space="preserve">CHEI Response: </w:t>
      </w:r>
      <w:r>
        <w:rPr>
          <w:rFonts w:ascii="Arial" w:hAnsi="Arial" w:cs="Arial"/>
          <w:color w:val="0070C0"/>
          <w:sz w:val="24"/>
          <w:szCs w:val="24"/>
        </w:rPr>
        <w:t xml:space="preserve">Please see updated table below. </w:t>
      </w:r>
      <w:r w:rsidR="0081325A">
        <w:rPr>
          <w:rFonts w:ascii="Arial" w:hAnsi="Arial" w:cs="Arial"/>
          <w:color w:val="0070C0"/>
          <w:sz w:val="24"/>
          <w:szCs w:val="24"/>
        </w:rPr>
        <w:t>A revised model is filed with these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070"/>
        <w:gridCol w:w="1124"/>
        <w:gridCol w:w="1368"/>
        <w:gridCol w:w="723"/>
        <w:gridCol w:w="1345"/>
        <w:gridCol w:w="1124"/>
      </w:tblGrid>
      <w:tr w:rsidR="0098730F" w:rsidRPr="0098730F" w14:paraId="61851D38" w14:textId="77777777" w:rsidTr="0098730F">
        <w:trPr>
          <w:trHeight w:val="746"/>
        </w:trPr>
        <w:tc>
          <w:tcPr>
            <w:tcW w:w="0" w:type="auto"/>
            <w:shd w:val="clear" w:color="auto" w:fill="auto"/>
            <w:vAlign w:val="center"/>
            <w:hideMark/>
          </w:tcPr>
          <w:p w14:paraId="5F87FDE0" w14:textId="77777777" w:rsidR="008B6F1C" w:rsidRPr="008B6F1C" w:rsidRDefault="008B6F1C"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Description</w:t>
            </w:r>
          </w:p>
        </w:tc>
        <w:tc>
          <w:tcPr>
            <w:tcW w:w="0" w:type="auto"/>
            <w:shd w:val="clear" w:color="auto" w:fill="auto"/>
            <w:vAlign w:val="center"/>
            <w:hideMark/>
          </w:tcPr>
          <w:p w14:paraId="7F235E07" w14:textId="77777777" w:rsidR="008B6F1C" w:rsidRPr="008B6F1C" w:rsidRDefault="008B6F1C"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Residential</w:t>
            </w:r>
          </w:p>
        </w:tc>
        <w:tc>
          <w:tcPr>
            <w:tcW w:w="0" w:type="auto"/>
            <w:shd w:val="clear" w:color="auto" w:fill="auto"/>
            <w:vAlign w:val="center"/>
            <w:hideMark/>
          </w:tcPr>
          <w:p w14:paraId="0ADB22B7" w14:textId="77777777" w:rsidR="008B6F1C" w:rsidRPr="008B6F1C" w:rsidRDefault="008B6F1C"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GS&lt;50 kW</w:t>
            </w:r>
          </w:p>
        </w:tc>
        <w:tc>
          <w:tcPr>
            <w:tcW w:w="0" w:type="auto"/>
            <w:shd w:val="clear" w:color="auto" w:fill="auto"/>
            <w:vAlign w:val="center"/>
            <w:hideMark/>
          </w:tcPr>
          <w:p w14:paraId="13CF76D0" w14:textId="77777777" w:rsidR="008B6F1C" w:rsidRPr="008B6F1C" w:rsidRDefault="008B6F1C"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GS&gt;50-4999kW</w:t>
            </w:r>
          </w:p>
        </w:tc>
        <w:tc>
          <w:tcPr>
            <w:tcW w:w="0" w:type="auto"/>
            <w:shd w:val="clear" w:color="auto" w:fill="auto"/>
            <w:vAlign w:val="center"/>
            <w:hideMark/>
          </w:tcPr>
          <w:p w14:paraId="190DC31C" w14:textId="77777777" w:rsidR="008B6F1C" w:rsidRPr="008B6F1C" w:rsidRDefault="008B6F1C"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USL</w:t>
            </w:r>
          </w:p>
        </w:tc>
        <w:tc>
          <w:tcPr>
            <w:tcW w:w="0" w:type="auto"/>
            <w:shd w:val="clear" w:color="auto" w:fill="auto"/>
            <w:vAlign w:val="center"/>
            <w:hideMark/>
          </w:tcPr>
          <w:p w14:paraId="4002CFD4" w14:textId="77777777" w:rsidR="008B6F1C" w:rsidRPr="008B6F1C" w:rsidRDefault="008B6F1C"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Street Lighting</w:t>
            </w:r>
          </w:p>
        </w:tc>
        <w:tc>
          <w:tcPr>
            <w:tcW w:w="0" w:type="auto"/>
            <w:shd w:val="clear" w:color="auto" w:fill="auto"/>
            <w:vAlign w:val="center"/>
            <w:hideMark/>
          </w:tcPr>
          <w:p w14:paraId="46EBDCDE" w14:textId="77777777" w:rsidR="008B6F1C" w:rsidRPr="008B6F1C" w:rsidRDefault="008B6F1C"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Total</w:t>
            </w:r>
          </w:p>
        </w:tc>
      </w:tr>
      <w:tr w:rsidR="0098730F" w:rsidRPr="0098730F" w14:paraId="16C01E5E" w14:textId="77777777" w:rsidTr="0098730F">
        <w:trPr>
          <w:trHeight w:val="185"/>
        </w:trPr>
        <w:tc>
          <w:tcPr>
            <w:tcW w:w="0" w:type="auto"/>
            <w:shd w:val="clear" w:color="auto" w:fill="auto"/>
            <w:noWrap/>
            <w:vAlign w:val="center"/>
            <w:hideMark/>
          </w:tcPr>
          <w:p w14:paraId="4ABECEC0"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150E7AB0"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kWh</w:t>
            </w:r>
          </w:p>
        </w:tc>
        <w:tc>
          <w:tcPr>
            <w:tcW w:w="0" w:type="auto"/>
            <w:shd w:val="clear" w:color="auto" w:fill="auto"/>
            <w:noWrap/>
            <w:vAlign w:val="center"/>
            <w:hideMark/>
          </w:tcPr>
          <w:p w14:paraId="67856ABB"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kWh</w:t>
            </w:r>
          </w:p>
        </w:tc>
        <w:tc>
          <w:tcPr>
            <w:tcW w:w="0" w:type="auto"/>
            <w:shd w:val="clear" w:color="auto" w:fill="auto"/>
            <w:noWrap/>
            <w:vAlign w:val="center"/>
            <w:hideMark/>
          </w:tcPr>
          <w:p w14:paraId="045C7C00"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KW</w:t>
            </w:r>
          </w:p>
        </w:tc>
        <w:tc>
          <w:tcPr>
            <w:tcW w:w="0" w:type="auto"/>
            <w:shd w:val="clear" w:color="auto" w:fill="auto"/>
            <w:noWrap/>
            <w:vAlign w:val="center"/>
            <w:hideMark/>
          </w:tcPr>
          <w:p w14:paraId="6B0DCD56"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kWh</w:t>
            </w:r>
          </w:p>
        </w:tc>
        <w:tc>
          <w:tcPr>
            <w:tcW w:w="0" w:type="auto"/>
            <w:shd w:val="clear" w:color="auto" w:fill="auto"/>
            <w:noWrap/>
            <w:vAlign w:val="center"/>
            <w:hideMark/>
          </w:tcPr>
          <w:p w14:paraId="0B8B4512"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kW</w:t>
            </w:r>
          </w:p>
        </w:tc>
        <w:tc>
          <w:tcPr>
            <w:tcW w:w="0" w:type="auto"/>
            <w:shd w:val="clear" w:color="auto" w:fill="auto"/>
            <w:noWrap/>
            <w:vAlign w:val="center"/>
            <w:hideMark/>
          </w:tcPr>
          <w:p w14:paraId="78E57B82"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r>
      <w:tr w:rsidR="0098730F" w:rsidRPr="0098730F" w14:paraId="36A31800" w14:textId="77777777" w:rsidTr="0098730F">
        <w:trPr>
          <w:trHeight w:val="185"/>
        </w:trPr>
        <w:tc>
          <w:tcPr>
            <w:tcW w:w="0" w:type="auto"/>
            <w:shd w:val="clear" w:color="auto" w:fill="auto"/>
            <w:noWrap/>
            <w:vAlign w:val="center"/>
            <w:hideMark/>
          </w:tcPr>
          <w:p w14:paraId="6359C49A"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2017 Actuals</w:t>
            </w:r>
          </w:p>
        </w:tc>
        <w:tc>
          <w:tcPr>
            <w:tcW w:w="0" w:type="auto"/>
            <w:shd w:val="clear" w:color="auto" w:fill="auto"/>
            <w:noWrap/>
            <w:vAlign w:val="center"/>
            <w:hideMark/>
          </w:tcPr>
          <w:p w14:paraId="05D83A97"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$7,172.13</w:t>
            </w:r>
          </w:p>
        </w:tc>
        <w:tc>
          <w:tcPr>
            <w:tcW w:w="0" w:type="auto"/>
            <w:shd w:val="clear" w:color="auto" w:fill="auto"/>
            <w:noWrap/>
            <w:vAlign w:val="center"/>
            <w:hideMark/>
          </w:tcPr>
          <w:p w14:paraId="534C62E2"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$7,490.37</w:t>
            </w:r>
          </w:p>
        </w:tc>
        <w:tc>
          <w:tcPr>
            <w:tcW w:w="0" w:type="auto"/>
            <w:shd w:val="clear" w:color="auto" w:fill="auto"/>
            <w:noWrap/>
            <w:vAlign w:val="center"/>
            <w:hideMark/>
          </w:tcPr>
          <w:p w14:paraId="347A6280"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56219FA4"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62F639EE"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1B195A1F"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$14,662.50</w:t>
            </w:r>
          </w:p>
        </w:tc>
      </w:tr>
      <w:tr w:rsidR="0098730F" w:rsidRPr="0098730F" w14:paraId="5293DF81" w14:textId="77777777" w:rsidTr="0098730F">
        <w:trPr>
          <w:trHeight w:val="185"/>
        </w:trPr>
        <w:tc>
          <w:tcPr>
            <w:tcW w:w="0" w:type="auto"/>
            <w:shd w:val="clear" w:color="auto" w:fill="auto"/>
            <w:noWrap/>
            <w:vAlign w:val="center"/>
            <w:hideMark/>
          </w:tcPr>
          <w:p w14:paraId="29DC8F71"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2017 Forecast</w:t>
            </w:r>
          </w:p>
        </w:tc>
        <w:tc>
          <w:tcPr>
            <w:tcW w:w="0" w:type="auto"/>
            <w:shd w:val="clear" w:color="auto" w:fill="auto"/>
            <w:noWrap/>
            <w:vAlign w:val="center"/>
            <w:hideMark/>
          </w:tcPr>
          <w:p w14:paraId="0D77BAEB"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($1,863.58)</w:t>
            </w:r>
          </w:p>
        </w:tc>
        <w:tc>
          <w:tcPr>
            <w:tcW w:w="0" w:type="auto"/>
            <w:shd w:val="clear" w:color="auto" w:fill="auto"/>
            <w:noWrap/>
            <w:vAlign w:val="center"/>
            <w:hideMark/>
          </w:tcPr>
          <w:p w14:paraId="454A8D2E"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($969.74)</w:t>
            </w:r>
          </w:p>
        </w:tc>
        <w:tc>
          <w:tcPr>
            <w:tcW w:w="0" w:type="auto"/>
            <w:shd w:val="clear" w:color="auto" w:fill="auto"/>
            <w:noWrap/>
            <w:vAlign w:val="center"/>
            <w:hideMark/>
          </w:tcPr>
          <w:p w14:paraId="5817064F"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($620.88)</w:t>
            </w:r>
          </w:p>
        </w:tc>
        <w:tc>
          <w:tcPr>
            <w:tcW w:w="0" w:type="auto"/>
            <w:shd w:val="clear" w:color="auto" w:fill="auto"/>
            <w:noWrap/>
            <w:vAlign w:val="center"/>
            <w:hideMark/>
          </w:tcPr>
          <w:p w14:paraId="0659F46C"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($6.78)</w:t>
            </w:r>
          </w:p>
        </w:tc>
        <w:tc>
          <w:tcPr>
            <w:tcW w:w="0" w:type="auto"/>
            <w:shd w:val="clear" w:color="auto" w:fill="auto"/>
            <w:noWrap/>
            <w:vAlign w:val="center"/>
            <w:hideMark/>
          </w:tcPr>
          <w:p w14:paraId="4402800B"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($113.21)</w:t>
            </w:r>
          </w:p>
        </w:tc>
        <w:tc>
          <w:tcPr>
            <w:tcW w:w="0" w:type="auto"/>
            <w:shd w:val="clear" w:color="auto" w:fill="auto"/>
            <w:noWrap/>
            <w:vAlign w:val="center"/>
            <w:hideMark/>
          </w:tcPr>
          <w:p w14:paraId="2EF6F14D"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($3,574.18)</w:t>
            </w:r>
          </w:p>
        </w:tc>
      </w:tr>
      <w:tr w:rsidR="0098730F" w:rsidRPr="0098730F" w14:paraId="1CC15BF1" w14:textId="77777777" w:rsidTr="0098730F">
        <w:trPr>
          <w:trHeight w:val="185"/>
        </w:trPr>
        <w:tc>
          <w:tcPr>
            <w:tcW w:w="0" w:type="auto"/>
            <w:shd w:val="clear" w:color="auto" w:fill="auto"/>
            <w:noWrap/>
            <w:vAlign w:val="center"/>
            <w:hideMark/>
          </w:tcPr>
          <w:p w14:paraId="0DF22B1D"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Amount Cleared</w:t>
            </w:r>
          </w:p>
        </w:tc>
        <w:tc>
          <w:tcPr>
            <w:tcW w:w="0" w:type="auto"/>
            <w:shd w:val="clear" w:color="auto" w:fill="auto"/>
            <w:noWrap/>
            <w:vAlign w:val="center"/>
            <w:hideMark/>
          </w:tcPr>
          <w:p w14:paraId="1E6CA372"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48C710D3"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17DD4246"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1E44462F"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3C4528E1"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443E153B"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r>
      <w:tr w:rsidR="0098730F" w:rsidRPr="0098730F" w14:paraId="02D135BE" w14:textId="77777777" w:rsidTr="0098730F">
        <w:trPr>
          <w:trHeight w:val="185"/>
        </w:trPr>
        <w:tc>
          <w:tcPr>
            <w:tcW w:w="0" w:type="auto"/>
            <w:shd w:val="clear" w:color="auto" w:fill="auto"/>
            <w:noWrap/>
            <w:vAlign w:val="center"/>
            <w:hideMark/>
          </w:tcPr>
          <w:p w14:paraId="40F0E86B"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2018 Actuals</w:t>
            </w:r>
          </w:p>
        </w:tc>
        <w:tc>
          <w:tcPr>
            <w:tcW w:w="0" w:type="auto"/>
            <w:shd w:val="clear" w:color="auto" w:fill="auto"/>
            <w:noWrap/>
            <w:vAlign w:val="center"/>
            <w:hideMark/>
          </w:tcPr>
          <w:p w14:paraId="75112FBA"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$6,232.35</w:t>
            </w:r>
          </w:p>
        </w:tc>
        <w:tc>
          <w:tcPr>
            <w:tcW w:w="0" w:type="auto"/>
            <w:shd w:val="clear" w:color="auto" w:fill="auto"/>
            <w:noWrap/>
            <w:vAlign w:val="center"/>
            <w:hideMark/>
          </w:tcPr>
          <w:p w14:paraId="2F60F120"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$9,362.22</w:t>
            </w:r>
          </w:p>
        </w:tc>
        <w:tc>
          <w:tcPr>
            <w:tcW w:w="0" w:type="auto"/>
            <w:shd w:val="clear" w:color="auto" w:fill="auto"/>
            <w:noWrap/>
            <w:vAlign w:val="center"/>
            <w:hideMark/>
          </w:tcPr>
          <w:p w14:paraId="350F2A86"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21DF1E9D"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07A62EE7"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0D61FA6F"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$15,594.57</w:t>
            </w:r>
          </w:p>
        </w:tc>
      </w:tr>
      <w:tr w:rsidR="0098730F" w:rsidRPr="0098730F" w14:paraId="5E490534" w14:textId="77777777" w:rsidTr="0098730F">
        <w:trPr>
          <w:trHeight w:val="194"/>
        </w:trPr>
        <w:tc>
          <w:tcPr>
            <w:tcW w:w="0" w:type="auto"/>
            <w:shd w:val="clear" w:color="auto" w:fill="auto"/>
            <w:noWrap/>
            <w:vAlign w:val="center"/>
            <w:hideMark/>
          </w:tcPr>
          <w:p w14:paraId="2F075D17"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2018 Forecast</w:t>
            </w:r>
          </w:p>
        </w:tc>
        <w:tc>
          <w:tcPr>
            <w:tcW w:w="0" w:type="auto"/>
            <w:shd w:val="clear" w:color="auto" w:fill="auto"/>
            <w:noWrap/>
            <w:vAlign w:val="center"/>
            <w:hideMark/>
          </w:tcPr>
          <w:p w14:paraId="488B157F"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($3,555.32)</w:t>
            </w:r>
          </w:p>
        </w:tc>
        <w:tc>
          <w:tcPr>
            <w:tcW w:w="0" w:type="auto"/>
            <w:shd w:val="clear" w:color="auto" w:fill="auto"/>
            <w:noWrap/>
            <w:vAlign w:val="center"/>
            <w:hideMark/>
          </w:tcPr>
          <w:p w14:paraId="1AC48753"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($14,963.52)</w:t>
            </w:r>
          </w:p>
        </w:tc>
        <w:tc>
          <w:tcPr>
            <w:tcW w:w="0" w:type="auto"/>
            <w:shd w:val="clear" w:color="auto" w:fill="auto"/>
            <w:noWrap/>
            <w:vAlign w:val="center"/>
            <w:hideMark/>
          </w:tcPr>
          <w:p w14:paraId="00883AFF"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054BF2D3"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4DAF463E"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$0.00</w:t>
            </w:r>
          </w:p>
        </w:tc>
        <w:tc>
          <w:tcPr>
            <w:tcW w:w="0" w:type="auto"/>
            <w:shd w:val="clear" w:color="auto" w:fill="auto"/>
            <w:noWrap/>
            <w:vAlign w:val="center"/>
            <w:hideMark/>
          </w:tcPr>
          <w:p w14:paraId="5826A9B2"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($18,518.84)</w:t>
            </w:r>
          </w:p>
        </w:tc>
      </w:tr>
      <w:tr w:rsidR="0098730F" w:rsidRPr="0098730F" w14:paraId="63EC9D35" w14:textId="77777777" w:rsidTr="0098730F">
        <w:trPr>
          <w:trHeight w:val="185"/>
        </w:trPr>
        <w:tc>
          <w:tcPr>
            <w:tcW w:w="0" w:type="auto"/>
            <w:shd w:val="clear" w:color="auto" w:fill="auto"/>
            <w:noWrap/>
            <w:vAlign w:val="center"/>
            <w:hideMark/>
          </w:tcPr>
          <w:p w14:paraId="3259792D" w14:textId="77777777" w:rsidR="008B6F1C" w:rsidRPr="008B6F1C" w:rsidRDefault="008B6F1C" w:rsidP="0098730F">
            <w:pPr>
              <w:spacing w:after="0" w:line="240" w:lineRule="auto"/>
              <w:jc w:val="center"/>
              <w:rPr>
                <w:rFonts w:ascii="Arial" w:eastAsia="Times New Roman" w:hAnsi="Arial" w:cs="Arial"/>
                <w:sz w:val="16"/>
                <w:szCs w:val="16"/>
                <w:lang w:eastAsia="en-CA"/>
              </w:rPr>
            </w:pPr>
            <w:r w:rsidRPr="008B6F1C">
              <w:rPr>
                <w:rFonts w:ascii="Arial" w:eastAsia="Times New Roman" w:hAnsi="Arial" w:cs="Arial"/>
                <w:sz w:val="16"/>
                <w:szCs w:val="16"/>
                <w:lang w:eastAsia="en-CA"/>
              </w:rPr>
              <w:t>Amount Cleared</w:t>
            </w:r>
          </w:p>
        </w:tc>
        <w:tc>
          <w:tcPr>
            <w:tcW w:w="0" w:type="auto"/>
            <w:shd w:val="clear" w:color="auto" w:fill="auto"/>
            <w:noWrap/>
            <w:vAlign w:val="center"/>
            <w:hideMark/>
          </w:tcPr>
          <w:p w14:paraId="2D8A92A8"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382912AB"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1ABE0995"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07825C58"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2F1D4CD3"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c>
          <w:tcPr>
            <w:tcW w:w="0" w:type="auto"/>
            <w:shd w:val="clear" w:color="auto" w:fill="auto"/>
            <w:noWrap/>
            <w:vAlign w:val="center"/>
            <w:hideMark/>
          </w:tcPr>
          <w:p w14:paraId="1218FE9E" w14:textId="77777777" w:rsidR="008B6F1C" w:rsidRPr="008B6F1C" w:rsidRDefault="008B6F1C" w:rsidP="0098730F">
            <w:pPr>
              <w:spacing w:after="0" w:line="240" w:lineRule="auto"/>
              <w:jc w:val="center"/>
              <w:rPr>
                <w:rFonts w:ascii="Arial" w:eastAsia="Times New Roman" w:hAnsi="Arial" w:cs="Arial"/>
                <w:sz w:val="16"/>
                <w:szCs w:val="16"/>
                <w:lang w:eastAsia="en-CA"/>
              </w:rPr>
            </w:pPr>
          </w:p>
        </w:tc>
      </w:tr>
      <w:tr w:rsidR="0098730F" w:rsidRPr="0098730F" w14:paraId="4FBCEB61" w14:textId="77777777" w:rsidTr="0098730F">
        <w:trPr>
          <w:trHeight w:val="239"/>
        </w:trPr>
        <w:tc>
          <w:tcPr>
            <w:tcW w:w="0" w:type="auto"/>
            <w:shd w:val="clear" w:color="auto" w:fill="auto"/>
            <w:noWrap/>
            <w:vAlign w:val="center"/>
            <w:hideMark/>
          </w:tcPr>
          <w:p w14:paraId="0757E1BC" w14:textId="77777777" w:rsidR="0098730F" w:rsidRPr="008B6F1C" w:rsidRDefault="00BE6E10" w:rsidP="0098730F">
            <w:pPr>
              <w:spacing w:after="0" w:line="240" w:lineRule="auto"/>
              <w:jc w:val="center"/>
              <w:rPr>
                <w:rFonts w:ascii="Arial" w:eastAsia="Times New Roman" w:hAnsi="Arial" w:cs="Arial"/>
                <w:sz w:val="16"/>
                <w:szCs w:val="16"/>
                <w:u w:val="single"/>
                <w:lang w:eastAsia="en-CA"/>
              </w:rPr>
            </w:pPr>
            <w:hyperlink r:id="rId20" w:anchor="'6.  Carrying Charges'!A1" w:history="1">
              <w:r w:rsidR="0098730F" w:rsidRPr="008B6F1C">
                <w:rPr>
                  <w:rFonts w:ascii="Arial" w:eastAsia="Times New Roman" w:hAnsi="Arial" w:cs="Arial"/>
                  <w:sz w:val="16"/>
                  <w:szCs w:val="16"/>
                  <w:u w:val="single"/>
                  <w:lang w:eastAsia="en-CA"/>
                </w:rPr>
                <w:t>Carrying Charges</w:t>
              </w:r>
            </w:hyperlink>
          </w:p>
        </w:tc>
        <w:tc>
          <w:tcPr>
            <w:tcW w:w="0" w:type="auto"/>
            <w:shd w:val="clear" w:color="auto" w:fill="auto"/>
            <w:noWrap/>
            <w:vAlign w:val="center"/>
            <w:hideMark/>
          </w:tcPr>
          <w:p w14:paraId="517B96DA" w14:textId="77777777" w:rsidR="0098730F" w:rsidRPr="008B6F1C" w:rsidRDefault="0098730F" w:rsidP="0098730F">
            <w:pPr>
              <w:spacing w:after="0" w:line="240" w:lineRule="auto"/>
              <w:jc w:val="center"/>
              <w:rPr>
                <w:rFonts w:ascii="Arial" w:eastAsia="Times New Roman" w:hAnsi="Arial" w:cs="Arial"/>
                <w:sz w:val="16"/>
                <w:szCs w:val="16"/>
                <w:lang w:eastAsia="en-CA"/>
              </w:rPr>
            </w:pPr>
            <w:r w:rsidRPr="0098730F">
              <w:rPr>
                <w:rFonts w:ascii="Arial" w:hAnsi="Arial" w:cs="Arial"/>
                <w:sz w:val="16"/>
                <w:szCs w:val="16"/>
              </w:rPr>
              <w:t>$334.07</w:t>
            </w:r>
          </w:p>
        </w:tc>
        <w:tc>
          <w:tcPr>
            <w:tcW w:w="0" w:type="auto"/>
            <w:shd w:val="clear" w:color="auto" w:fill="auto"/>
            <w:noWrap/>
            <w:vAlign w:val="center"/>
            <w:hideMark/>
          </w:tcPr>
          <w:p w14:paraId="0D5713D2" w14:textId="77777777" w:rsidR="0098730F" w:rsidRPr="008B6F1C" w:rsidRDefault="0098730F" w:rsidP="0098730F">
            <w:pPr>
              <w:spacing w:after="0" w:line="240" w:lineRule="auto"/>
              <w:jc w:val="center"/>
              <w:rPr>
                <w:rFonts w:ascii="Arial" w:eastAsia="Times New Roman" w:hAnsi="Arial" w:cs="Arial"/>
                <w:sz w:val="16"/>
                <w:szCs w:val="16"/>
                <w:lang w:eastAsia="en-CA"/>
              </w:rPr>
            </w:pPr>
            <w:r w:rsidRPr="0098730F">
              <w:rPr>
                <w:rFonts w:ascii="Arial" w:hAnsi="Arial" w:cs="Arial"/>
                <w:sz w:val="16"/>
                <w:szCs w:val="16"/>
              </w:rPr>
              <w:t>$129.08</w:t>
            </w:r>
          </w:p>
        </w:tc>
        <w:tc>
          <w:tcPr>
            <w:tcW w:w="0" w:type="auto"/>
            <w:shd w:val="clear" w:color="auto" w:fill="auto"/>
            <w:noWrap/>
            <w:vAlign w:val="center"/>
            <w:hideMark/>
          </w:tcPr>
          <w:p w14:paraId="60A024F9" w14:textId="77777777" w:rsidR="0098730F" w:rsidRPr="008B6F1C" w:rsidRDefault="0098730F" w:rsidP="0098730F">
            <w:pPr>
              <w:spacing w:after="0" w:line="240" w:lineRule="auto"/>
              <w:jc w:val="center"/>
              <w:rPr>
                <w:rFonts w:ascii="Arial" w:eastAsia="Times New Roman" w:hAnsi="Arial" w:cs="Arial"/>
                <w:sz w:val="16"/>
                <w:szCs w:val="16"/>
                <w:lang w:eastAsia="en-CA"/>
              </w:rPr>
            </w:pPr>
            <w:r w:rsidRPr="0098730F">
              <w:rPr>
                <w:rFonts w:ascii="Arial" w:hAnsi="Arial" w:cs="Arial"/>
                <w:sz w:val="16"/>
                <w:szCs w:val="16"/>
              </w:rPr>
              <w:t>($29.17)</w:t>
            </w:r>
          </w:p>
        </w:tc>
        <w:tc>
          <w:tcPr>
            <w:tcW w:w="0" w:type="auto"/>
            <w:shd w:val="clear" w:color="auto" w:fill="auto"/>
            <w:noWrap/>
            <w:vAlign w:val="center"/>
            <w:hideMark/>
          </w:tcPr>
          <w:p w14:paraId="7AB73B72" w14:textId="77777777" w:rsidR="0098730F" w:rsidRPr="008B6F1C" w:rsidRDefault="0098730F" w:rsidP="0098730F">
            <w:pPr>
              <w:spacing w:after="0" w:line="240" w:lineRule="auto"/>
              <w:jc w:val="center"/>
              <w:rPr>
                <w:rFonts w:ascii="Arial" w:eastAsia="Times New Roman" w:hAnsi="Arial" w:cs="Arial"/>
                <w:sz w:val="16"/>
                <w:szCs w:val="16"/>
                <w:lang w:eastAsia="en-CA"/>
              </w:rPr>
            </w:pPr>
            <w:r w:rsidRPr="0098730F">
              <w:rPr>
                <w:rFonts w:ascii="Arial" w:hAnsi="Arial" w:cs="Arial"/>
                <w:sz w:val="16"/>
                <w:szCs w:val="16"/>
              </w:rPr>
              <w:t>($0.32)</w:t>
            </w:r>
          </w:p>
        </w:tc>
        <w:tc>
          <w:tcPr>
            <w:tcW w:w="0" w:type="auto"/>
            <w:shd w:val="clear" w:color="auto" w:fill="auto"/>
            <w:noWrap/>
            <w:vAlign w:val="center"/>
            <w:hideMark/>
          </w:tcPr>
          <w:p w14:paraId="62708032" w14:textId="77777777" w:rsidR="0098730F" w:rsidRPr="008B6F1C" w:rsidRDefault="0098730F" w:rsidP="0098730F">
            <w:pPr>
              <w:spacing w:after="0" w:line="240" w:lineRule="auto"/>
              <w:jc w:val="center"/>
              <w:rPr>
                <w:rFonts w:ascii="Arial" w:eastAsia="Times New Roman" w:hAnsi="Arial" w:cs="Arial"/>
                <w:sz w:val="16"/>
                <w:szCs w:val="16"/>
                <w:lang w:eastAsia="en-CA"/>
              </w:rPr>
            </w:pPr>
            <w:r w:rsidRPr="0098730F">
              <w:rPr>
                <w:rFonts w:ascii="Arial" w:hAnsi="Arial" w:cs="Arial"/>
                <w:sz w:val="16"/>
                <w:szCs w:val="16"/>
              </w:rPr>
              <w:t>($5.32)</w:t>
            </w:r>
          </w:p>
        </w:tc>
        <w:tc>
          <w:tcPr>
            <w:tcW w:w="0" w:type="auto"/>
            <w:shd w:val="clear" w:color="auto" w:fill="auto"/>
            <w:noWrap/>
            <w:vAlign w:val="center"/>
            <w:hideMark/>
          </w:tcPr>
          <w:p w14:paraId="10F2DAB4" w14:textId="77777777" w:rsidR="0098730F" w:rsidRPr="008B6F1C" w:rsidRDefault="0098730F" w:rsidP="0098730F">
            <w:pPr>
              <w:spacing w:after="0" w:line="240" w:lineRule="auto"/>
              <w:jc w:val="center"/>
              <w:rPr>
                <w:rFonts w:ascii="Arial" w:eastAsia="Times New Roman" w:hAnsi="Arial" w:cs="Arial"/>
                <w:sz w:val="16"/>
                <w:szCs w:val="16"/>
                <w:lang w:eastAsia="en-CA"/>
              </w:rPr>
            </w:pPr>
            <w:r w:rsidRPr="0098730F">
              <w:rPr>
                <w:rFonts w:ascii="Arial" w:hAnsi="Arial" w:cs="Arial"/>
                <w:sz w:val="16"/>
                <w:szCs w:val="16"/>
              </w:rPr>
              <w:t>$</w:t>
            </w:r>
            <w:r>
              <w:rPr>
                <w:rFonts w:ascii="Arial" w:hAnsi="Arial" w:cs="Arial"/>
                <w:sz w:val="16"/>
                <w:szCs w:val="16"/>
              </w:rPr>
              <w:t>428.35</w:t>
            </w:r>
          </w:p>
        </w:tc>
      </w:tr>
      <w:tr w:rsidR="0098730F" w:rsidRPr="0098730F" w14:paraId="3849DD85" w14:textId="77777777" w:rsidTr="0098730F">
        <w:trPr>
          <w:trHeight w:val="256"/>
        </w:trPr>
        <w:tc>
          <w:tcPr>
            <w:tcW w:w="0" w:type="auto"/>
            <w:shd w:val="clear" w:color="auto" w:fill="auto"/>
            <w:noWrap/>
            <w:vAlign w:val="center"/>
            <w:hideMark/>
          </w:tcPr>
          <w:p w14:paraId="1D9EC6BA" w14:textId="77777777" w:rsidR="0098730F" w:rsidRPr="008B6F1C" w:rsidRDefault="0098730F" w:rsidP="0098730F">
            <w:pPr>
              <w:spacing w:after="0" w:line="240" w:lineRule="auto"/>
              <w:jc w:val="center"/>
              <w:rPr>
                <w:rFonts w:ascii="Arial" w:eastAsia="Times New Roman" w:hAnsi="Arial" w:cs="Arial"/>
                <w:b/>
                <w:bCs/>
                <w:sz w:val="16"/>
                <w:szCs w:val="16"/>
                <w:lang w:eastAsia="en-CA"/>
              </w:rPr>
            </w:pPr>
            <w:r w:rsidRPr="008B6F1C">
              <w:rPr>
                <w:rFonts w:ascii="Arial" w:eastAsia="Times New Roman" w:hAnsi="Arial" w:cs="Arial"/>
                <w:b/>
                <w:bCs/>
                <w:sz w:val="16"/>
                <w:szCs w:val="16"/>
                <w:lang w:eastAsia="en-CA"/>
              </w:rPr>
              <w:t>Total LRAMVA Balance</w:t>
            </w:r>
          </w:p>
        </w:tc>
        <w:tc>
          <w:tcPr>
            <w:tcW w:w="0" w:type="auto"/>
            <w:shd w:val="clear" w:color="auto" w:fill="auto"/>
            <w:noWrap/>
            <w:vAlign w:val="center"/>
            <w:hideMark/>
          </w:tcPr>
          <w:p w14:paraId="6F3A82EB" w14:textId="77777777" w:rsidR="0098730F" w:rsidRPr="008B6F1C" w:rsidRDefault="0098730F" w:rsidP="0098730F">
            <w:pPr>
              <w:spacing w:after="0" w:line="240" w:lineRule="auto"/>
              <w:jc w:val="center"/>
              <w:rPr>
                <w:rFonts w:ascii="Arial" w:eastAsia="Times New Roman" w:hAnsi="Arial" w:cs="Arial"/>
                <w:b/>
                <w:bCs/>
                <w:sz w:val="16"/>
                <w:szCs w:val="16"/>
                <w:lang w:eastAsia="en-CA"/>
              </w:rPr>
            </w:pPr>
            <w:r w:rsidRPr="0098730F">
              <w:rPr>
                <w:rFonts w:ascii="Arial" w:hAnsi="Arial" w:cs="Arial"/>
                <w:sz w:val="16"/>
                <w:szCs w:val="16"/>
              </w:rPr>
              <w:t>$8,320</w:t>
            </w:r>
          </w:p>
        </w:tc>
        <w:tc>
          <w:tcPr>
            <w:tcW w:w="0" w:type="auto"/>
            <w:shd w:val="clear" w:color="auto" w:fill="auto"/>
            <w:noWrap/>
            <w:vAlign w:val="center"/>
            <w:hideMark/>
          </w:tcPr>
          <w:p w14:paraId="32BD57CD" w14:textId="77777777" w:rsidR="0098730F" w:rsidRPr="008B6F1C" w:rsidRDefault="0098730F" w:rsidP="0098730F">
            <w:pPr>
              <w:spacing w:after="0" w:line="240" w:lineRule="auto"/>
              <w:jc w:val="center"/>
              <w:rPr>
                <w:rFonts w:ascii="Arial" w:eastAsia="Times New Roman" w:hAnsi="Arial" w:cs="Arial"/>
                <w:b/>
                <w:bCs/>
                <w:sz w:val="16"/>
                <w:szCs w:val="16"/>
                <w:lang w:eastAsia="en-CA"/>
              </w:rPr>
            </w:pPr>
            <w:r w:rsidRPr="0098730F">
              <w:rPr>
                <w:rFonts w:ascii="Arial" w:hAnsi="Arial" w:cs="Arial"/>
                <w:sz w:val="16"/>
                <w:szCs w:val="16"/>
              </w:rPr>
              <w:t>$1,048</w:t>
            </w:r>
          </w:p>
        </w:tc>
        <w:tc>
          <w:tcPr>
            <w:tcW w:w="0" w:type="auto"/>
            <w:shd w:val="clear" w:color="auto" w:fill="auto"/>
            <w:noWrap/>
            <w:vAlign w:val="center"/>
            <w:hideMark/>
          </w:tcPr>
          <w:p w14:paraId="24DE12A4" w14:textId="77777777" w:rsidR="0098730F" w:rsidRPr="008B6F1C" w:rsidRDefault="0098730F" w:rsidP="0098730F">
            <w:pPr>
              <w:spacing w:after="0" w:line="240" w:lineRule="auto"/>
              <w:jc w:val="center"/>
              <w:rPr>
                <w:rFonts w:ascii="Arial" w:eastAsia="Times New Roman" w:hAnsi="Arial" w:cs="Arial"/>
                <w:b/>
                <w:bCs/>
                <w:sz w:val="16"/>
                <w:szCs w:val="16"/>
                <w:lang w:eastAsia="en-CA"/>
              </w:rPr>
            </w:pPr>
            <w:r w:rsidRPr="0098730F">
              <w:rPr>
                <w:rFonts w:ascii="Arial" w:hAnsi="Arial" w:cs="Arial"/>
                <w:sz w:val="16"/>
                <w:szCs w:val="16"/>
              </w:rPr>
              <w:t>-$650</w:t>
            </w:r>
          </w:p>
        </w:tc>
        <w:tc>
          <w:tcPr>
            <w:tcW w:w="0" w:type="auto"/>
            <w:shd w:val="clear" w:color="auto" w:fill="auto"/>
            <w:noWrap/>
            <w:vAlign w:val="center"/>
            <w:hideMark/>
          </w:tcPr>
          <w:p w14:paraId="767DD5C5" w14:textId="77777777" w:rsidR="0098730F" w:rsidRPr="008B6F1C" w:rsidRDefault="0098730F" w:rsidP="0098730F">
            <w:pPr>
              <w:spacing w:after="0" w:line="240" w:lineRule="auto"/>
              <w:jc w:val="center"/>
              <w:rPr>
                <w:rFonts w:ascii="Arial" w:eastAsia="Times New Roman" w:hAnsi="Arial" w:cs="Arial"/>
                <w:b/>
                <w:bCs/>
                <w:sz w:val="16"/>
                <w:szCs w:val="16"/>
                <w:lang w:eastAsia="en-CA"/>
              </w:rPr>
            </w:pPr>
            <w:r w:rsidRPr="0098730F">
              <w:rPr>
                <w:rFonts w:ascii="Arial" w:hAnsi="Arial" w:cs="Arial"/>
                <w:sz w:val="16"/>
                <w:szCs w:val="16"/>
              </w:rPr>
              <w:t>-$7</w:t>
            </w:r>
          </w:p>
        </w:tc>
        <w:tc>
          <w:tcPr>
            <w:tcW w:w="0" w:type="auto"/>
            <w:shd w:val="clear" w:color="auto" w:fill="auto"/>
            <w:noWrap/>
            <w:vAlign w:val="center"/>
            <w:hideMark/>
          </w:tcPr>
          <w:p w14:paraId="547EEF9C" w14:textId="77777777" w:rsidR="0098730F" w:rsidRPr="008B6F1C" w:rsidRDefault="0098730F" w:rsidP="0098730F">
            <w:pPr>
              <w:spacing w:after="0" w:line="240" w:lineRule="auto"/>
              <w:jc w:val="center"/>
              <w:rPr>
                <w:rFonts w:ascii="Arial" w:eastAsia="Times New Roman" w:hAnsi="Arial" w:cs="Arial"/>
                <w:b/>
                <w:bCs/>
                <w:sz w:val="16"/>
                <w:szCs w:val="16"/>
                <w:lang w:eastAsia="en-CA"/>
              </w:rPr>
            </w:pPr>
            <w:r w:rsidRPr="0098730F">
              <w:rPr>
                <w:rFonts w:ascii="Arial" w:hAnsi="Arial" w:cs="Arial"/>
                <w:sz w:val="16"/>
                <w:szCs w:val="16"/>
              </w:rPr>
              <w:t>-$119</w:t>
            </w:r>
          </w:p>
        </w:tc>
        <w:tc>
          <w:tcPr>
            <w:tcW w:w="0" w:type="auto"/>
            <w:shd w:val="clear" w:color="auto" w:fill="auto"/>
            <w:noWrap/>
            <w:vAlign w:val="center"/>
            <w:hideMark/>
          </w:tcPr>
          <w:p w14:paraId="24BB160E" w14:textId="77777777" w:rsidR="0098730F" w:rsidRPr="008B6F1C" w:rsidRDefault="0098730F" w:rsidP="0098730F">
            <w:pPr>
              <w:spacing w:after="0" w:line="240" w:lineRule="auto"/>
              <w:jc w:val="center"/>
              <w:rPr>
                <w:rFonts w:ascii="Arial" w:eastAsia="Times New Roman" w:hAnsi="Arial" w:cs="Arial"/>
                <w:b/>
                <w:bCs/>
                <w:sz w:val="16"/>
                <w:szCs w:val="16"/>
                <w:lang w:eastAsia="en-CA"/>
              </w:rPr>
            </w:pPr>
            <w:r w:rsidRPr="0098730F">
              <w:rPr>
                <w:rFonts w:ascii="Arial" w:hAnsi="Arial" w:cs="Arial"/>
                <w:sz w:val="16"/>
                <w:szCs w:val="16"/>
              </w:rPr>
              <w:t>$8</w:t>
            </w:r>
            <w:r>
              <w:rPr>
                <w:rFonts w:ascii="Arial" w:hAnsi="Arial" w:cs="Arial"/>
                <w:sz w:val="16"/>
                <w:szCs w:val="16"/>
              </w:rPr>
              <w:t>,592</w:t>
            </w:r>
          </w:p>
        </w:tc>
      </w:tr>
    </w:tbl>
    <w:p w14:paraId="04C40745" w14:textId="77777777" w:rsidR="008B6F1C" w:rsidRDefault="008B6F1C" w:rsidP="008B6F1C">
      <w:pPr>
        <w:pStyle w:val="NoSpacing"/>
        <w:spacing w:line="276" w:lineRule="auto"/>
        <w:ind w:left="360"/>
        <w:rPr>
          <w:rFonts w:ascii="Arial" w:hAnsi="Arial" w:cs="Arial"/>
          <w:b/>
          <w:sz w:val="24"/>
          <w:szCs w:val="24"/>
          <w:lang w:val="en-CA"/>
        </w:rPr>
      </w:pPr>
    </w:p>
    <w:p w14:paraId="6F578E46" w14:textId="77777777" w:rsidR="008B6F1C" w:rsidRDefault="008B6F1C" w:rsidP="008B6F1C">
      <w:pPr>
        <w:pStyle w:val="NoSpacing"/>
        <w:spacing w:line="276" w:lineRule="auto"/>
        <w:ind w:left="360"/>
        <w:rPr>
          <w:rFonts w:ascii="Arial" w:hAnsi="Arial" w:cs="Arial"/>
          <w:b/>
          <w:sz w:val="24"/>
          <w:szCs w:val="24"/>
          <w:lang w:val="en-CA"/>
        </w:rPr>
      </w:pPr>
    </w:p>
    <w:p w14:paraId="0CF9F3B7" w14:textId="77777777" w:rsidR="008B6F1C" w:rsidRPr="008B6F1C" w:rsidRDefault="008B6F1C" w:rsidP="008B6F1C">
      <w:pPr>
        <w:pStyle w:val="NoSpacing"/>
        <w:spacing w:line="276" w:lineRule="auto"/>
        <w:ind w:left="360"/>
        <w:rPr>
          <w:rFonts w:ascii="Arial" w:hAnsi="Arial" w:cs="Arial"/>
          <w:b/>
          <w:sz w:val="24"/>
          <w:szCs w:val="24"/>
          <w:lang w:val="en-CA"/>
        </w:rPr>
      </w:pPr>
    </w:p>
    <w:p w14:paraId="6C0776B0" w14:textId="77777777" w:rsidR="008B6F1C" w:rsidRDefault="008B6F1C" w:rsidP="008B6F1C">
      <w:pPr>
        <w:pStyle w:val="NoSpacing"/>
        <w:spacing w:line="276" w:lineRule="auto"/>
        <w:ind w:left="360"/>
        <w:rPr>
          <w:rFonts w:ascii="Arial" w:hAnsi="Arial" w:cs="Arial"/>
          <w:b/>
          <w:sz w:val="24"/>
          <w:szCs w:val="24"/>
        </w:rPr>
      </w:pPr>
      <w:r w:rsidRPr="00695082">
        <w:rPr>
          <w:rFonts w:ascii="Arial" w:hAnsi="Arial" w:cs="Arial"/>
          <w:b/>
          <w:sz w:val="24"/>
          <w:szCs w:val="24"/>
        </w:rPr>
        <w:t>Staff Question</w:t>
      </w:r>
      <w:r>
        <w:rPr>
          <w:rFonts w:ascii="Arial" w:hAnsi="Arial" w:cs="Arial"/>
          <w:b/>
          <w:sz w:val="24"/>
          <w:szCs w:val="24"/>
        </w:rPr>
        <w:t xml:space="preserve"> </w:t>
      </w:r>
      <w:r w:rsidRPr="00695082">
        <w:rPr>
          <w:rFonts w:ascii="Arial" w:hAnsi="Arial" w:cs="Arial"/>
          <w:b/>
          <w:sz w:val="24"/>
          <w:szCs w:val="24"/>
        </w:rPr>
        <w:t>#</w:t>
      </w:r>
      <w:r>
        <w:rPr>
          <w:rFonts w:ascii="Arial" w:hAnsi="Arial" w:cs="Arial"/>
          <w:b/>
          <w:sz w:val="24"/>
          <w:szCs w:val="24"/>
        </w:rPr>
        <w:t>14</w:t>
      </w:r>
    </w:p>
    <w:p w14:paraId="75613B84" w14:textId="77777777" w:rsidR="0081325A" w:rsidRPr="00695082" w:rsidRDefault="0081325A" w:rsidP="008B6F1C">
      <w:pPr>
        <w:pStyle w:val="NoSpacing"/>
        <w:spacing w:line="276" w:lineRule="auto"/>
        <w:ind w:left="360"/>
        <w:rPr>
          <w:rFonts w:ascii="Arial" w:hAnsi="Arial" w:cs="Arial"/>
          <w:b/>
          <w:sz w:val="24"/>
          <w:szCs w:val="24"/>
        </w:rPr>
      </w:pPr>
    </w:p>
    <w:p w14:paraId="2E352147" w14:textId="77777777" w:rsidR="0081325A" w:rsidRPr="0081325A" w:rsidRDefault="0081325A" w:rsidP="0081325A">
      <w:pPr>
        <w:pStyle w:val="ListParagraph"/>
        <w:numPr>
          <w:ilvl w:val="0"/>
          <w:numId w:val="32"/>
        </w:numPr>
        <w:spacing w:after="160"/>
        <w:rPr>
          <w:rFonts w:ascii="Arial" w:hAnsi="Arial" w:cs="Arial"/>
          <w:sz w:val="24"/>
          <w:szCs w:val="24"/>
        </w:rPr>
      </w:pPr>
      <w:r w:rsidRPr="0081325A">
        <w:rPr>
          <w:rFonts w:ascii="Arial" w:hAnsi="Arial" w:cs="Arial"/>
          <w:sz w:val="24"/>
          <w:szCs w:val="24"/>
        </w:rPr>
        <w:t>On February 21, 2019 the OEB issued new accounting guidance for accounts 1588 and 1589 and required the distributors to implement it by August 31, 2019. The new guidance is effective January 1, 2019. Cooperative Hydro Embrun Inc. did not indicate that it has implemented the above noted OEB’s guidance. Please indicate if Cooperative Hydro Embrun Inc. has implemented the OEB accounting guidance related to the commodity variance accounts.</w:t>
      </w:r>
    </w:p>
    <w:p w14:paraId="474A710B" w14:textId="6E220994" w:rsidR="0081325A" w:rsidRPr="00576F1B" w:rsidRDefault="0081325A" w:rsidP="00F252C6">
      <w:pPr>
        <w:spacing w:after="160"/>
        <w:ind w:left="720"/>
        <w:rPr>
          <w:rFonts w:ascii="Arial" w:hAnsi="Arial" w:cs="Arial"/>
          <w:color w:val="0070C0"/>
          <w:sz w:val="24"/>
          <w:szCs w:val="24"/>
        </w:rPr>
      </w:pPr>
      <w:r w:rsidRPr="00576F1B">
        <w:rPr>
          <w:rFonts w:ascii="Arial" w:hAnsi="Arial" w:cs="Arial"/>
          <w:color w:val="0070C0"/>
          <w:sz w:val="24"/>
          <w:szCs w:val="24"/>
        </w:rPr>
        <w:t xml:space="preserve">CHEI Response: </w:t>
      </w:r>
      <w:r w:rsidR="007D4CA5">
        <w:rPr>
          <w:rFonts w:ascii="Arial" w:hAnsi="Arial" w:cs="Arial"/>
          <w:color w:val="0070C0"/>
          <w:sz w:val="24"/>
          <w:szCs w:val="24"/>
        </w:rPr>
        <w:t>CHEI implemented the OEB accounting guidance on January 1, 2019 for account 1588 and 1589.</w:t>
      </w:r>
    </w:p>
    <w:p w14:paraId="0DDF7B15" w14:textId="77777777" w:rsidR="0081325A" w:rsidRDefault="0081325A" w:rsidP="0081325A">
      <w:pPr>
        <w:pStyle w:val="ListParagraph"/>
        <w:numPr>
          <w:ilvl w:val="0"/>
          <w:numId w:val="31"/>
        </w:numPr>
        <w:spacing w:after="160"/>
        <w:rPr>
          <w:rFonts w:ascii="Arial" w:hAnsi="Arial" w:cs="Arial"/>
          <w:sz w:val="24"/>
          <w:szCs w:val="24"/>
        </w:rPr>
      </w:pPr>
      <w:r w:rsidRPr="0081325A">
        <w:rPr>
          <w:rFonts w:ascii="Arial" w:hAnsi="Arial" w:cs="Arial"/>
          <w:sz w:val="24"/>
          <w:szCs w:val="24"/>
        </w:rPr>
        <w:t>As part of its previous IRM application (EB-2018-0026), Cooperative Hydro Embrun Inc.’s audited 2017 Group 1 DVA account balances were approved for interim disposition by the OEB.  Cooperative Hydro Embrun Inc. has not indicated whether it is requesting final disposition of its 2019 rate riders. Please indicate whether Cooperative Hydro Embrun Inc. is proposing final disposition of its 2019 rate riders in this proceeding.</w:t>
      </w:r>
    </w:p>
    <w:p w14:paraId="51817E10" w14:textId="77777777" w:rsidR="0081325A" w:rsidRDefault="0081325A" w:rsidP="00F252C6">
      <w:pPr>
        <w:spacing w:after="160"/>
        <w:ind w:left="720"/>
        <w:rPr>
          <w:rFonts w:ascii="Arial" w:hAnsi="Arial" w:cs="Arial"/>
          <w:color w:val="0070C0"/>
          <w:sz w:val="24"/>
          <w:szCs w:val="24"/>
        </w:rPr>
      </w:pPr>
      <w:r w:rsidRPr="0081325A">
        <w:rPr>
          <w:rFonts w:ascii="Arial" w:hAnsi="Arial" w:cs="Arial"/>
          <w:color w:val="0070C0"/>
          <w:sz w:val="24"/>
          <w:szCs w:val="24"/>
        </w:rPr>
        <w:t xml:space="preserve">CHEI Response: </w:t>
      </w:r>
      <w:r>
        <w:rPr>
          <w:rFonts w:ascii="Arial" w:hAnsi="Arial" w:cs="Arial"/>
          <w:color w:val="0070C0"/>
          <w:sz w:val="24"/>
          <w:szCs w:val="24"/>
        </w:rPr>
        <w:t xml:space="preserve">CHEI confirms that </w:t>
      </w:r>
      <w:r w:rsidRPr="0081325A">
        <w:rPr>
          <w:rFonts w:ascii="Arial" w:hAnsi="Arial" w:cs="Arial"/>
          <w:color w:val="0070C0"/>
          <w:sz w:val="24"/>
          <w:szCs w:val="24"/>
        </w:rPr>
        <w:t>it is requesting final disposition of its 2019 rate riders</w:t>
      </w:r>
      <w:r>
        <w:rPr>
          <w:rFonts w:ascii="Arial" w:hAnsi="Arial" w:cs="Arial"/>
          <w:color w:val="0070C0"/>
          <w:sz w:val="24"/>
          <w:szCs w:val="24"/>
        </w:rPr>
        <w:t xml:space="preserve">. </w:t>
      </w:r>
    </w:p>
    <w:p w14:paraId="504DEBB9" w14:textId="77777777" w:rsidR="00695082" w:rsidRPr="00A84F9A" w:rsidRDefault="00695082" w:rsidP="00342DF0">
      <w:pPr>
        <w:ind w:left="360"/>
        <w:rPr>
          <w:rFonts w:ascii="Arial" w:hAnsi="Arial" w:cs="Arial"/>
          <w:b/>
          <w:sz w:val="24"/>
          <w:szCs w:val="24"/>
          <w:u w:val="single"/>
        </w:rPr>
      </w:pPr>
    </w:p>
    <w:p w14:paraId="58590108" w14:textId="77777777" w:rsidR="00695082" w:rsidRPr="00A84F9A" w:rsidRDefault="00695082" w:rsidP="00342DF0">
      <w:pPr>
        <w:ind w:left="360"/>
        <w:rPr>
          <w:rFonts w:ascii="Arial" w:hAnsi="Arial" w:cs="Arial"/>
          <w:b/>
          <w:sz w:val="24"/>
          <w:szCs w:val="24"/>
          <w:u w:val="single"/>
        </w:rPr>
      </w:pPr>
    </w:p>
    <w:sectPr w:rsidR="00695082" w:rsidRPr="00A84F9A" w:rsidSect="00EA0919">
      <w:headerReference w:type="default" r:id="rId2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8D37" w14:textId="77777777" w:rsidR="00426A5A" w:rsidRDefault="00426A5A" w:rsidP="00851418">
      <w:pPr>
        <w:spacing w:after="0" w:line="240" w:lineRule="auto"/>
      </w:pPr>
      <w:r>
        <w:separator/>
      </w:r>
    </w:p>
  </w:endnote>
  <w:endnote w:type="continuationSeparator" w:id="0">
    <w:p w14:paraId="72D838AF" w14:textId="77777777" w:rsidR="00426A5A" w:rsidRDefault="00426A5A"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EC9B1" w14:textId="77777777" w:rsidR="00426A5A" w:rsidRDefault="00426A5A" w:rsidP="00851418">
      <w:pPr>
        <w:spacing w:after="0" w:line="240" w:lineRule="auto"/>
      </w:pPr>
      <w:r>
        <w:separator/>
      </w:r>
    </w:p>
  </w:footnote>
  <w:footnote w:type="continuationSeparator" w:id="0">
    <w:p w14:paraId="3DB102B5" w14:textId="77777777" w:rsidR="00426A5A" w:rsidRDefault="00426A5A" w:rsidP="00851418">
      <w:pPr>
        <w:spacing w:after="0" w:line="240" w:lineRule="auto"/>
      </w:pPr>
      <w:r>
        <w:continuationSeparator/>
      </w:r>
    </w:p>
  </w:footnote>
  <w:footnote w:id="1">
    <w:p w14:paraId="2AD77788" w14:textId="77777777" w:rsidR="00856394" w:rsidRPr="003B36F7" w:rsidRDefault="00856394" w:rsidP="00856394">
      <w:pPr>
        <w:pStyle w:val="FootnoteText"/>
        <w:rPr>
          <w:lang w:val="en-US"/>
        </w:rPr>
      </w:pPr>
      <w:r>
        <w:rPr>
          <w:rStyle w:val="FootnoteReference"/>
        </w:rPr>
        <w:footnoteRef/>
      </w:r>
      <w:r>
        <w:t xml:space="preserve"> </w:t>
      </w:r>
      <w:r>
        <w:rPr>
          <w:lang w:val="en-US"/>
        </w:rPr>
        <w:t>EB-2018-</w:t>
      </w:r>
      <w:r w:rsidR="00FD6EAD">
        <w:rPr>
          <w:lang w:val="en-US"/>
        </w:rPr>
        <w:t>0026</w:t>
      </w:r>
      <w:r w:rsidR="00E96ADE">
        <w:rPr>
          <w:lang w:val="en-US"/>
        </w:rPr>
        <w:t xml:space="preserve"> issued December 13, 2018, page 11 of 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065BB" w14:textId="77777777"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E96915">
      <w:rPr>
        <w:rFonts w:ascii="Arial" w:hAnsi="Arial" w:cs="Arial"/>
        <w:sz w:val="20"/>
        <w:szCs w:val="20"/>
      </w:rPr>
      <w:t>Cooperative Hydro Embrun Inc.</w:t>
    </w:r>
  </w:p>
  <w:p w14:paraId="01BB9E90" w14:textId="77777777" w:rsidR="00D5062F" w:rsidRDefault="00E96915">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EB-2019-0028</w:t>
    </w:r>
  </w:p>
  <w:p w14:paraId="15BEB5CF" w14:textId="619D7892"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BE6E10">
      <w:rPr>
        <w:rFonts w:ascii="Arial" w:hAnsi="Arial" w:cs="Arial"/>
        <w:b/>
        <w:noProof/>
        <w:sz w:val="20"/>
        <w:szCs w:val="20"/>
      </w:rPr>
      <w:t>1</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BE6E10">
      <w:rPr>
        <w:rFonts w:ascii="Arial" w:hAnsi="Arial" w:cs="Arial"/>
        <w:b/>
        <w:noProof/>
        <w:sz w:val="20"/>
        <w:szCs w:val="20"/>
      </w:rPr>
      <w:t>14</w:t>
    </w:r>
    <w:r w:rsidRPr="00DA5F69">
      <w:rPr>
        <w:rFonts w:ascii="Arial" w:hAnsi="Arial" w:cs="Arial"/>
        <w:b/>
        <w:sz w:val="20"/>
        <w:szCs w:val="20"/>
      </w:rPr>
      <w:fldChar w:fldCharType="end"/>
    </w:r>
  </w:p>
  <w:p w14:paraId="50518238" w14:textId="77777777"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B70"/>
    <w:multiLevelType w:val="hybridMultilevel"/>
    <w:tmpl w:val="BC628B5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F59EF"/>
    <w:multiLevelType w:val="hybridMultilevel"/>
    <w:tmpl w:val="063A3D4C"/>
    <w:lvl w:ilvl="0" w:tplc="F8487184">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33529"/>
    <w:multiLevelType w:val="hybridMultilevel"/>
    <w:tmpl w:val="6F8EF6E6"/>
    <w:lvl w:ilvl="0" w:tplc="8926E2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091537"/>
    <w:multiLevelType w:val="hybridMultilevel"/>
    <w:tmpl w:val="BC628B5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78E4B51"/>
    <w:multiLevelType w:val="hybridMultilevel"/>
    <w:tmpl w:val="BC628B5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DC2"/>
    <w:multiLevelType w:val="hybridMultilevel"/>
    <w:tmpl w:val="BC628B5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19F04D7"/>
    <w:multiLevelType w:val="hybridMultilevel"/>
    <w:tmpl w:val="D2940430"/>
    <w:lvl w:ilvl="0" w:tplc="04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42227E"/>
    <w:multiLevelType w:val="hybridMultilevel"/>
    <w:tmpl w:val="24C60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E30146"/>
    <w:multiLevelType w:val="hybridMultilevel"/>
    <w:tmpl w:val="2AE27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44600D"/>
    <w:multiLevelType w:val="hybridMultilevel"/>
    <w:tmpl w:val="6F8EF6E6"/>
    <w:lvl w:ilvl="0" w:tplc="8926E2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3323E"/>
    <w:multiLevelType w:val="hybridMultilevel"/>
    <w:tmpl w:val="5AE095BE"/>
    <w:lvl w:ilvl="0" w:tplc="F8487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313A6"/>
    <w:multiLevelType w:val="hybridMultilevel"/>
    <w:tmpl w:val="6F8EF6E6"/>
    <w:lvl w:ilvl="0" w:tplc="8926E2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5759C"/>
    <w:multiLevelType w:val="hybridMultilevel"/>
    <w:tmpl w:val="E0D4B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1668B"/>
    <w:multiLevelType w:val="hybridMultilevel"/>
    <w:tmpl w:val="AD2050BE"/>
    <w:lvl w:ilvl="0" w:tplc="0409000F">
      <w:start w:val="1"/>
      <w:numFmt w:val="decimal"/>
      <w:lvlText w:val="%1."/>
      <w:lvlJc w:val="left"/>
      <w:pPr>
        <w:ind w:left="720" w:hanging="360"/>
      </w:pPr>
    </w:lvl>
    <w:lvl w:ilvl="1" w:tplc="EB0CCEEA">
      <w:start w:val="1"/>
      <w:numFmt w:val="lowerLetter"/>
      <w:lvlText w:val="%2)"/>
      <w:lvlJc w:val="left"/>
      <w:pPr>
        <w:ind w:left="1440" w:hanging="360"/>
      </w:pPr>
      <w:rPr>
        <w:rFonts w:ascii="Arial" w:eastAsiaTheme="minorHAnsi" w:hAnsi="Arial" w:cs="Arial"/>
      </w:rPr>
    </w:lvl>
    <w:lvl w:ilvl="2" w:tplc="8BA0EF48">
      <w:start w:val="1"/>
      <w:numFmt w:val="lowerRoman"/>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46F88"/>
    <w:multiLevelType w:val="hybridMultilevel"/>
    <w:tmpl w:val="BC628B5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F1277"/>
    <w:multiLevelType w:val="hybridMultilevel"/>
    <w:tmpl w:val="597EA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D6C18"/>
    <w:multiLevelType w:val="hybridMultilevel"/>
    <w:tmpl w:val="6A6648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608B6"/>
    <w:multiLevelType w:val="hybridMultilevel"/>
    <w:tmpl w:val="BC628B56"/>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7CC62F1"/>
    <w:multiLevelType w:val="hybridMultilevel"/>
    <w:tmpl w:val="13E20E5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D8172E3"/>
    <w:multiLevelType w:val="hybridMultilevel"/>
    <w:tmpl w:val="37FAF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B2422"/>
    <w:multiLevelType w:val="hybridMultilevel"/>
    <w:tmpl w:val="A6242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263D3"/>
    <w:multiLevelType w:val="hybridMultilevel"/>
    <w:tmpl w:val="BE4AC77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EC544F4"/>
    <w:multiLevelType w:val="hybridMultilevel"/>
    <w:tmpl w:val="BC628B5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10E779A"/>
    <w:multiLevelType w:val="hybridMultilevel"/>
    <w:tmpl w:val="6B261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44AB7"/>
    <w:multiLevelType w:val="hybridMultilevel"/>
    <w:tmpl w:val="BC628B5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7530981"/>
    <w:multiLevelType w:val="hybridMultilevel"/>
    <w:tmpl w:val="F7AE8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61970"/>
    <w:multiLevelType w:val="hybridMultilevel"/>
    <w:tmpl w:val="21644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3215CC"/>
    <w:multiLevelType w:val="hybridMultilevel"/>
    <w:tmpl w:val="B4C0BE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C556D"/>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16"/>
  </w:num>
  <w:num w:numId="4">
    <w:abstractNumId w:val="21"/>
  </w:num>
  <w:num w:numId="5">
    <w:abstractNumId w:val="15"/>
  </w:num>
  <w:num w:numId="6">
    <w:abstractNumId w:val="32"/>
  </w:num>
  <w:num w:numId="7">
    <w:abstractNumId w:val="35"/>
  </w:num>
  <w:num w:numId="8">
    <w:abstractNumId w:val="44"/>
  </w:num>
  <w:num w:numId="9">
    <w:abstractNumId w:val="7"/>
  </w:num>
  <w:num w:numId="10">
    <w:abstractNumId w:val="18"/>
  </w:num>
  <w:num w:numId="11">
    <w:abstractNumId w:val="33"/>
  </w:num>
  <w:num w:numId="12">
    <w:abstractNumId w:val="23"/>
  </w:num>
  <w:num w:numId="13">
    <w:abstractNumId w:val="19"/>
  </w:num>
  <w:num w:numId="14">
    <w:abstractNumId w:val="25"/>
  </w:num>
  <w:num w:numId="15">
    <w:abstractNumId w:val="43"/>
  </w:num>
  <w:num w:numId="16">
    <w:abstractNumId w:val="11"/>
  </w:num>
  <w:num w:numId="17">
    <w:abstractNumId w:val="12"/>
  </w:num>
  <w:num w:numId="18">
    <w:abstractNumId w:val="34"/>
  </w:num>
  <w:num w:numId="19">
    <w:abstractNumId w:val="41"/>
  </w:num>
  <w:num w:numId="20">
    <w:abstractNumId w:val="22"/>
  </w:num>
  <w:num w:numId="21">
    <w:abstractNumId w:val="38"/>
  </w:num>
  <w:num w:numId="22">
    <w:abstractNumId w:val="42"/>
  </w:num>
  <w:num w:numId="23">
    <w:abstractNumId w:val="17"/>
  </w:num>
  <w:num w:numId="24">
    <w:abstractNumId w:val="2"/>
  </w:num>
  <w:num w:numId="25">
    <w:abstractNumId w:val="26"/>
  </w:num>
  <w:num w:numId="26">
    <w:abstractNumId w:val="30"/>
  </w:num>
  <w:num w:numId="27">
    <w:abstractNumId w:val="27"/>
  </w:num>
  <w:num w:numId="28">
    <w:abstractNumId w:val="40"/>
  </w:num>
  <w:num w:numId="29">
    <w:abstractNumId w:val="31"/>
  </w:num>
  <w:num w:numId="30">
    <w:abstractNumId w:val="20"/>
  </w:num>
  <w:num w:numId="31">
    <w:abstractNumId w:val="3"/>
  </w:num>
  <w:num w:numId="32">
    <w:abstractNumId w:val="14"/>
  </w:num>
  <w:num w:numId="33">
    <w:abstractNumId w:val="36"/>
  </w:num>
  <w:num w:numId="34">
    <w:abstractNumId w:val="9"/>
  </w:num>
  <w:num w:numId="35">
    <w:abstractNumId w:val="5"/>
  </w:num>
  <w:num w:numId="36">
    <w:abstractNumId w:val="39"/>
  </w:num>
  <w:num w:numId="37">
    <w:abstractNumId w:val="37"/>
  </w:num>
  <w:num w:numId="38">
    <w:abstractNumId w:val="24"/>
  </w:num>
  <w:num w:numId="39">
    <w:abstractNumId w:val="8"/>
  </w:num>
  <w:num w:numId="40">
    <w:abstractNumId w:val="6"/>
  </w:num>
  <w:num w:numId="41">
    <w:abstractNumId w:val="10"/>
  </w:num>
  <w:num w:numId="42">
    <w:abstractNumId w:val="28"/>
  </w:num>
  <w:num w:numId="43">
    <w:abstractNumId w:val="13"/>
  </w:num>
  <w:num w:numId="44">
    <w:abstractNumId w:val="29"/>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KzMDIxMTYxNjMwNzJX0lEKTi0uzszPAykwqgUAFKrI/iwAAAA="/>
  </w:docVars>
  <w:rsids>
    <w:rsidRoot w:val="003856F8"/>
    <w:rsid w:val="0000091F"/>
    <w:rsid w:val="0000198F"/>
    <w:rsid w:val="00003BE1"/>
    <w:rsid w:val="000069CF"/>
    <w:rsid w:val="00011987"/>
    <w:rsid w:val="00012E51"/>
    <w:rsid w:val="00013233"/>
    <w:rsid w:val="0001354E"/>
    <w:rsid w:val="0001531F"/>
    <w:rsid w:val="00022A36"/>
    <w:rsid w:val="00030D12"/>
    <w:rsid w:val="000414BC"/>
    <w:rsid w:val="00041BBD"/>
    <w:rsid w:val="000437D6"/>
    <w:rsid w:val="00046E03"/>
    <w:rsid w:val="00051E15"/>
    <w:rsid w:val="0005541D"/>
    <w:rsid w:val="00061172"/>
    <w:rsid w:val="00077203"/>
    <w:rsid w:val="000843ED"/>
    <w:rsid w:val="0009378B"/>
    <w:rsid w:val="00096D51"/>
    <w:rsid w:val="000A1997"/>
    <w:rsid w:val="000A3E03"/>
    <w:rsid w:val="000B3FA1"/>
    <w:rsid w:val="000B51CC"/>
    <w:rsid w:val="000C035C"/>
    <w:rsid w:val="000D2EAF"/>
    <w:rsid w:val="000E066E"/>
    <w:rsid w:val="000E09DB"/>
    <w:rsid w:val="000E1DAE"/>
    <w:rsid w:val="000E4C7B"/>
    <w:rsid w:val="000F0FBB"/>
    <w:rsid w:val="001010C7"/>
    <w:rsid w:val="001027DF"/>
    <w:rsid w:val="00112D88"/>
    <w:rsid w:val="001269CC"/>
    <w:rsid w:val="001301BC"/>
    <w:rsid w:val="00145A2B"/>
    <w:rsid w:val="00146770"/>
    <w:rsid w:val="00150BE5"/>
    <w:rsid w:val="001563E4"/>
    <w:rsid w:val="00156B65"/>
    <w:rsid w:val="0016286E"/>
    <w:rsid w:val="0016330B"/>
    <w:rsid w:val="00163BCB"/>
    <w:rsid w:val="00171C5D"/>
    <w:rsid w:val="00175E69"/>
    <w:rsid w:val="0018179E"/>
    <w:rsid w:val="00190D29"/>
    <w:rsid w:val="001A184E"/>
    <w:rsid w:val="001A5EB4"/>
    <w:rsid w:val="001B1072"/>
    <w:rsid w:val="001B2695"/>
    <w:rsid w:val="001B2AD3"/>
    <w:rsid w:val="001B40BE"/>
    <w:rsid w:val="001C7CA4"/>
    <w:rsid w:val="001C7CD2"/>
    <w:rsid w:val="001D2BB6"/>
    <w:rsid w:val="001D4ECC"/>
    <w:rsid w:val="001D7086"/>
    <w:rsid w:val="001D7A71"/>
    <w:rsid w:val="001E069B"/>
    <w:rsid w:val="001E6EA6"/>
    <w:rsid w:val="001F19CF"/>
    <w:rsid w:val="001F5CB6"/>
    <w:rsid w:val="00204A40"/>
    <w:rsid w:val="00204CE7"/>
    <w:rsid w:val="0021184B"/>
    <w:rsid w:val="002152C0"/>
    <w:rsid w:val="0023076C"/>
    <w:rsid w:val="00233B92"/>
    <w:rsid w:val="002363C3"/>
    <w:rsid w:val="00241483"/>
    <w:rsid w:val="002422CC"/>
    <w:rsid w:val="002510CD"/>
    <w:rsid w:val="002579E0"/>
    <w:rsid w:val="00261348"/>
    <w:rsid w:val="00272B65"/>
    <w:rsid w:val="00284B69"/>
    <w:rsid w:val="00286DC4"/>
    <w:rsid w:val="00290230"/>
    <w:rsid w:val="00291A52"/>
    <w:rsid w:val="00293086"/>
    <w:rsid w:val="002966E4"/>
    <w:rsid w:val="0029762E"/>
    <w:rsid w:val="002A72E9"/>
    <w:rsid w:val="002B48DA"/>
    <w:rsid w:val="002B7C64"/>
    <w:rsid w:val="002C75F8"/>
    <w:rsid w:val="002D2F55"/>
    <w:rsid w:val="002E04F0"/>
    <w:rsid w:val="002F218C"/>
    <w:rsid w:val="002F334C"/>
    <w:rsid w:val="002F74C5"/>
    <w:rsid w:val="00303671"/>
    <w:rsid w:val="00304228"/>
    <w:rsid w:val="003062DA"/>
    <w:rsid w:val="00323A89"/>
    <w:rsid w:val="00323BCB"/>
    <w:rsid w:val="0032442F"/>
    <w:rsid w:val="00325D64"/>
    <w:rsid w:val="0032693C"/>
    <w:rsid w:val="00340E11"/>
    <w:rsid w:val="00342DF0"/>
    <w:rsid w:val="00343B33"/>
    <w:rsid w:val="00351FEF"/>
    <w:rsid w:val="0035397C"/>
    <w:rsid w:val="00354A5F"/>
    <w:rsid w:val="00360806"/>
    <w:rsid w:val="003624ED"/>
    <w:rsid w:val="00367E29"/>
    <w:rsid w:val="00370D5B"/>
    <w:rsid w:val="0037285F"/>
    <w:rsid w:val="003807A2"/>
    <w:rsid w:val="003834CA"/>
    <w:rsid w:val="003856F8"/>
    <w:rsid w:val="00392AA2"/>
    <w:rsid w:val="00393FCD"/>
    <w:rsid w:val="00394351"/>
    <w:rsid w:val="0039687D"/>
    <w:rsid w:val="0039794B"/>
    <w:rsid w:val="003A70EF"/>
    <w:rsid w:val="003A7960"/>
    <w:rsid w:val="003B36F7"/>
    <w:rsid w:val="003C216A"/>
    <w:rsid w:val="003E076C"/>
    <w:rsid w:val="003E7D1C"/>
    <w:rsid w:val="003F1B00"/>
    <w:rsid w:val="003F1B82"/>
    <w:rsid w:val="003F609A"/>
    <w:rsid w:val="003F7D01"/>
    <w:rsid w:val="00406CDC"/>
    <w:rsid w:val="00412DC6"/>
    <w:rsid w:val="00426A5A"/>
    <w:rsid w:val="0043160E"/>
    <w:rsid w:val="00450CB6"/>
    <w:rsid w:val="004523F4"/>
    <w:rsid w:val="00463CA8"/>
    <w:rsid w:val="00464D00"/>
    <w:rsid w:val="00471B90"/>
    <w:rsid w:val="00472EFF"/>
    <w:rsid w:val="004734FA"/>
    <w:rsid w:val="0047404F"/>
    <w:rsid w:val="00475BCE"/>
    <w:rsid w:val="00485D38"/>
    <w:rsid w:val="004934A8"/>
    <w:rsid w:val="004939A5"/>
    <w:rsid w:val="004A1794"/>
    <w:rsid w:val="004A4811"/>
    <w:rsid w:val="004A5F89"/>
    <w:rsid w:val="004B046B"/>
    <w:rsid w:val="004C01D2"/>
    <w:rsid w:val="004C1F32"/>
    <w:rsid w:val="004C7A36"/>
    <w:rsid w:val="004D46E0"/>
    <w:rsid w:val="004F04C5"/>
    <w:rsid w:val="004F0ED1"/>
    <w:rsid w:val="004F4145"/>
    <w:rsid w:val="00501A45"/>
    <w:rsid w:val="005075E1"/>
    <w:rsid w:val="00511282"/>
    <w:rsid w:val="005117CF"/>
    <w:rsid w:val="005216D6"/>
    <w:rsid w:val="005349C8"/>
    <w:rsid w:val="00545B8E"/>
    <w:rsid w:val="00553935"/>
    <w:rsid w:val="0056158D"/>
    <w:rsid w:val="00576F1B"/>
    <w:rsid w:val="005879AC"/>
    <w:rsid w:val="005979B0"/>
    <w:rsid w:val="005A69AC"/>
    <w:rsid w:val="005B0481"/>
    <w:rsid w:val="005B4C39"/>
    <w:rsid w:val="005B6E11"/>
    <w:rsid w:val="005C35A4"/>
    <w:rsid w:val="005C4D50"/>
    <w:rsid w:val="005C5C6B"/>
    <w:rsid w:val="005D11A2"/>
    <w:rsid w:val="005D352B"/>
    <w:rsid w:val="005D772D"/>
    <w:rsid w:val="005E0591"/>
    <w:rsid w:val="005E07FE"/>
    <w:rsid w:val="005E77DD"/>
    <w:rsid w:val="005F1F8A"/>
    <w:rsid w:val="005F38E0"/>
    <w:rsid w:val="00601C3B"/>
    <w:rsid w:val="0060662D"/>
    <w:rsid w:val="006125B7"/>
    <w:rsid w:val="006225E9"/>
    <w:rsid w:val="00630D86"/>
    <w:rsid w:val="00634992"/>
    <w:rsid w:val="0063554D"/>
    <w:rsid w:val="00650A44"/>
    <w:rsid w:val="006546FF"/>
    <w:rsid w:val="006550FD"/>
    <w:rsid w:val="006561C4"/>
    <w:rsid w:val="006578F8"/>
    <w:rsid w:val="006604B5"/>
    <w:rsid w:val="0066243E"/>
    <w:rsid w:val="006659F5"/>
    <w:rsid w:val="0069057C"/>
    <w:rsid w:val="00690FCD"/>
    <w:rsid w:val="00691C29"/>
    <w:rsid w:val="00692FC5"/>
    <w:rsid w:val="00693358"/>
    <w:rsid w:val="00695082"/>
    <w:rsid w:val="00695807"/>
    <w:rsid w:val="006A6276"/>
    <w:rsid w:val="006A6B6B"/>
    <w:rsid w:val="006A72DB"/>
    <w:rsid w:val="006B4DAB"/>
    <w:rsid w:val="006B7A95"/>
    <w:rsid w:val="006C35A0"/>
    <w:rsid w:val="006C68C5"/>
    <w:rsid w:val="006D0119"/>
    <w:rsid w:val="006D268A"/>
    <w:rsid w:val="006E1551"/>
    <w:rsid w:val="006F3EFE"/>
    <w:rsid w:val="00706907"/>
    <w:rsid w:val="00712664"/>
    <w:rsid w:val="007175F9"/>
    <w:rsid w:val="00722B60"/>
    <w:rsid w:val="007419C6"/>
    <w:rsid w:val="00743E9E"/>
    <w:rsid w:val="00746080"/>
    <w:rsid w:val="007703FE"/>
    <w:rsid w:val="00772E59"/>
    <w:rsid w:val="00776FED"/>
    <w:rsid w:val="007770CD"/>
    <w:rsid w:val="007829E5"/>
    <w:rsid w:val="00794B4A"/>
    <w:rsid w:val="007A64A9"/>
    <w:rsid w:val="007B22BF"/>
    <w:rsid w:val="007C5A54"/>
    <w:rsid w:val="007D3C19"/>
    <w:rsid w:val="007D4CA5"/>
    <w:rsid w:val="007D51C9"/>
    <w:rsid w:val="007F40FF"/>
    <w:rsid w:val="007F79F3"/>
    <w:rsid w:val="00801BB6"/>
    <w:rsid w:val="00806D93"/>
    <w:rsid w:val="00807B44"/>
    <w:rsid w:val="0081129A"/>
    <w:rsid w:val="0081325A"/>
    <w:rsid w:val="00831DBE"/>
    <w:rsid w:val="00832A00"/>
    <w:rsid w:val="00834E7C"/>
    <w:rsid w:val="00850053"/>
    <w:rsid w:val="00851418"/>
    <w:rsid w:val="008539D9"/>
    <w:rsid w:val="00856394"/>
    <w:rsid w:val="00862462"/>
    <w:rsid w:val="00866E79"/>
    <w:rsid w:val="0087639C"/>
    <w:rsid w:val="0087688C"/>
    <w:rsid w:val="008A0688"/>
    <w:rsid w:val="008A57B0"/>
    <w:rsid w:val="008A5D3A"/>
    <w:rsid w:val="008B6D75"/>
    <w:rsid w:val="008B6F1C"/>
    <w:rsid w:val="008C5FAC"/>
    <w:rsid w:val="008C74E3"/>
    <w:rsid w:val="008D2187"/>
    <w:rsid w:val="008F0FAA"/>
    <w:rsid w:val="008F688C"/>
    <w:rsid w:val="008F73E8"/>
    <w:rsid w:val="00900330"/>
    <w:rsid w:val="0090088A"/>
    <w:rsid w:val="00906622"/>
    <w:rsid w:val="009071CF"/>
    <w:rsid w:val="009138FC"/>
    <w:rsid w:val="009214EC"/>
    <w:rsid w:val="00923824"/>
    <w:rsid w:val="009363EA"/>
    <w:rsid w:val="00937121"/>
    <w:rsid w:val="00953C66"/>
    <w:rsid w:val="009643D1"/>
    <w:rsid w:val="009677A0"/>
    <w:rsid w:val="009807D8"/>
    <w:rsid w:val="00983A06"/>
    <w:rsid w:val="00985D4D"/>
    <w:rsid w:val="0098730F"/>
    <w:rsid w:val="00993F61"/>
    <w:rsid w:val="009B02A8"/>
    <w:rsid w:val="009B7CDD"/>
    <w:rsid w:val="009C17CC"/>
    <w:rsid w:val="009C79A3"/>
    <w:rsid w:val="009D30CF"/>
    <w:rsid w:val="009E0910"/>
    <w:rsid w:val="009E1E72"/>
    <w:rsid w:val="009E4F0A"/>
    <w:rsid w:val="00A102CC"/>
    <w:rsid w:val="00A14832"/>
    <w:rsid w:val="00A16652"/>
    <w:rsid w:val="00A207D8"/>
    <w:rsid w:val="00A22D57"/>
    <w:rsid w:val="00A30E40"/>
    <w:rsid w:val="00A36FB3"/>
    <w:rsid w:val="00A52E2A"/>
    <w:rsid w:val="00A532E2"/>
    <w:rsid w:val="00A56010"/>
    <w:rsid w:val="00A56508"/>
    <w:rsid w:val="00A668A7"/>
    <w:rsid w:val="00A704BA"/>
    <w:rsid w:val="00A713D4"/>
    <w:rsid w:val="00A71C61"/>
    <w:rsid w:val="00A71F2C"/>
    <w:rsid w:val="00A81A28"/>
    <w:rsid w:val="00A82A42"/>
    <w:rsid w:val="00A83349"/>
    <w:rsid w:val="00A84F9A"/>
    <w:rsid w:val="00A92BB5"/>
    <w:rsid w:val="00A9717E"/>
    <w:rsid w:val="00AA06D9"/>
    <w:rsid w:val="00AB0B9E"/>
    <w:rsid w:val="00AD340F"/>
    <w:rsid w:val="00AF12C9"/>
    <w:rsid w:val="00AF288A"/>
    <w:rsid w:val="00AF2B0D"/>
    <w:rsid w:val="00B076A5"/>
    <w:rsid w:val="00B20109"/>
    <w:rsid w:val="00B247C1"/>
    <w:rsid w:val="00B25576"/>
    <w:rsid w:val="00B314F3"/>
    <w:rsid w:val="00B34F02"/>
    <w:rsid w:val="00B41852"/>
    <w:rsid w:val="00B54866"/>
    <w:rsid w:val="00B56997"/>
    <w:rsid w:val="00B611D3"/>
    <w:rsid w:val="00B72A7C"/>
    <w:rsid w:val="00B76EA7"/>
    <w:rsid w:val="00B87A17"/>
    <w:rsid w:val="00B97F5F"/>
    <w:rsid w:val="00B97FB4"/>
    <w:rsid w:val="00BA12EA"/>
    <w:rsid w:val="00BC1A68"/>
    <w:rsid w:val="00BD4512"/>
    <w:rsid w:val="00BD52F2"/>
    <w:rsid w:val="00BD754D"/>
    <w:rsid w:val="00BE1A92"/>
    <w:rsid w:val="00BE6E10"/>
    <w:rsid w:val="00BF7CFF"/>
    <w:rsid w:val="00C03F60"/>
    <w:rsid w:val="00C0444C"/>
    <w:rsid w:val="00C175A8"/>
    <w:rsid w:val="00C23F96"/>
    <w:rsid w:val="00C27332"/>
    <w:rsid w:val="00C27FC0"/>
    <w:rsid w:val="00C6280A"/>
    <w:rsid w:val="00C63C8D"/>
    <w:rsid w:val="00C7140B"/>
    <w:rsid w:val="00C744C2"/>
    <w:rsid w:val="00C818E2"/>
    <w:rsid w:val="00CA0B82"/>
    <w:rsid w:val="00CA234C"/>
    <w:rsid w:val="00CA344E"/>
    <w:rsid w:val="00CA6CFD"/>
    <w:rsid w:val="00CB168B"/>
    <w:rsid w:val="00CC447E"/>
    <w:rsid w:val="00CC6D11"/>
    <w:rsid w:val="00CF0F7C"/>
    <w:rsid w:val="00CF4456"/>
    <w:rsid w:val="00D021B2"/>
    <w:rsid w:val="00D02D7F"/>
    <w:rsid w:val="00D0773D"/>
    <w:rsid w:val="00D215CA"/>
    <w:rsid w:val="00D21A42"/>
    <w:rsid w:val="00D2658F"/>
    <w:rsid w:val="00D348BB"/>
    <w:rsid w:val="00D352AB"/>
    <w:rsid w:val="00D36BBE"/>
    <w:rsid w:val="00D47CBB"/>
    <w:rsid w:val="00D5062F"/>
    <w:rsid w:val="00D5227A"/>
    <w:rsid w:val="00D52B64"/>
    <w:rsid w:val="00D56A27"/>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30CD"/>
    <w:rsid w:val="00DC2E85"/>
    <w:rsid w:val="00DC2F15"/>
    <w:rsid w:val="00DC3F8F"/>
    <w:rsid w:val="00DD09DC"/>
    <w:rsid w:val="00DE1A3A"/>
    <w:rsid w:val="00DE6348"/>
    <w:rsid w:val="00DF6932"/>
    <w:rsid w:val="00DF69EE"/>
    <w:rsid w:val="00E02478"/>
    <w:rsid w:val="00E2026C"/>
    <w:rsid w:val="00E20A78"/>
    <w:rsid w:val="00E23ECF"/>
    <w:rsid w:val="00E261A1"/>
    <w:rsid w:val="00E26699"/>
    <w:rsid w:val="00E2683A"/>
    <w:rsid w:val="00E31459"/>
    <w:rsid w:val="00E452BA"/>
    <w:rsid w:val="00E45775"/>
    <w:rsid w:val="00E6089B"/>
    <w:rsid w:val="00E63408"/>
    <w:rsid w:val="00E6651E"/>
    <w:rsid w:val="00E74B81"/>
    <w:rsid w:val="00E7523D"/>
    <w:rsid w:val="00E75D9D"/>
    <w:rsid w:val="00E8086C"/>
    <w:rsid w:val="00E857B8"/>
    <w:rsid w:val="00E875F8"/>
    <w:rsid w:val="00E909A7"/>
    <w:rsid w:val="00E9387D"/>
    <w:rsid w:val="00E96915"/>
    <w:rsid w:val="00E96ADE"/>
    <w:rsid w:val="00EA0919"/>
    <w:rsid w:val="00EA2CF7"/>
    <w:rsid w:val="00EA6750"/>
    <w:rsid w:val="00EB17A4"/>
    <w:rsid w:val="00EB68C4"/>
    <w:rsid w:val="00EC0C97"/>
    <w:rsid w:val="00EC26AE"/>
    <w:rsid w:val="00ED3CE0"/>
    <w:rsid w:val="00ED3F0B"/>
    <w:rsid w:val="00EE450C"/>
    <w:rsid w:val="00EF616E"/>
    <w:rsid w:val="00F167EE"/>
    <w:rsid w:val="00F213C1"/>
    <w:rsid w:val="00F2171F"/>
    <w:rsid w:val="00F252C6"/>
    <w:rsid w:val="00F27A5F"/>
    <w:rsid w:val="00F34EDA"/>
    <w:rsid w:val="00F35FE2"/>
    <w:rsid w:val="00F4428A"/>
    <w:rsid w:val="00F45C35"/>
    <w:rsid w:val="00F517EA"/>
    <w:rsid w:val="00F66E08"/>
    <w:rsid w:val="00F72F89"/>
    <w:rsid w:val="00F856E1"/>
    <w:rsid w:val="00F86479"/>
    <w:rsid w:val="00F90717"/>
    <w:rsid w:val="00F91432"/>
    <w:rsid w:val="00F92F12"/>
    <w:rsid w:val="00F96ACE"/>
    <w:rsid w:val="00FA3786"/>
    <w:rsid w:val="00FA66B4"/>
    <w:rsid w:val="00FB3A11"/>
    <w:rsid w:val="00FB5A5C"/>
    <w:rsid w:val="00FB5B17"/>
    <w:rsid w:val="00FC4EC6"/>
    <w:rsid w:val="00FC76AA"/>
    <w:rsid w:val="00FD5EDC"/>
    <w:rsid w:val="00FD6EAD"/>
    <w:rsid w:val="00FE794E"/>
    <w:rsid w:val="00FF13C1"/>
    <w:rsid w:val="00FF68CC"/>
    <w:rsid w:val="00FF6EA0"/>
    <w:rsid w:val="00FF7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54806"/>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5082"/>
    <w:pPr>
      <w:spacing w:after="0" w:line="240" w:lineRule="auto"/>
    </w:pPr>
    <w:rPr>
      <w:lang w:val="en-US"/>
    </w:rPr>
  </w:style>
  <w:style w:type="paragraph" w:customStyle="1" w:styleId="m-4398586396043785001msonormal">
    <w:name w:val="m_-4398586396043785001msonormal"/>
    <w:basedOn w:val="Normal"/>
    <w:rsid w:val="0081325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437916712">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739180740">
      <w:bodyDiv w:val="1"/>
      <w:marLeft w:val="0"/>
      <w:marRight w:val="0"/>
      <w:marTop w:val="0"/>
      <w:marBottom w:val="0"/>
      <w:divBdr>
        <w:top w:val="none" w:sz="0" w:space="0" w:color="auto"/>
        <w:left w:val="none" w:sz="0" w:space="0" w:color="auto"/>
        <w:bottom w:val="none" w:sz="0" w:space="0" w:color="auto"/>
        <w:right w:val="none" w:sz="0" w:space="0" w:color="auto"/>
      </w:divBdr>
    </w:div>
    <w:div w:id="1091468463">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file:///C:\Users\manue\AppData\Local\Packages\Microsoft.Office.Desktop_8wekyb3d8bbwe\AC\INetCache\Content.MSO\288CE5CE.t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F1BC-F5DA-42BC-AAC0-19B878F6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1850</Words>
  <Characters>10551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Christiane Wong</cp:lastModifiedBy>
  <cp:revision>2</cp:revision>
  <cp:lastPrinted>2019-10-01T11:39:00Z</cp:lastPrinted>
  <dcterms:created xsi:type="dcterms:W3CDTF">2019-10-01T11:40:00Z</dcterms:created>
  <dcterms:modified xsi:type="dcterms:W3CDTF">2019-10-01T11:40:00Z</dcterms:modified>
</cp:coreProperties>
</file>