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B6" w:rsidRPr="001E17B6" w:rsidRDefault="001E17B6" w:rsidP="001E17B6">
      <w:pPr>
        <w:pStyle w:val="ListParagraph"/>
        <w:spacing w:after="0" w:line="276" w:lineRule="auto"/>
        <w:rPr>
          <w:rFonts w:ascii="Arial" w:eastAsia="Times New Roman" w:hAnsi="Arial" w:cs="Arial"/>
          <w:sz w:val="24"/>
          <w:szCs w:val="24"/>
        </w:rPr>
      </w:pPr>
      <w:r w:rsidRPr="001E17B6">
        <w:rPr>
          <w:rFonts w:ascii="Arial" w:eastAsia="Times New Roman" w:hAnsi="Arial" w:cs="Arial"/>
          <w:sz w:val="24"/>
          <w:szCs w:val="24"/>
        </w:rPr>
        <w:t xml:space="preserve">Appendix A </w:t>
      </w:r>
    </w:p>
    <w:p w:rsidR="001E17B6" w:rsidRPr="001E17B6" w:rsidRDefault="001E17B6" w:rsidP="001E17B6">
      <w:pPr>
        <w:pStyle w:val="ListParagraph"/>
        <w:spacing w:after="0" w:line="276" w:lineRule="auto"/>
        <w:rPr>
          <w:rFonts w:ascii="Arial" w:eastAsia="Times New Roman" w:hAnsi="Arial" w:cs="Arial"/>
          <w:sz w:val="24"/>
          <w:szCs w:val="24"/>
        </w:rPr>
      </w:pPr>
      <w:r w:rsidRPr="001E17B6">
        <w:rPr>
          <w:rFonts w:ascii="Arial" w:eastAsia="Times New Roman" w:hAnsi="Arial" w:cs="Arial"/>
          <w:sz w:val="24"/>
          <w:szCs w:val="24"/>
        </w:rPr>
        <w:t xml:space="preserve">GA Methodology Description  </w:t>
      </w:r>
    </w:p>
    <w:p w:rsidR="001E17B6" w:rsidRPr="001E17B6" w:rsidRDefault="001E17B6" w:rsidP="001E17B6">
      <w:pPr>
        <w:pStyle w:val="ListParagraph"/>
        <w:spacing w:after="0" w:line="276" w:lineRule="auto"/>
        <w:rPr>
          <w:rFonts w:ascii="Arial" w:eastAsia="Times New Roman" w:hAnsi="Arial" w:cs="Arial"/>
          <w:sz w:val="24"/>
          <w:szCs w:val="24"/>
        </w:rPr>
      </w:pPr>
      <w:r w:rsidRPr="001E17B6">
        <w:rPr>
          <w:rFonts w:ascii="Arial" w:eastAsia="Times New Roman" w:hAnsi="Arial" w:cs="Arial"/>
          <w:sz w:val="24"/>
          <w:szCs w:val="24"/>
        </w:rPr>
        <w:t xml:space="preserve">Questions on Accounts 1588 &amp; 1589 </w:t>
      </w:r>
    </w:p>
    <w:p w:rsidR="001E17B6" w:rsidRPr="001E17B6" w:rsidRDefault="001E17B6" w:rsidP="001E17B6">
      <w:pPr>
        <w:pStyle w:val="ListParagraph"/>
        <w:spacing w:after="0" w:line="276" w:lineRule="auto"/>
        <w:rPr>
          <w:rFonts w:ascii="Arial" w:eastAsia="Times New Roman" w:hAnsi="Arial" w:cs="Arial"/>
          <w:sz w:val="24"/>
          <w:szCs w:val="24"/>
        </w:rPr>
      </w:pPr>
    </w:p>
    <w:p w:rsidR="001E17B6" w:rsidRDefault="001E17B6" w:rsidP="00512E3A">
      <w:pPr>
        <w:pStyle w:val="ListParagraph"/>
        <w:numPr>
          <w:ilvl w:val="0"/>
          <w:numId w:val="39"/>
        </w:numPr>
        <w:spacing w:after="0" w:line="276" w:lineRule="auto"/>
        <w:rPr>
          <w:rFonts w:ascii="Arial" w:eastAsia="Times New Roman" w:hAnsi="Arial" w:cs="Arial"/>
          <w:sz w:val="24"/>
          <w:szCs w:val="24"/>
        </w:rPr>
      </w:pPr>
      <w:r w:rsidRPr="001E17B6">
        <w:rPr>
          <w:rFonts w:ascii="Arial" w:eastAsia="Times New Roman" w:hAnsi="Arial" w:cs="Arial"/>
          <w:sz w:val="24"/>
          <w:szCs w:val="24"/>
        </w:rPr>
        <w:t>Please complete the Table below for principal adjustments on the DVA Continuity Schedule for Account 1588:</w:t>
      </w:r>
    </w:p>
    <w:p w:rsidR="00512E3A" w:rsidRDefault="00512E3A" w:rsidP="00512E3A">
      <w:pPr>
        <w:pStyle w:val="ListParagraph"/>
        <w:spacing w:after="0" w:line="276" w:lineRule="auto"/>
        <w:ind w:left="1440"/>
        <w:rPr>
          <w:rFonts w:ascii="Arial" w:eastAsia="Times New Roman" w:hAnsi="Arial" w:cs="Arial"/>
          <w:sz w:val="24"/>
          <w:szCs w:val="24"/>
        </w:rPr>
      </w:pPr>
    </w:p>
    <w:p w:rsidR="00512E3A" w:rsidRPr="001E17B6" w:rsidRDefault="00512E3A" w:rsidP="00512E3A">
      <w:pPr>
        <w:pStyle w:val="ListParagraph"/>
        <w:spacing w:after="0" w:line="276" w:lineRule="auto"/>
        <w:ind w:left="1440"/>
        <w:jc w:val="center"/>
        <w:rPr>
          <w:rFonts w:ascii="Arial" w:eastAsia="Times New Roman" w:hAnsi="Arial" w:cs="Arial"/>
          <w:sz w:val="24"/>
          <w:szCs w:val="24"/>
        </w:rPr>
      </w:pPr>
      <w:r w:rsidRPr="00512E3A">
        <w:rPr>
          <w:noProof/>
        </w:rPr>
        <w:drawing>
          <wp:inline distT="0" distB="0" distL="0" distR="0">
            <wp:extent cx="5218981" cy="467043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0538" cy="4671827"/>
                    </a:xfrm>
                    <a:prstGeom prst="rect">
                      <a:avLst/>
                    </a:prstGeom>
                    <a:noFill/>
                    <a:ln>
                      <a:noFill/>
                    </a:ln>
                  </pic:spPr>
                </pic:pic>
              </a:graphicData>
            </a:graphic>
          </wp:inline>
        </w:drawing>
      </w:r>
    </w:p>
    <w:p w:rsidR="001E17B6" w:rsidRPr="001E17B6" w:rsidRDefault="001E17B6" w:rsidP="001E17B6">
      <w:pPr>
        <w:pStyle w:val="ListParagraph"/>
        <w:spacing w:after="0" w:line="276" w:lineRule="auto"/>
        <w:rPr>
          <w:rFonts w:ascii="Arial" w:eastAsia="Times New Roman" w:hAnsi="Arial" w:cs="Arial"/>
          <w:sz w:val="24"/>
          <w:szCs w:val="24"/>
        </w:rPr>
      </w:pPr>
    </w:p>
    <w:p w:rsidR="001E17B6" w:rsidRDefault="001E17B6" w:rsidP="00512E3A">
      <w:pPr>
        <w:pStyle w:val="ListParagraph"/>
        <w:spacing w:after="0" w:line="276" w:lineRule="auto"/>
        <w:rPr>
          <w:rFonts w:ascii="Arial" w:eastAsia="Times New Roman" w:hAnsi="Arial" w:cs="Arial"/>
          <w:sz w:val="24"/>
          <w:szCs w:val="24"/>
        </w:rPr>
      </w:pPr>
    </w:p>
    <w:p w:rsidR="001E17B6" w:rsidRDefault="001E17B6" w:rsidP="001E17B6">
      <w:pPr>
        <w:pStyle w:val="ListParagraph"/>
        <w:spacing w:after="0" w:line="276" w:lineRule="auto"/>
        <w:rPr>
          <w:rFonts w:ascii="Arial" w:eastAsia="Times New Roman" w:hAnsi="Arial" w:cs="Arial"/>
          <w:sz w:val="24"/>
          <w:szCs w:val="24"/>
        </w:rPr>
      </w:pPr>
    </w:p>
    <w:p w:rsidR="001E17B6" w:rsidRDefault="001E17B6" w:rsidP="001E17B6">
      <w:pPr>
        <w:pStyle w:val="ListParagraph"/>
        <w:spacing w:after="0" w:line="276" w:lineRule="auto"/>
        <w:rPr>
          <w:rFonts w:ascii="Arial" w:eastAsia="Times New Roman" w:hAnsi="Arial" w:cs="Arial"/>
          <w:sz w:val="24"/>
          <w:szCs w:val="24"/>
        </w:rPr>
      </w:pPr>
    </w:p>
    <w:p w:rsidR="001E17B6" w:rsidRDefault="001E17B6" w:rsidP="001E17B6">
      <w:pPr>
        <w:pStyle w:val="ListParagraph"/>
        <w:spacing w:after="0" w:line="276" w:lineRule="auto"/>
        <w:rPr>
          <w:rFonts w:ascii="Arial" w:eastAsia="Times New Roman" w:hAnsi="Arial" w:cs="Arial"/>
          <w:sz w:val="24"/>
          <w:szCs w:val="24"/>
        </w:rPr>
      </w:pPr>
    </w:p>
    <w:p w:rsidR="008C34CF" w:rsidRDefault="008C34CF" w:rsidP="001E17B6">
      <w:pPr>
        <w:pStyle w:val="ListParagraph"/>
        <w:spacing w:after="0" w:line="276" w:lineRule="auto"/>
        <w:rPr>
          <w:rFonts w:ascii="Arial" w:eastAsia="Times New Roman" w:hAnsi="Arial" w:cs="Arial"/>
          <w:sz w:val="24"/>
          <w:szCs w:val="24"/>
        </w:rPr>
      </w:pPr>
    </w:p>
    <w:p w:rsidR="0033205D" w:rsidRDefault="001E17B6" w:rsidP="001E17B6">
      <w:pPr>
        <w:pStyle w:val="ListParagraph"/>
        <w:spacing w:after="0" w:line="276" w:lineRule="auto"/>
        <w:rPr>
          <w:rFonts w:ascii="Arial" w:eastAsia="Times New Roman" w:hAnsi="Arial" w:cs="Arial"/>
          <w:sz w:val="24"/>
          <w:szCs w:val="24"/>
        </w:rPr>
      </w:pPr>
      <w:r w:rsidRPr="001E17B6">
        <w:rPr>
          <w:rFonts w:ascii="Arial" w:eastAsia="Times New Roman" w:hAnsi="Arial" w:cs="Arial"/>
          <w:sz w:val="24"/>
          <w:szCs w:val="24"/>
        </w:rPr>
        <w:tab/>
      </w:r>
    </w:p>
    <w:p w:rsidR="008C34CF" w:rsidRDefault="008C34CF" w:rsidP="001E17B6">
      <w:pPr>
        <w:pStyle w:val="ListParagraph"/>
        <w:spacing w:after="0" w:line="276" w:lineRule="auto"/>
        <w:rPr>
          <w:rFonts w:ascii="Arial" w:eastAsia="Times New Roman" w:hAnsi="Arial" w:cs="Arial"/>
          <w:sz w:val="24"/>
          <w:szCs w:val="24"/>
        </w:rPr>
      </w:pPr>
    </w:p>
    <w:p w:rsidR="001B699F" w:rsidRPr="00512E3A" w:rsidRDefault="00512E3A" w:rsidP="008C34CF">
      <w:pPr>
        <w:pStyle w:val="ListParagraph"/>
        <w:numPr>
          <w:ilvl w:val="0"/>
          <w:numId w:val="40"/>
        </w:numPr>
        <w:spacing w:after="0" w:line="276" w:lineRule="auto"/>
        <w:ind w:left="720" w:hanging="450"/>
        <w:rPr>
          <w:rFonts w:ascii="Arial" w:eastAsia="Times New Roman" w:hAnsi="Arial" w:cs="Arial"/>
          <w:sz w:val="24"/>
          <w:szCs w:val="24"/>
        </w:rPr>
      </w:pPr>
      <w:r>
        <w:rPr>
          <w:rFonts w:ascii="Arial" w:eastAsia="Times New Roman" w:hAnsi="Arial" w:cs="Arial"/>
          <w:sz w:val="24"/>
          <w:szCs w:val="24"/>
        </w:rPr>
        <w:lastRenderedPageBreak/>
        <w:t xml:space="preserve"> </w:t>
      </w:r>
      <w:r w:rsidR="001B699F" w:rsidRPr="00512E3A">
        <w:rPr>
          <w:rFonts w:ascii="Arial" w:eastAsia="Times New Roman" w:hAnsi="Arial" w:cs="Arial"/>
          <w:sz w:val="24"/>
          <w:szCs w:val="24"/>
        </w:rPr>
        <w:t>In booking expense journal entries for Charge Type (CT) 1142 and CT 148 from the IESO invoice, please confirm which of the following approaches is used:</w:t>
      </w:r>
    </w:p>
    <w:p w:rsidR="005930BC" w:rsidRDefault="00673822" w:rsidP="00BE05F6">
      <w:pPr>
        <w:pStyle w:val="ListParagraph"/>
        <w:numPr>
          <w:ilvl w:val="0"/>
          <w:numId w:val="16"/>
        </w:numPr>
        <w:spacing w:after="0" w:line="276" w:lineRule="auto"/>
      </w:pPr>
      <w:r>
        <w:rPr>
          <w:rFonts w:ascii="Arial" w:eastAsia="Times New Roman" w:hAnsi="Arial" w:cs="Arial"/>
          <w:sz w:val="24"/>
          <w:szCs w:val="24"/>
        </w:rPr>
        <w:t>CT 1142 is booked into Account 1588. CT 148 is pro-rated based on RPP/non-RPP consumption and then booked into Account 1588 and 1589 respectively.</w:t>
      </w:r>
    </w:p>
    <w:p w:rsidR="005930BC" w:rsidRDefault="005930BC" w:rsidP="0008407E">
      <w:pPr>
        <w:pStyle w:val="ListParagraph"/>
        <w:numPr>
          <w:ilvl w:val="0"/>
          <w:numId w:val="16"/>
        </w:numPr>
        <w:spacing w:after="0" w:line="276" w:lineRule="auto"/>
        <w:rPr>
          <w:rFonts w:ascii="Arial" w:eastAsia="Times New Roman" w:hAnsi="Arial" w:cs="Arial"/>
          <w:sz w:val="24"/>
          <w:szCs w:val="24"/>
        </w:rPr>
      </w:pPr>
      <w:r w:rsidRPr="005930BC">
        <w:rPr>
          <w:rFonts w:ascii="Arial" w:eastAsia="Times New Roman" w:hAnsi="Arial" w:cs="Arial"/>
          <w:sz w:val="24"/>
          <w:szCs w:val="24"/>
        </w:rPr>
        <w:t xml:space="preserve">CT </w:t>
      </w:r>
      <w:r w:rsidR="005705A7">
        <w:rPr>
          <w:rFonts w:ascii="Arial" w:eastAsia="Times New Roman" w:hAnsi="Arial" w:cs="Arial"/>
          <w:sz w:val="24"/>
          <w:szCs w:val="24"/>
        </w:rPr>
        <w:t>148 is booked into Account 1589. The portion of CT 1142 equaling RPP minus HOEP for RPP consumption is booked into Account 1588. The portion of CT 1142 equaling GA RPP is credited into Account 1589.</w:t>
      </w:r>
    </w:p>
    <w:p w:rsidR="00EF651D" w:rsidRDefault="005705A7" w:rsidP="005705A7">
      <w:pPr>
        <w:pStyle w:val="ListParagraph"/>
        <w:numPr>
          <w:ilvl w:val="0"/>
          <w:numId w:val="16"/>
        </w:numPr>
        <w:spacing w:after="0" w:line="276" w:lineRule="auto"/>
        <w:rPr>
          <w:rFonts w:ascii="Arial" w:eastAsia="Times New Roman" w:hAnsi="Arial" w:cs="Arial"/>
          <w:sz w:val="24"/>
          <w:szCs w:val="24"/>
        </w:rPr>
      </w:pPr>
      <w:r>
        <w:rPr>
          <w:rFonts w:ascii="Arial" w:eastAsia="Times New Roman" w:hAnsi="Arial" w:cs="Arial"/>
          <w:sz w:val="24"/>
          <w:szCs w:val="24"/>
        </w:rPr>
        <w:t>If another approach is used, please explain in detail.</w:t>
      </w:r>
    </w:p>
    <w:p w:rsidR="004C4A06" w:rsidRDefault="004C4A06" w:rsidP="005705A7">
      <w:pPr>
        <w:pStyle w:val="ListParagraph"/>
        <w:numPr>
          <w:ilvl w:val="0"/>
          <w:numId w:val="16"/>
        </w:numPr>
        <w:spacing w:after="0" w:line="276" w:lineRule="auto"/>
        <w:rPr>
          <w:rFonts w:ascii="Arial" w:eastAsia="Times New Roman" w:hAnsi="Arial" w:cs="Arial"/>
          <w:sz w:val="24"/>
          <w:szCs w:val="24"/>
        </w:rPr>
      </w:pPr>
      <w:r>
        <w:rPr>
          <w:rFonts w:ascii="Arial" w:eastAsia="Times New Roman" w:hAnsi="Arial" w:cs="Arial"/>
          <w:sz w:val="24"/>
          <w:szCs w:val="24"/>
        </w:rPr>
        <w:t>Was the approach described in response to the above questions used consistently for all years for which variances are proposed for disposition? If not, please discuss.</w:t>
      </w:r>
    </w:p>
    <w:p w:rsidR="000C5E51" w:rsidRDefault="000C5E51" w:rsidP="000C5E51">
      <w:pPr>
        <w:spacing w:after="0" w:line="276" w:lineRule="auto"/>
        <w:rPr>
          <w:rFonts w:ascii="Arial" w:eastAsia="Times New Roman" w:hAnsi="Arial" w:cs="Arial"/>
          <w:sz w:val="24"/>
          <w:szCs w:val="24"/>
        </w:rPr>
      </w:pPr>
    </w:p>
    <w:p w:rsidR="000C5E51" w:rsidRPr="000C5E51" w:rsidRDefault="000C5E51" w:rsidP="000C5E51">
      <w:pPr>
        <w:spacing w:after="0" w:line="276" w:lineRule="auto"/>
        <w:rPr>
          <w:rFonts w:ascii="Arial" w:eastAsia="Times New Roman" w:hAnsi="Arial" w:cs="Arial"/>
          <w:b/>
          <w:color w:val="FF0000"/>
          <w:sz w:val="24"/>
          <w:szCs w:val="24"/>
        </w:rPr>
      </w:pPr>
      <w:r w:rsidRPr="000C5E51">
        <w:rPr>
          <w:rFonts w:ascii="Arial" w:eastAsia="Times New Roman" w:hAnsi="Arial" w:cs="Arial"/>
          <w:b/>
          <w:color w:val="FF0000"/>
          <w:sz w:val="24"/>
          <w:szCs w:val="24"/>
        </w:rPr>
        <w:t>Answer: RSL uses approach a.</w:t>
      </w:r>
    </w:p>
    <w:p w:rsidR="00152EE3" w:rsidRDefault="00152EE3" w:rsidP="00152EE3">
      <w:pPr>
        <w:spacing w:after="0" w:line="276" w:lineRule="auto"/>
        <w:ind w:left="720" w:firstLine="360"/>
        <w:rPr>
          <w:rFonts w:ascii="Arial" w:eastAsia="Times New Roman" w:hAnsi="Arial" w:cs="Arial"/>
          <w:sz w:val="24"/>
          <w:szCs w:val="24"/>
          <w:u w:val="single"/>
        </w:rPr>
      </w:pPr>
    </w:p>
    <w:p w:rsidR="00152EE3" w:rsidRPr="00512E3A" w:rsidRDefault="00512E3A" w:rsidP="00F0777E">
      <w:pPr>
        <w:pStyle w:val="ListParagraph"/>
        <w:numPr>
          <w:ilvl w:val="0"/>
          <w:numId w:val="40"/>
        </w:numPr>
        <w:spacing w:after="0" w:line="276" w:lineRule="auto"/>
        <w:ind w:left="630"/>
        <w:rPr>
          <w:rFonts w:ascii="Arial" w:eastAsia="Times New Roman" w:hAnsi="Arial" w:cs="Arial"/>
          <w:sz w:val="24"/>
          <w:szCs w:val="24"/>
          <w:u w:val="single"/>
        </w:rPr>
      </w:pPr>
      <w:r>
        <w:rPr>
          <w:rFonts w:ascii="Arial" w:eastAsia="Times New Roman" w:hAnsi="Arial" w:cs="Arial"/>
          <w:sz w:val="24"/>
          <w:szCs w:val="24"/>
          <w:u w:val="single"/>
        </w:rPr>
        <w:t xml:space="preserve"> </w:t>
      </w:r>
      <w:r w:rsidR="00152EE3" w:rsidRPr="00512E3A">
        <w:rPr>
          <w:rFonts w:ascii="Arial" w:eastAsia="Times New Roman" w:hAnsi="Arial" w:cs="Arial"/>
          <w:sz w:val="24"/>
          <w:szCs w:val="24"/>
          <w:u w:val="single"/>
        </w:rPr>
        <w:t>Questions on CT 1142</w:t>
      </w:r>
    </w:p>
    <w:p w:rsidR="00152EE3" w:rsidRDefault="00152EE3" w:rsidP="00F0777E">
      <w:pPr>
        <w:pStyle w:val="ListParagraph"/>
        <w:numPr>
          <w:ilvl w:val="1"/>
          <w:numId w:val="37"/>
        </w:numPr>
        <w:spacing w:after="0" w:line="276" w:lineRule="auto"/>
        <w:ind w:left="1080" w:hanging="270"/>
        <w:rPr>
          <w:rFonts w:ascii="Arial" w:eastAsia="Times New Roman" w:hAnsi="Arial" w:cs="Arial"/>
          <w:sz w:val="24"/>
          <w:szCs w:val="24"/>
        </w:rPr>
      </w:pPr>
      <w:r>
        <w:rPr>
          <w:rFonts w:ascii="Arial" w:eastAsia="Times New Roman" w:hAnsi="Arial" w:cs="Arial"/>
          <w:sz w:val="24"/>
          <w:szCs w:val="24"/>
        </w:rPr>
        <w:t xml:space="preserve">Please describe how the initial RPP related GA is determined for settlement forms submitted by day </w:t>
      </w:r>
      <w:bookmarkStart w:id="0" w:name="_GoBack"/>
      <w:bookmarkEnd w:id="0"/>
      <w:r>
        <w:rPr>
          <w:rFonts w:ascii="Arial" w:eastAsia="Times New Roman" w:hAnsi="Arial" w:cs="Arial"/>
          <w:sz w:val="24"/>
          <w:szCs w:val="24"/>
        </w:rPr>
        <w:t>4 after the month-end (resulting in CT 1142 on the IESO invoice).</w:t>
      </w:r>
    </w:p>
    <w:p w:rsidR="00152EE3" w:rsidRDefault="00152EE3" w:rsidP="00512E3A">
      <w:pPr>
        <w:pStyle w:val="ListParagraph"/>
        <w:numPr>
          <w:ilvl w:val="1"/>
          <w:numId w:val="37"/>
        </w:numPr>
        <w:spacing w:after="0" w:line="276" w:lineRule="auto"/>
        <w:ind w:left="1080"/>
        <w:rPr>
          <w:rFonts w:ascii="Arial" w:eastAsia="Times New Roman" w:hAnsi="Arial" w:cs="Arial"/>
          <w:sz w:val="24"/>
          <w:szCs w:val="24"/>
        </w:rPr>
      </w:pPr>
      <w:r>
        <w:rPr>
          <w:rFonts w:ascii="Arial" w:eastAsia="Times New Roman" w:hAnsi="Arial" w:cs="Arial"/>
          <w:sz w:val="24"/>
          <w:szCs w:val="24"/>
        </w:rPr>
        <w:t>Please describe the process for truing up CT 1142 to actual RPP kWh, including which data is used for each TOU/Tier 1&amp;2 prices, as well as the timing of the true up.</w:t>
      </w:r>
    </w:p>
    <w:p w:rsidR="00152EE3" w:rsidRDefault="00152EE3" w:rsidP="00512E3A">
      <w:pPr>
        <w:pStyle w:val="ListParagraph"/>
        <w:numPr>
          <w:ilvl w:val="1"/>
          <w:numId w:val="37"/>
        </w:numPr>
        <w:spacing w:after="0" w:line="276" w:lineRule="auto"/>
        <w:ind w:left="1080"/>
        <w:rPr>
          <w:rFonts w:ascii="Arial" w:eastAsia="Times New Roman" w:hAnsi="Arial" w:cs="Arial"/>
          <w:sz w:val="24"/>
          <w:szCs w:val="24"/>
        </w:rPr>
      </w:pPr>
      <w:r>
        <w:rPr>
          <w:rFonts w:ascii="Arial" w:eastAsia="Times New Roman" w:hAnsi="Arial" w:cs="Arial"/>
          <w:sz w:val="24"/>
          <w:szCs w:val="24"/>
        </w:rPr>
        <w:t xml:space="preserve">Has CT 1142 been trued up for with the IESO for all of </w:t>
      </w:r>
      <w:r w:rsidR="004C4A06">
        <w:rPr>
          <w:rFonts w:ascii="Arial" w:eastAsia="Times New Roman" w:hAnsi="Arial" w:cs="Arial"/>
          <w:sz w:val="24"/>
          <w:szCs w:val="24"/>
        </w:rPr>
        <w:t>2018</w:t>
      </w:r>
      <w:r>
        <w:rPr>
          <w:rFonts w:ascii="Arial" w:eastAsia="Times New Roman" w:hAnsi="Arial" w:cs="Arial"/>
          <w:sz w:val="24"/>
          <w:szCs w:val="24"/>
        </w:rPr>
        <w:t xml:space="preserve">? </w:t>
      </w:r>
    </w:p>
    <w:p w:rsidR="00152EE3" w:rsidRDefault="00152EE3" w:rsidP="00512E3A">
      <w:pPr>
        <w:pStyle w:val="ListParagraph"/>
        <w:numPr>
          <w:ilvl w:val="1"/>
          <w:numId w:val="37"/>
        </w:numPr>
        <w:spacing w:after="0" w:line="276" w:lineRule="auto"/>
        <w:ind w:left="1080"/>
        <w:rPr>
          <w:rFonts w:ascii="Arial" w:eastAsia="Times New Roman" w:hAnsi="Arial" w:cs="Arial"/>
          <w:sz w:val="24"/>
          <w:szCs w:val="24"/>
        </w:rPr>
      </w:pPr>
      <w:r>
        <w:rPr>
          <w:rFonts w:ascii="Arial" w:eastAsia="Times New Roman" w:hAnsi="Arial" w:cs="Arial"/>
          <w:sz w:val="24"/>
          <w:szCs w:val="24"/>
        </w:rPr>
        <w:t xml:space="preserve">Which months from </w:t>
      </w:r>
      <w:r w:rsidR="004C4A06">
        <w:rPr>
          <w:rFonts w:ascii="Arial" w:eastAsia="Times New Roman" w:hAnsi="Arial" w:cs="Arial"/>
          <w:sz w:val="24"/>
          <w:szCs w:val="24"/>
        </w:rPr>
        <w:t xml:space="preserve">2018 </w:t>
      </w:r>
      <w:r>
        <w:rPr>
          <w:rFonts w:ascii="Arial" w:eastAsia="Times New Roman" w:hAnsi="Arial" w:cs="Arial"/>
          <w:sz w:val="24"/>
          <w:szCs w:val="24"/>
        </w:rPr>
        <w:t xml:space="preserve">were trued up in </w:t>
      </w:r>
      <w:r w:rsidR="004C4A06">
        <w:rPr>
          <w:rFonts w:ascii="Arial" w:eastAsia="Times New Roman" w:hAnsi="Arial" w:cs="Arial"/>
          <w:sz w:val="24"/>
          <w:szCs w:val="24"/>
        </w:rPr>
        <w:t>2019</w:t>
      </w:r>
      <w:r>
        <w:rPr>
          <w:rFonts w:ascii="Arial" w:eastAsia="Times New Roman" w:hAnsi="Arial" w:cs="Arial"/>
          <w:sz w:val="24"/>
          <w:szCs w:val="24"/>
        </w:rPr>
        <w:t>?</w:t>
      </w:r>
    </w:p>
    <w:p w:rsidR="00663F6F" w:rsidRPr="001A2777" w:rsidRDefault="00663F6F" w:rsidP="00512E3A">
      <w:pPr>
        <w:pStyle w:val="ListParagraph"/>
        <w:numPr>
          <w:ilvl w:val="1"/>
          <w:numId w:val="37"/>
        </w:numPr>
        <w:spacing w:after="0" w:line="276" w:lineRule="auto"/>
        <w:ind w:left="1080"/>
        <w:rPr>
          <w:rFonts w:ascii="Arial" w:eastAsia="Times New Roman" w:hAnsi="Arial" w:cs="Arial"/>
          <w:sz w:val="24"/>
          <w:szCs w:val="24"/>
        </w:rPr>
      </w:pPr>
      <w:r>
        <w:rPr>
          <w:rFonts w:ascii="Arial" w:eastAsia="Times New Roman" w:hAnsi="Arial" w:cs="Arial"/>
          <w:sz w:val="24"/>
          <w:szCs w:val="24"/>
        </w:rPr>
        <w:t xml:space="preserve">Were these true ups recorded in the 2018 or 2019 balance in the </w:t>
      </w:r>
      <w:r w:rsidR="007E47B5">
        <w:rPr>
          <w:rFonts w:ascii="Arial" w:eastAsia="Times New Roman" w:hAnsi="Arial" w:cs="Arial"/>
          <w:sz w:val="24"/>
          <w:szCs w:val="24"/>
        </w:rPr>
        <w:t>General Ledger</w:t>
      </w:r>
      <w:r>
        <w:rPr>
          <w:rFonts w:ascii="Arial" w:eastAsia="Times New Roman" w:hAnsi="Arial" w:cs="Arial"/>
          <w:sz w:val="24"/>
          <w:szCs w:val="24"/>
        </w:rPr>
        <w:t>?</w:t>
      </w:r>
    </w:p>
    <w:p w:rsidR="00152EE3" w:rsidRDefault="00152EE3" w:rsidP="00512E3A">
      <w:pPr>
        <w:pStyle w:val="ListParagraph"/>
        <w:numPr>
          <w:ilvl w:val="1"/>
          <w:numId w:val="37"/>
        </w:numPr>
        <w:spacing w:after="0" w:line="276" w:lineRule="auto"/>
        <w:ind w:left="1080"/>
        <w:rPr>
          <w:rFonts w:ascii="Arial" w:eastAsia="Times New Roman" w:hAnsi="Arial" w:cs="Arial"/>
          <w:sz w:val="24"/>
          <w:szCs w:val="24"/>
        </w:rPr>
      </w:pPr>
      <w:r>
        <w:rPr>
          <w:rFonts w:ascii="Arial" w:eastAsia="Times New Roman" w:hAnsi="Arial" w:cs="Arial"/>
          <w:sz w:val="24"/>
          <w:szCs w:val="24"/>
        </w:rPr>
        <w:t>Ha</w:t>
      </w:r>
      <w:r w:rsidR="00325817">
        <w:rPr>
          <w:rFonts w:ascii="Arial" w:eastAsia="Times New Roman" w:hAnsi="Arial" w:cs="Arial"/>
          <w:sz w:val="24"/>
          <w:szCs w:val="24"/>
        </w:rPr>
        <w:t>ve</w:t>
      </w:r>
      <w:r>
        <w:rPr>
          <w:rFonts w:ascii="Arial" w:eastAsia="Times New Roman" w:hAnsi="Arial" w:cs="Arial"/>
          <w:sz w:val="24"/>
          <w:szCs w:val="24"/>
        </w:rPr>
        <w:t xml:space="preserve"> all of the </w:t>
      </w:r>
      <w:r w:rsidR="004C4A06">
        <w:rPr>
          <w:rFonts w:ascii="Arial" w:eastAsia="Times New Roman" w:hAnsi="Arial" w:cs="Arial"/>
          <w:sz w:val="24"/>
          <w:szCs w:val="24"/>
        </w:rPr>
        <w:t xml:space="preserve">2018 </w:t>
      </w:r>
      <w:r>
        <w:rPr>
          <w:rFonts w:ascii="Arial" w:eastAsia="Times New Roman" w:hAnsi="Arial" w:cs="Arial"/>
          <w:sz w:val="24"/>
          <w:szCs w:val="24"/>
        </w:rPr>
        <w:t>related true-up been reflected in the applicant’s DVA Continuity Schedule in this proceeding?</w:t>
      </w:r>
    </w:p>
    <w:p w:rsidR="000C5E51" w:rsidRDefault="000C5E51" w:rsidP="00512E3A">
      <w:pPr>
        <w:pStyle w:val="ListParagraph"/>
        <w:spacing w:after="0" w:line="276" w:lineRule="auto"/>
        <w:ind w:left="1080"/>
        <w:rPr>
          <w:rFonts w:ascii="Arial" w:eastAsia="Times New Roman" w:hAnsi="Arial" w:cs="Arial"/>
          <w:sz w:val="24"/>
          <w:szCs w:val="24"/>
        </w:rPr>
      </w:pPr>
    </w:p>
    <w:p w:rsidR="000C5E51" w:rsidRPr="000C5E51" w:rsidRDefault="000C5E51" w:rsidP="000C5E51">
      <w:pPr>
        <w:spacing w:after="0" w:line="276" w:lineRule="auto"/>
        <w:rPr>
          <w:rFonts w:ascii="Arial" w:eastAsia="Times New Roman" w:hAnsi="Arial" w:cs="Arial"/>
          <w:b/>
          <w:color w:val="FF0000"/>
          <w:sz w:val="24"/>
          <w:szCs w:val="24"/>
        </w:rPr>
      </w:pPr>
      <w:r w:rsidRPr="000C5E51">
        <w:rPr>
          <w:rFonts w:ascii="Arial" w:eastAsia="Times New Roman" w:hAnsi="Arial" w:cs="Arial"/>
          <w:b/>
          <w:color w:val="FF0000"/>
          <w:sz w:val="24"/>
          <w:szCs w:val="24"/>
        </w:rPr>
        <w:t>Answer:</w:t>
      </w:r>
    </w:p>
    <w:p w:rsidR="000C5E51" w:rsidRPr="000C5E51" w:rsidRDefault="000C5E51" w:rsidP="000C5E51">
      <w:pPr>
        <w:spacing w:after="0" w:line="276" w:lineRule="auto"/>
        <w:rPr>
          <w:rFonts w:ascii="Arial" w:eastAsia="Times New Roman" w:hAnsi="Arial" w:cs="Arial"/>
          <w:b/>
          <w:color w:val="FF0000"/>
          <w:sz w:val="24"/>
          <w:szCs w:val="24"/>
        </w:rPr>
      </w:pPr>
    </w:p>
    <w:p w:rsidR="000C5E51" w:rsidRPr="000C5E51" w:rsidRDefault="000C5E51" w:rsidP="000C5E51">
      <w:pPr>
        <w:spacing w:after="0"/>
        <w:rPr>
          <w:b/>
          <w:color w:val="FF0000"/>
        </w:rPr>
      </w:pPr>
      <w:r w:rsidRPr="000C5E51">
        <w:rPr>
          <w:b/>
          <w:color w:val="FF0000"/>
        </w:rPr>
        <w:t>a)  At the time of the initial settlement, the actual amount of the RPP GA is unknown.  We do a split of the GA based on the percentage of RPP billed during the prior month.</w:t>
      </w:r>
    </w:p>
    <w:p w:rsidR="000C5E51" w:rsidRPr="000C5E51" w:rsidRDefault="000C5E51" w:rsidP="000C5E51">
      <w:pPr>
        <w:spacing w:after="0"/>
        <w:rPr>
          <w:b/>
          <w:color w:val="FF0000"/>
        </w:rPr>
      </w:pPr>
    </w:p>
    <w:p w:rsidR="000C5E51" w:rsidRPr="000C5E51" w:rsidRDefault="000C5E51" w:rsidP="000C5E51">
      <w:pPr>
        <w:spacing w:after="0"/>
        <w:rPr>
          <w:b/>
          <w:color w:val="FF0000"/>
        </w:rPr>
      </w:pPr>
      <w:r w:rsidRPr="000C5E51">
        <w:rPr>
          <w:b/>
          <w:color w:val="FF0000"/>
        </w:rPr>
        <w:t xml:space="preserve">b) The true-up process for a given month takes place over three months.  The first step is to determine the estimated Class B kWh.  We take the IESO billing, add </w:t>
      </w:r>
      <w:proofErr w:type="spellStart"/>
      <w:r w:rsidRPr="000C5E51">
        <w:rPr>
          <w:b/>
          <w:color w:val="FF0000"/>
        </w:rPr>
        <w:t>microFIT</w:t>
      </w:r>
      <w:proofErr w:type="spellEnd"/>
      <w:r w:rsidRPr="000C5E51">
        <w:rPr>
          <w:b/>
          <w:color w:val="FF0000"/>
        </w:rPr>
        <w:t xml:space="preserve"> kWh, and deduct Class A kWh.  We next split the Class B kWh between RPP and non-RPP.  The method used is to take the actual percentage split of bills created during the prior month.  This provides a reasonable starting split.  From the data from the prior billing month we are able to create an initial split between </w:t>
      </w:r>
      <w:r w:rsidR="00D82EB6">
        <w:rPr>
          <w:b/>
          <w:color w:val="FF0000"/>
        </w:rPr>
        <w:t>the TOU and RPP tiers.  We true-</w:t>
      </w:r>
      <w:r w:rsidRPr="000C5E51">
        <w:rPr>
          <w:b/>
          <w:color w:val="FF0000"/>
        </w:rPr>
        <w:t>up from the first estimate of GA to the second estimate.</w:t>
      </w:r>
    </w:p>
    <w:p w:rsidR="000C5E51" w:rsidRPr="000C5E51" w:rsidRDefault="000C5E51" w:rsidP="000C5E51">
      <w:pPr>
        <w:spacing w:after="0"/>
        <w:rPr>
          <w:b/>
          <w:color w:val="FF0000"/>
        </w:rPr>
      </w:pPr>
    </w:p>
    <w:p w:rsidR="000C5E51" w:rsidRPr="000C5E51" w:rsidRDefault="000C5E51" w:rsidP="000C5E51">
      <w:pPr>
        <w:spacing w:after="0"/>
        <w:rPr>
          <w:b/>
          <w:color w:val="FF0000"/>
        </w:rPr>
      </w:pPr>
      <w:r w:rsidRPr="000C5E51">
        <w:rPr>
          <w:b/>
          <w:color w:val="FF0000"/>
        </w:rPr>
        <w:t>The following month, we do our first real true</w:t>
      </w:r>
      <w:r w:rsidR="00D82EB6">
        <w:rPr>
          <w:b/>
          <w:color w:val="FF0000"/>
        </w:rPr>
        <w:t>-up for the same estimated data.</w:t>
      </w:r>
      <w:r w:rsidRPr="000C5E51">
        <w:rPr>
          <w:b/>
          <w:color w:val="FF0000"/>
        </w:rPr>
        <w:t xml:space="preserve">  A true up i</w:t>
      </w:r>
      <w:r w:rsidR="00D82EB6">
        <w:rPr>
          <w:b/>
          <w:color w:val="FF0000"/>
        </w:rPr>
        <w:t>s done with the final GA rate</w:t>
      </w:r>
      <w:r w:rsidRPr="000C5E51">
        <w:rPr>
          <w:b/>
          <w:color w:val="FF0000"/>
        </w:rPr>
        <w:t>.</w:t>
      </w:r>
    </w:p>
    <w:p w:rsidR="000C5E51" w:rsidRPr="000C5E51" w:rsidRDefault="000C5E51" w:rsidP="000C5E51">
      <w:pPr>
        <w:spacing w:after="0"/>
        <w:rPr>
          <w:b/>
          <w:color w:val="FF0000"/>
        </w:rPr>
      </w:pPr>
    </w:p>
    <w:p w:rsidR="000C5E51" w:rsidRPr="000C5E51" w:rsidRDefault="000C5E51" w:rsidP="000C5E51">
      <w:pPr>
        <w:spacing w:after="0"/>
        <w:rPr>
          <w:b/>
          <w:color w:val="FF0000"/>
        </w:rPr>
      </w:pPr>
      <w:r w:rsidRPr="000C5E51">
        <w:rPr>
          <w:b/>
          <w:color w:val="FF0000"/>
        </w:rPr>
        <w:t>In the third month, there</w:t>
      </w:r>
      <w:r w:rsidR="00D82EB6">
        <w:rPr>
          <w:b/>
          <w:color w:val="FF0000"/>
        </w:rPr>
        <w:t xml:space="preserve"> is a final true up, using the actual RPP and non-RPP billings, the actual energy cost, and the final GA rate.</w:t>
      </w:r>
    </w:p>
    <w:p w:rsidR="000C5E51" w:rsidRPr="000C5E51" w:rsidRDefault="000C5E51" w:rsidP="000C5E51">
      <w:pPr>
        <w:spacing w:after="0"/>
        <w:rPr>
          <w:b/>
          <w:color w:val="FF0000"/>
        </w:rPr>
      </w:pPr>
    </w:p>
    <w:p w:rsidR="000C5E51" w:rsidRPr="000C5E51" w:rsidRDefault="000C5E51" w:rsidP="000C5E51">
      <w:pPr>
        <w:spacing w:after="0"/>
        <w:rPr>
          <w:b/>
          <w:color w:val="FF0000"/>
        </w:rPr>
      </w:pPr>
      <w:r w:rsidRPr="000C5E51">
        <w:rPr>
          <w:b/>
          <w:color w:val="FF0000"/>
        </w:rPr>
        <w:t>The model that we used is based on the methodology provided by the OEB in 2019.  We have adapted the models to our preferences, and the end results a</w:t>
      </w:r>
      <w:r w:rsidR="00174AD8">
        <w:rPr>
          <w:b/>
          <w:color w:val="FF0000"/>
        </w:rPr>
        <w:t xml:space="preserve">gree with </w:t>
      </w:r>
      <w:r w:rsidRPr="000C5E51">
        <w:rPr>
          <w:b/>
          <w:color w:val="FF0000"/>
        </w:rPr>
        <w:t>those of the OEB model.</w:t>
      </w:r>
    </w:p>
    <w:p w:rsidR="000C5E51" w:rsidRPr="000C5E51" w:rsidRDefault="000C5E51" w:rsidP="000C5E51">
      <w:pPr>
        <w:spacing w:after="0"/>
        <w:rPr>
          <w:b/>
          <w:color w:val="FF0000"/>
        </w:rPr>
      </w:pPr>
    </w:p>
    <w:p w:rsidR="000C5E51" w:rsidRPr="000C5E51" w:rsidRDefault="00D82EB6" w:rsidP="000C5E51">
      <w:pPr>
        <w:spacing w:after="0"/>
        <w:rPr>
          <w:b/>
          <w:color w:val="FF0000"/>
        </w:rPr>
      </w:pPr>
      <w:r>
        <w:rPr>
          <w:b/>
          <w:color w:val="FF0000"/>
        </w:rPr>
        <w:t>c)  CT 1142 was trued-</w:t>
      </w:r>
      <w:r w:rsidR="000C5E51" w:rsidRPr="000C5E51">
        <w:rPr>
          <w:b/>
          <w:color w:val="FF0000"/>
        </w:rPr>
        <w:t xml:space="preserve">up for 2018.  The results were recorded in </w:t>
      </w:r>
      <w:r>
        <w:rPr>
          <w:b/>
          <w:color w:val="FF0000"/>
        </w:rPr>
        <w:t xml:space="preserve">our </w:t>
      </w:r>
      <w:r w:rsidR="000C5E51" w:rsidRPr="000C5E51">
        <w:rPr>
          <w:b/>
          <w:color w:val="FF0000"/>
        </w:rPr>
        <w:t>2018</w:t>
      </w:r>
      <w:r>
        <w:rPr>
          <w:b/>
          <w:color w:val="FF0000"/>
        </w:rPr>
        <w:t xml:space="preserve"> financial statement</w:t>
      </w:r>
      <w:r w:rsidR="000C5E51" w:rsidRPr="000C5E51">
        <w:rPr>
          <w:b/>
          <w:color w:val="FF0000"/>
        </w:rPr>
        <w:t>.</w:t>
      </w:r>
    </w:p>
    <w:p w:rsidR="000C5E51" w:rsidRPr="000C5E51" w:rsidRDefault="000C5E51" w:rsidP="000C5E51">
      <w:pPr>
        <w:spacing w:after="0"/>
        <w:rPr>
          <w:b/>
          <w:color w:val="FF0000"/>
        </w:rPr>
      </w:pPr>
    </w:p>
    <w:p w:rsidR="000C5E51" w:rsidRPr="000C5E51" w:rsidRDefault="000C5E51" w:rsidP="000C5E51">
      <w:pPr>
        <w:spacing w:after="0"/>
        <w:rPr>
          <w:b/>
          <w:color w:val="FF0000"/>
        </w:rPr>
      </w:pPr>
      <w:r w:rsidRPr="000C5E51">
        <w:rPr>
          <w:b/>
          <w:color w:val="FF0000"/>
        </w:rPr>
        <w:t>d)</w:t>
      </w:r>
      <w:r w:rsidR="00D82EB6">
        <w:rPr>
          <w:b/>
          <w:color w:val="FF0000"/>
        </w:rPr>
        <w:t xml:space="preserve">  No months for 2018 were trued-</w:t>
      </w:r>
      <w:r w:rsidRPr="000C5E51">
        <w:rPr>
          <w:b/>
          <w:color w:val="FF0000"/>
        </w:rPr>
        <w:t>up in 2019.  The physical work of truing up the account was done in 2019, but was recorded in the2018 GL.</w:t>
      </w:r>
    </w:p>
    <w:p w:rsidR="000C5E51" w:rsidRPr="000C5E51" w:rsidRDefault="000C5E51" w:rsidP="000C5E51">
      <w:pPr>
        <w:spacing w:after="0"/>
        <w:rPr>
          <w:b/>
          <w:color w:val="FF0000"/>
        </w:rPr>
      </w:pPr>
    </w:p>
    <w:p w:rsidR="000C5E51" w:rsidRPr="000C5E51" w:rsidRDefault="000C5E51" w:rsidP="000C5E51">
      <w:pPr>
        <w:spacing w:after="0"/>
        <w:rPr>
          <w:b/>
          <w:color w:val="FF0000"/>
        </w:rPr>
      </w:pPr>
      <w:r w:rsidRPr="000C5E51">
        <w:rPr>
          <w:b/>
          <w:color w:val="FF0000"/>
        </w:rPr>
        <w:t>e)  All of the 2018 transactions are reflected in the DVA Continuity Schedule.</w:t>
      </w:r>
    </w:p>
    <w:p w:rsidR="000C5E51" w:rsidRPr="000C5E51" w:rsidRDefault="000C5E51" w:rsidP="000C5E51">
      <w:pPr>
        <w:spacing w:after="0" w:line="276" w:lineRule="auto"/>
        <w:rPr>
          <w:rFonts w:ascii="Arial" w:eastAsia="Times New Roman" w:hAnsi="Arial" w:cs="Arial"/>
          <w:sz w:val="24"/>
          <w:szCs w:val="24"/>
        </w:rPr>
      </w:pPr>
    </w:p>
    <w:p w:rsidR="00325817" w:rsidRDefault="00325817" w:rsidP="00152EE3">
      <w:pPr>
        <w:spacing w:after="0" w:line="276" w:lineRule="auto"/>
        <w:rPr>
          <w:rFonts w:ascii="Arial" w:eastAsia="Times New Roman" w:hAnsi="Arial" w:cs="Arial"/>
          <w:sz w:val="24"/>
          <w:szCs w:val="24"/>
        </w:rPr>
      </w:pPr>
    </w:p>
    <w:p w:rsidR="00152EE3" w:rsidRPr="00BE05F6" w:rsidRDefault="00F0777E" w:rsidP="00DC248B">
      <w:pPr>
        <w:pStyle w:val="ListParagraph"/>
        <w:numPr>
          <w:ilvl w:val="0"/>
          <w:numId w:val="40"/>
        </w:numPr>
        <w:tabs>
          <w:tab w:val="left" w:pos="540"/>
          <w:tab w:val="left" w:pos="630"/>
          <w:tab w:val="left" w:pos="720"/>
        </w:tabs>
        <w:spacing w:after="0" w:line="276" w:lineRule="auto"/>
        <w:ind w:left="630"/>
        <w:rPr>
          <w:rFonts w:ascii="Arial" w:eastAsia="Times New Roman" w:hAnsi="Arial" w:cs="Arial"/>
          <w:sz w:val="24"/>
          <w:szCs w:val="24"/>
        </w:rPr>
      </w:pPr>
      <w:r>
        <w:rPr>
          <w:rFonts w:ascii="Arial" w:eastAsia="Times New Roman" w:hAnsi="Arial" w:cs="Arial"/>
          <w:sz w:val="24"/>
          <w:szCs w:val="24"/>
          <w:u w:val="single"/>
        </w:rPr>
        <w:t xml:space="preserve"> </w:t>
      </w:r>
      <w:r w:rsidR="00152EE3" w:rsidRPr="00BE05F6">
        <w:rPr>
          <w:rFonts w:ascii="Arial" w:eastAsia="Times New Roman" w:hAnsi="Arial" w:cs="Arial"/>
          <w:sz w:val="24"/>
          <w:szCs w:val="24"/>
          <w:u w:val="single"/>
        </w:rPr>
        <w:t>Questions on CT 148</w:t>
      </w:r>
    </w:p>
    <w:p w:rsidR="005A539A" w:rsidRDefault="00152EE3" w:rsidP="00F0777E">
      <w:pPr>
        <w:pStyle w:val="ListParagraph"/>
        <w:numPr>
          <w:ilvl w:val="0"/>
          <w:numId w:val="22"/>
        </w:numPr>
        <w:tabs>
          <w:tab w:val="left" w:pos="720"/>
        </w:tabs>
        <w:spacing w:after="0" w:line="276" w:lineRule="auto"/>
        <w:ind w:left="990"/>
        <w:rPr>
          <w:rFonts w:ascii="Arial" w:eastAsia="Times New Roman" w:hAnsi="Arial" w:cs="Arial"/>
          <w:sz w:val="24"/>
          <w:szCs w:val="24"/>
        </w:rPr>
      </w:pPr>
      <w:r w:rsidRPr="005A539A">
        <w:rPr>
          <w:rFonts w:ascii="Arial" w:eastAsia="Times New Roman" w:hAnsi="Arial" w:cs="Arial"/>
          <w:sz w:val="24"/>
          <w:szCs w:val="24"/>
        </w:rPr>
        <w:t>Please describe the process for the initial recording of CT 148 in the accounts (i.e. 1588 and 1589)</w:t>
      </w:r>
      <w:r w:rsidR="005A539A" w:rsidRPr="005A539A">
        <w:rPr>
          <w:rFonts w:ascii="Arial" w:eastAsia="Times New Roman" w:hAnsi="Arial" w:cs="Arial"/>
          <w:sz w:val="24"/>
          <w:szCs w:val="24"/>
        </w:rPr>
        <w:t>.</w:t>
      </w:r>
    </w:p>
    <w:p w:rsidR="00152EE3" w:rsidRPr="005A539A" w:rsidRDefault="00152EE3" w:rsidP="00F0777E">
      <w:pPr>
        <w:pStyle w:val="ListParagraph"/>
        <w:numPr>
          <w:ilvl w:val="0"/>
          <w:numId w:val="22"/>
        </w:numPr>
        <w:tabs>
          <w:tab w:val="left" w:pos="720"/>
        </w:tabs>
        <w:spacing w:after="0" w:line="276" w:lineRule="auto"/>
        <w:ind w:left="990"/>
        <w:rPr>
          <w:rFonts w:ascii="Arial" w:eastAsia="Times New Roman" w:hAnsi="Arial" w:cs="Arial"/>
          <w:sz w:val="24"/>
          <w:szCs w:val="24"/>
        </w:rPr>
      </w:pPr>
      <w:r w:rsidRPr="005A539A">
        <w:rPr>
          <w:rFonts w:ascii="Arial" w:eastAsia="Times New Roman" w:hAnsi="Arial" w:cs="Arial"/>
          <w:sz w:val="24"/>
          <w:szCs w:val="24"/>
        </w:rPr>
        <w:t xml:space="preserve">Please describe the process for true up of the GA related cost to ensure that the amounts reflected in Account 1588 are related to RPP GA costs and amounts in 1589 are related to only non-RPP GA costs. </w:t>
      </w:r>
    </w:p>
    <w:p w:rsidR="00152EE3" w:rsidRPr="00BE05F6" w:rsidRDefault="00152EE3" w:rsidP="00F0777E">
      <w:pPr>
        <w:pStyle w:val="ListParagraph"/>
        <w:numPr>
          <w:ilvl w:val="0"/>
          <w:numId w:val="22"/>
        </w:numPr>
        <w:tabs>
          <w:tab w:val="left" w:pos="720"/>
        </w:tabs>
        <w:spacing w:after="0" w:line="276" w:lineRule="auto"/>
        <w:ind w:left="990"/>
        <w:rPr>
          <w:rFonts w:ascii="Arial" w:eastAsia="Times New Roman" w:hAnsi="Arial" w:cs="Arial"/>
          <w:sz w:val="24"/>
          <w:szCs w:val="24"/>
        </w:rPr>
      </w:pPr>
      <w:r>
        <w:rPr>
          <w:rFonts w:ascii="Arial" w:eastAsia="Times New Roman" w:hAnsi="Arial" w:cs="Arial"/>
          <w:sz w:val="24"/>
          <w:szCs w:val="24"/>
        </w:rPr>
        <w:t xml:space="preserve">What data is used to determine the non-RPP kWh volume that is multiplied with the actual GA per kWh rate (based on CT 148) for recording as </w:t>
      </w:r>
      <w:r w:rsidR="0008407E">
        <w:rPr>
          <w:rFonts w:ascii="Arial" w:eastAsia="Times New Roman" w:hAnsi="Arial" w:cs="Arial"/>
          <w:sz w:val="24"/>
          <w:szCs w:val="24"/>
        </w:rPr>
        <w:t xml:space="preserve">the initial GA </w:t>
      </w:r>
      <w:r>
        <w:rPr>
          <w:rFonts w:ascii="Arial" w:eastAsia="Times New Roman" w:hAnsi="Arial" w:cs="Arial"/>
          <w:sz w:val="24"/>
          <w:szCs w:val="24"/>
        </w:rPr>
        <w:t>expense in Account 1589?</w:t>
      </w:r>
    </w:p>
    <w:p w:rsidR="00152EE3" w:rsidRDefault="00152EE3" w:rsidP="00F0777E">
      <w:pPr>
        <w:pStyle w:val="ListParagraph"/>
        <w:numPr>
          <w:ilvl w:val="0"/>
          <w:numId w:val="22"/>
        </w:numPr>
        <w:tabs>
          <w:tab w:val="left" w:pos="720"/>
        </w:tabs>
        <w:spacing w:after="0" w:line="276" w:lineRule="auto"/>
        <w:ind w:left="990"/>
        <w:rPr>
          <w:rFonts w:ascii="Arial" w:eastAsia="Times New Roman" w:hAnsi="Arial" w:cs="Arial"/>
          <w:sz w:val="24"/>
          <w:szCs w:val="24"/>
        </w:rPr>
      </w:pPr>
      <w:r>
        <w:rPr>
          <w:rFonts w:ascii="Arial" w:eastAsia="Times New Roman" w:hAnsi="Arial" w:cs="Arial"/>
          <w:sz w:val="24"/>
          <w:szCs w:val="24"/>
        </w:rPr>
        <w:t xml:space="preserve">Does the utility true up the initial recording of CT 148 in Accounts 1588 and 1589 based on estimated </w:t>
      </w:r>
      <w:r w:rsidR="0008407E">
        <w:rPr>
          <w:rFonts w:ascii="Arial" w:eastAsia="Times New Roman" w:hAnsi="Arial" w:cs="Arial"/>
          <w:sz w:val="24"/>
          <w:szCs w:val="24"/>
        </w:rPr>
        <w:t xml:space="preserve">RPP/non-RPP consumption </w:t>
      </w:r>
      <w:r>
        <w:rPr>
          <w:rFonts w:ascii="Arial" w:eastAsia="Times New Roman" w:hAnsi="Arial" w:cs="Arial"/>
          <w:sz w:val="24"/>
          <w:szCs w:val="24"/>
        </w:rPr>
        <w:t xml:space="preserve">proportions to actuals based on actual </w:t>
      </w:r>
      <w:r w:rsidR="0008407E">
        <w:rPr>
          <w:rFonts w:ascii="Arial" w:eastAsia="Times New Roman" w:hAnsi="Arial" w:cs="Arial"/>
          <w:sz w:val="24"/>
          <w:szCs w:val="24"/>
        </w:rPr>
        <w:t xml:space="preserve">RPP-non-RPP </w:t>
      </w:r>
      <w:r>
        <w:rPr>
          <w:rFonts w:ascii="Arial" w:eastAsia="Times New Roman" w:hAnsi="Arial" w:cs="Arial"/>
          <w:sz w:val="24"/>
          <w:szCs w:val="24"/>
        </w:rPr>
        <w:t>consumption proportions?</w:t>
      </w:r>
    </w:p>
    <w:p w:rsidR="00663F6F" w:rsidRDefault="00152EE3" w:rsidP="00F0777E">
      <w:pPr>
        <w:pStyle w:val="ListParagraph"/>
        <w:numPr>
          <w:ilvl w:val="0"/>
          <w:numId w:val="22"/>
        </w:numPr>
        <w:tabs>
          <w:tab w:val="left" w:pos="720"/>
        </w:tabs>
        <w:spacing w:after="0" w:line="276" w:lineRule="auto"/>
        <w:ind w:left="990"/>
        <w:rPr>
          <w:rFonts w:ascii="Arial" w:eastAsia="Times New Roman" w:hAnsi="Arial" w:cs="Arial"/>
          <w:sz w:val="24"/>
          <w:szCs w:val="24"/>
        </w:rPr>
      </w:pPr>
      <w:r>
        <w:rPr>
          <w:rFonts w:ascii="Arial" w:eastAsia="Times New Roman" w:hAnsi="Arial" w:cs="Arial"/>
          <w:sz w:val="24"/>
          <w:szCs w:val="24"/>
        </w:rPr>
        <w:t xml:space="preserve">Please indicate which months from </w:t>
      </w:r>
      <w:r w:rsidR="0033205D">
        <w:rPr>
          <w:rFonts w:ascii="Arial" w:eastAsia="Times New Roman" w:hAnsi="Arial" w:cs="Arial"/>
          <w:sz w:val="24"/>
          <w:szCs w:val="24"/>
        </w:rPr>
        <w:t xml:space="preserve">2018 </w:t>
      </w:r>
      <w:r>
        <w:rPr>
          <w:rFonts w:ascii="Arial" w:eastAsia="Times New Roman" w:hAnsi="Arial" w:cs="Arial"/>
          <w:sz w:val="24"/>
          <w:szCs w:val="24"/>
        </w:rPr>
        <w:t>w</w:t>
      </w:r>
      <w:r w:rsidR="00325817">
        <w:rPr>
          <w:rFonts w:ascii="Arial" w:eastAsia="Times New Roman" w:hAnsi="Arial" w:cs="Arial"/>
          <w:sz w:val="24"/>
          <w:szCs w:val="24"/>
        </w:rPr>
        <w:t>ere</w:t>
      </w:r>
      <w:r>
        <w:rPr>
          <w:rFonts w:ascii="Arial" w:eastAsia="Times New Roman" w:hAnsi="Arial" w:cs="Arial"/>
          <w:sz w:val="24"/>
          <w:szCs w:val="24"/>
        </w:rPr>
        <w:t xml:space="preserve"> trued up in </w:t>
      </w:r>
      <w:r w:rsidR="0033205D">
        <w:rPr>
          <w:rFonts w:ascii="Arial" w:eastAsia="Times New Roman" w:hAnsi="Arial" w:cs="Arial"/>
          <w:sz w:val="24"/>
          <w:szCs w:val="24"/>
        </w:rPr>
        <w:t xml:space="preserve">2019 </w:t>
      </w:r>
      <w:r>
        <w:rPr>
          <w:rFonts w:ascii="Arial" w:eastAsia="Times New Roman" w:hAnsi="Arial" w:cs="Arial"/>
          <w:sz w:val="24"/>
          <w:szCs w:val="24"/>
        </w:rPr>
        <w:t>for CT 148 proportions between RPP and non-RPP</w:t>
      </w:r>
      <w:r w:rsidR="0033205D">
        <w:rPr>
          <w:rFonts w:ascii="Arial" w:eastAsia="Times New Roman" w:hAnsi="Arial" w:cs="Arial"/>
          <w:sz w:val="24"/>
          <w:szCs w:val="24"/>
        </w:rPr>
        <w:t xml:space="preserve"> </w:t>
      </w:r>
    </w:p>
    <w:p w:rsidR="00152EE3" w:rsidRPr="003F450A" w:rsidRDefault="00663F6F" w:rsidP="00F0777E">
      <w:pPr>
        <w:pStyle w:val="ListParagraph"/>
        <w:numPr>
          <w:ilvl w:val="0"/>
          <w:numId w:val="22"/>
        </w:numPr>
        <w:tabs>
          <w:tab w:val="left" w:pos="720"/>
        </w:tabs>
        <w:spacing w:after="0" w:line="276" w:lineRule="auto"/>
        <w:ind w:left="990"/>
        <w:rPr>
          <w:rFonts w:ascii="Arial" w:eastAsia="Times New Roman" w:hAnsi="Arial" w:cs="Arial"/>
          <w:sz w:val="24"/>
          <w:szCs w:val="24"/>
        </w:rPr>
      </w:pPr>
      <w:r>
        <w:rPr>
          <w:rFonts w:ascii="Arial" w:eastAsia="Times New Roman" w:hAnsi="Arial" w:cs="Arial"/>
          <w:sz w:val="24"/>
          <w:szCs w:val="24"/>
        </w:rPr>
        <w:t xml:space="preserve">Were these true ups recorded in the 2018 or 2019 balance in the </w:t>
      </w:r>
      <w:r w:rsidR="007E47B5">
        <w:rPr>
          <w:rFonts w:ascii="Arial" w:eastAsia="Times New Roman" w:hAnsi="Arial" w:cs="Arial"/>
          <w:sz w:val="24"/>
          <w:szCs w:val="24"/>
        </w:rPr>
        <w:t>General Ledger</w:t>
      </w:r>
      <w:r>
        <w:rPr>
          <w:rFonts w:ascii="Arial" w:eastAsia="Times New Roman" w:hAnsi="Arial" w:cs="Arial"/>
          <w:sz w:val="24"/>
          <w:szCs w:val="24"/>
        </w:rPr>
        <w:t xml:space="preserve">? </w:t>
      </w:r>
    </w:p>
    <w:p w:rsidR="00152EE3" w:rsidRDefault="00152EE3" w:rsidP="00F0777E">
      <w:pPr>
        <w:pStyle w:val="ListParagraph"/>
        <w:numPr>
          <w:ilvl w:val="0"/>
          <w:numId w:val="22"/>
        </w:numPr>
        <w:tabs>
          <w:tab w:val="left" w:pos="720"/>
        </w:tabs>
        <w:spacing w:after="0" w:line="276" w:lineRule="auto"/>
        <w:ind w:left="990"/>
        <w:rPr>
          <w:rFonts w:ascii="Arial" w:eastAsia="Times New Roman" w:hAnsi="Arial" w:cs="Arial"/>
          <w:sz w:val="24"/>
          <w:szCs w:val="24"/>
        </w:rPr>
      </w:pPr>
      <w:r>
        <w:rPr>
          <w:rFonts w:ascii="Arial" w:eastAsia="Times New Roman" w:hAnsi="Arial" w:cs="Arial"/>
          <w:sz w:val="24"/>
          <w:szCs w:val="24"/>
        </w:rPr>
        <w:t xml:space="preserve">Are all true-ups for </w:t>
      </w:r>
      <w:r w:rsidR="0033205D">
        <w:rPr>
          <w:rFonts w:ascii="Arial" w:eastAsia="Times New Roman" w:hAnsi="Arial" w:cs="Arial"/>
          <w:sz w:val="24"/>
          <w:szCs w:val="24"/>
        </w:rPr>
        <w:t xml:space="preserve">2018 </w:t>
      </w:r>
      <w:r>
        <w:rPr>
          <w:rFonts w:ascii="Arial" w:eastAsia="Times New Roman" w:hAnsi="Arial" w:cs="Arial"/>
          <w:sz w:val="24"/>
          <w:szCs w:val="24"/>
        </w:rPr>
        <w:t>consumption reflected in the DVA Continuity Schedule</w:t>
      </w:r>
      <w:r w:rsidR="00663F6F">
        <w:rPr>
          <w:rFonts w:ascii="Arial" w:eastAsia="Times New Roman" w:hAnsi="Arial" w:cs="Arial"/>
          <w:sz w:val="24"/>
          <w:szCs w:val="24"/>
        </w:rPr>
        <w:t>?</w:t>
      </w:r>
    </w:p>
    <w:p w:rsidR="00152EE3" w:rsidRDefault="00152EE3" w:rsidP="00BE05F6">
      <w:pPr>
        <w:pStyle w:val="ListParagraph"/>
        <w:spacing w:after="0" w:line="276" w:lineRule="auto"/>
        <w:ind w:left="1440"/>
        <w:rPr>
          <w:rFonts w:ascii="Arial" w:eastAsia="Times New Roman" w:hAnsi="Arial" w:cs="Arial"/>
          <w:sz w:val="24"/>
          <w:szCs w:val="24"/>
        </w:rPr>
      </w:pPr>
    </w:p>
    <w:p w:rsidR="005E69C3" w:rsidRPr="005E69C3" w:rsidRDefault="005E69C3" w:rsidP="00BE05F6">
      <w:pPr>
        <w:pStyle w:val="ListParagraph"/>
        <w:spacing w:after="0" w:line="276" w:lineRule="auto"/>
        <w:ind w:left="1440"/>
        <w:rPr>
          <w:rFonts w:ascii="Arial" w:eastAsia="Times New Roman" w:hAnsi="Arial" w:cs="Arial"/>
          <w:b/>
          <w:color w:val="FF0000"/>
          <w:sz w:val="24"/>
          <w:szCs w:val="24"/>
        </w:rPr>
      </w:pPr>
      <w:r w:rsidRPr="005E69C3">
        <w:rPr>
          <w:rFonts w:ascii="Arial" w:eastAsia="Times New Roman" w:hAnsi="Arial" w:cs="Arial"/>
          <w:b/>
          <w:color w:val="FF0000"/>
          <w:sz w:val="24"/>
          <w:szCs w:val="24"/>
        </w:rPr>
        <w:t>Answer:</w:t>
      </w:r>
    </w:p>
    <w:p w:rsidR="005E69C3" w:rsidRPr="005E69C3" w:rsidRDefault="005E69C3" w:rsidP="005E69C3">
      <w:pPr>
        <w:spacing w:after="0"/>
        <w:rPr>
          <w:b/>
          <w:color w:val="FF0000"/>
        </w:rPr>
      </w:pPr>
      <w:r w:rsidRPr="005E69C3">
        <w:rPr>
          <w:b/>
          <w:color w:val="FF0000"/>
        </w:rPr>
        <w:t>a)  From the IESO invoice, CT 148 is recorded to account 1589.  We estimate the amount of the billings related to RPP and non-RPP, and record an adjustment from account 1589 to 1588 for the estimated RPP portion.</w:t>
      </w:r>
    </w:p>
    <w:p w:rsidR="005E69C3" w:rsidRPr="005E69C3" w:rsidRDefault="005E69C3" w:rsidP="005E69C3">
      <w:pPr>
        <w:spacing w:after="0"/>
        <w:rPr>
          <w:b/>
          <w:color w:val="FF0000"/>
        </w:rPr>
      </w:pPr>
    </w:p>
    <w:p w:rsidR="005E69C3" w:rsidRDefault="005E69C3" w:rsidP="005E69C3">
      <w:pPr>
        <w:spacing w:after="0"/>
        <w:rPr>
          <w:b/>
          <w:color w:val="FF0000"/>
        </w:rPr>
      </w:pPr>
      <w:r w:rsidRPr="005E69C3">
        <w:rPr>
          <w:b/>
          <w:color w:val="FF0000"/>
        </w:rPr>
        <w:t>b)  The methodology used to true up GA is re</w:t>
      </w:r>
      <w:r w:rsidR="00D82EB6">
        <w:rPr>
          <w:b/>
          <w:color w:val="FF0000"/>
        </w:rPr>
        <w:t>f</w:t>
      </w:r>
      <w:r w:rsidRPr="005E69C3">
        <w:rPr>
          <w:b/>
          <w:color w:val="FF0000"/>
        </w:rPr>
        <w:t>lected in 11 b) above.  The same model, as introduced by the OEB is used for both RPP and GA true ups.  Although our model is slightly different than the OEB model, the end results are the same.</w:t>
      </w:r>
    </w:p>
    <w:p w:rsidR="005E69C3" w:rsidRPr="005E69C3" w:rsidRDefault="005E69C3" w:rsidP="005E69C3">
      <w:pPr>
        <w:spacing w:after="0"/>
        <w:rPr>
          <w:b/>
          <w:color w:val="FF0000"/>
        </w:rPr>
      </w:pPr>
    </w:p>
    <w:p w:rsidR="005E69C3" w:rsidRPr="005E69C3" w:rsidRDefault="005E69C3" w:rsidP="005E69C3">
      <w:pPr>
        <w:spacing w:after="0"/>
        <w:rPr>
          <w:b/>
          <w:color w:val="FF0000"/>
        </w:rPr>
      </w:pPr>
      <w:r w:rsidRPr="005E69C3">
        <w:rPr>
          <w:b/>
          <w:color w:val="FF0000"/>
        </w:rPr>
        <w:t xml:space="preserve">c)  As described in 11 b), we determine the total of Class B kWh, based on an estimate for the first </w:t>
      </w:r>
      <w:r w:rsidR="00D82EB6">
        <w:rPr>
          <w:b/>
          <w:color w:val="FF0000"/>
        </w:rPr>
        <w:t xml:space="preserve">and second </w:t>
      </w:r>
      <w:r w:rsidRPr="005E69C3">
        <w:rPr>
          <w:b/>
          <w:color w:val="FF0000"/>
        </w:rPr>
        <w:t>month</w:t>
      </w:r>
      <w:r w:rsidR="00D82EB6">
        <w:rPr>
          <w:b/>
          <w:color w:val="FF0000"/>
        </w:rPr>
        <w:t>s</w:t>
      </w:r>
      <w:r w:rsidRPr="005E69C3">
        <w:rPr>
          <w:b/>
          <w:color w:val="FF0000"/>
        </w:rPr>
        <w:t>, and then with a</w:t>
      </w:r>
      <w:r w:rsidR="00D82EB6">
        <w:rPr>
          <w:b/>
          <w:color w:val="FF0000"/>
        </w:rPr>
        <w:t>ctual kWh in the third month</w:t>
      </w:r>
      <w:r w:rsidRPr="005E69C3">
        <w:rPr>
          <w:b/>
          <w:color w:val="FF0000"/>
        </w:rPr>
        <w:t xml:space="preserve">.  We take the kWh from the IESO bill, add </w:t>
      </w:r>
      <w:proofErr w:type="spellStart"/>
      <w:r w:rsidRPr="005E69C3">
        <w:rPr>
          <w:b/>
          <w:color w:val="FF0000"/>
        </w:rPr>
        <w:t>microFIT</w:t>
      </w:r>
      <w:proofErr w:type="spellEnd"/>
      <w:r w:rsidRPr="005E69C3">
        <w:rPr>
          <w:b/>
          <w:color w:val="FF0000"/>
        </w:rPr>
        <w:t xml:space="preserve"> kWh, and deduct Class A kWh to get our starting point.  We estimate the percentage split between RPP and non-RPP customers.  We true up to the second GA estimate during the first initial reporting.  We true up to the actual GA rate during the next two months.</w:t>
      </w:r>
    </w:p>
    <w:p w:rsidR="005E69C3" w:rsidRPr="005E69C3" w:rsidRDefault="005E69C3" w:rsidP="005E69C3">
      <w:pPr>
        <w:spacing w:after="0"/>
        <w:rPr>
          <w:b/>
          <w:color w:val="FF0000"/>
        </w:rPr>
      </w:pPr>
    </w:p>
    <w:p w:rsidR="005E69C3" w:rsidRPr="005E69C3" w:rsidRDefault="005E69C3" w:rsidP="005E69C3">
      <w:pPr>
        <w:spacing w:after="0"/>
        <w:rPr>
          <w:b/>
          <w:color w:val="FF0000"/>
        </w:rPr>
      </w:pPr>
      <w:r w:rsidRPr="005E69C3">
        <w:rPr>
          <w:b/>
          <w:color w:val="FF0000"/>
        </w:rPr>
        <w:t>d)  The initial true up is based on the split of actual bills issued during the prior month, providing a reasonable estimate.  We use the actual billings for the consumption period as they are completed over the following month</w:t>
      </w:r>
      <w:r w:rsidR="00D82EB6">
        <w:rPr>
          <w:b/>
          <w:color w:val="FF0000"/>
        </w:rPr>
        <w:t>s</w:t>
      </w:r>
      <w:r w:rsidRPr="005E69C3">
        <w:rPr>
          <w:b/>
          <w:color w:val="FF0000"/>
        </w:rPr>
        <w:t>.  We adjust the RPP/non-RPP split accordingly.</w:t>
      </w:r>
    </w:p>
    <w:p w:rsidR="005E69C3" w:rsidRPr="005E69C3" w:rsidRDefault="005E69C3" w:rsidP="005E69C3">
      <w:pPr>
        <w:spacing w:after="0"/>
        <w:rPr>
          <w:b/>
          <w:color w:val="FF0000"/>
        </w:rPr>
      </w:pPr>
    </w:p>
    <w:p w:rsidR="005E69C3" w:rsidRDefault="005E69C3" w:rsidP="005E69C3">
      <w:pPr>
        <w:spacing w:after="0"/>
        <w:rPr>
          <w:b/>
          <w:color w:val="FF0000"/>
        </w:rPr>
      </w:pPr>
      <w:r w:rsidRPr="005E69C3">
        <w:rPr>
          <w:b/>
          <w:color w:val="FF0000"/>
        </w:rPr>
        <w:t>e)  All of 2018 was trued up in 2018.</w:t>
      </w:r>
    </w:p>
    <w:p w:rsidR="005E69C3" w:rsidRDefault="005E69C3" w:rsidP="005E69C3">
      <w:pPr>
        <w:spacing w:after="0"/>
        <w:rPr>
          <w:b/>
          <w:color w:val="FF0000"/>
        </w:rPr>
      </w:pPr>
    </w:p>
    <w:p w:rsidR="005E69C3" w:rsidRPr="005E69C3" w:rsidRDefault="005E69C3" w:rsidP="005E69C3">
      <w:pPr>
        <w:spacing w:after="0"/>
        <w:rPr>
          <w:b/>
          <w:color w:val="FF0000"/>
        </w:rPr>
      </w:pPr>
      <w:r>
        <w:rPr>
          <w:b/>
          <w:color w:val="FF0000"/>
        </w:rPr>
        <w:t>f)  Yes, the true-ups for 2018 are reflected in the DVA Continuity Schedule.</w:t>
      </w:r>
    </w:p>
    <w:p w:rsidR="005E69C3" w:rsidRPr="00BE05F6" w:rsidRDefault="005E69C3" w:rsidP="00BE05F6">
      <w:pPr>
        <w:pStyle w:val="ListParagraph"/>
        <w:spacing w:after="0" w:line="276" w:lineRule="auto"/>
        <w:ind w:left="1440"/>
        <w:rPr>
          <w:rFonts w:ascii="Arial" w:eastAsia="Times New Roman" w:hAnsi="Arial" w:cs="Arial"/>
          <w:sz w:val="24"/>
          <w:szCs w:val="24"/>
        </w:rPr>
      </w:pPr>
    </w:p>
    <w:p w:rsidR="005705A7" w:rsidRPr="00F0777E" w:rsidRDefault="00F0777E" w:rsidP="00DC248B">
      <w:pPr>
        <w:pStyle w:val="ListParagraph"/>
        <w:numPr>
          <w:ilvl w:val="0"/>
          <w:numId w:val="40"/>
        </w:numPr>
        <w:spacing w:after="0" w:line="276" w:lineRule="auto"/>
        <w:ind w:left="450"/>
        <w:rPr>
          <w:rFonts w:ascii="Arial" w:eastAsia="Times New Roman" w:hAnsi="Arial" w:cs="Arial"/>
          <w:sz w:val="24"/>
          <w:szCs w:val="24"/>
        </w:rPr>
      </w:pPr>
      <w:r>
        <w:rPr>
          <w:rFonts w:ascii="Arial" w:eastAsia="Times New Roman" w:hAnsi="Arial" w:cs="Arial"/>
          <w:sz w:val="24"/>
          <w:szCs w:val="24"/>
        </w:rPr>
        <w:t xml:space="preserve"> </w:t>
      </w:r>
      <w:r w:rsidR="005705A7" w:rsidRPr="00F0777E">
        <w:rPr>
          <w:rFonts w:ascii="Arial" w:eastAsia="Times New Roman" w:hAnsi="Arial" w:cs="Arial"/>
          <w:sz w:val="24"/>
          <w:szCs w:val="24"/>
        </w:rPr>
        <w:t>Questions regarding principal adjustments and reversals on the DVA Continuity Schedule:</w:t>
      </w:r>
    </w:p>
    <w:p w:rsidR="005705A7" w:rsidRDefault="005705A7" w:rsidP="00550838">
      <w:pPr>
        <w:spacing w:after="0" w:line="276" w:lineRule="auto"/>
        <w:ind w:left="720"/>
        <w:rPr>
          <w:rFonts w:ascii="Arial" w:eastAsia="Times New Roman" w:hAnsi="Arial" w:cs="Arial"/>
          <w:sz w:val="24"/>
          <w:szCs w:val="24"/>
        </w:rPr>
      </w:pPr>
    </w:p>
    <w:p w:rsidR="00550838" w:rsidRPr="00550838" w:rsidRDefault="00550838" w:rsidP="00550838">
      <w:pPr>
        <w:spacing w:after="0" w:line="276" w:lineRule="auto"/>
        <w:ind w:left="720"/>
        <w:rPr>
          <w:rFonts w:ascii="Arial" w:eastAsia="Times New Roman" w:hAnsi="Arial" w:cs="Arial"/>
          <w:sz w:val="24"/>
          <w:szCs w:val="24"/>
          <w:u w:val="single"/>
        </w:rPr>
      </w:pPr>
      <w:r>
        <w:rPr>
          <w:rFonts w:ascii="Arial" w:eastAsia="Times New Roman" w:hAnsi="Arial" w:cs="Arial"/>
          <w:sz w:val="24"/>
          <w:szCs w:val="24"/>
          <w:u w:val="single"/>
        </w:rPr>
        <w:t>Questions on Principal Adjustments - Account</w:t>
      </w:r>
      <w:r w:rsidR="00A235E0">
        <w:rPr>
          <w:rFonts w:ascii="Arial" w:eastAsia="Times New Roman" w:hAnsi="Arial" w:cs="Arial"/>
          <w:sz w:val="24"/>
          <w:szCs w:val="24"/>
          <w:u w:val="single"/>
        </w:rPr>
        <w:t>s</w:t>
      </w:r>
      <w:r>
        <w:rPr>
          <w:rFonts w:ascii="Arial" w:eastAsia="Times New Roman" w:hAnsi="Arial" w:cs="Arial"/>
          <w:sz w:val="24"/>
          <w:szCs w:val="24"/>
          <w:u w:val="single"/>
        </w:rPr>
        <w:t xml:space="preserve"> 1588</w:t>
      </w:r>
      <w:r w:rsidR="00A235E0">
        <w:rPr>
          <w:rFonts w:ascii="Arial" w:eastAsia="Times New Roman" w:hAnsi="Arial" w:cs="Arial"/>
          <w:sz w:val="24"/>
          <w:szCs w:val="24"/>
          <w:u w:val="single"/>
        </w:rPr>
        <w:t xml:space="preserve"> and 1589</w:t>
      </w:r>
    </w:p>
    <w:p w:rsidR="0000233E" w:rsidRDefault="0000233E" w:rsidP="0000233E">
      <w:pPr>
        <w:pStyle w:val="ListParagraph"/>
        <w:numPr>
          <w:ilvl w:val="0"/>
          <w:numId w:val="20"/>
        </w:numPr>
        <w:spacing w:after="0" w:line="276" w:lineRule="auto"/>
        <w:rPr>
          <w:rFonts w:ascii="Arial" w:eastAsia="Times New Roman" w:hAnsi="Arial" w:cs="Arial"/>
          <w:sz w:val="24"/>
          <w:szCs w:val="24"/>
        </w:rPr>
      </w:pPr>
      <w:r>
        <w:rPr>
          <w:rFonts w:ascii="Arial" w:eastAsia="Times New Roman" w:hAnsi="Arial" w:cs="Arial"/>
          <w:sz w:val="24"/>
          <w:szCs w:val="24"/>
        </w:rPr>
        <w:t>Did the applicant have principal adjustments</w:t>
      </w:r>
      <w:r w:rsidR="00A235E0">
        <w:rPr>
          <w:rFonts w:ascii="Arial" w:eastAsia="Times New Roman" w:hAnsi="Arial" w:cs="Arial"/>
          <w:sz w:val="24"/>
          <w:szCs w:val="24"/>
        </w:rPr>
        <w:t xml:space="preserve"> </w:t>
      </w:r>
      <w:r>
        <w:rPr>
          <w:rFonts w:ascii="Arial" w:eastAsia="Times New Roman" w:hAnsi="Arial" w:cs="Arial"/>
          <w:sz w:val="24"/>
          <w:szCs w:val="24"/>
        </w:rPr>
        <w:t xml:space="preserve">in its </w:t>
      </w:r>
      <w:r w:rsidR="0033205D">
        <w:rPr>
          <w:rFonts w:ascii="Arial" w:eastAsia="Times New Roman" w:hAnsi="Arial" w:cs="Arial"/>
          <w:sz w:val="24"/>
          <w:szCs w:val="24"/>
        </w:rPr>
        <w:t xml:space="preserve">2019 </w:t>
      </w:r>
      <w:r>
        <w:rPr>
          <w:rFonts w:ascii="Arial" w:eastAsia="Times New Roman" w:hAnsi="Arial" w:cs="Arial"/>
          <w:sz w:val="24"/>
          <w:szCs w:val="24"/>
        </w:rPr>
        <w:t xml:space="preserve">rate proceeding which </w:t>
      </w:r>
      <w:r w:rsidR="00550838">
        <w:rPr>
          <w:rFonts w:ascii="Arial" w:eastAsia="Times New Roman" w:hAnsi="Arial" w:cs="Arial"/>
          <w:sz w:val="24"/>
          <w:szCs w:val="24"/>
        </w:rPr>
        <w:t>were</w:t>
      </w:r>
      <w:r>
        <w:rPr>
          <w:rFonts w:ascii="Arial" w:eastAsia="Times New Roman" w:hAnsi="Arial" w:cs="Arial"/>
          <w:sz w:val="24"/>
          <w:szCs w:val="24"/>
        </w:rPr>
        <w:t xml:space="preserve"> approved for disposition?</w:t>
      </w:r>
    </w:p>
    <w:p w:rsidR="0000233E" w:rsidRDefault="00663F6F" w:rsidP="0000233E">
      <w:pPr>
        <w:pStyle w:val="ListParagraph"/>
        <w:numPr>
          <w:ilvl w:val="0"/>
          <w:numId w:val="20"/>
        </w:numPr>
        <w:spacing w:after="0" w:line="276" w:lineRule="auto"/>
        <w:rPr>
          <w:rFonts w:ascii="Arial" w:eastAsia="Times New Roman" w:hAnsi="Arial" w:cs="Arial"/>
          <w:sz w:val="24"/>
          <w:szCs w:val="24"/>
        </w:rPr>
      </w:pPr>
      <w:r>
        <w:rPr>
          <w:rFonts w:ascii="Arial" w:eastAsia="Times New Roman" w:hAnsi="Arial" w:cs="Arial"/>
          <w:sz w:val="24"/>
          <w:szCs w:val="24"/>
        </w:rPr>
        <w:t>If yes, p</w:t>
      </w:r>
      <w:r w:rsidR="0000233E">
        <w:rPr>
          <w:rFonts w:ascii="Arial" w:eastAsia="Times New Roman" w:hAnsi="Arial" w:cs="Arial"/>
          <w:sz w:val="24"/>
          <w:szCs w:val="24"/>
        </w:rPr>
        <w:t xml:space="preserve">lease provide a break-down of the total amount of principal adjustments that were approved (e.g. </w:t>
      </w:r>
      <w:r w:rsidR="00A235E0">
        <w:rPr>
          <w:rFonts w:ascii="Arial" w:eastAsia="Times New Roman" w:hAnsi="Arial" w:cs="Arial"/>
          <w:sz w:val="24"/>
          <w:szCs w:val="24"/>
        </w:rPr>
        <w:t xml:space="preserve">true-up of unbilled, </w:t>
      </w:r>
      <w:r w:rsidR="0000233E">
        <w:rPr>
          <w:rFonts w:ascii="Arial" w:eastAsia="Times New Roman" w:hAnsi="Arial" w:cs="Arial"/>
          <w:sz w:val="24"/>
          <w:szCs w:val="24"/>
        </w:rPr>
        <w:t>true up of CT 1142, true up of CT 148 etc.)</w:t>
      </w:r>
      <w:r>
        <w:rPr>
          <w:rFonts w:ascii="Arial" w:eastAsia="Times New Roman" w:hAnsi="Arial" w:cs="Arial"/>
          <w:sz w:val="24"/>
          <w:szCs w:val="24"/>
        </w:rPr>
        <w:t xml:space="preserve"> for each of Accounts 1588 and 1589</w:t>
      </w:r>
      <w:r w:rsidR="0000233E">
        <w:rPr>
          <w:rFonts w:ascii="Arial" w:eastAsia="Times New Roman" w:hAnsi="Arial" w:cs="Arial"/>
          <w:sz w:val="24"/>
          <w:szCs w:val="24"/>
        </w:rPr>
        <w:t>.</w:t>
      </w:r>
    </w:p>
    <w:p w:rsidR="00FC5136" w:rsidRPr="003F450A" w:rsidRDefault="0000233E">
      <w:pPr>
        <w:pStyle w:val="ListParagraph"/>
        <w:numPr>
          <w:ilvl w:val="0"/>
          <w:numId w:val="20"/>
        </w:numPr>
        <w:spacing w:after="0" w:line="276" w:lineRule="auto"/>
        <w:rPr>
          <w:rFonts w:ascii="Arial" w:eastAsia="Times New Roman" w:hAnsi="Arial" w:cs="Arial"/>
          <w:sz w:val="24"/>
          <w:szCs w:val="24"/>
        </w:rPr>
      </w:pPr>
      <w:r>
        <w:rPr>
          <w:rFonts w:ascii="Arial" w:eastAsia="Times New Roman" w:hAnsi="Arial" w:cs="Arial"/>
          <w:sz w:val="24"/>
          <w:szCs w:val="24"/>
        </w:rPr>
        <w:t xml:space="preserve">Has the applicant </w:t>
      </w:r>
      <w:r w:rsidR="00550838">
        <w:rPr>
          <w:rFonts w:ascii="Arial" w:eastAsia="Times New Roman" w:hAnsi="Arial" w:cs="Arial"/>
          <w:sz w:val="24"/>
          <w:szCs w:val="24"/>
        </w:rPr>
        <w:t xml:space="preserve">reversed the adjustment approved in </w:t>
      </w:r>
      <w:r w:rsidR="00FC5136">
        <w:rPr>
          <w:rFonts w:ascii="Arial" w:eastAsia="Times New Roman" w:hAnsi="Arial" w:cs="Arial"/>
          <w:sz w:val="24"/>
          <w:szCs w:val="24"/>
        </w:rPr>
        <w:t xml:space="preserve">2019 rates </w:t>
      </w:r>
      <w:r w:rsidR="00550838">
        <w:rPr>
          <w:rFonts w:ascii="Arial" w:eastAsia="Times New Roman" w:hAnsi="Arial" w:cs="Arial"/>
          <w:sz w:val="24"/>
          <w:szCs w:val="24"/>
        </w:rPr>
        <w:t>in its current proposed amount for disposition?</w:t>
      </w:r>
      <w:r w:rsidR="00FC5136">
        <w:rPr>
          <w:rFonts w:ascii="Arial" w:eastAsia="Times New Roman" w:hAnsi="Arial" w:cs="Arial"/>
          <w:sz w:val="24"/>
          <w:szCs w:val="24"/>
        </w:rPr>
        <w:t xml:space="preserve"> </w:t>
      </w:r>
    </w:p>
    <w:p w:rsidR="00550838" w:rsidRDefault="00FC5136" w:rsidP="003F450A">
      <w:pPr>
        <w:pStyle w:val="ListParagraph"/>
        <w:spacing w:after="0" w:line="276" w:lineRule="auto"/>
        <w:ind w:left="1440"/>
        <w:rPr>
          <w:rFonts w:ascii="Arial" w:eastAsia="Times New Roman" w:hAnsi="Arial" w:cs="Arial"/>
          <w:sz w:val="24"/>
          <w:szCs w:val="24"/>
        </w:rPr>
      </w:pPr>
      <w:r w:rsidRPr="003F450A">
        <w:rPr>
          <w:rFonts w:ascii="Arial" w:eastAsia="Times New Roman" w:hAnsi="Arial" w:cs="Arial"/>
          <w:b/>
          <w:i/>
          <w:sz w:val="24"/>
          <w:szCs w:val="24"/>
        </w:rPr>
        <w:t>NB</w:t>
      </w:r>
      <w:r>
        <w:rPr>
          <w:rFonts w:ascii="Arial" w:eastAsia="Times New Roman" w:hAnsi="Arial" w:cs="Arial"/>
          <w:sz w:val="24"/>
          <w:szCs w:val="24"/>
        </w:rPr>
        <w:t>: only the principal adjustments amounts that were disposed in the previous proceeding should be reversed in this proceeding. For example, if no amount related to unbilled to billed adjustment for 201</w:t>
      </w:r>
      <w:r w:rsidR="00663F6F">
        <w:rPr>
          <w:rFonts w:ascii="Arial" w:eastAsia="Times New Roman" w:hAnsi="Arial" w:cs="Arial"/>
          <w:sz w:val="24"/>
          <w:szCs w:val="24"/>
        </w:rPr>
        <w:t>8</w:t>
      </w:r>
      <w:r>
        <w:rPr>
          <w:rFonts w:ascii="Arial" w:eastAsia="Times New Roman" w:hAnsi="Arial" w:cs="Arial"/>
          <w:sz w:val="24"/>
          <w:szCs w:val="24"/>
        </w:rPr>
        <w:t xml:space="preserve"> consumption was included in 2019 proceeding, this amount should </w:t>
      </w:r>
      <w:r w:rsidRPr="003F450A">
        <w:rPr>
          <w:rFonts w:ascii="Arial" w:eastAsia="Times New Roman" w:hAnsi="Arial" w:cs="Arial"/>
          <w:sz w:val="24"/>
          <w:szCs w:val="24"/>
          <w:u w:val="single"/>
        </w:rPr>
        <w:t>not</w:t>
      </w:r>
      <w:r>
        <w:rPr>
          <w:rFonts w:ascii="Arial" w:eastAsia="Times New Roman" w:hAnsi="Arial" w:cs="Arial"/>
          <w:sz w:val="24"/>
          <w:szCs w:val="24"/>
        </w:rPr>
        <w:t xml:space="preserve"> be included as a “reversal” from previous year.</w:t>
      </w:r>
    </w:p>
    <w:p w:rsidR="00550838" w:rsidRDefault="00550838" w:rsidP="00BE05F6">
      <w:pPr>
        <w:pStyle w:val="ListParagraph"/>
        <w:numPr>
          <w:ilvl w:val="0"/>
          <w:numId w:val="20"/>
        </w:numPr>
        <w:rPr>
          <w:rFonts w:ascii="Arial" w:eastAsia="Times New Roman" w:hAnsi="Arial" w:cs="Arial"/>
          <w:sz w:val="24"/>
          <w:szCs w:val="24"/>
        </w:rPr>
      </w:pPr>
      <w:r w:rsidRPr="000306EA">
        <w:rPr>
          <w:rFonts w:ascii="Arial" w:eastAsia="Times New Roman" w:hAnsi="Arial" w:cs="Arial"/>
          <w:sz w:val="24"/>
          <w:szCs w:val="24"/>
        </w:rPr>
        <w:t xml:space="preserve">Please confirm that </w:t>
      </w:r>
      <w:r w:rsidR="003F006A">
        <w:rPr>
          <w:rFonts w:ascii="Arial" w:eastAsia="Times New Roman" w:hAnsi="Arial" w:cs="Arial"/>
          <w:sz w:val="24"/>
          <w:szCs w:val="24"/>
        </w:rPr>
        <w:t>the allocation of charge type 148 has been trued up to actual proportion of RPP/non-RPP consumption in the GL.</w:t>
      </w:r>
    </w:p>
    <w:p w:rsidR="005B5904" w:rsidRDefault="005B5904" w:rsidP="005B5904">
      <w:pPr>
        <w:rPr>
          <w:rFonts w:ascii="Arial" w:eastAsia="Times New Roman" w:hAnsi="Arial" w:cs="Arial"/>
          <w:sz w:val="24"/>
          <w:szCs w:val="24"/>
        </w:rPr>
      </w:pPr>
    </w:p>
    <w:p w:rsidR="005B5904" w:rsidRPr="005B5904" w:rsidRDefault="005B5904" w:rsidP="005B5904">
      <w:pPr>
        <w:rPr>
          <w:rFonts w:ascii="Arial" w:eastAsia="Times New Roman" w:hAnsi="Arial" w:cs="Arial"/>
          <w:b/>
          <w:color w:val="FF0000"/>
          <w:sz w:val="24"/>
          <w:szCs w:val="24"/>
        </w:rPr>
      </w:pPr>
      <w:r w:rsidRPr="005B5904">
        <w:rPr>
          <w:rFonts w:ascii="Arial" w:eastAsia="Times New Roman" w:hAnsi="Arial" w:cs="Arial"/>
          <w:b/>
          <w:color w:val="FF0000"/>
          <w:sz w:val="24"/>
          <w:szCs w:val="24"/>
        </w:rPr>
        <w:t>Answer:</w:t>
      </w:r>
    </w:p>
    <w:p w:rsidR="005B5904" w:rsidRPr="005B5904" w:rsidRDefault="005B5904" w:rsidP="005B5904">
      <w:pPr>
        <w:rPr>
          <w:rFonts w:ascii="Arial" w:eastAsia="Times New Roman" w:hAnsi="Arial" w:cs="Arial"/>
          <w:b/>
          <w:color w:val="FF0000"/>
          <w:sz w:val="24"/>
          <w:szCs w:val="24"/>
        </w:rPr>
      </w:pPr>
    </w:p>
    <w:p w:rsidR="005B5904" w:rsidRDefault="005B5904" w:rsidP="005B5904">
      <w:pPr>
        <w:spacing w:after="0"/>
        <w:rPr>
          <w:b/>
          <w:color w:val="FF0000"/>
        </w:rPr>
      </w:pPr>
      <w:r w:rsidRPr="005B5904">
        <w:rPr>
          <w:b/>
          <w:color w:val="FF0000"/>
        </w:rPr>
        <w:lastRenderedPageBreak/>
        <w:t xml:space="preserve">a)  </w:t>
      </w:r>
      <w:r w:rsidR="00F448E2">
        <w:rPr>
          <w:b/>
          <w:color w:val="FF0000"/>
        </w:rPr>
        <w:t>Yes</w:t>
      </w:r>
      <w:r w:rsidRPr="005B5904">
        <w:rPr>
          <w:b/>
          <w:color w:val="FF0000"/>
        </w:rPr>
        <w:t>.</w:t>
      </w:r>
    </w:p>
    <w:p w:rsidR="005B5904" w:rsidRDefault="005B5904" w:rsidP="005B5904">
      <w:pPr>
        <w:spacing w:after="0"/>
        <w:rPr>
          <w:b/>
          <w:color w:val="FF0000"/>
        </w:rPr>
      </w:pPr>
    </w:p>
    <w:p w:rsidR="005B5904" w:rsidRDefault="00BE2697" w:rsidP="005B5904">
      <w:pPr>
        <w:spacing w:after="0"/>
        <w:rPr>
          <w:b/>
          <w:color w:val="FF0000"/>
        </w:rPr>
      </w:pPr>
      <w:r>
        <w:rPr>
          <w:b/>
          <w:color w:val="FF0000"/>
        </w:rPr>
        <w:t xml:space="preserve">b)  </w:t>
      </w:r>
      <w:r w:rsidRPr="00BE2697">
        <w:rPr>
          <w:b/>
          <w:color w:val="FF0000"/>
        </w:rPr>
        <w:t xml:space="preserve">An error was found in the 2017 RPP and non RPP GA split in the preparation of the GA work form for 2019 IRM. </w:t>
      </w:r>
      <w:r>
        <w:rPr>
          <w:b/>
          <w:color w:val="FF0000"/>
        </w:rPr>
        <w:t xml:space="preserve"> </w:t>
      </w:r>
      <w:r w:rsidRPr="00BE2697">
        <w:rPr>
          <w:b/>
          <w:color w:val="FF0000"/>
        </w:rPr>
        <w:t xml:space="preserve">2017 RPP GA cost was overstated by $36,178. </w:t>
      </w:r>
      <w:r>
        <w:rPr>
          <w:b/>
          <w:color w:val="FF0000"/>
        </w:rPr>
        <w:t xml:space="preserve"> Adjustments of -36,177 and 36,177 was made to A</w:t>
      </w:r>
      <w:r w:rsidRPr="00BE2697">
        <w:rPr>
          <w:b/>
          <w:color w:val="FF0000"/>
        </w:rPr>
        <w:t>ccount</w:t>
      </w:r>
      <w:r>
        <w:rPr>
          <w:b/>
          <w:color w:val="FF0000"/>
        </w:rPr>
        <w:t xml:space="preserve">s 1588 and Account </w:t>
      </w:r>
      <w:r w:rsidRPr="00BE2697">
        <w:rPr>
          <w:b/>
          <w:color w:val="FF0000"/>
        </w:rPr>
        <w:t xml:space="preserve">1589 </w:t>
      </w:r>
      <w:r>
        <w:rPr>
          <w:b/>
          <w:color w:val="FF0000"/>
        </w:rPr>
        <w:t xml:space="preserve">respectively </w:t>
      </w:r>
      <w:r w:rsidRPr="00BE2697">
        <w:rPr>
          <w:b/>
          <w:color w:val="FF0000"/>
        </w:rPr>
        <w:t xml:space="preserve">in column BF “Principal Adjustment 2017” in the continuity schedule to reflect this finding. </w:t>
      </w:r>
      <w:r>
        <w:rPr>
          <w:b/>
          <w:color w:val="FF0000"/>
        </w:rPr>
        <w:t xml:space="preserve"> </w:t>
      </w:r>
      <w:r w:rsidRPr="00BE2697">
        <w:rPr>
          <w:b/>
          <w:color w:val="FF0000"/>
        </w:rPr>
        <w:t xml:space="preserve"> The adjustment to the </w:t>
      </w:r>
      <w:r>
        <w:rPr>
          <w:b/>
          <w:color w:val="FF0000"/>
        </w:rPr>
        <w:t xml:space="preserve">general ledger was done in 2018. </w:t>
      </w:r>
    </w:p>
    <w:p w:rsidR="005B5904" w:rsidRDefault="005B5904" w:rsidP="005B5904">
      <w:pPr>
        <w:spacing w:after="0"/>
        <w:rPr>
          <w:b/>
          <w:color w:val="FF0000"/>
        </w:rPr>
      </w:pPr>
    </w:p>
    <w:p w:rsidR="005B5904" w:rsidRPr="005B5904" w:rsidRDefault="005B5904" w:rsidP="005B5904">
      <w:pPr>
        <w:spacing w:after="0"/>
        <w:rPr>
          <w:b/>
          <w:color w:val="FF0000"/>
        </w:rPr>
      </w:pPr>
      <w:r>
        <w:rPr>
          <w:b/>
          <w:color w:val="FF0000"/>
        </w:rPr>
        <w:t xml:space="preserve">c)  </w:t>
      </w:r>
      <w:r w:rsidR="005C5DAA">
        <w:rPr>
          <w:b/>
          <w:color w:val="FF0000"/>
        </w:rPr>
        <w:t>Yes.</w:t>
      </w:r>
    </w:p>
    <w:p w:rsidR="005B5904" w:rsidRPr="005B5904" w:rsidRDefault="005B5904" w:rsidP="005B5904">
      <w:pPr>
        <w:spacing w:after="0"/>
        <w:rPr>
          <w:b/>
          <w:color w:val="FF0000"/>
        </w:rPr>
      </w:pPr>
    </w:p>
    <w:p w:rsidR="005B5904" w:rsidRPr="005B5904" w:rsidRDefault="005B5904" w:rsidP="005B5904">
      <w:pPr>
        <w:spacing w:after="0"/>
        <w:rPr>
          <w:b/>
          <w:color w:val="FF0000"/>
        </w:rPr>
      </w:pPr>
      <w:r w:rsidRPr="005B5904">
        <w:rPr>
          <w:b/>
          <w:color w:val="FF0000"/>
        </w:rPr>
        <w:t xml:space="preserve">d)  The allocation of charge type 148 </w:t>
      </w:r>
      <w:r>
        <w:rPr>
          <w:b/>
          <w:color w:val="FF0000"/>
        </w:rPr>
        <w:t>h</w:t>
      </w:r>
      <w:r w:rsidR="00D82EB6">
        <w:rPr>
          <w:b/>
          <w:color w:val="FF0000"/>
        </w:rPr>
        <w:t>as been trued-</w:t>
      </w:r>
      <w:r w:rsidRPr="005B5904">
        <w:rPr>
          <w:b/>
          <w:color w:val="FF0000"/>
        </w:rPr>
        <w:t>up to the actual proportion of RPP/non-RPP consumption.</w:t>
      </w:r>
    </w:p>
    <w:p w:rsidR="005B5904" w:rsidRPr="005B5904" w:rsidRDefault="005B5904" w:rsidP="005B5904">
      <w:pPr>
        <w:rPr>
          <w:rFonts w:ascii="Arial" w:eastAsia="Times New Roman" w:hAnsi="Arial" w:cs="Arial"/>
          <w:sz w:val="24"/>
          <w:szCs w:val="24"/>
        </w:rPr>
      </w:pPr>
    </w:p>
    <w:sectPr w:rsidR="005B5904" w:rsidRPr="005B5904" w:rsidSect="00CD3323">
      <w:headerReference w:type="default" r:id="rId9"/>
      <w:footerReference w:type="default" r:id="rId10"/>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839" w:rsidRDefault="00871839" w:rsidP="00FB1EDF">
      <w:pPr>
        <w:spacing w:after="0" w:line="240" w:lineRule="auto"/>
      </w:pPr>
      <w:r>
        <w:separator/>
      </w:r>
    </w:p>
  </w:endnote>
  <w:endnote w:type="continuationSeparator" w:id="0">
    <w:p w:rsidR="00871839" w:rsidRDefault="00871839" w:rsidP="00FB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7545821"/>
      <w:docPartObj>
        <w:docPartGallery w:val="Page Numbers (Bottom of Page)"/>
        <w:docPartUnique/>
      </w:docPartObj>
    </w:sdtPr>
    <w:sdtEndPr>
      <w:rPr>
        <w:noProof/>
      </w:rPr>
    </w:sdtEndPr>
    <w:sdtContent>
      <w:p w:rsidR="00B01993" w:rsidRDefault="00B01993">
        <w:pPr>
          <w:pStyle w:val="Footer"/>
          <w:jc w:val="center"/>
        </w:pPr>
        <w:r>
          <w:fldChar w:fldCharType="begin"/>
        </w:r>
        <w:r>
          <w:instrText xml:space="preserve"> PAGE   \* MERGEFORMAT </w:instrText>
        </w:r>
        <w:r>
          <w:fldChar w:fldCharType="separate"/>
        </w:r>
        <w:r w:rsidR="008C34CF">
          <w:rPr>
            <w:noProof/>
          </w:rPr>
          <w:t>- 2 -</w:t>
        </w:r>
        <w:r>
          <w:rPr>
            <w:noProof/>
          </w:rPr>
          <w:fldChar w:fldCharType="end"/>
        </w:r>
      </w:p>
    </w:sdtContent>
  </w:sdt>
  <w:p w:rsidR="00B01993" w:rsidRDefault="001907F4">
    <w:pPr>
      <w:pStyle w:val="Footer"/>
    </w:pPr>
    <w:r>
      <w:t>July 15</w:t>
    </w:r>
    <w:r w:rsidR="00B01993">
      <w:t>,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839" w:rsidRDefault="00871839" w:rsidP="00FB1EDF">
      <w:pPr>
        <w:spacing w:after="0" w:line="240" w:lineRule="auto"/>
      </w:pPr>
      <w:r>
        <w:separator/>
      </w:r>
    </w:p>
  </w:footnote>
  <w:footnote w:type="continuationSeparator" w:id="0">
    <w:p w:rsidR="00871839" w:rsidRDefault="00871839" w:rsidP="00FB1E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993" w:rsidRDefault="00B01993" w:rsidP="005456CD">
    <w:pPr>
      <w:pStyle w:val="Header"/>
      <w:tabs>
        <w:tab w:val="clear" w:pos="9360"/>
        <w:tab w:val="right" w:pos="9630"/>
      </w:tabs>
      <w:ind w:right="-308"/>
    </w:pPr>
    <w:r w:rsidRPr="005456CD">
      <w:rPr>
        <w:rFonts w:asciiTheme="majorHAnsi" w:eastAsiaTheme="majorEastAsia" w:hAnsiTheme="majorHAnsi" w:cstheme="majorBidi"/>
        <w:noProof/>
        <w:color w:val="2E74B5" w:themeColor="accent1" w:themeShade="BF"/>
        <w:sz w:val="26"/>
        <w:szCs w:val="26"/>
      </w:rPr>
      <mc:AlternateContent>
        <mc:Choice Requires="wps">
          <w:drawing>
            <wp:anchor distT="0" distB="0" distL="118745" distR="118745" simplePos="0" relativeHeight="251659264" behindDoc="1" locked="0" layoutInCell="1" allowOverlap="0" wp14:anchorId="5D1E9591" wp14:editId="795CBBF5">
              <wp:simplePos x="0" y="0"/>
              <wp:positionH relativeFrom="margin">
                <wp:posOffset>111760</wp:posOffset>
              </wp:positionH>
              <wp:positionV relativeFrom="page">
                <wp:posOffset>448310</wp:posOffset>
              </wp:positionV>
              <wp:extent cx="3242945" cy="547370"/>
              <wp:effectExtent l="0" t="0" r="0" b="5080"/>
              <wp:wrapSquare wrapText="bothSides"/>
              <wp:docPr id="197" name="Rectangle 197"/>
              <wp:cNvGraphicFramePr/>
              <a:graphic xmlns:a="http://schemas.openxmlformats.org/drawingml/2006/main">
                <a:graphicData uri="http://schemas.microsoft.com/office/word/2010/wordprocessingShape">
                  <wps:wsp>
                    <wps:cNvSpPr/>
                    <wps:spPr>
                      <a:xfrm>
                        <a:off x="0" y="0"/>
                        <a:ext cx="3242945" cy="54737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B01993" w:rsidRPr="005456CD" w:rsidRDefault="00B01993" w:rsidP="001E17B6">
                              <w:pPr>
                                <w:pStyle w:val="Header"/>
                                <w:tabs>
                                  <w:tab w:val="clear" w:pos="4680"/>
                                  <w:tab w:val="clear" w:pos="9360"/>
                                </w:tabs>
                                <w:jc w:val="center"/>
                                <w:rPr>
                                  <w:b/>
                                  <w:caps/>
                                  <w:color w:val="FFFFFF" w:themeColor="background1"/>
                                  <w:sz w:val="28"/>
                                  <w:szCs w:val="28"/>
                                </w:rPr>
                              </w:pPr>
                              <w:r>
                                <w:rPr>
                                  <w:b/>
                                  <w:caps/>
                                  <w:color w:val="FFFFFF" w:themeColor="background1"/>
                                  <w:sz w:val="28"/>
                                  <w:szCs w:val="28"/>
                                </w:rPr>
                                <w:t xml:space="preserve">completing </w:t>
                              </w:r>
                              <w:r w:rsidRPr="005456CD">
                                <w:rPr>
                                  <w:b/>
                                  <w:caps/>
                                  <w:color w:val="FFFFFF" w:themeColor="background1"/>
                                  <w:sz w:val="28"/>
                                  <w:szCs w:val="28"/>
                                </w:rPr>
                                <w:t>GA ANALYSIS WORKFORM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D1E9591" id="Rectangle 197" o:spid="_x0000_s1026" style="position:absolute;margin-left:8.8pt;margin-top:35.3pt;width:255.35pt;height:43.1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" o:allowoverlap="f" fillcolor="#5b9bd5 [3204]" stroked="f" strokeweight="1pt">
              <v:textbox>
                <w:txbxContent>
                  <w:sdt>
                    <w:sdtPr>
                      <w:rPr>
                        <w:b/>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B01993" w:rsidRPr="005456CD" w:rsidRDefault="00B01993" w:rsidP="001E17B6">
                        <w:pPr>
                          <w:pStyle w:val="Header"/>
                          <w:tabs>
                            <w:tab w:val="clear" w:pos="4680"/>
                            <w:tab w:val="clear" w:pos="9360"/>
                          </w:tabs>
                          <w:jc w:val="center"/>
                          <w:rPr>
                            <w:b/>
                            <w:caps/>
                            <w:color w:val="FFFFFF" w:themeColor="background1"/>
                            <w:sz w:val="28"/>
                            <w:szCs w:val="28"/>
                          </w:rPr>
                        </w:pPr>
                        <w:r>
                          <w:rPr>
                            <w:b/>
                            <w:caps/>
                            <w:color w:val="FFFFFF" w:themeColor="background1"/>
                            <w:sz w:val="28"/>
                            <w:szCs w:val="28"/>
                          </w:rPr>
                          <w:t xml:space="preserve">completing </w:t>
                        </w:r>
                        <w:r w:rsidRPr="005456CD">
                          <w:rPr>
                            <w:b/>
                            <w:caps/>
                            <w:color w:val="FFFFFF" w:themeColor="background1"/>
                            <w:sz w:val="28"/>
                            <w:szCs w:val="28"/>
                          </w:rPr>
                          <w:t>GA ANALYSIS WORKFORM</w:t>
                        </w:r>
                      </w:p>
                    </w:sdtContent>
                  </w:sdt>
                </w:txbxContent>
              </v:textbox>
              <w10:wrap type="square" anchorx="margin" anchory="page"/>
            </v:rect>
          </w:pict>
        </mc:Fallback>
      </mc:AlternateContent>
    </w:r>
    <w:r>
      <w:rPr>
        <w:noProof/>
      </w:rPr>
      <w:drawing>
        <wp:inline distT="0" distB="0" distL="0" distR="0" wp14:anchorId="75A38F80" wp14:editId="1EC5181D">
          <wp:extent cx="1841792" cy="537845"/>
          <wp:effectExtent l="0" t="0" r="6350" b="0"/>
          <wp:docPr id="1" name="Picture 1" descr="cid:image003.png@01D2B441.FBB19980"/>
          <wp:cNvGraphicFramePr/>
          <a:graphic xmlns:a="http://schemas.openxmlformats.org/drawingml/2006/main">
            <a:graphicData uri="http://schemas.openxmlformats.org/drawingml/2006/picture">
              <pic:pic xmlns:pic="http://schemas.openxmlformats.org/drawingml/2006/picture">
                <pic:nvPicPr>
                  <pic:cNvPr id="1" name="Picture 1" descr="cid:image003.png@01D2B441.FBB1998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99" cy="547046"/>
                  </a:xfrm>
                  <a:prstGeom prst="rect">
                    <a:avLst/>
                  </a:prstGeom>
                  <a:noFill/>
                  <a:ln>
                    <a:noFill/>
                  </a:ln>
                </pic:spPr>
              </pic:pic>
            </a:graphicData>
          </a:graphic>
        </wp:inline>
      </w:drawing>
    </w:r>
  </w:p>
  <w:p w:rsidR="00B01993" w:rsidRDefault="00B01993" w:rsidP="005456CD">
    <w:pPr>
      <w:pStyle w:val="Header"/>
      <w:tabs>
        <w:tab w:val="clear" w:pos="9360"/>
        <w:tab w:val="right" w:pos="9630"/>
      </w:tabs>
      <w:ind w:right="-308"/>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1096"/>
    <w:multiLevelType w:val="hybridMultilevel"/>
    <w:tmpl w:val="DCDC6760"/>
    <w:lvl w:ilvl="0" w:tplc="B990496E">
      <w:start w:val="2016"/>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2E0A90"/>
    <w:multiLevelType w:val="hybridMultilevel"/>
    <w:tmpl w:val="83CCC71A"/>
    <w:lvl w:ilvl="0" w:tplc="B990496E">
      <w:start w:val="2016"/>
      <w:numFmt w:val="bullet"/>
      <w:lvlText w:val="•"/>
      <w:lvlJc w:val="left"/>
      <w:pPr>
        <w:ind w:left="1079" w:hanging="360"/>
      </w:pPr>
      <w:rPr>
        <w:rFonts w:ascii="Arial" w:eastAsia="Times New Roman" w:hAnsi="Arial" w:cs="Arial" w:hint="default"/>
      </w:rPr>
    </w:lvl>
    <w:lvl w:ilvl="1" w:tplc="04090003">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 w15:restartNumberingAfterBreak="0">
    <w:nsid w:val="055121CB"/>
    <w:multiLevelType w:val="hybridMultilevel"/>
    <w:tmpl w:val="634AAC2A"/>
    <w:lvl w:ilvl="0" w:tplc="38E0798A">
      <w:start w:val="9"/>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 w15:restartNumberingAfterBreak="0">
    <w:nsid w:val="05F960D3"/>
    <w:multiLevelType w:val="hybridMultilevel"/>
    <w:tmpl w:val="60308D6E"/>
    <w:lvl w:ilvl="0" w:tplc="1A08189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46917"/>
    <w:multiLevelType w:val="hybridMultilevel"/>
    <w:tmpl w:val="E5E89D92"/>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7892E6DA">
      <w:start w:val="7"/>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416936"/>
    <w:multiLevelType w:val="hybridMultilevel"/>
    <w:tmpl w:val="0450CE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9635E5"/>
    <w:multiLevelType w:val="hybridMultilevel"/>
    <w:tmpl w:val="BA921FE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CC6182F"/>
    <w:multiLevelType w:val="hybridMultilevel"/>
    <w:tmpl w:val="E9947928"/>
    <w:lvl w:ilvl="0" w:tplc="B990496E">
      <w:start w:val="2016"/>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314A25"/>
    <w:multiLevelType w:val="hybridMultilevel"/>
    <w:tmpl w:val="45BA60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AB45F7"/>
    <w:multiLevelType w:val="hybridMultilevel"/>
    <w:tmpl w:val="CA887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930542"/>
    <w:multiLevelType w:val="hybridMultilevel"/>
    <w:tmpl w:val="A7F4EA92"/>
    <w:lvl w:ilvl="0" w:tplc="D0EA473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597F74"/>
    <w:multiLevelType w:val="hybridMultilevel"/>
    <w:tmpl w:val="AA366606"/>
    <w:lvl w:ilvl="0" w:tplc="B990496E">
      <w:start w:val="2016"/>
      <w:numFmt w:val="bullet"/>
      <w:lvlText w:val="•"/>
      <w:lvlJc w:val="left"/>
      <w:pPr>
        <w:ind w:left="1800" w:hanging="360"/>
      </w:pPr>
      <w:rPr>
        <w:rFonts w:ascii="Arial" w:eastAsia="Times New Roman" w:hAnsi="Arial" w:cs="Arial"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6723051"/>
    <w:multiLevelType w:val="hybridMultilevel"/>
    <w:tmpl w:val="33800D7A"/>
    <w:lvl w:ilvl="0" w:tplc="B990496E">
      <w:start w:val="2016"/>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ED45D9"/>
    <w:multiLevelType w:val="hybridMultilevel"/>
    <w:tmpl w:val="5540FD10"/>
    <w:lvl w:ilvl="0" w:tplc="0409000F">
      <w:start w:val="10"/>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406839"/>
    <w:multiLevelType w:val="hybridMultilevel"/>
    <w:tmpl w:val="4594C708"/>
    <w:lvl w:ilvl="0" w:tplc="B990496E">
      <w:start w:val="2016"/>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FD1432"/>
    <w:multiLevelType w:val="hybridMultilevel"/>
    <w:tmpl w:val="D8CEE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363B7"/>
    <w:multiLevelType w:val="hybridMultilevel"/>
    <w:tmpl w:val="DDBC1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290B2C"/>
    <w:multiLevelType w:val="hybridMultilevel"/>
    <w:tmpl w:val="CE2285E6"/>
    <w:lvl w:ilvl="0" w:tplc="0409000F">
      <w:start w:val="1"/>
      <w:numFmt w:val="decimal"/>
      <w:lvlText w:val="%1."/>
      <w:lvlJc w:val="left"/>
      <w:pPr>
        <w:ind w:left="630" w:hanging="360"/>
      </w:p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6C5FE3"/>
    <w:multiLevelType w:val="hybridMultilevel"/>
    <w:tmpl w:val="88A2402A"/>
    <w:lvl w:ilvl="0" w:tplc="B990496E">
      <w:start w:val="2016"/>
      <w:numFmt w:val="bullet"/>
      <w:lvlText w:val="•"/>
      <w:lvlJc w:val="left"/>
      <w:pPr>
        <w:ind w:left="1080" w:hanging="360"/>
      </w:pPr>
      <w:rPr>
        <w:rFonts w:ascii="Arial" w:eastAsia="Times New Roman" w:hAnsi="Arial" w:cs="Aria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5B0166"/>
    <w:multiLevelType w:val="hybridMultilevel"/>
    <w:tmpl w:val="4436434E"/>
    <w:lvl w:ilvl="0" w:tplc="9A986532">
      <w:start w:val="1"/>
      <w:numFmt w:val="lowerLetter"/>
      <w:lvlText w:val="%1."/>
      <w:lvlJc w:val="left"/>
      <w:pPr>
        <w:ind w:left="1080" w:hanging="360"/>
      </w:pPr>
      <w:rPr>
        <w:rFonts w:ascii="Arial" w:hAnsi="Arial" w:cs="Arial"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4877AB4"/>
    <w:multiLevelType w:val="hybridMultilevel"/>
    <w:tmpl w:val="7C624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5892697"/>
    <w:multiLevelType w:val="hybridMultilevel"/>
    <w:tmpl w:val="07DE5406"/>
    <w:lvl w:ilvl="0" w:tplc="AE7AEE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387EE7"/>
    <w:multiLevelType w:val="hybridMultilevel"/>
    <w:tmpl w:val="5CFCAD00"/>
    <w:lvl w:ilvl="0" w:tplc="B990496E">
      <w:start w:val="201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B0218C4"/>
    <w:multiLevelType w:val="hybridMultilevel"/>
    <w:tmpl w:val="8FBA7C2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BA50C0D"/>
    <w:multiLevelType w:val="hybridMultilevel"/>
    <w:tmpl w:val="BDC004E8"/>
    <w:lvl w:ilvl="0" w:tplc="B990496E">
      <w:start w:val="2016"/>
      <w:numFmt w:val="bullet"/>
      <w:lvlText w:val="•"/>
      <w:lvlJc w:val="left"/>
      <w:pPr>
        <w:ind w:left="434" w:hanging="360"/>
      </w:pPr>
      <w:rPr>
        <w:rFonts w:ascii="Arial" w:eastAsia="Times New Roman" w:hAnsi="Arial" w:cs="Arial" w:hint="default"/>
      </w:rPr>
    </w:lvl>
    <w:lvl w:ilvl="1" w:tplc="04090003">
      <w:start w:val="1"/>
      <w:numFmt w:val="bullet"/>
      <w:lvlText w:val="o"/>
      <w:lvlJc w:val="left"/>
      <w:pPr>
        <w:ind w:left="1154" w:hanging="360"/>
      </w:pPr>
      <w:rPr>
        <w:rFonts w:ascii="Courier New" w:hAnsi="Courier New" w:cs="Courier New" w:hint="default"/>
      </w:rPr>
    </w:lvl>
    <w:lvl w:ilvl="2" w:tplc="B990496E">
      <w:start w:val="2016"/>
      <w:numFmt w:val="bullet"/>
      <w:lvlText w:val="•"/>
      <w:lvlJc w:val="left"/>
      <w:pPr>
        <w:ind w:left="1874" w:hanging="360"/>
      </w:pPr>
      <w:rPr>
        <w:rFonts w:ascii="Arial" w:eastAsia="Times New Roman" w:hAnsi="Arial" w:cs="Arial" w:hint="default"/>
      </w:rPr>
    </w:lvl>
    <w:lvl w:ilvl="3" w:tplc="04090001">
      <w:start w:val="1"/>
      <w:numFmt w:val="bullet"/>
      <w:lvlText w:val=""/>
      <w:lvlJc w:val="left"/>
      <w:pPr>
        <w:ind w:left="2594" w:hanging="360"/>
      </w:pPr>
      <w:rPr>
        <w:rFonts w:ascii="Symbol" w:hAnsi="Symbol" w:hint="default"/>
      </w:rPr>
    </w:lvl>
    <w:lvl w:ilvl="4" w:tplc="04090003" w:tentative="1">
      <w:start w:val="1"/>
      <w:numFmt w:val="bullet"/>
      <w:lvlText w:val="o"/>
      <w:lvlJc w:val="left"/>
      <w:pPr>
        <w:ind w:left="3314" w:hanging="360"/>
      </w:pPr>
      <w:rPr>
        <w:rFonts w:ascii="Courier New" w:hAnsi="Courier New" w:cs="Courier New" w:hint="default"/>
      </w:rPr>
    </w:lvl>
    <w:lvl w:ilvl="5" w:tplc="04090005" w:tentative="1">
      <w:start w:val="1"/>
      <w:numFmt w:val="bullet"/>
      <w:lvlText w:val=""/>
      <w:lvlJc w:val="left"/>
      <w:pPr>
        <w:ind w:left="4034" w:hanging="360"/>
      </w:pPr>
      <w:rPr>
        <w:rFonts w:ascii="Wingdings" w:hAnsi="Wingdings" w:hint="default"/>
      </w:rPr>
    </w:lvl>
    <w:lvl w:ilvl="6" w:tplc="04090001" w:tentative="1">
      <w:start w:val="1"/>
      <w:numFmt w:val="bullet"/>
      <w:lvlText w:val=""/>
      <w:lvlJc w:val="left"/>
      <w:pPr>
        <w:ind w:left="4754" w:hanging="360"/>
      </w:pPr>
      <w:rPr>
        <w:rFonts w:ascii="Symbol" w:hAnsi="Symbol" w:hint="default"/>
      </w:rPr>
    </w:lvl>
    <w:lvl w:ilvl="7" w:tplc="04090003" w:tentative="1">
      <w:start w:val="1"/>
      <w:numFmt w:val="bullet"/>
      <w:lvlText w:val="o"/>
      <w:lvlJc w:val="left"/>
      <w:pPr>
        <w:ind w:left="5474" w:hanging="360"/>
      </w:pPr>
      <w:rPr>
        <w:rFonts w:ascii="Courier New" w:hAnsi="Courier New" w:cs="Courier New" w:hint="default"/>
      </w:rPr>
    </w:lvl>
    <w:lvl w:ilvl="8" w:tplc="04090005" w:tentative="1">
      <w:start w:val="1"/>
      <w:numFmt w:val="bullet"/>
      <w:lvlText w:val=""/>
      <w:lvlJc w:val="left"/>
      <w:pPr>
        <w:ind w:left="6194" w:hanging="360"/>
      </w:pPr>
      <w:rPr>
        <w:rFonts w:ascii="Wingdings" w:hAnsi="Wingdings" w:hint="default"/>
      </w:rPr>
    </w:lvl>
  </w:abstractNum>
  <w:abstractNum w:abstractNumId="25" w15:restartNumberingAfterBreak="0">
    <w:nsid w:val="5FCD11F3"/>
    <w:multiLevelType w:val="hybridMultilevel"/>
    <w:tmpl w:val="A0A6ACF0"/>
    <w:lvl w:ilvl="0" w:tplc="04090019">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DE4C47"/>
    <w:multiLevelType w:val="hybridMultilevel"/>
    <w:tmpl w:val="FF142BE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1E670BC"/>
    <w:multiLevelType w:val="hybridMultilevel"/>
    <w:tmpl w:val="BC34AECC"/>
    <w:lvl w:ilvl="0" w:tplc="04090017">
      <w:start w:val="1"/>
      <w:numFmt w:val="lowerLetter"/>
      <w:lvlText w:val="%1)"/>
      <w:lvlJc w:val="left"/>
      <w:pPr>
        <w:ind w:left="108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987C38"/>
    <w:multiLevelType w:val="hybridMultilevel"/>
    <w:tmpl w:val="A39E6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0E3057"/>
    <w:multiLevelType w:val="hybridMultilevel"/>
    <w:tmpl w:val="891C5B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9A3C4C"/>
    <w:multiLevelType w:val="hybridMultilevel"/>
    <w:tmpl w:val="8A46361A"/>
    <w:lvl w:ilvl="0" w:tplc="B990496E">
      <w:start w:val="2016"/>
      <w:numFmt w:val="bullet"/>
      <w:lvlText w:val="•"/>
      <w:lvlJc w:val="left"/>
      <w:pPr>
        <w:ind w:left="1080" w:hanging="360"/>
      </w:pPr>
      <w:rPr>
        <w:rFonts w:ascii="Arial" w:eastAsia="Times New Roman" w:hAnsi="Arial" w:cs="Aria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ABD26B2"/>
    <w:multiLevelType w:val="hybridMultilevel"/>
    <w:tmpl w:val="7C624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C5832D9"/>
    <w:multiLevelType w:val="hybridMultilevel"/>
    <w:tmpl w:val="D8D048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349B3"/>
    <w:multiLevelType w:val="hybridMultilevel"/>
    <w:tmpl w:val="5CB61CFE"/>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54B0DFC"/>
    <w:multiLevelType w:val="hybridMultilevel"/>
    <w:tmpl w:val="75969F04"/>
    <w:lvl w:ilvl="0" w:tplc="2CA4F4A4">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506884"/>
    <w:multiLevelType w:val="hybridMultilevel"/>
    <w:tmpl w:val="D8B8CA94"/>
    <w:lvl w:ilvl="0" w:tplc="B990496E">
      <w:start w:val="2016"/>
      <w:numFmt w:val="bullet"/>
      <w:lvlText w:val="•"/>
      <w:lvlJc w:val="left"/>
      <w:pPr>
        <w:ind w:left="434" w:hanging="360"/>
      </w:pPr>
      <w:rPr>
        <w:rFonts w:ascii="Arial" w:eastAsia="Times New Roman" w:hAnsi="Arial" w:cs="Arial" w:hint="default"/>
      </w:rPr>
    </w:lvl>
    <w:lvl w:ilvl="1" w:tplc="04090003">
      <w:start w:val="1"/>
      <w:numFmt w:val="bullet"/>
      <w:lvlText w:val="o"/>
      <w:lvlJc w:val="left"/>
      <w:pPr>
        <w:ind w:left="1154" w:hanging="360"/>
      </w:pPr>
      <w:rPr>
        <w:rFonts w:ascii="Courier New" w:hAnsi="Courier New" w:cs="Courier New" w:hint="default"/>
      </w:rPr>
    </w:lvl>
    <w:lvl w:ilvl="2" w:tplc="04090001">
      <w:start w:val="1"/>
      <w:numFmt w:val="bullet"/>
      <w:lvlText w:val=""/>
      <w:lvlJc w:val="left"/>
      <w:pPr>
        <w:ind w:left="1874" w:hanging="360"/>
      </w:pPr>
      <w:rPr>
        <w:rFonts w:ascii="Symbol" w:hAnsi="Symbol" w:hint="default"/>
      </w:rPr>
    </w:lvl>
    <w:lvl w:ilvl="3" w:tplc="04090001" w:tentative="1">
      <w:start w:val="1"/>
      <w:numFmt w:val="bullet"/>
      <w:lvlText w:val=""/>
      <w:lvlJc w:val="left"/>
      <w:pPr>
        <w:ind w:left="2594" w:hanging="360"/>
      </w:pPr>
      <w:rPr>
        <w:rFonts w:ascii="Symbol" w:hAnsi="Symbol" w:hint="default"/>
      </w:rPr>
    </w:lvl>
    <w:lvl w:ilvl="4" w:tplc="04090003" w:tentative="1">
      <w:start w:val="1"/>
      <w:numFmt w:val="bullet"/>
      <w:lvlText w:val="o"/>
      <w:lvlJc w:val="left"/>
      <w:pPr>
        <w:ind w:left="3314" w:hanging="360"/>
      </w:pPr>
      <w:rPr>
        <w:rFonts w:ascii="Courier New" w:hAnsi="Courier New" w:cs="Courier New" w:hint="default"/>
      </w:rPr>
    </w:lvl>
    <w:lvl w:ilvl="5" w:tplc="04090005" w:tentative="1">
      <w:start w:val="1"/>
      <w:numFmt w:val="bullet"/>
      <w:lvlText w:val=""/>
      <w:lvlJc w:val="left"/>
      <w:pPr>
        <w:ind w:left="4034" w:hanging="360"/>
      </w:pPr>
      <w:rPr>
        <w:rFonts w:ascii="Wingdings" w:hAnsi="Wingdings" w:hint="default"/>
      </w:rPr>
    </w:lvl>
    <w:lvl w:ilvl="6" w:tplc="04090001" w:tentative="1">
      <w:start w:val="1"/>
      <w:numFmt w:val="bullet"/>
      <w:lvlText w:val=""/>
      <w:lvlJc w:val="left"/>
      <w:pPr>
        <w:ind w:left="4754" w:hanging="360"/>
      </w:pPr>
      <w:rPr>
        <w:rFonts w:ascii="Symbol" w:hAnsi="Symbol" w:hint="default"/>
      </w:rPr>
    </w:lvl>
    <w:lvl w:ilvl="7" w:tplc="04090003" w:tentative="1">
      <w:start w:val="1"/>
      <w:numFmt w:val="bullet"/>
      <w:lvlText w:val="o"/>
      <w:lvlJc w:val="left"/>
      <w:pPr>
        <w:ind w:left="5474" w:hanging="360"/>
      </w:pPr>
      <w:rPr>
        <w:rFonts w:ascii="Courier New" w:hAnsi="Courier New" w:cs="Courier New" w:hint="default"/>
      </w:rPr>
    </w:lvl>
    <w:lvl w:ilvl="8" w:tplc="04090005" w:tentative="1">
      <w:start w:val="1"/>
      <w:numFmt w:val="bullet"/>
      <w:lvlText w:val=""/>
      <w:lvlJc w:val="left"/>
      <w:pPr>
        <w:ind w:left="6194" w:hanging="360"/>
      </w:pPr>
      <w:rPr>
        <w:rFonts w:ascii="Wingdings" w:hAnsi="Wingdings" w:hint="default"/>
      </w:rPr>
    </w:lvl>
  </w:abstractNum>
  <w:abstractNum w:abstractNumId="36" w15:restartNumberingAfterBreak="0">
    <w:nsid w:val="7BD26F92"/>
    <w:multiLevelType w:val="hybridMultilevel"/>
    <w:tmpl w:val="F3EA01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C646911"/>
    <w:multiLevelType w:val="hybridMultilevel"/>
    <w:tmpl w:val="28522D20"/>
    <w:lvl w:ilvl="0" w:tplc="B990496E">
      <w:start w:val="201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D9215BC"/>
    <w:multiLevelType w:val="hybridMultilevel"/>
    <w:tmpl w:val="A0A6ACF0"/>
    <w:lvl w:ilvl="0" w:tplc="04090019">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6C2A78"/>
    <w:multiLevelType w:val="hybridMultilevel"/>
    <w:tmpl w:val="CDEC69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FBA4EE6"/>
    <w:multiLevelType w:val="hybridMultilevel"/>
    <w:tmpl w:val="29FC1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7"/>
  </w:num>
  <w:num w:numId="3">
    <w:abstractNumId w:val="11"/>
  </w:num>
  <w:num w:numId="4">
    <w:abstractNumId w:val="0"/>
  </w:num>
  <w:num w:numId="5">
    <w:abstractNumId w:val="37"/>
  </w:num>
  <w:num w:numId="6">
    <w:abstractNumId w:val="33"/>
  </w:num>
  <w:num w:numId="7">
    <w:abstractNumId w:val="34"/>
  </w:num>
  <w:num w:numId="8">
    <w:abstractNumId w:val="4"/>
  </w:num>
  <w:num w:numId="9">
    <w:abstractNumId w:val="1"/>
  </w:num>
  <w:num w:numId="10">
    <w:abstractNumId w:val="35"/>
  </w:num>
  <w:num w:numId="11">
    <w:abstractNumId w:val="30"/>
  </w:num>
  <w:num w:numId="12">
    <w:abstractNumId w:val="7"/>
  </w:num>
  <w:num w:numId="13">
    <w:abstractNumId w:val="18"/>
  </w:num>
  <w:num w:numId="14">
    <w:abstractNumId w:val="14"/>
  </w:num>
  <w:num w:numId="15">
    <w:abstractNumId w:val="16"/>
  </w:num>
  <w:num w:numId="16">
    <w:abstractNumId w:val="19"/>
  </w:num>
  <w:num w:numId="17">
    <w:abstractNumId w:val="38"/>
  </w:num>
  <w:num w:numId="18">
    <w:abstractNumId w:val="26"/>
  </w:num>
  <w:num w:numId="19">
    <w:abstractNumId w:val="3"/>
  </w:num>
  <w:num w:numId="20">
    <w:abstractNumId w:val="31"/>
  </w:num>
  <w:num w:numId="21">
    <w:abstractNumId w:val="20"/>
  </w:num>
  <w:num w:numId="22">
    <w:abstractNumId w:val="25"/>
  </w:num>
  <w:num w:numId="23">
    <w:abstractNumId w:val="28"/>
  </w:num>
  <w:num w:numId="24">
    <w:abstractNumId w:val="40"/>
  </w:num>
  <w:num w:numId="25">
    <w:abstractNumId w:val="2"/>
  </w:num>
  <w:num w:numId="26">
    <w:abstractNumId w:val="5"/>
  </w:num>
  <w:num w:numId="27">
    <w:abstractNumId w:val="9"/>
  </w:num>
  <w:num w:numId="28">
    <w:abstractNumId w:val="12"/>
  </w:num>
  <w:num w:numId="29">
    <w:abstractNumId w:val="39"/>
  </w:num>
  <w:num w:numId="30">
    <w:abstractNumId w:val="24"/>
  </w:num>
  <w:num w:numId="31">
    <w:abstractNumId w:val="6"/>
  </w:num>
  <w:num w:numId="32">
    <w:abstractNumId w:val="23"/>
  </w:num>
  <w:num w:numId="33">
    <w:abstractNumId w:val="36"/>
  </w:num>
  <w:num w:numId="34">
    <w:abstractNumId w:val="8"/>
  </w:num>
  <w:num w:numId="35">
    <w:abstractNumId w:val="29"/>
  </w:num>
  <w:num w:numId="36">
    <w:abstractNumId w:val="32"/>
  </w:num>
  <w:num w:numId="37">
    <w:abstractNumId w:val="17"/>
  </w:num>
  <w:num w:numId="38">
    <w:abstractNumId w:val="15"/>
  </w:num>
  <w:num w:numId="39">
    <w:abstractNumId w:val="21"/>
  </w:num>
  <w:num w:numId="40">
    <w:abstractNumId w:val="13"/>
  </w:num>
  <w:num w:numId="4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EDF"/>
    <w:rsid w:val="0000233E"/>
    <w:rsid w:val="000306EA"/>
    <w:rsid w:val="00030926"/>
    <w:rsid w:val="0006442D"/>
    <w:rsid w:val="00073734"/>
    <w:rsid w:val="0008407E"/>
    <w:rsid w:val="00090D35"/>
    <w:rsid w:val="000C5E51"/>
    <w:rsid w:val="000F1FA6"/>
    <w:rsid w:val="000F4CBF"/>
    <w:rsid w:val="00114C8C"/>
    <w:rsid w:val="0011626B"/>
    <w:rsid w:val="00152EE3"/>
    <w:rsid w:val="00174AD8"/>
    <w:rsid w:val="001907F4"/>
    <w:rsid w:val="001A2777"/>
    <w:rsid w:val="001B699F"/>
    <w:rsid w:val="001B6B60"/>
    <w:rsid w:val="001C3862"/>
    <w:rsid w:val="001C667F"/>
    <w:rsid w:val="001E17B6"/>
    <w:rsid w:val="001E3FF0"/>
    <w:rsid w:val="001F7E13"/>
    <w:rsid w:val="00202194"/>
    <w:rsid w:val="002112C8"/>
    <w:rsid w:val="00211EB2"/>
    <w:rsid w:val="00216893"/>
    <w:rsid w:val="0023632F"/>
    <w:rsid w:val="00246022"/>
    <w:rsid w:val="002651E6"/>
    <w:rsid w:val="0026559C"/>
    <w:rsid w:val="00266953"/>
    <w:rsid w:val="00271F50"/>
    <w:rsid w:val="002749FC"/>
    <w:rsid w:val="00276481"/>
    <w:rsid w:val="002867FC"/>
    <w:rsid w:val="00292776"/>
    <w:rsid w:val="00293665"/>
    <w:rsid w:val="002A2870"/>
    <w:rsid w:val="002A3B55"/>
    <w:rsid w:val="002A51FD"/>
    <w:rsid w:val="002A6944"/>
    <w:rsid w:val="002A7B3A"/>
    <w:rsid w:val="002C1702"/>
    <w:rsid w:val="002D1AEC"/>
    <w:rsid w:val="002D6097"/>
    <w:rsid w:val="002E59DC"/>
    <w:rsid w:val="002F25DB"/>
    <w:rsid w:val="00310B54"/>
    <w:rsid w:val="00314304"/>
    <w:rsid w:val="00325817"/>
    <w:rsid w:val="00327BF7"/>
    <w:rsid w:val="0033205D"/>
    <w:rsid w:val="00333867"/>
    <w:rsid w:val="00347ED2"/>
    <w:rsid w:val="0035377E"/>
    <w:rsid w:val="0036499B"/>
    <w:rsid w:val="0037069F"/>
    <w:rsid w:val="0039570B"/>
    <w:rsid w:val="00396EAB"/>
    <w:rsid w:val="003B782E"/>
    <w:rsid w:val="003C03E1"/>
    <w:rsid w:val="003F006A"/>
    <w:rsid w:val="003F450A"/>
    <w:rsid w:val="0040026A"/>
    <w:rsid w:val="00405880"/>
    <w:rsid w:val="00421DF5"/>
    <w:rsid w:val="00444539"/>
    <w:rsid w:val="004511EA"/>
    <w:rsid w:val="0045412A"/>
    <w:rsid w:val="004A201E"/>
    <w:rsid w:val="004B4ED4"/>
    <w:rsid w:val="004C1548"/>
    <w:rsid w:val="004C4A06"/>
    <w:rsid w:val="004D6721"/>
    <w:rsid w:val="004D7863"/>
    <w:rsid w:val="004E085B"/>
    <w:rsid w:val="004E0B59"/>
    <w:rsid w:val="004F6549"/>
    <w:rsid w:val="00507BCB"/>
    <w:rsid w:val="00512E3A"/>
    <w:rsid w:val="00541FF6"/>
    <w:rsid w:val="00543367"/>
    <w:rsid w:val="005456CD"/>
    <w:rsid w:val="00550838"/>
    <w:rsid w:val="00557597"/>
    <w:rsid w:val="005705A7"/>
    <w:rsid w:val="00581014"/>
    <w:rsid w:val="005930BC"/>
    <w:rsid w:val="005A539A"/>
    <w:rsid w:val="005B3F63"/>
    <w:rsid w:val="005B5904"/>
    <w:rsid w:val="005C3530"/>
    <w:rsid w:val="005C5C30"/>
    <w:rsid w:val="005C5DAA"/>
    <w:rsid w:val="005E2329"/>
    <w:rsid w:val="005E69C3"/>
    <w:rsid w:val="005F2202"/>
    <w:rsid w:val="005F6E91"/>
    <w:rsid w:val="0060473C"/>
    <w:rsid w:val="00626313"/>
    <w:rsid w:val="006517EE"/>
    <w:rsid w:val="00663F6F"/>
    <w:rsid w:val="00672B15"/>
    <w:rsid w:val="00672DA9"/>
    <w:rsid w:val="00673822"/>
    <w:rsid w:val="00683718"/>
    <w:rsid w:val="00692A13"/>
    <w:rsid w:val="006D70F3"/>
    <w:rsid w:val="006E4BA8"/>
    <w:rsid w:val="006F0C27"/>
    <w:rsid w:val="006F7AE9"/>
    <w:rsid w:val="00720F6F"/>
    <w:rsid w:val="007438AA"/>
    <w:rsid w:val="00750AEC"/>
    <w:rsid w:val="00765A71"/>
    <w:rsid w:val="00770282"/>
    <w:rsid w:val="00772AB6"/>
    <w:rsid w:val="00793CAF"/>
    <w:rsid w:val="007A430A"/>
    <w:rsid w:val="007B60EB"/>
    <w:rsid w:val="007E08D0"/>
    <w:rsid w:val="007E47B5"/>
    <w:rsid w:val="007E605A"/>
    <w:rsid w:val="007F6A11"/>
    <w:rsid w:val="0080470B"/>
    <w:rsid w:val="00824039"/>
    <w:rsid w:val="00824A1B"/>
    <w:rsid w:val="00826AFB"/>
    <w:rsid w:val="00833ACC"/>
    <w:rsid w:val="00836730"/>
    <w:rsid w:val="00836DA3"/>
    <w:rsid w:val="0084493C"/>
    <w:rsid w:val="00871839"/>
    <w:rsid w:val="00884379"/>
    <w:rsid w:val="008A5869"/>
    <w:rsid w:val="008C00DC"/>
    <w:rsid w:val="008C34CF"/>
    <w:rsid w:val="008C5180"/>
    <w:rsid w:val="008E1DBC"/>
    <w:rsid w:val="008E5BF1"/>
    <w:rsid w:val="008F3984"/>
    <w:rsid w:val="008F3AD5"/>
    <w:rsid w:val="008F5ED8"/>
    <w:rsid w:val="00913173"/>
    <w:rsid w:val="00940EFA"/>
    <w:rsid w:val="00944E1E"/>
    <w:rsid w:val="009567D1"/>
    <w:rsid w:val="009612D2"/>
    <w:rsid w:val="00964D5F"/>
    <w:rsid w:val="00984E8D"/>
    <w:rsid w:val="009A65B2"/>
    <w:rsid w:val="009B1C17"/>
    <w:rsid w:val="009C2D09"/>
    <w:rsid w:val="009C7A95"/>
    <w:rsid w:val="009E514A"/>
    <w:rsid w:val="009F2692"/>
    <w:rsid w:val="009F503B"/>
    <w:rsid w:val="00A235E0"/>
    <w:rsid w:val="00A2493C"/>
    <w:rsid w:val="00A30887"/>
    <w:rsid w:val="00A439ED"/>
    <w:rsid w:val="00A518BE"/>
    <w:rsid w:val="00A64342"/>
    <w:rsid w:val="00A72E28"/>
    <w:rsid w:val="00A731F4"/>
    <w:rsid w:val="00A80A88"/>
    <w:rsid w:val="00A83C63"/>
    <w:rsid w:val="00A860E1"/>
    <w:rsid w:val="00AA3059"/>
    <w:rsid w:val="00AB0C10"/>
    <w:rsid w:val="00AB4246"/>
    <w:rsid w:val="00AB5B4F"/>
    <w:rsid w:val="00AC10D8"/>
    <w:rsid w:val="00AD1336"/>
    <w:rsid w:val="00B01993"/>
    <w:rsid w:val="00B2433F"/>
    <w:rsid w:val="00B33C67"/>
    <w:rsid w:val="00B57122"/>
    <w:rsid w:val="00B96E3C"/>
    <w:rsid w:val="00BB490C"/>
    <w:rsid w:val="00BD3E2A"/>
    <w:rsid w:val="00BD560C"/>
    <w:rsid w:val="00BE05F6"/>
    <w:rsid w:val="00BE1799"/>
    <w:rsid w:val="00BE2697"/>
    <w:rsid w:val="00BE461F"/>
    <w:rsid w:val="00BF00D7"/>
    <w:rsid w:val="00BF62EA"/>
    <w:rsid w:val="00C02631"/>
    <w:rsid w:val="00C14E2A"/>
    <w:rsid w:val="00C21A49"/>
    <w:rsid w:val="00C34327"/>
    <w:rsid w:val="00C4500B"/>
    <w:rsid w:val="00C55824"/>
    <w:rsid w:val="00C572AF"/>
    <w:rsid w:val="00C60F56"/>
    <w:rsid w:val="00C760B1"/>
    <w:rsid w:val="00CA3F28"/>
    <w:rsid w:val="00CC4F9F"/>
    <w:rsid w:val="00CD1581"/>
    <w:rsid w:val="00CD3323"/>
    <w:rsid w:val="00CD355D"/>
    <w:rsid w:val="00CF0A8B"/>
    <w:rsid w:val="00D2748F"/>
    <w:rsid w:val="00D37D63"/>
    <w:rsid w:val="00D44D3A"/>
    <w:rsid w:val="00D47152"/>
    <w:rsid w:val="00D53929"/>
    <w:rsid w:val="00D82EB6"/>
    <w:rsid w:val="00D91953"/>
    <w:rsid w:val="00DC0975"/>
    <w:rsid w:val="00DC248B"/>
    <w:rsid w:val="00E045FA"/>
    <w:rsid w:val="00E75A80"/>
    <w:rsid w:val="00E76559"/>
    <w:rsid w:val="00E82C05"/>
    <w:rsid w:val="00EA40B8"/>
    <w:rsid w:val="00EA613B"/>
    <w:rsid w:val="00ED1D67"/>
    <w:rsid w:val="00EF651D"/>
    <w:rsid w:val="00F0777E"/>
    <w:rsid w:val="00F13C09"/>
    <w:rsid w:val="00F27D1C"/>
    <w:rsid w:val="00F303D6"/>
    <w:rsid w:val="00F448E2"/>
    <w:rsid w:val="00F52EFB"/>
    <w:rsid w:val="00F56332"/>
    <w:rsid w:val="00F746F3"/>
    <w:rsid w:val="00F81E3A"/>
    <w:rsid w:val="00F92686"/>
    <w:rsid w:val="00F95226"/>
    <w:rsid w:val="00F96BD9"/>
    <w:rsid w:val="00FA7A12"/>
    <w:rsid w:val="00FB1EDF"/>
    <w:rsid w:val="00FC5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13E370C3-125D-481A-B1E2-989F94BD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EDF"/>
  </w:style>
  <w:style w:type="paragraph" w:styleId="Footer">
    <w:name w:val="footer"/>
    <w:basedOn w:val="Normal"/>
    <w:link w:val="FooterChar"/>
    <w:uiPriority w:val="99"/>
    <w:unhideWhenUsed/>
    <w:rsid w:val="00FB1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EDF"/>
  </w:style>
  <w:style w:type="paragraph" w:styleId="NoSpacing">
    <w:name w:val="No Spacing"/>
    <w:link w:val="NoSpacingChar"/>
    <w:uiPriority w:val="1"/>
    <w:qFormat/>
    <w:rsid w:val="00FB1EDF"/>
    <w:pPr>
      <w:spacing w:after="0" w:line="240" w:lineRule="auto"/>
    </w:pPr>
    <w:rPr>
      <w:rFonts w:eastAsiaTheme="minorEastAsia"/>
    </w:rPr>
  </w:style>
  <w:style w:type="character" w:customStyle="1" w:styleId="NoSpacingChar">
    <w:name w:val="No Spacing Char"/>
    <w:basedOn w:val="DefaultParagraphFont"/>
    <w:link w:val="NoSpacing"/>
    <w:uiPriority w:val="1"/>
    <w:rsid w:val="00FB1EDF"/>
    <w:rPr>
      <w:rFonts w:eastAsiaTheme="minorEastAsia"/>
    </w:rPr>
  </w:style>
  <w:style w:type="character" w:styleId="PlaceholderText">
    <w:name w:val="Placeholder Text"/>
    <w:basedOn w:val="DefaultParagraphFont"/>
    <w:uiPriority w:val="99"/>
    <w:semiHidden/>
    <w:rsid w:val="00543367"/>
    <w:rPr>
      <w:color w:val="808080"/>
    </w:rPr>
  </w:style>
  <w:style w:type="paragraph" w:styleId="ListParagraph">
    <w:name w:val="List Paragraph"/>
    <w:basedOn w:val="Normal"/>
    <w:uiPriority w:val="34"/>
    <w:qFormat/>
    <w:rsid w:val="00D47152"/>
    <w:pPr>
      <w:ind w:left="720"/>
      <w:contextualSpacing/>
    </w:pPr>
  </w:style>
  <w:style w:type="character" w:styleId="CommentReference">
    <w:name w:val="annotation reference"/>
    <w:basedOn w:val="DefaultParagraphFont"/>
    <w:uiPriority w:val="99"/>
    <w:semiHidden/>
    <w:unhideWhenUsed/>
    <w:rsid w:val="00DC0975"/>
    <w:rPr>
      <w:sz w:val="16"/>
      <w:szCs w:val="16"/>
    </w:rPr>
  </w:style>
  <w:style w:type="paragraph" w:styleId="CommentText">
    <w:name w:val="annotation text"/>
    <w:basedOn w:val="Normal"/>
    <w:link w:val="CommentTextChar"/>
    <w:uiPriority w:val="99"/>
    <w:semiHidden/>
    <w:unhideWhenUsed/>
    <w:rsid w:val="00DC0975"/>
    <w:pPr>
      <w:spacing w:line="240" w:lineRule="auto"/>
    </w:pPr>
    <w:rPr>
      <w:sz w:val="20"/>
      <w:szCs w:val="20"/>
    </w:rPr>
  </w:style>
  <w:style w:type="character" w:customStyle="1" w:styleId="CommentTextChar">
    <w:name w:val="Comment Text Char"/>
    <w:basedOn w:val="DefaultParagraphFont"/>
    <w:link w:val="CommentText"/>
    <w:uiPriority w:val="99"/>
    <w:semiHidden/>
    <w:rsid w:val="00DC0975"/>
    <w:rPr>
      <w:sz w:val="20"/>
      <w:szCs w:val="20"/>
    </w:rPr>
  </w:style>
  <w:style w:type="paragraph" w:styleId="CommentSubject">
    <w:name w:val="annotation subject"/>
    <w:basedOn w:val="CommentText"/>
    <w:next w:val="CommentText"/>
    <w:link w:val="CommentSubjectChar"/>
    <w:uiPriority w:val="99"/>
    <w:semiHidden/>
    <w:unhideWhenUsed/>
    <w:rsid w:val="00DC0975"/>
    <w:rPr>
      <w:b/>
      <w:bCs/>
    </w:rPr>
  </w:style>
  <w:style w:type="character" w:customStyle="1" w:styleId="CommentSubjectChar">
    <w:name w:val="Comment Subject Char"/>
    <w:basedOn w:val="CommentTextChar"/>
    <w:link w:val="CommentSubject"/>
    <w:uiPriority w:val="99"/>
    <w:semiHidden/>
    <w:rsid w:val="00DC0975"/>
    <w:rPr>
      <w:b/>
      <w:bCs/>
      <w:sz w:val="20"/>
      <w:szCs w:val="20"/>
    </w:rPr>
  </w:style>
  <w:style w:type="paragraph" w:styleId="BalloonText">
    <w:name w:val="Balloon Text"/>
    <w:basedOn w:val="Normal"/>
    <w:link w:val="BalloonTextChar"/>
    <w:uiPriority w:val="99"/>
    <w:semiHidden/>
    <w:unhideWhenUsed/>
    <w:rsid w:val="00DC09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975"/>
    <w:rPr>
      <w:rFonts w:ascii="Segoe UI" w:hAnsi="Segoe UI" w:cs="Segoe UI"/>
      <w:sz w:val="18"/>
      <w:szCs w:val="18"/>
    </w:rPr>
  </w:style>
  <w:style w:type="paragraph" w:styleId="FootnoteText">
    <w:name w:val="footnote text"/>
    <w:basedOn w:val="Normal"/>
    <w:link w:val="FootnoteTextChar"/>
    <w:uiPriority w:val="99"/>
    <w:semiHidden/>
    <w:unhideWhenUsed/>
    <w:rsid w:val="00CF0A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0A8B"/>
    <w:rPr>
      <w:sz w:val="20"/>
      <w:szCs w:val="20"/>
    </w:rPr>
  </w:style>
  <w:style w:type="character" w:styleId="FootnoteReference">
    <w:name w:val="footnote reference"/>
    <w:basedOn w:val="DefaultParagraphFont"/>
    <w:uiPriority w:val="99"/>
    <w:semiHidden/>
    <w:unhideWhenUsed/>
    <w:rsid w:val="00CF0A8B"/>
    <w:rPr>
      <w:vertAlign w:val="superscript"/>
    </w:rPr>
  </w:style>
  <w:style w:type="paragraph" w:styleId="Revision">
    <w:name w:val="Revision"/>
    <w:hidden/>
    <w:uiPriority w:val="99"/>
    <w:semiHidden/>
    <w:rsid w:val="00BE05F6"/>
    <w:pPr>
      <w:spacing w:after="0" w:line="240" w:lineRule="auto"/>
    </w:pPr>
  </w:style>
  <w:style w:type="table" w:styleId="TableGrid">
    <w:name w:val="Table Grid"/>
    <w:basedOn w:val="TableNormal"/>
    <w:uiPriority w:val="39"/>
    <w:rsid w:val="00AB4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9889">
      <w:bodyDiv w:val="1"/>
      <w:marLeft w:val="0"/>
      <w:marRight w:val="0"/>
      <w:marTop w:val="0"/>
      <w:marBottom w:val="0"/>
      <w:divBdr>
        <w:top w:val="none" w:sz="0" w:space="0" w:color="auto"/>
        <w:left w:val="none" w:sz="0" w:space="0" w:color="auto"/>
        <w:bottom w:val="none" w:sz="0" w:space="0" w:color="auto"/>
        <w:right w:val="none" w:sz="0" w:space="0" w:color="auto"/>
      </w:divBdr>
      <w:divsChild>
        <w:div w:id="103771697">
          <w:marLeft w:val="360"/>
          <w:marRight w:val="0"/>
          <w:marTop w:val="200"/>
          <w:marBottom w:val="0"/>
          <w:divBdr>
            <w:top w:val="none" w:sz="0" w:space="0" w:color="auto"/>
            <w:left w:val="none" w:sz="0" w:space="0" w:color="auto"/>
            <w:bottom w:val="none" w:sz="0" w:space="0" w:color="auto"/>
            <w:right w:val="none" w:sz="0" w:space="0" w:color="auto"/>
          </w:divBdr>
        </w:div>
        <w:div w:id="225339890">
          <w:marLeft w:val="360"/>
          <w:marRight w:val="0"/>
          <w:marTop w:val="200"/>
          <w:marBottom w:val="0"/>
          <w:divBdr>
            <w:top w:val="none" w:sz="0" w:space="0" w:color="auto"/>
            <w:left w:val="none" w:sz="0" w:space="0" w:color="auto"/>
            <w:bottom w:val="none" w:sz="0" w:space="0" w:color="auto"/>
            <w:right w:val="none" w:sz="0" w:space="0" w:color="auto"/>
          </w:divBdr>
        </w:div>
        <w:div w:id="505943442">
          <w:marLeft w:val="360"/>
          <w:marRight w:val="0"/>
          <w:marTop w:val="200"/>
          <w:marBottom w:val="0"/>
          <w:divBdr>
            <w:top w:val="none" w:sz="0" w:space="0" w:color="auto"/>
            <w:left w:val="none" w:sz="0" w:space="0" w:color="auto"/>
            <w:bottom w:val="none" w:sz="0" w:space="0" w:color="auto"/>
            <w:right w:val="none" w:sz="0" w:space="0" w:color="auto"/>
          </w:divBdr>
        </w:div>
        <w:div w:id="533540235">
          <w:marLeft w:val="1080"/>
          <w:marRight w:val="0"/>
          <w:marTop w:val="100"/>
          <w:marBottom w:val="0"/>
          <w:divBdr>
            <w:top w:val="none" w:sz="0" w:space="0" w:color="auto"/>
            <w:left w:val="none" w:sz="0" w:space="0" w:color="auto"/>
            <w:bottom w:val="none" w:sz="0" w:space="0" w:color="auto"/>
            <w:right w:val="none" w:sz="0" w:space="0" w:color="auto"/>
          </w:divBdr>
        </w:div>
        <w:div w:id="542181418">
          <w:marLeft w:val="1080"/>
          <w:marRight w:val="0"/>
          <w:marTop w:val="100"/>
          <w:marBottom w:val="0"/>
          <w:divBdr>
            <w:top w:val="none" w:sz="0" w:space="0" w:color="auto"/>
            <w:left w:val="none" w:sz="0" w:space="0" w:color="auto"/>
            <w:bottom w:val="none" w:sz="0" w:space="0" w:color="auto"/>
            <w:right w:val="none" w:sz="0" w:space="0" w:color="auto"/>
          </w:divBdr>
        </w:div>
        <w:div w:id="798838192">
          <w:marLeft w:val="360"/>
          <w:marRight w:val="0"/>
          <w:marTop w:val="200"/>
          <w:marBottom w:val="0"/>
          <w:divBdr>
            <w:top w:val="none" w:sz="0" w:space="0" w:color="auto"/>
            <w:left w:val="none" w:sz="0" w:space="0" w:color="auto"/>
            <w:bottom w:val="none" w:sz="0" w:space="0" w:color="auto"/>
            <w:right w:val="none" w:sz="0" w:space="0" w:color="auto"/>
          </w:divBdr>
        </w:div>
        <w:div w:id="1127508638">
          <w:marLeft w:val="1080"/>
          <w:marRight w:val="0"/>
          <w:marTop w:val="100"/>
          <w:marBottom w:val="0"/>
          <w:divBdr>
            <w:top w:val="none" w:sz="0" w:space="0" w:color="auto"/>
            <w:left w:val="none" w:sz="0" w:space="0" w:color="auto"/>
            <w:bottom w:val="none" w:sz="0" w:space="0" w:color="auto"/>
            <w:right w:val="none" w:sz="0" w:space="0" w:color="auto"/>
          </w:divBdr>
        </w:div>
        <w:div w:id="1474714111">
          <w:marLeft w:val="1080"/>
          <w:marRight w:val="0"/>
          <w:marTop w:val="100"/>
          <w:marBottom w:val="0"/>
          <w:divBdr>
            <w:top w:val="none" w:sz="0" w:space="0" w:color="auto"/>
            <w:left w:val="none" w:sz="0" w:space="0" w:color="auto"/>
            <w:bottom w:val="none" w:sz="0" w:space="0" w:color="auto"/>
            <w:right w:val="none" w:sz="0" w:space="0" w:color="auto"/>
          </w:divBdr>
        </w:div>
        <w:div w:id="1580403028">
          <w:marLeft w:val="360"/>
          <w:marRight w:val="0"/>
          <w:marTop w:val="200"/>
          <w:marBottom w:val="0"/>
          <w:divBdr>
            <w:top w:val="none" w:sz="0" w:space="0" w:color="auto"/>
            <w:left w:val="none" w:sz="0" w:space="0" w:color="auto"/>
            <w:bottom w:val="none" w:sz="0" w:space="0" w:color="auto"/>
            <w:right w:val="none" w:sz="0" w:space="0" w:color="auto"/>
          </w:divBdr>
        </w:div>
      </w:divsChild>
    </w:div>
    <w:div w:id="150603481">
      <w:bodyDiv w:val="1"/>
      <w:marLeft w:val="0"/>
      <w:marRight w:val="0"/>
      <w:marTop w:val="0"/>
      <w:marBottom w:val="0"/>
      <w:divBdr>
        <w:top w:val="none" w:sz="0" w:space="0" w:color="auto"/>
        <w:left w:val="none" w:sz="0" w:space="0" w:color="auto"/>
        <w:bottom w:val="none" w:sz="0" w:space="0" w:color="auto"/>
        <w:right w:val="none" w:sz="0" w:space="0" w:color="auto"/>
      </w:divBdr>
    </w:div>
    <w:div w:id="188492801">
      <w:bodyDiv w:val="1"/>
      <w:marLeft w:val="0"/>
      <w:marRight w:val="0"/>
      <w:marTop w:val="0"/>
      <w:marBottom w:val="0"/>
      <w:divBdr>
        <w:top w:val="none" w:sz="0" w:space="0" w:color="auto"/>
        <w:left w:val="none" w:sz="0" w:space="0" w:color="auto"/>
        <w:bottom w:val="none" w:sz="0" w:space="0" w:color="auto"/>
        <w:right w:val="none" w:sz="0" w:space="0" w:color="auto"/>
      </w:divBdr>
      <w:divsChild>
        <w:div w:id="80378872">
          <w:marLeft w:val="374"/>
          <w:marRight w:val="0"/>
          <w:marTop w:val="200"/>
          <w:marBottom w:val="0"/>
          <w:divBdr>
            <w:top w:val="none" w:sz="0" w:space="0" w:color="auto"/>
            <w:left w:val="none" w:sz="0" w:space="0" w:color="auto"/>
            <w:bottom w:val="none" w:sz="0" w:space="0" w:color="auto"/>
            <w:right w:val="none" w:sz="0" w:space="0" w:color="auto"/>
          </w:divBdr>
        </w:div>
        <w:div w:id="305429547">
          <w:marLeft w:val="374"/>
          <w:marRight w:val="0"/>
          <w:marTop w:val="200"/>
          <w:marBottom w:val="0"/>
          <w:divBdr>
            <w:top w:val="none" w:sz="0" w:space="0" w:color="auto"/>
            <w:left w:val="none" w:sz="0" w:space="0" w:color="auto"/>
            <w:bottom w:val="none" w:sz="0" w:space="0" w:color="auto"/>
            <w:right w:val="none" w:sz="0" w:space="0" w:color="auto"/>
          </w:divBdr>
        </w:div>
        <w:div w:id="474953661">
          <w:marLeft w:val="374"/>
          <w:marRight w:val="0"/>
          <w:marTop w:val="200"/>
          <w:marBottom w:val="0"/>
          <w:divBdr>
            <w:top w:val="none" w:sz="0" w:space="0" w:color="auto"/>
            <w:left w:val="none" w:sz="0" w:space="0" w:color="auto"/>
            <w:bottom w:val="none" w:sz="0" w:space="0" w:color="auto"/>
            <w:right w:val="none" w:sz="0" w:space="0" w:color="auto"/>
          </w:divBdr>
        </w:div>
        <w:div w:id="578683353">
          <w:marLeft w:val="1440"/>
          <w:marRight w:val="0"/>
          <w:marTop w:val="100"/>
          <w:marBottom w:val="0"/>
          <w:divBdr>
            <w:top w:val="none" w:sz="0" w:space="0" w:color="auto"/>
            <w:left w:val="none" w:sz="0" w:space="0" w:color="auto"/>
            <w:bottom w:val="none" w:sz="0" w:space="0" w:color="auto"/>
            <w:right w:val="none" w:sz="0" w:space="0" w:color="auto"/>
          </w:divBdr>
        </w:div>
        <w:div w:id="826437546">
          <w:marLeft w:val="1440"/>
          <w:marRight w:val="0"/>
          <w:marTop w:val="100"/>
          <w:marBottom w:val="0"/>
          <w:divBdr>
            <w:top w:val="none" w:sz="0" w:space="0" w:color="auto"/>
            <w:left w:val="none" w:sz="0" w:space="0" w:color="auto"/>
            <w:bottom w:val="none" w:sz="0" w:space="0" w:color="auto"/>
            <w:right w:val="none" w:sz="0" w:space="0" w:color="auto"/>
          </w:divBdr>
        </w:div>
        <w:div w:id="1531920419">
          <w:marLeft w:val="720"/>
          <w:marRight w:val="0"/>
          <w:marTop w:val="200"/>
          <w:marBottom w:val="0"/>
          <w:divBdr>
            <w:top w:val="none" w:sz="0" w:space="0" w:color="auto"/>
            <w:left w:val="none" w:sz="0" w:space="0" w:color="auto"/>
            <w:bottom w:val="none" w:sz="0" w:space="0" w:color="auto"/>
            <w:right w:val="none" w:sz="0" w:space="0" w:color="auto"/>
          </w:divBdr>
        </w:div>
        <w:div w:id="1585606509">
          <w:marLeft w:val="374"/>
          <w:marRight w:val="0"/>
          <w:marTop w:val="200"/>
          <w:marBottom w:val="0"/>
          <w:divBdr>
            <w:top w:val="none" w:sz="0" w:space="0" w:color="auto"/>
            <w:left w:val="none" w:sz="0" w:space="0" w:color="auto"/>
            <w:bottom w:val="none" w:sz="0" w:space="0" w:color="auto"/>
            <w:right w:val="none" w:sz="0" w:space="0" w:color="auto"/>
          </w:divBdr>
        </w:div>
        <w:div w:id="2081126159">
          <w:marLeft w:val="1094"/>
          <w:marRight w:val="0"/>
          <w:marTop w:val="100"/>
          <w:marBottom w:val="0"/>
          <w:divBdr>
            <w:top w:val="none" w:sz="0" w:space="0" w:color="auto"/>
            <w:left w:val="none" w:sz="0" w:space="0" w:color="auto"/>
            <w:bottom w:val="none" w:sz="0" w:space="0" w:color="auto"/>
            <w:right w:val="none" w:sz="0" w:space="0" w:color="auto"/>
          </w:divBdr>
        </w:div>
      </w:divsChild>
    </w:div>
    <w:div w:id="230118493">
      <w:bodyDiv w:val="1"/>
      <w:marLeft w:val="0"/>
      <w:marRight w:val="0"/>
      <w:marTop w:val="0"/>
      <w:marBottom w:val="0"/>
      <w:divBdr>
        <w:top w:val="none" w:sz="0" w:space="0" w:color="auto"/>
        <w:left w:val="none" w:sz="0" w:space="0" w:color="auto"/>
        <w:bottom w:val="none" w:sz="0" w:space="0" w:color="auto"/>
        <w:right w:val="none" w:sz="0" w:space="0" w:color="auto"/>
      </w:divBdr>
      <w:divsChild>
        <w:div w:id="275063543">
          <w:marLeft w:val="1080"/>
          <w:marRight w:val="0"/>
          <w:marTop w:val="100"/>
          <w:marBottom w:val="0"/>
          <w:divBdr>
            <w:top w:val="none" w:sz="0" w:space="0" w:color="auto"/>
            <w:left w:val="none" w:sz="0" w:space="0" w:color="auto"/>
            <w:bottom w:val="none" w:sz="0" w:space="0" w:color="auto"/>
            <w:right w:val="none" w:sz="0" w:space="0" w:color="auto"/>
          </w:divBdr>
        </w:div>
        <w:div w:id="327565894">
          <w:marLeft w:val="374"/>
          <w:marRight w:val="0"/>
          <w:marTop w:val="200"/>
          <w:marBottom w:val="0"/>
          <w:divBdr>
            <w:top w:val="none" w:sz="0" w:space="0" w:color="auto"/>
            <w:left w:val="none" w:sz="0" w:space="0" w:color="auto"/>
            <w:bottom w:val="none" w:sz="0" w:space="0" w:color="auto"/>
            <w:right w:val="none" w:sz="0" w:space="0" w:color="auto"/>
          </w:divBdr>
        </w:div>
        <w:div w:id="715004086">
          <w:marLeft w:val="374"/>
          <w:marRight w:val="0"/>
          <w:marTop w:val="200"/>
          <w:marBottom w:val="0"/>
          <w:divBdr>
            <w:top w:val="none" w:sz="0" w:space="0" w:color="auto"/>
            <w:left w:val="none" w:sz="0" w:space="0" w:color="auto"/>
            <w:bottom w:val="none" w:sz="0" w:space="0" w:color="auto"/>
            <w:right w:val="none" w:sz="0" w:space="0" w:color="auto"/>
          </w:divBdr>
        </w:div>
        <w:div w:id="809664292">
          <w:marLeft w:val="1080"/>
          <w:marRight w:val="0"/>
          <w:marTop w:val="100"/>
          <w:marBottom w:val="0"/>
          <w:divBdr>
            <w:top w:val="none" w:sz="0" w:space="0" w:color="auto"/>
            <w:left w:val="none" w:sz="0" w:space="0" w:color="auto"/>
            <w:bottom w:val="none" w:sz="0" w:space="0" w:color="auto"/>
            <w:right w:val="none" w:sz="0" w:space="0" w:color="auto"/>
          </w:divBdr>
        </w:div>
        <w:div w:id="874079296">
          <w:marLeft w:val="360"/>
          <w:marRight w:val="0"/>
          <w:marTop w:val="200"/>
          <w:marBottom w:val="0"/>
          <w:divBdr>
            <w:top w:val="none" w:sz="0" w:space="0" w:color="auto"/>
            <w:left w:val="none" w:sz="0" w:space="0" w:color="auto"/>
            <w:bottom w:val="none" w:sz="0" w:space="0" w:color="auto"/>
            <w:right w:val="none" w:sz="0" w:space="0" w:color="auto"/>
          </w:divBdr>
        </w:div>
        <w:div w:id="885066284">
          <w:marLeft w:val="360"/>
          <w:marRight w:val="0"/>
          <w:marTop w:val="200"/>
          <w:marBottom w:val="0"/>
          <w:divBdr>
            <w:top w:val="none" w:sz="0" w:space="0" w:color="auto"/>
            <w:left w:val="none" w:sz="0" w:space="0" w:color="auto"/>
            <w:bottom w:val="none" w:sz="0" w:space="0" w:color="auto"/>
            <w:right w:val="none" w:sz="0" w:space="0" w:color="auto"/>
          </w:divBdr>
        </w:div>
        <w:div w:id="1199663377">
          <w:marLeft w:val="374"/>
          <w:marRight w:val="0"/>
          <w:marTop w:val="200"/>
          <w:marBottom w:val="0"/>
          <w:divBdr>
            <w:top w:val="none" w:sz="0" w:space="0" w:color="auto"/>
            <w:left w:val="none" w:sz="0" w:space="0" w:color="auto"/>
            <w:bottom w:val="none" w:sz="0" w:space="0" w:color="auto"/>
            <w:right w:val="none" w:sz="0" w:space="0" w:color="auto"/>
          </w:divBdr>
        </w:div>
      </w:divsChild>
    </w:div>
    <w:div w:id="921571679">
      <w:bodyDiv w:val="1"/>
      <w:marLeft w:val="0"/>
      <w:marRight w:val="0"/>
      <w:marTop w:val="0"/>
      <w:marBottom w:val="0"/>
      <w:divBdr>
        <w:top w:val="none" w:sz="0" w:space="0" w:color="auto"/>
        <w:left w:val="none" w:sz="0" w:space="0" w:color="auto"/>
        <w:bottom w:val="none" w:sz="0" w:space="0" w:color="auto"/>
        <w:right w:val="none" w:sz="0" w:space="0" w:color="auto"/>
      </w:divBdr>
      <w:divsChild>
        <w:div w:id="671831504">
          <w:marLeft w:val="374"/>
          <w:marRight w:val="0"/>
          <w:marTop w:val="200"/>
          <w:marBottom w:val="0"/>
          <w:divBdr>
            <w:top w:val="none" w:sz="0" w:space="0" w:color="auto"/>
            <w:left w:val="none" w:sz="0" w:space="0" w:color="auto"/>
            <w:bottom w:val="none" w:sz="0" w:space="0" w:color="auto"/>
            <w:right w:val="none" w:sz="0" w:space="0" w:color="auto"/>
          </w:divBdr>
        </w:div>
        <w:div w:id="929119098">
          <w:marLeft w:val="374"/>
          <w:marRight w:val="0"/>
          <w:marTop w:val="200"/>
          <w:marBottom w:val="0"/>
          <w:divBdr>
            <w:top w:val="none" w:sz="0" w:space="0" w:color="auto"/>
            <w:left w:val="none" w:sz="0" w:space="0" w:color="auto"/>
            <w:bottom w:val="none" w:sz="0" w:space="0" w:color="auto"/>
            <w:right w:val="none" w:sz="0" w:space="0" w:color="auto"/>
          </w:divBdr>
        </w:div>
        <w:div w:id="989362040">
          <w:marLeft w:val="374"/>
          <w:marRight w:val="0"/>
          <w:marTop w:val="200"/>
          <w:marBottom w:val="0"/>
          <w:divBdr>
            <w:top w:val="none" w:sz="0" w:space="0" w:color="auto"/>
            <w:left w:val="none" w:sz="0" w:space="0" w:color="auto"/>
            <w:bottom w:val="none" w:sz="0" w:space="0" w:color="auto"/>
            <w:right w:val="none" w:sz="0" w:space="0" w:color="auto"/>
          </w:divBdr>
        </w:div>
        <w:div w:id="1031762401">
          <w:marLeft w:val="374"/>
          <w:marRight w:val="0"/>
          <w:marTop w:val="200"/>
          <w:marBottom w:val="0"/>
          <w:divBdr>
            <w:top w:val="none" w:sz="0" w:space="0" w:color="auto"/>
            <w:left w:val="none" w:sz="0" w:space="0" w:color="auto"/>
            <w:bottom w:val="none" w:sz="0" w:space="0" w:color="auto"/>
            <w:right w:val="none" w:sz="0" w:space="0" w:color="auto"/>
          </w:divBdr>
        </w:div>
        <w:div w:id="1243955279">
          <w:marLeft w:val="1080"/>
          <w:marRight w:val="0"/>
          <w:marTop w:val="100"/>
          <w:marBottom w:val="0"/>
          <w:divBdr>
            <w:top w:val="none" w:sz="0" w:space="0" w:color="auto"/>
            <w:left w:val="none" w:sz="0" w:space="0" w:color="auto"/>
            <w:bottom w:val="none" w:sz="0" w:space="0" w:color="auto"/>
            <w:right w:val="none" w:sz="0" w:space="0" w:color="auto"/>
          </w:divBdr>
        </w:div>
        <w:div w:id="1457793779">
          <w:marLeft w:val="360"/>
          <w:marRight w:val="0"/>
          <w:marTop w:val="200"/>
          <w:marBottom w:val="0"/>
          <w:divBdr>
            <w:top w:val="none" w:sz="0" w:space="0" w:color="auto"/>
            <w:left w:val="none" w:sz="0" w:space="0" w:color="auto"/>
            <w:bottom w:val="none" w:sz="0" w:space="0" w:color="auto"/>
            <w:right w:val="none" w:sz="0" w:space="0" w:color="auto"/>
          </w:divBdr>
        </w:div>
        <w:div w:id="1583875048">
          <w:marLeft w:val="1080"/>
          <w:marRight w:val="0"/>
          <w:marTop w:val="100"/>
          <w:marBottom w:val="0"/>
          <w:divBdr>
            <w:top w:val="none" w:sz="0" w:space="0" w:color="auto"/>
            <w:left w:val="none" w:sz="0" w:space="0" w:color="auto"/>
            <w:bottom w:val="none" w:sz="0" w:space="0" w:color="auto"/>
            <w:right w:val="none" w:sz="0" w:space="0" w:color="auto"/>
          </w:divBdr>
        </w:div>
        <w:div w:id="1615163650">
          <w:marLeft w:val="1080"/>
          <w:marRight w:val="0"/>
          <w:marTop w:val="100"/>
          <w:marBottom w:val="0"/>
          <w:divBdr>
            <w:top w:val="none" w:sz="0" w:space="0" w:color="auto"/>
            <w:left w:val="none" w:sz="0" w:space="0" w:color="auto"/>
            <w:bottom w:val="none" w:sz="0" w:space="0" w:color="auto"/>
            <w:right w:val="none" w:sz="0" w:space="0" w:color="auto"/>
          </w:divBdr>
        </w:div>
        <w:div w:id="1754204684">
          <w:marLeft w:val="1080"/>
          <w:marRight w:val="0"/>
          <w:marTop w:val="100"/>
          <w:marBottom w:val="0"/>
          <w:divBdr>
            <w:top w:val="none" w:sz="0" w:space="0" w:color="auto"/>
            <w:left w:val="none" w:sz="0" w:space="0" w:color="auto"/>
            <w:bottom w:val="none" w:sz="0" w:space="0" w:color="auto"/>
            <w:right w:val="none" w:sz="0" w:space="0" w:color="auto"/>
          </w:divBdr>
        </w:div>
        <w:div w:id="1961296959">
          <w:marLeft w:val="1080"/>
          <w:marRight w:val="0"/>
          <w:marTop w:val="100"/>
          <w:marBottom w:val="0"/>
          <w:divBdr>
            <w:top w:val="none" w:sz="0" w:space="0" w:color="auto"/>
            <w:left w:val="none" w:sz="0" w:space="0" w:color="auto"/>
            <w:bottom w:val="none" w:sz="0" w:space="0" w:color="auto"/>
            <w:right w:val="none" w:sz="0" w:space="0" w:color="auto"/>
          </w:divBdr>
        </w:div>
      </w:divsChild>
    </w:div>
    <w:div w:id="1631663354">
      <w:bodyDiv w:val="1"/>
      <w:marLeft w:val="0"/>
      <w:marRight w:val="0"/>
      <w:marTop w:val="0"/>
      <w:marBottom w:val="0"/>
      <w:divBdr>
        <w:top w:val="none" w:sz="0" w:space="0" w:color="auto"/>
        <w:left w:val="none" w:sz="0" w:space="0" w:color="auto"/>
        <w:bottom w:val="none" w:sz="0" w:space="0" w:color="auto"/>
        <w:right w:val="none" w:sz="0" w:space="0" w:color="auto"/>
      </w:divBdr>
      <w:divsChild>
        <w:div w:id="95174767">
          <w:marLeft w:val="374"/>
          <w:marRight w:val="0"/>
          <w:marTop w:val="200"/>
          <w:marBottom w:val="0"/>
          <w:divBdr>
            <w:top w:val="none" w:sz="0" w:space="0" w:color="auto"/>
            <w:left w:val="none" w:sz="0" w:space="0" w:color="auto"/>
            <w:bottom w:val="none" w:sz="0" w:space="0" w:color="auto"/>
            <w:right w:val="none" w:sz="0" w:space="0" w:color="auto"/>
          </w:divBdr>
        </w:div>
        <w:div w:id="532352654">
          <w:marLeft w:val="1094"/>
          <w:marRight w:val="0"/>
          <w:marTop w:val="100"/>
          <w:marBottom w:val="0"/>
          <w:divBdr>
            <w:top w:val="none" w:sz="0" w:space="0" w:color="auto"/>
            <w:left w:val="none" w:sz="0" w:space="0" w:color="auto"/>
            <w:bottom w:val="none" w:sz="0" w:space="0" w:color="auto"/>
            <w:right w:val="none" w:sz="0" w:space="0" w:color="auto"/>
          </w:divBdr>
        </w:div>
        <w:div w:id="571163389">
          <w:marLeft w:val="2160"/>
          <w:marRight w:val="0"/>
          <w:marTop w:val="100"/>
          <w:marBottom w:val="0"/>
          <w:divBdr>
            <w:top w:val="none" w:sz="0" w:space="0" w:color="auto"/>
            <w:left w:val="none" w:sz="0" w:space="0" w:color="auto"/>
            <w:bottom w:val="none" w:sz="0" w:space="0" w:color="auto"/>
            <w:right w:val="none" w:sz="0" w:space="0" w:color="auto"/>
          </w:divBdr>
        </w:div>
        <w:div w:id="622151947">
          <w:marLeft w:val="2160"/>
          <w:marRight w:val="0"/>
          <w:marTop w:val="100"/>
          <w:marBottom w:val="0"/>
          <w:divBdr>
            <w:top w:val="none" w:sz="0" w:space="0" w:color="auto"/>
            <w:left w:val="none" w:sz="0" w:space="0" w:color="auto"/>
            <w:bottom w:val="none" w:sz="0" w:space="0" w:color="auto"/>
            <w:right w:val="none" w:sz="0" w:space="0" w:color="auto"/>
          </w:divBdr>
        </w:div>
        <w:div w:id="925770385">
          <w:marLeft w:val="374"/>
          <w:marRight w:val="0"/>
          <w:marTop w:val="200"/>
          <w:marBottom w:val="0"/>
          <w:divBdr>
            <w:top w:val="none" w:sz="0" w:space="0" w:color="auto"/>
            <w:left w:val="none" w:sz="0" w:space="0" w:color="auto"/>
            <w:bottom w:val="none" w:sz="0" w:space="0" w:color="auto"/>
            <w:right w:val="none" w:sz="0" w:space="0" w:color="auto"/>
          </w:divBdr>
        </w:div>
        <w:div w:id="982083494">
          <w:marLeft w:val="374"/>
          <w:marRight w:val="0"/>
          <w:marTop w:val="200"/>
          <w:marBottom w:val="0"/>
          <w:divBdr>
            <w:top w:val="none" w:sz="0" w:space="0" w:color="auto"/>
            <w:left w:val="none" w:sz="0" w:space="0" w:color="auto"/>
            <w:bottom w:val="none" w:sz="0" w:space="0" w:color="auto"/>
            <w:right w:val="none" w:sz="0" w:space="0" w:color="auto"/>
          </w:divBdr>
        </w:div>
        <w:div w:id="1089233102">
          <w:marLeft w:val="374"/>
          <w:marRight w:val="0"/>
          <w:marTop w:val="200"/>
          <w:marBottom w:val="0"/>
          <w:divBdr>
            <w:top w:val="none" w:sz="0" w:space="0" w:color="auto"/>
            <w:left w:val="none" w:sz="0" w:space="0" w:color="auto"/>
            <w:bottom w:val="none" w:sz="0" w:space="0" w:color="auto"/>
            <w:right w:val="none" w:sz="0" w:space="0" w:color="auto"/>
          </w:divBdr>
        </w:div>
        <w:div w:id="1538620706">
          <w:marLeft w:val="720"/>
          <w:marRight w:val="0"/>
          <w:marTop w:val="200"/>
          <w:marBottom w:val="0"/>
          <w:divBdr>
            <w:top w:val="none" w:sz="0" w:space="0" w:color="auto"/>
            <w:left w:val="none" w:sz="0" w:space="0" w:color="auto"/>
            <w:bottom w:val="none" w:sz="0" w:space="0" w:color="auto"/>
            <w:right w:val="none" w:sz="0" w:space="0" w:color="auto"/>
          </w:divBdr>
        </w:div>
      </w:divsChild>
    </w:div>
    <w:div w:id="1752577208">
      <w:bodyDiv w:val="1"/>
      <w:marLeft w:val="0"/>
      <w:marRight w:val="0"/>
      <w:marTop w:val="0"/>
      <w:marBottom w:val="0"/>
      <w:divBdr>
        <w:top w:val="none" w:sz="0" w:space="0" w:color="auto"/>
        <w:left w:val="none" w:sz="0" w:space="0" w:color="auto"/>
        <w:bottom w:val="none" w:sz="0" w:space="0" w:color="auto"/>
        <w:right w:val="none" w:sz="0" w:space="0" w:color="auto"/>
      </w:divBdr>
    </w:div>
    <w:div w:id="2132241037">
      <w:bodyDiv w:val="1"/>
      <w:marLeft w:val="0"/>
      <w:marRight w:val="0"/>
      <w:marTop w:val="0"/>
      <w:marBottom w:val="0"/>
      <w:divBdr>
        <w:top w:val="none" w:sz="0" w:space="0" w:color="auto"/>
        <w:left w:val="none" w:sz="0" w:space="0" w:color="auto"/>
        <w:bottom w:val="none" w:sz="0" w:space="0" w:color="auto"/>
        <w:right w:val="none" w:sz="0" w:space="0" w:color="auto"/>
      </w:divBdr>
      <w:divsChild>
        <w:div w:id="560138699">
          <w:marLeft w:val="360"/>
          <w:marRight w:val="0"/>
          <w:marTop w:val="200"/>
          <w:marBottom w:val="0"/>
          <w:divBdr>
            <w:top w:val="none" w:sz="0" w:space="0" w:color="auto"/>
            <w:left w:val="none" w:sz="0" w:space="0" w:color="auto"/>
            <w:bottom w:val="none" w:sz="0" w:space="0" w:color="auto"/>
            <w:right w:val="none" w:sz="0" w:space="0" w:color="auto"/>
          </w:divBdr>
        </w:div>
        <w:div w:id="581186045">
          <w:marLeft w:val="1080"/>
          <w:marRight w:val="0"/>
          <w:marTop w:val="100"/>
          <w:marBottom w:val="0"/>
          <w:divBdr>
            <w:top w:val="none" w:sz="0" w:space="0" w:color="auto"/>
            <w:left w:val="none" w:sz="0" w:space="0" w:color="auto"/>
            <w:bottom w:val="none" w:sz="0" w:space="0" w:color="auto"/>
            <w:right w:val="none" w:sz="0" w:space="0" w:color="auto"/>
          </w:divBdr>
        </w:div>
        <w:div w:id="700977280">
          <w:marLeft w:val="360"/>
          <w:marRight w:val="0"/>
          <w:marTop w:val="200"/>
          <w:marBottom w:val="0"/>
          <w:divBdr>
            <w:top w:val="none" w:sz="0" w:space="0" w:color="auto"/>
            <w:left w:val="none" w:sz="0" w:space="0" w:color="auto"/>
            <w:bottom w:val="none" w:sz="0" w:space="0" w:color="auto"/>
            <w:right w:val="none" w:sz="0" w:space="0" w:color="auto"/>
          </w:divBdr>
        </w:div>
        <w:div w:id="724449480">
          <w:marLeft w:val="1080"/>
          <w:marRight w:val="0"/>
          <w:marTop w:val="100"/>
          <w:marBottom w:val="0"/>
          <w:divBdr>
            <w:top w:val="none" w:sz="0" w:space="0" w:color="auto"/>
            <w:left w:val="none" w:sz="0" w:space="0" w:color="auto"/>
            <w:bottom w:val="none" w:sz="0" w:space="0" w:color="auto"/>
            <w:right w:val="none" w:sz="0" w:space="0" w:color="auto"/>
          </w:divBdr>
        </w:div>
        <w:div w:id="916982503">
          <w:marLeft w:val="360"/>
          <w:marRight w:val="0"/>
          <w:marTop w:val="200"/>
          <w:marBottom w:val="0"/>
          <w:divBdr>
            <w:top w:val="none" w:sz="0" w:space="0" w:color="auto"/>
            <w:left w:val="none" w:sz="0" w:space="0" w:color="auto"/>
            <w:bottom w:val="none" w:sz="0" w:space="0" w:color="auto"/>
            <w:right w:val="none" w:sz="0" w:space="0" w:color="auto"/>
          </w:divBdr>
        </w:div>
        <w:div w:id="1053625816">
          <w:marLeft w:val="360"/>
          <w:marRight w:val="0"/>
          <w:marTop w:val="200"/>
          <w:marBottom w:val="0"/>
          <w:divBdr>
            <w:top w:val="none" w:sz="0" w:space="0" w:color="auto"/>
            <w:left w:val="none" w:sz="0" w:space="0" w:color="auto"/>
            <w:bottom w:val="none" w:sz="0" w:space="0" w:color="auto"/>
            <w:right w:val="none" w:sz="0" w:space="0" w:color="auto"/>
          </w:divBdr>
        </w:div>
        <w:div w:id="14442290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26BF8-7930-492F-951C-AD2B94FC0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Instructions for completing GA ANALYSIS WORKFORM</vt:lpstr>
    </vt:vector>
  </TitlesOfParts>
  <Company>Ontario Energy Board</Company>
  <LinksUpToDate>false</LinksUpToDate>
  <CharactersWithSpaces>7005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completing GA ANALYSIS WORKFORM</dc:title>
  <dc:subject/>
  <dc:creator>June Colman</dc:creator>
  <cp:keywords/>
  <dc:description/>
  <cp:lastModifiedBy>Jane RSLU</cp:lastModifiedBy>
  <cp:revision>7</cp:revision>
  <cp:lastPrinted>2018-07-12T16:30:00Z</cp:lastPrinted>
  <dcterms:created xsi:type="dcterms:W3CDTF">2019-11-20T05:31:00Z</dcterms:created>
  <dcterms:modified xsi:type="dcterms:W3CDTF">2019-11-20T06:05:00Z</dcterms:modified>
</cp:coreProperties>
</file>