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07077" w:rsidRDefault="00A07077" w:rsidP="00A07077">
      <w:pPr>
        <w:pStyle w:val="Default"/>
        <w:rPr>
          <w:rFonts w:ascii="Arial" w:hAnsi="Arial" w:cs="Arial"/>
          <w:sz w:val="22"/>
          <w:szCs w:val="22"/>
        </w:rPr>
      </w:pPr>
    </w:p>
    <w:p w:rsidR="00A07077" w:rsidRPr="0059172B" w:rsidRDefault="001A728D" w:rsidP="00A07077">
      <w:pPr>
        <w:pStyle w:val="Default"/>
        <w:jc w:val="center"/>
        <w:rPr>
          <w:rFonts w:ascii="Arial" w:hAnsi="Arial" w:cs="Arial"/>
          <w:sz w:val="28"/>
          <w:szCs w:val="28"/>
        </w:rPr>
      </w:pPr>
      <w:r w:rsidRPr="0059172B">
        <w:rPr>
          <w:rFonts w:ascii="Arial" w:hAnsi="Arial" w:cs="Arial"/>
          <w:b/>
          <w:bCs/>
          <w:sz w:val="28"/>
          <w:szCs w:val="28"/>
        </w:rPr>
        <w:t>Niagara-on-the-Lake Hydro Inc.</w:t>
      </w:r>
      <w:r w:rsidR="0052560F" w:rsidRPr="0059172B">
        <w:rPr>
          <w:rFonts w:ascii="Arial" w:hAnsi="Arial" w:cs="Arial"/>
          <w:b/>
          <w:bCs/>
          <w:sz w:val="28"/>
          <w:szCs w:val="28"/>
        </w:rPr>
        <w:t xml:space="preserve"> </w:t>
      </w:r>
      <w:r w:rsidR="009E760C">
        <w:rPr>
          <w:rFonts w:ascii="Arial" w:hAnsi="Arial" w:cs="Arial"/>
          <w:b/>
          <w:bCs/>
          <w:sz w:val="28"/>
          <w:szCs w:val="28"/>
        </w:rPr>
        <w:t>(</w:t>
      </w:r>
      <w:r w:rsidR="00AC3F80" w:rsidRPr="00AC3F80">
        <w:rPr>
          <w:rFonts w:ascii="Arial" w:hAnsi="Arial" w:cs="Arial"/>
          <w:b/>
          <w:bCs/>
          <w:sz w:val="28"/>
          <w:szCs w:val="28"/>
        </w:rPr>
        <w:t>Niagara-on-the-Lake Hydro</w:t>
      </w:r>
      <w:r w:rsidR="009E760C">
        <w:rPr>
          <w:rFonts w:ascii="Arial" w:hAnsi="Arial" w:cs="Arial"/>
          <w:b/>
          <w:bCs/>
          <w:sz w:val="28"/>
          <w:szCs w:val="28"/>
        </w:rPr>
        <w:t>)</w:t>
      </w:r>
    </w:p>
    <w:p w:rsidR="00A07077" w:rsidRDefault="00090160" w:rsidP="00A07077">
      <w:pPr>
        <w:pStyle w:val="Default"/>
        <w:jc w:val="center"/>
        <w:rPr>
          <w:rFonts w:ascii="Arial" w:hAnsi="Arial" w:cs="Arial"/>
          <w:b/>
          <w:bCs/>
          <w:sz w:val="28"/>
          <w:szCs w:val="28"/>
        </w:rPr>
      </w:pPr>
      <w:r w:rsidRPr="0059172B">
        <w:rPr>
          <w:rFonts w:ascii="Arial" w:hAnsi="Arial" w:cs="Arial"/>
          <w:b/>
          <w:bCs/>
          <w:sz w:val="28"/>
          <w:szCs w:val="28"/>
        </w:rPr>
        <w:t>EB-201</w:t>
      </w:r>
      <w:r w:rsidR="00651C98" w:rsidRPr="0059172B">
        <w:rPr>
          <w:rFonts w:ascii="Arial" w:hAnsi="Arial" w:cs="Arial"/>
          <w:b/>
          <w:bCs/>
          <w:sz w:val="28"/>
          <w:szCs w:val="28"/>
        </w:rPr>
        <w:t>9</w:t>
      </w:r>
      <w:r w:rsidR="00B069AA" w:rsidRPr="0059172B">
        <w:rPr>
          <w:rFonts w:ascii="Arial" w:hAnsi="Arial" w:cs="Arial"/>
          <w:b/>
          <w:bCs/>
          <w:sz w:val="28"/>
          <w:szCs w:val="28"/>
        </w:rPr>
        <w:t>-0</w:t>
      </w:r>
      <w:r w:rsidR="001A728D" w:rsidRPr="0059172B">
        <w:rPr>
          <w:rFonts w:ascii="Arial" w:hAnsi="Arial" w:cs="Arial"/>
          <w:b/>
          <w:bCs/>
          <w:sz w:val="28"/>
          <w:szCs w:val="28"/>
        </w:rPr>
        <w:t>056</w:t>
      </w:r>
    </w:p>
    <w:p w:rsidR="0059172B" w:rsidRDefault="0059172B" w:rsidP="00A07077">
      <w:pPr>
        <w:pStyle w:val="Default"/>
        <w:jc w:val="center"/>
        <w:rPr>
          <w:rFonts w:ascii="Arial" w:hAnsi="Arial" w:cs="Arial"/>
          <w:b/>
          <w:bCs/>
          <w:sz w:val="28"/>
          <w:szCs w:val="28"/>
        </w:rPr>
      </w:pPr>
      <w:r>
        <w:rPr>
          <w:rFonts w:ascii="Arial" w:hAnsi="Arial" w:cs="Arial"/>
          <w:b/>
          <w:bCs/>
          <w:sz w:val="28"/>
          <w:szCs w:val="28"/>
        </w:rPr>
        <w:t>OEB Staff Questions</w:t>
      </w:r>
    </w:p>
    <w:p w:rsidR="00AC3F80" w:rsidRDefault="00AC3F80" w:rsidP="00A07077">
      <w:pPr>
        <w:pStyle w:val="Default"/>
        <w:jc w:val="center"/>
        <w:rPr>
          <w:rFonts w:ascii="Arial" w:hAnsi="Arial" w:cs="Arial"/>
          <w:b/>
          <w:bCs/>
          <w:sz w:val="28"/>
          <w:szCs w:val="28"/>
        </w:rPr>
      </w:pPr>
      <w:r>
        <w:rPr>
          <w:rFonts w:ascii="Arial" w:hAnsi="Arial" w:cs="Arial"/>
          <w:b/>
          <w:bCs/>
          <w:sz w:val="28"/>
          <w:szCs w:val="28"/>
        </w:rPr>
        <w:t>November 25, 2019</w:t>
      </w:r>
    </w:p>
    <w:p w:rsidR="00A07077" w:rsidRDefault="00A07077" w:rsidP="00A07077">
      <w:pPr>
        <w:rPr>
          <w:rFonts w:ascii="Arial" w:hAnsi="Arial" w:cs="Arial"/>
          <w:b/>
          <w:bCs/>
          <w:sz w:val="28"/>
          <w:szCs w:val="28"/>
        </w:rPr>
      </w:pPr>
    </w:p>
    <w:p w:rsidR="00EC0B55" w:rsidRDefault="00EC0B55" w:rsidP="00302509">
      <w:pPr>
        <w:autoSpaceDE w:val="0"/>
        <w:autoSpaceDN w:val="0"/>
        <w:adjustRightInd w:val="0"/>
        <w:spacing w:after="0" w:line="240" w:lineRule="auto"/>
        <w:rPr>
          <w:rFonts w:ascii="Arial" w:hAnsi="Arial" w:cs="Arial"/>
          <w:b/>
          <w:bCs/>
          <w:color w:val="000000"/>
          <w:sz w:val="24"/>
          <w:szCs w:val="24"/>
        </w:rPr>
      </w:pPr>
    </w:p>
    <w:p w:rsidR="008E6045" w:rsidRDefault="00400DFC" w:rsidP="00AC3F80">
      <w:pPr>
        <w:spacing w:after="0"/>
        <w:rPr>
          <w:rFonts w:ascii="Arial" w:hAnsi="Arial" w:cs="Arial"/>
          <w:b/>
          <w:sz w:val="24"/>
          <w:szCs w:val="24"/>
        </w:rPr>
      </w:pPr>
      <w:r>
        <w:rPr>
          <w:rFonts w:ascii="Arial" w:hAnsi="Arial" w:cs="Arial"/>
          <w:b/>
          <w:sz w:val="24"/>
          <w:szCs w:val="24"/>
        </w:rPr>
        <w:t>Staff Question</w:t>
      </w:r>
      <w:r w:rsidR="008E6045" w:rsidRPr="002D056D">
        <w:rPr>
          <w:rFonts w:ascii="Arial" w:hAnsi="Arial" w:cs="Arial"/>
          <w:b/>
          <w:sz w:val="24"/>
          <w:szCs w:val="24"/>
        </w:rPr>
        <w:t>-1</w:t>
      </w:r>
    </w:p>
    <w:p w:rsidR="00D3742A" w:rsidRDefault="00D3742A" w:rsidP="008E6045">
      <w:pPr>
        <w:rPr>
          <w:rFonts w:ascii="Arial" w:hAnsi="Arial" w:cs="Arial"/>
          <w:b/>
          <w:sz w:val="24"/>
          <w:szCs w:val="24"/>
        </w:rPr>
      </w:pPr>
      <w:r>
        <w:rPr>
          <w:rFonts w:ascii="Arial" w:hAnsi="Arial" w:cs="Arial"/>
          <w:b/>
          <w:sz w:val="24"/>
          <w:szCs w:val="24"/>
        </w:rPr>
        <w:t>Ref: Revenue to Cost Ratio Adjustment Model</w:t>
      </w:r>
    </w:p>
    <w:p w:rsidR="00D3742A" w:rsidRPr="00D3742A" w:rsidRDefault="00D3742A" w:rsidP="008E6045">
      <w:pPr>
        <w:pStyle w:val="ListParagraph"/>
        <w:numPr>
          <w:ilvl w:val="0"/>
          <w:numId w:val="28"/>
        </w:numPr>
        <w:rPr>
          <w:rFonts w:ascii="Arial" w:hAnsi="Arial" w:cs="Arial"/>
          <w:sz w:val="24"/>
          <w:szCs w:val="24"/>
        </w:rPr>
      </w:pPr>
      <w:r>
        <w:rPr>
          <w:rFonts w:ascii="Arial" w:hAnsi="Arial" w:cs="Arial"/>
          <w:sz w:val="24"/>
          <w:szCs w:val="24"/>
        </w:rPr>
        <w:t>Tab 7 of the Revenue to Cost Ratio (R/C Ratio) Adjustment Model</w:t>
      </w:r>
      <w:r w:rsidR="00975348">
        <w:rPr>
          <w:rFonts w:ascii="Arial" w:hAnsi="Arial" w:cs="Arial"/>
          <w:sz w:val="24"/>
          <w:szCs w:val="24"/>
        </w:rPr>
        <w:t xml:space="preserve"> is to allocate the revenue o</w:t>
      </w:r>
      <w:r>
        <w:rPr>
          <w:rFonts w:ascii="Arial" w:hAnsi="Arial" w:cs="Arial"/>
          <w:sz w:val="24"/>
          <w:szCs w:val="24"/>
        </w:rPr>
        <w:t>ffsets to each rate class. Niagara-on-the-Lake Hydro has not entered the total miscellaneous revenue amount in cell F47 of Tab 7. As a result, the allocated revenue offset amounts are not captured in the calculations of this model. Please enter the total miscellaneous revenue amount in cell F47 and update later tabs of the R/C Ratio Model and Tab 16 of the IRM Model.</w:t>
      </w:r>
    </w:p>
    <w:p w:rsidR="00D3742A" w:rsidRDefault="00D3742A" w:rsidP="008E6045">
      <w:pPr>
        <w:rPr>
          <w:rFonts w:ascii="Arial" w:hAnsi="Arial" w:cs="Arial"/>
          <w:b/>
          <w:sz w:val="24"/>
          <w:szCs w:val="24"/>
        </w:rPr>
      </w:pPr>
      <w:r>
        <w:rPr>
          <w:noProof/>
          <w:lang w:val="en-US"/>
        </w:rPr>
        <w:drawing>
          <wp:inline distT="0" distB="0" distL="0" distR="0" wp14:anchorId="791B1097" wp14:editId="1090CD2F">
            <wp:extent cx="4105799" cy="2770909"/>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4113899" cy="2776376"/>
                    </a:xfrm>
                    <a:prstGeom prst="rect">
                      <a:avLst/>
                    </a:prstGeom>
                  </pic:spPr>
                </pic:pic>
              </a:graphicData>
            </a:graphic>
          </wp:inline>
        </w:drawing>
      </w:r>
    </w:p>
    <w:p w:rsidR="00D3742A" w:rsidRDefault="00D3742A" w:rsidP="00D3742A">
      <w:pPr>
        <w:pStyle w:val="ListParagraph"/>
        <w:numPr>
          <w:ilvl w:val="0"/>
          <w:numId w:val="28"/>
        </w:numPr>
        <w:rPr>
          <w:rFonts w:ascii="Arial" w:hAnsi="Arial" w:cs="Arial"/>
          <w:sz w:val="24"/>
          <w:szCs w:val="24"/>
        </w:rPr>
      </w:pPr>
      <w:r>
        <w:rPr>
          <w:rFonts w:ascii="Arial" w:hAnsi="Arial" w:cs="Arial"/>
          <w:sz w:val="24"/>
          <w:szCs w:val="24"/>
        </w:rPr>
        <w:t>Tab 8 of the R/C Ratio Model is to remove the transformer allowance from volumetric rates.</w:t>
      </w:r>
      <w:r w:rsidR="00975348">
        <w:rPr>
          <w:rFonts w:ascii="Arial" w:hAnsi="Arial" w:cs="Arial"/>
          <w:sz w:val="24"/>
          <w:szCs w:val="24"/>
        </w:rPr>
        <w:t xml:space="preserve"> By removing the transformer allowance from the distribution revenue, the adjusted volumetric rates (column marked with </w:t>
      </w:r>
      <w:proofErr w:type="gramStart"/>
      <w:r w:rsidR="00975348">
        <w:rPr>
          <w:rFonts w:ascii="Arial" w:hAnsi="Arial" w:cs="Arial"/>
          <w:sz w:val="24"/>
          <w:szCs w:val="24"/>
        </w:rPr>
        <w:t>I</w:t>
      </w:r>
      <w:proofErr w:type="gramEnd"/>
      <w:r w:rsidR="00975348">
        <w:rPr>
          <w:rFonts w:ascii="Arial" w:hAnsi="Arial" w:cs="Arial"/>
          <w:sz w:val="24"/>
          <w:szCs w:val="24"/>
        </w:rPr>
        <w:t xml:space="preserve">) should be lower than the volumetric rates from tariff (column marked with F). Therefore, the transformer allowance rates entered in this tab should be with positive signs. Please correct the signs of the transformer allowance rates entered in Tab 8 and update later </w:t>
      </w:r>
      <w:bookmarkStart w:id="0" w:name="_GoBack"/>
      <w:bookmarkEnd w:id="0"/>
      <w:r w:rsidR="00975348">
        <w:rPr>
          <w:rFonts w:ascii="Arial" w:hAnsi="Arial" w:cs="Arial"/>
          <w:sz w:val="24"/>
          <w:szCs w:val="24"/>
        </w:rPr>
        <w:t>tabs of the R/C Ratio Model and Tab 16 of the IRM Model.</w:t>
      </w:r>
    </w:p>
    <w:p w:rsidR="00D3742A" w:rsidRPr="00D3742A" w:rsidRDefault="00D3742A" w:rsidP="00D3742A">
      <w:pPr>
        <w:rPr>
          <w:rFonts w:ascii="Arial" w:hAnsi="Arial" w:cs="Arial"/>
          <w:sz w:val="24"/>
          <w:szCs w:val="24"/>
        </w:rPr>
      </w:pPr>
      <w:r>
        <w:rPr>
          <w:noProof/>
          <w:lang w:val="en-US"/>
        </w:rPr>
        <w:lastRenderedPageBreak/>
        <w:drawing>
          <wp:inline distT="0" distB="0" distL="0" distR="0" wp14:anchorId="18CE5F7B" wp14:editId="246998F1">
            <wp:extent cx="5195455" cy="1674646"/>
            <wp:effectExtent l="0" t="0" r="5715" b="190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209716" cy="1679243"/>
                    </a:xfrm>
                    <a:prstGeom prst="rect">
                      <a:avLst/>
                    </a:prstGeom>
                  </pic:spPr>
                </pic:pic>
              </a:graphicData>
            </a:graphic>
          </wp:inline>
        </w:drawing>
      </w:r>
    </w:p>
    <w:p w:rsidR="0059172B" w:rsidRDefault="0059172B" w:rsidP="008E6045">
      <w:pPr>
        <w:rPr>
          <w:rFonts w:ascii="Arial" w:hAnsi="Arial" w:cs="Arial"/>
          <w:b/>
          <w:sz w:val="24"/>
          <w:szCs w:val="24"/>
        </w:rPr>
      </w:pPr>
    </w:p>
    <w:p w:rsidR="00B04BFB" w:rsidRDefault="00B04BFB" w:rsidP="00AC3F80">
      <w:pPr>
        <w:spacing w:after="0"/>
        <w:rPr>
          <w:rFonts w:ascii="Arial" w:hAnsi="Arial" w:cs="Arial"/>
          <w:b/>
          <w:sz w:val="24"/>
          <w:szCs w:val="24"/>
        </w:rPr>
      </w:pPr>
      <w:r>
        <w:rPr>
          <w:rFonts w:ascii="Arial" w:hAnsi="Arial" w:cs="Arial"/>
          <w:b/>
          <w:sz w:val="24"/>
          <w:szCs w:val="24"/>
        </w:rPr>
        <w:t>Staff Question-2</w:t>
      </w:r>
    </w:p>
    <w:p w:rsidR="00B04BFB" w:rsidRDefault="00B04BFB" w:rsidP="00B04BFB">
      <w:pPr>
        <w:rPr>
          <w:rFonts w:ascii="Arial" w:hAnsi="Arial" w:cs="Arial"/>
          <w:b/>
          <w:sz w:val="24"/>
          <w:szCs w:val="24"/>
        </w:rPr>
      </w:pPr>
      <w:r>
        <w:rPr>
          <w:rFonts w:ascii="Arial" w:hAnsi="Arial" w:cs="Arial"/>
          <w:b/>
          <w:sz w:val="24"/>
          <w:szCs w:val="24"/>
        </w:rPr>
        <w:t xml:space="preserve">Ref: </w:t>
      </w:r>
      <w:r w:rsidR="009E760C">
        <w:rPr>
          <w:rFonts w:ascii="Arial" w:hAnsi="Arial" w:cs="Arial"/>
          <w:b/>
          <w:sz w:val="24"/>
          <w:szCs w:val="24"/>
        </w:rPr>
        <w:t>Rate Generator Model – Tab 3 Continuity Schedule – Account 1595 (2015) and Account 1595 (2016)</w:t>
      </w:r>
    </w:p>
    <w:p w:rsidR="009E760C" w:rsidRPr="009E760C" w:rsidRDefault="009E760C" w:rsidP="00B04BFB">
      <w:pPr>
        <w:rPr>
          <w:rFonts w:ascii="Arial" w:hAnsi="Arial" w:cs="Arial"/>
          <w:sz w:val="24"/>
          <w:szCs w:val="24"/>
        </w:rPr>
      </w:pPr>
      <w:r>
        <w:rPr>
          <w:rFonts w:ascii="Arial" w:hAnsi="Arial" w:cs="Arial"/>
          <w:sz w:val="24"/>
          <w:szCs w:val="24"/>
        </w:rPr>
        <w:t xml:space="preserve">In the continuity schedule, </w:t>
      </w:r>
      <w:r w:rsidR="00AC3F80" w:rsidRPr="00AC3F80">
        <w:rPr>
          <w:rFonts w:ascii="Arial" w:eastAsia="Calibri" w:hAnsi="Arial" w:cs="Times New Roman"/>
          <w:sz w:val="24"/>
          <w:lang w:val="en-US"/>
        </w:rPr>
        <w:t>Niagara-on-the-Lake Hydro</w:t>
      </w:r>
      <w:r>
        <w:rPr>
          <w:rFonts w:ascii="Arial" w:hAnsi="Arial" w:cs="Arial"/>
          <w:sz w:val="24"/>
          <w:szCs w:val="24"/>
        </w:rPr>
        <w:t xml:space="preserve"> entered principle adjustment and interest adjustment amounts in Account 1595 (2015) and Account 1595 (2016) in the year of 2018. Please provide explanation for the four adjustment amounts.</w:t>
      </w:r>
    </w:p>
    <w:p w:rsidR="00B04BFB" w:rsidRDefault="00B04BFB" w:rsidP="008E6045">
      <w:pPr>
        <w:rPr>
          <w:rFonts w:ascii="Arial" w:hAnsi="Arial" w:cs="Arial"/>
          <w:b/>
          <w:sz w:val="24"/>
          <w:szCs w:val="24"/>
        </w:rPr>
      </w:pPr>
    </w:p>
    <w:p w:rsidR="009E760C" w:rsidRDefault="009E760C" w:rsidP="00AC3F80">
      <w:pPr>
        <w:spacing w:after="0"/>
        <w:rPr>
          <w:rFonts w:ascii="Arial" w:hAnsi="Arial" w:cs="Arial"/>
          <w:b/>
          <w:sz w:val="24"/>
          <w:szCs w:val="24"/>
        </w:rPr>
      </w:pPr>
      <w:r>
        <w:rPr>
          <w:rFonts w:ascii="Arial" w:hAnsi="Arial" w:cs="Arial"/>
          <w:b/>
          <w:sz w:val="24"/>
          <w:szCs w:val="24"/>
        </w:rPr>
        <w:t>Staff Question-3</w:t>
      </w:r>
    </w:p>
    <w:p w:rsidR="009E760C" w:rsidRDefault="009E760C" w:rsidP="009E760C">
      <w:pPr>
        <w:rPr>
          <w:rFonts w:ascii="Arial" w:hAnsi="Arial" w:cs="Arial"/>
          <w:b/>
          <w:sz w:val="24"/>
          <w:szCs w:val="24"/>
        </w:rPr>
      </w:pPr>
      <w:r>
        <w:rPr>
          <w:rFonts w:ascii="Arial" w:hAnsi="Arial" w:cs="Arial"/>
          <w:b/>
          <w:sz w:val="24"/>
          <w:szCs w:val="24"/>
        </w:rPr>
        <w:t>Ref:</w:t>
      </w:r>
      <w:r w:rsidR="00CE0AD7">
        <w:rPr>
          <w:rFonts w:ascii="Arial" w:hAnsi="Arial" w:cs="Arial"/>
          <w:b/>
          <w:sz w:val="24"/>
          <w:szCs w:val="24"/>
        </w:rPr>
        <w:t xml:space="preserve"> 2018 Class </w:t>
      </w:r>
      <w:proofErr w:type="gramStart"/>
      <w:r w:rsidR="00CE0AD7">
        <w:rPr>
          <w:rFonts w:ascii="Arial" w:hAnsi="Arial" w:cs="Arial"/>
          <w:b/>
          <w:sz w:val="24"/>
          <w:szCs w:val="24"/>
        </w:rPr>
        <w:t>A</w:t>
      </w:r>
      <w:proofErr w:type="gramEnd"/>
      <w:r w:rsidR="00CE0AD7">
        <w:rPr>
          <w:rFonts w:ascii="Arial" w:hAnsi="Arial" w:cs="Arial"/>
          <w:b/>
          <w:sz w:val="24"/>
          <w:szCs w:val="24"/>
        </w:rPr>
        <w:t xml:space="preserve"> Consumption</w:t>
      </w:r>
    </w:p>
    <w:p w:rsidR="00CE0AD7" w:rsidRDefault="00CE0AD7" w:rsidP="009E760C">
      <w:pPr>
        <w:rPr>
          <w:rFonts w:ascii="Arial" w:hAnsi="Arial" w:cs="Arial"/>
          <w:sz w:val="24"/>
          <w:szCs w:val="24"/>
        </w:rPr>
      </w:pPr>
      <w:r>
        <w:rPr>
          <w:rFonts w:ascii="Arial" w:hAnsi="Arial" w:cs="Arial"/>
          <w:sz w:val="24"/>
          <w:szCs w:val="24"/>
        </w:rPr>
        <w:t xml:space="preserve">As noted in the Manager’s Summary and Tab 6 of the Rate Generator Model, </w:t>
      </w:r>
      <w:r w:rsidR="00AC3F80" w:rsidRPr="00AC3F80">
        <w:rPr>
          <w:rFonts w:ascii="Arial" w:hAnsi="Arial" w:cs="Arial"/>
          <w:sz w:val="24"/>
          <w:szCs w:val="24"/>
        </w:rPr>
        <w:t>Niagara-on-the-Lake Hydro</w:t>
      </w:r>
      <w:r>
        <w:rPr>
          <w:rFonts w:ascii="Arial" w:hAnsi="Arial" w:cs="Arial"/>
          <w:sz w:val="24"/>
          <w:szCs w:val="24"/>
        </w:rPr>
        <w:t xml:space="preserve"> had five customers transitioned between Class A and Class B in 2018. OEB staff calculated the total 2018 Class A consumption of these five customers to be 11,633,411 kWh</w:t>
      </w:r>
      <w:r w:rsidR="006F4FBD">
        <w:rPr>
          <w:rFonts w:ascii="Arial" w:hAnsi="Arial" w:cs="Arial"/>
          <w:sz w:val="24"/>
          <w:szCs w:val="24"/>
        </w:rPr>
        <w:t xml:space="preserve"> using the data entered in Table 3a in Tab 6. However, Table Note 2 of the GA Analysis </w:t>
      </w:r>
      <w:proofErr w:type="spellStart"/>
      <w:r w:rsidR="006F4FBD">
        <w:rPr>
          <w:rFonts w:ascii="Arial" w:hAnsi="Arial" w:cs="Arial"/>
          <w:sz w:val="24"/>
          <w:szCs w:val="24"/>
        </w:rPr>
        <w:t>Workform</w:t>
      </w:r>
      <w:proofErr w:type="spellEnd"/>
      <w:r w:rsidR="006F4FBD">
        <w:rPr>
          <w:rFonts w:ascii="Arial" w:hAnsi="Arial" w:cs="Arial"/>
          <w:sz w:val="24"/>
          <w:szCs w:val="24"/>
        </w:rPr>
        <w:t xml:space="preserve"> shows that </w:t>
      </w:r>
      <w:r w:rsidR="00AC3F80" w:rsidRPr="00AC3F80">
        <w:rPr>
          <w:rFonts w:ascii="Arial" w:eastAsia="Calibri" w:hAnsi="Arial" w:cs="Times New Roman"/>
          <w:sz w:val="24"/>
          <w:lang w:val="en-US"/>
        </w:rPr>
        <w:t>Niagara-on-the-Lake Hydro</w:t>
      </w:r>
      <w:r w:rsidR="006F4FBD">
        <w:rPr>
          <w:rFonts w:ascii="Arial" w:hAnsi="Arial" w:cs="Arial"/>
          <w:sz w:val="24"/>
          <w:szCs w:val="24"/>
        </w:rPr>
        <w:t xml:space="preserve"> reported total Class A consumption of 18,134,723 kWh for 2018.</w:t>
      </w:r>
    </w:p>
    <w:p w:rsidR="006F4FBD" w:rsidRDefault="006F4FBD" w:rsidP="006F4FBD">
      <w:pPr>
        <w:pStyle w:val="ListParagraph"/>
        <w:numPr>
          <w:ilvl w:val="0"/>
          <w:numId w:val="29"/>
        </w:numPr>
        <w:rPr>
          <w:rFonts w:ascii="Arial" w:hAnsi="Arial" w:cs="Arial"/>
          <w:sz w:val="24"/>
          <w:szCs w:val="24"/>
        </w:rPr>
      </w:pPr>
      <w:r>
        <w:rPr>
          <w:rFonts w:ascii="Arial" w:hAnsi="Arial" w:cs="Arial"/>
          <w:sz w:val="24"/>
          <w:szCs w:val="24"/>
        </w:rPr>
        <w:t xml:space="preserve">Please confirm whether or not </w:t>
      </w:r>
      <w:r w:rsidR="00AC3F80" w:rsidRPr="00AC3F80">
        <w:rPr>
          <w:rFonts w:ascii="Arial" w:eastAsia="Calibri" w:hAnsi="Arial" w:cs="Times New Roman"/>
          <w:sz w:val="24"/>
          <w:lang w:val="en-US"/>
        </w:rPr>
        <w:t>Niagara-on-the-Lake Hydro</w:t>
      </w:r>
      <w:r>
        <w:rPr>
          <w:rFonts w:ascii="Arial" w:hAnsi="Arial" w:cs="Arial"/>
          <w:sz w:val="24"/>
          <w:szCs w:val="24"/>
        </w:rPr>
        <w:t xml:space="preserve"> had no full-year Class A customers in 2018 and all the Class A consumption was from the five Class A/B transition customers.</w:t>
      </w:r>
    </w:p>
    <w:p w:rsidR="006F4FBD" w:rsidRDefault="00CC0EF2" w:rsidP="006F4FBD">
      <w:pPr>
        <w:pStyle w:val="ListParagraph"/>
        <w:numPr>
          <w:ilvl w:val="0"/>
          <w:numId w:val="29"/>
        </w:numPr>
        <w:rPr>
          <w:rFonts w:ascii="Arial" w:hAnsi="Arial" w:cs="Arial"/>
          <w:sz w:val="24"/>
          <w:szCs w:val="24"/>
        </w:rPr>
      </w:pPr>
      <w:r>
        <w:rPr>
          <w:rFonts w:ascii="Arial" w:hAnsi="Arial" w:cs="Arial"/>
          <w:sz w:val="24"/>
          <w:szCs w:val="24"/>
        </w:rPr>
        <w:t>P</w:t>
      </w:r>
      <w:r w:rsidR="006F4FBD">
        <w:rPr>
          <w:rFonts w:ascii="Arial" w:hAnsi="Arial" w:cs="Arial"/>
          <w:sz w:val="24"/>
          <w:szCs w:val="24"/>
        </w:rPr>
        <w:t>lease provide explanation</w:t>
      </w:r>
      <w:r>
        <w:rPr>
          <w:rFonts w:ascii="Arial" w:hAnsi="Arial" w:cs="Arial"/>
          <w:sz w:val="24"/>
          <w:szCs w:val="24"/>
        </w:rPr>
        <w:t xml:space="preserve"> for the discrepancy in Class A consumption data described above.</w:t>
      </w:r>
    </w:p>
    <w:p w:rsidR="00AC3F80" w:rsidRDefault="00AC3F80" w:rsidP="00AC3F80">
      <w:pPr>
        <w:rPr>
          <w:rFonts w:ascii="Arial" w:hAnsi="Arial" w:cs="Arial"/>
          <w:sz w:val="24"/>
          <w:szCs w:val="24"/>
        </w:rPr>
      </w:pPr>
    </w:p>
    <w:p w:rsidR="00AC3F80" w:rsidRDefault="00AC3F80" w:rsidP="00AC3F80">
      <w:pPr>
        <w:spacing w:after="0"/>
        <w:rPr>
          <w:rFonts w:ascii="Arial" w:hAnsi="Arial" w:cs="Arial"/>
          <w:b/>
          <w:sz w:val="24"/>
          <w:szCs w:val="24"/>
        </w:rPr>
      </w:pPr>
      <w:r>
        <w:rPr>
          <w:rFonts w:ascii="Arial" w:hAnsi="Arial" w:cs="Arial"/>
          <w:b/>
          <w:sz w:val="24"/>
          <w:szCs w:val="24"/>
        </w:rPr>
        <w:t>Staff Question-4</w:t>
      </w:r>
    </w:p>
    <w:p w:rsidR="00AC3F80" w:rsidRPr="00AC3F80" w:rsidRDefault="00AC3F80" w:rsidP="00AC3F80">
      <w:pPr>
        <w:rPr>
          <w:rFonts w:ascii="Arial" w:eastAsia="Calibri" w:hAnsi="Arial" w:cs="Times New Roman"/>
          <w:b/>
          <w:sz w:val="24"/>
          <w:lang w:val="en-US"/>
        </w:rPr>
      </w:pPr>
      <w:r w:rsidRPr="00AC3F80">
        <w:rPr>
          <w:rFonts w:ascii="Arial" w:eastAsia="Calibri" w:hAnsi="Arial" w:cs="Times New Roman"/>
          <w:b/>
          <w:sz w:val="24"/>
          <w:lang w:val="en-US"/>
        </w:rPr>
        <w:t xml:space="preserve">Ref: GA Analysis </w:t>
      </w:r>
      <w:proofErr w:type="spellStart"/>
      <w:r w:rsidRPr="00AC3F80">
        <w:rPr>
          <w:rFonts w:ascii="Arial" w:eastAsia="Calibri" w:hAnsi="Arial" w:cs="Times New Roman"/>
          <w:b/>
          <w:sz w:val="24"/>
          <w:lang w:val="en-US"/>
        </w:rPr>
        <w:t>Workform</w:t>
      </w:r>
      <w:proofErr w:type="spellEnd"/>
      <w:r w:rsidRPr="00AC3F80">
        <w:rPr>
          <w:rFonts w:ascii="Arial" w:eastAsia="Calibri" w:hAnsi="Arial" w:cs="Times New Roman"/>
          <w:b/>
          <w:sz w:val="24"/>
          <w:lang w:val="en-US"/>
        </w:rPr>
        <w:t xml:space="preserve">, Appendix A, pages 2 and </w:t>
      </w:r>
      <w:r w:rsidRPr="00AC3F80">
        <w:rPr>
          <w:rFonts w:ascii="Arial" w:hAnsi="Arial" w:cs="Arial"/>
          <w:b/>
          <w:sz w:val="24"/>
          <w:szCs w:val="24"/>
        </w:rPr>
        <w:t>12</w:t>
      </w:r>
    </w:p>
    <w:p w:rsidR="00AC3F80" w:rsidRPr="00AC3F80" w:rsidRDefault="00AC3F80" w:rsidP="00AC3F80">
      <w:pPr>
        <w:rPr>
          <w:rFonts w:ascii="Arial" w:eastAsia="Calibri" w:hAnsi="Arial" w:cs="Arial"/>
          <w:sz w:val="24"/>
          <w:lang w:val="en-US"/>
        </w:rPr>
      </w:pPr>
      <w:r w:rsidRPr="00AC3F80">
        <w:rPr>
          <w:rFonts w:ascii="Arial" w:eastAsia="Calibri" w:hAnsi="Arial" w:cs="Times New Roman"/>
          <w:sz w:val="24"/>
          <w:lang w:val="en-US"/>
        </w:rPr>
        <w:lastRenderedPageBreak/>
        <w:t xml:space="preserve">Under #2, Niagara-on-the-Lake Hydro indicated it uses approach B. Under #4b, it states that this method ensures that </w:t>
      </w:r>
      <w:r w:rsidRPr="00AC3F80">
        <w:rPr>
          <w:rFonts w:ascii="Arial" w:eastAsia="Calibri" w:hAnsi="Arial" w:cs="Arial"/>
          <w:sz w:val="24"/>
          <w:lang w:val="en-US"/>
        </w:rPr>
        <w:t xml:space="preserve">the difference between the approved loses and actual losses are shared between RPP and non-RPP customers. </w:t>
      </w:r>
    </w:p>
    <w:p w:rsidR="00AC3F80" w:rsidRPr="00AC3F80" w:rsidRDefault="00AC3F80" w:rsidP="00AC3F80">
      <w:pPr>
        <w:numPr>
          <w:ilvl w:val="0"/>
          <w:numId w:val="32"/>
        </w:numPr>
        <w:contextualSpacing/>
        <w:rPr>
          <w:rFonts w:ascii="Arial" w:eastAsia="Calibri" w:hAnsi="Arial" w:cs="Arial"/>
          <w:sz w:val="24"/>
          <w:lang w:val="en-US"/>
        </w:rPr>
      </w:pPr>
      <w:r w:rsidRPr="00AC3F80">
        <w:rPr>
          <w:rFonts w:ascii="Arial" w:eastAsia="Calibri" w:hAnsi="Arial" w:cs="Arial"/>
          <w:sz w:val="24"/>
          <w:lang w:val="en-US"/>
        </w:rPr>
        <w:t>Please confirm that Niagara-on-the-Lake Hydro is using approach B as it believes that it ensures that the difference between approved losses and actual loses are shared between RPP and non-RPP customers.</w:t>
      </w:r>
    </w:p>
    <w:p w:rsidR="00AC3F80" w:rsidRPr="00AC3F80" w:rsidRDefault="00AC3F80" w:rsidP="00AC3F80">
      <w:pPr>
        <w:numPr>
          <w:ilvl w:val="0"/>
          <w:numId w:val="32"/>
        </w:numPr>
        <w:contextualSpacing/>
        <w:rPr>
          <w:rFonts w:ascii="Arial" w:eastAsia="Calibri" w:hAnsi="Arial" w:cs="Arial"/>
          <w:sz w:val="24"/>
          <w:lang w:val="en-US"/>
        </w:rPr>
      </w:pPr>
      <w:r w:rsidRPr="00AC3F80">
        <w:rPr>
          <w:rFonts w:ascii="Arial" w:eastAsia="Calibri" w:hAnsi="Arial" w:cs="Arial"/>
          <w:sz w:val="24"/>
          <w:lang w:val="en-US"/>
        </w:rPr>
        <w:t xml:space="preserve">If not confirmed, please explain why approach A (the approach in accordance with the new accounting guidance) is not used. </w:t>
      </w:r>
    </w:p>
    <w:p w:rsidR="00AC3F80" w:rsidRPr="00AC3F80" w:rsidRDefault="00AC3F80" w:rsidP="00AC3F80">
      <w:pPr>
        <w:numPr>
          <w:ilvl w:val="0"/>
          <w:numId w:val="32"/>
        </w:numPr>
        <w:contextualSpacing/>
        <w:rPr>
          <w:rFonts w:ascii="Arial" w:eastAsia="Calibri" w:hAnsi="Arial" w:cs="Arial"/>
          <w:sz w:val="24"/>
          <w:lang w:val="en-US"/>
        </w:rPr>
      </w:pPr>
      <w:r w:rsidRPr="00AC3F80">
        <w:rPr>
          <w:rFonts w:ascii="Arial" w:eastAsia="Calibri" w:hAnsi="Arial" w:cs="Arial"/>
          <w:sz w:val="24"/>
          <w:lang w:val="en-US"/>
        </w:rPr>
        <w:t xml:space="preserve">If confirmed, please explain how approach B will better allocate the loss difference between RPP and non-RPP customers in comparison to approach A. </w:t>
      </w:r>
    </w:p>
    <w:p w:rsidR="00AC3F80" w:rsidRDefault="00AC3F80" w:rsidP="00AC3F80">
      <w:pPr>
        <w:numPr>
          <w:ilvl w:val="0"/>
          <w:numId w:val="32"/>
        </w:numPr>
        <w:contextualSpacing/>
        <w:rPr>
          <w:rFonts w:ascii="Arial" w:eastAsia="Calibri" w:hAnsi="Arial" w:cs="Arial"/>
          <w:sz w:val="24"/>
          <w:lang w:val="en-US"/>
        </w:rPr>
      </w:pPr>
      <w:r w:rsidRPr="00AC3F80">
        <w:rPr>
          <w:rFonts w:ascii="Arial" w:eastAsia="Calibri" w:hAnsi="Arial" w:cs="Arial"/>
          <w:sz w:val="24"/>
          <w:lang w:val="en-US"/>
        </w:rPr>
        <w:t>If confirmed, please quantify the difference that would be recorded in Accounts 1588 and 1589 between the two approaches.</w:t>
      </w:r>
    </w:p>
    <w:p w:rsidR="00AC3F80" w:rsidRPr="00AC3F80" w:rsidRDefault="00AC3F80" w:rsidP="00AC3F80">
      <w:pPr>
        <w:ind w:left="720"/>
        <w:contextualSpacing/>
        <w:rPr>
          <w:rFonts w:ascii="Arial" w:eastAsia="Calibri" w:hAnsi="Arial" w:cs="Arial"/>
          <w:sz w:val="24"/>
          <w:lang w:val="en-US"/>
        </w:rPr>
      </w:pPr>
    </w:p>
    <w:p w:rsidR="00AC3F80" w:rsidRPr="00AC3F80" w:rsidRDefault="00AC3F80" w:rsidP="00AC3F80">
      <w:pPr>
        <w:contextualSpacing/>
        <w:rPr>
          <w:rFonts w:ascii="Arial" w:eastAsia="Calibri" w:hAnsi="Arial" w:cs="Times New Roman"/>
          <w:b/>
          <w:sz w:val="24"/>
          <w:lang w:val="en-US"/>
        </w:rPr>
      </w:pPr>
    </w:p>
    <w:p w:rsidR="00AC3F80" w:rsidRPr="00AC3F80" w:rsidRDefault="00AC3F80" w:rsidP="00AC3F80">
      <w:pPr>
        <w:spacing w:after="0"/>
        <w:rPr>
          <w:rFonts w:ascii="Arial" w:hAnsi="Arial" w:cs="Arial"/>
          <w:b/>
          <w:sz w:val="24"/>
          <w:szCs w:val="24"/>
        </w:rPr>
      </w:pPr>
      <w:r>
        <w:rPr>
          <w:rFonts w:ascii="Arial" w:hAnsi="Arial" w:cs="Arial"/>
          <w:b/>
          <w:sz w:val="24"/>
          <w:szCs w:val="24"/>
        </w:rPr>
        <w:t>Staff Question-5</w:t>
      </w:r>
    </w:p>
    <w:p w:rsidR="00AC3F80" w:rsidRPr="00AC3F80" w:rsidRDefault="00AC3F80" w:rsidP="00AC3F80">
      <w:pPr>
        <w:contextualSpacing/>
        <w:rPr>
          <w:rFonts w:ascii="Arial" w:eastAsia="Calibri" w:hAnsi="Arial" w:cs="Times New Roman"/>
          <w:b/>
          <w:sz w:val="24"/>
          <w:lang w:val="en-US"/>
        </w:rPr>
      </w:pPr>
      <w:r w:rsidRPr="00AC3F80">
        <w:rPr>
          <w:rFonts w:ascii="Arial" w:eastAsia="Calibri" w:hAnsi="Arial" w:cs="Times New Roman"/>
          <w:b/>
          <w:sz w:val="24"/>
          <w:lang w:val="en-US"/>
        </w:rPr>
        <w:t xml:space="preserve">Ref: Manager’s </w:t>
      </w:r>
      <w:proofErr w:type="gramStart"/>
      <w:r w:rsidRPr="00AC3F80">
        <w:rPr>
          <w:rFonts w:ascii="Arial" w:eastAsia="Calibri" w:hAnsi="Arial" w:cs="Times New Roman"/>
          <w:b/>
          <w:sz w:val="24"/>
          <w:lang w:val="en-US"/>
        </w:rPr>
        <w:t>Summary</w:t>
      </w:r>
      <w:proofErr w:type="gramEnd"/>
      <w:r w:rsidRPr="00AC3F80">
        <w:rPr>
          <w:rFonts w:ascii="Arial" w:eastAsia="Calibri" w:hAnsi="Arial" w:cs="Times New Roman"/>
          <w:b/>
          <w:sz w:val="24"/>
          <w:lang w:val="en-US"/>
        </w:rPr>
        <w:t>, page 20</w:t>
      </w:r>
    </w:p>
    <w:p w:rsidR="00AC3F80" w:rsidRPr="00AC3F80" w:rsidRDefault="00AC3F80" w:rsidP="00AC3F80">
      <w:pPr>
        <w:rPr>
          <w:rFonts w:ascii="Arial" w:eastAsia="Calibri" w:hAnsi="Arial" w:cs="Times New Roman"/>
          <w:b/>
          <w:sz w:val="24"/>
          <w:lang w:val="en-US"/>
        </w:rPr>
      </w:pPr>
      <w:r w:rsidRPr="00AC3F80">
        <w:rPr>
          <w:rFonts w:ascii="Arial" w:eastAsia="Calibri" w:hAnsi="Arial" w:cs="Times New Roman"/>
          <w:b/>
          <w:sz w:val="24"/>
          <w:lang w:val="en-US"/>
        </w:rPr>
        <w:t xml:space="preserve">Ref: GA Analysis </w:t>
      </w:r>
      <w:proofErr w:type="spellStart"/>
      <w:r w:rsidRPr="00AC3F80">
        <w:rPr>
          <w:rFonts w:ascii="Arial" w:eastAsia="Calibri" w:hAnsi="Arial" w:cs="Times New Roman"/>
          <w:b/>
          <w:sz w:val="24"/>
          <w:lang w:val="en-US"/>
        </w:rPr>
        <w:t>Workform</w:t>
      </w:r>
      <w:proofErr w:type="spellEnd"/>
      <w:r w:rsidRPr="00AC3F80">
        <w:rPr>
          <w:rFonts w:ascii="Arial" w:eastAsia="Calibri" w:hAnsi="Arial" w:cs="Times New Roman"/>
          <w:b/>
          <w:sz w:val="24"/>
          <w:lang w:val="en-US"/>
        </w:rPr>
        <w:t>, Appendix A, page 14</w:t>
      </w:r>
    </w:p>
    <w:p w:rsidR="00AC3F80" w:rsidRPr="00AC3F80" w:rsidRDefault="00AC3F80" w:rsidP="00AC3F80">
      <w:pPr>
        <w:autoSpaceDE w:val="0"/>
        <w:autoSpaceDN w:val="0"/>
        <w:adjustRightInd w:val="0"/>
        <w:rPr>
          <w:rFonts w:ascii="ArialMT" w:eastAsia="Calibri" w:hAnsi="ArialMT" w:cs="ArialMT"/>
          <w:sz w:val="24"/>
          <w:lang w:val="en-US"/>
        </w:rPr>
      </w:pPr>
      <w:r w:rsidRPr="00AC3F80">
        <w:rPr>
          <w:rFonts w:ascii="ArialMT" w:eastAsia="Calibri" w:hAnsi="ArialMT" w:cs="ArialMT"/>
          <w:sz w:val="24"/>
          <w:lang w:val="en-US"/>
        </w:rPr>
        <w:t>On page 20 of the Manager’s Summary, it states that there is variance of $78,553 between the RRR and DVA Continuity schedule balance for Account 1589 due to the difference in estimate to actual generation submitted to the IESO in 2019 for 2016 and January to April 2017.</w:t>
      </w:r>
    </w:p>
    <w:p w:rsidR="00AC3F80" w:rsidRPr="00AC3F80" w:rsidRDefault="00AC3F80" w:rsidP="00AC3F80">
      <w:pPr>
        <w:numPr>
          <w:ilvl w:val="0"/>
          <w:numId w:val="31"/>
        </w:numPr>
        <w:autoSpaceDE w:val="0"/>
        <w:autoSpaceDN w:val="0"/>
        <w:adjustRightInd w:val="0"/>
        <w:spacing w:after="160" w:line="259" w:lineRule="auto"/>
        <w:contextualSpacing/>
        <w:rPr>
          <w:rFonts w:ascii="ArialMT" w:eastAsia="Calibri" w:hAnsi="ArialMT" w:cs="ArialMT"/>
          <w:sz w:val="24"/>
          <w:lang w:val="en-US"/>
        </w:rPr>
      </w:pPr>
      <w:r w:rsidRPr="00AC3F80">
        <w:rPr>
          <w:rFonts w:ascii="ArialMT" w:eastAsia="Calibri" w:hAnsi="ArialMT" w:cs="ArialMT"/>
          <w:sz w:val="24"/>
          <w:lang w:val="en-US"/>
        </w:rPr>
        <w:t>Of the $78,553 variance, please confirm that $42,891 is due to the adjustment for January to April 2017.</w:t>
      </w:r>
    </w:p>
    <w:p w:rsidR="00AC3F80" w:rsidRPr="00AC3F80" w:rsidRDefault="00AC3F80" w:rsidP="00AC3F80">
      <w:pPr>
        <w:numPr>
          <w:ilvl w:val="1"/>
          <w:numId w:val="31"/>
        </w:numPr>
        <w:autoSpaceDE w:val="0"/>
        <w:autoSpaceDN w:val="0"/>
        <w:adjustRightInd w:val="0"/>
        <w:spacing w:after="160" w:line="259" w:lineRule="auto"/>
        <w:contextualSpacing/>
        <w:rPr>
          <w:rFonts w:ascii="ArialMT" w:eastAsia="Calibri" w:hAnsi="ArialMT" w:cs="ArialMT"/>
          <w:sz w:val="24"/>
          <w:lang w:val="en-US"/>
        </w:rPr>
      </w:pPr>
      <w:r w:rsidRPr="00AC3F80">
        <w:rPr>
          <w:rFonts w:ascii="ArialMT" w:eastAsia="Calibri" w:hAnsi="ArialMT" w:cs="ArialMT"/>
          <w:sz w:val="24"/>
          <w:lang w:val="en-US"/>
        </w:rPr>
        <w:t xml:space="preserve">Per Appendix A of the GA Analysis </w:t>
      </w:r>
      <w:proofErr w:type="spellStart"/>
      <w:r w:rsidRPr="00AC3F80">
        <w:rPr>
          <w:rFonts w:ascii="ArialMT" w:eastAsia="Calibri" w:hAnsi="ArialMT" w:cs="ArialMT"/>
          <w:sz w:val="24"/>
          <w:lang w:val="en-US"/>
        </w:rPr>
        <w:t>Workform</w:t>
      </w:r>
      <w:proofErr w:type="spellEnd"/>
      <w:r w:rsidRPr="00AC3F80">
        <w:rPr>
          <w:rFonts w:ascii="ArialMT" w:eastAsia="Calibri" w:hAnsi="ArialMT" w:cs="ArialMT"/>
          <w:sz w:val="24"/>
          <w:lang w:val="en-US"/>
        </w:rPr>
        <w:t xml:space="preserve">, Account 1589 principal adjustment in the 2019 rate application included a principal adjustment of $42,891 for January to April 2017 generation estimate to actual differences. Please confirm that this adjustment was recorded in the GL in 2019 and therefore, is not a reconciling item in the 2018 GA Analysis </w:t>
      </w:r>
      <w:proofErr w:type="spellStart"/>
      <w:r w:rsidRPr="00AC3F80">
        <w:rPr>
          <w:rFonts w:ascii="ArialMT" w:eastAsia="Calibri" w:hAnsi="ArialMT" w:cs="ArialMT"/>
          <w:sz w:val="24"/>
          <w:lang w:val="en-US"/>
        </w:rPr>
        <w:t>Workform</w:t>
      </w:r>
      <w:proofErr w:type="spellEnd"/>
      <w:r w:rsidRPr="00AC3F80">
        <w:rPr>
          <w:rFonts w:ascii="ArialMT" w:eastAsia="Calibri" w:hAnsi="ArialMT" w:cs="ArialMT"/>
          <w:sz w:val="24"/>
          <w:lang w:val="en-US"/>
        </w:rPr>
        <w:t xml:space="preserve"> and is not a reversing principal adjustment in the 2018 balance. If not, please explain why this is not a reconciling item in the 2018 GA Analysis </w:t>
      </w:r>
      <w:proofErr w:type="spellStart"/>
      <w:r w:rsidRPr="00AC3F80">
        <w:rPr>
          <w:rFonts w:ascii="ArialMT" w:eastAsia="Calibri" w:hAnsi="ArialMT" w:cs="ArialMT"/>
          <w:sz w:val="24"/>
          <w:lang w:val="en-US"/>
        </w:rPr>
        <w:t>Workform</w:t>
      </w:r>
      <w:proofErr w:type="spellEnd"/>
      <w:r w:rsidRPr="00AC3F80">
        <w:rPr>
          <w:rFonts w:ascii="ArialMT" w:eastAsia="Calibri" w:hAnsi="ArialMT" w:cs="ArialMT"/>
          <w:sz w:val="24"/>
          <w:lang w:val="en-US"/>
        </w:rPr>
        <w:t xml:space="preserve"> and a reversal in 2018.</w:t>
      </w:r>
    </w:p>
    <w:p w:rsidR="00AC3F80" w:rsidRPr="00AC3F80" w:rsidRDefault="00AC3F80" w:rsidP="00AC3F80">
      <w:pPr>
        <w:numPr>
          <w:ilvl w:val="0"/>
          <w:numId w:val="31"/>
        </w:numPr>
        <w:autoSpaceDE w:val="0"/>
        <w:autoSpaceDN w:val="0"/>
        <w:adjustRightInd w:val="0"/>
        <w:spacing w:after="160" w:line="259" w:lineRule="auto"/>
        <w:contextualSpacing/>
        <w:rPr>
          <w:rFonts w:ascii="ArialMT" w:eastAsia="Calibri" w:hAnsi="ArialMT" w:cs="ArialMT"/>
          <w:sz w:val="24"/>
          <w:lang w:val="en-US"/>
        </w:rPr>
      </w:pPr>
      <w:r w:rsidRPr="00AC3F80">
        <w:rPr>
          <w:rFonts w:ascii="ArialMT" w:eastAsia="Calibri" w:hAnsi="ArialMT" w:cs="ArialMT"/>
          <w:sz w:val="24"/>
          <w:lang w:val="en-US"/>
        </w:rPr>
        <w:t>Please confirm that the remaining variance is due to the 2016 difference in estimated to actual generation. If not, please explain what the remaining variance pertained to.</w:t>
      </w:r>
    </w:p>
    <w:p w:rsidR="00AC3F80" w:rsidRPr="00AC3F80" w:rsidRDefault="00AC3F80" w:rsidP="00AC3F80">
      <w:pPr>
        <w:numPr>
          <w:ilvl w:val="1"/>
          <w:numId w:val="31"/>
        </w:numPr>
        <w:autoSpaceDE w:val="0"/>
        <w:autoSpaceDN w:val="0"/>
        <w:adjustRightInd w:val="0"/>
        <w:spacing w:after="160" w:line="259" w:lineRule="auto"/>
        <w:contextualSpacing/>
        <w:rPr>
          <w:rFonts w:ascii="ArialMT" w:eastAsia="Calibri" w:hAnsi="ArialMT" w:cs="ArialMT"/>
          <w:sz w:val="24"/>
          <w:lang w:val="en-US"/>
        </w:rPr>
      </w:pPr>
      <w:r w:rsidRPr="00AC3F80">
        <w:rPr>
          <w:rFonts w:ascii="ArialMT" w:eastAsia="Calibri" w:hAnsi="ArialMT" w:cs="ArialMT"/>
          <w:sz w:val="24"/>
          <w:lang w:val="en-US"/>
        </w:rPr>
        <w:t xml:space="preserve">Please explain the year in which the 2016 difference in estimated to actual generation was recorded in the GL and in the DVA Continuity Schedule. </w:t>
      </w:r>
    </w:p>
    <w:p w:rsidR="00AC3F80" w:rsidRPr="00AC3F80" w:rsidRDefault="00AC3F80" w:rsidP="00AC3F80">
      <w:pPr>
        <w:numPr>
          <w:ilvl w:val="0"/>
          <w:numId w:val="31"/>
        </w:numPr>
        <w:autoSpaceDE w:val="0"/>
        <w:autoSpaceDN w:val="0"/>
        <w:adjustRightInd w:val="0"/>
        <w:spacing w:after="160" w:line="259" w:lineRule="auto"/>
        <w:contextualSpacing/>
        <w:rPr>
          <w:rFonts w:ascii="ArialMT" w:eastAsia="Calibri" w:hAnsi="ArialMT" w:cs="ArialMT"/>
          <w:sz w:val="24"/>
          <w:lang w:val="en-US"/>
        </w:rPr>
      </w:pPr>
      <w:r w:rsidRPr="00AC3F80">
        <w:rPr>
          <w:rFonts w:ascii="ArialMT" w:eastAsia="Calibri" w:hAnsi="ArialMT" w:cs="ArialMT"/>
          <w:sz w:val="24"/>
          <w:lang w:val="en-US"/>
        </w:rPr>
        <w:t>Please discuss the impact to Accounts 1588 and 1589 when Niagara-on-the-</w:t>
      </w:r>
      <w:proofErr w:type="gramStart"/>
      <w:r w:rsidRPr="00AC3F80">
        <w:rPr>
          <w:rFonts w:ascii="ArialMT" w:eastAsia="Calibri" w:hAnsi="ArialMT" w:cs="ArialMT"/>
          <w:sz w:val="24"/>
          <w:lang w:val="en-US"/>
        </w:rPr>
        <w:t>Lake  settled</w:t>
      </w:r>
      <w:proofErr w:type="gramEnd"/>
      <w:r w:rsidRPr="00AC3F80">
        <w:rPr>
          <w:rFonts w:ascii="ArialMT" w:eastAsia="Calibri" w:hAnsi="ArialMT" w:cs="ArialMT"/>
          <w:sz w:val="24"/>
          <w:lang w:val="en-US"/>
        </w:rPr>
        <w:t xml:space="preserve"> the adjustment with the IESO in 2019.</w:t>
      </w:r>
    </w:p>
    <w:p w:rsidR="00AC3F80" w:rsidRPr="00AC3F80" w:rsidRDefault="00AC3F80" w:rsidP="00AC3F80">
      <w:pPr>
        <w:contextualSpacing/>
        <w:rPr>
          <w:rFonts w:ascii="Arial" w:eastAsia="Calibri" w:hAnsi="Arial" w:cs="Times New Roman"/>
          <w:b/>
          <w:sz w:val="24"/>
          <w:lang w:val="en-US"/>
        </w:rPr>
      </w:pPr>
    </w:p>
    <w:p w:rsidR="00AC3F80" w:rsidRDefault="00AC3F80" w:rsidP="00AC3F80">
      <w:pPr>
        <w:spacing w:after="0"/>
        <w:rPr>
          <w:rFonts w:ascii="Arial" w:hAnsi="Arial" w:cs="Arial"/>
          <w:b/>
          <w:sz w:val="24"/>
          <w:szCs w:val="24"/>
        </w:rPr>
      </w:pPr>
    </w:p>
    <w:p w:rsidR="00AC3F80" w:rsidRDefault="00AC3F80" w:rsidP="00AC3F80">
      <w:pPr>
        <w:spacing w:after="0"/>
        <w:rPr>
          <w:rFonts w:ascii="Arial" w:eastAsia="Calibri" w:hAnsi="Arial" w:cs="Times New Roman"/>
          <w:b/>
          <w:sz w:val="24"/>
          <w:lang w:val="en-US"/>
        </w:rPr>
      </w:pPr>
      <w:r>
        <w:rPr>
          <w:rFonts w:ascii="Arial" w:hAnsi="Arial" w:cs="Arial"/>
          <w:b/>
          <w:sz w:val="24"/>
          <w:szCs w:val="24"/>
        </w:rPr>
        <w:lastRenderedPageBreak/>
        <w:t>Staff Q</w:t>
      </w:r>
      <w:r>
        <w:rPr>
          <w:rFonts w:ascii="Arial" w:hAnsi="Arial" w:cs="Arial"/>
          <w:b/>
          <w:sz w:val="24"/>
          <w:szCs w:val="24"/>
        </w:rPr>
        <w:t>uestion-6</w:t>
      </w:r>
    </w:p>
    <w:p w:rsidR="00AC3F80" w:rsidRPr="00AC3F80" w:rsidRDefault="00AC3F80" w:rsidP="00AC3F80">
      <w:pPr>
        <w:contextualSpacing/>
        <w:rPr>
          <w:rFonts w:ascii="Arial" w:eastAsia="Calibri" w:hAnsi="Arial" w:cs="Times New Roman"/>
          <w:b/>
          <w:sz w:val="24"/>
          <w:lang w:val="en-US"/>
        </w:rPr>
      </w:pPr>
      <w:r w:rsidRPr="00AC3F80">
        <w:rPr>
          <w:rFonts w:ascii="Arial" w:eastAsia="Calibri" w:hAnsi="Arial" w:cs="Times New Roman"/>
          <w:b/>
          <w:sz w:val="24"/>
          <w:lang w:val="en-US"/>
        </w:rPr>
        <w:t>Ref: Manager’s Summary, pages 38-39</w:t>
      </w:r>
    </w:p>
    <w:p w:rsidR="00AC3F80" w:rsidRPr="00AC3F80" w:rsidRDefault="00AC3F80" w:rsidP="00AC3F80">
      <w:pPr>
        <w:rPr>
          <w:rFonts w:ascii="Arial" w:eastAsia="Calibri" w:hAnsi="Arial" w:cs="Times New Roman"/>
          <w:b/>
          <w:sz w:val="24"/>
          <w:lang w:val="en-US"/>
        </w:rPr>
      </w:pPr>
      <w:r w:rsidRPr="00AC3F80">
        <w:rPr>
          <w:rFonts w:ascii="Arial" w:eastAsia="Calibri" w:hAnsi="Arial" w:cs="Times New Roman"/>
          <w:b/>
          <w:sz w:val="24"/>
          <w:lang w:val="en-US"/>
        </w:rPr>
        <w:t xml:space="preserve">Ref: GA Analysis </w:t>
      </w:r>
      <w:proofErr w:type="spellStart"/>
      <w:r w:rsidRPr="00AC3F80">
        <w:rPr>
          <w:rFonts w:ascii="Arial" w:eastAsia="Calibri" w:hAnsi="Arial" w:cs="Times New Roman"/>
          <w:b/>
          <w:sz w:val="24"/>
          <w:lang w:val="en-US"/>
        </w:rPr>
        <w:t>Workform</w:t>
      </w:r>
      <w:proofErr w:type="spellEnd"/>
    </w:p>
    <w:p w:rsidR="00AC3F80" w:rsidRPr="00AC3F80" w:rsidRDefault="00AC3F80" w:rsidP="00AC3F80">
      <w:pPr>
        <w:autoSpaceDE w:val="0"/>
        <w:autoSpaceDN w:val="0"/>
        <w:adjustRightInd w:val="0"/>
        <w:rPr>
          <w:rFonts w:ascii="Arial" w:eastAsia="Calibri" w:hAnsi="Arial" w:cs="Arial"/>
          <w:sz w:val="24"/>
          <w:lang w:val="en-US"/>
        </w:rPr>
      </w:pPr>
      <w:r w:rsidRPr="00AC3F80">
        <w:rPr>
          <w:rFonts w:ascii="Arial" w:eastAsia="Calibri" w:hAnsi="Arial" w:cs="Times New Roman"/>
          <w:sz w:val="24"/>
          <w:lang w:val="en-US"/>
        </w:rPr>
        <w:t xml:space="preserve">Niagara-on-the-Lake Hydro adjusted its billing schedule so that all customers are billed the </w:t>
      </w:r>
      <w:r w:rsidRPr="00AC3F80">
        <w:rPr>
          <w:rFonts w:ascii="Arial" w:eastAsia="Calibri" w:hAnsi="Arial" w:cs="Arial"/>
          <w:sz w:val="24"/>
          <w:lang w:val="en-US"/>
        </w:rPr>
        <w:t>calendar month in t</w:t>
      </w:r>
      <w:r>
        <w:rPr>
          <w:rFonts w:ascii="Arial" w:eastAsia="Calibri" w:hAnsi="Arial" w:cs="Arial"/>
          <w:sz w:val="24"/>
          <w:lang w:val="en-US"/>
        </w:rPr>
        <w:t>he month following consumption.</w:t>
      </w:r>
    </w:p>
    <w:p w:rsidR="00AC3F80" w:rsidRPr="00AC3F80" w:rsidRDefault="00AC3F80" w:rsidP="00AC3F80">
      <w:pPr>
        <w:numPr>
          <w:ilvl w:val="0"/>
          <w:numId w:val="30"/>
        </w:numPr>
        <w:spacing w:after="160" w:line="259" w:lineRule="auto"/>
        <w:contextualSpacing/>
        <w:rPr>
          <w:rFonts w:ascii="Arial" w:eastAsia="Calibri" w:hAnsi="Arial" w:cs="Arial"/>
          <w:sz w:val="24"/>
          <w:lang w:val="en-US"/>
        </w:rPr>
      </w:pPr>
      <w:r w:rsidRPr="00AC3F80">
        <w:rPr>
          <w:rFonts w:ascii="Arial" w:eastAsia="Calibri" w:hAnsi="Arial" w:cs="Arial"/>
          <w:sz w:val="24"/>
          <w:lang w:val="en-US"/>
        </w:rPr>
        <w:t>Please indicate when the adjustment to the billing schedule occurred.</w:t>
      </w:r>
    </w:p>
    <w:p w:rsidR="00AC3F80" w:rsidRPr="00AC3F80" w:rsidRDefault="00AC3F80" w:rsidP="00AC3F80">
      <w:pPr>
        <w:numPr>
          <w:ilvl w:val="0"/>
          <w:numId w:val="30"/>
        </w:numPr>
        <w:spacing w:after="160" w:line="259" w:lineRule="auto"/>
        <w:contextualSpacing/>
        <w:rPr>
          <w:rFonts w:ascii="Arial" w:eastAsia="Calibri" w:hAnsi="Arial" w:cs="Arial"/>
          <w:sz w:val="24"/>
          <w:lang w:val="en-US"/>
        </w:rPr>
      </w:pPr>
      <w:r w:rsidRPr="00AC3F80">
        <w:rPr>
          <w:rFonts w:ascii="Arial" w:eastAsia="Calibri" w:hAnsi="Arial" w:cs="Arial"/>
          <w:sz w:val="24"/>
          <w:lang w:val="en-US"/>
        </w:rPr>
        <w:t xml:space="preserve">In the GA Analysis </w:t>
      </w:r>
      <w:proofErr w:type="spellStart"/>
      <w:r w:rsidRPr="00AC3F80">
        <w:rPr>
          <w:rFonts w:ascii="Arial" w:eastAsia="Calibri" w:hAnsi="Arial" w:cs="Arial"/>
          <w:sz w:val="24"/>
          <w:lang w:val="en-US"/>
        </w:rPr>
        <w:t>Workform</w:t>
      </w:r>
      <w:proofErr w:type="spellEnd"/>
      <w:r w:rsidRPr="00AC3F80">
        <w:rPr>
          <w:rFonts w:ascii="Arial" w:eastAsia="Calibri" w:hAnsi="Arial" w:cs="Arial"/>
          <w:sz w:val="24"/>
          <w:lang w:val="en-US"/>
        </w:rPr>
        <w:t>, the adjusted net change in the principal balance in the GL is ($37,894), please explain whether this balance accumulated prior to the change in billing schedule.  If not, please explain what this balance pertains to.</w:t>
      </w:r>
    </w:p>
    <w:p w:rsidR="004134EF" w:rsidRDefault="00AC3F80" w:rsidP="004134EF">
      <w:pPr>
        <w:numPr>
          <w:ilvl w:val="0"/>
          <w:numId w:val="30"/>
        </w:numPr>
        <w:spacing w:line="259" w:lineRule="auto"/>
        <w:contextualSpacing/>
        <w:rPr>
          <w:rFonts w:ascii="Arial" w:eastAsia="Calibri" w:hAnsi="Arial" w:cs="Arial"/>
          <w:sz w:val="24"/>
          <w:lang w:val="en-US"/>
        </w:rPr>
      </w:pPr>
      <w:r w:rsidRPr="00AC3F80">
        <w:rPr>
          <w:rFonts w:ascii="Arial" w:eastAsia="Calibri" w:hAnsi="Arial" w:cs="Arial"/>
          <w:sz w:val="24"/>
          <w:lang w:val="en-US"/>
        </w:rPr>
        <w:t>Please confirm that going forward, Account 1589 is still expected to have a balance equal to the difference in approved and actual losses for non-RPP customers.</w:t>
      </w:r>
    </w:p>
    <w:p w:rsidR="004134EF" w:rsidRPr="00AC3F80" w:rsidRDefault="004134EF" w:rsidP="004134EF">
      <w:pPr>
        <w:spacing w:line="259" w:lineRule="auto"/>
        <w:ind w:left="360"/>
        <w:contextualSpacing/>
        <w:rPr>
          <w:rFonts w:ascii="Arial" w:eastAsia="Calibri" w:hAnsi="Arial" w:cs="Arial"/>
          <w:sz w:val="24"/>
          <w:lang w:val="en-US"/>
        </w:rPr>
      </w:pPr>
    </w:p>
    <w:p w:rsidR="00AC3F80" w:rsidRDefault="00AC3F80" w:rsidP="00AC3F80">
      <w:pPr>
        <w:contextualSpacing/>
        <w:rPr>
          <w:rFonts w:ascii="Arial" w:eastAsia="Calibri" w:hAnsi="Arial" w:cs="Times New Roman"/>
          <w:b/>
          <w:sz w:val="24"/>
          <w:lang w:val="en-US"/>
        </w:rPr>
      </w:pPr>
    </w:p>
    <w:p w:rsidR="00AC3F80" w:rsidRDefault="00AC3F80" w:rsidP="00AC3F80">
      <w:pPr>
        <w:spacing w:after="0"/>
        <w:rPr>
          <w:rFonts w:ascii="Arial" w:eastAsia="Calibri" w:hAnsi="Arial" w:cs="Times New Roman"/>
          <w:b/>
          <w:sz w:val="24"/>
          <w:lang w:val="en-US"/>
        </w:rPr>
      </w:pPr>
      <w:r>
        <w:rPr>
          <w:rFonts w:ascii="Arial" w:hAnsi="Arial" w:cs="Arial"/>
          <w:b/>
          <w:sz w:val="24"/>
          <w:szCs w:val="24"/>
        </w:rPr>
        <w:t>Staff Q</w:t>
      </w:r>
      <w:r>
        <w:rPr>
          <w:rFonts w:ascii="Arial" w:hAnsi="Arial" w:cs="Arial"/>
          <w:b/>
          <w:sz w:val="24"/>
          <w:szCs w:val="24"/>
        </w:rPr>
        <w:t>uestion-7</w:t>
      </w:r>
    </w:p>
    <w:p w:rsidR="00AC3F80" w:rsidRPr="00AC3F80" w:rsidRDefault="00AC3F80" w:rsidP="00AC3F80">
      <w:pPr>
        <w:rPr>
          <w:rFonts w:ascii="Arial" w:eastAsia="Calibri" w:hAnsi="Arial" w:cs="Times New Roman"/>
          <w:b/>
          <w:sz w:val="24"/>
          <w:lang w:val="en-US"/>
        </w:rPr>
      </w:pPr>
      <w:r w:rsidRPr="00AC3F80">
        <w:rPr>
          <w:rFonts w:ascii="Arial" w:eastAsia="Calibri" w:hAnsi="Arial" w:cs="Times New Roman"/>
          <w:b/>
          <w:sz w:val="24"/>
          <w:lang w:val="en-US"/>
        </w:rPr>
        <w:t xml:space="preserve">Ref: Manager’s </w:t>
      </w:r>
      <w:proofErr w:type="gramStart"/>
      <w:r w:rsidRPr="00AC3F80">
        <w:rPr>
          <w:rFonts w:ascii="Arial" w:eastAsia="Calibri" w:hAnsi="Arial" w:cs="Times New Roman"/>
          <w:b/>
          <w:sz w:val="24"/>
          <w:lang w:val="en-US"/>
        </w:rPr>
        <w:t>Summary</w:t>
      </w:r>
      <w:proofErr w:type="gramEnd"/>
      <w:r w:rsidRPr="00AC3F80">
        <w:rPr>
          <w:rFonts w:ascii="Arial" w:eastAsia="Calibri" w:hAnsi="Arial" w:cs="Times New Roman"/>
          <w:b/>
          <w:sz w:val="24"/>
          <w:lang w:val="en-US"/>
        </w:rPr>
        <w:t>, page 40</w:t>
      </w:r>
    </w:p>
    <w:p w:rsidR="00AC3F80" w:rsidRPr="00AC3F80" w:rsidRDefault="00AC3F80" w:rsidP="00AC3F80">
      <w:pPr>
        <w:contextualSpacing/>
        <w:rPr>
          <w:rFonts w:ascii="Arial" w:eastAsia="Calibri" w:hAnsi="Arial" w:cs="Times New Roman"/>
          <w:sz w:val="24"/>
          <w:lang w:val="en-US"/>
        </w:rPr>
      </w:pPr>
      <w:r w:rsidRPr="00AC3F80">
        <w:rPr>
          <w:rFonts w:ascii="Arial" w:eastAsia="Calibri" w:hAnsi="Arial" w:cs="Times New Roman"/>
          <w:sz w:val="24"/>
          <w:lang w:val="en-US"/>
        </w:rPr>
        <w:t>Niagara-on-the-Lake Hydro tested the new process by comparing the results to those achieved using the template issued by the OEB and the differences were not material. Please explain what the differences were due to.</w:t>
      </w:r>
    </w:p>
    <w:p w:rsidR="00AC3F80" w:rsidRDefault="00AC3F80" w:rsidP="00AC3F80">
      <w:pPr>
        <w:contextualSpacing/>
        <w:rPr>
          <w:rFonts w:ascii="Arial" w:eastAsia="Calibri" w:hAnsi="Arial" w:cs="Times New Roman"/>
          <w:sz w:val="24"/>
          <w:lang w:val="en-US"/>
        </w:rPr>
      </w:pPr>
    </w:p>
    <w:p w:rsidR="004134EF" w:rsidRPr="00AC3F80" w:rsidRDefault="004134EF" w:rsidP="00AC3F80">
      <w:pPr>
        <w:contextualSpacing/>
        <w:rPr>
          <w:rFonts w:ascii="Arial" w:eastAsia="Calibri" w:hAnsi="Arial" w:cs="Times New Roman"/>
          <w:sz w:val="24"/>
          <w:lang w:val="en-US"/>
        </w:rPr>
      </w:pPr>
    </w:p>
    <w:p w:rsidR="00AC3F80" w:rsidRDefault="00AC3F80" w:rsidP="00AC3F80">
      <w:pPr>
        <w:spacing w:after="0"/>
        <w:rPr>
          <w:rFonts w:ascii="Arial" w:eastAsia="Calibri" w:hAnsi="Arial" w:cs="Times New Roman"/>
          <w:b/>
          <w:sz w:val="24"/>
          <w:lang w:val="en-US"/>
        </w:rPr>
      </w:pPr>
      <w:r>
        <w:rPr>
          <w:rFonts w:ascii="Arial" w:hAnsi="Arial" w:cs="Arial"/>
          <w:b/>
          <w:sz w:val="24"/>
          <w:szCs w:val="24"/>
        </w:rPr>
        <w:t>Staff Q</w:t>
      </w:r>
      <w:r>
        <w:rPr>
          <w:rFonts w:ascii="Arial" w:hAnsi="Arial" w:cs="Arial"/>
          <w:b/>
          <w:sz w:val="24"/>
          <w:szCs w:val="24"/>
        </w:rPr>
        <w:t>uestion-8</w:t>
      </w:r>
    </w:p>
    <w:p w:rsidR="00AC3F80" w:rsidRPr="00AC3F80" w:rsidRDefault="00AC3F80" w:rsidP="00AC3F80">
      <w:pPr>
        <w:rPr>
          <w:rFonts w:ascii="Arial" w:eastAsia="Calibri" w:hAnsi="Arial" w:cs="Times New Roman"/>
          <w:b/>
          <w:sz w:val="24"/>
          <w:lang w:val="en-US"/>
        </w:rPr>
      </w:pPr>
      <w:r w:rsidRPr="00AC3F80">
        <w:rPr>
          <w:rFonts w:ascii="Arial" w:eastAsia="Calibri" w:hAnsi="Arial" w:cs="Times New Roman"/>
          <w:b/>
          <w:sz w:val="24"/>
          <w:lang w:val="en-US"/>
        </w:rPr>
        <w:t xml:space="preserve">Ref: Manager’s </w:t>
      </w:r>
      <w:proofErr w:type="gramStart"/>
      <w:r w:rsidRPr="00AC3F80">
        <w:rPr>
          <w:rFonts w:ascii="Arial" w:eastAsia="Calibri" w:hAnsi="Arial" w:cs="Times New Roman"/>
          <w:b/>
          <w:sz w:val="24"/>
          <w:lang w:val="en-US"/>
        </w:rPr>
        <w:t>Summary</w:t>
      </w:r>
      <w:proofErr w:type="gramEnd"/>
      <w:r w:rsidRPr="00AC3F80">
        <w:rPr>
          <w:rFonts w:ascii="Arial" w:eastAsia="Calibri" w:hAnsi="Arial" w:cs="Times New Roman"/>
          <w:b/>
          <w:sz w:val="24"/>
          <w:lang w:val="en-US"/>
        </w:rPr>
        <w:t>, page 40</w:t>
      </w:r>
    </w:p>
    <w:p w:rsidR="00AC3F80" w:rsidRPr="00AC3F80" w:rsidRDefault="00AC3F80" w:rsidP="00AC3F80">
      <w:pPr>
        <w:contextualSpacing/>
        <w:rPr>
          <w:rFonts w:ascii="Arial" w:eastAsia="Calibri" w:hAnsi="Arial" w:cs="Times New Roman"/>
          <w:sz w:val="24"/>
          <w:lang w:val="en-US"/>
        </w:rPr>
      </w:pPr>
      <w:r w:rsidRPr="00AC3F80">
        <w:rPr>
          <w:rFonts w:ascii="Arial" w:eastAsia="Calibri" w:hAnsi="Arial" w:cs="Times New Roman"/>
          <w:sz w:val="24"/>
          <w:lang w:val="en-US"/>
        </w:rPr>
        <w:t xml:space="preserve">Niagara-on-the-Lake Hydro has considered the new accounting guidance for 2017 and 2018 balances and confirms there are no systemic issues with the account balances. </w:t>
      </w:r>
      <w:r w:rsidRPr="00AC3F80">
        <w:rPr>
          <w:rFonts w:ascii="Arial" w:eastAsia="Calibri" w:hAnsi="Arial" w:cs="Arial"/>
          <w:sz w:val="24"/>
          <w:lang w:val="en-US"/>
        </w:rPr>
        <w:t>Please provide further details on the review that was completed, and any summary reports available (e.g. how the review was done).</w:t>
      </w:r>
    </w:p>
    <w:p w:rsidR="00AC3F80" w:rsidRPr="00AC3F80" w:rsidRDefault="00AC3F80" w:rsidP="00AC3F80">
      <w:pPr>
        <w:contextualSpacing/>
        <w:rPr>
          <w:rFonts w:ascii="Arial" w:eastAsia="Calibri" w:hAnsi="Arial" w:cs="Times New Roman"/>
          <w:sz w:val="24"/>
          <w:lang w:val="en-US"/>
        </w:rPr>
      </w:pPr>
    </w:p>
    <w:p w:rsidR="00AC3F80" w:rsidRPr="00AC3F80" w:rsidRDefault="00AC3F80" w:rsidP="00AC3F80">
      <w:pPr>
        <w:rPr>
          <w:rFonts w:ascii="Arial" w:hAnsi="Arial" w:cs="Arial"/>
          <w:sz w:val="24"/>
          <w:szCs w:val="24"/>
        </w:rPr>
      </w:pPr>
    </w:p>
    <w:sectPr w:rsidR="00AC3F80" w:rsidRPr="00AC3F80" w:rsidSect="00EA0919">
      <w:headerReference w:type="default" r:id="rId10"/>
      <w:footerReference w:type="default" r:id="rId11"/>
      <w:pgSz w:w="12240" w:h="15840" w:code="1"/>
      <w:pgMar w:top="1440" w:right="1440" w:bottom="1440" w:left="1440" w:header="706" w:footer="7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A728D" w:rsidRDefault="001A728D" w:rsidP="001A728D">
      <w:pPr>
        <w:spacing w:after="0" w:line="240" w:lineRule="auto"/>
      </w:pPr>
      <w:r>
        <w:separator/>
      </w:r>
    </w:p>
  </w:endnote>
  <w:endnote w:type="continuationSeparator" w:id="0">
    <w:p w:rsidR="001A728D" w:rsidRDefault="001A728D" w:rsidP="001A728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ArialMT">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17211800"/>
      <w:docPartObj>
        <w:docPartGallery w:val="Page Numbers (Bottom of Page)"/>
        <w:docPartUnique/>
      </w:docPartObj>
    </w:sdtPr>
    <w:sdtEndPr>
      <w:rPr>
        <w:noProof/>
      </w:rPr>
    </w:sdtEndPr>
    <w:sdtContent>
      <w:p w:rsidR="0059172B" w:rsidRDefault="0059172B">
        <w:pPr>
          <w:pStyle w:val="Footer"/>
          <w:jc w:val="center"/>
        </w:pPr>
        <w:r>
          <w:fldChar w:fldCharType="begin"/>
        </w:r>
        <w:r>
          <w:instrText xml:space="preserve"> PAGE   \* MERGEFORMAT </w:instrText>
        </w:r>
        <w:r>
          <w:fldChar w:fldCharType="separate"/>
        </w:r>
        <w:r w:rsidR="00D84222">
          <w:rPr>
            <w:noProof/>
          </w:rPr>
          <w:t>3</w:t>
        </w:r>
        <w:r>
          <w:rPr>
            <w:noProof/>
          </w:rPr>
          <w:fldChar w:fldCharType="end"/>
        </w:r>
      </w:p>
    </w:sdtContent>
  </w:sdt>
  <w:p w:rsidR="0059172B" w:rsidRDefault="0059172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A728D" w:rsidRDefault="001A728D" w:rsidP="001A728D">
      <w:pPr>
        <w:spacing w:after="0" w:line="240" w:lineRule="auto"/>
      </w:pPr>
      <w:r>
        <w:separator/>
      </w:r>
    </w:p>
  </w:footnote>
  <w:footnote w:type="continuationSeparator" w:id="0">
    <w:p w:rsidR="001A728D" w:rsidRDefault="001A728D" w:rsidP="001A728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9172B" w:rsidRDefault="001A728D">
    <w:pPr>
      <w:pStyle w:val="Header"/>
      <w:rPr>
        <w:rFonts w:ascii="Arial" w:hAnsi="Arial" w:cs="Arial"/>
        <w:bCs/>
      </w:rPr>
    </w:pPr>
    <w:r>
      <w:ptab w:relativeTo="margin" w:alignment="center" w:leader="none"/>
    </w:r>
    <w:r>
      <w:ptab w:relativeTo="margin" w:alignment="right" w:leader="none"/>
    </w:r>
    <w:r w:rsidRPr="001A728D">
      <w:rPr>
        <w:rFonts w:ascii="Arial" w:hAnsi="Arial" w:cs="Arial"/>
        <w:bCs/>
      </w:rPr>
      <w:t>Niagara-on-the-Lake Hydro Inc.</w:t>
    </w:r>
    <w:r>
      <w:rPr>
        <w:rFonts w:ascii="Arial" w:hAnsi="Arial" w:cs="Arial"/>
        <w:bCs/>
      </w:rPr>
      <w:t xml:space="preserve">  </w:t>
    </w:r>
  </w:p>
  <w:p w:rsidR="0059172B" w:rsidRPr="0059172B" w:rsidRDefault="0059172B">
    <w:pPr>
      <w:pStyle w:val="Header"/>
      <w:rPr>
        <w:rFonts w:ascii="Arial" w:hAnsi="Arial" w:cs="Arial"/>
      </w:rPr>
    </w:pPr>
    <w:r>
      <w:rPr>
        <w:rFonts w:ascii="Arial" w:hAnsi="Arial" w:cs="Arial"/>
        <w:bCs/>
      </w:rPr>
      <w:tab/>
    </w:r>
    <w:r>
      <w:rPr>
        <w:rFonts w:ascii="Arial" w:hAnsi="Arial" w:cs="Arial"/>
        <w:bCs/>
      </w:rPr>
      <w:tab/>
    </w:r>
    <w:r w:rsidR="001A728D" w:rsidRPr="0059172B">
      <w:rPr>
        <w:rFonts w:ascii="Arial" w:hAnsi="Arial" w:cs="Arial"/>
      </w:rPr>
      <w:t xml:space="preserve">OEB Staff Questions </w:t>
    </w:r>
  </w:p>
  <w:p w:rsidR="001A728D" w:rsidRDefault="0059172B">
    <w:pPr>
      <w:pStyle w:val="Header"/>
    </w:pPr>
    <w:r w:rsidRPr="0059172B">
      <w:rPr>
        <w:rFonts w:ascii="Arial" w:hAnsi="Arial" w:cs="Arial"/>
      </w:rPr>
      <w:tab/>
    </w:r>
    <w:r w:rsidRPr="0059172B">
      <w:rPr>
        <w:rFonts w:ascii="Arial" w:hAnsi="Arial" w:cs="Arial"/>
      </w:rPr>
      <w:tab/>
    </w:r>
    <w:r w:rsidR="001A728D" w:rsidRPr="0059172B">
      <w:rPr>
        <w:rFonts w:ascii="Arial" w:hAnsi="Arial" w:cs="Arial"/>
      </w:rPr>
      <w:t xml:space="preserve">EB-2019-0056 </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381843"/>
    <w:multiLevelType w:val="hybridMultilevel"/>
    <w:tmpl w:val="F4FE52A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 w15:restartNumberingAfterBreak="0">
    <w:nsid w:val="0D2574F5"/>
    <w:multiLevelType w:val="hybridMultilevel"/>
    <w:tmpl w:val="512C6D10"/>
    <w:lvl w:ilvl="0" w:tplc="80303286">
      <w:start w:val="1"/>
      <w:numFmt w:val="upperLetter"/>
      <w:lvlText w:val="%1."/>
      <w:lvlJc w:val="left"/>
      <w:pPr>
        <w:ind w:left="720" w:hanging="360"/>
      </w:pPr>
      <w:rPr>
        <w:b w:val="0"/>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 w15:restartNumberingAfterBreak="0">
    <w:nsid w:val="0DA52736"/>
    <w:multiLevelType w:val="hybridMultilevel"/>
    <w:tmpl w:val="500EA850"/>
    <w:lvl w:ilvl="0" w:tplc="10090017">
      <w:start w:val="1"/>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 w15:restartNumberingAfterBreak="0">
    <w:nsid w:val="195D4592"/>
    <w:multiLevelType w:val="hybridMultilevel"/>
    <w:tmpl w:val="DC1A503A"/>
    <w:lvl w:ilvl="0" w:tplc="10090015">
      <w:start w:val="1"/>
      <w:numFmt w:val="upperLett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4" w15:restartNumberingAfterBreak="0">
    <w:nsid w:val="1A3808AF"/>
    <w:multiLevelType w:val="hybridMultilevel"/>
    <w:tmpl w:val="B09CBCEC"/>
    <w:lvl w:ilvl="0" w:tplc="D9E256FE">
      <w:start w:val="1"/>
      <w:numFmt w:val="upperLetter"/>
      <w:lvlText w:val="%1."/>
      <w:lvlJc w:val="left"/>
      <w:pPr>
        <w:ind w:left="1080" w:hanging="360"/>
      </w:pPr>
      <w:rPr>
        <w:rFonts w:hint="default"/>
      </w:r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5" w15:restartNumberingAfterBreak="0">
    <w:nsid w:val="1AAF707D"/>
    <w:multiLevelType w:val="hybridMultilevel"/>
    <w:tmpl w:val="52A8611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46327C4"/>
    <w:multiLevelType w:val="hybridMultilevel"/>
    <w:tmpl w:val="AE1E4494"/>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7" w15:restartNumberingAfterBreak="0">
    <w:nsid w:val="26C170AD"/>
    <w:multiLevelType w:val="hybridMultilevel"/>
    <w:tmpl w:val="9AF07AEE"/>
    <w:lvl w:ilvl="0" w:tplc="10090015">
      <w:start w:val="1"/>
      <w:numFmt w:val="upp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8" w15:restartNumberingAfterBreak="0">
    <w:nsid w:val="2B8C4B29"/>
    <w:multiLevelType w:val="hybridMultilevel"/>
    <w:tmpl w:val="9198016E"/>
    <w:lvl w:ilvl="0" w:tplc="04090017">
      <w:start w:val="1"/>
      <w:numFmt w:val="lowerLetter"/>
      <w:lvlText w:val="%1)"/>
      <w:lvlJc w:val="left"/>
      <w:pPr>
        <w:ind w:left="720" w:hanging="360"/>
      </w:pPr>
    </w:lvl>
    <w:lvl w:ilvl="1" w:tplc="7C043B34">
      <w:start w:val="1"/>
      <w:numFmt w:val="lowerRoman"/>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EB214EF"/>
    <w:multiLevelType w:val="hybridMultilevel"/>
    <w:tmpl w:val="C59CA1CC"/>
    <w:lvl w:ilvl="0" w:tplc="8B6C37C4">
      <w:start w:val="1"/>
      <w:numFmt w:val="upperLetter"/>
      <w:lvlText w:val="%1."/>
      <w:lvlJc w:val="left"/>
      <w:pPr>
        <w:ind w:left="720" w:hanging="360"/>
      </w:pPr>
      <w:rPr>
        <w:b w:val="0"/>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0" w15:restartNumberingAfterBreak="0">
    <w:nsid w:val="3B0F7F76"/>
    <w:multiLevelType w:val="hybridMultilevel"/>
    <w:tmpl w:val="460A55F0"/>
    <w:lvl w:ilvl="0" w:tplc="10090017">
      <w:start w:val="1"/>
      <w:numFmt w:val="lowerLetter"/>
      <w:lvlText w:val="%1)"/>
      <w:lvlJc w:val="left"/>
      <w:pPr>
        <w:ind w:left="1440" w:hanging="360"/>
      </w:pPr>
    </w:lvl>
    <w:lvl w:ilvl="1" w:tplc="10090019" w:tentative="1">
      <w:start w:val="1"/>
      <w:numFmt w:val="lowerLetter"/>
      <w:lvlText w:val="%2."/>
      <w:lvlJc w:val="left"/>
      <w:pPr>
        <w:ind w:left="2160" w:hanging="360"/>
      </w:pPr>
    </w:lvl>
    <w:lvl w:ilvl="2" w:tplc="1009001B" w:tentative="1">
      <w:start w:val="1"/>
      <w:numFmt w:val="lowerRoman"/>
      <w:lvlText w:val="%3."/>
      <w:lvlJc w:val="right"/>
      <w:pPr>
        <w:ind w:left="2880" w:hanging="180"/>
      </w:pPr>
    </w:lvl>
    <w:lvl w:ilvl="3" w:tplc="1009000F" w:tentative="1">
      <w:start w:val="1"/>
      <w:numFmt w:val="decimal"/>
      <w:lvlText w:val="%4."/>
      <w:lvlJc w:val="left"/>
      <w:pPr>
        <w:ind w:left="3600" w:hanging="360"/>
      </w:pPr>
    </w:lvl>
    <w:lvl w:ilvl="4" w:tplc="10090019" w:tentative="1">
      <w:start w:val="1"/>
      <w:numFmt w:val="lowerLetter"/>
      <w:lvlText w:val="%5."/>
      <w:lvlJc w:val="left"/>
      <w:pPr>
        <w:ind w:left="4320" w:hanging="360"/>
      </w:pPr>
    </w:lvl>
    <w:lvl w:ilvl="5" w:tplc="1009001B" w:tentative="1">
      <w:start w:val="1"/>
      <w:numFmt w:val="lowerRoman"/>
      <w:lvlText w:val="%6."/>
      <w:lvlJc w:val="right"/>
      <w:pPr>
        <w:ind w:left="5040" w:hanging="180"/>
      </w:pPr>
    </w:lvl>
    <w:lvl w:ilvl="6" w:tplc="1009000F" w:tentative="1">
      <w:start w:val="1"/>
      <w:numFmt w:val="decimal"/>
      <w:lvlText w:val="%7."/>
      <w:lvlJc w:val="left"/>
      <w:pPr>
        <w:ind w:left="5760" w:hanging="360"/>
      </w:pPr>
    </w:lvl>
    <w:lvl w:ilvl="7" w:tplc="10090019" w:tentative="1">
      <w:start w:val="1"/>
      <w:numFmt w:val="lowerLetter"/>
      <w:lvlText w:val="%8."/>
      <w:lvlJc w:val="left"/>
      <w:pPr>
        <w:ind w:left="6480" w:hanging="360"/>
      </w:pPr>
    </w:lvl>
    <w:lvl w:ilvl="8" w:tplc="1009001B" w:tentative="1">
      <w:start w:val="1"/>
      <w:numFmt w:val="lowerRoman"/>
      <w:lvlText w:val="%9."/>
      <w:lvlJc w:val="right"/>
      <w:pPr>
        <w:ind w:left="7200" w:hanging="180"/>
      </w:pPr>
    </w:lvl>
  </w:abstractNum>
  <w:abstractNum w:abstractNumId="11" w15:restartNumberingAfterBreak="0">
    <w:nsid w:val="3F992221"/>
    <w:multiLevelType w:val="hybridMultilevel"/>
    <w:tmpl w:val="21F40620"/>
    <w:lvl w:ilvl="0" w:tplc="10090017">
      <w:start w:val="1"/>
      <w:numFmt w:val="lowerLett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2" w15:restartNumberingAfterBreak="0">
    <w:nsid w:val="4140645D"/>
    <w:multiLevelType w:val="hybridMultilevel"/>
    <w:tmpl w:val="6E5AD682"/>
    <w:lvl w:ilvl="0" w:tplc="10090015">
      <w:start w:val="1"/>
      <w:numFmt w:val="upperLett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3" w15:restartNumberingAfterBreak="0">
    <w:nsid w:val="485A77D6"/>
    <w:multiLevelType w:val="hybridMultilevel"/>
    <w:tmpl w:val="C59CA1CC"/>
    <w:lvl w:ilvl="0" w:tplc="8B6C37C4">
      <w:start w:val="1"/>
      <w:numFmt w:val="upperLetter"/>
      <w:lvlText w:val="%1."/>
      <w:lvlJc w:val="left"/>
      <w:pPr>
        <w:ind w:left="720" w:hanging="360"/>
      </w:pPr>
      <w:rPr>
        <w:b w:val="0"/>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4" w15:restartNumberingAfterBreak="0">
    <w:nsid w:val="4968679B"/>
    <w:multiLevelType w:val="hybridMultilevel"/>
    <w:tmpl w:val="CA20A35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EC22C9D"/>
    <w:multiLevelType w:val="hybridMultilevel"/>
    <w:tmpl w:val="6E5AD682"/>
    <w:lvl w:ilvl="0" w:tplc="10090015">
      <w:start w:val="1"/>
      <w:numFmt w:val="upperLett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6" w15:restartNumberingAfterBreak="0">
    <w:nsid w:val="53F05669"/>
    <w:multiLevelType w:val="hybridMultilevel"/>
    <w:tmpl w:val="412223B0"/>
    <w:lvl w:ilvl="0" w:tplc="10090017">
      <w:start w:val="1"/>
      <w:numFmt w:val="lowerLetter"/>
      <w:lvlText w:val="%1)"/>
      <w:lvlJc w:val="left"/>
      <w:pPr>
        <w:ind w:left="1080" w:hanging="360"/>
      </w:p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17" w15:restartNumberingAfterBreak="0">
    <w:nsid w:val="57E371CF"/>
    <w:multiLevelType w:val="hybridMultilevel"/>
    <w:tmpl w:val="0DF60502"/>
    <w:lvl w:ilvl="0" w:tplc="10090015">
      <w:start w:val="1"/>
      <w:numFmt w:val="upperLett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8" w15:restartNumberingAfterBreak="0">
    <w:nsid w:val="59235D00"/>
    <w:multiLevelType w:val="hybridMultilevel"/>
    <w:tmpl w:val="6E5AD682"/>
    <w:lvl w:ilvl="0" w:tplc="10090015">
      <w:start w:val="1"/>
      <w:numFmt w:val="upperLett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9" w15:restartNumberingAfterBreak="0">
    <w:nsid w:val="5BB61263"/>
    <w:multiLevelType w:val="hybridMultilevel"/>
    <w:tmpl w:val="102E1F06"/>
    <w:lvl w:ilvl="0" w:tplc="10090017">
      <w:start w:val="1"/>
      <w:numFmt w:val="lowerLetter"/>
      <w:lvlText w:val="%1)"/>
      <w:lvlJc w:val="left"/>
      <w:pPr>
        <w:ind w:left="1080" w:hanging="360"/>
      </w:p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20" w15:restartNumberingAfterBreak="0">
    <w:nsid w:val="61AA03A7"/>
    <w:multiLevelType w:val="hybridMultilevel"/>
    <w:tmpl w:val="B072AE36"/>
    <w:lvl w:ilvl="0" w:tplc="10090015">
      <w:start w:val="1"/>
      <w:numFmt w:val="upperLett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1" w15:restartNumberingAfterBreak="0">
    <w:nsid w:val="64D2073D"/>
    <w:multiLevelType w:val="hybridMultilevel"/>
    <w:tmpl w:val="9D788BBE"/>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start w:val="1"/>
      <w:numFmt w:val="bullet"/>
      <w:lvlText w:val="o"/>
      <w:lvlJc w:val="left"/>
      <w:pPr>
        <w:ind w:left="3600" w:hanging="360"/>
      </w:pPr>
      <w:rPr>
        <w:rFonts w:ascii="Courier New" w:hAnsi="Courier New" w:cs="Courier New" w:hint="default"/>
      </w:rPr>
    </w:lvl>
    <w:lvl w:ilvl="5" w:tplc="10090005">
      <w:start w:val="1"/>
      <w:numFmt w:val="bullet"/>
      <w:lvlText w:val=""/>
      <w:lvlJc w:val="left"/>
      <w:pPr>
        <w:ind w:left="4320" w:hanging="360"/>
      </w:pPr>
      <w:rPr>
        <w:rFonts w:ascii="Wingdings" w:hAnsi="Wingdings" w:hint="default"/>
      </w:rPr>
    </w:lvl>
    <w:lvl w:ilvl="6" w:tplc="10090001">
      <w:start w:val="1"/>
      <w:numFmt w:val="bullet"/>
      <w:lvlText w:val=""/>
      <w:lvlJc w:val="left"/>
      <w:pPr>
        <w:ind w:left="5040" w:hanging="360"/>
      </w:pPr>
      <w:rPr>
        <w:rFonts w:ascii="Symbol" w:hAnsi="Symbol" w:hint="default"/>
      </w:rPr>
    </w:lvl>
    <w:lvl w:ilvl="7" w:tplc="10090003">
      <w:start w:val="1"/>
      <w:numFmt w:val="bullet"/>
      <w:lvlText w:val="o"/>
      <w:lvlJc w:val="left"/>
      <w:pPr>
        <w:ind w:left="5760" w:hanging="360"/>
      </w:pPr>
      <w:rPr>
        <w:rFonts w:ascii="Courier New" w:hAnsi="Courier New" w:cs="Courier New" w:hint="default"/>
      </w:rPr>
    </w:lvl>
    <w:lvl w:ilvl="8" w:tplc="10090005">
      <w:start w:val="1"/>
      <w:numFmt w:val="bullet"/>
      <w:lvlText w:val=""/>
      <w:lvlJc w:val="left"/>
      <w:pPr>
        <w:ind w:left="6480" w:hanging="360"/>
      </w:pPr>
      <w:rPr>
        <w:rFonts w:ascii="Wingdings" w:hAnsi="Wingdings" w:hint="default"/>
      </w:rPr>
    </w:lvl>
  </w:abstractNum>
  <w:abstractNum w:abstractNumId="22" w15:restartNumberingAfterBreak="0">
    <w:nsid w:val="64F029E6"/>
    <w:multiLevelType w:val="hybridMultilevel"/>
    <w:tmpl w:val="1A98A2DE"/>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3" w15:restartNumberingAfterBreak="0">
    <w:nsid w:val="6636038A"/>
    <w:multiLevelType w:val="hybridMultilevel"/>
    <w:tmpl w:val="FE802948"/>
    <w:lvl w:ilvl="0" w:tplc="4850A7FE">
      <w:start w:val="1"/>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4" w15:restartNumberingAfterBreak="0">
    <w:nsid w:val="67294C82"/>
    <w:multiLevelType w:val="hybridMultilevel"/>
    <w:tmpl w:val="52B2D3B4"/>
    <w:lvl w:ilvl="0" w:tplc="10090015">
      <w:start w:val="1"/>
      <w:numFmt w:val="upperLett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5" w15:restartNumberingAfterBreak="0">
    <w:nsid w:val="6A951BB4"/>
    <w:multiLevelType w:val="hybridMultilevel"/>
    <w:tmpl w:val="28E8C6B2"/>
    <w:lvl w:ilvl="0" w:tplc="88140018">
      <w:start w:val="1"/>
      <w:numFmt w:val="lowerLetter"/>
      <w:lvlText w:val="%1)"/>
      <w:lvlJc w:val="left"/>
      <w:pPr>
        <w:ind w:left="720" w:hanging="360"/>
      </w:pPr>
    </w:lvl>
    <w:lvl w:ilvl="1" w:tplc="1009001B">
      <w:start w:val="1"/>
      <w:numFmt w:val="lowerRoman"/>
      <w:lvlText w:val="%2."/>
      <w:lvlJc w:val="righ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6" w15:restartNumberingAfterBreak="0">
    <w:nsid w:val="6B3D62B5"/>
    <w:multiLevelType w:val="hybridMultilevel"/>
    <w:tmpl w:val="52A8611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D343399"/>
    <w:multiLevelType w:val="hybridMultilevel"/>
    <w:tmpl w:val="EF5064C4"/>
    <w:lvl w:ilvl="0" w:tplc="10090017">
      <w:start w:val="1"/>
      <w:numFmt w:val="lowerLett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8" w15:restartNumberingAfterBreak="0">
    <w:nsid w:val="722D6F0B"/>
    <w:multiLevelType w:val="hybridMultilevel"/>
    <w:tmpl w:val="ADBA4016"/>
    <w:lvl w:ilvl="0" w:tplc="10090017">
      <w:start w:val="1"/>
      <w:numFmt w:val="lowerLett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9" w15:restartNumberingAfterBreak="0">
    <w:nsid w:val="76184FE1"/>
    <w:multiLevelType w:val="hybridMultilevel"/>
    <w:tmpl w:val="0C70A092"/>
    <w:lvl w:ilvl="0" w:tplc="04090017">
      <w:start w:val="1"/>
      <w:numFmt w:val="lowerLetter"/>
      <w:lvlText w:val="%1)"/>
      <w:lvlJc w:val="left"/>
      <w:pPr>
        <w:ind w:left="720" w:hanging="360"/>
      </w:pPr>
    </w:lvl>
    <w:lvl w:ilvl="1" w:tplc="7C043B34">
      <w:start w:val="1"/>
      <w:numFmt w:val="lowerRoman"/>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80A6A11"/>
    <w:multiLevelType w:val="hybridMultilevel"/>
    <w:tmpl w:val="15C45F6A"/>
    <w:lvl w:ilvl="0" w:tplc="BD3C2368">
      <w:start w:val="1"/>
      <w:numFmt w:val="upperLetter"/>
      <w:lvlText w:val="%1."/>
      <w:lvlJc w:val="left"/>
      <w:pPr>
        <w:ind w:left="720" w:hanging="360"/>
      </w:pPr>
      <w:rPr>
        <w:b w:val="0"/>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1" w15:restartNumberingAfterBreak="0">
    <w:nsid w:val="7A64222C"/>
    <w:multiLevelType w:val="hybridMultilevel"/>
    <w:tmpl w:val="12DA9BF8"/>
    <w:lvl w:ilvl="0" w:tplc="10090015">
      <w:start w:val="1"/>
      <w:numFmt w:val="upperLett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num w:numId="1">
    <w:abstractNumId w:val="0"/>
  </w:num>
  <w:num w:numId="2">
    <w:abstractNumId w:val="6"/>
  </w:num>
  <w:num w:numId="3">
    <w:abstractNumId w:val="22"/>
  </w:num>
  <w:num w:numId="4">
    <w:abstractNumId w:val="31"/>
  </w:num>
  <w:num w:numId="5">
    <w:abstractNumId w:val="12"/>
  </w:num>
  <w:num w:numId="6">
    <w:abstractNumId w:val="9"/>
  </w:num>
  <w:num w:numId="7">
    <w:abstractNumId w:val="18"/>
  </w:num>
  <w:num w:numId="8">
    <w:abstractNumId w:val="13"/>
  </w:num>
  <w:num w:numId="9">
    <w:abstractNumId w:val="15"/>
  </w:num>
  <w:num w:numId="10">
    <w:abstractNumId w:val="4"/>
  </w:num>
  <w:num w:numId="11">
    <w:abstractNumId w:val="17"/>
  </w:num>
  <w:num w:numId="12">
    <w:abstractNumId w:val="24"/>
  </w:num>
  <w:num w:numId="13">
    <w:abstractNumId w:val="3"/>
  </w:num>
  <w:num w:numId="14">
    <w:abstractNumId w:val="1"/>
  </w:num>
  <w:num w:numId="15">
    <w:abstractNumId w:val="30"/>
  </w:num>
  <w:num w:numId="16">
    <w:abstractNumId w:val="7"/>
  </w:num>
  <w:num w:numId="17">
    <w:abstractNumId w:val="20"/>
  </w:num>
  <w:num w:numId="18">
    <w:abstractNumId w:val="27"/>
  </w:num>
  <w:num w:numId="19">
    <w:abstractNumId w:val="28"/>
  </w:num>
  <w:num w:numId="20">
    <w:abstractNumId w:val="11"/>
  </w:num>
  <w:num w:numId="21">
    <w:abstractNumId w:val="25"/>
  </w:num>
  <w:num w:numId="22">
    <w:abstractNumId w:val="10"/>
  </w:num>
  <w:num w:numId="23">
    <w:abstractNumId w:val="23"/>
  </w:num>
  <w:num w:numId="24">
    <w:abstractNumId w:val="21"/>
  </w:num>
  <w:num w:numId="25">
    <w:abstractNumId w:val="2"/>
  </w:num>
  <w:num w:numId="26">
    <w:abstractNumId w:val="16"/>
  </w:num>
  <w:num w:numId="27">
    <w:abstractNumId w:val="19"/>
  </w:num>
  <w:num w:numId="28">
    <w:abstractNumId w:val="26"/>
  </w:num>
  <w:num w:numId="29">
    <w:abstractNumId w:val="5"/>
  </w:num>
  <w:num w:numId="30">
    <w:abstractNumId w:val="29"/>
  </w:num>
  <w:num w:numId="31">
    <w:abstractNumId w:val="8"/>
  </w:num>
  <w:num w:numId="32">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B6B52"/>
    <w:rsid w:val="0003073C"/>
    <w:rsid w:val="00035337"/>
    <w:rsid w:val="00054071"/>
    <w:rsid w:val="0006126D"/>
    <w:rsid w:val="00067F57"/>
    <w:rsid w:val="00071BEC"/>
    <w:rsid w:val="00074514"/>
    <w:rsid w:val="000832D4"/>
    <w:rsid w:val="00090160"/>
    <w:rsid w:val="000B3E7E"/>
    <w:rsid w:val="000D223C"/>
    <w:rsid w:val="000E4006"/>
    <w:rsid w:val="000F1E3A"/>
    <w:rsid w:val="00164E99"/>
    <w:rsid w:val="00183CC8"/>
    <w:rsid w:val="00187E9B"/>
    <w:rsid w:val="001927C2"/>
    <w:rsid w:val="001A4DCD"/>
    <w:rsid w:val="001A728D"/>
    <w:rsid w:val="00203092"/>
    <w:rsid w:val="002208C0"/>
    <w:rsid w:val="00224C06"/>
    <w:rsid w:val="0025687C"/>
    <w:rsid w:val="00274A48"/>
    <w:rsid w:val="00291CCC"/>
    <w:rsid w:val="002A6415"/>
    <w:rsid w:val="002B7B7C"/>
    <w:rsid w:val="002C2BF2"/>
    <w:rsid w:val="002C7EF6"/>
    <w:rsid w:val="002F4756"/>
    <w:rsid w:val="00302509"/>
    <w:rsid w:val="003049C5"/>
    <w:rsid w:val="00340C00"/>
    <w:rsid w:val="00365C34"/>
    <w:rsid w:val="003702D1"/>
    <w:rsid w:val="00373FAD"/>
    <w:rsid w:val="003777B5"/>
    <w:rsid w:val="003832E7"/>
    <w:rsid w:val="003A20A0"/>
    <w:rsid w:val="003A58B0"/>
    <w:rsid w:val="00400DFC"/>
    <w:rsid w:val="00412DC6"/>
    <w:rsid w:val="004134EF"/>
    <w:rsid w:val="004377B0"/>
    <w:rsid w:val="00472C81"/>
    <w:rsid w:val="00475032"/>
    <w:rsid w:val="004859EF"/>
    <w:rsid w:val="005164F5"/>
    <w:rsid w:val="0052560F"/>
    <w:rsid w:val="005666F2"/>
    <w:rsid w:val="00572064"/>
    <w:rsid w:val="00584369"/>
    <w:rsid w:val="00587A35"/>
    <w:rsid w:val="0059172B"/>
    <w:rsid w:val="005F4693"/>
    <w:rsid w:val="006321A3"/>
    <w:rsid w:val="0064279A"/>
    <w:rsid w:val="00651C98"/>
    <w:rsid w:val="006A5D23"/>
    <w:rsid w:val="006E3D58"/>
    <w:rsid w:val="006F4FBD"/>
    <w:rsid w:val="00704EE5"/>
    <w:rsid w:val="007066E2"/>
    <w:rsid w:val="00722640"/>
    <w:rsid w:val="0073197E"/>
    <w:rsid w:val="00746080"/>
    <w:rsid w:val="00772B57"/>
    <w:rsid w:val="00781D04"/>
    <w:rsid w:val="007C2D45"/>
    <w:rsid w:val="007F49EB"/>
    <w:rsid w:val="00805FDA"/>
    <w:rsid w:val="00812C1B"/>
    <w:rsid w:val="00835AD0"/>
    <w:rsid w:val="008747B3"/>
    <w:rsid w:val="008813C3"/>
    <w:rsid w:val="008926F0"/>
    <w:rsid w:val="008964E8"/>
    <w:rsid w:val="008A48F6"/>
    <w:rsid w:val="008E6045"/>
    <w:rsid w:val="0090113B"/>
    <w:rsid w:val="0093258A"/>
    <w:rsid w:val="0094373C"/>
    <w:rsid w:val="00946DEE"/>
    <w:rsid w:val="00951E2B"/>
    <w:rsid w:val="00952939"/>
    <w:rsid w:val="00961EA0"/>
    <w:rsid w:val="00975348"/>
    <w:rsid w:val="009A5C44"/>
    <w:rsid w:val="009B03AF"/>
    <w:rsid w:val="009C4216"/>
    <w:rsid w:val="009D5F4B"/>
    <w:rsid w:val="009E626E"/>
    <w:rsid w:val="009E760C"/>
    <w:rsid w:val="009E7CBF"/>
    <w:rsid w:val="00A07077"/>
    <w:rsid w:val="00A50DD0"/>
    <w:rsid w:val="00A516B0"/>
    <w:rsid w:val="00A5620A"/>
    <w:rsid w:val="00AA06D9"/>
    <w:rsid w:val="00AC2406"/>
    <w:rsid w:val="00AC3F80"/>
    <w:rsid w:val="00AD3FCF"/>
    <w:rsid w:val="00B03802"/>
    <w:rsid w:val="00B04BFB"/>
    <w:rsid w:val="00B069AA"/>
    <w:rsid w:val="00B23A36"/>
    <w:rsid w:val="00B25576"/>
    <w:rsid w:val="00B25EF5"/>
    <w:rsid w:val="00B50EB2"/>
    <w:rsid w:val="00B6722A"/>
    <w:rsid w:val="00B82D78"/>
    <w:rsid w:val="00BA434C"/>
    <w:rsid w:val="00BD4F65"/>
    <w:rsid w:val="00C06F9E"/>
    <w:rsid w:val="00C13E6B"/>
    <w:rsid w:val="00C2370B"/>
    <w:rsid w:val="00C624D5"/>
    <w:rsid w:val="00C848A0"/>
    <w:rsid w:val="00C878C5"/>
    <w:rsid w:val="00C96AEA"/>
    <w:rsid w:val="00CC0B6D"/>
    <w:rsid w:val="00CC0EF2"/>
    <w:rsid w:val="00CE0AD7"/>
    <w:rsid w:val="00CE1CD3"/>
    <w:rsid w:val="00CE4F01"/>
    <w:rsid w:val="00D3742A"/>
    <w:rsid w:val="00D55546"/>
    <w:rsid w:val="00D6213C"/>
    <w:rsid w:val="00D647C0"/>
    <w:rsid w:val="00D77694"/>
    <w:rsid w:val="00D77B0F"/>
    <w:rsid w:val="00D84222"/>
    <w:rsid w:val="00DB6B52"/>
    <w:rsid w:val="00DE5488"/>
    <w:rsid w:val="00DE75AC"/>
    <w:rsid w:val="00DF5A52"/>
    <w:rsid w:val="00E17C58"/>
    <w:rsid w:val="00E231C2"/>
    <w:rsid w:val="00E429DA"/>
    <w:rsid w:val="00E62C2A"/>
    <w:rsid w:val="00E8586E"/>
    <w:rsid w:val="00E96A06"/>
    <w:rsid w:val="00EA0919"/>
    <w:rsid w:val="00EB5240"/>
    <w:rsid w:val="00EC0B55"/>
    <w:rsid w:val="00F034BF"/>
    <w:rsid w:val="00F233A3"/>
    <w:rsid w:val="00F26D30"/>
    <w:rsid w:val="00F57152"/>
    <w:rsid w:val="00F7362C"/>
    <w:rsid w:val="00F92F61"/>
    <w:rsid w:val="00FB6F10"/>
    <w:rsid w:val="00FC4CF8"/>
    <w:rsid w:val="00FC5DA7"/>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1F2C89"/>
  <w15:docId w15:val="{9B140FE6-257D-48D2-A8C2-31077FD8A9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72064"/>
    <w:pPr>
      <w:ind w:left="720"/>
      <w:contextualSpacing/>
    </w:pPr>
  </w:style>
  <w:style w:type="paragraph" w:customStyle="1" w:styleId="Default">
    <w:name w:val="Default"/>
    <w:rsid w:val="00A07077"/>
    <w:pPr>
      <w:autoSpaceDE w:val="0"/>
      <w:autoSpaceDN w:val="0"/>
      <w:adjustRightInd w:val="0"/>
      <w:spacing w:after="0" w:line="240" w:lineRule="auto"/>
    </w:pPr>
    <w:rPr>
      <w:rFonts w:ascii="Calibri" w:hAnsi="Calibri" w:cs="Calibri"/>
      <w:color w:val="000000"/>
      <w:sz w:val="24"/>
      <w:szCs w:val="24"/>
    </w:rPr>
  </w:style>
  <w:style w:type="paragraph" w:styleId="BalloonText">
    <w:name w:val="Balloon Text"/>
    <w:basedOn w:val="Normal"/>
    <w:link w:val="BalloonTextChar"/>
    <w:uiPriority w:val="99"/>
    <w:semiHidden/>
    <w:unhideWhenUsed/>
    <w:rsid w:val="003702D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702D1"/>
    <w:rPr>
      <w:rFonts w:ascii="Tahoma" w:hAnsi="Tahoma" w:cs="Tahoma"/>
      <w:sz w:val="16"/>
      <w:szCs w:val="16"/>
    </w:rPr>
  </w:style>
  <w:style w:type="paragraph" w:styleId="Footer">
    <w:name w:val="footer"/>
    <w:basedOn w:val="Normal"/>
    <w:link w:val="FooterChar"/>
    <w:uiPriority w:val="99"/>
    <w:rsid w:val="00B82D78"/>
    <w:pPr>
      <w:tabs>
        <w:tab w:val="center" w:pos="4320"/>
        <w:tab w:val="right" w:pos="8640"/>
      </w:tabs>
      <w:spacing w:after="0" w:line="240" w:lineRule="auto"/>
    </w:pPr>
    <w:rPr>
      <w:rFonts w:ascii="Times New Roman" w:eastAsia="Times New Roman" w:hAnsi="Times New Roman" w:cs="Times New Roman"/>
      <w:sz w:val="24"/>
      <w:szCs w:val="24"/>
      <w:lang w:val="en-US"/>
    </w:rPr>
  </w:style>
  <w:style w:type="character" w:customStyle="1" w:styleId="FooterChar">
    <w:name w:val="Footer Char"/>
    <w:basedOn w:val="DefaultParagraphFont"/>
    <w:link w:val="Footer"/>
    <w:uiPriority w:val="99"/>
    <w:rsid w:val="00B82D78"/>
    <w:rPr>
      <w:rFonts w:ascii="Times New Roman" w:eastAsia="Times New Roman" w:hAnsi="Times New Roman" w:cs="Times New Roman"/>
      <w:sz w:val="24"/>
      <w:szCs w:val="24"/>
      <w:lang w:val="en-US"/>
    </w:rPr>
  </w:style>
  <w:style w:type="paragraph" w:styleId="Caption">
    <w:name w:val="caption"/>
    <w:basedOn w:val="Normal"/>
    <w:next w:val="Normal"/>
    <w:qFormat/>
    <w:rsid w:val="00B82D78"/>
    <w:pPr>
      <w:widowControl w:val="0"/>
      <w:autoSpaceDE w:val="0"/>
      <w:autoSpaceDN w:val="0"/>
      <w:adjustRightInd w:val="0"/>
      <w:spacing w:after="0" w:line="240" w:lineRule="auto"/>
      <w:jc w:val="right"/>
    </w:pPr>
    <w:rPr>
      <w:rFonts w:ascii="Arial" w:eastAsia="Times New Roman" w:hAnsi="Arial" w:cs="Arial"/>
      <w:b/>
      <w:bCs/>
      <w:sz w:val="24"/>
      <w:szCs w:val="24"/>
      <w:lang w:val="en-GB"/>
    </w:rPr>
  </w:style>
  <w:style w:type="character" w:styleId="CommentReference">
    <w:name w:val="annotation reference"/>
    <w:basedOn w:val="DefaultParagraphFont"/>
    <w:uiPriority w:val="99"/>
    <w:semiHidden/>
    <w:unhideWhenUsed/>
    <w:rsid w:val="00F92F61"/>
    <w:rPr>
      <w:sz w:val="16"/>
      <w:szCs w:val="16"/>
    </w:rPr>
  </w:style>
  <w:style w:type="paragraph" w:styleId="CommentText">
    <w:name w:val="annotation text"/>
    <w:basedOn w:val="Normal"/>
    <w:link w:val="CommentTextChar"/>
    <w:uiPriority w:val="99"/>
    <w:semiHidden/>
    <w:unhideWhenUsed/>
    <w:rsid w:val="00F92F61"/>
    <w:pPr>
      <w:spacing w:line="240" w:lineRule="auto"/>
    </w:pPr>
    <w:rPr>
      <w:sz w:val="20"/>
      <w:szCs w:val="20"/>
    </w:rPr>
  </w:style>
  <w:style w:type="character" w:customStyle="1" w:styleId="CommentTextChar">
    <w:name w:val="Comment Text Char"/>
    <w:basedOn w:val="DefaultParagraphFont"/>
    <w:link w:val="CommentText"/>
    <w:uiPriority w:val="99"/>
    <w:semiHidden/>
    <w:rsid w:val="00F92F61"/>
    <w:rPr>
      <w:sz w:val="20"/>
      <w:szCs w:val="20"/>
    </w:rPr>
  </w:style>
  <w:style w:type="paragraph" w:styleId="CommentSubject">
    <w:name w:val="annotation subject"/>
    <w:basedOn w:val="CommentText"/>
    <w:next w:val="CommentText"/>
    <w:link w:val="CommentSubjectChar"/>
    <w:uiPriority w:val="99"/>
    <w:semiHidden/>
    <w:unhideWhenUsed/>
    <w:rsid w:val="00F92F61"/>
    <w:rPr>
      <w:b/>
      <w:bCs/>
    </w:rPr>
  </w:style>
  <w:style w:type="character" w:customStyle="1" w:styleId="CommentSubjectChar">
    <w:name w:val="Comment Subject Char"/>
    <w:basedOn w:val="CommentTextChar"/>
    <w:link w:val="CommentSubject"/>
    <w:uiPriority w:val="99"/>
    <w:semiHidden/>
    <w:rsid w:val="00F92F61"/>
    <w:rPr>
      <w:b/>
      <w:bCs/>
      <w:sz w:val="20"/>
      <w:szCs w:val="20"/>
    </w:rPr>
  </w:style>
  <w:style w:type="table" w:styleId="TableGrid">
    <w:name w:val="Table Grid"/>
    <w:basedOn w:val="TableNormal"/>
    <w:uiPriority w:val="59"/>
    <w:rsid w:val="00DE75A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1A728D"/>
    <w:pPr>
      <w:tabs>
        <w:tab w:val="center" w:pos="4680"/>
        <w:tab w:val="right" w:pos="9360"/>
      </w:tabs>
      <w:spacing w:after="0" w:line="240" w:lineRule="auto"/>
    </w:pPr>
  </w:style>
  <w:style w:type="character" w:customStyle="1" w:styleId="HeaderChar">
    <w:name w:val="Header Char"/>
    <w:basedOn w:val="DefaultParagraphFont"/>
    <w:link w:val="Header"/>
    <w:uiPriority w:val="99"/>
    <w:rsid w:val="001A728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2327156">
      <w:bodyDiv w:val="1"/>
      <w:marLeft w:val="0"/>
      <w:marRight w:val="0"/>
      <w:marTop w:val="0"/>
      <w:marBottom w:val="0"/>
      <w:divBdr>
        <w:top w:val="none" w:sz="0" w:space="0" w:color="auto"/>
        <w:left w:val="none" w:sz="0" w:space="0" w:color="auto"/>
        <w:bottom w:val="none" w:sz="0" w:space="0" w:color="auto"/>
        <w:right w:val="none" w:sz="0" w:space="0" w:color="auto"/>
      </w:divBdr>
    </w:div>
    <w:div w:id="1024943771">
      <w:bodyDiv w:val="1"/>
      <w:marLeft w:val="0"/>
      <w:marRight w:val="0"/>
      <w:marTop w:val="0"/>
      <w:marBottom w:val="0"/>
      <w:divBdr>
        <w:top w:val="none" w:sz="0" w:space="0" w:color="auto"/>
        <w:left w:val="none" w:sz="0" w:space="0" w:color="auto"/>
        <w:bottom w:val="none" w:sz="0" w:space="0" w:color="auto"/>
        <w:right w:val="none" w:sz="0" w:space="0" w:color="auto"/>
      </w:divBdr>
    </w:div>
    <w:div w:id="1493526646">
      <w:bodyDiv w:val="1"/>
      <w:marLeft w:val="0"/>
      <w:marRight w:val="0"/>
      <w:marTop w:val="0"/>
      <w:marBottom w:val="0"/>
      <w:divBdr>
        <w:top w:val="none" w:sz="0" w:space="0" w:color="auto"/>
        <w:left w:val="none" w:sz="0" w:space="0" w:color="auto"/>
        <w:bottom w:val="none" w:sz="0" w:space="0" w:color="auto"/>
        <w:right w:val="none" w:sz="0" w:space="0" w:color="auto"/>
      </w:divBdr>
    </w:div>
    <w:div w:id="1642030245">
      <w:bodyDiv w:val="1"/>
      <w:marLeft w:val="0"/>
      <w:marRight w:val="0"/>
      <w:marTop w:val="0"/>
      <w:marBottom w:val="0"/>
      <w:divBdr>
        <w:top w:val="none" w:sz="0" w:space="0" w:color="auto"/>
        <w:left w:val="none" w:sz="0" w:space="0" w:color="auto"/>
        <w:bottom w:val="none" w:sz="0" w:space="0" w:color="auto"/>
        <w:right w:val="none" w:sz="0" w:space="0" w:color="auto"/>
      </w:divBdr>
    </w:div>
    <w:div w:id="17647594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BB511E2-BA89-483B-B103-C5DD44D65A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589</TotalTime>
  <Pages>4</Pages>
  <Words>894</Words>
  <Characters>5100</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OEB</Company>
  <LinksUpToDate>false</LinksUpToDate>
  <CharactersWithSpaces>5983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abramoma</dc:creator>
  <cp:lastModifiedBy>Katherine Wang</cp:lastModifiedBy>
  <cp:revision>9</cp:revision>
  <cp:lastPrinted>2014-09-29T14:43:00Z</cp:lastPrinted>
  <dcterms:created xsi:type="dcterms:W3CDTF">2019-04-26T17:57:00Z</dcterms:created>
  <dcterms:modified xsi:type="dcterms:W3CDTF">2019-11-25T15:49:00Z</dcterms:modified>
</cp:coreProperties>
</file>