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A6D" w:rsidRPr="007A6CEC" w:rsidRDefault="00B13A6D" w:rsidP="00B13A6D">
      <w:pPr>
        <w:jc w:val="center"/>
        <w:rPr>
          <w:rFonts w:cs="Arial"/>
          <w:b/>
          <w:sz w:val="24"/>
          <w:szCs w:val="24"/>
        </w:rPr>
      </w:pPr>
      <w:r w:rsidRPr="007A6CEC">
        <w:rPr>
          <w:rFonts w:cs="Arial"/>
          <w:b/>
          <w:sz w:val="24"/>
          <w:szCs w:val="24"/>
        </w:rPr>
        <w:t>Oshawa PUC Networks Inc. (</w:t>
      </w:r>
      <w:r w:rsidR="00BE46BD" w:rsidRPr="007A6CEC">
        <w:rPr>
          <w:rFonts w:cs="Arial"/>
          <w:b/>
          <w:sz w:val="24"/>
          <w:szCs w:val="24"/>
        </w:rPr>
        <w:t>Oshawa PUC</w:t>
      </w:r>
      <w:r w:rsidRPr="007A6CEC">
        <w:rPr>
          <w:rFonts w:cs="Arial"/>
          <w:b/>
          <w:sz w:val="24"/>
          <w:szCs w:val="24"/>
        </w:rPr>
        <w:t>)</w:t>
      </w:r>
    </w:p>
    <w:p w:rsidR="00B13A6D" w:rsidRPr="007A6CEC" w:rsidRDefault="00B13A6D" w:rsidP="00B13A6D">
      <w:pPr>
        <w:jc w:val="center"/>
        <w:rPr>
          <w:rFonts w:cs="Arial"/>
          <w:b/>
          <w:sz w:val="24"/>
          <w:szCs w:val="24"/>
        </w:rPr>
      </w:pPr>
      <w:r w:rsidRPr="007A6CEC">
        <w:rPr>
          <w:rFonts w:cs="Arial"/>
          <w:b/>
          <w:sz w:val="24"/>
          <w:szCs w:val="24"/>
        </w:rPr>
        <w:t>2020 IRM Application</w:t>
      </w:r>
    </w:p>
    <w:p w:rsidR="00B13A6D" w:rsidRPr="007A6CEC" w:rsidRDefault="00B13A6D" w:rsidP="00B13A6D">
      <w:pPr>
        <w:jc w:val="center"/>
        <w:rPr>
          <w:rFonts w:cs="Arial"/>
          <w:b/>
          <w:sz w:val="24"/>
          <w:szCs w:val="24"/>
        </w:rPr>
      </w:pPr>
      <w:r w:rsidRPr="007A6CEC">
        <w:rPr>
          <w:rFonts w:cs="Arial"/>
          <w:b/>
          <w:sz w:val="24"/>
          <w:szCs w:val="24"/>
        </w:rPr>
        <w:t>EB-2019-0062</w:t>
      </w:r>
    </w:p>
    <w:p w:rsidR="00B13A6D" w:rsidRPr="007A6CEC" w:rsidRDefault="00B13A6D" w:rsidP="00B13A6D">
      <w:pPr>
        <w:jc w:val="center"/>
        <w:rPr>
          <w:rFonts w:cs="Arial"/>
          <w:b/>
          <w:sz w:val="24"/>
          <w:szCs w:val="24"/>
        </w:rPr>
      </w:pPr>
      <w:r w:rsidRPr="007A6CEC">
        <w:rPr>
          <w:rFonts w:cs="Arial"/>
          <w:b/>
          <w:sz w:val="24"/>
          <w:szCs w:val="24"/>
        </w:rPr>
        <w:t>Application Analysis</w:t>
      </w:r>
    </w:p>
    <w:p w:rsidR="00B13A6D" w:rsidRPr="007A6CEC" w:rsidRDefault="006E47F6" w:rsidP="00B13A6D">
      <w:pPr>
        <w:jc w:val="center"/>
        <w:rPr>
          <w:rFonts w:cs="Arial"/>
          <w:b/>
          <w:sz w:val="24"/>
          <w:szCs w:val="24"/>
        </w:rPr>
      </w:pPr>
      <w:r w:rsidRPr="008E257E">
        <w:rPr>
          <w:rFonts w:cs="Arial"/>
          <w:b/>
          <w:sz w:val="24"/>
          <w:szCs w:val="24"/>
        </w:rPr>
        <w:t xml:space="preserve">October </w:t>
      </w:r>
      <w:r w:rsidR="008E257E" w:rsidRPr="008E257E">
        <w:rPr>
          <w:rFonts w:cs="Arial"/>
          <w:b/>
          <w:sz w:val="24"/>
          <w:szCs w:val="24"/>
        </w:rPr>
        <w:t>28</w:t>
      </w:r>
      <w:r w:rsidR="00B13A6D" w:rsidRPr="008E257E">
        <w:rPr>
          <w:rFonts w:cs="Arial"/>
          <w:b/>
          <w:sz w:val="24"/>
          <w:szCs w:val="24"/>
        </w:rPr>
        <w:t>, 2019</w:t>
      </w:r>
    </w:p>
    <w:p w:rsidR="00B13A6D" w:rsidRDefault="00295046">
      <w:pPr>
        <w:rPr>
          <w:rFonts w:cs="Arial"/>
          <w:i/>
          <w:color w:val="2F5496" w:themeColor="accent5" w:themeShade="BF"/>
          <w:sz w:val="24"/>
          <w:szCs w:val="24"/>
        </w:rPr>
      </w:pPr>
      <w:r w:rsidRPr="00DD07B4">
        <w:rPr>
          <w:rFonts w:cs="Arial"/>
          <w:i/>
          <w:color w:val="2F5496" w:themeColor="accent5" w:themeShade="BF"/>
          <w:sz w:val="24"/>
          <w:szCs w:val="24"/>
        </w:rPr>
        <w:t>Oshawa Power’s responses to OEB staff questions are found</w:t>
      </w:r>
      <w:r w:rsidR="00DD07B4" w:rsidRPr="00DD07B4">
        <w:rPr>
          <w:rFonts w:cs="Arial"/>
          <w:i/>
          <w:color w:val="2F5496" w:themeColor="accent5" w:themeShade="BF"/>
          <w:sz w:val="24"/>
          <w:szCs w:val="24"/>
        </w:rPr>
        <w:t xml:space="preserve"> below</w:t>
      </w:r>
      <w:r w:rsidR="00487508">
        <w:rPr>
          <w:rFonts w:cs="Arial"/>
          <w:i/>
          <w:color w:val="2F5496" w:themeColor="accent5" w:themeShade="BF"/>
          <w:sz w:val="24"/>
          <w:szCs w:val="24"/>
        </w:rPr>
        <w:t xml:space="preserve"> in blue</w:t>
      </w:r>
      <w:r w:rsidRPr="00DD07B4">
        <w:rPr>
          <w:rFonts w:cs="Arial"/>
          <w:i/>
          <w:color w:val="2F5496" w:themeColor="accent5" w:themeShade="BF"/>
          <w:sz w:val="24"/>
          <w:szCs w:val="24"/>
        </w:rPr>
        <w:t>.</w:t>
      </w:r>
    </w:p>
    <w:p w:rsidR="00487508" w:rsidRPr="00487508" w:rsidRDefault="00487508">
      <w:pPr>
        <w:rPr>
          <w:rFonts w:cs="Arial"/>
          <w:b/>
          <w:i/>
          <w:color w:val="00B050"/>
          <w:sz w:val="24"/>
          <w:szCs w:val="24"/>
          <w:u w:val="single"/>
        </w:rPr>
      </w:pPr>
      <w:r>
        <w:rPr>
          <w:rFonts w:cs="Arial"/>
          <w:i/>
          <w:color w:val="00B050"/>
          <w:sz w:val="24"/>
          <w:szCs w:val="24"/>
        </w:rPr>
        <w:t>Updates to responses provided on Nov 4</w:t>
      </w:r>
      <w:r w:rsidRPr="00487508">
        <w:rPr>
          <w:rFonts w:cs="Arial"/>
          <w:i/>
          <w:color w:val="00B050"/>
          <w:sz w:val="24"/>
          <w:szCs w:val="24"/>
          <w:vertAlign w:val="superscript"/>
        </w:rPr>
        <w:t>th</w:t>
      </w:r>
      <w:r>
        <w:rPr>
          <w:rFonts w:cs="Arial"/>
          <w:i/>
          <w:color w:val="00B050"/>
          <w:sz w:val="24"/>
          <w:szCs w:val="24"/>
        </w:rPr>
        <w:t xml:space="preserve">, 2019 are found below in green. </w:t>
      </w:r>
    </w:p>
    <w:p w:rsidR="00B13A6D" w:rsidRPr="007A6CEC" w:rsidRDefault="00B13A6D">
      <w:pPr>
        <w:rPr>
          <w:rFonts w:cs="Arial"/>
          <w:b/>
          <w:sz w:val="24"/>
          <w:szCs w:val="24"/>
        </w:rPr>
      </w:pPr>
      <w:r w:rsidRPr="007A6CEC">
        <w:rPr>
          <w:rFonts w:cs="Arial"/>
          <w:b/>
          <w:sz w:val="24"/>
          <w:szCs w:val="24"/>
        </w:rPr>
        <w:t xml:space="preserve">Staff </w:t>
      </w:r>
      <w:r w:rsidR="00436F28">
        <w:rPr>
          <w:rFonts w:cs="Arial"/>
          <w:b/>
          <w:sz w:val="24"/>
          <w:szCs w:val="24"/>
        </w:rPr>
        <w:t xml:space="preserve">Follow-up </w:t>
      </w:r>
      <w:r w:rsidRPr="007A6CEC">
        <w:rPr>
          <w:rFonts w:cs="Arial"/>
          <w:b/>
          <w:sz w:val="24"/>
          <w:szCs w:val="24"/>
        </w:rPr>
        <w:t>Question #1</w:t>
      </w:r>
    </w:p>
    <w:p w:rsidR="007A6CEC" w:rsidRPr="007A6CEC" w:rsidRDefault="007A6CEC" w:rsidP="007A6CEC">
      <w:pPr>
        <w:rPr>
          <w:rFonts w:cs="Arial"/>
          <w:b/>
          <w:sz w:val="24"/>
          <w:szCs w:val="24"/>
        </w:rPr>
      </w:pPr>
      <w:r w:rsidRPr="007A6CEC">
        <w:rPr>
          <w:rFonts w:cs="Arial"/>
          <w:b/>
          <w:sz w:val="24"/>
          <w:szCs w:val="24"/>
        </w:rPr>
        <w:t xml:space="preserve">Ref: </w:t>
      </w:r>
      <w:r>
        <w:rPr>
          <w:rFonts w:cs="Arial"/>
          <w:b/>
          <w:sz w:val="24"/>
          <w:szCs w:val="24"/>
        </w:rPr>
        <w:t xml:space="preserve">Staff </w:t>
      </w:r>
      <w:r w:rsidRPr="007A6CEC">
        <w:rPr>
          <w:rFonts w:cs="Arial"/>
          <w:b/>
          <w:sz w:val="24"/>
          <w:szCs w:val="24"/>
        </w:rPr>
        <w:t xml:space="preserve">Question </w:t>
      </w:r>
      <w:r>
        <w:rPr>
          <w:rFonts w:cs="Arial"/>
          <w:b/>
          <w:sz w:val="24"/>
          <w:szCs w:val="24"/>
        </w:rPr>
        <w:t>#</w:t>
      </w:r>
      <w:r w:rsidRPr="007A6CEC">
        <w:rPr>
          <w:rFonts w:cs="Arial"/>
          <w:b/>
          <w:sz w:val="24"/>
          <w:szCs w:val="24"/>
        </w:rPr>
        <w:t>1</w:t>
      </w:r>
    </w:p>
    <w:p w:rsidR="007A6CEC" w:rsidRPr="007A6CEC" w:rsidRDefault="007A6CEC" w:rsidP="007A6CEC">
      <w:pPr>
        <w:rPr>
          <w:rFonts w:cs="Arial"/>
          <w:sz w:val="24"/>
          <w:szCs w:val="24"/>
        </w:rPr>
      </w:pPr>
      <w:r w:rsidRPr="006923B8">
        <w:rPr>
          <w:rFonts w:cs="Arial"/>
          <w:sz w:val="24"/>
          <w:szCs w:val="24"/>
        </w:rPr>
        <w:t xml:space="preserve">From the document </w:t>
      </w:r>
      <w:r w:rsidR="00573D3E">
        <w:rPr>
          <w:rFonts w:cs="Arial"/>
          <w:sz w:val="24"/>
          <w:szCs w:val="24"/>
        </w:rPr>
        <w:t xml:space="preserve">attached in response to </w:t>
      </w:r>
      <w:r w:rsidR="007C5F53">
        <w:rPr>
          <w:rFonts w:cs="Arial"/>
          <w:sz w:val="24"/>
          <w:szCs w:val="24"/>
        </w:rPr>
        <w:t xml:space="preserve">initial </w:t>
      </w:r>
      <w:r w:rsidR="00573D3E">
        <w:rPr>
          <w:rFonts w:cs="Arial"/>
          <w:sz w:val="24"/>
          <w:szCs w:val="24"/>
        </w:rPr>
        <w:t>Staff Question #1</w:t>
      </w:r>
      <w:r w:rsidRPr="006923B8">
        <w:rPr>
          <w:rFonts w:cs="Arial"/>
          <w:sz w:val="24"/>
          <w:szCs w:val="24"/>
        </w:rPr>
        <w:t>, under</w:t>
      </w:r>
      <w:r w:rsidRPr="007A6CEC">
        <w:rPr>
          <w:rFonts w:cs="Arial"/>
          <w:sz w:val="24"/>
          <w:szCs w:val="24"/>
        </w:rPr>
        <w:t xml:space="preserve"> </w:t>
      </w:r>
    </w:p>
    <w:p w:rsidR="007A6CEC" w:rsidRPr="007A6CEC" w:rsidRDefault="007A6CEC" w:rsidP="007A6CEC">
      <w:pPr>
        <w:pStyle w:val="ListParagraph"/>
        <w:numPr>
          <w:ilvl w:val="0"/>
          <w:numId w:val="26"/>
        </w:numPr>
        <w:rPr>
          <w:rFonts w:cs="Arial"/>
          <w:sz w:val="24"/>
          <w:szCs w:val="24"/>
        </w:rPr>
      </w:pPr>
      <w:r w:rsidRPr="007A6CEC">
        <w:rPr>
          <w:rFonts w:cs="Arial"/>
          <w:sz w:val="24"/>
          <w:szCs w:val="24"/>
        </w:rPr>
        <w:t>“Review current process for recording and posting 1598 monthly settlement journals”, it states the allocation between TOU and tired blocks is based on billed data.</w:t>
      </w:r>
    </w:p>
    <w:p w:rsidR="007A6CEC" w:rsidRDefault="007A6CEC" w:rsidP="007A6CEC">
      <w:pPr>
        <w:pStyle w:val="ListParagraph"/>
        <w:numPr>
          <w:ilvl w:val="1"/>
          <w:numId w:val="26"/>
        </w:numPr>
        <w:rPr>
          <w:rFonts w:cs="Arial"/>
          <w:sz w:val="24"/>
          <w:szCs w:val="24"/>
        </w:rPr>
      </w:pPr>
      <w:r w:rsidRPr="007A6CEC">
        <w:rPr>
          <w:rFonts w:cs="Arial"/>
          <w:sz w:val="24"/>
          <w:szCs w:val="24"/>
        </w:rPr>
        <w:t>Please explain whether the determination of RPP volumes for RPP settlements is also based on billed consumption.</w:t>
      </w:r>
    </w:p>
    <w:p w:rsidR="00DD07B4" w:rsidRDefault="00DD07B4" w:rsidP="00295046">
      <w:pPr>
        <w:pStyle w:val="ListParagraph"/>
        <w:ind w:left="1440"/>
        <w:rPr>
          <w:rFonts w:cs="Arial"/>
          <w:i/>
          <w:color w:val="2F5496" w:themeColor="accent5" w:themeShade="BF"/>
          <w:sz w:val="24"/>
          <w:szCs w:val="24"/>
        </w:rPr>
      </w:pPr>
    </w:p>
    <w:p w:rsidR="00602BCB" w:rsidRPr="00DD07B4" w:rsidRDefault="00295046"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 xml:space="preserve">RPP volume for settlement with IESO is based on billed </w:t>
      </w:r>
      <w:r w:rsidR="00602BCB" w:rsidRPr="00DD07B4">
        <w:rPr>
          <w:rFonts w:cs="Arial"/>
          <w:i/>
          <w:color w:val="2F5496" w:themeColor="accent5" w:themeShade="BF"/>
          <w:sz w:val="24"/>
          <w:szCs w:val="24"/>
        </w:rPr>
        <w:t>consumption, adjusted using estimated unbilled consumption, to reflect actual consumption for the month</w:t>
      </w:r>
      <w:r w:rsidRPr="00DD07B4">
        <w:rPr>
          <w:rFonts w:cs="Arial"/>
          <w:i/>
          <w:color w:val="2F5496" w:themeColor="accent5" w:themeShade="BF"/>
          <w:sz w:val="24"/>
          <w:szCs w:val="24"/>
        </w:rPr>
        <w:t xml:space="preserve">. </w:t>
      </w:r>
    </w:p>
    <w:p w:rsidR="00602BCB" w:rsidRDefault="00602BCB" w:rsidP="00295046">
      <w:pPr>
        <w:pStyle w:val="ListParagraph"/>
        <w:ind w:left="1440"/>
        <w:rPr>
          <w:rFonts w:cs="Arial"/>
          <w:color w:val="FF0000"/>
          <w:sz w:val="24"/>
          <w:szCs w:val="24"/>
        </w:rPr>
      </w:pPr>
    </w:p>
    <w:p w:rsidR="007A6CEC" w:rsidRDefault="007A6CEC" w:rsidP="007A6CEC">
      <w:pPr>
        <w:pStyle w:val="ListParagraph"/>
        <w:numPr>
          <w:ilvl w:val="1"/>
          <w:numId w:val="26"/>
        </w:numPr>
        <w:rPr>
          <w:rFonts w:cs="Arial"/>
          <w:sz w:val="24"/>
          <w:szCs w:val="24"/>
        </w:rPr>
      </w:pPr>
      <w:r w:rsidRPr="007A6CEC">
        <w:rPr>
          <w:rFonts w:cs="Arial"/>
          <w:sz w:val="24"/>
          <w:szCs w:val="24"/>
        </w:rPr>
        <w:t>Please explain whether the RPP volumes, the TOU and tiered blocks allocations initially based on billed data are trued up to be based on actual consumption on a monthly basis.</w:t>
      </w:r>
    </w:p>
    <w:p w:rsidR="00DD07B4" w:rsidRDefault="00DD07B4" w:rsidP="00295046">
      <w:pPr>
        <w:pStyle w:val="ListParagraph"/>
        <w:ind w:left="1440"/>
        <w:rPr>
          <w:rFonts w:cs="Arial"/>
          <w:i/>
          <w:sz w:val="24"/>
          <w:szCs w:val="24"/>
        </w:rPr>
      </w:pPr>
    </w:p>
    <w:p w:rsidR="00887A32" w:rsidRPr="00DD07B4" w:rsidRDefault="00887A32"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Yes.</w:t>
      </w:r>
    </w:p>
    <w:p w:rsidR="00295046" w:rsidRPr="00DD07B4" w:rsidRDefault="00360883"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O</w:t>
      </w:r>
      <w:r w:rsidR="005844A3" w:rsidRPr="00DD07B4">
        <w:rPr>
          <w:rFonts w:cs="Arial"/>
          <w:i/>
          <w:color w:val="2F5496" w:themeColor="accent5" w:themeShade="BF"/>
          <w:sz w:val="24"/>
          <w:szCs w:val="24"/>
        </w:rPr>
        <w:t>n a monthly basis, RPP volumes for RPP settlement (</w:t>
      </w:r>
      <w:proofErr w:type="spellStart"/>
      <w:r w:rsidR="005844A3" w:rsidRPr="00DD07B4">
        <w:rPr>
          <w:rFonts w:cs="Arial"/>
          <w:i/>
          <w:color w:val="2F5496" w:themeColor="accent5" w:themeShade="BF"/>
          <w:sz w:val="24"/>
          <w:szCs w:val="24"/>
        </w:rPr>
        <w:t>ie</w:t>
      </w:r>
      <w:proofErr w:type="spellEnd"/>
      <w:r w:rsidR="005844A3" w:rsidRPr="00DD07B4">
        <w:rPr>
          <w:rFonts w:cs="Arial"/>
          <w:i/>
          <w:color w:val="2F5496" w:themeColor="accent5" w:themeShade="BF"/>
          <w:sz w:val="24"/>
          <w:szCs w:val="24"/>
        </w:rPr>
        <w:t>, RPP vs Market Price variance submission), are based on:</w:t>
      </w:r>
    </w:p>
    <w:p w:rsidR="00710BEB" w:rsidRPr="00DD07B4" w:rsidRDefault="00360883"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 C</w:t>
      </w:r>
      <w:r w:rsidR="002423D7" w:rsidRPr="00DD07B4">
        <w:rPr>
          <w:rFonts w:cs="Arial"/>
          <w:i/>
          <w:color w:val="2F5496" w:themeColor="accent5" w:themeShade="BF"/>
          <w:sz w:val="24"/>
          <w:szCs w:val="24"/>
        </w:rPr>
        <w:t xml:space="preserve">urrent month billed data trued-up for estimated unbilled consumption. </w:t>
      </w:r>
    </w:p>
    <w:p w:rsidR="002423D7" w:rsidRPr="00DD07B4" w:rsidRDefault="00710BEB"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 xml:space="preserve">- </w:t>
      </w:r>
      <w:r w:rsidR="005844A3" w:rsidRPr="00DD07B4">
        <w:rPr>
          <w:rFonts w:cs="Arial"/>
          <w:i/>
          <w:color w:val="2F5496" w:themeColor="accent5" w:themeShade="BF"/>
          <w:sz w:val="24"/>
          <w:szCs w:val="24"/>
        </w:rPr>
        <w:t xml:space="preserve">The unbilled </w:t>
      </w:r>
      <w:r w:rsidR="002423D7" w:rsidRPr="00DD07B4">
        <w:rPr>
          <w:rFonts w:cs="Arial"/>
          <w:i/>
          <w:color w:val="2F5496" w:themeColor="accent5" w:themeShade="BF"/>
          <w:sz w:val="24"/>
          <w:szCs w:val="24"/>
        </w:rPr>
        <w:t>consumption</w:t>
      </w:r>
      <w:r w:rsidR="005844A3" w:rsidRPr="00DD07B4">
        <w:rPr>
          <w:rFonts w:cs="Arial"/>
          <w:i/>
          <w:color w:val="2F5496" w:themeColor="accent5" w:themeShade="BF"/>
          <w:sz w:val="24"/>
          <w:szCs w:val="24"/>
        </w:rPr>
        <w:t xml:space="preserve"> is based on current month </w:t>
      </w:r>
      <w:r w:rsidR="002423D7" w:rsidRPr="00DD07B4">
        <w:rPr>
          <w:rFonts w:cs="Arial"/>
          <w:i/>
          <w:color w:val="2F5496" w:themeColor="accent5" w:themeShade="BF"/>
          <w:sz w:val="24"/>
          <w:szCs w:val="24"/>
        </w:rPr>
        <w:t xml:space="preserve">total </w:t>
      </w:r>
      <w:r w:rsidRPr="00DD07B4">
        <w:rPr>
          <w:rFonts w:cs="Arial"/>
          <w:i/>
          <w:color w:val="2F5496" w:themeColor="accent5" w:themeShade="BF"/>
          <w:sz w:val="24"/>
          <w:szCs w:val="24"/>
        </w:rPr>
        <w:t xml:space="preserve">system </w:t>
      </w:r>
      <w:r w:rsidR="005B5693" w:rsidRPr="00DD07B4">
        <w:rPr>
          <w:rFonts w:cs="Arial"/>
          <w:i/>
          <w:color w:val="2F5496" w:themeColor="accent5" w:themeShade="BF"/>
          <w:sz w:val="24"/>
          <w:szCs w:val="24"/>
        </w:rPr>
        <w:t>load</w:t>
      </w:r>
      <w:r w:rsidR="005844A3" w:rsidRPr="00DD07B4">
        <w:rPr>
          <w:rFonts w:cs="Arial"/>
          <w:i/>
          <w:color w:val="2F5496" w:themeColor="accent5" w:themeShade="BF"/>
          <w:sz w:val="24"/>
          <w:szCs w:val="24"/>
        </w:rPr>
        <w:t>.</w:t>
      </w:r>
      <w:r w:rsidRPr="00DD07B4">
        <w:rPr>
          <w:rFonts w:cs="Arial"/>
          <w:i/>
          <w:color w:val="2F5496" w:themeColor="accent5" w:themeShade="BF"/>
          <w:sz w:val="24"/>
          <w:szCs w:val="24"/>
        </w:rPr>
        <w:t xml:space="preserve"> This total is </w:t>
      </w:r>
      <w:r w:rsidR="002423D7" w:rsidRPr="00DD07B4">
        <w:rPr>
          <w:rFonts w:cs="Arial"/>
          <w:i/>
          <w:color w:val="2F5496" w:themeColor="accent5" w:themeShade="BF"/>
          <w:sz w:val="24"/>
          <w:szCs w:val="24"/>
        </w:rPr>
        <w:t xml:space="preserve">allocated </w:t>
      </w:r>
      <w:r w:rsidRPr="00DD07B4">
        <w:rPr>
          <w:rFonts w:cs="Arial"/>
          <w:i/>
          <w:color w:val="2F5496" w:themeColor="accent5" w:themeShade="BF"/>
          <w:sz w:val="24"/>
          <w:szCs w:val="24"/>
        </w:rPr>
        <w:t>between RPP and non-RPP consumption using an allocation rate</w:t>
      </w:r>
      <w:r w:rsidR="00887A32" w:rsidRPr="00DD07B4">
        <w:rPr>
          <w:rFonts w:cs="Arial"/>
          <w:i/>
          <w:color w:val="2F5496" w:themeColor="accent5" w:themeShade="BF"/>
          <w:sz w:val="24"/>
          <w:szCs w:val="24"/>
        </w:rPr>
        <w:t xml:space="preserve"> based on most recent available RPP/non-RPP split</w:t>
      </w:r>
      <w:r w:rsidR="002423D7" w:rsidRPr="00DD07B4">
        <w:rPr>
          <w:rFonts w:cs="Arial"/>
          <w:i/>
          <w:color w:val="2F5496" w:themeColor="accent5" w:themeShade="BF"/>
          <w:sz w:val="24"/>
          <w:szCs w:val="24"/>
        </w:rPr>
        <w:t>.</w:t>
      </w:r>
    </w:p>
    <w:p w:rsidR="005844A3" w:rsidRPr="00DD07B4" w:rsidRDefault="00360883"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 F</w:t>
      </w:r>
      <w:r w:rsidR="005844A3" w:rsidRPr="00DD07B4">
        <w:rPr>
          <w:rFonts w:cs="Arial"/>
          <w:i/>
          <w:color w:val="2F5496" w:themeColor="accent5" w:themeShade="BF"/>
          <w:sz w:val="24"/>
          <w:szCs w:val="24"/>
        </w:rPr>
        <w:t xml:space="preserve">or purposes of posting </w:t>
      </w:r>
      <w:r w:rsidRPr="00DD07B4">
        <w:rPr>
          <w:rFonts w:cs="Arial"/>
          <w:i/>
          <w:color w:val="2F5496" w:themeColor="accent5" w:themeShade="BF"/>
          <w:sz w:val="24"/>
          <w:szCs w:val="24"/>
        </w:rPr>
        <w:t xml:space="preserve">true-up </w:t>
      </w:r>
      <w:r w:rsidR="005844A3" w:rsidRPr="00DD07B4">
        <w:rPr>
          <w:rFonts w:cs="Arial"/>
          <w:i/>
          <w:color w:val="2F5496" w:themeColor="accent5" w:themeShade="BF"/>
          <w:sz w:val="24"/>
          <w:szCs w:val="24"/>
        </w:rPr>
        <w:t>to RSVA Power and RSVA GA, the volumes are</w:t>
      </w:r>
      <w:r w:rsidRPr="00DD07B4">
        <w:rPr>
          <w:rFonts w:cs="Arial"/>
          <w:i/>
          <w:color w:val="2F5496" w:themeColor="accent5" w:themeShade="BF"/>
          <w:sz w:val="24"/>
          <w:szCs w:val="24"/>
        </w:rPr>
        <w:t xml:space="preserve"> trued-up to “</w:t>
      </w:r>
      <w:r w:rsidR="005844A3" w:rsidRPr="00DD07B4">
        <w:rPr>
          <w:rFonts w:cs="Arial"/>
          <w:i/>
          <w:color w:val="2F5496" w:themeColor="accent5" w:themeShade="BF"/>
          <w:sz w:val="24"/>
          <w:szCs w:val="24"/>
        </w:rPr>
        <w:t>billed plus actual unbilled</w:t>
      </w:r>
      <w:r w:rsidRPr="00DD07B4">
        <w:rPr>
          <w:rFonts w:cs="Arial"/>
          <w:i/>
          <w:color w:val="2F5496" w:themeColor="accent5" w:themeShade="BF"/>
          <w:sz w:val="24"/>
          <w:szCs w:val="24"/>
        </w:rPr>
        <w:t xml:space="preserve">” </w:t>
      </w:r>
      <w:r w:rsidR="005B5693" w:rsidRPr="00DD07B4">
        <w:rPr>
          <w:rFonts w:cs="Arial"/>
          <w:i/>
          <w:color w:val="2F5496" w:themeColor="accent5" w:themeShade="BF"/>
          <w:sz w:val="24"/>
          <w:szCs w:val="24"/>
        </w:rPr>
        <w:t>to</w:t>
      </w:r>
      <w:r w:rsidRPr="00DD07B4">
        <w:rPr>
          <w:rFonts w:cs="Arial"/>
          <w:i/>
          <w:color w:val="2F5496" w:themeColor="accent5" w:themeShade="BF"/>
          <w:sz w:val="24"/>
          <w:szCs w:val="24"/>
        </w:rPr>
        <w:t xml:space="preserve"> reflect actual consumption volume</w:t>
      </w:r>
      <w:r w:rsidR="002423D7" w:rsidRPr="00DD07B4">
        <w:rPr>
          <w:rFonts w:cs="Arial"/>
          <w:i/>
          <w:color w:val="2F5496" w:themeColor="accent5" w:themeShade="BF"/>
          <w:sz w:val="24"/>
          <w:szCs w:val="24"/>
        </w:rPr>
        <w:t xml:space="preserve"> at year-end</w:t>
      </w:r>
      <w:r w:rsidRPr="00DD07B4">
        <w:rPr>
          <w:rFonts w:cs="Arial"/>
          <w:i/>
          <w:color w:val="2F5496" w:themeColor="accent5" w:themeShade="BF"/>
          <w:sz w:val="24"/>
          <w:szCs w:val="24"/>
        </w:rPr>
        <w:t xml:space="preserve">. </w:t>
      </w:r>
      <w:r w:rsidR="005844A3" w:rsidRPr="00DD07B4">
        <w:rPr>
          <w:rFonts w:cs="Arial"/>
          <w:i/>
          <w:color w:val="2F5496" w:themeColor="accent5" w:themeShade="BF"/>
          <w:sz w:val="24"/>
          <w:szCs w:val="24"/>
        </w:rPr>
        <w:t xml:space="preserve"> </w:t>
      </w:r>
    </w:p>
    <w:p w:rsidR="00DD07B4" w:rsidRDefault="00182451" w:rsidP="00487508">
      <w:pPr>
        <w:pStyle w:val="ListParagraph"/>
        <w:ind w:left="0"/>
        <w:rPr>
          <w:rFonts w:cs="Arial"/>
          <w:color w:val="FF0000"/>
          <w:sz w:val="24"/>
          <w:szCs w:val="24"/>
        </w:rPr>
      </w:pPr>
      <w:r w:rsidRPr="00DD07B4">
        <w:rPr>
          <w:rFonts w:cs="Arial"/>
          <w:i/>
          <w:color w:val="2F5496" w:themeColor="accent5" w:themeShade="BF"/>
          <w:sz w:val="24"/>
          <w:szCs w:val="24"/>
        </w:rPr>
        <w:t xml:space="preserve">- Due to limitations of our </w:t>
      </w:r>
      <w:r w:rsidR="00887A32" w:rsidRPr="00DD07B4">
        <w:rPr>
          <w:rFonts w:cs="Arial"/>
          <w:i/>
          <w:color w:val="2F5496" w:themeColor="accent5" w:themeShade="BF"/>
          <w:sz w:val="24"/>
          <w:szCs w:val="24"/>
        </w:rPr>
        <w:t xml:space="preserve">billing </w:t>
      </w:r>
      <w:r w:rsidRPr="00DD07B4">
        <w:rPr>
          <w:rFonts w:cs="Arial"/>
          <w:i/>
          <w:color w:val="2F5496" w:themeColor="accent5" w:themeShade="BF"/>
          <w:sz w:val="24"/>
          <w:szCs w:val="24"/>
        </w:rPr>
        <w:t>system, we are only able to obtain an actual unbilled consumption amount at year-end</w:t>
      </w:r>
      <w:r w:rsidR="00887A32" w:rsidRPr="00DD07B4">
        <w:rPr>
          <w:rFonts w:cs="Arial"/>
          <w:i/>
          <w:color w:val="2F5496" w:themeColor="accent5" w:themeShade="BF"/>
          <w:sz w:val="24"/>
          <w:szCs w:val="24"/>
        </w:rPr>
        <w:t>, specifically 6 weeks after Dec 31</w:t>
      </w:r>
      <w:r w:rsidR="00887A32" w:rsidRPr="00DD07B4">
        <w:rPr>
          <w:rFonts w:cs="Arial"/>
          <w:i/>
          <w:color w:val="2F5496" w:themeColor="accent5" w:themeShade="BF"/>
          <w:sz w:val="24"/>
          <w:szCs w:val="24"/>
          <w:vertAlign w:val="superscript"/>
        </w:rPr>
        <w:t>st</w:t>
      </w:r>
      <w:r w:rsidR="00185A33" w:rsidRPr="00DD07B4">
        <w:rPr>
          <w:rFonts w:cs="Arial"/>
          <w:i/>
          <w:color w:val="2F5496" w:themeColor="accent5" w:themeShade="BF"/>
          <w:sz w:val="24"/>
          <w:szCs w:val="24"/>
        </w:rPr>
        <w:t xml:space="preserve">. </w:t>
      </w:r>
      <w:r w:rsidR="002423D7" w:rsidRPr="00DD07B4">
        <w:rPr>
          <w:rFonts w:cs="Arial"/>
          <w:i/>
          <w:color w:val="2F5496" w:themeColor="accent5" w:themeShade="BF"/>
          <w:sz w:val="24"/>
          <w:szCs w:val="24"/>
        </w:rPr>
        <w:t xml:space="preserve">Any differences between the allocation </w:t>
      </w:r>
      <w:proofErr w:type="gramStart"/>
      <w:r w:rsidR="002423D7" w:rsidRPr="00DD07B4">
        <w:rPr>
          <w:rFonts w:cs="Arial"/>
          <w:i/>
          <w:color w:val="2F5496" w:themeColor="accent5" w:themeShade="BF"/>
          <w:sz w:val="24"/>
          <w:szCs w:val="24"/>
        </w:rPr>
        <w:t>rate</w:t>
      </w:r>
      <w:proofErr w:type="gramEnd"/>
      <w:r w:rsidR="002423D7" w:rsidRPr="00DD07B4">
        <w:rPr>
          <w:rFonts w:cs="Arial"/>
          <w:i/>
          <w:color w:val="2F5496" w:themeColor="accent5" w:themeShade="BF"/>
          <w:sz w:val="24"/>
          <w:szCs w:val="24"/>
        </w:rPr>
        <w:t xml:space="preserve"> used monthly are adjusted at year-end with actual unbilled consumption. </w:t>
      </w:r>
      <w:r w:rsidR="00DD07B4">
        <w:rPr>
          <w:rFonts w:cs="Arial"/>
          <w:color w:val="FF0000"/>
          <w:sz w:val="24"/>
          <w:szCs w:val="24"/>
        </w:rPr>
        <w:br w:type="page"/>
      </w:r>
    </w:p>
    <w:p w:rsidR="00295046" w:rsidRPr="007A6CEC" w:rsidRDefault="00295046" w:rsidP="00295046">
      <w:pPr>
        <w:pStyle w:val="ListParagraph"/>
        <w:ind w:left="1440"/>
        <w:rPr>
          <w:rFonts w:cs="Arial"/>
          <w:sz w:val="24"/>
          <w:szCs w:val="24"/>
        </w:rPr>
      </w:pPr>
    </w:p>
    <w:p w:rsidR="007A6CEC" w:rsidRDefault="007A6CEC" w:rsidP="007A6CEC">
      <w:pPr>
        <w:pStyle w:val="ListParagraph"/>
        <w:numPr>
          <w:ilvl w:val="1"/>
          <w:numId w:val="26"/>
        </w:numPr>
        <w:rPr>
          <w:rFonts w:cs="Arial"/>
          <w:sz w:val="24"/>
          <w:szCs w:val="24"/>
        </w:rPr>
      </w:pPr>
      <w:r w:rsidRPr="007A6CEC">
        <w:rPr>
          <w:rFonts w:cs="Arial"/>
          <w:sz w:val="24"/>
          <w:szCs w:val="24"/>
        </w:rPr>
        <w:t>If not, please quantify the total monthly true ups for 2017 and 2018 (with consideration of part b</w:t>
      </w:r>
      <w:r w:rsidR="004441CA">
        <w:rPr>
          <w:rFonts w:cs="Arial"/>
          <w:sz w:val="24"/>
          <w:szCs w:val="24"/>
        </w:rPr>
        <w:t xml:space="preserve">) </w:t>
      </w:r>
      <w:r w:rsidRPr="007A6CEC">
        <w:rPr>
          <w:rFonts w:cs="Arial"/>
          <w:sz w:val="24"/>
          <w:szCs w:val="24"/>
        </w:rPr>
        <w:t>iii</w:t>
      </w:r>
      <w:r w:rsidR="004441CA">
        <w:rPr>
          <w:rFonts w:cs="Arial"/>
          <w:sz w:val="24"/>
          <w:szCs w:val="24"/>
        </w:rPr>
        <w:t>.</w:t>
      </w:r>
      <w:r w:rsidRPr="007A6CEC">
        <w:rPr>
          <w:rFonts w:cs="Arial"/>
          <w:sz w:val="24"/>
          <w:szCs w:val="24"/>
        </w:rPr>
        <w:t xml:space="preserve"> </w:t>
      </w:r>
      <w:proofErr w:type="gramStart"/>
      <w:r w:rsidRPr="007A6CEC">
        <w:rPr>
          <w:rFonts w:cs="Arial"/>
          <w:sz w:val="24"/>
          <w:szCs w:val="24"/>
        </w:rPr>
        <w:t>below</w:t>
      </w:r>
      <w:proofErr w:type="gramEnd"/>
      <w:r w:rsidRPr="007A6CEC">
        <w:rPr>
          <w:rFonts w:cs="Arial"/>
          <w:sz w:val="24"/>
          <w:szCs w:val="24"/>
        </w:rPr>
        <w:t>). Please also revise the Account 1588 reconciliation in Appendix A, GA Analysis Workform and the DVA Continuity Schedule.</w:t>
      </w:r>
    </w:p>
    <w:p w:rsidR="00DD07B4" w:rsidRPr="00DD07B4" w:rsidRDefault="00DD07B4" w:rsidP="00DD07B4">
      <w:pPr>
        <w:pStyle w:val="ListParagraph"/>
        <w:ind w:left="0"/>
        <w:rPr>
          <w:rFonts w:cs="Arial"/>
          <w:i/>
          <w:color w:val="2F5496" w:themeColor="accent5" w:themeShade="BF"/>
          <w:sz w:val="24"/>
          <w:szCs w:val="24"/>
        </w:rPr>
      </w:pPr>
    </w:p>
    <w:p w:rsidR="00185A33" w:rsidRPr="00DD07B4" w:rsidRDefault="00185A33"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 xml:space="preserve">As per response to part ii above, true-ups are done monthly as current month billed data trued-up for estimated unbilled consumption. </w:t>
      </w:r>
    </w:p>
    <w:p w:rsidR="00185A33" w:rsidRPr="00DD07B4" w:rsidRDefault="00185A33"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 xml:space="preserve">We interpret ‘actual’ on a monthly basis to equal billed data </w:t>
      </w:r>
      <w:r w:rsidR="00887A32" w:rsidRPr="00DD07B4">
        <w:rPr>
          <w:rFonts w:cs="Arial"/>
          <w:i/>
          <w:color w:val="2F5496" w:themeColor="accent5" w:themeShade="BF"/>
          <w:sz w:val="24"/>
          <w:szCs w:val="24"/>
        </w:rPr>
        <w:t>adjusted for</w:t>
      </w:r>
      <w:r w:rsidRPr="00DD07B4">
        <w:rPr>
          <w:rFonts w:cs="Arial"/>
          <w:i/>
          <w:color w:val="2F5496" w:themeColor="accent5" w:themeShade="BF"/>
          <w:sz w:val="24"/>
          <w:szCs w:val="24"/>
        </w:rPr>
        <w:t xml:space="preserve"> estimated unbilled. We are tied to what our billing system is able to provide in the prescribed timelines associated with the settlement process. </w:t>
      </w:r>
    </w:p>
    <w:p w:rsidR="00710BEB" w:rsidRPr="007A6CEC" w:rsidRDefault="00710BEB" w:rsidP="00710BEB">
      <w:pPr>
        <w:pStyle w:val="ListParagraph"/>
        <w:ind w:left="1440"/>
        <w:rPr>
          <w:rFonts w:cs="Arial"/>
          <w:sz w:val="24"/>
          <w:szCs w:val="24"/>
        </w:rPr>
      </w:pPr>
    </w:p>
    <w:p w:rsidR="007A6CEC" w:rsidRPr="007A6CEC" w:rsidRDefault="007A6CEC" w:rsidP="007A6CEC">
      <w:pPr>
        <w:pStyle w:val="ListParagraph"/>
        <w:numPr>
          <w:ilvl w:val="0"/>
          <w:numId w:val="26"/>
        </w:numPr>
        <w:rPr>
          <w:rFonts w:cs="Arial"/>
          <w:sz w:val="24"/>
          <w:szCs w:val="24"/>
        </w:rPr>
      </w:pPr>
      <w:r w:rsidRPr="007A6CEC">
        <w:rPr>
          <w:rFonts w:cs="Arial"/>
          <w:sz w:val="24"/>
          <w:szCs w:val="24"/>
        </w:rPr>
        <w:t>“Reviewed current year-end process for recording and posting actual unbilled consumption”, i</w:t>
      </w:r>
      <w:r w:rsidR="00573D3E">
        <w:rPr>
          <w:rFonts w:cs="Arial"/>
          <w:sz w:val="24"/>
          <w:szCs w:val="24"/>
        </w:rPr>
        <w:t>t</w:t>
      </w:r>
      <w:r w:rsidRPr="007A6CEC">
        <w:rPr>
          <w:rFonts w:cs="Arial"/>
          <w:sz w:val="24"/>
          <w:szCs w:val="24"/>
        </w:rPr>
        <w:t xml:space="preserve"> states that unbilled usage for prior year consumption is trued up only at year-end. </w:t>
      </w:r>
    </w:p>
    <w:p w:rsidR="007A6CEC" w:rsidRDefault="007A6CEC" w:rsidP="007A6CEC">
      <w:pPr>
        <w:pStyle w:val="ListParagraph"/>
        <w:numPr>
          <w:ilvl w:val="1"/>
          <w:numId w:val="26"/>
        </w:numPr>
        <w:rPr>
          <w:rFonts w:cs="Arial"/>
          <w:sz w:val="24"/>
          <w:szCs w:val="24"/>
        </w:rPr>
      </w:pPr>
      <w:r w:rsidRPr="007A6CEC">
        <w:rPr>
          <w:rFonts w:cs="Arial"/>
          <w:sz w:val="24"/>
          <w:szCs w:val="24"/>
        </w:rPr>
        <w:t xml:space="preserve">Please explain whether revenue journal entries or the RPP settlements are trued up from unbilled to actual consumption. </w:t>
      </w:r>
    </w:p>
    <w:p w:rsidR="00DD07B4" w:rsidRDefault="00DD07B4" w:rsidP="00DD07B4">
      <w:pPr>
        <w:pStyle w:val="ListParagraph"/>
        <w:ind w:left="0"/>
        <w:rPr>
          <w:rFonts w:cs="Arial"/>
          <w:i/>
          <w:color w:val="2F5496" w:themeColor="accent5" w:themeShade="BF"/>
          <w:sz w:val="24"/>
          <w:szCs w:val="24"/>
        </w:rPr>
      </w:pPr>
    </w:p>
    <w:p w:rsidR="00002C58" w:rsidRPr="00DD07B4" w:rsidRDefault="00002C58"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Reve</w:t>
      </w:r>
      <w:r w:rsidR="001D21DE" w:rsidRPr="00DD07B4">
        <w:rPr>
          <w:rFonts w:cs="Arial"/>
          <w:i/>
          <w:color w:val="2F5496" w:themeColor="accent5" w:themeShade="BF"/>
          <w:sz w:val="24"/>
          <w:szCs w:val="24"/>
        </w:rPr>
        <w:t>nues for power and GA are trued-</w:t>
      </w:r>
      <w:r w:rsidR="003210F6" w:rsidRPr="00DD07B4">
        <w:rPr>
          <w:rFonts w:cs="Arial"/>
          <w:i/>
          <w:color w:val="2F5496" w:themeColor="accent5" w:themeShade="BF"/>
          <w:sz w:val="24"/>
          <w:szCs w:val="24"/>
        </w:rPr>
        <w:t>up</w:t>
      </w:r>
      <w:r w:rsidR="001D21DE" w:rsidRPr="00DD07B4">
        <w:rPr>
          <w:rFonts w:cs="Arial"/>
          <w:i/>
          <w:color w:val="2F5496" w:themeColor="accent5" w:themeShade="BF"/>
          <w:sz w:val="24"/>
          <w:szCs w:val="24"/>
        </w:rPr>
        <w:t xml:space="preserve"> from estimated unbilled</w:t>
      </w:r>
      <w:r w:rsidR="003210F6" w:rsidRPr="00DD07B4">
        <w:rPr>
          <w:rFonts w:cs="Arial"/>
          <w:i/>
          <w:color w:val="2F5496" w:themeColor="accent5" w:themeShade="BF"/>
          <w:sz w:val="24"/>
          <w:szCs w:val="24"/>
        </w:rPr>
        <w:t xml:space="preserve"> to actual consumption</w:t>
      </w:r>
      <w:r w:rsidR="001D21DE" w:rsidRPr="00DD07B4">
        <w:rPr>
          <w:rFonts w:cs="Arial"/>
          <w:i/>
          <w:color w:val="2F5496" w:themeColor="accent5" w:themeShade="BF"/>
          <w:sz w:val="24"/>
          <w:szCs w:val="24"/>
        </w:rPr>
        <w:t>. This occurs on a</w:t>
      </w:r>
      <w:r w:rsidR="003210F6" w:rsidRPr="00DD07B4">
        <w:rPr>
          <w:rFonts w:cs="Arial"/>
          <w:i/>
          <w:color w:val="2F5496" w:themeColor="accent5" w:themeShade="BF"/>
          <w:sz w:val="24"/>
          <w:szCs w:val="24"/>
        </w:rPr>
        <w:t xml:space="preserve"> yearly</w:t>
      </w:r>
      <w:r w:rsidR="001D21DE" w:rsidRPr="00DD07B4">
        <w:rPr>
          <w:rFonts w:cs="Arial"/>
          <w:i/>
          <w:color w:val="2F5496" w:themeColor="accent5" w:themeShade="BF"/>
          <w:sz w:val="24"/>
          <w:szCs w:val="24"/>
        </w:rPr>
        <w:t xml:space="preserve"> basis</w:t>
      </w:r>
      <w:r w:rsidR="003210F6" w:rsidRPr="00DD07B4">
        <w:rPr>
          <w:rFonts w:cs="Arial"/>
          <w:i/>
          <w:color w:val="2F5496" w:themeColor="accent5" w:themeShade="BF"/>
          <w:sz w:val="24"/>
          <w:szCs w:val="24"/>
        </w:rPr>
        <w:t xml:space="preserve">, using the unbilled data </w:t>
      </w:r>
      <w:r w:rsidR="00887A32" w:rsidRPr="00DD07B4">
        <w:rPr>
          <w:rFonts w:cs="Arial"/>
          <w:i/>
          <w:color w:val="2F5496" w:themeColor="accent5" w:themeShade="BF"/>
          <w:sz w:val="24"/>
          <w:szCs w:val="24"/>
        </w:rPr>
        <w:t>generated</w:t>
      </w:r>
      <w:r w:rsidR="003210F6" w:rsidRPr="00DD07B4">
        <w:rPr>
          <w:rFonts w:cs="Arial"/>
          <w:i/>
          <w:color w:val="2F5496" w:themeColor="accent5" w:themeShade="BF"/>
          <w:sz w:val="24"/>
          <w:szCs w:val="24"/>
        </w:rPr>
        <w:t xml:space="preserve"> by </w:t>
      </w:r>
      <w:r w:rsidR="00887A32" w:rsidRPr="00DD07B4">
        <w:rPr>
          <w:rFonts w:cs="Arial"/>
          <w:i/>
          <w:color w:val="2F5496" w:themeColor="accent5" w:themeShade="BF"/>
          <w:sz w:val="24"/>
          <w:szCs w:val="24"/>
        </w:rPr>
        <w:t>our billing system</w:t>
      </w:r>
      <w:r w:rsidR="003210F6" w:rsidRPr="00DD07B4">
        <w:rPr>
          <w:rFonts w:cs="Arial"/>
          <w:i/>
          <w:color w:val="2F5496" w:themeColor="accent5" w:themeShade="BF"/>
          <w:sz w:val="24"/>
          <w:szCs w:val="24"/>
        </w:rPr>
        <w:t xml:space="preserve">. </w:t>
      </w:r>
      <w:r w:rsidRPr="00DD07B4">
        <w:rPr>
          <w:rFonts w:cs="Arial"/>
          <w:i/>
          <w:color w:val="2F5496" w:themeColor="accent5" w:themeShade="BF"/>
          <w:sz w:val="24"/>
          <w:szCs w:val="24"/>
        </w:rPr>
        <w:t xml:space="preserve">This ensures that the variances posted to RSVA power and GA reflect total consumption in the year. </w:t>
      </w:r>
    </w:p>
    <w:p w:rsidR="004A06FA" w:rsidRPr="00DD07B4" w:rsidRDefault="004A06FA" w:rsidP="00DD07B4">
      <w:pPr>
        <w:pStyle w:val="ListParagraph"/>
        <w:ind w:left="0"/>
        <w:rPr>
          <w:rFonts w:cs="Arial"/>
          <w:i/>
          <w:color w:val="2F5496" w:themeColor="accent5" w:themeShade="BF"/>
          <w:sz w:val="24"/>
          <w:szCs w:val="24"/>
        </w:rPr>
      </w:pPr>
    </w:p>
    <w:p w:rsidR="004A06FA" w:rsidRPr="00DD07B4" w:rsidRDefault="00540082"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As per our</w:t>
      </w:r>
      <w:r w:rsidR="004A06FA" w:rsidRPr="00DD07B4">
        <w:rPr>
          <w:rFonts w:cs="Arial"/>
          <w:i/>
          <w:color w:val="2F5496" w:themeColor="accent5" w:themeShade="BF"/>
          <w:sz w:val="24"/>
          <w:szCs w:val="24"/>
        </w:rPr>
        <w:t xml:space="preserve"> response to question 1 a) ii) RPP volumes for RPP settlement are based on current month billed data trued-up </w:t>
      </w:r>
      <w:r w:rsidR="00F456E9" w:rsidRPr="00DD07B4">
        <w:rPr>
          <w:rFonts w:cs="Arial"/>
          <w:i/>
          <w:color w:val="2F5496" w:themeColor="accent5" w:themeShade="BF"/>
          <w:sz w:val="24"/>
          <w:szCs w:val="24"/>
        </w:rPr>
        <w:t>to actual consumption using</w:t>
      </w:r>
      <w:r w:rsidR="004A06FA" w:rsidRPr="00DD07B4">
        <w:rPr>
          <w:rFonts w:cs="Arial"/>
          <w:i/>
          <w:color w:val="2F5496" w:themeColor="accent5" w:themeShade="BF"/>
          <w:sz w:val="24"/>
          <w:szCs w:val="24"/>
        </w:rPr>
        <w:t xml:space="preserve"> estimated unbilled consumption. </w:t>
      </w:r>
    </w:p>
    <w:p w:rsidR="00ED4CE5" w:rsidRDefault="00ED4CE5" w:rsidP="00DD07B4">
      <w:pPr>
        <w:pStyle w:val="ListParagraph"/>
        <w:ind w:left="0"/>
        <w:rPr>
          <w:rFonts w:cs="Arial"/>
          <w:i/>
          <w:color w:val="2F5496" w:themeColor="accent5" w:themeShade="BF"/>
          <w:sz w:val="24"/>
          <w:szCs w:val="24"/>
        </w:rPr>
      </w:pPr>
    </w:p>
    <w:p w:rsidR="00434B6E" w:rsidRPr="00DD07B4" w:rsidRDefault="00434B6E"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Oshawa performs the following true-ups on a monthly basis for RPP settlement:</w:t>
      </w:r>
    </w:p>
    <w:p w:rsidR="00434B6E" w:rsidRPr="00DD07B4" w:rsidRDefault="00434B6E"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 xml:space="preserve">1) RPP volumes based on billed data are trued up for estimated unbilled consumption. </w:t>
      </w:r>
    </w:p>
    <w:p w:rsidR="00434B6E" w:rsidRPr="00DD07B4" w:rsidRDefault="00434B6E" w:rsidP="00DD07B4">
      <w:pPr>
        <w:pStyle w:val="ListParagraph"/>
        <w:ind w:left="0"/>
        <w:rPr>
          <w:rFonts w:cs="Arial"/>
          <w:i/>
          <w:color w:val="2F5496" w:themeColor="accent5" w:themeShade="BF"/>
          <w:sz w:val="24"/>
          <w:szCs w:val="24"/>
        </w:rPr>
      </w:pPr>
      <w:r w:rsidRPr="00DD07B4">
        <w:rPr>
          <w:rFonts w:cs="Arial"/>
          <w:i/>
          <w:color w:val="2F5496" w:themeColor="accent5" w:themeShade="BF"/>
          <w:sz w:val="24"/>
          <w:szCs w:val="24"/>
        </w:rPr>
        <w:t xml:space="preserve">2) </w:t>
      </w:r>
      <w:r w:rsidR="001D21DE" w:rsidRPr="00DD07B4">
        <w:rPr>
          <w:rFonts w:cs="Arial"/>
          <w:i/>
          <w:color w:val="2F5496" w:themeColor="accent5" w:themeShade="BF"/>
          <w:sz w:val="24"/>
          <w:szCs w:val="24"/>
        </w:rPr>
        <w:t>Previous</w:t>
      </w:r>
      <w:r w:rsidRPr="00DD07B4">
        <w:rPr>
          <w:rFonts w:cs="Arial"/>
          <w:i/>
          <w:color w:val="2F5496" w:themeColor="accent5" w:themeShade="BF"/>
          <w:sz w:val="24"/>
          <w:szCs w:val="24"/>
        </w:rPr>
        <w:t xml:space="preserve"> month</w:t>
      </w:r>
      <w:r w:rsidR="001D21DE" w:rsidRPr="00DD07B4">
        <w:rPr>
          <w:rFonts w:cs="Arial"/>
          <w:i/>
          <w:color w:val="2F5496" w:themeColor="accent5" w:themeShade="BF"/>
          <w:sz w:val="24"/>
          <w:szCs w:val="24"/>
        </w:rPr>
        <w:t>’</w:t>
      </w:r>
      <w:r w:rsidRPr="00DD07B4">
        <w:rPr>
          <w:rFonts w:cs="Arial"/>
          <w:i/>
          <w:color w:val="2F5496" w:themeColor="accent5" w:themeShade="BF"/>
          <w:sz w:val="24"/>
          <w:szCs w:val="24"/>
        </w:rPr>
        <w:t xml:space="preserve">s billed volumes are trued-up to actual </w:t>
      </w:r>
      <w:r w:rsidR="001D21DE" w:rsidRPr="00DD07B4">
        <w:rPr>
          <w:rFonts w:cs="Arial"/>
          <w:i/>
          <w:color w:val="2F5496" w:themeColor="accent5" w:themeShade="BF"/>
          <w:sz w:val="24"/>
          <w:szCs w:val="24"/>
        </w:rPr>
        <w:t xml:space="preserve">price of power and </w:t>
      </w:r>
      <w:r w:rsidRPr="00DD07B4">
        <w:rPr>
          <w:rFonts w:cs="Arial"/>
          <w:i/>
          <w:color w:val="2F5496" w:themeColor="accent5" w:themeShade="BF"/>
          <w:sz w:val="24"/>
          <w:szCs w:val="24"/>
        </w:rPr>
        <w:t>GA rate</w:t>
      </w:r>
      <w:r w:rsidR="001D21DE" w:rsidRPr="00DD07B4">
        <w:rPr>
          <w:rFonts w:cs="Arial"/>
          <w:i/>
          <w:color w:val="2F5496" w:themeColor="accent5" w:themeShade="BF"/>
          <w:sz w:val="24"/>
          <w:szCs w:val="24"/>
        </w:rPr>
        <w:t>s.</w:t>
      </w:r>
      <w:r w:rsidRPr="00DD07B4">
        <w:rPr>
          <w:rFonts w:cs="Arial"/>
          <w:i/>
          <w:color w:val="2F5496" w:themeColor="accent5" w:themeShade="BF"/>
          <w:sz w:val="24"/>
          <w:szCs w:val="24"/>
        </w:rPr>
        <w:t xml:space="preserve"> </w:t>
      </w:r>
    </w:p>
    <w:p w:rsidR="004A06FA" w:rsidRDefault="004A06FA" w:rsidP="00002C58">
      <w:pPr>
        <w:pStyle w:val="ListParagraph"/>
        <w:ind w:left="1440"/>
        <w:rPr>
          <w:rFonts w:cs="Arial"/>
          <w:color w:val="FF0000"/>
          <w:sz w:val="24"/>
          <w:szCs w:val="24"/>
        </w:rPr>
      </w:pPr>
    </w:p>
    <w:p w:rsidR="00002C58" w:rsidRPr="007A6CEC" w:rsidRDefault="00002C58" w:rsidP="00002C58">
      <w:pPr>
        <w:pStyle w:val="ListParagraph"/>
        <w:ind w:left="1440"/>
        <w:rPr>
          <w:rFonts w:cs="Arial"/>
          <w:sz w:val="24"/>
          <w:szCs w:val="24"/>
        </w:rPr>
      </w:pPr>
    </w:p>
    <w:p w:rsidR="007A6CEC" w:rsidRDefault="007A6CEC" w:rsidP="007A6CEC">
      <w:pPr>
        <w:pStyle w:val="ListParagraph"/>
        <w:numPr>
          <w:ilvl w:val="1"/>
          <w:numId w:val="26"/>
        </w:numPr>
        <w:rPr>
          <w:rFonts w:cs="Arial"/>
          <w:sz w:val="24"/>
          <w:szCs w:val="24"/>
        </w:rPr>
      </w:pPr>
      <w:r w:rsidRPr="007A6CEC">
        <w:rPr>
          <w:rFonts w:cs="Arial"/>
          <w:sz w:val="24"/>
          <w:szCs w:val="24"/>
        </w:rPr>
        <w:t>If the RPP settlement is trued up to actual consumption at year-end, please explain how the year-end true up is calculated (e.g. total of true ups calculated on a monthly basis, true-up to total annual volumes using year-end allocations).</w:t>
      </w:r>
    </w:p>
    <w:p w:rsidR="00ED4CE5" w:rsidRDefault="00ED4CE5" w:rsidP="00ED4CE5">
      <w:pPr>
        <w:pStyle w:val="ListParagraph"/>
        <w:ind w:left="0"/>
        <w:rPr>
          <w:rFonts w:cs="Arial"/>
          <w:i/>
          <w:color w:val="2F5496" w:themeColor="accent5" w:themeShade="BF"/>
          <w:sz w:val="24"/>
          <w:szCs w:val="24"/>
        </w:rPr>
      </w:pPr>
    </w:p>
    <w:p w:rsidR="009B7404" w:rsidRPr="00ED4CE5" w:rsidRDefault="00A46639"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As per response to part I above, t</w:t>
      </w:r>
      <w:r w:rsidR="009B7404" w:rsidRPr="00ED4CE5">
        <w:rPr>
          <w:rFonts w:cs="Arial"/>
          <w:i/>
          <w:color w:val="2F5496" w:themeColor="accent5" w:themeShade="BF"/>
          <w:sz w:val="24"/>
          <w:szCs w:val="24"/>
        </w:rPr>
        <w:t>he respective unbilled amounts are added to the billed revenue amount at year end</w:t>
      </w:r>
      <w:r w:rsidR="003210F6" w:rsidRPr="00ED4CE5">
        <w:rPr>
          <w:rFonts w:cs="Arial"/>
          <w:i/>
          <w:color w:val="2F5496" w:themeColor="accent5" w:themeShade="BF"/>
          <w:sz w:val="24"/>
          <w:szCs w:val="24"/>
        </w:rPr>
        <w:t xml:space="preserve">.  This ensures the revenue piece is trued-up to actual volume. </w:t>
      </w:r>
    </w:p>
    <w:p w:rsidR="00C52B2E" w:rsidRPr="00C52B2E" w:rsidRDefault="00C52B2E" w:rsidP="00C52B2E">
      <w:pPr>
        <w:pStyle w:val="ListParagraph"/>
        <w:ind w:left="1440"/>
        <w:rPr>
          <w:rFonts w:cs="Arial"/>
          <w:color w:val="FF0000"/>
          <w:sz w:val="24"/>
          <w:szCs w:val="24"/>
        </w:rPr>
      </w:pPr>
    </w:p>
    <w:p w:rsidR="00002C58" w:rsidRDefault="00002C58" w:rsidP="00002C58">
      <w:pPr>
        <w:rPr>
          <w:rFonts w:cs="Arial"/>
          <w:sz w:val="24"/>
          <w:szCs w:val="24"/>
        </w:rPr>
      </w:pPr>
    </w:p>
    <w:p w:rsidR="001D21DE" w:rsidRDefault="001D21DE" w:rsidP="00002C58">
      <w:pPr>
        <w:rPr>
          <w:rFonts w:cs="Arial"/>
          <w:sz w:val="24"/>
          <w:szCs w:val="24"/>
        </w:rPr>
      </w:pPr>
    </w:p>
    <w:p w:rsidR="001D21DE" w:rsidRPr="00002C58" w:rsidRDefault="001D21DE" w:rsidP="00002C58">
      <w:pPr>
        <w:rPr>
          <w:rFonts w:cs="Arial"/>
          <w:sz w:val="24"/>
          <w:szCs w:val="24"/>
        </w:rPr>
      </w:pPr>
    </w:p>
    <w:p w:rsidR="007A6CEC" w:rsidRDefault="007A6CEC" w:rsidP="007A6CEC">
      <w:pPr>
        <w:pStyle w:val="ListParagraph"/>
        <w:numPr>
          <w:ilvl w:val="1"/>
          <w:numId w:val="26"/>
        </w:numPr>
        <w:rPr>
          <w:rFonts w:cs="Arial"/>
          <w:sz w:val="24"/>
          <w:szCs w:val="24"/>
        </w:rPr>
      </w:pPr>
      <w:r w:rsidRPr="007A6CEC">
        <w:rPr>
          <w:rFonts w:cs="Arial"/>
          <w:sz w:val="24"/>
          <w:szCs w:val="24"/>
        </w:rPr>
        <w:t>(With consideration of part a</w:t>
      </w:r>
      <w:r w:rsidR="004441CA">
        <w:rPr>
          <w:rFonts w:cs="Arial"/>
          <w:sz w:val="24"/>
          <w:szCs w:val="24"/>
        </w:rPr>
        <w:t xml:space="preserve">) </w:t>
      </w:r>
      <w:r w:rsidRPr="007A6CEC">
        <w:rPr>
          <w:rFonts w:cs="Arial"/>
          <w:sz w:val="24"/>
          <w:szCs w:val="24"/>
        </w:rPr>
        <w:t>iii</w:t>
      </w:r>
      <w:r w:rsidR="004441CA">
        <w:rPr>
          <w:rFonts w:cs="Arial"/>
          <w:sz w:val="24"/>
          <w:szCs w:val="24"/>
        </w:rPr>
        <w:t>.</w:t>
      </w:r>
      <w:r w:rsidRPr="007A6CEC">
        <w:rPr>
          <w:rFonts w:cs="Arial"/>
          <w:sz w:val="24"/>
          <w:szCs w:val="24"/>
        </w:rPr>
        <w:t xml:space="preserve"> above) If the year-end RPP settlement true-up is not calculated on a monthly basis, please quantify the impact to Account 1588 by calculating the true up to actual consumption on a monthly basis, using RPP volumes, TOU and tiered block allocations based on actual monthly consumption for 2017 and 2018. Please also revise the Account 1588 reconciliation in Appendix A, GA Analysis Workform and the DVA Continuity Schedule.</w:t>
      </w:r>
    </w:p>
    <w:p w:rsidR="00ED4CE5" w:rsidRDefault="00ED4CE5" w:rsidP="00480CCF">
      <w:pPr>
        <w:pStyle w:val="ListParagraph"/>
        <w:ind w:left="1440"/>
        <w:rPr>
          <w:rFonts w:cs="Arial"/>
          <w:color w:val="FF0000"/>
          <w:sz w:val="24"/>
          <w:szCs w:val="24"/>
        </w:rPr>
      </w:pPr>
    </w:p>
    <w:p w:rsidR="009A4A4D" w:rsidRPr="00ED4CE5" w:rsidRDefault="003210F6"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See </w:t>
      </w:r>
      <w:r w:rsidR="001D21DE" w:rsidRPr="00ED4CE5">
        <w:rPr>
          <w:rFonts w:cs="Arial"/>
          <w:i/>
          <w:color w:val="2F5496" w:themeColor="accent5" w:themeShade="BF"/>
          <w:sz w:val="24"/>
          <w:szCs w:val="24"/>
        </w:rPr>
        <w:t>response</w:t>
      </w:r>
      <w:r w:rsidRPr="00ED4CE5">
        <w:rPr>
          <w:rFonts w:cs="Arial"/>
          <w:i/>
          <w:color w:val="2F5496" w:themeColor="accent5" w:themeShade="BF"/>
          <w:sz w:val="24"/>
          <w:szCs w:val="24"/>
        </w:rPr>
        <w:t xml:space="preserve"> in part </w:t>
      </w:r>
      <w:proofErr w:type="gramStart"/>
      <w:r w:rsidRPr="00ED4CE5">
        <w:rPr>
          <w:rFonts w:cs="Arial"/>
          <w:i/>
          <w:color w:val="2F5496" w:themeColor="accent5" w:themeShade="BF"/>
          <w:sz w:val="24"/>
          <w:szCs w:val="24"/>
        </w:rPr>
        <w:t>a</w:t>
      </w:r>
      <w:proofErr w:type="gramEnd"/>
      <w:r w:rsidRPr="00ED4CE5">
        <w:rPr>
          <w:rFonts w:cs="Arial"/>
          <w:i/>
          <w:color w:val="2F5496" w:themeColor="accent5" w:themeShade="BF"/>
          <w:sz w:val="24"/>
          <w:szCs w:val="24"/>
        </w:rPr>
        <w:t xml:space="preserve"> iii)</w:t>
      </w:r>
    </w:p>
    <w:p w:rsidR="001E472D" w:rsidRPr="007A6CEC" w:rsidRDefault="001E472D" w:rsidP="00480CCF">
      <w:pPr>
        <w:pStyle w:val="ListParagraph"/>
        <w:ind w:left="1440"/>
        <w:rPr>
          <w:rFonts w:cs="Arial"/>
          <w:sz w:val="24"/>
          <w:szCs w:val="24"/>
        </w:rPr>
      </w:pPr>
    </w:p>
    <w:p w:rsidR="007A6CEC" w:rsidRDefault="007A6CEC" w:rsidP="007A6CEC">
      <w:pPr>
        <w:pStyle w:val="ListParagraph"/>
        <w:numPr>
          <w:ilvl w:val="1"/>
          <w:numId w:val="26"/>
        </w:numPr>
        <w:rPr>
          <w:rFonts w:cs="Arial"/>
          <w:sz w:val="24"/>
          <w:szCs w:val="24"/>
        </w:rPr>
      </w:pPr>
      <w:r w:rsidRPr="007A6CEC">
        <w:rPr>
          <w:rFonts w:cs="Arial"/>
          <w:sz w:val="24"/>
          <w:szCs w:val="24"/>
        </w:rPr>
        <w:t>If the year-end RPP settlement true-up is not calculated on a monthly basis, please explain whether this will be changed as a part of the implementation of the new accounting guidance. If not, why not.</w:t>
      </w:r>
    </w:p>
    <w:p w:rsidR="00ED4CE5" w:rsidRDefault="00ED4CE5" w:rsidP="00ED4CE5">
      <w:pPr>
        <w:pStyle w:val="ListParagraph"/>
        <w:ind w:left="0"/>
        <w:rPr>
          <w:rFonts w:cs="Arial"/>
          <w:color w:val="FF0000"/>
          <w:sz w:val="24"/>
          <w:szCs w:val="24"/>
        </w:rPr>
      </w:pPr>
    </w:p>
    <w:p w:rsidR="00F03775" w:rsidRDefault="001D21DE" w:rsidP="00ED4CE5">
      <w:pPr>
        <w:pStyle w:val="ListParagraph"/>
        <w:ind w:left="0"/>
        <w:rPr>
          <w:rFonts w:cs="Arial"/>
          <w:color w:val="FF0000"/>
          <w:sz w:val="24"/>
          <w:szCs w:val="24"/>
          <w:highlight w:val="yellow"/>
        </w:rPr>
      </w:pPr>
      <w:r w:rsidRPr="00ED4CE5">
        <w:rPr>
          <w:rFonts w:cs="Arial"/>
          <w:i/>
          <w:color w:val="2F5496" w:themeColor="accent5" w:themeShade="BF"/>
          <w:sz w:val="24"/>
          <w:szCs w:val="24"/>
        </w:rPr>
        <w:t xml:space="preserve">As per our response in question 1 a) ii) RPP volumes for RPP settlement are based on current month billed data trued-up for estimated unbilled consumption. This is done monthly. </w:t>
      </w:r>
    </w:p>
    <w:p w:rsidR="00480CCF" w:rsidRPr="007A6CEC" w:rsidRDefault="00480CCF" w:rsidP="00480CCF">
      <w:pPr>
        <w:pStyle w:val="ListParagraph"/>
        <w:ind w:left="1440"/>
        <w:rPr>
          <w:rFonts w:cs="Arial"/>
          <w:sz w:val="24"/>
          <w:szCs w:val="24"/>
        </w:rPr>
      </w:pPr>
    </w:p>
    <w:p w:rsidR="007A6CEC" w:rsidRDefault="007A6CEC" w:rsidP="007A6CEC">
      <w:pPr>
        <w:pStyle w:val="ListParagraph"/>
        <w:numPr>
          <w:ilvl w:val="0"/>
          <w:numId w:val="26"/>
        </w:numPr>
        <w:rPr>
          <w:rFonts w:cs="Arial"/>
          <w:sz w:val="24"/>
          <w:szCs w:val="24"/>
        </w:rPr>
      </w:pPr>
      <w:r w:rsidRPr="007A6CEC">
        <w:rPr>
          <w:rFonts w:cs="Arial"/>
          <w:sz w:val="24"/>
          <w:szCs w:val="24"/>
        </w:rPr>
        <w:t>“Conclusion” it states that an adjustment will be prepared on an annual basis to true up the RPP/non-RPP allocation of CT 148.</w:t>
      </w:r>
      <w:r w:rsidR="0031010D">
        <w:rPr>
          <w:rFonts w:cs="Arial"/>
          <w:sz w:val="24"/>
          <w:szCs w:val="24"/>
        </w:rPr>
        <w:t xml:space="preserve"> </w:t>
      </w:r>
      <w:r w:rsidRPr="007A6CEC">
        <w:rPr>
          <w:rFonts w:cs="Arial"/>
          <w:sz w:val="24"/>
          <w:szCs w:val="24"/>
        </w:rPr>
        <w:t xml:space="preserve">Please explain how this annual true up is calculated (e.g. applying the monthly actual allocation percentages to the monthly CT 148, applying the year-end actual allocation percentage to the total annual CT 148). </w:t>
      </w:r>
    </w:p>
    <w:p w:rsidR="00DF2C33" w:rsidRPr="00ED4CE5" w:rsidRDefault="00DF2C33" w:rsidP="00ED4CE5">
      <w:pPr>
        <w:pStyle w:val="NoSpacing"/>
        <w:rPr>
          <w:rFonts w:ascii="Arial" w:hAnsi="Arial" w:cs="Arial"/>
          <w:i/>
          <w:color w:val="2F5496" w:themeColor="accent5" w:themeShade="BF"/>
          <w:sz w:val="24"/>
          <w:szCs w:val="24"/>
        </w:rPr>
      </w:pPr>
      <w:r w:rsidRPr="00ED4CE5">
        <w:rPr>
          <w:rFonts w:ascii="Arial" w:hAnsi="Arial" w:cs="Arial"/>
          <w:i/>
          <w:color w:val="2F5496" w:themeColor="accent5" w:themeShade="BF"/>
          <w:sz w:val="24"/>
          <w:szCs w:val="24"/>
        </w:rPr>
        <w:t>The annual true-up</w:t>
      </w:r>
      <w:r w:rsidR="009B7404" w:rsidRPr="00ED4CE5">
        <w:rPr>
          <w:rFonts w:ascii="Arial" w:hAnsi="Arial" w:cs="Arial"/>
          <w:i/>
          <w:color w:val="2F5496" w:themeColor="accent5" w:themeShade="BF"/>
          <w:sz w:val="24"/>
          <w:szCs w:val="24"/>
        </w:rPr>
        <w:t xml:space="preserve"> for non-RPP and RPP GA</w:t>
      </w:r>
      <w:r w:rsidRPr="00ED4CE5">
        <w:rPr>
          <w:rFonts w:ascii="Arial" w:hAnsi="Arial" w:cs="Arial"/>
          <w:i/>
          <w:color w:val="2F5496" w:themeColor="accent5" w:themeShade="BF"/>
          <w:sz w:val="24"/>
          <w:szCs w:val="24"/>
        </w:rPr>
        <w:t xml:space="preserve"> is calculated as follows:</w:t>
      </w:r>
    </w:p>
    <w:p w:rsidR="00F57D0A" w:rsidRPr="00ED4CE5" w:rsidRDefault="00F57D0A" w:rsidP="00ED4CE5">
      <w:pPr>
        <w:pStyle w:val="NoSpacing"/>
        <w:rPr>
          <w:rFonts w:ascii="Arial" w:hAnsi="Arial" w:cs="Arial"/>
          <w:i/>
          <w:color w:val="2F5496" w:themeColor="accent5" w:themeShade="BF"/>
          <w:sz w:val="24"/>
          <w:szCs w:val="24"/>
        </w:rPr>
      </w:pPr>
      <w:r w:rsidRPr="00ED4CE5">
        <w:rPr>
          <w:rFonts w:ascii="Arial" w:hAnsi="Arial" w:cs="Arial"/>
          <w:i/>
          <w:color w:val="2F5496" w:themeColor="accent5" w:themeShade="BF"/>
          <w:sz w:val="24"/>
          <w:szCs w:val="24"/>
        </w:rPr>
        <w:t xml:space="preserve">Part A: </w:t>
      </w:r>
      <w:r w:rsidR="005F0C35" w:rsidRPr="00ED4CE5">
        <w:rPr>
          <w:rFonts w:ascii="Arial" w:hAnsi="Arial" w:cs="Arial"/>
          <w:i/>
          <w:color w:val="2F5496" w:themeColor="accent5" w:themeShade="BF"/>
          <w:sz w:val="24"/>
          <w:szCs w:val="24"/>
        </w:rPr>
        <w:t xml:space="preserve">the monthly non-RPP class B billed consumption is taken from billing reports from CIS. An unbilled amount is added, and prior </w:t>
      </w:r>
      <w:proofErr w:type="gramStart"/>
      <w:r w:rsidR="005F0C35" w:rsidRPr="00ED4CE5">
        <w:rPr>
          <w:rFonts w:ascii="Arial" w:hAnsi="Arial" w:cs="Arial"/>
          <w:i/>
          <w:color w:val="2F5496" w:themeColor="accent5" w:themeShade="BF"/>
          <w:sz w:val="24"/>
          <w:szCs w:val="24"/>
        </w:rPr>
        <w:t>month’s</w:t>
      </w:r>
      <w:proofErr w:type="gramEnd"/>
      <w:r w:rsidR="005F0C35" w:rsidRPr="00ED4CE5">
        <w:rPr>
          <w:rFonts w:ascii="Arial" w:hAnsi="Arial" w:cs="Arial"/>
          <w:i/>
          <w:color w:val="2F5496" w:themeColor="accent5" w:themeShade="BF"/>
          <w:sz w:val="24"/>
          <w:szCs w:val="24"/>
        </w:rPr>
        <w:t xml:space="preserve"> unbilled is subtracted. This monthly consumption volume is multiplied by final GA rate to calculate the Consumption at Actual Rate Paid. </w:t>
      </w:r>
    </w:p>
    <w:p w:rsidR="00DF2C33" w:rsidRPr="00ED4CE5" w:rsidRDefault="005F0C35" w:rsidP="00ED4CE5">
      <w:pPr>
        <w:pStyle w:val="NoSpacing"/>
        <w:rPr>
          <w:rFonts w:ascii="Arial" w:hAnsi="Arial" w:cs="Arial"/>
          <w:i/>
          <w:color w:val="2F5496" w:themeColor="accent5" w:themeShade="BF"/>
          <w:sz w:val="24"/>
          <w:szCs w:val="24"/>
        </w:rPr>
      </w:pPr>
      <w:r w:rsidRPr="00ED4CE5">
        <w:rPr>
          <w:rFonts w:ascii="Arial" w:hAnsi="Arial" w:cs="Arial"/>
          <w:i/>
          <w:color w:val="2F5496" w:themeColor="accent5" w:themeShade="BF"/>
          <w:sz w:val="24"/>
          <w:szCs w:val="24"/>
        </w:rPr>
        <w:t>This is how table 4 of the GA Analysis Workform calculate</w:t>
      </w:r>
      <w:r w:rsidR="00F57D0A" w:rsidRPr="00ED4CE5">
        <w:rPr>
          <w:rFonts w:ascii="Arial" w:hAnsi="Arial" w:cs="Arial"/>
          <w:i/>
          <w:color w:val="2F5496" w:themeColor="accent5" w:themeShade="BF"/>
          <w:sz w:val="24"/>
          <w:szCs w:val="24"/>
        </w:rPr>
        <w:t>s</w:t>
      </w:r>
      <w:r w:rsidRPr="00ED4CE5">
        <w:rPr>
          <w:rFonts w:ascii="Arial" w:hAnsi="Arial" w:cs="Arial"/>
          <w:i/>
          <w:color w:val="2F5496" w:themeColor="accent5" w:themeShade="BF"/>
          <w:sz w:val="24"/>
          <w:szCs w:val="24"/>
        </w:rPr>
        <w:t xml:space="preserve"> the</w:t>
      </w:r>
      <w:r w:rsidR="00F57D0A" w:rsidRPr="00ED4CE5">
        <w:rPr>
          <w:rFonts w:ascii="Arial" w:hAnsi="Arial" w:cs="Arial"/>
          <w:i/>
          <w:color w:val="2F5496" w:themeColor="accent5" w:themeShade="BF"/>
          <w:sz w:val="24"/>
          <w:szCs w:val="24"/>
        </w:rPr>
        <w:t xml:space="preserve"> consumption at final rate.</w:t>
      </w:r>
      <w:r w:rsidRPr="00ED4CE5">
        <w:rPr>
          <w:rFonts w:ascii="Arial" w:hAnsi="Arial" w:cs="Arial"/>
          <w:i/>
          <w:color w:val="2F5496" w:themeColor="accent5" w:themeShade="BF"/>
          <w:sz w:val="24"/>
          <w:szCs w:val="24"/>
        </w:rPr>
        <w:t xml:space="preserve"> </w:t>
      </w:r>
      <w:r w:rsidR="00DF2C33" w:rsidRPr="00ED4CE5">
        <w:rPr>
          <w:rFonts w:ascii="Arial" w:hAnsi="Arial" w:cs="Arial"/>
          <w:i/>
          <w:color w:val="2F5496" w:themeColor="accent5" w:themeShade="BF"/>
          <w:sz w:val="24"/>
          <w:szCs w:val="24"/>
        </w:rPr>
        <w:t xml:space="preserve"> </w:t>
      </w:r>
    </w:p>
    <w:p w:rsidR="00945CAA" w:rsidRPr="00ED4CE5" w:rsidRDefault="00945CAA" w:rsidP="00ED4CE5">
      <w:pPr>
        <w:pStyle w:val="NoSpacing"/>
        <w:rPr>
          <w:rFonts w:ascii="Arial" w:hAnsi="Arial" w:cs="Arial"/>
          <w:i/>
          <w:color w:val="2F5496" w:themeColor="accent5" w:themeShade="BF"/>
          <w:sz w:val="24"/>
          <w:szCs w:val="24"/>
        </w:rPr>
      </w:pPr>
    </w:p>
    <w:p w:rsidR="00F57D0A" w:rsidRPr="00ED4CE5" w:rsidRDefault="00F57D0A" w:rsidP="00ED4CE5">
      <w:pPr>
        <w:pStyle w:val="NoSpacing"/>
        <w:rPr>
          <w:rFonts w:ascii="Arial" w:hAnsi="Arial" w:cs="Arial"/>
          <w:i/>
          <w:color w:val="2F5496" w:themeColor="accent5" w:themeShade="BF"/>
          <w:sz w:val="24"/>
          <w:szCs w:val="24"/>
        </w:rPr>
      </w:pPr>
      <w:r w:rsidRPr="00ED4CE5">
        <w:rPr>
          <w:rFonts w:ascii="Arial" w:hAnsi="Arial" w:cs="Arial"/>
          <w:i/>
          <w:color w:val="2F5496" w:themeColor="accent5" w:themeShade="BF"/>
          <w:sz w:val="24"/>
          <w:szCs w:val="24"/>
        </w:rPr>
        <w:t>Part B: The class B non-RPP GA charge is calculated. Total GA charge from IESO invoice</w:t>
      </w:r>
      <w:r w:rsidR="00A020EB" w:rsidRPr="00ED4CE5">
        <w:rPr>
          <w:rFonts w:ascii="Arial" w:hAnsi="Arial" w:cs="Arial"/>
          <w:i/>
          <w:color w:val="2F5496" w:themeColor="accent5" w:themeShade="BF"/>
          <w:sz w:val="24"/>
          <w:szCs w:val="24"/>
        </w:rPr>
        <w:t xml:space="preserve"> (which is based on actual consumption from the IESO)</w:t>
      </w:r>
      <w:r w:rsidRPr="00ED4CE5">
        <w:rPr>
          <w:rFonts w:ascii="Arial" w:hAnsi="Arial" w:cs="Arial"/>
          <w:i/>
          <w:color w:val="2F5496" w:themeColor="accent5" w:themeShade="BF"/>
          <w:sz w:val="24"/>
          <w:szCs w:val="24"/>
        </w:rPr>
        <w:t xml:space="preserve">, less RPP </w:t>
      </w:r>
      <w:r w:rsidR="00A020EB" w:rsidRPr="00ED4CE5">
        <w:rPr>
          <w:rFonts w:ascii="Arial" w:hAnsi="Arial" w:cs="Arial"/>
          <w:i/>
          <w:color w:val="2F5496" w:themeColor="accent5" w:themeShade="BF"/>
          <w:sz w:val="24"/>
          <w:szCs w:val="24"/>
        </w:rPr>
        <w:t>portion of GA (</w:t>
      </w:r>
      <w:r w:rsidRPr="00ED4CE5">
        <w:rPr>
          <w:rFonts w:ascii="Arial" w:hAnsi="Arial" w:cs="Arial"/>
          <w:i/>
          <w:color w:val="2F5496" w:themeColor="accent5" w:themeShade="BF"/>
          <w:sz w:val="24"/>
          <w:szCs w:val="24"/>
        </w:rPr>
        <w:t>calculated in 1598 settlement</w:t>
      </w:r>
      <w:r w:rsidR="00A020EB" w:rsidRPr="00ED4CE5">
        <w:rPr>
          <w:rFonts w:ascii="Arial" w:hAnsi="Arial" w:cs="Arial"/>
          <w:i/>
          <w:color w:val="2F5496" w:themeColor="accent5" w:themeShade="BF"/>
          <w:sz w:val="24"/>
          <w:szCs w:val="24"/>
        </w:rPr>
        <w:t>)</w:t>
      </w:r>
      <w:r w:rsidRPr="00ED4CE5">
        <w:rPr>
          <w:rFonts w:ascii="Arial" w:hAnsi="Arial" w:cs="Arial"/>
          <w:i/>
          <w:color w:val="2F5496" w:themeColor="accent5" w:themeShade="BF"/>
          <w:sz w:val="24"/>
          <w:szCs w:val="24"/>
        </w:rPr>
        <w:t xml:space="preserve">, less class A customers GA charge, gives you the class B non-RPP GA charge from IESO. </w:t>
      </w:r>
    </w:p>
    <w:p w:rsidR="00945CAA" w:rsidRPr="00ED4CE5" w:rsidRDefault="00945CAA" w:rsidP="00ED4CE5">
      <w:pPr>
        <w:pStyle w:val="NoSpacing"/>
        <w:rPr>
          <w:rFonts w:ascii="Arial" w:hAnsi="Arial" w:cs="Arial"/>
          <w:i/>
          <w:color w:val="2F5496" w:themeColor="accent5" w:themeShade="BF"/>
          <w:sz w:val="24"/>
          <w:szCs w:val="24"/>
        </w:rPr>
      </w:pPr>
    </w:p>
    <w:p w:rsidR="00DF2C33" w:rsidRDefault="00F57D0A" w:rsidP="00ED4CE5">
      <w:pPr>
        <w:pStyle w:val="NoSpacing"/>
        <w:rPr>
          <w:rFonts w:ascii="Arial" w:hAnsi="Arial" w:cs="Arial"/>
          <w:color w:val="FF0000"/>
          <w:sz w:val="24"/>
          <w:szCs w:val="24"/>
        </w:rPr>
      </w:pPr>
      <w:r w:rsidRPr="00ED4CE5">
        <w:rPr>
          <w:rFonts w:ascii="Arial" w:hAnsi="Arial" w:cs="Arial"/>
          <w:i/>
          <w:color w:val="2F5496" w:themeColor="accent5" w:themeShade="BF"/>
          <w:sz w:val="24"/>
          <w:szCs w:val="24"/>
        </w:rPr>
        <w:t>Part C: the difference between parts A and B are calculated by month (on an annu</w:t>
      </w:r>
      <w:r w:rsidR="00A020EB" w:rsidRPr="00ED4CE5">
        <w:rPr>
          <w:rFonts w:ascii="Arial" w:hAnsi="Arial" w:cs="Arial"/>
          <w:i/>
          <w:color w:val="2F5496" w:themeColor="accent5" w:themeShade="BF"/>
          <w:sz w:val="24"/>
          <w:szCs w:val="24"/>
        </w:rPr>
        <w:t xml:space="preserve">al basis), to produce the difference between RPP and non-RPP GA. The difference is either a credit to the GA expense account, and a debit to the Cost of Power expense account, or vice versa. </w:t>
      </w:r>
    </w:p>
    <w:p w:rsidR="00A020EB" w:rsidRDefault="00A020EB" w:rsidP="00DF2C33">
      <w:pPr>
        <w:pStyle w:val="NoSpacing"/>
        <w:ind w:left="720"/>
        <w:rPr>
          <w:rFonts w:ascii="Arial" w:hAnsi="Arial" w:cs="Arial"/>
          <w:color w:val="FF0000"/>
          <w:sz w:val="24"/>
          <w:szCs w:val="24"/>
        </w:rPr>
      </w:pPr>
    </w:p>
    <w:p w:rsidR="007A6CEC" w:rsidRDefault="007A6CEC" w:rsidP="007C5F53">
      <w:pPr>
        <w:pStyle w:val="ListParagraph"/>
        <w:numPr>
          <w:ilvl w:val="1"/>
          <w:numId w:val="26"/>
        </w:numPr>
        <w:rPr>
          <w:rFonts w:cs="Arial"/>
          <w:sz w:val="24"/>
          <w:szCs w:val="24"/>
        </w:rPr>
      </w:pPr>
      <w:r w:rsidRPr="007A6CEC">
        <w:rPr>
          <w:rFonts w:cs="Arial"/>
          <w:sz w:val="24"/>
          <w:szCs w:val="24"/>
        </w:rPr>
        <w:t>Please explain whether it is feasible to obtain actual unbilled consumption on a monthly basis going forward.</w:t>
      </w:r>
    </w:p>
    <w:p w:rsidR="00ED4CE5" w:rsidRDefault="00ED4CE5" w:rsidP="00ED4CE5">
      <w:pPr>
        <w:pStyle w:val="ListParagraph"/>
        <w:ind w:left="0"/>
        <w:rPr>
          <w:rFonts w:cs="Arial"/>
          <w:i/>
          <w:color w:val="2F5496" w:themeColor="accent5" w:themeShade="BF"/>
          <w:sz w:val="24"/>
          <w:szCs w:val="24"/>
        </w:rPr>
      </w:pPr>
    </w:p>
    <w:p w:rsidR="00A020EB" w:rsidRPr="00ED4CE5" w:rsidRDefault="00A020EB"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In response to OEB Staff Question #3, on the Oct 16</w:t>
      </w:r>
      <w:r w:rsidRPr="00ED4CE5">
        <w:rPr>
          <w:rFonts w:cs="Arial"/>
          <w:i/>
          <w:color w:val="2F5496" w:themeColor="accent5" w:themeShade="BF"/>
          <w:sz w:val="24"/>
          <w:szCs w:val="24"/>
          <w:vertAlign w:val="superscript"/>
        </w:rPr>
        <w:t>th</w:t>
      </w:r>
      <w:r w:rsidRPr="00ED4CE5">
        <w:rPr>
          <w:rFonts w:cs="Arial"/>
          <w:i/>
          <w:color w:val="2F5496" w:themeColor="accent5" w:themeShade="BF"/>
          <w:sz w:val="24"/>
          <w:szCs w:val="24"/>
        </w:rPr>
        <w:t xml:space="preserve"> submission, the </w:t>
      </w:r>
      <w:r w:rsidR="00797694" w:rsidRPr="00ED4CE5">
        <w:rPr>
          <w:rFonts w:cs="Arial"/>
          <w:i/>
          <w:color w:val="2F5496" w:themeColor="accent5" w:themeShade="BF"/>
          <w:sz w:val="24"/>
          <w:szCs w:val="24"/>
        </w:rPr>
        <w:t>billing system</w:t>
      </w:r>
      <w:r w:rsidRPr="00ED4CE5">
        <w:rPr>
          <w:rFonts w:cs="Arial"/>
          <w:i/>
          <w:color w:val="2F5496" w:themeColor="accent5" w:themeShade="BF"/>
          <w:sz w:val="24"/>
          <w:szCs w:val="24"/>
        </w:rPr>
        <w:t xml:space="preserve"> cannot run in a timely fashion on a monthly basis to produce an unbilled value. It requires a 6 week period for information to be available; as a result actual unbilled is trued-up for year-end only.</w:t>
      </w:r>
    </w:p>
    <w:p w:rsidR="00945CAA" w:rsidRPr="00A020EB" w:rsidRDefault="00945CAA" w:rsidP="00A020EB">
      <w:pPr>
        <w:pStyle w:val="ListParagraph"/>
        <w:ind w:left="1440"/>
        <w:rPr>
          <w:rFonts w:cs="Arial"/>
          <w:color w:val="FF0000"/>
          <w:sz w:val="24"/>
          <w:szCs w:val="24"/>
        </w:rPr>
      </w:pPr>
    </w:p>
    <w:p w:rsidR="00573D3E" w:rsidRDefault="007C5F53" w:rsidP="007C5F53">
      <w:pPr>
        <w:pStyle w:val="ListParagraph"/>
        <w:numPr>
          <w:ilvl w:val="1"/>
          <w:numId w:val="26"/>
        </w:numPr>
        <w:rPr>
          <w:rFonts w:cs="Arial"/>
          <w:sz w:val="24"/>
          <w:szCs w:val="24"/>
        </w:rPr>
      </w:pPr>
      <w:r>
        <w:rPr>
          <w:rFonts w:cs="Arial"/>
          <w:sz w:val="24"/>
          <w:szCs w:val="24"/>
        </w:rPr>
        <w:t>The new accounting guidance trues up the RPP/non-RPP allocation of CT 148 when actual monthly consumption is available. Please explain how the proposed year-end true up will be in line with the new accounting guidance.</w:t>
      </w:r>
    </w:p>
    <w:p w:rsidR="00ED4CE5" w:rsidRDefault="00ED4CE5" w:rsidP="00A020EB">
      <w:pPr>
        <w:pStyle w:val="ListParagraph"/>
        <w:ind w:left="1440"/>
        <w:rPr>
          <w:rFonts w:cs="Arial"/>
          <w:color w:val="FF0000"/>
          <w:sz w:val="24"/>
          <w:szCs w:val="24"/>
        </w:rPr>
      </w:pPr>
    </w:p>
    <w:p w:rsidR="00344907" w:rsidRDefault="00A020EB" w:rsidP="00ED4CE5">
      <w:pPr>
        <w:pStyle w:val="ListParagraph"/>
        <w:ind w:left="0"/>
        <w:rPr>
          <w:rFonts w:cs="Arial"/>
          <w:color w:val="FF0000"/>
          <w:sz w:val="24"/>
          <w:szCs w:val="24"/>
        </w:rPr>
      </w:pPr>
      <w:r w:rsidRPr="00ED4CE5">
        <w:rPr>
          <w:rFonts w:cs="Arial"/>
          <w:i/>
          <w:color w:val="2F5496" w:themeColor="accent5" w:themeShade="BF"/>
          <w:sz w:val="24"/>
          <w:szCs w:val="24"/>
        </w:rPr>
        <w:t>The proposed year-end true up</w:t>
      </w:r>
      <w:r w:rsidR="007B39F0" w:rsidRPr="00ED4CE5">
        <w:rPr>
          <w:rFonts w:cs="Arial"/>
          <w:i/>
          <w:color w:val="2F5496" w:themeColor="accent5" w:themeShade="BF"/>
          <w:sz w:val="24"/>
          <w:szCs w:val="24"/>
        </w:rPr>
        <w:t>,</w:t>
      </w:r>
      <w:r w:rsidRPr="00ED4CE5">
        <w:rPr>
          <w:rFonts w:cs="Arial"/>
          <w:i/>
          <w:color w:val="2F5496" w:themeColor="accent5" w:themeShade="BF"/>
          <w:sz w:val="24"/>
          <w:szCs w:val="24"/>
        </w:rPr>
        <w:t xml:space="preserve"> </w:t>
      </w:r>
      <w:r w:rsidR="001659AB" w:rsidRPr="00ED4CE5">
        <w:rPr>
          <w:rFonts w:cs="Arial"/>
          <w:i/>
          <w:color w:val="2F5496" w:themeColor="accent5" w:themeShade="BF"/>
          <w:sz w:val="24"/>
          <w:szCs w:val="24"/>
        </w:rPr>
        <w:t xml:space="preserve">although </w:t>
      </w:r>
      <w:r w:rsidR="00797694" w:rsidRPr="00ED4CE5">
        <w:rPr>
          <w:rFonts w:cs="Arial"/>
          <w:i/>
          <w:color w:val="2F5496" w:themeColor="accent5" w:themeShade="BF"/>
          <w:sz w:val="24"/>
          <w:szCs w:val="24"/>
        </w:rPr>
        <w:t xml:space="preserve">it </w:t>
      </w:r>
      <w:r w:rsidR="001659AB" w:rsidRPr="00ED4CE5">
        <w:rPr>
          <w:rFonts w:cs="Arial"/>
          <w:i/>
          <w:color w:val="2F5496" w:themeColor="accent5" w:themeShade="BF"/>
          <w:sz w:val="24"/>
          <w:szCs w:val="24"/>
        </w:rPr>
        <w:t>does not post the adjusting true-up on a monthly basis, does calculate the true-up for each month, and posts a cumul</w:t>
      </w:r>
      <w:r w:rsidR="00344907" w:rsidRPr="00ED4CE5">
        <w:rPr>
          <w:rFonts w:cs="Arial"/>
          <w:i/>
          <w:color w:val="2F5496" w:themeColor="accent5" w:themeShade="BF"/>
          <w:sz w:val="24"/>
          <w:szCs w:val="24"/>
        </w:rPr>
        <w:t>ative adjustment for the year</w:t>
      </w:r>
      <w:r w:rsidR="000705C5" w:rsidRPr="00ED4CE5">
        <w:rPr>
          <w:rFonts w:cs="Arial"/>
          <w:i/>
          <w:color w:val="2F5496" w:themeColor="accent5" w:themeShade="BF"/>
          <w:sz w:val="24"/>
          <w:szCs w:val="24"/>
        </w:rPr>
        <w:t>,</w:t>
      </w:r>
      <w:r w:rsidR="00344907" w:rsidRPr="00ED4CE5">
        <w:rPr>
          <w:rFonts w:cs="Arial"/>
          <w:i/>
          <w:color w:val="2F5496" w:themeColor="accent5" w:themeShade="BF"/>
          <w:sz w:val="24"/>
          <w:szCs w:val="24"/>
        </w:rPr>
        <w:t xml:space="preserve"> </w:t>
      </w:r>
      <w:r w:rsidR="000705C5" w:rsidRPr="00ED4CE5">
        <w:rPr>
          <w:rFonts w:cs="Arial"/>
          <w:i/>
          <w:color w:val="2F5496" w:themeColor="accent5" w:themeShade="BF"/>
          <w:sz w:val="24"/>
          <w:szCs w:val="24"/>
        </w:rPr>
        <w:t>which ensures the balances i</w:t>
      </w:r>
      <w:r w:rsidR="00344907" w:rsidRPr="00ED4CE5">
        <w:rPr>
          <w:rFonts w:cs="Arial"/>
          <w:i/>
          <w:color w:val="2F5496" w:themeColor="accent5" w:themeShade="BF"/>
          <w:sz w:val="24"/>
          <w:szCs w:val="24"/>
        </w:rPr>
        <w:t xml:space="preserve">n the deferral accounts are </w:t>
      </w:r>
      <w:r w:rsidR="000705C5" w:rsidRPr="00ED4CE5">
        <w:rPr>
          <w:rFonts w:cs="Arial"/>
          <w:i/>
          <w:color w:val="2F5496" w:themeColor="accent5" w:themeShade="BF"/>
          <w:sz w:val="24"/>
          <w:szCs w:val="24"/>
        </w:rPr>
        <w:t>aligned to actuals at year-end</w:t>
      </w:r>
      <w:r w:rsidR="00344907" w:rsidRPr="00ED4CE5">
        <w:rPr>
          <w:rFonts w:cs="Arial"/>
          <w:i/>
          <w:color w:val="2F5496" w:themeColor="accent5" w:themeShade="BF"/>
          <w:sz w:val="24"/>
          <w:szCs w:val="24"/>
        </w:rPr>
        <w:t>.</w:t>
      </w:r>
      <w:r w:rsidR="00344907" w:rsidRPr="00ED4CE5">
        <w:rPr>
          <w:rFonts w:cs="Arial"/>
          <w:i/>
          <w:color w:val="FF0000"/>
          <w:sz w:val="24"/>
          <w:szCs w:val="24"/>
        </w:rPr>
        <w:t xml:space="preserve"> </w:t>
      </w:r>
    </w:p>
    <w:p w:rsidR="001659AB" w:rsidRPr="00A020EB" w:rsidRDefault="001659AB" w:rsidP="00A020EB">
      <w:pPr>
        <w:pStyle w:val="ListParagraph"/>
        <w:ind w:left="1440"/>
        <w:rPr>
          <w:rFonts w:cs="Arial"/>
          <w:color w:val="FF0000"/>
          <w:sz w:val="24"/>
          <w:szCs w:val="24"/>
        </w:rPr>
      </w:pPr>
    </w:p>
    <w:p w:rsidR="007A6CEC" w:rsidRDefault="007A6CEC" w:rsidP="007A6CEC">
      <w:pPr>
        <w:pStyle w:val="ListParagraph"/>
        <w:numPr>
          <w:ilvl w:val="0"/>
          <w:numId w:val="26"/>
        </w:numPr>
        <w:rPr>
          <w:rFonts w:cs="Arial"/>
          <w:sz w:val="24"/>
          <w:szCs w:val="24"/>
        </w:rPr>
      </w:pPr>
      <w:r w:rsidRPr="007A6CEC">
        <w:rPr>
          <w:rFonts w:cs="Arial"/>
          <w:sz w:val="24"/>
          <w:szCs w:val="24"/>
        </w:rPr>
        <w:t xml:space="preserve">The Report is dated August 23, 2019 and concluded that an adjustment will be prepared on an annual basis to true up the allocation of CT 148. In response to question 4, Oshawa PUC is proposing adjustments for the CT 148 true up for 2017 and 2018. However, on page 13 of the Manager’s Summary, it stated that no material adjustments were noted. Please clarify why Oshawa PUC did not propose these adjustments as part of its original application. </w:t>
      </w:r>
    </w:p>
    <w:p w:rsidR="00ED4CE5" w:rsidRDefault="00ED4CE5" w:rsidP="001659AB">
      <w:pPr>
        <w:pStyle w:val="ListParagraph"/>
        <w:rPr>
          <w:rFonts w:cs="Arial"/>
          <w:i/>
          <w:color w:val="2F5496" w:themeColor="accent5" w:themeShade="BF"/>
          <w:sz w:val="24"/>
          <w:szCs w:val="24"/>
        </w:rPr>
      </w:pPr>
    </w:p>
    <w:p w:rsidR="000A0FBD" w:rsidRDefault="001659AB" w:rsidP="000A0FBD">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Pursuant to the OEB</w:t>
      </w:r>
      <w:r w:rsidR="00B3763D" w:rsidRPr="00ED4CE5">
        <w:rPr>
          <w:rFonts w:cs="Arial"/>
          <w:i/>
          <w:color w:val="2F5496" w:themeColor="accent5" w:themeShade="BF"/>
          <w:sz w:val="24"/>
          <w:szCs w:val="24"/>
        </w:rPr>
        <w:t xml:space="preserve"> staff</w:t>
      </w:r>
      <w:r w:rsidRPr="00ED4CE5">
        <w:rPr>
          <w:rFonts w:cs="Arial"/>
          <w:i/>
          <w:color w:val="2F5496" w:themeColor="accent5" w:themeShade="BF"/>
          <w:sz w:val="24"/>
          <w:szCs w:val="24"/>
        </w:rPr>
        <w:t xml:space="preserve"> questions </w:t>
      </w:r>
      <w:r w:rsidR="00B3763D" w:rsidRPr="00ED4CE5">
        <w:rPr>
          <w:rFonts w:cs="Arial"/>
          <w:i/>
          <w:color w:val="2F5496" w:themeColor="accent5" w:themeShade="BF"/>
          <w:sz w:val="24"/>
          <w:szCs w:val="24"/>
        </w:rPr>
        <w:t>on October 8</w:t>
      </w:r>
      <w:r w:rsidR="00B3763D" w:rsidRPr="00ED4CE5">
        <w:rPr>
          <w:rFonts w:cs="Arial"/>
          <w:i/>
          <w:color w:val="2F5496" w:themeColor="accent5" w:themeShade="BF"/>
          <w:sz w:val="24"/>
          <w:szCs w:val="24"/>
          <w:vertAlign w:val="superscript"/>
        </w:rPr>
        <w:t>th</w:t>
      </w:r>
      <w:r w:rsidR="00B3763D" w:rsidRPr="00ED4CE5">
        <w:rPr>
          <w:rFonts w:cs="Arial"/>
          <w:i/>
          <w:color w:val="2F5496" w:themeColor="accent5" w:themeShade="BF"/>
          <w:sz w:val="24"/>
          <w:szCs w:val="24"/>
        </w:rPr>
        <w:t>, the conclusion in the Report dated Aug 23</w:t>
      </w:r>
      <w:r w:rsidR="00B3763D" w:rsidRPr="00ED4CE5">
        <w:rPr>
          <w:rFonts w:cs="Arial"/>
          <w:i/>
          <w:color w:val="2F5496" w:themeColor="accent5" w:themeShade="BF"/>
          <w:sz w:val="24"/>
          <w:szCs w:val="24"/>
          <w:vertAlign w:val="superscript"/>
        </w:rPr>
        <w:t>rd</w:t>
      </w:r>
      <w:r w:rsidR="00B3763D" w:rsidRPr="00ED4CE5">
        <w:rPr>
          <w:rFonts w:cs="Arial"/>
          <w:i/>
          <w:color w:val="2F5496" w:themeColor="accent5" w:themeShade="BF"/>
          <w:sz w:val="24"/>
          <w:szCs w:val="24"/>
        </w:rPr>
        <w:t xml:space="preserve"> was updated to reflect the requirement for this true-up. The original application, was based on a conclusion that no material adjustments would be necessary. The conclusion in the Manager’s Summary will be updated to reflect consistency between the internal report and the rate application. </w:t>
      </w:r>
    </w:p>
    <w:p w:rsidR="000A0FBD" w:rsidRDefault="000A0FBD" w:rsidP="000A0FBD">
      <w:pPr>
        <w:pStyle w:val="ListParagraph"/>
        <w:ind w:left="0"/>
        <w:rPr>
          <w:rFonts w:cs="Arial"/>
          <w:b/>
          <w:sz w:val="24"/>
          <w:szCs w:val="24"/>
        </w:rPr>
      </w:pPr>
    </w:p>
    <w:p w:rsidR="00436F28" w:rsidRDefault="00436F28" w:rsidP="007A6CEC">
      <w:pPr>
        <w:rPr>
          <w:rFonts w:cs="Arial"/>
          <w:b/>
          <w:sz w:val="24"/>
          <w:szCs w:val="24"/>
        </w:rPr>
      </w:pPr>
      <w:r w:rsidRPr="007A6CEC">
        <w:rPr>
          <w:rFonts w:cs="Arial"/>
          <w:b/>
          <w:sz w:val="24"/>
          <w:szCs w:val="24"/>
        </w:rPr>
        <w:t xml:space="preserve">Staff </w:t>
      </w:r>
      <w:r>
        <w:rPr>
          <w:rFonts w:cs="Arial"/>
          <w:b/>
          <w:sz w:val="24"/>
          <w:szCs w:val="24"/>
        </w:rPr>
        <w:t xml:space="preserve">Follow-up </w:t>
      </w:r>
      <w:r w:rsidRPr="007A6CEC">
        <w:rPr>
          <w:rFonts w:cs="Arial"/>
          <w:b/>
          <w:sz w:val="24"/>
          <w:szCs w:val="24"/>
        </w:rPr>
        <w:t>Question #</w:t>
      </w:r>
      <w:r>
        <w:rPr>
          <w:rFonts w:cs="Arial"/>
          <w:b/>
          <w:sz w:val="24"/>
          <w:szCs w:val="24"/>
        </w:rPr>
        <w:t>2</w:t>
      </w:r>
    </w:p>
    <w:p w:rsidR="007A6CEC" w:rsidRPr="007A6CEC" w:rsidRDefault="007A6CEC" w:rsidP="007A6CEC">
      <w:pPr>
        <w:rPr>
          <w:rFonts w:cs="Arial"/>
          <w:b/>
          <w:sz w:val="24"/>
          <w:szCs w:val="24"/>
        </w:rPr>
      </w:pPr>
      <w:r w:rsidRPr="007A6CEC">
        <w:rPr>
          <w:rFonts w:cs="Arial"/>
          <w:b/>
          <w:sz w:val="24"/>
          <w:szCs w:val="24"/>
        </w:rPr>
        <w:t xml:space="preserve">Ref: </w:t>
      </w:r>
      <w:r>
        <w:rPr>
          <w:rFonts w:cs="Arial"/>
          <w:b/>
          <w:sz w:val="24"/>
          <w:szCs w:val="24"/>
        </w:rPr>
        <w:t xml:space="preserve">Staff </w:t>
      </w:r>
      <w:r w:rsidRPr="007A6CEC">
        <w:rPr>
          <w:rFonts w:cs="Arial"/>
          <w:b/>
          <w:sz w:val="24"/>
          <w:szCs w:val="24"/>
        </w:rPr>
        <w:t xml:space="preserve">Question </w:t>
      </w:r>
      <w:r>
        <w:rPr>
          <w:rFonts w:cs="Arial"/>
          <w:b/>
          <w:sz w:val="24"/>
          <w:szCs w:val="24"/>
        </w:rPr>
        <w:t>#</w:t>
      </w:r>
      <w:r w:rsidRPr="007A6CEC">
        <w:rPr>
          <w:rFonts w:cs="Arial"/>
          <w:b/>
          <w:sz w:val="24"/>
          <w:szCs w:val="24"/>
        </w:rPr>
        <w:t>2</w:t>
      </w:r>
    </w:p>
    <w:p w:rsidR="00E249EC" w:rsidRDefault="007A6CEC" w:rsidP="007A6CEC">
      <w:pPr>
        <w:rPr>
          <w:rFonts w:cs="Arial"/>
          <w:sz w:val="24"/>
          <w:szCs w:val="24"/>
        </w:rPr>
      </w:pPr>
      <w:r w:rsidRPr="007A6CEC">
        <w:rPr>
          <w:rFonts w:cs="Arial"/>
          <w:sz w:val="24"/>
          <w:szCs w:val="24"/>
        </w:rPr>
        <w:t>In the 2017 Account 1588 reconciliation, the “adjusted net change in principal balance in the DVA Continuity Schedule” is $2,703,632 which is equal to the transactions in the year reduced by the 2017 approved disposition amount ($2,831,332 - $127,700) in the DVA Continuity Schedule. The “net change in principal balances” are to represent the transactions in the year, not impacted by the approved disposition amount. It appears that the balance in the GL of $1,115,686 is already reduced by the 2017 approved disposition amount of ($127,700).</w:t>
      </w:r>
    </w:p>
    <w:p w:rsidR="007A6CEC" w:rsidRDefault="007A6CEC" w:rsidP="00E249EC">
      <w:pPr>
        <w:pStyle w:val="ListParagraph"/>
        <w:numPr>
          <w:ilvl w:val="0"/>
          <w:numId w:val="38"/>
        </w:numPr>
        <w:rPr>
          <w:rFonts w:cs="Arial"/>
          <w:sz w:val="24"/>
          <w:szCs w:val="24"/>
        </w:rPr>
      </w:pPr>
      <w:r w:rsidRPr="00E249EC">
        <w:rPr>
          <w:rFonts w:cs="Arial"/>
          <w:sz w:val="24"/>
          <w:szCs w:val="24"/>
        </w:rPr>
        <w:lastRenderedPageBreak/>
        <w:t>Please confirm this. If not, please revise the table so that the first and last row only show the transactions in the year, excluding any disposition impact.</w:t>
      </w:r>
    </w:p>
    <w:p w:rsidR="00ED4CE5" w:rsidRDefault="00ED4CE5" w:rsidP="00ED4CE5">
      <w:pPr>
        <w:pStyle w:val="ListParagraph"/>
        <w:ind w:left="0"/>
        <w:rPr>
          <w:rFonts w:cs="Arial"/>
          <w:i/>
          <w:color w:val="2F5496" w:themeColor="accent5" w:themeShade="BF"/>
          <w:sz w:val="24"/>
          <w:szCs w:val="24"/>
        </w:rPr>
      </w:pPr>
    </w:p>
    <w:p w:rsidR="00B3763D" w:rsidRDefault="00B3763D" w:rsidP="000A0FBD">
      <w:pPr>
        <w:pStyle w:val="ListParagraph"/>
        <w:ind w:left="0"/>
        <w:rPr>
          <w:rFonts w:cs="Arial"/>
          <w:color w:val="FF0000"/>
          <w:sz w:val="24"/>
          <w:szCs w:val="24"/>
        </w:rPr>
      </w:pPr>
      <w:r w:rsidRPr="00ED4CE5">
        <w:rPr>
          <w:rFonts w:cs="Arial"/>
          <w:i/>
          <w:color w:val="2F5496" w:themeColor="accent5" w:themeShade="BF"/>
          <w:sz w:val="24"/>
          <w:szCs w:val="24"/>
        </w:rPr>
        <w:t xml:space="preserve">The net change in principal netted the disposition amount. Revised table below shows only the transactions in the year, not impacted by the approved disposition amount. </w:t>
      </w:r>
    </w:p>
    <w:tbl>
      <w:tblPr>
        <w:tblW w:w="9840" w:type="dxa"/>
        <w:tblLook w:val="04A0" w:firstRow="1" w:lastRow="0" w:firstColumn="1" w:lastColumn="0" w:noHBand="0" w:noVBand="1"/>
      </w:tblPr>
      <w:tblGrid>
        <w:gridCol w:w="6120"/>
        <w:gridCol w:w="1940"/>
        <w:gridCol w:w="1780"/>
      </w:tblGrid>
      <w:tr w:rsidR="008904E7" w:rsidRPr="0045412A" w:rsidTr="00FC66CB">
        <w:trPr>
          <w:trHeight w:val="288"/>
        </w:trPr>
        <w:tc>
          <w:tcPr>
            <w:tcW w:w="6120" w:type="dxa"/>
            <w:tcBorders>
              <w:top w:val="nil"/>
              <w:left w:val="nil"/>
              <w:bottom w:val="nil"/>
              <w:right w:val="nil"/>
            </w:tcBorders>
            <w:shd w:val="clear" w:color="auto" w:fill="auto"/>
            <w:vAlign w:val="bottom"/>
            <w:hideMark/>
          </w:tcPr>
          <w:p w:rsidR="008904E7" w:rsidRPr="0045412A" w:rsidRDefault="008904E7" w:rsidP="00FC66CB">
            <w:pPr>
              <w:spacing w:after="0" w:line="240" w:lineRule="auto"/>
              <w:jc w:val="center"/>
              <w:rPr>
                <w:rFonts w:ascii="Calibri" w:eastAsia="Times New Roman" w:hAnsi="Calibri" w:cs="Calibri"/>
                <w:b/>
                <w:bCs/>
                <w:color w:val="000000"/>
              </w:rPr>
            </w:pPr>
            <w:r w:rsidRPr="0045412A">
              <w:rPr>
                <w:rFonts w:ascii="Calibri" w:eastAsia="Times New Roman" w:hAnsi="Calibri" w:cs="Calibri"/>
                <w:b/>
                <w:bCs/>
                <w:color w:val="000000"/>
              </w:rPr>
              <w:t>Recon</w:t>
            </w:r>
            <w:r>
              <w:rPr>
                <w:rFonts w:ascii="Calibri" w:eastAsia="Times New Roman" w:hAnsi="Calibri" w:cs="Calibri"/>
                <w:b/>
                <w:bCs/>
                <w:color w:val="000000"/>
              </w:rPr>
              <w:t xml:space="preserve">ciliation of Account 1588 - </w:t>
            </w:r>
            <w:r w:rsidRPr="00ED4CE5">
              <w:rPr>
                <w:rFonts w:ascii="Calibri" w:eastAsia="Times New Roman" w:hAnsi="Calibri" w:cs="Calibri"/>
                <w:b/>
                <w:bCs/>
                <w:color w:val="2F5496" w:themeColor="accent5" w:themeShade="BF"/>
              </w:rPr>
              <w:t>2017</w:t>
            </w:r>
          </w:p>
        </w:tc>
        <w:tc>
          <w:tcPr>
            <w:tcW w:w="1940" w:type="dxa"/>
            <w:tcBorders>
              <w:top w:val="nil"/>
              <w:left w:val="nil"/>
              <w:bottom w:val="nil"/>
              <w:right w:val="nil"/>
            </w:tcBorders>
            <w:shd w:val="clear" w:color="auto" w:fill="auto"/>
            <w:vAlign w:val="bottom"/>
            <w:hideMark/>
          </w:tcPr>
          <w:p w:rsidR="008904E7" w:rsidRPr="0045412A" w:rsidRDefault="008904E7" w:rsidP="00FC66CB">
            <w:pPr>
              <w:spacing w:after="0" w:line="240" w:lineRule="auto"/>
              <w:jc w:val="center"/>
              <w:rPr>
                <w:rFonts w:ascii="Calibri" w:eastAsia="Times New Roman" w:hAnsi="Calibri" w:cs="Calibri"/>
                <w:b/>
                <w:bCs/>
                <w:color w:val="000000"/>
              </w:rPr>
            </w:pPr>
          </w:p>
        </w:tc>
        <w:tc>
          <w:tcPr>
            <w:tcW w:w="1780" w:type="dxa"/>
            <w:tcBorders>
              <w:top w:val="nil"/>
              <w:left w:val="nil"/>
              <w:bottom w:val="nil"/>
              <w:right w:val="nil"/>
            </w:tcBorders>
            <w:shd w:val="clear" w:color="auto" w:fill="auto"/>
            <w:noWrap/>
            <w:vAlign w:val="bottom"/>
            <w:hideMark/>
          </w:tcPr>
          <w:p w:rsidR="008904E7" w:rsidRPr="0045412A" w:rsidRDefault="008904E7" w:rsidP="00FC66CB">
            <w:pPr>
              <w:spacing w:after="0" w:line="240" w:lineRule="auto"/>
              <w:jc w:val="center"/>
              <w:rPr>
                <w:rFonts w:ascii="Times New Roman" w:eastAsia="Times New Roman" w:hAnsi="Times New Roman" w:cs="Times New Roman"/>
                <w:sz w:val="20"/>
                <w:szCs w:val="20"/>
              </w:rPr>
            </w:pPr>
          </w:p>
        </w:tc>
      </w:tr>
      <w:tr w:rsidR="008904E7" w:rsidRPr="0045412A" w:rsidTr="00FC66CB">
        <w:trPr>
          <w:trHeight w:val="288"/>
        </w:trPr>
        <w:tc>
          <w:tcPr>
            <w:tcW w:w="6120" w:type="dxa"/>
            <w:tcBorders>
              <w:top w:val="nil"/>
              <w:left w:val="nil"/>
              <w:bottom w:val="nil"/>
              <w:right w:val="nil"/>
            </w:tcBorders>
            <w:shd w:val="clear" w:color="auto" w:fill="auto"/>
            <w:vAlign w:val="bottom"/>
            <w:hideMark/>
          </w:tcPr>
          <w:p w:rsidR="008904E7" w:rsidRPr="0045412A" w:rsidRDefault="008904E7" w:rsidP="00FC66CB">
            <w:pPr>
              <w:spacing w:after="0" w:line="240" w:lineRule="auto"/>
              <w:rPr>
                <w:rFonts w:ascii="Times New Roman" w:eastAsia="Times New Roman" w:hAnsi="Times New Roman" w:cs="Times New Roman"/>
                <w:sz w:val="20"/>
                <w:szCs w:val="20"/>
              </w:rPr>
            </w:pPr>
          </w:p>
        </w:tc>
        <w:tc>
          <w:tcPr>
            <w:tcW w:w="1940" w:type="dxa"/>
            <w:tcBorders>
              <w:top w:val="nil"/>
              <w:left w:val="nil"/>
              <w:bottom w:val="single" w:sz="4" w:space="0" w:color="auto"/>
              <w:right w:val="nil"/>
            </w:tcBorders>
            <w:shd w:val="clear" w:color="auto" w:fill="auto"/>
            <w:noWrap/>
            <w:vAlign w:val="bottom"/>
            <w:hideMark/>
          </w:tcPr>
          <w:p w:rsidR="008904E7" w:rsidRPr="0045412A" w:rsidRDefault="008904E7" w:rsidP="00FC66CB">
            <w:pPr>
              <w:spacing w:after="0" w:line="240" w:lineRule="auto"/>
              <w:jc w:val="center"/>
              <w:rPr>
                <w:rFonts w:ascii="Times New Roman" w:eastAsia="Times New Roman" w:hAnsi="Times New Roman" w:cs="Times New Roman"/>
                <w:sz w:val="20"/>
                <w:szCs w:val="20"/>
              </w:rPr>
            </w:pPr>
          </w:p>
        </w:tc>
        <w:tc>
          <w:tcPr>
            <w:tcW w:w="1780" w:type="dxa"/>
            <w:tcBorders>
              <w:top w:val="nil"/>
              <w:left w:val="nil"/>
              <w:bottom w:val="single" w:sz="4" w:space="0" w:color="auto"/>
              <w:right w:val="nil"/>
            </w:tcBorders>
            <w:shd w:val="clear" w:color="auto" w:fill="auto"/>
            <w:vAlign w:val="bottom"/>
            <w:hideMark/>
          </w:tcPr>
          <w:p w:rsidR="008904E7" w:rsidRPr="0045412A" w:rsidRDefault="008904E7" w:rsidP="00FC66CB">
            <w:pPr>
              <w:spacing w:after="0" w:line="240" w:lineRule="auto"/>
              <w:rPr>
                <w:rFonts w:ascii="Times New Roman" w:eastAsia="Times New Roman" w:hAnsi="Times New Roman" w:cs="Times New Roman"/>
                <w:sz w:val="20"/>
                <w:szCs w:val="20"/>
              </w:rPr>
            </w:pPr>
          </w:p>
        </w:tc>
      </w:tr>
      <w:tr w:rsidR="008904E7" w:rsidRPr="0045412A" w:rsidTr="00FC66CB">
        <w:trPr>
          <w:trHeight w:val="1500"/>
        </w:trPr>
        <w:tc>
          <w:tcPr>
            <w:tcW w:w="6120" w:type="dxa"/>
            <w:tcBorders>
              <w:top w:val="nil"/>
              <w:left w:val="nil"/>
              <w:bottom w:val="single" w:sz="4" w:space="0" w:color="auto"/>
              <w:right w:val="single" w:sz="4" w:space="0" w:color="auto"/>
            </w:tcBorders>
            <w:shd w:val="clear" w:color="auto" w:fill="auto"/>
            <w:vAlign w:val="bottom"/>
            <w:hideMark/>
          </w:tcPr>
          <w:p w:rsidR="008904E7" w:rsidRPr="0045412A" w:rsidRDefault="008904E7" w:rsidP="00FC66CB">
            <w:pPr>
              <w:spacing w:after="0" w:line="240" w:lineRule="auto"/>
              <w:jc w:val="center"/>
              <w:rPr>
                <w:rFonts w:ascii="Times New Roman" w:eastAsia="Times New Roman" w:hAnsi="Times New Roman" w:cs="Times New Roman"/>
                <w:sz w:val="20"/>
                <w:szCs w:val="20"/>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4E7" w:rsidRPr="0045412A" w:rsidRDefault="008904E7" w:rsidP="00FC66CB">
            <w:pPr>
              <w:spacing w:after="0" w:line="240" w:lineRule="auto"/>
              <w:jc w:val="center"/>
              <w:rPr>
                <w:rFonts w:ascii="Calibri" w:eastAsia="Times New Roman" w:hAnsi="Calibri" w:cs="Calibri"/>
                <w:b/>
                <w:bCs/>
                <w:color w:val="000000"/>
              </w:rPr>
            </w:pPr>
            <w:r w:rsidRPr="0045412A">
              <w:rPr>
                <w:rFonts w:ascii="Calibri" w:eastAsia="Times New Roman" w:hAnsi="Calibri" w:cs="Calibri"/>
                <w:b/>
                <w:bCs/>
                <w:color w:val="000000"/>
              </w:rPr>
              <w:t xml:space="preserve"> Principal Adjustments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04E7" w:rsidRPr="003F450A" w:rsidRDefault="008904E7" w:rsidP="00FC66CB">
            <w:pPr>
              <w:spacing w:after="0" w:line="240" w:lineRule="auto"/>
              <w:jc w:val="center"/>
              <w:rPr>
                <w:rFonts w:ascii="Calibri" w:eastAsia="Times New Roman" w:hAnsi="Calibri" w:cs="Calibri"/>
                <w:b/>
                <w:color w:val="000000"/>
              </w:rPr>
            </w:pPr>
            <w:r w:rsidRPr="003F450A">
              <w:rPr>
                <w:rFonts w:ascii="Calibri" w:eastAsia="Times New Roman" w:hAnsi="Calibri" w:cs="Calibri"/>
                <w:b/>
                <w:color w:val="000000"/>
              </w:rPr>
              <w:t>Was the amount a "Principal Adjustment" in the previous year? (Y/N)</w:t>
            </w:r>
          </w:p>
        </w:tc>
      </w:tr>
      <w:tr w:rsidR="008904E7" w:rsidRPr="0045412A" w:rsidTr="00FC66CB">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ED4CE5" w:rsidRDefault="008904E7" w:rsidP="00FC66CB">
            <w:pPr>
              <w:spacing w:after="0" w:line="240" w:lineRule="auto"/>
              <w:jc w:val="right"/>
              <w:rPr>
                <w:rFonts w:ascii="Calibri" w:eastAsia="Times New Roman" w:hAnsi="Calibri" w:cs="Calibri"/>
                <w:b/>
                <w:bCs/>
                <w:color w:val="2F5496" w:themeColor="accent5" w:themeShade="BF"/>
              </w:rPr>
            </w:pPr>
            <w:r w:rsidRPr="00ED4CE5">
              <w:rPr>
                <w:rFonts w:cs="Arial"/>
                <w:color w:val="2F5496" w:themeColor="accent5" w:themeShade="BF"/>
                <w:sz w:val="24"/>
                <w:szCs w:val="24"/>
              </w:rPr>
              <w:t>Net Change in Principal Balance in the GL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ED4CE5" w:rsidRDefault="008904E7" w:rsidP="008904E7">
            <w:pPr>
              <w:spacing w:after="0" w:line="240" w:lineRule="auto"/>
              <w:rPr>
                <w:rFonts w:ascii="Calibri" w:eastAsia="Times New Roman" w:hAnsi="Calibri" w:cs="Calibri"/>
                <w:color w:val="2F5496" w:themeColor="accent5" w:themeShade="BF"/>
              </w:rPr>
            </w:pPr>
            <w:r w:rsidRPr="00ED4CE5">
              <w:rPr>
                <w:rFonts w:ascii="Calibri" w:eastAsia="Times New Roman" w:hAnsi="Calibri" w:cs="Calibri"/>
                <w:color w:val="2F5496" w:themeColor="accent5" w:themeShade="BF"/>
              </w:rPr>
              <w:t> $1,243,386</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904E7" w:rsidRPr="0045412A" w:rsidRDefault="008904E7" w:rsidP="00FC66CB">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8904E7" w:rsidRPr="0045412A" w:rsidTr="00FC66CB">
        <w:trPr>
          <w:trHeight w:val="288"/>
        </w:trPr>
        <w:tc>
          <w:tcPr>
            <w:tcW w:w="9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rPr>
                <w:rFonts w:ascii="Calibri" w:eastAsia="Times New Roman" w:hAnsi="Calibri" w:cs="Calibri"/>
                <w:color w:val="000000"/>
              </w:rPr>
            </w:pPr>
            <w:r w:rsidRPr="0045412A">
              <w:rPr>
                <w:rFonts w:ascii="Calibri" w:eastAsia="Times New Roman" w:hAnsi="Calibri" w:cs="Calibri"/>
                <w:b/>
                <w:bCs/>
                <w:color w:val="000000"/>
              </w:rPr>
              <w:t>Reversals of Principal Adjustments - previous year</w:t>
            </w:r>
            <w:r w:rsidRPr="0045412A">
              <w:rPr>
                <w:rFonts w:ascii="Calibri" w:eastAsia="Times New Roman" w:hAnsi="Calibri" w:cs="Calibri"/>
                <w:color w:val="000000"/>
              </w:rPr>
              <w:t> </w:t>
            </w:r>
          </w:p>
        </w:tc>
      </w:tr>
      <w:tr w:rsidR="008904E7" w:rsidRPr="0045412A" w:rsidTr="00FC66CB">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3F450A" w:rsidRDefault="008904E7" w:rsidP="008904E7">
            <w:pPr>
              <w:pStyle w:val="ListParagraph"/>
              <w:numPr>
                <w:ilvl w:val="0"/>
                <w:numId w:val="40"/>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 xml:space="preserve">Reversal of Cost of Power accrual from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rPr>
                <w:rFonts w:ascii="Times New Roman" w:eastAsia="Times New Roman" w:hAnsi="Times New Roman" w:cs="Times New Roman"/>
                <w:sz w:val="20"/>
                <w:szCs w:val="20"/>
              </w:rPr>
            </w:pPr>
          </w:p>
        </w:tc>
      </w:tr>
      <w:tr w:rsidR="008904E7" w:rsidRPr="0045412A" w:rsidTr="00FC66CB">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3F450A" w:rsidRDefault="008904E7" w:rsidP="008904E7">
            <w:pPr>
              <w:pStyle w:val="ListParagraph"/>
              <w:numPr>
                <w:ilvl w:val="0"/>
                <w:numId w:val="40"/>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 xml:space="preserve">Reversal of CT 1142 true-up from the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rPr>
                <w:rFonts w:ascii="Times New Roman" w:eastAsia="Times New Roman" w:hAnsi="Times New Roman" w:cs="Times New Roman"/>
                <w:sz w:val="20"/>
                <w:szCs w:val="20"/>
              </w:rPr>
            </w:pPr>
          </w:p>
        </w:tc>
      </w:tr>
      <w:tr w:rsidR="008904E7" w:rsidRPr="0045412A" w:rsidTr="00FC66CB">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3F450A" w:rsidRDefault="008904E7" w:rsidP="008904E7">
            <w:pPr>
              <w:pStyle w:val="ListParagraph"/>
              <w:numPr>
                <w:ilvl w:val="0"/>
                <w:numId w:val="40"/>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Unbilled to billed adjustment for previous year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rPr>
                <w:rFonts w:ascii="Times New Roman" w:eastAsia="Times New Roman" w:hAnsi="Times New Roman" w:cs="Times New Roman"/>
                <w:sz w:val="20"/>
                <w:szCs w:val="20"/>
              </w:rPr>
            </w:pPr>
          </w:p>
        </w:tc>
      </w:tr>
      <w:tr w:rsidR="008904E7" w:rsidRPr="0045412A" w:rsidTr="00FC66CB">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04E7" w:rsidRPr="003F450A" w:rsidRDefault="008904E7" w:rsidP="008904E7">
            <w:pPr>
              <w:pStyle w:val="ListParagraph"/>
              <w:numPr>
                <w:ilvl w:val="0"/>
                <w:numId w:val="40"/>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Reversal of RPP vs. Non-RPP allocation</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04E7" w:rsidRPr="0045412A" w:rsidRDefault="008904E7" w:rsidP="00FC66CB">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04E7" w:rsidRPr="0045412A" w:rsidRDefault="008904E7" w:rsidP="00FC66CB">
            <w:pPr>
              <w:spacing w:after="0" w:line="240" w:lineRule="auto"/>
              <w:jc w:val="center"/>
              <w:rPr>
                <w:rFonts w:ascii="Times New Roman" w:eastAsia="Times New Roman" w:hAnsi="Times New Roman" w:cs="Times New Roman"/>
                <w:sz w:val="20"/>
                <w:szCs w:val="20"/>
              </w:rPr>
            </w:pPr>
          </w:p>
        </w:tc>
      </w:tr>
      <w:tr w:rsidR="008904E7" w:rsidRPr="0045412A" w:rsidTr="00FC66CB">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04E7" w:rsidRPr="0045412A" w:rsidRDefault="008904E7" w:rsidP="00FC66CB">
            <w:pPr>
              <w:spacing w:after="0" w:line="240" w:lineRule="auto"/>
              <w:ind w:left="526" w:hanging="464"/>
              <w:jc w:val="right"/>
              <w:rPr>
                <w:rFonts w:ascii="Calibri" w:eastAsia="Times New Roman" w:hAnsi="Calibri" w:cs="Calibri"/>
                <w:b/>
                <w:bCs/>
                <w:color w:val="000000"/>
              </w:rPr>
            </w:pPr>
            <w:r w:rsidRPr="0045412A">
              <w:rPr>
                <w:rFonts w:ascii="Calibri" w:eastAsia="Times New Roman" w:hAnsi="Calibri" w:cs="Calibri"/>
                <w:b/>
                <w:bCs/>
                <w:color w:val="000000"/>
              </w:rPr>
              <w:t>Sub-Total Reversals from previous year (A):</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04E7" w:rsidRPr="0045412A" w:rsidRDefault="008904E7" w:rsidP="00FC66CB">
            <w:pPr>
              <w:spacing w:after="0" w:line="240" w:lineRule="auto"/>
              <w:jc w:val="center"/>
              <w:rPr>
                <w:rFonts w:ascii="Calibri" w:eastAsia="Times New Roman" w:hAnsi="Calibri" w:cs="Calibri"/>
                <w:color w:val="000000"/>
              </w:rPr>
            </w:pPr>
            <w:r w:rsidRPr="0045412A">
              <w:rPr>
                <w:rFonts w:ascii="Calibri" w:eastAsia="Times New Roman" w:hAnsi="Calibri" w:cs="Calibri"/>
                <w:color w:val="000000"/>
              </w:rPr>
              <w:t> </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904E7" w:rsidRPr="0045412A" w:rsidRDefault="008904E7" w:rsidP="00FC66CB">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8904E7" w:rsidRPr="0045412A" w:rsidTr="00FC66CB">
        <w:trPr>
          <w:trHeight w:val="288"/>
        </w:trPr>
        <w:tc>
          <w:tcPr>
            <w:tcW w:w="6120" w:type="dxa"/>
            <w:tcBorders>
              <w:top w:val="single" w:sz="4" w:space="0" w:color="auto"/>
              <w:left w:val="nil"/>
              <w:bottom w:val="single" w:sz="4" w:space="0" w:color="auto"/>
              <w:right w:val="nil"/>
            </w:tcBorders>
            <w:shd w:val="clear" w:color="auto" w:fill="auto"/>
            <w:noWrap/>
            <w:vAlign w:val="bottom"/>
            <w:hideMark/>
          </w:tcPr>
          <w:p w:rsidR="008904E7" w:rsidRPr="0045412A" w:rsidRDefault="008904E7" w:rsidP="00FC66CB">
            <w:pPr>
              <w:spacing w:after="0" w:line="240" w:lineRule="auto"/>
              <w:rPr>
                <w:rFonts w:ascii="Calibri" w:eastAsia="Times New Roman" w:hAnsi="Calibri" w:cs="Calibri"/>
                <w:color w:val="000000"/>
              </w:rPr>
            </w:pPr>
          </w:p>
        </w:tc>
        <w:tc>
          <w:tcPr>
            <w:tcW w:w="1940" w:type="dxa"/>
            <w:tcBorders>
              <w:top w:val="single" w:sz="4" w:space="0" w:color="auto"/>
              <w:left w:val="nil"/>
              <w:bottom w:val="single" w:sz="4" w:space="0" w:color="auto"/>
              <w:right w:val="nil"/>
            </w:tcBorders>
            <w:shd w:val="clear" w:color="auto" w:fill="auto"/>
            <w:noWrap/>
            <w:vAlign w:val="bottom"/>
            <w:hideMark/>
          </w:tcPr>
          <w:p w:rsidR="008904E7" w:rsidRPr="0045412A" w:rsidRDefault="008904E7" w:rsidP="00FC66CB">
            <w:pPr>
              <w:spacing w:after="0" w:line="240" w:lineRule="auto"/>
              <w:rPr>
                <w:rFonts w:ascii="Times New Roman" w:eastAsia="Times New Roman" w:hAnsi="Times New Roman" w:cs="Times New Roman"/>
                <w:sz w:val="20"/>
                <w:szCs w:val="20"/>
              </w:rPr>
            </w:pPr>
          </w:p>
        </w:tc>
        <w:tc>
          <w:tcPr>
            <w:tcW w:w="1780" w:type="dxa"/>
            <w:tcBorders>
              <w:top w:val="single" w:sz="4" w:space="0" w:color="auto"/>
              <w:left w:val="nil"/>
              <w:bottom w:val="single" w:sz="4" w:space="0" w:color="auto"/>
              <w:right w:val="nil"/>
            </w:tcBorders>
            <w:shd w:val="clear" w:color="000000" w:fill="F2F2F2"/>
            <w:noWrap/>
            <w:vAlign w:val="bottom"/>
            <w:hideMark/>
          </w:tcPr>
          <w:p w:rsidR="008904E7" w:rsidRPr="0045412A" w:rsidRDefault="008904E7" w:rsidP="00FC66CB">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8904E7" w:rsidRPr="0045412A" w:rsidTr="00FC66CB">
        <w:trPr>
          <w:trHeight w:val="288"/>
        </w:trPr>
        <w:tc>
          <w:tcPr>
            <w:tcW w:w="9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rPr>
                <w:rFonts w:ascii="Calibri" w:eastAsia="Times New Roman" w:hAnsi="Calibri" w:cs="Calibri"/>
                <w:color w:val="000000"/>
              </w:rPr>
            </w:pPr>
            <w:r w:rsidRPr="0045412A">
              <w:rPr>
                <w:rFonts w:ascii="Calibri" w:eastAsia="Times New Roman" w:hAnsi="Calibri" w:cs="Calibri"/>
                <w:b/>
                <w:bCs/>
                <w:color w:val="000000"/>
              </w:rPr>
              <w:t>Principal Adjustments - current year</w:t>
            </w:r>
            <w:r w:rsidRPr="0045412A">
              <w:rPr>
                <w:rFonts w:ascii="Calibri" w:eastAsia="Times New Roman" w:hAnsi="Calibri" w:cs="Calibri"/>
                <w:color w:val="000000"/>
              </w:rPr>
              <w:t> </w:t>
            </w:r>
          </w:p>
        </w:tc>
      </w:tr>
      <w:tr w:rsidR="008904E7" w:rsidRPr="0045412A" w:rsidTr="00FC66CB">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3F450A" w:rsidRDefault="008904E7" w:rsidP="008904E7">
            <w:pPr>
              <w:pStyle w:val="ListParagraph"/>
              <w:numPr>
                <w:ilvl w:val="0"/>
                <w:numId w:val="40"/>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 xml:space="preserve">Cost of </w:t>
            </w:r>
            <w:r>
              <w:rPr>
                <w:rFonts w:ascii="Calibri" w:eastAsia="Times New Roman" w:hAnsi="Calibri" w:cs="Calibri"/>
                <w:color w:val="000000"/>
              </w:rPr>
              <w:t>power accrual for 2017</w:t>
            </w:r>
            <w:r w:rsidRPr="003F450A">
              <w:rPr>
                <w:rFonts w:ascii="Calibri" w:eastAsia="Times New Roman" w:hAnsi="Calibri" w:cs="Calibri"/>
                <w:color w:val="000000"/>
              </w:rPr>
              <w:t xml:space="preserve"> vs Actual per IESO bill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904E7" w:rsidRPr="0045412A" w:rsidRDefault="008904E7" w:rsidP="00FC66CB">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8904E7" w:rsidRPr="0045412A" w:rsidTr="00FC66CB">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3F450A" w:rsidRDefault="008904E7" w:rsidP="008904E7">
            <w:pPr>
              <w:pStyle w:val="ListParagraph"/>
              <w:numPr>
                <w:ilvl w:val="0"/>
                <w:numId w:val="40"/>
              </w:numPr>
              <w:spacing w:after="0" w:line="240" w:lineRule="auto"/>
              <w:ind w:left="526" w:hanging="450"/>
              <w:rPr>
                <w:rFonts w:ascii="Calibri" w:eastAsia="Times New Roman" w:hAnsi="Calibri" w:cs="Calibri"/>
                <w:color w:val="000000"/>
              </w:rPr>
            </w:pPr>
            <w:r>
              <w:rPr>
                <w:rFonts w:ascii="Calibri" w:eastAsia="Times New Roman" w:hAnsi="Calibri" w:cs="Calibri"/>
                <w:color w:val="000000"/>
              </w:rPr>
              <w:t>True-up of CT 1142 for 2017 consumption recorded in 2018</w:t>
            </w:r>
            <w:r w:rsidRPr="003F450A">
              <w:rPr>
                <w:rFonts w:ascii="Calibri" w:eastAsia="Times New Roman" w:hAnsi="Calibri" w:cs="Calibri"/>
                <w:color w:val="000000"/>
              </w:rPr>
              <w:t xml:space="preserve"> GL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904E7" w:rsidRPr="0045412A" w:rsidRDefault="008904E7" w:rsidP="00FC66CB">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8904E7" w:rsidRPr="0045412A" w:rsidTr="00FC66CB">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3F450A" w:rsidRDefault="008904E7" w:rsidP="008904E7">
            <w:pPr>
              <w:pStyle w:val="ListParagraph"/>
              <w:numPr>
                <w:ilvl w:val="0"/>
                <w:numId w:val="40"/>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Unbi</w:t>
            </w:r>
            <w:r>
              <w:rPr>
                <w:rFonts w:ascii="Calibri" w:eastAsia="Times New Roman" w:hAnsi="Calibri" w:cs="Calibri"/>
                <w:color w:val="000000"/>
              </w:rPr>
              <w:t>lled accrued vs. billed for 2017</w:t>
            </w:r>
            <w:r w:rsidRPr="003F450A">
              <w:rPr>
                <w:rFonts w:ascii="Calibri" w:eastAsia="Times New Roman" w:hAnsi="Calibri" w:cs="Calibri"/>
                <w:color w:val="000000"/>
              </w:rPr>
              <w:t xml:space="preserve">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904E7" w:rsidRPr="0045412A" w:rsidRDefault="008904E7" w:rsidP="00FC66CB">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8904E7" w:rsidRPr="0045412A" w:rsidTr="00FC66CB">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04E7" w:rsidRPr="003F450A" w:rsidRDefault="008904E7" w:rsidP="008904E7">
            <w:pPr>
              <w:pStyle w:val="ListParagraph"/>
              <w:numPr>
                <w:ilvl w:val="0"/>
                <w:numId w:val="40"/>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True-up of RPP vs. Non-RPP allocatio</w:t>
            </w:r>
            <w:r>
              <w:rPr>
                <w:rFonts w:ascii="Calibri" w:eastAsia="Times New Roman" w:hAnsi="Calibri" w:cs="Calibri"/>
                <w:color w:val="000000"/>
              </w:rPr>
              <w:t>n of CT 148 based on actual 2017</w:t>
            </w:r>
            <w:r w:rsidRPr="003F450A">
              <w:rPr>
                <w:rFonts w:ascii="Calibri" w:eastAsia="Times New Roman" w:hAnsi="Calibri" w:cs="Calibri"/>
                <w:color w:val="000000"/>
              </w:rPr>
              <w:t xml:space="preserve">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ED4CE5" w:rsidRDefault="008904E7" w:rsidP="00FC66CB">
            <w:pPr>
              <w:spacing w:after="0" w:line="240" w:lineRule="auto"/>
              <w:rPr>
                <w:rFonts w:ascii="Calibri" w:eastAsia="Times New Roman" w:hAnsi="Calibri" w:cs="Calibri"/>
                <w:color w:val="2F5496" w:themeColor="accent5" w:themeShade="BF"/>
              </w:rPr>
            </w:pPr>
            <w:r w:rsidRPr="00ED4CE5">
              <w:rPr>
                <w:rFonts w:ascii="Calibri" w:eastAsia="Times New Roman" w:hAnsi="Calibri" w:cs="Calibri"/>
                <w:color w:val="2F5496" w:themeColor="accent5" w:themeShade="BF"/>
              </w:rPr>
              <w:t>$1,587,946</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904E7" w:rsidRPr="0045412A" w:rsidRDefault="008904E7" w:rsidP="00FC66CB">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8904E7" w:rsidRPr="0045412A" w:rsidTr="00FC66CB">
        <w:trPr>
          <w:trHeight w:val="342"/>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tcPr>
          <w:p w:rsidR="008904E7" w:rsidRPr="003F450A" w:rsidRDefault="008904E7" w:rsidP="008904E7">
            <w:pPr>
              <w:pStyle w:val="ListParagraph"/>
              <w:numPr>
                <w:ilvl w:val="0"/>
                <w:numId w:val="40"/>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Other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04E7" w:rsidRPr="00ED4CE5" w:rsidRDefault="008904E7" w:rsidP="00FC66CB">
            <w:pPr>
              <w:spacing w:after="0" w:line="240" w:lineRule="auto"/>
              <w:rPr>
                <w:rFonts w:ascii="Calibri" w:eastAsia="Times New Roman" w:hAnsi="Calibri" w:cs="Calibri"/>
                <w:color w:val="2F5496" w:themeColor="accent5" w:themeShade="BF"/>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8904E7" w:rsidRPr="0045412A" w:rsidRDefault="008904E7" w:rsidP="00FC66CB">
            <w:pPr>
              <w:spacing w:after="0" w:line="240" w:lineRule="auto"/>
              <w:rPr>
                <w:rFonts w:ascii="Calibri" w:eastAsia="Times New Roman" w:hAnsi="Calibri" w:cs="Calibri"/>
                <w:color w:val="000000"/>
              </w:rPr>
            </w:pPr>
          </w:p>
        </w:tc>
      </w:tr>
      <w:tr w:rsidR="008904E7" w:rsidRPr="0045412A" w:rsidTr="00FC66CB">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Sub-Total Principal Adjustments for 201</w:t>
            </w:r>
            <w:r>
              <w:rPr>
                <w:rFonts w:ascii="Calibri" w:eastAsia="Times New Roman" w:hAnsi="Calibri" w:cs="Calibri"/>
                <w:b/>
                <w:bCs/>
                <w:color w:val="000000"/>
              </w:rPr>
              <w:t>7</w:t>
            </w:r>
            <w:r w:rsidRPr="0045412A">
              <w:rPr>
                <w:rFonts w:ascii="Calibri" w:eastAsia="Times New Roman" w:hAnsi="Calibri" w:cs="Calibri"/>
                <w:b/>
                <w:bCs/>
                <w:color w:val="000000"/>
              </w:rPr>
              <w:t xml:space="preserve"> consumption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ED4CE5" w:rsidRDefault="008904E7" w:rsidP="00FC66CB">
            <w:pPr>
              <w:spacing w:after="0" w:line="240" w:lineRule="auto"/>
              <w:rPr>
                <w:rFonts w:ascii="Calibri" w:eastAsia="Times New Roman" w:hAnsi="Calibri" w:cs="Calibri"/>
                <w:color w:val="2F5496" w:themeColor="accent5" w:themeShade="BF"/>
              </w:rPr>
            </w:pPr>
            <w:r w:rsidRPr="00ED4CE5">
              <w:rPr>
                <w:rFonts w:ascii="Calibri" w:eastAsia="Times New Roman" w:hAnsi="Calibri" w:cs="Calibri"/>
                <w:color w:val="2F5496" w:themeColor="accent5" w:themeShade="BF"/>
              </w:rPr>
              <w:t> $1,587,946</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904E7" w:rsidRPr="0045412A" w:rsidRDefault="008904E7" w:rsidP="00FC66CB">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8904E7" w:rsidRPr="0045412A" w:rsidTr="00FC66CB">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45412A" w:rsidRDefault="008904E7" w:rsidP="00FC66CB">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Total Prin</w:t>
            </w:r>
            <w:r>
              <w:rPr>
                <w:rFonts w:ascii="Calibri" w:eastAsia="Times New Roman" w:hAnsi="Calibri" w:cs="Calibri"/>
                <w:b/>
                <w:bCs/>
                <w:color w:val="000000"/>
              </w:rPr>
              <w:t>cipal Adjustments shown for 2017</w:t>
            </w:r>
            <w:r w:rsidRPr="0045412A">
              <w:rPr>
                <w:rFonts w:ascii="Calibri" w:eastAsia="Times New Roman" w:hAnsi="Calibri" w:cs="Calibri"/>
                <w:b/>
                <w:bCs/>
                <w:color w:val="000000"/>
              </w:rPr>
              <w:t xml:space="preserve"> (A +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ED4CE5" w:rsidRDefault="008904E7" w:rsidP="00FC66CB">
            <w:pPr>
              <w:spacing w:after="0" w:line="240" w:lineRule="auto"/>
              <w:rPr>
                <w:rFonts w:ascii="Calibri" w:eastAsia="Times New Roman" w:hAnsi="Calibri" w:cs="Calibri"/>
                <w:color w:val="2F5496" w:themeColor="accent5" w:themeShade="BF"/>
              </w:rPr>
            </w:pPr>
            <w:r w:rsidRPr="00ED4CE5">
              <w:rPr>
                <w:rFonts w:ascii="Calibri" w:eastAsia="Times New Roman" w:hAnsi="Calibri" w:cs="Calibri"/>
                <w:color w:val="2F5496" w:themeColor="accent5" w:themeShade="BF"/>
              </w:rPr>
              <w:t> $1,587,946</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904E7" w:rsidRPr="0045412A" w:rsidRDefault="008904E7" w:rsidP="00FC66CB">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8904E7" w:rsidRPr="0045412A" w:rsidTr="00FC66CB">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04E7" w:rsidRPr="00ED4CE5" w:rsidRDefault="008904E7" w:rsidP="00FC66CB">
            <w:pPr>
              <w:spacing w:after="0" w:line="240" w:lineRule="auto"/>
              <w:jc w:val="right"/>
              <w:rPr>
                <w:rFonts w:ascii="Calibri" w:eastAsia="Times New Roman" w:hAnsi="Calibri" w:cs="Calibri"/>
                <w:b/>
                <w:bCs/>
                <w:color w:val="2F5496" w:themeColor="accent5" w:themeShade="BF"/>
              </w:rPr>
            </w:pPr>
            <w:r w:rsidRPr="00ED4CE5">
              <w:rPr>
                <w:rFonts w:cs="Arial"/>
                <w:color w:val="2F5496" w:themeColor="accent5" w:themeShade="BF"/>
                <w:sz w:val="24"/>
                <w:szCs w:val="24"/>
              </w:rPr>
              <w:t>Adjusted Net Change in Principal Balance in the DVA Continuity Schedule</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4E7" w:rsidRPr="00ED4CE5" w:rsidRDefault="008904E7" w:rsidP="008904E7">
            <w:pPr>
              <w:spacing w:after="0" w:line="240" w:lineRule="auto"/>
              <w:rPr>
                <w:rFonts w:ascii="Calibri" w:eastAsia="Times New Roman" w:hAnsi="Calibri" w:cs="Calibri"/>
                <w:color w:val="2F5496" w:themeColor="accent5" w:themeShade="BF"/>
              </w:rPr>
            </w:pPr>
            <w:r w:rsidRPr="00ED4CE5">
              <w:rPr>
                <w:rFonts w:ascii="Calibri" w:eastAsia="Times New Roman" w:hAnsi="Calibri" w:cs="Calibri"/>
                <w:color w:val="2F5496" w:themeColor="accent5" w:themeShade="BF"/>
              </w:rPr>
              <w:t>   $2,831,332</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904E7" w:rsidRPr="0045412A" w:rsidRDefault="008904E7" w:rsidP="00FC66CB">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bl>
    <w:p w:rsidR="00487508" w:rsidRDefault="00487508" w:rsidP="000A0FBD">
      <w:pPr>
        <w:rPr>
          <w:rFonts w:cs="Arial"/>
          <w:i/>
          <w:color w:val="00B050"/>
          <w:sz w:val="24"/>
          <w:szCs w:val="24"/>
        </w:rPr>
      </w:pPr>
    </w:p>
    <w:p w:rsidR="00487508" w:rsidRDefault="00487508" w:rsidP="000A0FBD">
      <w:pPr>
        <w:rPr>
          <w:rFonts w:cs="Arial"/>
          <w:i/>
          <w:color w:val="00B050"/>
          <w:sz w:val="24"/>
          <w:szCs w:val="24"/>
        </w:rPr>
      </w:pPr>
      <w:r w:rsidRPr="00FE0859">
        <w:rPr>
          <w:rFonts w:cs="Arial"/>
          <w:i/>
          <w:color w:val="00B050"/>
          <w:sz w:val="24"/>
          <w:szCs w:val="24"/>
        </w:rPr>
        <w:t>Update:</w:t>
      </w:r>
    </w:p>
    <w:p w:rsidR="00487508" w:rsidRDefault="00487508" w:rsidP="00487508">
      <w:pPr>
        <w:pStyle w:val="NoSpacing"/>
        <w:rPr>
          <w:rFonts w:ascii="Arial" w:hAnsi="Arial" w:cs="Arial"/>
          <w:i/>
          <w:color w:val="00B050"/>
          <w:sz w:val="24"/>
          <w:szCs w:val="24"/>
        </w:rPr>
      </w:pPr>
      <w:r>
        <w:rPr>
          <w:rFonts w:ascii="Arial" w:hAnsi="Arial" w:cs="Arial"/>
          <w:i/>
          <w:color w:val="00B050"/>
          <w:sz w:val="24"/>
          <w:szCs w:val="24"/>
        </w:rPr>
        <w:t xml:space="preserve">Oshawa further investigated the principal change in RSVA Power account and found two journal entries that were </w:t>
      </w:r>
      <w:proofErr w:type="spellStart"/>
      <w:r>
        <w:rPr>
          <w:rFonts w:ascii="Arial" w:hAnsi="Arial" w:cs="Arial"/>
          <w:i/>
          <w:color w:val="00B050"/>
          <w:sz w:val="24"/>
          <w:szCs w:val="24"/>
        </w:rPr>
        <w:t>mis</w:t>
      </w:r>
      <w:proofErr w:type="spellEnd"/>
      <w:r>
        <w:rPr>
          <w:rFonts w:ascii="Arial" w:hAnsi="Arial" w:cs="Arial"/>
          <w:i/>
          <w:color w:val="00B050"/>
          <w:sz w:val="24"/>
          <w:szCs w:val="24"/>
        </w:rPr>
        <w:t xml:space="preserve">-posted to RSVA WMS, but should have been posted to RSVA Power. These were OFHP RPP Settlement amounts from CT1142 for the July and August 2017 IESO invoices. We corrected the principal between 1580 and 1588. Corrected balance for RSVA Power is </w:t>
      </w:r>
      <w:r w:rsidR="00CB5A34">
        <w:rPr>
          <w:rFonts w:ascii="Arial" w:hAnsi="Arial" w:cs="Arial"/>
          <w:i/>
          <w:color w:val="00B050"/>
          <w:sz w:val="24"/>
          <w:szCs w:val="24"/>
        </w:rPr>
        <w:t>below</w:t>
      </w:r>
      <w:r>
        <w:rPr>
          <w:rFonts w:ascii="Arial" w:hAnsi="Arial" w:cs="Arial"/>
          <w:i/>
          <w:color w:val="00B050"/>
          <w:sz w:val="24"/>
          <w:szCs w:val="24"/>
        </w:rPr>
        <w:t xml:space="preserve">. RSVA balances for 1580 and 1588 have also been updated in IRM Rate Generator Model. </w:t>
      </w:r>
    </w:p>
    <w:p w:rsidR="00487508" w:rsidRDefault="00487508" w:rsidP="00487508">
      <w:pPr>
        <w:pStyle w:val="NoSpacing"/>
        <w:rPr>
          <w:rFonts w:ascii="Arial" w:hAnsi="Arial" w:cs="Arial"/>
          <w:i/>
          <w:color w:val="00B050"/>
          <w:sz w:val="24"/>
          <w:szCs w:val="24"/>
        </w:rPr>
      </w:pPr>
    </w:p>
    <w:p w:rsidR="00487508" w:rsidRDefault="00487508" w:rsidP="00487508">
      <w:pPr>
        <w:rPr>
          <w:rFonts w:cs="Arial"/>
          <w:i/>
          <w:color w:val="00B050"/>
          <w:sz w:val="24"/>
          <w:szCs w:val="24"/>
        </w:rPr>
      </w:pPr>
      <w:r>
        <w:rPr>
          <w:rFonts w:cs="Arial"/>
          <w:i/>
          <w:color w:val="00B050"/>
          <w:sz w:val="24"/>
          <w:szCs w:val="24"/>
        </w:rPr>
        <w:lastRenderedPageBreak/>
        <w:t xml:space="preserve"> </w:t>
      </w:r>
      <w:r w:rsidRPr="002C39DE">
        <w:rPr>
          <w:noProof/>
          <w:lang w:val="en-CA" w:eastAsia="en-CA"/>
        </w:rPr>
        <w:drawing>
          <wp:inline distT="0" distB="0" distL="0" distR="0" wp14:anchorId="3D9E7503" wp14:editId="02FBC28B">
            <wp:extent cx="4168140" cy="1363980"/>
            <wp:effectExtent l="0" t="0" r="381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8140" cy="1363980"/>
                    </a:xfrm>
                    <a:prstGeom prst="rect">
                      <a:avLst/>
                    </a:prstGeom>
                    <a:noFill/>
                    <a:ln>
                      <a:noFill/>
                    </a:ln>
                  </pic:spPr>
                </pic:pic>
              </a:graphicData>
            </a:graphic>
          </wp:inline>
        </w:drawing>
      </w:r>
    </w:p>
    <w:tbl>
      <w:tblPr>
        <w:tblW w:w="9840" w:type="dxa"/>
        <w:tblLook w:val="04A0" w:firstRow="1" w:lastRow="0" w:firstColumn="1" w:lastColumn="0" w:noHBand="0" w:noVBand="1"/>
      </w:tblPr>
      <w:tblGrid>
        <w:gridCol w:w="6120"/>
        <w:gridCol w:w="1940"/>
        <w:gridCol w:w="1780"/>
      </w:tblGrid>
      <w:tr w:rsidR="00487508" w:rsidRPr="0045412A" w:rsidTr="00F624BA">
        <w:trPr>
          <w:trHeight w:val="288"/>
        </w:trPr>
        <w:tc>
          <w:tcPr>
            <w:tcW w:w="6120" w:type="dxa"/>
            <w:tcBorders>
              <w:top w:val="nil"/>
              <w:left w:val="nil"/>
              <w:bottom w:val="nil"/>
              <w:right w:val="nil"/>
            </w:tcBorders>
            <w:shd w:val="clear" w:color="auto" w:fill="auto"/>
            <w:vAlign w:val="bottom"/>
            <w:hideMark/>
          </w:tcPr>
          <w:p w:rsidR="00487508" w:rsidRPr="0045412A" w:rsidRDefault="00487508" w:rsidP="00F624BA">
            <w:pPr>
              <w:spacing w:after="0" w:line="240" w:lineRule="auto"/>
              <w:jc w:val="center"/>
              <w:rPr>
                <w:rFonts w:ascii="Calibri" w:eastAsia="Times New Roman" w:hAnsi="Calibri" w:cs="Calibri"/>
                <w:b/>
                <w:bCs/>
                <w:color w:val="000000"/>
              </w:rPr>
            </w:pPr>
            <w:r w:rsidRPr="0045412A">
              <w:rPr>
                <w:rFonts w:ascii="Calibri" w:eastAsia="Times New Roman" w:hAnsi="Calibri" w:cs="Calibri"/>
                <w:b/>
                <w:bCs/>
                <w:color w:val="000000"/>
              </w:rPr>
              <w:t>Recon</w:t>
            </w:r>
            <w:r>
              <w:rPr>
                <w:rFonts w:ascii="Calibri" w:eastAsia="Times New Roman" w:hAnsi="Calibri" w:cs="Calibri"/>
                <w:b/>
                <w:bCs/>
                <w:color w:val="000000"/>
              </w:rPr>
              <w:t xml:space="preserve">ciliation of Account 1588 </w:t>
            </w:r>
            <w:r w:rsidRPr="00487508">
              <w:rPr>
                <w:rFonts w:ascii="Calibri" w:eastAsia="Times New Roman" w:hAnsi="Calibri" w:cs="Calibri"/>
                <w:b/>
                <w:bCs/>
                <w:color w:val="00B050"/>
              </w:rPr>
              <w:t>- 2017</w:t>
            </w:r>
          </w:p>
        </w:tc>
        <w:tc>
          <w:tcPr>
            <w:tcW w:w="1940" w:type="dxa"/>
            <w:tcBorders>
              <w:top w:val="nil"/>
              <w:left w:val="nil"/>
              <w:bottom w:val="nil"/>
              <w:right w:val="nil"/>
            </w:tcBorders>
            <w:shd w:val="clear" w:color="auto" w:fill="auto"/>
            <w:vAlign w:val="bottom"/>
            <w:hideMark/>
          </w:tcPr>
          <w:p w:rsidR="00487508" w:rsidRPr="0045412A" w:rsidRDefault="00487508" w:rsidP="00F624BA">
            <w:pPr>
              <w:spacing w:after="0" w:line="240" w:lineRule="auto"/>
              <w:jc w:val="center"/>
              <w:rPr>
                <w:rFonts w:ascii="Calibri" w:eastAsia="Times New Roman" w:hAnsi="Calibri" w:cs="Calibri"/>
                <w:b/>
                <w:bCs/>
                <w:color w:val="000000"/>
              </w:rPr>
            </w:pPr>
          </w:p>
        </w:tc>
        <w:tc>
          <w:tcPr>
            <w:tcW w:w="1780" w:type="dxa"/>
            <w:tcBorders>
              <w:top w:val="nil"/>
              <w:left w:val="nil"/>
              <w:bottom w:val="nil"/>
              <w:right w:val="nil"/>
            </w:tcBorders>
            <w:shd w:val="clear" w:color="auto" w:fill="auto"/>
            <w:noWrap/>
            <w:vAlign w:val="bottom"/>
            <w:hideMark/>
          </w:tcPr>
          <w:p w:rsidR="00487508" w:rsidRPr="0045412A" w:rsidRDefault="00487508" w:rsidP="00F624BA">
            <w:pPr>
              <w:spacing w:after="0" w:line="240" w:lineRule="auto"/>
              <w:jc w:val="center"/>
              <w:rPr>
                <w:rFonts w:ascii="Times New Roman" w:eastAsia="Times New Roman" w:hAnsi="Times New Roman" w:cs="Times New Roman"/>
                <w:sz w:val="20"/>
                <w:szCs w:val="20"/>
              </w:rPr>
            </w:pPr>
          </w:p>
        </w:tc>
      </w:tr>
      <w:tr w:rsidR="00487508" w:rsidRPr="0045412A" w:rsidTr="00F624BA">
        <w:trPr>
          <w:trHeight w:val="288"/>
        </w:trPr>
        <w:tc>
          <w:tcPr>
            <w:tcW w:w="6120" w:type="dxa"/>
            <w:tcBorders>
              <w:top w:val="nil"/>
              <w:left w:val="nil"/>
              <w:bottom w:val="nil"/>
              <w:right w:val="nil"/>
            </w:tcBorders>
            <w:shd w:val="clear" w:color="auto" w:fill="auto"/>
            <w:vAlign w:val="bottom"/>
            <w:hideMark/>
          </w:tcPr>
          <w:p w:rsidR="00487508" w:rsidRPr="0045412A" w:rsidRDefault="00487508" w:rsidP="00F624BA">
            <w:pPr>
              <w:spacing w:after="0" w:line="240" w:lineRule="auto"/>
              <w:rPr>
                <w:rFonts w:ascii="Times New Roman" w:eastAsia="Times New Roman" w:hAnsi="Times New Roman" w:cs="Times New Roman"/>
                <w:sz w:val="20"/>
                <w:szCs w:val="20"/>
              </w:rPr>
            </w:pPr>
          </w:p>
        </w:tc>
        <w:tc>
          <w:tcPr>
            <w:tcW w:w="1940" w:type="dxa"/>
            <w:tcBorders>
              <w:top w:val="nil"/>
              <w:left w:val="nil"/>
              <w:bottom w:val="single" w:sz="4" w:space="0" w:color="auto"/>
              <w:right w:val="nil"/>
            </w:tcBorders>
            <w:shd w:val="clear" w:color="auto" w:fill="auto"/>
            <w:noWrap/>
            <w:vAlign w:val="bottom"/>
            <w:hideMark/>
          </w:tcPr>
          <w:p w:rsidR="00487508" w:rsidRPr="0045412A" w:rsidRDefault="00487508" w:rsidP="00F624BA">
            <w:pPr>
              <w:spacing w:after="0" w:line="240" w:lineRule="auto"/>
              <w:jc w:val="center"/>
              <w:rPr>
                <w:rFonts w:ascii="Times New Roman" w:eastAsia="Times New Roman" w:hAnsi="Times New Roman" w:cs="Times New Roman"/>
                <w:sz w:val="20"/>
                <w:szCs w:val="20"/>
              </w:rPr>
            </w:pPr>
          </w:p>
        </w:tc>
        <w:tc>
          <w:tcPr>
            <w:tcW w:w="1780" w:type="dxa"/>
            <w:tcBorders>
              <w:top w:val="nil"/>
              <w:left w:val="nil"/>
              <w:bottom w:val="single" w:sz="4" w:space="0" w:color="auto"/>
              <w:right w:val="nil"/>
            </w:tcBorders>
            <w:shd w:val="clear" w:color="auto" w:fill="auto"/>
            <w:vAlign w:val="bottom"/>
            <w:hideMark/>
          </w:tcPr>
          <w:p w:rsidR="00487508" w:rsidRPr="0045412A" w:rsidRDefault="00487508" w:rsidP="00F624BA">
            <w:pPr>
              <w:spacing w:after="0" w:line="240" w:lineRule="auto"/>
              <w:rPr>
                <w:rFonts w:ascii="Times New Roman" w:eastAsia="Times New Roman" w:hAnsi="Times New Roman" w:cs="Times New Roman"/>
                <w:sz w:val="20"/>
                <w:szCs w:val="20"/>
              </w:rPr>
            </w:pPr>
          </w:p>
        </w:tc>
      </w:tr>
      <w:tr w:rsidR="00487508" w:rsidRPr="0045412A" w:rsidTr="00F624BA">
        <w:trPr>
          <w:trHeight w:val="1500"/>
        </w:trPr>
        <w:tc>
          <w:tcPr>
            <w:tcW w:w="6120" w:type="dxa"/>
            <w:tcBorders>
              <w:top w:val="nil"/>
              <w:left w:val="nil"/>
              <w:bottom w:val="single" w:sz="4" w:space="0" w:color="auto"/>
              <w:right w:val="single" w:sz="4" w:space="0" w:color="auto"/>
            </w:tcBorders>
            <w:shd w:val="clear" w:color="auto" w:fill="auto"/>
            <w:vAlign w:val="bottom"/>
            <w:hideMark/>
          </w:tcPr>
          <w:p w:rsidR="00487508" w:rsidRPr="0045412A" w:rsidRDefault="00487508" w:rsidP="00F624BA">
            <w:pPr>
              <w:spacing w:after="0" w:line="240" w:lineRule="auto"/>
              <w:jc w:val="center"/>
              <w:rPr>
                <w:rFonts w:ascii="Times New Roman" w:eastAsia="Times New Roman" w:hAnsi="Times New Roman" w:cs="Times New Roman"/>
                <w:sz w:val="20"/>
                <w:szCs w:val="20"/>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508" w:rsidRPr="0045412A" w:rsidRDefault="00487508" w:rsidP="00F624BA">
            <w:pPr>
              <w:spacing w:after="0" w:line="240" w:lineRule="auto"/>
              <w:jc w:val="center"/>
              <w:rPr>
                <w:rFonts w:ascii="Calibri" w:eastAsia="Times New Roman" w:hAnsi="Calibri" w:cs="Calibri"/>
                <w:b/>
                <w:bCs/>
                <w:color w:val="000000"/>
              </w:rPr>
            </w:pPr>
            <w:r w:rsidRPr="0045412A">
              <w:rPr>
                <w:rFonts w:ascii="Calibri" w:eastAsia="Times New Roman" w:hAnsi="Calibri" w:cs="Calibri"/>
                <w:b/>
                <w:bCs/>
                <w:color w:val="000000"/>
              </w:rPr>
              <w:t xml:space="preserve"> Principal Adjustments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7508" w:rsidRPr="003F450A" w:rsidRDefault="00487508" w:rsidP="00F624BA">
            <w:pPr>
              <w:spacing w:after="0" w:line="240" w:lineRule="auto"/>
              <w:jc w:val="center"/>
              <w:rPr>
                <w:rFonts w:ascii="Calibri" w:eastAsia="Times New Roman" w:hAnsi="Calibri" w:cs="Calibri"/>
                <w:b/>
                <w:color w:val="000000"/>
              </w:rPr>
            </w:pPr>
            <w:r w:rsidRPr="003F450A">
              <w:rPr>
                <w:rFonts w:ascii="Calibri" w:eastAsia="Times New Roman" w:hAnsi="Calibri" w:cs="Calibri"/>
                <w:b/>
                <w:color w:val="000000"/>
              </w:rPr>
              <w:t>Was the amount a "Principal Adjustment" in the previous year? (Y/N)</w:t>
            </w:r>
          </w:p>
        </w:tc>
      </w:tr>
      <w:tr w:rsidR="00487508" w:rsidRPr="0045412A" w:rsidTr="00F624BA">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08" w:rsidRPr="00487508" w:rsidRDefault="00487508" w:rsidP="00F624BA">
            <w:pPr>
              <w:spacing w:after="0" w:line="240" w:lineRule="auto"/>
              <w:jc w:val="right"/>
              <w:rPr>
                <w:rFonts w:ascii="Calibri" w:eastAsia="Times New Roman" w:hAnsi="Calibri" w:cs="Calibri"/>
                <w:b/>
                <w:bCs/>
                <w:color w:val="00B050"/>
              </w:rPr>
            </w:pPr>
            <w:r w:rsidRPr="00487508">
              <w:rPr>
                <w:rFonts w:cs="Arial"/>
                <w:color w:val="00B050"/>
                <w:sz w:val="24"/>
                <w:szCs w:val="24"/>
              </w:rPr>
              <w:t>Net Change in Principal Balance in the GL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08" w:rsidRPr="00487508" w:rsidRDefault="00487508" w:rsidP="00487508">
            <w:pPr>
              <w:spacing w:after="0" w:line="240" w:lineRule="auto"/>
              <w:rPr>
                <w:rFonts w:ascii="Calibri" w:eastAsia="Times New Roman" w:hAnsi="Calibri" w:cs="Calibri"/>
                <w:color w:val="00B050"/>
              </w:rPr>
            </w:pPr>
            <w:r w:rsidRPr="00487508">
              <w:rPr>
                <w:rFonts w:ascii="Calibri" w:eastAsia="Times New Roman" w:hAnsi="Calibri" w:cs="Calibri"/>
                <w:color w:val="00B050"/>
              </w:rPr>
              <w:t> $</w:t>
            </w:r>
            <w:r>
              <w:rPr>
                <w:rFonts w:ascii="Calibri" w:eastAsia="Times New Roman" w:hAnsi="Calibri" w:cs="Calibri"/>
                <w:color w:val="00B050"/>
              </w:rPr>
              <w:t>402,184</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487508" w:rsidRPr="0045412A" w:rsidRDefault="00487508" w:rsidP="00F624B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487508" w:rsidRPr="0045412A" w:rsidTr="00F624BA">
        <w:trPr>
          <w:trHeight w:val="288"/>
        </w:trPr>
        <w:tc>
          <w:tcPr>
            <w:tcW w:w="9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08" w:rsidRPr="0045412A" w:rsidRDefault="00487508" w:rsidP="00F624BA">
            <w:pPr>
              <w:spacing w:after="0" w:line="240" w:lineRule="auto"/>
              <w:rPr>
                <w:rFonts w:ascii="Calibri" w:eastAsia="Times New Roman" w:hAnsi="Calibri" w:cs="Calibri"/>
                <w:color w:val="000000"/>
              </w:rPr>
            </w:pPr>
            <w:r w:rsidRPr="0045412A">
              <w:rPr>
                <w:rFonts w:ascii="Calibri" w:eastAsia="Times New Roman" w:hAnsi="Calibri" w:cs="Calibri"/>
                <w:b/>
                <w:bCs/>
                <w:color w:val="000000"/>
              </w:rPr>
              <w:t>Reversals of Principal Adjustments - previous year</w:t>
            </w:r>
            <w:r w:rsidRPr="0045412A">
              <w:rPr>
                <w:rFonts w:ascii="Calibri" w:eastAsia="Times New Roman" w:hAnsi="Calibri" w:cs="Calibri"/>
                <w:color w:val="000000"/>
              </w:rPr>
              <w:t> </w:t>
            </w:r>
          </w:p>
        </w:tc>
      </w:tr>
      <w:tr w:rsidR="00487508" w:rsidRPr="0045412A" w:rsidTr="00F624BA">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08" w:rsidRPr="003F450A" w:rsidRDefault="00487508" w:rsidP="00487508">
            <w:pPr>
              <w:pStyle w:val="ListParagraph"/>
              <w:numPr>
                <w:ilvl w:val="0"/>
                <w:numId w:val="42"/>
              </w:numPr>
              <w:spacing w:after="0" w:line="240" w:lineRule="auto"/>
              <w:rPr>
                <w:rFonts w:ascii="Calibri" w:eastAsia="Times New Roman" w:hAnsi="Calibri" w:cs="Calibri"/>
                <w:color w:val="000000"/>
              </w:rPr>
            </w:pPr>
            <w:r w:rsidRPr="003F450A">
              <w:rPr>
                <w:rFonts w:ascii="Calibri" w:eastAsia="Times New Roman" w:hAnsi="Calibri" w:cs="Calibri"/>
                <w:color w:val="000000"/>
              </w:rPr>
              <w:t xml:space="preserve">Reversal of Cost of Power accrual from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08" w:rsidRPr="0045412A" w:rsidRDefault="00487508" w:rsidP="00F624BA">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08" w:rsidRPr="0045412A" w:rsidRDefault="00487508" w:rsidP="00F624BA">
            <w:pPr>
              <w:spacing w:after="0" w:line="240" w:lineRule="auto"/>
              <w:rPr>
                <w:rFonts w:ascii="Times New Roman" w:eastAsia="Times New Roman" w:hAnsi="Times New Roman" w:cs="Times New Roman"/>
                <w:sz w:val="20"/>
                <w:szCs w:val="20"/>
              </w:rPr>
            </w:pPr>
          </w:p>
        </w:tc>
      </w:tr>
      <w:tr w:rsidR="00487508" w:rsidRPr="0045412A" w:rsidTr="00F624BA">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08" w:rsidRPr="003F450A" w:rsidRDefault="00487508" w:rsidP="00487508">
            <w:pPr>
              <w:pStyle w:val="ListParagraph"/>
              <w:numPr>
                <w:ilvl w:val="0"/>
                <w:numId w:val="42"/>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 xml:space="preserve">Reversal of CT 1142 true-up from the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08" w:rsidRPr="0045412A" w:rsidRDefault="00487508" w:rsidP="00F624BA">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08" w:rsidRPr="0045412A" w:rsidRDefault="00487508" w:rsidP="00F624BA">
            <w:pPr>
              <w:spacing w:after="0" w:line="240" w:lineRule="auto"/>
              <w:rPr>
                <w:rFonts w:ascii="Times New Roman" w:eastAsia="Times New Roman" w:hAnsi="Times New Roman" w:cs="Times New Roman"/>
                <w:sz w:val="20"/>
                <w:szCs w:val="20"/>
              </w:rPr>
            </w:pPr>
          </w:p>
        </w:tc>
      </w:tr>
      <w:tr w:rsidR="00487508" w:rsidRPr="0045412A" w:rsidTr="00F624BA">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08" w:rsidRPr="003F450A" w:rsidRDefault="00487508" w:rsidP="00487508">
            <w:pPr>
              <w:pStyle w:val="ListParagraph"/>
              <w:numPr>
                <w:ilvl w:val="0"/>
                <w:numId w:val="42"/>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Unbilled to billed adjustment for previous year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08" w:rsidRPr="0045412A" w:rsidRDefault="00487508" w:rsidP="00F624BA">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08" w:rsidRPr="0045412A" w:rsidRDefault="00487508" w:rsidP="00F624BA">
            <w:pPr>
              <w:spacing w:after="0" w:line="240" w:lineRule="auto"/>
              <w:rPr>
                <w:rFonts w:ascii="Times New Roman" w:eastAsia="Times New Roman" w:hAnsi="Times New Roman" w:cs="Times New Roman"/>
                <w:sz w:val="20"/>
                <w:szCs w:val="20"/>
              </w:rPr>
            </w:pPr>
          </w:p>
        </w:tc>
      </w:tr>
      <w:tr w:rsidR="00487508" w:rsidRPr="0045412A" w:rsidTr="00F624BA">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7508" w:rsidRPr="003F450A" w:rsidRDefault="00487508" w:rsidP="00487508">
            <w:pPr>
              <w:pStyle w:val="ListParagraph"/>
              <w:numPr>
                <w:ilvl w:val="0"/>
                <w:numId w:val="42"/>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Reversal of RPP vs. Non-RPP allocation</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7508" w:rsidRPr="0045412A" w:rsidRDefault="00487508" w:rsidP="00F624BA">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7508" w:rsidRPr="0045412A" w:rsidRDefault="00487508" w:rsidP="00F624BA">
            <w:pPr>
              <w:spacing w:after="0" w:line="240" w:lineRule="auto"/>
              <w:jc w:val="center"/>
              <w:rPr>
                <w:rFonts w:ascii="Times New Roman" w:eastAsia="Times New Roman" w:hAnsi="Times New Roman" w:cs="Times New Roman"/>
                <w:sz w:val="20"/>
                <w:szCs w:val="20"/>
              </w:rPr>
            </w:pPr>
          </w:p>
        </w:tc>
      </w:tr>
      <w:tr w:rsidR="00487508" w:rsidRPr="0045412A" w:rsidTr="00F624BA">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7508" w:rsidRPr="0045412A" w:rsidRDefault="00487508" w:rsidP="00F624BA">
            <w:pPr>
              <w:spacing w:after="0" w:line="240" w:lineRule="auto"/>
              <w:ind w:left="526" w:hanging="464"/>
              <w:jc w:val="right"/>
              <w:rPr>
                <w:rFonts w:ascii="Calibri" w:eastAsia="Times New Roman" w:hAnsi="Calibri" w:cs="Calibri"/>
                <w:b/>
                <w:bCs/>
                <w:color w:val="000000"/>
              </w:rPr>
            </w:pPr>
            <w:r w:rsidRPr="0045412A">
              <w:rPr>
                <w:rFonts w:ascii="Calibri" w:eastAsia="Times New Roman" w:hAnsi="Calibri" w:cs="Calibri"/>
                <w:b/>
                <w:bCs/>
                <w:color w:val="000000"/>
              </w:rPr>
              <w:t>Sub-Total Reversals from previous year (A):</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7508" w:rsidRPr="0045412A" w:rsidRDefault="00487508" w:rsidP="00F624BA">
            <w:pPr>
              <w:spacing w:after="0" w:line="240" w:lineRule="auto"/>
              <w:jc w:val="center"/>
              <w:rPr>
                <w:rFonts w:ascii="Calibri" w:eastAsia="Times New Roman" w:hAnsi="Calibri" w:cs="Calibri"/>
                <w:color w:val="000000"/>
              </w:rPr>
            </w:pPr>
            <w:r w:rsidRPr="0045412A">
              <w:rPr>
                <w:rFonts w:ascii="Calibri" w:eastAsia="Times New Roman" w:hAnsi="Calibri" w:cs="Calibri"/>
                <w:color w:val="000000"/>
              </w:rPr>
              <w:t> </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487508" w:rsidRPr="0045412A" w:rsidRDefault="00487508" w:rsidP="00F624B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487508" w:rsidRPr="0045412A" w:rsidTr="00F624BA">
        <w:trPr>
          <w:trHeight w:val="288"/>
        </w:trPr>
        <w:tc>
          <w:tcPr>
            <w:tcW w:w="6120" w:type="dxa"/>
            <w:tcBorders>
              <w:top w:val="single" w:sz="4" w:space="0" w:color="auto"/>
              <w:left w:val="nil"/>
              <w:bottom w:val="single" w:sz="4" w:space="0" w:color="auto"/>
              <w:right w:val="nil"/>
            </w:tcBorders>
            <w:shd w:val="clear" w:color="auto" w:fill="auto"/>
            <w:noWrap/>
            <w:vAlign w:val="bottom"/>
            <w:hideMark/>
          </w:tcPr>
          <w:p w:rsidR="00487508" w:rsidRPr="0045412A" w:rsidRDefault="00487508" w:rsidP="00F624BA">
            <w:pPr>
              <w:spacing w:after="0" w:line="240" w:lineRule="auto"/>
              <w:rPr>
                <w:rFonts w:ascii="Calibri" w:eastAsia="Times New Roman" w:hAnsi="Calibri" w:cs="Calibri"/>
                <w:color w:val="000000"/>
              </w:rPr>
            </w:pPr>
          </w:p>
        </w:tc>
        <w:tc>
          <w:tcPr>
            <w:tcW w:w="1940" w:type="dxa"/>
            <w:tcBorders>
              <w:top w:val="single" w:sz="4" w:space="0" w:color="auto"/>
              <w:left w:val="nil"/>
              <w:bottom w:val="single" w:sz="4" w:space="0" w:color="auto"/>
              <w:right w:val="nil"/>
            </w:tcBorders>
            <w:shd w:val="clear" w:color="auto" w:fill="auto"/>
            <w:noWrap/>
            <w:vAlign w:val="bottom"/>
            <w:hideMark/>
          </w:tcPr>
          <w:p w:rsidR="00487508" w:rsidRPr="0045412A" w:rsidRDefault="00487508" w:rsidP="00F624BA">
            <w:pPr>
              <w:spacing w:after="0" w:line="240" w:lineRule="auto"/>
              <w:rPr>
                <w:rFonts w:ascii="Times New Roman" w:eastAsia="Times New Roman" w:hAnsi="Times New Roman" w:cs="Times New Roman"/>
                <w:sz w:val="20"/>
                <w:szCs w:val="20"/>
              </w:rPr>
            </w:pPr>
          </w:p>
        </w:tc>
        <w:tc>
          <w:tcPr>
            <w:tcW w:w="1780" w:type="dxa"/>
            <w:tcBorders>
              <w:top w:val="single" w:sz="4" w:space="0" w:color="auto"/>
              <w:left w:val="nil"/>
              <w:bottom w:val="single" w:sz="4" w:space="0" w:color="auto"/>
              <w:right w:val="nil"/>
            </w:tcBorders>
            <w:shd w:val="clear" w:color="000000" w:fill="F2F2F2"/>
            <w:noWrap/>
            <w:vAlign w:val="bottom"/>
            <w:hideMark/>
          </w:tcPr>
          <w:p w:rsidR="00487508" w:rsidRPr="0045412A" w:rsidRDefault="00487508" w:rsidP="00F624B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487508" w:rsidRPr="0045412A" w:rsidTr="00F624BA">
        <w:trPr>
          <w:trHeight w:val="288"/>
        </w:trPr>
        <w:tc>
          <w:tcPr>
            <w:tcW w:w="9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08" w:rsidRPr="0045412A" w:rsidRDefault="00487508" w:rsidP="00F624BA">
            <w:pPr>
              <w:spacing w:after="0" w:line="240" w:lineRule="auto"/>
              <w:rPr>
                <w:rFonts w:ascii="Calibri" w:eastAsia="Times New Roman" w:hAnsi="Calibri" w:cs="Calibri"/>
                <w:color w:val="000000"/>
              </w:rPr>
            </w:pPr>
            <w:r w:rsidRPr="0045412A">
              <w:rPr>
                <w:rFonts w:ascii="Calibri" w:eastAsia="Times New Roman" w:hAnsi="Calibri" w:cs="Calibri"/>
                <w:b/>
                <w:bCs/>
                <w:color w:val="000000"/>
              </w:rPr>
              <w:t>Principal Adjustments - current year</w:t>
            </w:r>
            <w:r w:rsidRPr="0045412A">
              <w:rPr>
                <w:rFonts w:ascii="Calibri" w:eastAsia="Times New Roman" w:hAnsi="Calibri" w:cs="Calibri"/>
                <w:color w:val="000000"/>
              </w:rPr>
              <w:t> </w:t>
            </w:r>
          </w:p>
        </w:tc>
      </w:tr>
      <w:tr w:rsidR="00487508" w:rsidRPr="0045412A" w:rsidTr="00F624BA">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08" w:rsidRPr="003F450A" w:rsidRDefault="00487508" w:rsidP="00487508">
            <w:pPr>
              <w:pStyle w:val="ListParagraph"/>
              <w:numPr>
                <w:ilvl w:val="0"/>
                <w:numId w:val="42"/>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 xml:space="preserve">Cost of </w:t>
            </w:r>
            <w:r>
              <w:rPr>
                <w:rFonts w:ascii="Calibri" w:eastAsia="Times New Roman" w:hAnsi="Calibri" w:cs="Calibri"/>
                <w:color w:val="000000"/>
              </w:rPr>
              <w:t>power accrual for 2017</w:t>
            </w:r>
            <w:r w:rsidRPr="003F450A">
              <w:rPr>
                <w:rFonts w:ascii="Calibri" w:eastAsia="Times New Roman" w:hAnsi="Calibri" w:cs="Calibri"/>
                <w:color w:val="000000"/>
              </w:rPr>
              <w:t xml:space="preserve"> vs Actual per IESO bill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08" w:rsidRPr="0045412A" w:rsidRDefault="00487508" w:rsidP="00F624BA">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487508" w:rsidRPr="0045412A" w:rsidRDefault="00487508" w:rsidP="00F624B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487508" w:rsidRPr="0045412A" w:rsidTr="00F624BA">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08" w:rsidRPr="003F450A" w:rsidRDefault="00487508" w:rsidP="00487508">
            <w:pPr>
              <w:pStyle w:val="ListParagraph"/>
              <w:numPr>
                <w:ilvl w:val="0"/>
                <w:numId w:val="42"/>
              </w:numPr>
              <w:spacing w:after="0" w:line="240" w:lineRule="auto"/>
              <w:ind w:left="526" w:hanging="450"/>
              <w:rPr>
                <w:rFonts w:ascii="Calibri" w:eastAsia="Times New Roman" w:hAnsi="Calibri" w:cs="Calibri"/>
                <w:color w:val="000000"/>
              </w:rPr>
            </w:pPr>
            <w:r>
              <w:rPr>
                <w:rFonts w:ascii="Calibri" w:eastAsia="Times New Roman" w:hAnsi="Calibri" w:cs="Calibri"/>
                <w:color w:val="000000"/>
              </w:rPr>
              <w:t>True-up of CT 1142 for 2017 consumption recorded in 2018</w:t>
            </w:r>
            <w:r w:rsidRPr="003F450A">
              <w:rPr>
                <w:rFonts w:ascii="Calibri" w:eastAsia="Times New Roman" w:hAnsi="Calibri" w:cs="Calibri"/>
                <w:color w:val="000000"/>
              </w:rPr>
              <w:t xml:space="preserve"> GL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08" w:rsidRPr="0045412A" w:rsidRDefault="00487508" w:rsidP="00F624BA">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487508" w:rsidRPr="0045412A" w:rsidRDefault="00487508" w:rsidP="00F624B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487508" w:rsidRPr="0045412A" w:rsidTr="00F624BA">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08" w:rsidRPr="003F450A" w:rsidRDefault="00487508" w:rsidP="00487508">
            <w:pPr>
              <w:pStyle w:val="ListParagraph"/>
              <w:numPr>
                <w:ilvl w:val="0"/>
                <w:numId w:val="42"/>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Unbi</w:t>
            </w:r>
            <w:r>
              <w:rPr>
                <w:rFonts w:ascii="Calibri" w:eastAsia="Times New Roman" w:hAnsi="Calibri" w:cs="Calibri"/>
                <w:color w:val="000000"/>
              </w:rPr>
              <w:t>lled accrued vs. billed for 2017</w:t>
            </w:r>
            <w:r w:rsidRPr="003F450A">
              <w:rPr>
                <w:rFonts w:ascii="Calibri" w:eastAsia="Times New Roman" w:hAnsi="Calibri" w:cs="Calibri"/>
                <w:color w:val="000000"/>
              </w:rPr>
              <w:t xml:space="preserve">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08" w:rsidRPr="0045412A" w:rsidRDefault="00487508" w:rsidP="00F624BA">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487508" w:rsidRPr="0045412A" w:rsidRDefault="00487508" w:rsidP="00F624B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487508" w:rsidRPr="0045412A" w:rsidTr="00F624BA">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7508" w:rsidRPr="003F450A" w:rsidRDefault="00487508" w:rsidP="00487508">
            <w:pPr>
              <w:pStyle w:val="ListParagraph"/>
              <w:numPr>
                <w:ilvl w:val="0"/>
                <w:numId w:val="42"/>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True-up of RPP vs. Non-RPP allocatio</w:t>
            </w:r>
            <w:r>
              <w:rPr>
                <w:rFonts w:ascii="Calibri" w:eastAsia="Times New Roman" w:hAnsi="Calibri" w:cs="Calibri"/>
                <w:color w:val="000000"/>
              </w:rPr>
              <w:t>n of CT 148 based on actual 2017</w:t>
            </w:r>
            <w:r w:rsidRPr="003F450A">
              <w:rPr>
                <w:rFonts w:ascii="Calibri" w:eastAsia="Times New Roman" w:hAnsi="Calibri" w:cs="Calibri"/>
                <w:color w:val="000000"/>
              </w:rPr>
              <w:t xml:space="preserve">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08" w:rsidRPr="00487508" w:rsidRDefault="00487508" w:rsidP="00F624BA">
            <w:pPr>
              <w:spacing w:after="0" w:line="240" w:lineRule="auto"/>
              <w:rPr>
                <w:rFonts w:ascii="Calibri" w:eastAsia="Times New Roman" w:hAnsi="Calibri" w:cs="Calibri"/>
                <w:color w:val="00B050"/>
              </w:rPr>
            </w:pPr>
            <w:r w:rsidRPr="00487508">
              <w:rPr>
                <w:rFonts w:ascii="Calibri" w:eastAsia="Times New Roman" w:hAnsi="Calibri" w:cs="Calibri"/>
                <w:color w:val="00B050"/>
              </w:rPr>
              <w:t>$1,587,946</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487508" w:rsidRPr="0045412A" w:rsidRDefault="00487508" w:rsidP="00F624B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487508" w:rsidRPr="0045412A" w:rsidTr="00F624BA">
        <w:trPr>
          <w:trHeight w:val="342"/>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tcPr>
          <w:p w:rsidR="00487508" w:rsidRPr="003F450A" w:rsidRDefault="00487508" w:rsidP="00487508">
            <w:pPr>
              <w:pStyle w:val="ListParagraph"/>
              <w:numPr>
                <w:ilvl w:val="0"/>
                <w:numId w:val="42"/>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Other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7508" w:rsidRPr="00487508" w:rsidRDefault="00487508" w:rsidP="00F624BA">
            <w:pPr>
              <w:spacing w:after="0" w:line="240" w:lineRule="auto"/>
              <w:rPr>
                <w:rFonts w:ascii="Calibri" w:eastAsia="Times New Roman" w:hAnsi="Calibri" w:cs="Calibri"/>
                <w:color w:val="00B05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487508" w:rsidRPr="0045412A" w:rsidRDefault="00487508" w:rsidP="00F624BA">
            <w:pPr>
              <w:spacing w:after="0" w:line="240" w:lineRule="auto"/>
              <w:rPr>
                <w:rFonts w:ascii="Calibri" w:eastAsia="Times New Roman" w:hAnsi="Calibri" w:cs="Calibri"/>
                <w:color w:val="000000"/>
              </w:rPr>
            </w:pPr>
          </w:p>
        </w:tc>
      </w:tr>
      <w:tr w:rsidR="00487508" w:rsidRPr="0045412A" w:rsidTr="00F624BA">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08" w:rsidRPr="0045412A" w:rsidRDefault="00487508" w:rsidP="00F624BA">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Sub-Total Principal Adjustments for 201</w:t>
            </w:r>
            <w:r>
              <w:rPr>
                <w:rFonts w:ascii="Calibri" w:eastAsia="Times New Roman" w:hAnsi="Calibri" w:cs="Calibri"/>
                <w:b/>
                <w:bCs/>
                <w:color w:val="000000"/>
              </w:rPr>
              <w:t>7</w:t>
            </w:r>
            <w:r w:rsidRPr="0045412A">
              <w:rPr>
                <w:rFonts w:ascii="Calibri" w:eastAsia="Times New Roman" w:hAnsi="Calibri" w:cs="Calibri"/>
                <w:b/>
                <w:bCs/>
                <w:color w:val="000000"/>
              </w:rPr>
              <w:t xml:space="preserve"> consumption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08" w:rsidRPr="00487508" w:rsidRDefault="00487508" w:rsidP="00F624BA">
            <w:pPr>
              <w:spacing w:after="0" w:line="240" w:lineRule="auto"/>
              <w:rPr>
                <w:rFonts w:ascii="Calibri" w:eastAsia="Times New Roman" w:hAnsi="Calibri" w:cs="Calibri"/>
                <w:color w:val="00B050"/>
              </w:rPr>
            </w:pPr>
            <w:r w:rsidRPr="00487508">
              <w:rPr>
                <w:rFonts w:ascii="Calibri" w:eastAsia="Times New Roman" w:hAnsi="Calibri" w:cs="Calibri"/>
                <w:color w:val="00B050"/>
              </w:rPr>
              <w:t> $1,587,946</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487508" w:rsidRPr="0045412A" w:rsidRDefault="00487508" w:rsidP="00F624B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487508" w:rsidRPr="0045412A" w:rsidTr="00F624BA">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08" w:rsidRPr="0045412A" w:rsidRDefault="00487508" w:rsidP="00F624BA">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Total Prin</w:t>
            </w:r>
            <w:r>
              <w:rPr>
                <w:rFonts w:ascii="Calibri" w:eastAsia="Times New Roman" w:hAnsi="Calibri" w:cs="Calibri"/>
                <w:b/>
                <w:bCs/>
                <w:color w:val="000000"/>
              </w:rPr>
              <w:t>cipal Adjustments shown for 2017</w:t>
            </w:r>
            <w:r w:rsidRPr="0045412A">
              <w:rPr>
                <w:rFonts w:ascii="Calibri" w:eastAsia="Times New Roman" w:hAnsi="Calibri" w:cs="Calibri"/>
                <w:b/>
                <w:bCs/>
                <w:color w:val="000000"/>
              </w:rPr>
              <w:t xml:space="preserve"> (A +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08" w:rsidRPr="00487508" w:rsidRDefault="00487508" w:rsidP="00F624BA">
            <w:pPr>
              <w:spacing w:after="0" w:line="240" w:lineRule="auto"/>
              <w:rPr>
                <w:rFonts w:ascii="Calibri" w:eastAsia="Times New Roman" w:hAnsi="Calibri" w:cs="Calibri"/>
                <w:color w:val="00B050"/>
              </w:rPr>
            </w:pPr>
            <w:r w:rsidRPr="00487508">
              <w:rPr>
                <w:rFonts w:ascii="Calibri" w:eastAsia="Times New Roman" w:hAnsi="Calibri" w:cs="Calibri"/>
                <w:color w:val="00B050"/>
              </w:rPr>
              <w:t> $1,587,946</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487508" w:rsidRPr="0045412A" w:rsidRDefault="00487508" w:rsidP="00F624B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487508" w:rsidRPr="0045412A" w:rsidTr="00F624BA">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7508" w:rsidRPr="00487508" w:rsidRDefault="00487508" w:rsidP="00F624BA">
            <w:pPr>
              <w:spacing w:after="0" w:line="240" w:lineRule="auto"/>
              <w:jc w:val="right"/>
              <w:rPr>
                <w:rFonts w:ascii="Calibri" w:eastAsia="Times New Roman" w:hAnsi="Calibri" w:cs="Calibri"/>
                <w:b/>
                <w:bCs/>
                <w:color w:val="00B050"/>
              </w:rPr>
            </w:pPr>
            <w:r w:rsidRPr="00487508">
              <w:rPr>
                <w:rFonts w:cs="Arial"/>
                <w:color w:val="00B050"/>
                <w:sz w:val="24"/>
                <w:szCs w:val="24"/>
              </w:rPr>
              <w:t>Adjusted Net Change in Principal Balance in the DVA Continuity Schedule</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508" w:rsidRPr="00487508" w:rsidRDefault="00487508" w:rsidP="00487508">
            <w:pPr>
              <w:spacing w:after="0" w:line="240" w:lineRule="auto"/>
              <w:rPr>
                <w:rFonts w:ascii="Calibri" w:eastAsia="Times New Roman" w:hAnsi="Calibri" w:cs="Calibri"/>
                <w:color w:val="00B050"/>
              </w:rPr>
            </w:pPr>
            <w:r w:rsidRPr="00487508">
              <w:rPr>
                <w:rFonts w:ascii="Calibri" w:eastAsia="Times New Roman" w:hAnsi="Calibri" w:cs="Calibri"/>
                <w:color w:val="00B050"/>
              </w:rPr>
              <w:t>   $</w:t>
            </w:r>
            <w:r>
              <w:rPr>
                <w:rFonts w:ascii="Calibri" w:eastAsia="Times New Roman" w:hAnsi="Calibri" w:cs="Calibri"/>
                <w:color w:val="00B050"/>
              </w:rPr>
              <w:t>1,990,130</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487508" w:rsidRPr="0045412A" w:rsidRDefault="00487508" w:rsidP="00F624B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bl>
    <w:p w:rsidR="00487508" w:rsidRDefault="00487508" w:rsidP="00487508">
      <w:pPr>
        <w:rPr>
          <w:rFonts w:cs="Arial"/>
          <w:b/>
          <w:sz w:val="24"/>
          <w:szCs w:val="24"/>
        </w:rPr>
      </w:pPr>
    </w:p>
    <w:p w:rsidR="00436F28" w:rsidRPr="000A0FBD" w:rsidRDefault="00436F28" w:rsidP="000A0FBD">
      <w:pPr>
        <w:rPr>
          <w:rFonts w:cs="Arial"/>
          <w:b/>
          <w:sz w:val="24"/>
          <w:szCs w:val="24"/>
        </w:rPr>
      </w:pPr>
      <w:r w:rsidRPr="000A0FBD">
        <w:rPr>
          <w:rFonts w:cs="Arial"/>
          <w:b/>
          <w:sz w:val="24"/>
          <w:szCs w:val="24"/>
        </w:rPr>
        <w:t>Staff Follow-up Question #3</w:t>
      </w:r>
    </w:p>
    <w:p w:rsidR="007A6CEC" w:rsidRPr="007A6CEC" w:rsidRDefault="007A6CEC" w:rsidP="007A6CEC">
      <w:pPr>
        <w:rPr>
          <w:rFonts w:cs="Arial"/>
          <w:b/>
          <w:sz w:val="24"/>
          <w:szCs w:val="24"/>
        </w:rPr>
      </w:pPr>
      <w:r w:rsidRPr="007A6CEC">
        <w:rPr>
          <w:rFonts w:cs="Arial"/>
          <w:b/>
          <w:sz w:val="24"/>
          <w:szCs w:val="24"/>
        </w:rPr>
        <w:t xml:space="preserve">Ref: </w:t>
      </w:r>
      <w:r>
        <w:rPr>
          <w:rFonts w:cs="Arial"/>
          <w:b/>
          <w:sz w:val="24"/>
          <w:szCs w:val="24"/>
        </w:rPr>
        <w:t xml:space="preserve">Staff </w:t>
      </w:r>
      <w:r w:rsidRPr="007A6CEC">
        <w:rPr>
          <w:rFonts w:cs="Arial"/>
          <w:b/>
          <w:sz w:val="24"/>
          <w:szCs w:val="24"/>
        </w:rPr>
        <w:t xml:space="preserve">Question </w:t>
      </w:r>
      <w:r>
        <w:rPr>
          <w:rFonts w:cs="Arial"/>
          <w:b/>
          <w:sz w:val="24"/>
          <w:szCs w:val="24"/>
        </w:rPr>
        <w:t>#</w:t>
      </w:r>
      <w:r w:rsidRPr="007A6CEC">
        <w:rPr>
          <w:rFonts w:cs="Arial"/>
          <w:b/>
          <w:sz w:val="24"/>
          <w:szCs w:val="24"/>
        </w:rPr>
        <w:t>2</w:t>
      </w:r>
    </w:p>
    <w:p w:rsidR="00E249EC" w:rsidRDefault="007A6CEC" w:rsidP="007A6CEC">
      <w:pPr>
        <w:spacing w:after="240" w:line="240" w:lineRule="auto"/>
        <w:rPr>
          <w:rFonts w:cs="Arial"/>
          <w:sz w:val="24"/>
          <w:szCs w:val="24"/>
        </w:rPr>
      </w:pPr>
      <w:r w:rsidRPr="007A6CEC">
        <w:rPr>
          <w:rFonts w:cs="Arial"/>
          <w:sz w:val="24"/>
          <w:szCs w:val="24"/>
        </w:rPr>
        <w:t>Typically, large balances are not expected for Account 1588 as it should only hold the difference between actual and approved line losses. Oshawa PUC has made principal adjustments to Account 1588 for 2017 and 2018 so that the account would capture only the calendar year’s activity.</w:t>
      </w:r>
    </w:p>
    <w:p w:rsidR="007A6CEC" w:rsidRPr="004B643C" w:rsidRDefault="007A6CEC" w:rsidP="00E249EC">
      <w:pPr>
        <w:pStyle w:val="ListParagraph"/>
        <w:numPr>
          <w:ilvl w:val="0"/>
          <w:numId w:val="37"/>
        </w:numPr>
        <w:spacing w:after="240" w:line="240" w:lineRule="auto"/>
        <w:rPr>
          <w:rFonts w:cs="Arial"/>
          <w:sz w:val="24"/>
          <w:szCs w:val="24"/>
        </w:rPr>
      </w:pPr>
      <w:r w:rsidRPr="00E249EC">
        <w:rPr>
          <w:rFonts w:cs="Arial"/>
          <w:sz w:val="24"/>
          <w:szCs w:val="24"/>
        </w:rPr>
        <w:t xml:space="preserve">Please explain the high transactions of $2,703,632 in 2017 and ($3,356,572) in 2018 for Account </w:t>
      </w:r>
      <w:r w:rsidRPr="004B643C">
        <w:rPr>
          <w:rFonts w:cs="Arial"/>
          <w:sz w:val="24"/>
          <w:szCs w:val="24"/>
        </w:rPr>
        <w:t>1588 in consideration of line losses.</w:t>
      </w:r>
    </w:p>
    <w:p w:rsidR="00ED4CE5" w:rsidRDefault="00ED4CE5" w:rsidP="001450A1">
      <w:pPr>
        <w:pStyle w:val="ListParagraph"/>
        <w:spacing w:after="240" w:line="240" w:lineRule="auto"/>
        <w:rPr>
          <w:rFonts w:cs="Arial"/>
          <w:color w:val="FF0000"/>
          <w:sz w:val="24"/>
          <w:szCs w:val="24"/>
        </w:rPr>
      </w:pPr>
    </w:p>
    <w:p w:rsidR="00FF739E" w:rsidRPr="00ED4CE5" w:rsidRDefault="001450A1" w:rsidP="00ED4CE5">
      <w:pPr>
        <w:pStyle w:val="ListParagraph"/>
        <w:spacing w:after="240" w:line="240" w:lineRule="auto"/>
        <w:ind w:left="0"/>
        <w:rPr>
          <w:rFonts w:cs="Arial"/>
          <w:i/>
          <w:color w:val="2F5496" w:themeColor="accent5" w:themeShade="BF"/>
          <w:sz w:val="24"/>
          <w:szCs w:val="24"/>
        </w:rPr>
      </w:pPr>
      <w:r w:rsidRPr="00ED4CE5">
        <w:rPr>
          <w:rFonts w:cs="Arial"/>
          <w:i/>
          <w:color w:val="2F5496" w:themeColor="accent5" w:themeShade="BF"/>
          <w:sz w:val="24"/>
          <w:szCs w:val="24"/>
        </w:rPr>
        <w:t>The principal adjustments made are</w:t>
      </w:r>
      <w:r w:rsidR="007B39F0" w:rsidRPr="00ED4CE5">
        <w:rPr>
          <w:rFonts w:cs="Arial"/>
          <w:i/>
          <w:color w:val="2F5496" w:themeColor="accent5" w:themeShade="BF"/>
          <w:sz w:val="24"/>
          <w:szCs w:val="24"/>
        </w:rPr>
        <w:t xml:space="preserve"> the</w:t>
      </w:r>
      <w:r w:rsidRPr="00ED4CE5">
        <w:rPr>
          <w:rFonts w:cs="Arial"/>
          <w:i/>
          <w:color w:val="2F5496" w:themeColor="accent5" w:themeShade="BF"/>
          <w:sz w:val="24"/>
          <w:szCs w:val="24"/>
        </w:rPr>
        <w:t xml:space="preserve"> allocation difference due to RPP and non-RPP GA split true-up. </w:t>
      </w:r>
    </w:p>
    <w:p w:rsidR="00FF739E" w:rsidRPr="00ED4CE5" w:rsidRDefault="00FF739E" w:rsidP="00ED4CE5">
      <w:pPr>
        <w:pStyle w:val="ListParagraph"/>
        <w:spacing w:after="240" w:line="240" w:lineRule="auto"/>
        <w:ind w:left="0"/>
        <w:rPr>
          <w:rFonts w:cs="Arial"/>
          <w:i/>
          <w:color w:val="2F5496" w:themeColor="accent5" w:themeShade="BF"/>
          <w:sz w:val="24"/>
          <w:szCs w:val="24"/>
        </w:rPr>
      </w:pPr>
      <w:r w:rsidRPr="00ED4CE5">
        <w:rPr>
          <w:rFonts w:cs="Arial"/>
          <w:i/>
          <w:color w:val="2F5496" w:themeColor="accent5" w:themeShade="BF"/>
          <w:sz w:val="24"/>
          <w:szCs w:val="24"/>
        </w:rPr>
        <w:t xml:space="preserve">- </w:t>
      </w:r>
      <w:r w:rsidR="001450A1" w:rsidRPr="00ED4CE5">
        <w:rPr>
          <w:rFonts w:cs="Arial"/>
          <w:i/>
          <w:color w:val="2F5496" w:themeColor="accent5" w:themeShade="BF"/>
          <w:sz w:val="24"/>
          <w:szCs w:val="24"/>
        </w:rPr>
        <w:t>The monthly determination of RPP GA to be charged on the IESO invoice is based off billed data reports for the particular month (</w:t>
      </w:r>
      <w:proofErr w:type="spellStart"/>
      <w:r w:rsidR="001450A1" w:rsidRPr="00ED4CE5">
        <w:rPr>
          <w:rFonts w:cs="Arial"/>
          <w:i/>
          <w:color w:val="2F5496" w:themeColor="accent5" w:themeShade="BF"/>
          <w:sz w:val="24"/>
          <w:szCs w:val="24"/>
        </w:rPr>
        <w:t>ie</w:t>
      </w:r>
      <w:proofErr w:type="spellEnd"/>
      <w:r w:rsidR="001450A1" w:rsidRPr="00ED4CE5">
        <w:rPr>
          <w:rFonts w:cs="Arial"/>
          <w:i/>
          <w:color w:val="2F5496" w:themeColor="accent5" w:themeShade="BF"/>
          <w:sz w:val="24"/>
          <w:szCs w:val="24"/>
        </w:rPr>
        <w:t xml:space="preserve">. Jan billing report used as proxy for Jan GA charge from IESO). This then determines the allocation of the IESO GA charge between RPP and non-RPP classes. </w:t>
      </w:r>
    </w:p>
    <w:p w:rsidR="00FF739E" w:rsidRPr="00ED4CE5" w:rsidRDefault="00FF739E" w:rsidP="00ED4CE5">
      <w:pPr>
        <w:pStyle w:val="ListParagraph"/>
        <w:spacing w:after="240" w:line="240" w:lineRule="auto"/>
        <w:ind w:left="0"/>
        <w:rPr>
          <w:rFonts w:cs="Arial"/>
          <w:i/>
          <w:color w:val="2F5496" w:themeColor="accent5" w:themeShade="BF"/>
          <w:sz w:val="24"/>
          <w:szCs w:val="24"/>
        </w:rPr>
      </w:pPr>
      <w:r w:rsidRPr="00ED4CE5">
        <w:rPr>
          <w:rFonts w:cs="Arial"/>
          <w:i/>
          <w:color w:val="2F5496" w:themeColor="accent5" w:themeShade="BF"/>
          <w:sz w:val="24"/>
          <w:szCs w:val="24"/>
        </w:rPr>
        <w:t xml:space="preserve">- </w:t>
      </w:r>
      <w:r w:rsidR="001450A1" w:rsidRPr="00ED4CE5">
        <w:rPr>
          <w:rFonts w:cs="Arial"/>
          <w:i/>
          <w:color w:val="2F5496" w:themeColor="accent5" w:themeShade="BF"/>
          <w:sz w:val="24"/>
          <w:szCs w:val="24"/>
        </w:rPr>
        <w:t xml:space="preserve">The non-RPP amount is the total Class B GA Charge (charge type 148) less the RPP amount determined as above. A reconciling credit amount of $1,587,946 in 2017, and a reconciling debit amount of $2,969,517 in 2018 were identified to RSVA GA (1589) account. </w:t>
      </w:r>
    </w:p>
    <w:p w:rsidR="001450A1" w:rsidRPr="00ED4CE5" w:rsidRDefault="00FF739E" w:rsidP="00ED4CE5">
      <w:pPr>
        <w:pStyle w:val="ListParagraph"/>
        <w:spacing w:after="240" w:line="240" w:lineRule="auto"/>
        <w:ind w:left="0"/>
        <w:rPr>
          <w:rFonts w:cs="Arial"/>
          <w:i/>
          <w:color w:val="2F5496" w:themeColor="accent5" w:themeShade="BF"/>
          <w:sz w:val="24"/>
          <w:szCs w:val="24"/>
        </w:rPr>
      </w:pPr>
      <w:r w:rsidRPr="00ED4CE5">
        <w:rPr>
          <w:rFonts w:cs="Arial"/>
          <w:i/>
          <w:color w:val="2F5496" w:themeColor="accent5" w:themeShade="BF"/>
          <w:sz w:val="24"/>
          <w:szCs w:val="24"/>
        </w:rPr>
        <w:t xml:space="preserve">- </w:t>
      </w:r>
      <w:r w:rsidR="001450A1" w:rsidRPr="00ED4CE5">
        <w:rPr>
          <w:rFonts w:cs="Arial"/>
          <w:i/>
          <w:color w:val="2F5496" w:themeColor="accent5" w:themeShade="BF"/>
          <w:sz w:val="24"/>
          <w:szCs w:val="24"/>
        </w:rPr>
        <w:t>These amounts should be allocated to RSVA Power (1588) as it is a correcting adjustment to the monthly determination of RPP GA as submitted to the IESO via the 1598 Settlement process.</w:t>
      </w:r>
    </w:p>
    <w:p w:rsidR="00FF739E" w:rsidRPr="00ED4CE5" w:rsidRDefault="00FF739E" w:rsidP="00ED4CE5">
      <w:pPr>
        <w:pStyle w:val="ListParagraph"/>
        <w:spacing w:after="240" w:line="240" w:lineRule="auto"/>
        <w:ind w:left="0"/>
        <w:rPr>
          <w:rFonts w:cs="Arial"/>
          <w:i/>
          <w:color w:val="2F5496" w:themeColor="accent5" w:themeShade="BF"/>
          <w:sz w:val="24"/>
          <w:szCs w:val="24"/>
        </w:rPr>
      </w:pPr>
    </w:p>
    <w:p w:rsidR="00FF739E" w:rsidRPr="00ED4CE5" w:rsidRDefault="00FF739E" w:rsidP="00ED4CE5">
      <w:pPr>
        <w:pStyle w:val="ListParagraph"/>
        <w:spacing w:after="240" w:line="240" w:lineRule="auto"/>
        <w:ind w:left="0"/>
        <w:rPr>
          <w:rFonts w:cs="Arial"/>
          <w:i/>
          <w:color w:val="2F5496" w:themeColor="accent5" w:themeShade="BF"/>
          <w:sz w:val="24"/>
          <w:szCs w:val="24"/>
        </w:rPr>
      </w:pPr>
      <w:r w:rsidRPr="00ED4CE5">
        <w:rPr>
          <w:rFonts w:cs="Arial"/>
          <w:i/>
          <w:color w:val="2F5496" w:themeColor="accent5" w:themeShade="BF"/>
          <w:sz w:val="24"/>
          <w:szCs w:val="24"/>
        </w:rPr>
        <w:t>Per Continuity Schedule in IRM Rate Generator Model</w:t>
      </w:r>
      <w:r w:rsidR="00643495" w:rsidRPr="00ED4CE5">
        <w:rPr>
          <w:rFonts w:cs="Arial"/>
          <w:i/>
          <w:color w:val="2F5496" w:themeColor="accent5" w:themeShade="BF"/>
          <w:sz w:val="24"/>
          <w:szCs w:val="24"/>
        </w:rPr>
        <w:t>, after reconciling items are made to the principal balance.</w:t>
      </w:r>
    </w:p>
    <w:tbl>
      <w:tblPr>
        <w:tblStyle w:val="TableGrid"/>
        <w:tblW w:w="0" w:type="auto"/>
        <w:tblInd w:w="-5" w:type="dxa"/>
        <w:tblLook w:val="04A0" w:firstRow="1" w:lastRow="0" w:firstColumn="1" w:lastColumn="0" w:noHBand="0" w:noVBand="1"/>
      </w:tblPr>
      <w:tblGrid>
        <w:gridCol w:w="2838"/>
        <w:gridCol w:w="2899"/>
        <w:gridCol w:w="2893"/>
      </w:tblGrid>
      <w:tr w:rsidR="00ED4CE5" w:rsidRPr="00ED4CE5" w:rsidTr="004641E1">
        <w:tc>
          <w:tcPr>
            <w:tcW w:w="2838" w:type="dxa"/>
          </w:tcPr>
          <w:p w:rsidR="00FF739E" w:rsidRPr="00ED4CE5" w:rsidRDefault="00FF739E" w:rsidP="001450A1">
            <w:pPr>
              <w:pStyle w:val="ListParagraph"/>
              <w:spacing w:after="240"/>
              <w:ind w:left="0"/>
              <w:rPr>
                <w:rFonts w:cs="Arial"/>
                <w:i/>
                <w:color w:val="2F5496" w:themeColor="accent5" w:themeShade="BF"/>
                <w:sz w:val="24"/>
                <w:szCs w:val="24"/>
              </w:rPr>
            </w:pPr>
          </w:p>
        </w:tc>
        <w:tc>
          <w:tcPr>
            <w:tcW w:w="2899" w:type="dxa"/>
          </w:tcPr>
          <w:p w:rsidR="00FF739E" w:rsidRPr="00ED4CE5" w:rsidRDefault="00FF739E" w:rsidP="00FF739E">
            <w:pPr>
              <w:pStyle w:val="ListParagraph"/>
              <w:spacing w:after="240"/>
              <w:ind w:left="0"/>
              <w:jc w:val="center"/>
              <w:rPr>
                <w:rFonts w:cs="Arial"/>
                <w:i/>
                <w:color w:val="2F5496" w:themeColor="accent5" w:themeShade="BF"/>
                <w:sz w:val="24"/>
                <w:szCs w:val="24"/>
              </w:rPr>
            </w:pPr>
            <w:r w:rsidRPr="00ED4CE5">
              <w:rPr>
                <w:rFonts w:cs="Arial"/>
                <w:i/>
                <w:color w:val="2F5496" w:themeColor="accent5" w:themeShade="BF"/>
                <w:sz w:val="24"/>
                <w:szCs w:val="24"/>
              </w:rPr>
              <w:t>2017 Ending Principal Balance</w:t>
            </w:r>
          </w:p>
        </w:tc>
        <w:tc>
          <w:tcPr>
            <w:tcW w:w="2893" w:type="dxa"/>
          </w:tcPr>
          <w:p w:rsidR="00FF739E" w:rsidRPr="00ED4CE5" w:rsidRDefault="00FF739E" w:rsidP="00FF739E">
            <w:pPr>
              <w:pStyle w:val="ListParagraph"/>
              <w:spacing w:after="240"/>
              <w:ind w:left="0"/>
              <w:jc w:val="center"/>
              <w:rPr>
                <w:rFonts w:cs="Arial"/>
                <w:i/>
                <w:color w:val="2F5496" w:themeColor="accent5" w:themeShade="BF"/>
                <w:sz w:val="24"/>
                <w:szCs w:val="24"/>
              </w:rPr>
            </w:pPr>
            <w:r w:rsidRPr="00ED4CE5">
              <w:rPr>
                <w:rFonts w:cs="Arial"/>
                <w:i/>
                <w:color w:val="2F5496" w:themeColor="accent5" w:themeShade="BF"/>
                <w:sz w:val="24"/>
                <w:szCs w:val="24"/>
              </w:rPr>
              <w:t>2018 Ending Principal Balance</w:t>
            </w:r>
          </w:p>
        </w:tc>
      </w:tr>
      <w:tr w:rsidR="00ED4CE5" w:rsidRPr="00ED4CE5" w:rsidTr="004641E1">
        <w:tc>
          <w:tcPr>
            <w:tcW w:w="2838" w:type="dxa"/>
          </w:tcPr>
          <w:p w:rsidR="00FF739E" w:rsidRPr="00ED4CE5" w:rsidRDefault="00FF739E" w:rsidP="001450A1">
            <w:pPr>
              <w:pStyle w:val="ListParagraph"/>
              <w:spacing w:after="240"/>
              <w:ind w:left="0"/>
              <w:rPr>
                <w:rFonts w:cs="Arial"/>
                <w:i/>
                <w:color w:val="2F5496" w:themeColor="accent5" w:themeShade="BF"/>
                <w:sz w:val="24"/>
                <w:szCs w:val="24"/>
              </w:rPr>
            </w:pPr>
            <w:r w:rsidRPr="00ED4CE5">
              <w:rPr>
                <w:rFonts w:cs="Arial"/>
                <w:i/>
                <w:color w:val="2F5496" w:themeColor="accent5" w:themeShade="BF"/>
                <w:sz w:val="24"/>
                <w:szCs w:val="24"/>
              </w:rPr>
              <w:t>RSVA-Power</w:t>
            </w:r>
          </w:p>
        </w:tc>
        <w:tc>
          <w:tcPr>
            <w:tcW w:w="2899" w:type="dxa"/>
          </w:tcPr>
          <w:p w:rsidR="00FF739E" w:rsidRPr="00ED4CE5" w:rsidRDefault="00FF739E" w:rsidP="00FF739E">
            <w:pPr>
              <w:pStyle w:val="ListParagraph"/>
              <w:spacing w:after="240"/>
              <w:ind w:left="0"/>
              <w:jc w:val="center"/>
              <w:rPr>
                <w:rFonts w:cs="Arial"/>
                <w:i/>
                <w:color w:val="2F5496" w:themeColor="accent5" w:themeShade="BF"/>
                <w:sz w:val="24"/>
                <w:szCs w:val="24"/>
              </w:rPr>
            </w:pPr>
            <w:r w:rsidRPr="00ED4CE5">
              <w:rPr>
                <w:rFonts w:cs="Arial"/>
                <w:i/>
                <w:color w:val="2F5496" w:themeColor="accent5" w:themeShade="BF"/>
                <w:sz w:val="24"/>
                <w:szCs w:val="24"/>
              </w:rPr>
              <w:t>$2,831,333</w:t>
            </w:r>
          </w:p>
        </w:tc>
        <w:tc>
          <w:tcPr>
            <w:tcW w:w="2893" w:type="dxa"/>
          </w:tcPr>
          <w:p w:rsidR="00FF739E" w:rsidRPr="00ED4CE5" w:rsidRDefault="00FF739E" w:rsidP="00FF739E">
            <w:pPr>
              <w:pStyle w:val="ListParagraph"/>
              <w:spacing w:after="240"/>
              <w:ind w:left="0"/>
              <w:jc w:val="center"/>
              <w:rPr>
                <w:rFonts w:cs="Arial"/>
                <w:i/>
                <w:color w:val="2F5496" w:themeColor="accent5" w:themeShade="BF"/>
                <w:sz w:val="24"/>
                <w:szCs w:val="24"/>
              </w:rPr>
            </w:pPr>
            <w:r w:rsidRPr="00ED4CE5">
              <w:rPr>
                <w:rFonts w:cs="Arial"/>
                <w:i/>
                <w:color w:val="2F5496" w:themeColor="accent5" w:themeShade="BF"/>
                <w:sz w:val="24"/>
                <w:szCs w:val="24"/>
              </w:rPr>
              <w:t>$(705,204)</w:t>
            </w:r>
          </w:p>
        </w:tc>
      </w:tr>
      <w:tr w:rsidR="00ED4CE5" w:rsidRPr="00ED4CE5" w:rsidTr="004641E1">
        <w:tc>
          <w:tcPr>
            <w:tcW w:w="2838" w:type="dxa"/>
          </w:tcPr>
          <w:p w:rsidR="00FF739E" w:rsidRPr="00ED4CE5" w:rsidRDefault="00FF739E" w:rsidP="001450A1">
            <w:pPr>
              <w:pStyle w:val="ListParagraph"/>
              <w:spacing w:after="240"/>
              <w:ind w:left="0"/>
              <w:rPr>
                <w:rFonts w:cs="Arial"/>
                <w:i/>
                <w:color w:val="2F5496" w:themeColor="accent5" w:themeShade="BF"/>
                <w:sz w:val="24"/>
                <w:szCs w:val="24"/>
              </w:rPr>
            </w:pPr>
            <w:r w:rsidRPr="00ED4CE5">
              <w:rPr>
                <w:rFonts w:cs="Arial"/>
                <w:i/>
                <w:color w:val="2F5496" w:themeColor="accent5" w:themeShade="BF"/>
                <w:sz w:val="24"/>
                <w:szCs w:val="24"/>
              </w:rPr>
              <w:t>RSVA-GA</w:t>
            </w:r>
          </w:p>
        </w:tc>
        <w:tc>
          <w:tcPr>
            <w:tcW w:w="2899" w:type="dxa"/>
          </w:tcPr>
          <w:p w:rsidR="00FF739E" w:rsidRPr="00ED4CE5" w:rsidRDefault="00FF739E" w:rsidP="00FF739E">
            <w:pPr>
              <w:pStyle w:val="ListParagraph"/>
              <w:spacing w:after="240"/>
              <w:ind w:left="0"/>
              <w:jc w:val="center"/>
              <w:rPr>
                <w:rFonts w:cs="Arial"/>
                <w:i/>
                <w:color w:val="2F5496" w:themeColor="accent5" w:themeShade="BF"/>
                <w:sz w:val="24"/>
                <w:szCs w:val="24"/>
              </w:rPr>
            </w:pPr>
            <w:r w:rsidRPr="00ED4CE5">
              <w:rPr>
                <w:rFonts w:cs="Arial"/>
                <w:i/>
                <w:color w:val="2F5496" w:themeColor="accent5" w:themeShade="BF"/>
                <w:sz w:val="24"/>
                <w:szCs w:val="24"/>
              </w:rPr>
              <w:t>$(89,038)</w:t>
            </w:r>
          </w:p>
        </w:tc>
        <w:tc>
          <w:tcPr>
            <w:tcW w:w="2893" w:type="dxa"/>
          </w:tcPr>
          <w:p w:rsidR="00FF739E" w:rsidRPr="00ED4CE5" w:rsidRDefault="00FF739E" w:rsidP="00FF739E">
            <w:pPr>
              <w:pStyle w:val="ListParagraph"/>
              <w:spacing w:after="240"/>
              <w:ind w:left="0"/>
              <w:jc w:val="center"/>
              <w:rPr>
                <w:rFonts w:cs="Arial"/>
                <w:i/>
                <w:color w:val="2F5496" w:themeColor="accent5" w:themeShade="BF"/>
                <w:sz w:val="24"/>
                <w:szCs w:val="24"/>
              </w:rPr>
            </w:pPr>
            <w:r w:rsidRPr="00ED4CE5">
              <w:rPr>
                <w:rFonts w:cs="Arial"/>
                <w:i/>
                <w:color w:val="2F5496" w:themeColor="accent5" w:themeShade="BF"/>
                <w:sz w:val="24"/>
                <w:szCs w:val="24"/>
              </w:rPr>
              <w:t>$128,452</w:t>
            </w:r>
          </w:p>
        </w:tc>
      </w:tr>
    </w:tbl>
    <w:p w:rsidR="00FF739E" w:rsidRDefault="00FF739E" w:rsidP="00FE0859">
      <w:pPr>
        <w:spacing w:after="240" w:line="240" w:lineRule="auto"/>
        <w:rPr>
          <w:rFonts w:cs="Arial"/>
          <w:color w:val="FF0000"/>
          <w:sz w:val="24"/>
          <w:szCs w:val="24"/>
        </w:rPr>
      </w:pPr>
    </w:p>
    <w:p w:rsidR="00FE0859" w:rsidRPr="00FE0859" w:rsidRDefault="00FE0859" w:rsidP="00FE0859">
      <w:pPr>
        <w:pStyle w:val="NoSpacing"/>
        <w:rPr>
          <w:rFonts w:ascii="Arial" w:hAnsi="Arial" w:cs="Arial"/>
          <w:i/>
          <w:color w:val="00B050"/>
          <w:sz w:val="24"/>
          <w:szCs w:val="24"/>
        </w:rPr>
      </w:pPr>
      <w:r w:rsidRPr="00FE0859">
        <w:rPr>
          <w:rFonts w:ascii="Arial" w:hAnsi="Arial" w:cs="Arial"/>
          <w:i/>
          <w:color w:val="00B050"/>
          <w:sz w:val="24"/>
          <w:szCs w:val="24"/>
        </w:rPr>
        <w:t>Update:</w:t>
      </w:r>
    </w:p>
    <w:p w:rsidR="00FE0859" w:rsidRPr="00FE0859" w:rsidRDefault="00487508" w:rsidP="00FE0859">
      <w:pPr>
        <w:pStyle w:val="NoSpacing"/>
        <w:rPr>
          <w:rFonts w:ascii="Arial" w:hAnsi="Arial" w:cs="Arial"/>
          <w:i/>
          <w:color w:val="00B050"/>
          <w:sz w:val="24"/>
          <w:szCs w:val="24"/>
        </w:rPr>
      </w:pPr>
      <w:r>
        <w:rPr>
          <w:rFonts w:ascii="Arial" w:hAnsi="Arial" w:cs="Arial"/>
          <w:i/>
          <w:color w:val="00B050"/>
          <w:sz w:val="24"/>
          <w:szCs w:val="24"/>
        </w:rPr>
        <w:t xml:space="preserve">Please see updates that were made under Staff Follow </w:t>
      </w:r>
      <w:proofErr w:type="gramStart"/>
      <w:r>
        <w:rPr>
          <w:rFonts w:ascii="Arial" w:hAnsi="Arial" w:cs="Arial"/>
          <w:i/>
          <w:color w:val="00B050"/>
          <w:sz w:val="24"/>
          <w:szCs w:val="24"/>
        </w:rPr>
        <w:t>Up</w:t>
      </w:r>
      <w:proofErr w:type="gramEnd"/>
      <w:r>
        <w:rPr>
          <w:rFonts w:ascii="Arial" w:hAnsi="Arial" w:cs="Arial"/>
          <w:i/>
          <w:color w:val="00B050"/>
          <w:sz w:val="24"/>
          <w:szCs w:val="24"/>
        </w:rPr>
        <w:t xml:space="preserve"> Question #2 above. </w:t>
      </w:r>
    </w:p>
    <w:p w:rsidR="00FE0859" w:rsidRPr="00FE0859" w:rsidRDefault="00FE0859" w:rsidP="00FE0859">
      <w:pPr>
        <w:pStyle w:val="NoSpacing"/>
        <w:rPr>
          <w:rFonts w:ascii="Arial" w:hAnsi="Arial" w:cs="Arial"/>
          <w:i/>
          <w:color w:val="00B050"/>
          <w:sz w:val="24"/>
          <w:szCs w:val="24"/>
        </w:rPr>
      </w:pPr>
    </w:p>
    <w:p w:rsidR="00FE0859" w:rsidRPr="00FE0859" w:rsidRDefault="00FE0859" w:rsidP="00FE0859">
      <w:pPr>
        <w:spacing w:after="240" w:line="240" w:lineRule="auto"/>
        <w:rPr>
          <w:rFonts w:cs="Arial"/>
          <w:color w:val="FF0000"/>
          <w:sz w:val="24"/>
          <w:szCs w:val="24"/>
        </w:rPr>
      </w:pPr>
    </w:p>
    <w:p w:rsidR="00487508" w:rsidRDefault="00487508">
      <w:pPr>
        <w:rPr>
          <w:rFonts w:cs="Arial"/>
          <w:b/>
          <w:sz w:val="24"/>
          <w:szCs w:val="24"/>
        </w:rPr>
      </w:pPr>
      <w:r>
        <w:rPr>
          <w:rFonts w:cs="Arial"/>
          <w:b/>
          <w:sz w:val="24"/>
          <w:szCs w:val="24"/>
        </w:rPr>
        <w:br w:type="page"/>
      </w:r>
    </w:p>
    <w:p w:rsidR="00436F28" w:rsidRDefault="00436F28" w:rsidP="007A6CEC">
      <w:pPr>
        <w:rPr>
          <w:rFonts w:cs="Arial"/>
          <w:b/>
          <w:sz w:val="24"/>
          <w:szCs w:val="24"/>
        </w:rPr>
      </w:pPr>
      <w:r w:rsidRPr="007A6CEC">
        <w:rPr>
          <w:rFonts w:cs="Arial"/>
          <w:b/>
          <w:sz w:val="24"/>
          <w:szCs w:val="24"/>
        </w:rPr>
        <w:t xml:space="preserve">Staff </w:t>
      </w:r>
      <w:r>
        <w:rPr>
          <w:rFonts w:cs="Arial"/>
          <w:b/>
          <w:sz w:val="24"/>
          <w:szCs w:val="24"/>
        </w:rPr>
        <w:t xml:space="preserve">Follow-up </w:t>
      </w:r>
      <w:r w:rsidRPr="007A6CEC">
        <w:rPr>
          <w:rFonts w:cs="Arial"/>
          <w:b/>
          <w:sz w:val="24"/>
          <w:szCs w:val="24"/>
        </w:rPr>
        <w:t>Question #</w:t>
      </w:r>
      <w:r>
        <w:rPr>
          <w:rFonts w:cs="Arial"/>
          <w:b/>
          <w:sz w:val="24"/>
          <w:szCs w:val="24"/>
        </w:rPr>
        <w:t>4</w:t>
      </w:r>
    </w:p>
    <w:p w:rsidR="007A6CEC" w:rsidRPr="007A6CEC" w:rsidRDefault="007A6CEC" w:rsidP="007A6CEC">
      <w:pPr>
        <w:rPr>
          <w:rFonts w:cs="Arial"/>
          <w:b/>
          <w:sz w:val="24"/>
          <w:szCs w:val="24"/>
        </w:rPr>
      </w:pPr>
      <w:r w:rsidRPr="007A6CEC">
        <w:rPr>
          <w:rFonts w:cs="Arial"/>
          <w:b/>
          <w:sz w:val="24"/>
          <w:szCs w:val="24"/>
        </w:rPr>
        <w:t xml:space="preserve">Ref: </w:t>
      </w:r>
      <w:r>
        <w:rPr>
          <w:rFonts w:cs="Arial"/>
          <w:b/>
          <w:sz w:val="24"/>
          <w:szCs w:val="24"/>
        </w:rPr>
        <w:t xml:space="preserve">Staff </w:t>
      </w:r>
      <w:r w:rsidRPr="007A6CEC">
        <w:rPr>
          <w:rFonts w:cs="Arial"/>
          <w:b/>
          <w:sz w:val="24"/>
          <w:szCs w:val="24"/>
        </w:rPr>
        <w:t xml:space="preserve">Questions </w:t>
      </w:r>
      <w:r>
        <w:rPr>
          <w:rFonts w:cs="Arial"/>
          <w:b/>
          <w:sz w:val="24"/>
          <w:szCs w:val="24"/>
        </w:rPr>
        <w:t>#</w:t>
      </w:r>
      <w:r w:rsidRPr="007A6CEC">
        <w:rPr>
          <w:rFonts w:cs="Arial"/>
          <w:b/>
          <w:sz w:val="24"/>
          <w:szCs w:val="24"/>
        </w:rPr>
        <w:t xml:space="preserve">2 and </w:t>
      </w:r>
      <w:r>
        <w:rPr>
          <w:rFonts w:cs="Arial"/>
          <w:b/>
          <w:sz w:val="24"/>
          <w:szCs w:val="24"/>
        </w:rPr>
        <w:t>#</w:t>
      </w:r>
      <w:r w:rsidRPr="007A6CEC">
        <w:rPr>
          <w:rFonts w:cs="Arial"/>
          <w:b/>
          <w:sz w:val="24"/>
          <w:szCs w:val="24"/>
        </w:rPr>
        <w:t>4</w:t>
      </w:r>
    </w:p>
    <w:p w:rsidR="00E249EC" w:rsidRDefault="007A6CEC" w:rsidP="007A6CEC">
      <w:pPr>
        <w:rPr>
          <w:rFonts w:cs="Arial"/>
          <w:sz w:val="24"/>
          <w:szCs w:val="24"/>
        </w:rPr>
      </w:pPr>
      <w:r w:rsidRPr="007A6CEC">
        <w:rPr>
          <w:rFonts w:cs="Arial"/>
          <w:sz w:val="24"/>
          <w:szCs w:val="24"/>
        </w:rPr>
        <w:t>Principal adjustments are to be shown separately from transactions in the DVA Continuity Schedule. Question 2 shows Account 1588 principal adjustments for 2017 and 2018. Question 4 shows principal adjustments in the GA Anal</w:t>
      </w:r>
      <w:r w:rsidR="00E249EC">
        <w:rPr>
          <w:rFonts w:cs="Arial"/>
          <w:sz w:val="24"/>
          <w:szCs w:val="24"/>
        </w:rPr>
        <w:t>ysis Workform for Account 1589.</w:t>
      </w:r>
    </w:p>
    <w:p w:rsidR="007A6CEC" w:rsidRDefault="007A6CEC" w:rsidP="00E249EC">
      <w:pPr>
        <w:pStyle w:val="ListParagraph"/>
        <w:numPr>
          <w:ilvl w:val="0"/>
          <w:numId w:val="36"/>
        </w:numPr>
        <w:rPr>
          <w:rFonts w:cs="Arial"/>
          <w:sz w:val="24"/>
          <w:szCs w:val="24"/>
        </w:rPr>
      </w:pPr>
      <w:r w:rsidRPr="00E249EC">
        <w:rPr>
          <w:rFonts w:cs="Arial"/>
          <w:sz w:val="24"/>
          <w:szCs w:val="24"/>
        </w:rPr>
        <w:t>Please revise the DVA Continuity Schedule to show the principal adjustments and transactions separately.</w:t>
      </w:r>
    </w:p>
    <w:p w:rsidR="00ED4CE5" w:rsidRDefault="00ED4CE5" w:rsidP="00ED4CE5">
      <w:pPr>
        <w:pStyle w:val="ListParagraph"/>
        <w:ind w:left="0"/>
        <w:rPr>
          <w:rFonts w:cs="Arial"/>
          <w:i/>
          <w:color w:val="2F5496" w:themeColor="accent5" w:themeShade="BF"/>
          <w:sz w:val="24"/>
          <w:szCs w:val="24"/>
        </w:rPr>
      </w:pPr>
    </w:p>
    <w:p w:rsidR="000A0FBD" w:rsidRDefault="00DB6F93" w:rsidP="00487508">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The IRM Rate Generator Model is re</w:t>
      </w:r>
      <w:r w:rsidR="0066338E" w:rsidRPr="00ED4CE5">
        <w:rPr>
          <w:rFonts w:cs="Arial"/>
          <w:i/>
          <w:color w:val="2F5496" w:themeColor="accent5" w:themeShade="BF"/>
          <w:sz w:val="24"/>
          <w:szCs w:val="24"/>
        </w:rPr>
        <w:t>-submitted</w:t>
      </w:r>
      <w:r w:rsidRPr="00ED4CE5">
        <w:rPr>
          <w:rFonts w:cs="Arial"/>
          <w:i/>
          <w:color w:val="2F5496" w:themeColor="accent5" w:themeShade="BF"/>
          <w:sz w:val="24"/>
          <w:szCs w:val="24"/>
        </w:rPr>
        <w:t xml:space="preserve"> with updates made to the Continuity Schedule tab as requested. </w:t>
      </w:r>
    </w:p>
    <w:p w:rsidR="00487508" w:rsidRDefault="00487508" w:rsidP="00487508">
      <w:pPr>
        <w:pStyle w:val="ListParagraph"/>
        <w:ind w:left="0"/>
        <w:rPr>
          <w:rFonts w:cs="Arial"/>
          <w:b/>
          <w:sz w:val="24"/>
          <w:szCs w:val="24"/>
        </w:rPr>
      </w:pPr>
    </w:p>
    <w:p w:rsidR="00436F28" w:rsidRDefault="00436F28" w:rsidP="007A6CEC">
      <w:pPr>
        <w:rPr>
          <w:rFonts w:cs="Arial"/>
          <w:b/>
          <w:sz w:val="24"/>
          <w:szCs w:val="24"/>
        </w:rPr>
      </w:pPr>
      <w:r w:rsidRPr="007A6CEC">
        <w:rPr>
          <w:rFonts w:cs="Arial"/>
          <w:b/>
          <w:sz w:val="24"/>
          <w:szCs w:val="24"/>
        </w:rPr>
        <w:t xml:space="preserve">Staff </w:t>
      </w:r>
      <w:r>
        <w:rPr>
          <w:rFonts w:cs="Arial"/>
          <w:b/>
          <w:sz w:val="24"/>
          <w:szCs w:val="24"/>
        </w:rPr>
        <w:t xml:space="preserve">Follow-up </w:t>
      </w:r>
      <w:r w:rsidRPr="007A6CEC">
        <w:rPr>
          <w:rFonts w:cs="Arial"/>
          <w:b/>
          <w:sz w:val="24"/>
          <w:szCs w:val="24"/>
        </w:rPr>
        <w:t>Question #</w:t>
      </w:r>
      <w:r>
        <w:rPr>
          <w:rFonts w:cs="Arial"/>
          <w:b/>
          <w:sz w:val="24"/>
          <w:szCs w:val="24"/>
        </w:rPr>
        <w:t>5</w:t>
      </w:r>
    </w:p>
    <w:p w:rsidR="007A6CEC" w:rsidRDefault="007A6CEC" w:rsidP="007A6CEC">
      <w:pPr>
        <w:rPr>
          <w:rFonts w:cs="Arial"/>
          <w:b/>
          <w:sz w:val="24"/>
          <w:szCs w:val="24"/>
        </w:rPr>
      </w:pPr>
      <w:r w:rsidRPr="007A6CEC">
        <w:rPr>
          <w:rFonts w:cs="Arial"/>
          <w:b/>
          <w:sz w:val="24"/>
          <w:szCs w:val="24"/>
        </w:rPr>
        <w:t xml:space="preserve">Ref: </w:t>
      </w:r>
      <w:r>
        <w:rPr>
          <w:rFonts w:cs="Arial"/>
          <w:b/>
          <w:sz w:val="24"/>
          <w:szCs w:val="24"/>
        </w:rPr>
        <w:t xml:space="preserve">Staff </w:t>
      </w:r>
      <w:r w:rsidRPr="007A6CEC">
        <w:rPr>
          <w:rFonts w:cs="Arial"/>
          <w:b/>
          <w:sz w:val="24"/>
          <w:szCs w:val="24"/>
        </w:rPr>
        <w:t xml:space="preserve">Question </w:t>
      </w:r>
      <w:r>
        <w:rPr>
          <w:rFonts w:cs="Arial"/>
          <w:b/>
          <w:sz w:val="24"/>
          <w:szCs w:val="24"/>
        </w:rPr>
        <w:t>#</w:t>
      </w:r>
      <w:r w:rsidRPr="007A6CEC">
        <w:rPr>
          <w:rFonts w:cs="Arial"/>
          <w:b/>
          <w:sz w:val="24"/>
          <w:szCs w:val="24"/>
        </w:rPr>
        <w:t>4</w:t>
      </w:r>
    </w:p>
    <w:p w:rsidR="007A6CEC" w:rsidRDefault="001236F9" w:rsidP="007A6CEC">
      <w:pPr>
        <w:pStyle w:val="ListParagraph"/>
        <w:numPr>
          <w:ilvl w:val="0"/>
          <w:numId w:val="29"/>
        </w:numPr>
        <w:rPr>
          <w:rFonts w:cs="Arial"/>
          <w:sz w:val="24"/>
          <w:szCs w:val="24"/>
        </w:rPr>
      </w:pPr>
      <w:r>
        <w:rPr>
          <w:rFonts w:cs="Arial"/>
          <w:sz w:val="24"/>
          <w:szCs w:val="24"/>
        </w:rPr>
        <w:t>Response to initial Staff Question #4 p</w:t>
      </w:r>
      <w:r w:rsidR="007A6CEC" w:rsidRPr="007A6CEC">
        <w:rPr>
          <w:rFonts w:cs="Arial"/>
          <w:sz w:val="24"/>
          <w:szCs w:val="24"/>
        </w:rPr>
        <w:t>art a</w:t>
      </w:r>
      <w:r w:rsidR="004441CA">
        <w:rPr>
          <w:rFonts w:cs="Arial"/>
          <w:sz w:val="24"/>
          <w:szCs w:val="24"/>
        </w:rPr>
        <w:t>)</w:t>
      </w:r>
      <w:r w:rsidR="007A6CEC" w:rsidRPr="007A6CEC">
        <w:rPr>
          <w:rFonts w:cs="Arial"/>
          <w:sz w:val="24"/>
          <w:szCs w:val="24"/>
        </w:rPr>
        <w:t xml:space="preserve"> indicates that the Non-RPP Class B including Loss Factor Billed Consumption included losses on Class A customer consumption. Please explain how the loss consumption for Class A was identified. </w:t>
      </w:r>
    </w:p>
    <w:p w:rsidR="00ED4CE5" w:rsidRDefault="00ED4CE5" w:rsidP="0066338E">
      <w:pPr>
        <w:pStyle w:val="ListParagraph"/>
        <w:rPr>
          <w:rFonts w:cs="Arial"/>
          <w:i/>
          <w:color w:val="2F5496" w:themeColor="accent5" w:themeShade="BF"/>
          <w:sz w:val="24"/>
          <w:szCs w:val="24"/>
        </w:rPr>
      </w:pPr>
    </w:p>
    <w:p w:rsidR="00F71F54" w:rsidRPr="00ED4CE5" w:rsidRDefault="00F71F54"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The loss consumption for Class A customers was identified through review of the GA Analysis </w:t>
      </w:r>
      <w:proofErr w:type="spellStart"/>
      <w:r w:rsidRPr="00ED4CE5">
        <w:rPr>
          <w:rFonts w:cs="Arial"/>
          <w:i/>
          <w:color w:val="2F5496" w:themeColor="accent5" w:themeShade="BF"/>
          <w:sz w:val="24"/>
          <w:szCs w:val="24"/>
        </w:rPr>
        <w:t>workform</w:t>
      </w:r>
      <w:proofErr w:type="spellEnd"/>
      <w:r w:rsidRPr="00ED4CE5">
        <w:rPr>
          <w:rFonts w:cs="Arial"/>
          <w:i/>
          <w:color w:val="2F5496" w:themeColor="accent5" w:themeShade="BF"/>
          <w:sz w:val="24"/>
          <w:szCs w:val="24"/>
        </w:rPr>
        <w:t xml:space="preserve"> as a result of OEB staff questions. </w:t>
      </w:r>
    </w:p>
    <w:p w:rsidR="00AA75F5" w:rsidRDefault="00AA75F5" w:rsidP="00ED4CE5">
      <w:pPr>
        <w:pStyle w:val="ListParagraph"/>
        <w:ind w:left="0"/>
        <w:rPr>
          <w:rFonts w:cs="Arial"/>
          <w:i/>
          <w:color w:val="2F5496" w:themeColor="accent5" w:themeShade="BF"/>
          <w:sz w:val="24"/>
          <w:szCs w:val="24"/>
        </w:rPr>
      </w:pPr>
    </w:p>
    <w:p w:rsidR="00F71F54" w:rsidRPr="00ED4CE5" w:rsidRDefault="00F71F54"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It was identified that the Class consumption that was removed from the total non-RPP consumption was ‘pre-losses’. This was adjusted to remove the Class </w:t>
      </w:r>
      <w:proofErr w:type="gramStart"/>
      <w:r w:rsidRPr="00ED4CE5">
        <w:rPr>
          <w:rFonts w:cs="Arial"/>
          <w:i/>
          <w:color w:val="2F5496" w:themeColor="accent5" w:themeShade="BF"/>
          <w:sz w:val="24"/>
          <w:szCs w:val="24"/>
        </w:rPr>
        <w:t>A</w:t>
      </w:r>
      <w:proofErr w:type="gramEnd"/>
      <w:r w:rsidRPr="00ED4CE5">
        <w:rPr>
          <w:rFonts w:cs="Arial"/>
          <w:i/>
          <w:color w:val="2F5496" w:themeColor="accent5" w:themeShade="BF"/>
          <w:sz w:val="24"/>
          <w:szCs w:val="24"/>
        </w:rPr>
        <w:t xml:space="preserve"> consumption with losses. </w:t>
      </w:r>
    </w:p>
    <w:p w:rsidR="0066338E" w:rsidRPr="0066338E" w:rsidRDefault="0066338E" w:rsidP="0066338E">
      <w:pPr>
        <w:pStyle w:val="ListParagraph"/>
        <w:rPr>
          <w:rFonts w:cs="Arial"/>
          <w:color w:val="FF0000"/>
          <w:sz w:val="24"/>
          <w:szCs w:val="24"/>
        </w:rPr>
      </w:pPr>
    </w:p>
    <w:p w:rsidR="007A6CEC" w:rsidRDefault="001236F9" w:rsidP="007A6CEC">
      <w:pPr>
        <w:pStyle w:val="ListParagraph"/>
        <w:numPr>
          <w:ilvl w:val="0"/>
          <w:numId w:val="29"/>
        </w:numPr>
        <w:rPr>
          <w:rFonts w:cs="Arial"/>
          <w:sz w:val="24"/>
          <w:szCs w:val="24"/>
        </w:rPr>
      </w:pPr>
      <w:r>
        <w:rPr>
          <w:rFonts w:cs="Arial"/>
          <w:sz w:val="24"/>
          <w:szCs w:val="24"/>
        </w:rPr>
        <w:t>Response to initial Staff Question #4 p</w:t>
      </w:r>
      <w:r w:rsidR="007A6CEC" w:rsidRPr="007A6CEC">
        <w:rPr>
          <w:rFonts w:cs="Arial"/>
          <w:sz w:val="24"/>
          <w:szCs w:val="24"/>
        </w:rPr>
        <w:t>art a</w:t>
      </w:r>
      <w:r w:rsidR="006D2EEB">
        <w:rPr>
          <w:rFonts w:cs="Arial"/>
          <w:sz w:val="24"/>
          <w:szCs w:val="24"/>
        </w:rPr>
        <w:t>)</w:t>
      </w:r>
      <w:r w:rsidR="007A6CEC" w:rsidRPr="007A6CEC">
        <w:rPr>
          <w:rFonts w:cs="Arial"/>
          <w:sz w:val="24"/>
          <w:szCs w:val="24"/>
        </w:rPr>
        <w:t xml:space="preserve"> indicates that unbilled kWh for Jan to Nov was revised to reflect the respective 2017 and 2018 estimated unbilled rate. Please explain how this is a change from the unbilled kWh that was included in the GA Analysis Workform of the initial application.</w:t>
      </w:r>
      <w:r w:rsidR="00CF68C8">
        <w:rPr>
          <w:rFonts w:cs="Arial"/>
          <w:sz w:val="24"/>
          <w:szCs w:val="24"/>
        </w:rPr>
        <w:t xml:space="preserve"> Please clarify what the original unbilled kWh in the initial GA Analysis Workform represented. </w:t>
      </w:r>
    </w:p>
    <w:p w:rsidR="00203351" w:rsidRPr="00ED4CE5" w:rsidRDefault="00C31CB1" w:rsidP="00ED4CE5">
      <w:pPr>
        <w:rPr>
          <w:rFonts w:cs="Arial"/>
          <w:i/>
          <w:color w:val="2F5496" w:themeColor="accent5" w:themeShade="BF"/>
          <w:sz w:val="24"/>
          <w:szCs w:val="24"/>
        </w:rPr>
      </w:pPr>
      <w:r w:rsidRPr="00ED4CE5">
        <w:rPr>
          <w:rFonts w:cs="Arial"/>
          <w:i/>
          <w:color w:val="2F5496" w:themeColor="accent5" w:themeShade="BF"/>
          <w:sz w:val="24"/>
          <w:szCs w:val="24"/>
        </w:rPr>
        <w:t xml:space="preserve">The original unbilled </w:t>
      </w:r>
      <w:proofErr w:type="gramStart"/>
      <w:r w:rsidRPr="00ED4CE5">
        <w:rPr>
          <w:rFonts w:cs="Arial"/>
          <w:i/>
          <w:color w:val="2F5496" w:themeColor="accent5" w:themeShade="BF"/>
          <w:sz w:val="24"/>
          <w:szCs w:val="24"/>
        </w:rPr>
        <w:t>kwh</w:t>
      </w:r>
      <w:proofErr w:type="gramEnd"/>
      <w:r w:rsidRPr="00ED4CE5">
        <w:rPr>
          <w:rFonts w:cs="Arial"/>
          <w:i/>
          <w:color w:val="2F5496" w:themeColor="accent5" w:themeShade="BF"/>
          <w:sz w:val="24"/>
          <w:szCs w:val="24"/>
        </w:rPr>
        <w:t xml:space="preserve"> (col H in table 4) </w:t>
      </w:r>
      <w:r w:rsidR="00F71F54" w:rsidRPr="00ED4CE5">
        <w:rPr>
          <w:rFonts w:cs="Arial"/>
          <w:i/>
          <w:color w:val="2F5496" w:themeColor="accent5" w:themeShade="BF"/>
          <w:sz w:val="24"/>
          <w:szCs w:val="24"/>
        </w:rPr>
        <w:t xml:space="preserve">in the initial GA Analysis Workform </w:t>
      </w:r>
      <w:r w:rsidRPr="00ED4CE5">
        <w:rPr>
          <w:rFonts w:cs="Arial"/>
          <w:i/>
          <w:color w:val="2F5496" w:themeColor="accent5" w:themeShade="BF"/>
          <w:sz w:val="24"/>
          <w:szCs w:val="24"/>
        </w:rPr>
        <w:t>used a generic unbilled rate that applied to all customers</w:t>
      </w:r>
      <w:r w:rsidR="00F71F54" w:rsidRPr="00ED4CE5">
        <w:rPr>
          <w:rFonts w:cs="Arial"/>
          <w:i/>
          <w:color w:val="2F5496" w:themeColor="accent5" w:themeShade="BF"/>
          <w:sz w:val="24"/>
          <w:szCs w:val="24"/>
        </w:rPr>
        <w:t xml:space="preserve"> types</w:t>
      </w:r>
      <w:r w:rsidRPr="00ED4CE5">
        <w:rPr>
          <w:rFonts w:cs="Arial"/>
          <w:i/>
          <w:color w:val="2F5496" w:themeColor="accent5" w:themeShade="BF"/>
          <w:sz w:val="24"/>
          <w:szCs w:val="24"/>
        </w:rPr>
        <w:t xml:space="preserve"> (RPP and non-RPP). </w:t>
      </w:r>
    </w:p>
    <w:p w:rsidR="00C31CB1" w:rsidRDefault="00203351" w:rsidP="00ED4CE5">
      <w:pPr>
        <w:rPr>
          <w:rFonts w:cs="Arial"/>
          <w:i/>
          <w:color w:val="2F5496" w:themeColor="accent5" w:themeShade="BF"/>
          <w:sz w:val="24"/>
          <w:szCs w:val="24"/>
        </w:rPr>
      </w:pPr>
      <w:r w:rsidRPr="00ED4CE5">
        <w:rPr>
          <w:rFonts w:cs="Arial"/>
          <w:i/>
          <w:color w:val="2F5496" w:themeColor="accent5" w:themeShade="BF"/>
          <w:sz w:val="24"/>
          <w:szCs w:val="24"/>
        </w:rPr>
        <w:t xml:space="preserve">An analysis was done to determine the unbilled rate for non-RPP customers only, </w:t>
      </w:r>
      <w:r w:rsidR="00797694" w:rsidRPr="00ED4CE5">
        <w:rPr>
          <w:rFonts w:cs="Arial"/>
          <w:i/>
          <w:color w:val="2F5496" w:themeColor="accent5" w:themeShade="BF"/>
          <w:sz w:val="24"/>
          <w:szCs w:val="24"/>
        </w:rPr>
        <w:t>t</w:t>
      </w:r>
      <w:r w:rsidR="00F71F54" w:rsidRPr="00ED4CE5">
        <w:rPr>
          <w:rFonts w:cs="Arial"/>
          <w:i/>
          <w:color w:val="2F5496" w:themeColor="accent5" w:themeShade="BF"/>
          <w:sz w:val="24"/>
          <w:szCs w:val="24"/>
        </w:rPr>
        <w:t>o better represent the portion of Class B non-RPP unbilled consumption.</w:t>
      </w:r>
      <w:r w:rsidRPr="00ED4CE5">
        <w:rPr>
          <w:rFonts w:cs="Arial"/>
          <w:i/>
          <w:color w:val="2F5496" w:themeColor="accent5" w:themeShade="BF"/>
          <w:sz w:val="24"/>
          <w:szCs w:val="24"/>
        </w:rPr>
        <w:t xml:space="preserve"> </w:t>
      </w:r>
      <w:r w:rsidR="00C31CB1" w:rsidRPr="00ED4CE5">
        <w:rPr>
          <w:rFonts w:cs="Arial"/>
          <w:i/>
          <w:color w:val="2F5496" w:themeColor="accent5" w:themeShade="BF"/>
          <w:sz w:val="24"/>
          <w:szCs w:val="24"/>
        </w:rPr>
        <w:t xml:space="preserve"> </w:t>
      </w:r>
    </w:p>
    <w:p w:rsidR="00ED4CE5" w:rsidRPr="00ED4CE5" w:rsidRDefault="00ED4CE5" w:rsidP="00ED4CE5">
      <w:pPr>
        <w:rPr>
          <w:rFonts w:cs="Arial"/>
          <w:i/>
          <w:color w:val="2F5496" w:themeColor="accent5" w:themeShade="BF"/>
          <w:sz w:val="24"/>
          <w:szCs w:val="24"/>
        </w:rPr>
      </w:pPr>
    </w:p>
    <w:p w:rsidR="007A6CEC" w:rsidRPr="007A6CEC" w:rsidRDefault="001236F9" w:rsidP="007A6CEC">
      <w:pPr>
        <w:pStyle w:val="ListParagraph"/>
        <w:numPr>
          <w:ilvl w:val="0"/>
          <w:numId w:val="29"/>
        </w:numPr>
        <w:rPr>
          <w:rFonts w:cs="Arial"/>
          <w:sz w:val="24"/>
          <w:szCs w:val="24"/>
        </w:rPr>
      </w:pPr>
      <w:r>
        <w:rPr>
          <w:rFonts w:cs="Arial"/>
          <w:sz w:val="24"/>
          <w:szCs w:val="24"/>
        </w:rPr>
        <w:t>Response to initial Staff Question #4 p</w:t>
      </w:r>
      <w:r w:rsidR="007A6CEC" w:rsidRPr="007A6CEC">
        <w:rPr>
          <w:rFonts w:cs="Arial"/>
          <w:sz w:val="24"/>
          <w:szCs w:val="24"/>
        </w:rPr>
        <w:t>art d</w:t>
      </w:r>
      <w:r w:rsidR="006D2EEB">
        <w:rPr>
          <w:rFonts w:cs="Arial"/>
          <w:sz w:val="24"/>
          <w:szCs w:val="24"/>
        </w:rPr>
        <w:t xml:space="preserve">) </w:t>
      </w:r>
      <w:proofErr w:type="spellStart"/>
      <w:r w:rsidR="007A6CEC" w:rsidRPr="007A6CEC">
        <w:rPr>
          <w:rFonts w:cs="Arial"/>
          <w:sz w:val="24"/>
          <w:szCs w:val="24"/>
        </w:rPr>
        <w:t>i</w:t>
      </w:r>
      <w:proofErr w:type="spellEnd"/>
      <w:r w:rsidR="006D2EEB">
        <w:rPr>
          <w:rFonts w:cs="Arial"/>
          <w:sz w:val="24"/>
          <w:szCs w:val="24"/>
        </w:rPr>
        <w:t>.</w:t>
      </w:r>
      <w:r w:rsidR="007A6CEC" w:rsidRPr="007A6CEC">
        <w:rPr>
          <w:rFonts w:cs="Arial"/>
          <w:sz w:val="24"/>
          <w:szCs w:val="24"/>
        </w:rPr>
        <w:t xml:space="preserve"> states that it has been recording GA modifier credits to non-RPP customers in the GA expense account.</w:t>
      </w:r>
    </w:p>
    <w:p w:rsidR="007A6CEC" w:rsidRDefault="007A6CEC" w:rsidP="007A6CEC">
      <w:pPr>
        <w:pStyle w:val="ListParagraph"/>
        <w:numPr>
          <w:ilvl w:val="1"/>
          <w:numId w:val="29"/>
        </w:numPr>
        <w:rPr>
          <w:rFonts w:cs="Arial"/>
          <w:sz w:val="24"/>
          <w:szCs w:val="24"/>
        </w:rPr>
      </w:pPr>
      <w:r w:rsidRPr="007A6CEC">
        <w:rPr>
          <w:rFonts w:cs="Arial"/>
          <w:sz w:val="24"/>
          <w:szCs w:val="24"/>
        </w:rPr>
        <w:t>Please provide the journal entries used to record the transactions related to the GA modifier credits.</w:t>
      </w:r>
    </w:p>
    <w:p w:rsidR="00ED4CE5" w:rsidRDefault="00ED4CE5" w:rsidP="00ED4CE5">
      <w:pPr>
        <w:pStyle w:val="ListParagraph"/>
        <w:ind w:left="0"/>
        <w:rPr>
          <w:rFonts w:cs="Arial"/>
          <w:i/>
          <w:color w:val="2F5496" w:themeColor="accent5" w:themeShade="BF"/>
          <w:sz w:val="24"/>
          <w:szCs w:val="24"/>
        </w:rPr>
      </w:pPr>
    </w:p>
    <w:p w:rsidR="00ED4CE5" w:rsidRDefault="00203351"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GA is charged to the customer at the 1</w:t>
      </w:r>
      <w:r w:rsidRPr="00ED4CE5">
        <w:rPr>
          <w:rFonts w:cs="Arial"/>
          <w:i/>
          <w:color w:val="2F5496" w:themeColor="accent5" w:themeShade="BF"/>
          <w:sz w:val="24"/>
          <w:szCs w:val="24"/>
          <w:vertAlign w:val="superscript"/>
        </w:rPr>
        <w:t>st</w:t>
      </w:r>
      <w:r w:rsidRPr="00ED4CE5">
        <w:rPr>
          <w:rFonts w:cs="Arial"/>
          <w:i/>
          <w:color w:val="2F5496" w:themeColor="accent5" w:themeShade="BF"/>
          <w:sz w:val="24"/>
          <w:szCs w:val="24"/>
        </w:rPr>
        <w:t xml:space="preserve"> estimate rate</w:t>
      </w:r>
      <w:r w:rsidR="00950A59" w:rsidRPr="00ED4CE5">
        <w:rPr>
          <w:rFonts w:cs="Arial"/>
          <w:i/>
          <w:color w:val="2F5496" w:themeColor="accent5" w:themeShade="BF"/>
          <w:sz w:val="24"/>
          <w:szCs w:val="24"/>
        </w:rPr>
        <w:t xml:space="preserve"> (1</w:t>
      </w:r>
      <w:r w:rsidR="00950A59" w:rsidRPr="00ED4CE5">
        <w:rPr>
          <w:rFonts w:cs="Arial"/>
          <w:i/>
          <w:color w:val="2F5496" w:themeColor="accent5" w:themeShade="BF"/>
          <w:sz w:val="24"/>
          <w:szCs w:val="24"/>
          <w:vertAlign w:val="superscript"/>
        </w:rPr>
        <w:t>st</w:t>
      </w:r>
      <w:r w:rsidR="00950A59" w:rsidRPr="00ED4CE5">
        <w:rPr>
          <w:rFonts w:cs="Arial"/>
          <w:i/>
          <w:color w:val="2F5496" w:themeColor="accent5" w:themeShade="BF"/>
          <w:sz w:val="24"/>
          <w:szCs w:val="24"/>
        </w:rPr>
        <w:t xml:space="preserve"> estimate rate * consumption)</w:t>
      </w:r>
      <w:r w:rsidRPr="00ED4CE5">
        <w:rPr>
          <w:rFonts w:cs="Arial"/>
          <w:i/>
          <w:color w:val="2F5496" w:themeColor="accent5" w:themeShade="BF"/>
          <w:sz w:val="24"/>
          <w:szCs w:val="24"/>
        </w:rPr>
        <w:t xml:space="preserve">. Then the GA Modifier credit is calculated </w:t>
      </w:r>
      <w:r w:rsidR="00950A59" w:rsidRPr="00ED4CE5">
        <w:rPr>
          <w:rFonts w:cs="Arial"/>
          <w:i/>
          <w:color w:val="2F5496" w:themeColor="accent5" w:themeShade="BF"/>
          <w:sz w:val="24"/>
          <w:szCs w:val="24"/>
        </w:rPr>
        <w:t>(</w:t>
      </w:r>
      <w:r w:rsidR="006D3BC9" w:rsidRPr="00ED4CE5">
        <w:rPr>
          <w:rFonts w:cs="Arial"/>
          <w:i/>
          <w:color w:val="2F5496" w:themeColor="accent5" w:themeShade="BF"/>
          <w:sz w:val="24"/>
          <w:szCs w:val="24"/>
        </w:rPr>
        <w:t xml:space="preserve">GAM </w:t>
      </w:r>
      <w:r w:rsidRPr="00ED4CE5">
        <w:rPr>
          <w:rFonts w:cs="Arial"/>
          <w:i/>
          <w:color w:val="2F5496" w:themeColor="accent5" w:themeShade="BF"/>
          <w:sz w:val="24"/>
          <w:szCs w:val="24"/>
        </w:rPr>
        <w:t xml:space="preserve">rate * </w:t>
      </w:r>
      <w:r w:rsidR="00950A59" w:rsidRPr="00ED4CE5">
        <w:rPr>
          <w:rFonts w:cs="Arial"/>
          <w:i/>
          <w:color w:val="2F5496" w:themeColor="accent5" w:themeShade="BF"/>
          <w:sz w:val="24"/>
          <w:szCs w:val="24"/>
        </w:rPr>
        <w:t>consumption)</w:t>
      </w:r>
      <w:r w:rsidRPr="00ED4CE5">
        <w:rPr>
          <w:rFonts w:cs="Arial"/>
          <w:i/>
          <w:color w:val="2F5496" w:themeColor="accent5" w:themeShade="BF"/>
          <w:sz w:val="24"/>
          <w:szCs w:val="24"/>
        </w:rPr>
        <w:t xml:space="preserve">, and is subtracted from the </w:t>
      </w:r>
      <w:r w:rsidR="00950A59" w:rsidRPr="00ED4CE5">
        <w:rPr>
          <w:rFonts w:cs="Arial"/>
          <w:i/>
          <w:color w:val="2F5496" w:themeColor="accent5" w:themeShade="BF"/>
          <w:sz w:val="24"/>
          <w:szCs w:val="24"/>
        </w:rPr>
        <w:t>gross</w:t>
      </w:r>
      <w:r w:rsidRPr="00ED4CE5">
        <w:rPr>
          <w:rFonts w:cs="Arial"/>
          <w:i/>
          <w:color w:val="2F5496" w:themeColor="accent5" w:themeShade="BF"/>
          <w:sz w:val="24"/>
          <w:szCs w:val="24"/>
        </w:rPr>
        <w:t xml:space="preserve"> GA charge</w:t>
      </w:r>
      <w:r w:rsidR="00950A59" w:rsidRPr="00ED4CE5">
        <w:rPr>
          <w:rFonts w:cs="Arial"/>
          <w:i/>
          <w:color w:val="2F5496" w:themeColor="accent5" w:themeShade="BF"/>
          <w:sz w:val="24"/>
          <w:szCs w:val="24"/>
        </w:rPr>
        <w:t xml:space="preserve">. This produces a </w:t>
      </w:r>
      <w:r w:rsidRPr="00ED4CE5">
        <w:rPr>
          <w:rFonts w:cs="Arial"/>
          <w:i/>
          <w:color w:val="2F5496" w:themeColor="accent5" w:themeShade="BF"/>
          <w:sz w:val="24"/>
          <w:szCs w:val="24"/>
        </w:rPr>
        <w:t>net GA amount to be charged on the customer</w:t>
      </w:r>
      <w:r w:rsidR="003072FC" w:rsidRPr="00ED4CE5">
        <w:rPr>
          <w:rFonts w:cs="Arial"/>
          <w:i/>
          <w:color w:val="2F5496" w:themeColor="accent5" w:themeShade="BF"/>
          <w:sz w:val="24"/>
          <w:szCs w:val="24"/>
        </w:rPr>
        <w:t>’</w:t>
      </w:r>
      <w:r w:rsidRPr="00ED4CE5">
        <w:rPr>
          <w:rFonts w:cs="Arial"/>
          <w:i/>
          <w:color w:val="2F5496" w:themeColor="accent5" w:themeShade="BF"/>
          <w:sz w:val="24"/>
          <w:szCs w:val="24"/>
        </w:rPr>
        <w:t xml:space="preserve">s bill. </w:t>
      </w:r>
    </w:p>
    <w:p w:rsidR="00203351" w:rsidRPr="00ED4CE5" w:rsidRDefault="00203351"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For example: </w:t>
      </w:r>
    </w:p>
    <w:p w:rsidR="00203351" w:rsidRPr="00ED4CE5" w:rsidRDefault="00203351"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Total GA $100</w:t>
      </w:r>
    </w:p>
    <w:p w:rsidR="00203351" w:rsidRPr="00ED4CE5" w:rsidRDefault="00203351"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GAM       </w:t>
      </w:r>
      <w:r w:rsidRPr="00ED4CE5">
        <w:rPr>
          <w:rFonts w:cs="Arial"/>
          <w:i/>
          <w:color w:val="2F5496" w:themeColor="accent5" w:themeShade="BF"/>
          <w:sz w:val="24"/>
          <w:szCs w:val="24"/>
          <w:u w:val="single"/>
        </w:rPr>
        <w:t>($30)</w:t>
      </w:r>
    </w:p>
    <w:p w:rsidR="00203351" w:rsidRPr="00ED4CE5" w:rsidRDefault="00203351"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Net GA     $70</w:t>
      </w:r>
    </w:p>
    <w:p w:rsidR="00487508" w:rsidRDefault="00487508" w:rsidP="00ED4CE5">
      <w:pPr>
        <w:pStyle w:val="ListParagraph"/>
        <w:ind w:left="0"/>
        <w:rPr>
          <w:rFonts w:cs="Arial"/>
          <w:i/>
          <w:color w:val="2F5496" w:themeColor="accent5" w:themeShade="BF"/>
          <w:sz w:val="24"/>
          <w:szCs w:val="24"/>
        </w:rPr>
      </w:pPr>
    </w:p>
    <w:p w:rsidR="00203351" w:rsidRPr="00ED4CE5" w:rsidRDefault="00203351"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The </w:t>
      </w:r>
      <w:r w:rsidR="00950A59" w:rsidRPr="00ED4CE5">
        <w:rPr>
          <w:rFonts w:cs="Arial"/>
          <w:i/>
          <w:color w:val="2F5496" w:themeColor="accent5" w:themeShade="BF"/>
          <w:sz w:val="24"/>
          <w:szCs w:val="24"/>
        </w:rPr>
        <w:t xml:space="preserve">revenue </w:t>
      </w:r>
      <w:r w:rsidRPr="00ED4CE5">
        <w:rPr>
          <w:rFonts w:cs="Arial"/>
          <w:i/>
          <w:color w:val="2F5496" w:themeColor="accent5" w:themeShade="BF"/>
          <w:sz w:val="24"/>
          <w:szCs w:val="24"/>
        </w:rPr>
        <w:t xml:space="preserve">billing journal </w:t>
      </w:r>
      <w:r w:rsidR="003072FC" w:rsidRPr="00ED4CE5">
        <w:rPr>
          <w:rFonts w:cs="Arial"/>
          <w:i/>
          <w:color w:val="2F5496" w:themeColor="accent5" w:themeShade="BF"/>
          <w:sz w:val="24"/>
          <w:szCs w:val="24"/>
        </w:rPr>
        <w:t>posted would be</w:t>
      </w:r>
      <w:r w:rsidRPr="00ED4CE5">
        <w:rPr>
          <w:rFonts w:cs="Arial"/>
          <w:i/>
          <w:color w:val="2F5496" w:themeColor="accent5" w:themeShade="BF"/>
          <w:sz w:val="24"/>
          <w:szCs w:val="24"/>
        </w:rPr>
        <w:t>:</w:t>
      </w:r>
    </w:p>
    <w:p w:rsidR="00950A59" w:rsidRPr="00ED4CE5" w:rsidRDefault="00950A59"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DR.  Customer receivable $70</w:t>
      </w:r>
    </w:p>
    <w:p w:rsidR="00950A59" w:rsidRPr="00ED4CE5" w:rsidRDefault="00950A59"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CR.  GA billed (revenue) $70</w:t>
      </w:r>
    </w:p>
    <w:p w:rsidR="00203351" w:rsidRDefault="00203351" w:rsidP="00203351">
      <w:pPr>
        <w:pStyle w:val="ListParagraph"/>
        <w:ind w:left="1440"/>
        <w:rPr>
          <w:rFonts w:cs="Arial"/>
          <w:color w:val="FF0000"/>
          <w:sz w:val="24"/>
          <w:szCs w:val="24"/>
        </w:rPr>
      </w:pPr>
    </w:p>
    <w:p w:rsidR="00CF68C8" w:rsidRDefault="00CF68C8" w:rsidP="007A6CEC">
      <w:pPr>
        <w:pStyle w:val="ListParagraph"/>
        <w:numPr>
          <w:ilvl w:val="1"/>
          <w:numId w:val="29"/>
        </w:numPr>
        <w:rPr>
          <w:rFonts w:cs="Arial"/>
          <w:sz w:val="24"/>
          <w:szCs w:val="24"/>
        </w:rPr>
      </w:pPr>
      <w:r>
        <w:rPr>
          <w:rFonts w:cs="Arial"/>
          <w:sz w:val="24"/>
          <w:szCs w:val="24"/>
        </w:rPr>
        <w:t>Please explain why there is a balance that pertains to the GA modifier when transactions relating to the GA modifier are just flow-through transactions due to timing.</w:t>
      </w:r>
    </w:p>
    <w:p w:rsidR="00ED4CE5" w:rsidRDefault="00ED4CE5" w:rsidP="00ED4CE5">
      <w:pPr>
        <w:pStyle w:val="ListParagraph"/>
        <w:ind w:left="0"/>
        <w:rPr>
          <w:rFonts w:cs="Arial"/>
          <w:i/>
          <w:color w:val="2F5496" w:themeColor="accent5" w:themeShade="BF"/>
          <w:sz w:val="24"/>
          <w:szCs w:val="24"/>
        </w:rPr>
      </w:pPr>
    </w:p>
    <w:p w:rsidR="003072FC" w:rsidRPr="00ED4CE5" w:rsidRDefault="003072FC"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Oshawa has not been flowing these costs through to the IESO. These costs have been accumulating in the GA expense account. </w:t>
      </w:r>
    </w:p>
    <w:p w:rsidR="003072FC" w:rsidRPr="003072FC" w:rsidRDefault="003072FC" w:rsidP="003072FC">
      <w:pPr>
        <w:pStyle w:val="ListParagraph"/>
        <w:ind w:left="1440"/>
        <w:rPr>
          <w:rFonts w:cs="Arial"/>
          <w:color w:val="FF0000"/>
          <w:sz w:val="24"/>
          <w:szCs w:val="24"/>
        </w:rPr>
      </w:pPr>
    </w:p>
    <w:p w:rsidR="007A6CEC" w:rsidRDefault="007A6CEC" w:rsidP="007A6CEC">
      <w:pPr>
        <w:pStyle w:val="ListParagraph"/>
        <w:numPr>
          <w:ilvl w:val="1"/>
          <w:numId w:val="29"/>
        </w:numPr>
        <w:rPr>
          <w:rFonts w:cs="Arial"/>
          <w:sz w:val="24"/>
          <w:szCs w:val="24"/>
        </w:rPr>
      </w:pPr>
      <w:r w:rsidRPr="007A6CEC">
        <w:rPr>
          <w:rFonts w:cs="Arial"/>
          <w:sz w:val="24"/>
          <w:szCs w:val="24"/>
        </w:rPr>
        <w:t>Oshawa PUC indicates that it will take the appropriate steps to correct the settlement of GA modifier credits with the IESO. Please explain how the GA modifier credits affected the settlement with the IESO.</w:t>
      </w:r>
    </w:p>
    <w:p w:rsidR="00ED4CE5" w:rsidRDefault="00ED4CE5" w:rsidP="00ED4CE5">
      <w:pPr>
        <w:pStyle w:val="ListParagraph"/>
        <w:ind w:left="0"/>
        <w:rPr>
          <w:rFonts w:cs="Arial"/>
          <w:i/>
          <w:color w:val="2F5496" w:themeColor="accent5" w:themeShade="BF"/>
          <w:sz w:val="24"/>
          <w:szCs w:val="24"/>
        </w:rPr>
      </w:pPr>
    </w:p>
    <w:p w:rsidR="00950A59" w:rsidRPr="00ED4CE5" w:rsidRDefault="00622BD0"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Oshawa has not been settling the GA</w:t>
      </w:r>
      <w:r w:rsidR="00950A59" w:rsidRPr="00ED4CE5">
        <w:rPr>
          <w:rFonts w:cs="Arial"/>
          <w:i/>
          <w:color w:val="2F5496" w:themeColor="accent5" w:themeShade="BF"/>
          <w:sz w:val="24"/>
          <w:szCs w:val="24"/>
        </w:rPr>
        <w:t xml:space="preserve"> modifier credits with the IESO. They were not included on the IESO settlement. </w:t>
      </w:r>
    </w:p>
    <w:p w:rsidR="00487508" w:rsidRDefault="00487508" w:rsidP="00ED4CE5">
      <w:pPr>
        <w:pStyle w:val="ListParagraph"/>
        <w:ind w:left="0"/>
        <w:rPr>
          <w:rFonts w:cs="Arial"/>
          <w:i/>
          <w:color w:val="2F5496" w:themeColor="accent5" w:themeShade="BF"/>
          <w:sz w:val="24"/>
          <w:szCs w:val="24"/>
        </w:rPr>
      </w:pPr>
    </w:p>
    <w:p w:rsidR="00950A59" w:rsidRPr="00ED4CE5" w:rsidRDefault="00622BD0"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Going forward, Oshawa will begin flowing the GA Modifier credits through the “Ontario Fair Hydro Plan for Eligible non-RPP Customers – LDC &amp; USMP” settlement submission with the IESO. </w:t>
      </w:r>
    </w:p>
    <w:p w:rsidR="00950A59" w:rsidRPr="00ED4CE5" w:rsidRDefault="00950A59" w:rsidP="00ED4CE5">
      <w:pPr>
        <w:pStyle w:val="ListParagraph"/>
        <w:ind w:left="0"/>
        <w:rPr>
          <w:rFonts w:cs="Arial"/>
          <w:i/>
          <w:color w:val="2F5496" w:themeColor="accent5" w:themeShade="BF"/>
          <w:sz w:val="24"/>
          <w:szCs w:val="24"/>
        </w:rPr>
      </w:pPr>
    </w:p>
    <w:p w:rsidR="00622BD0" w:rsidRPr="00ED4CE5" w:rsidRDefault="00950A59"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The journal that will be posted as a result of this correction is (per example in part </w:t>
      </w:r>
      <w:proofErr w:type="spellStart"/>
      <w:r w:rsidRPr="00ED4CE5">
        <w:rPr>
          <w:rFonts w:cs="Arial"/>
          <w:i/>
          <w:color w:val="2F5496" w:themeColor="accent5" w:themeShade="BF"/>
          <w:sz w:val="24"/>
          <w:szCs w:val="24"/>
        </w:rPr>
        <w:t>i</w:t>
      </w:r>
      <w:proofErr w:type="spellEnd"/>
      <w:r w:rsidRPr="00ED4CE5">
        <w:rPr>
          <w:rFonts w:cs="Arial"/>
          <w:i/>
          <w:color w:val="2F5496" w:themeColor="accent5" w:themeShade="BF"/>
          <w:sz w:val="24"/>
          <w:szCs w:val="24"/>
        </w:rPr>
        <w:t>):</w:t>
      </w:r>
    </w:p>
    <w:p w:rsidR="00950A59" w:rsidRPr="00ED4CE5" w:rsidRDefault="00950A59"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DR. </w:t>
      </w:r>
      <w:r w:rsidR="00B7479B" w:rsidRPr="00ED4CE5">
        <w:rPr>
          <w:rFonts w:cs="Arial"/>
          <w:i/>
          <w:color w:val="2F5496" w:themeColor="accent5" w:themeShade="BF"/>
          <w:sz w:val="24"/>
          <w:szCs w:val="24"/>
        </w:rPr>
        <w:t>Customer receivable $100</w:t>
      </w:r>
    </w:p>
    <w:p w:rsidR="00B7479B" w:rsidRPr="00ED4CE5" w:rsidRDefault="00B7479B"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CR. GA billed (revenue) $100</w:t>
      </w:r>
    </w:p>
    <w:p w:rsidR="00B7479B" w:rsidRPr="00ED4CE5" w:rsidRDefault="00B7479B" w:rsidP="00ED4CE5">
      <w:pPr>
        <w:pStyle w:val="ListParagraph"/>
        <w:ind w:left="0"/>
        <w:rPr>
          <w:rFonts w:cs="Arial"/>
          <w:i/>
          <w:color w:val="2F5496" w:themeColor="accent5" w:themeShade="BF"/>
          <w:sz w:val="24"/>
          <w:szCs w:val="24"/>
        </w:rPr>
      </w:pPr>
    </w:p>
    <w:p w:rsidR="00950A59" w:rsidRPr="00ED4CE5" w:rsidRDefault="00950A59"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DR. OFHP suspense acct $30</w:t>
      </w:r>
    </w:p>
    <w:p w:rsidR="00950A59" w:rsidRPr="00ED4CE5" w:rsidRDefault="00950A59"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CR. Customer receivable $30</w:t>
      </w:r>
    </w:p>
    <w:p w:rsidR="00622BD0" w:rsidRPr="00622BD0" w:rsidRDefault="00622BD0" w:rsidP="00622BD0">
      <w:pPr>
        <w:pStyle w:val="ListParagraph"/>
        <w:ind w:left="1440"/>
        <w:rPr>
          <w:rFonts w:cs="Arial"/>
          <w:color w:val="FF0000"/>
          <w:sz w:val="24"/>
          <w:szCs w:val="24"/>
        </w:rPr>
      </w:pPr>
    </w:p>
    <w:p w:rsidR="00CF68C8" w:rsidRDefault="00CF68C8" w:rsidP="007A6CEC">
      <w:pPr>
        <w:pStyle w:val="ListParagraph"/>
        <w:numPr>
          <w:ilvl w:val="1"/>
          <w:numId w:val="29"/>
        </w:numPr>
        <w:rPr>
          <w:rFonts w:cs="Arial"/>
          <w:sz w:val="24"/>
          <w:szCs w:val="24"/>
        </w:rPr>
      </w:pPr>
      <w:r>
        <w:rPr>
          <w:rFonts w:cs="Arial"/>
          <w:sz w:val="24"/>
          <w:szCs w:val="24"/>
        </w:rPr>
        <w:t>When did Oshawa PUC start recording the GA Modifier in Account 1589?</w:t>
      </w:r>
    </w:p>
    <w:p w:rsidR="00ED4CE5" w:rsidRDefault="00ED4CE5" w:rsidP="00ED4CE5">
      <w:pPr>
        <w:pStyle w:val="ListParagraph"/>
        <w:ind w:left="0"/>
        <w:rPr>
          <w:rFonts w:cs="Arial"/>
          <w:i/>
          <w:color w:val="2F5496" w:themeColor="accent5" w:themeShade="BF"/>
          <w:sz w:val="24"/>
          <w:szCs w:val="24"/>
        </w:rPr>
      </w:pPr>
    </w:p>
    <w:p w:rsidR="00622BD0" w:rsidRPr="00ED4CE5" w:rsidRDefault="00622BD0"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Since the beginning of the GA Modifier credit, </w:t>
      </w:r>
      <w:proofErr w:type="spellStart"/>
      <w:r w:rsidRPr="00ED4CE5">
        <w:rPr>
          <w:rFonts w:cs="Arial"/>
          <w:i/>
          <w:color w:val="2F5496" w:themeColor="accent5" w:themeShade="BF"/>
          <w:sz w:val="24"/>
          <w:szCs w:val="24"/>
        </w:rPr>
        <w:t>ie</w:t>
      </w:r>
      <w:proofErr w:type="spellEnd"/>
      <w:r w:rsidRPr="00ED4CE5">
        <w:rPr>
          <w:rFonts w:cs="Arial"/>
          <w:i/>
          <w:color w:val="2F5496" w:themeColor="accent5" w:themeShade="BF"/>
          <w:sz w:val="24"/>
          <w:szCs w:val="24"/>
        </w:rPr>
        <w:t>, with bills affecting July 1</w:t>
      </w:r>
      <w:r w:rsidRPr="00ED4CE5">
        <w:rPr>
          <w:rFonts w:cs="Arial"/>
          <w:i/>
          <w:color w:val="2F5496" w:themeColor="accent5" w:themeShade="BF"/>
          <w:sz w:val="24"/>
          <w:szCs w:val="24"/>
          <w:vertAlign w:val="superscript"/>
        </w:rPr>
        <w:t>st</w:t>
      </w:r>
      <w:r w:rsidRPr="00ED4CE5">
        <w:rPr>
          <w:rFonts w:cs="Arial"/>
          <w:i/>
          <w:color w:val="2F5496" w:themeColor="accent5" w:themeShade="BF"/>
          <w:sz w:val="24"/>
          <w:szCs w:val="24"/>
        </w:rPr>
        <w:t xml:space="preserve">, 2017 consumption. </w:t>
      </w:r>
    </w:p>
    <w:p w:rsidR="00622BD0" w:rsidRPr="00622BD0" w:rsidRDefault="00622BD0" w:rsidP="00622BD0">
      <w:pPr>
        <w:pStyle w:val="ListParagraph"/>
        <w:ind w:left="1440"/>
        <w:rPr>
          <w:rFonts w:cs="Arial"/>
          <w:color w:val="FF0000"/>
          <w:sz w:val="24"/>
          <w:szCs w:val="24"/>
        </w:rPr>
      </w:pPr>
    </w:p>
    <w:p w:rsidR="00CF68C8" w:rsidRDefault="00CF68C8" w:rsidP="007A6CEC">
      <w:pPr>
        <w:pStyle w:val="ListParagraph"/>
        <w:numPr>
          <w:ilvl w:val="1"/>
          <w:numId w:val="29"/>
        </w:numPr>
        <w:rPr>
          <w:rFonts w:cs="Arial"/>
          <w:sz w:val="24"/>
          <w:szCs w:val="24"/>
        </w:rPr>
      </w:pPr>
      <w:r>
        <w:rPr>
          <w:rFonts w:cs="Arial"/>
          <w:sz w:val="24"/>
          <w:szCs w:val="24"/>
        </w:rPr>
        <w:t>When did Oshawa PUC identify that the GA Modifier should not be recorded in Account 1589?</w:t>
      </w:r>
    </w:p>
    <w:p w:rsidR="000A0FBD" w:rsidRDefault="000A0FBD" w:rsidP="00ED4CE5">
      <w:pPr>
        <w:pStyle w:val="ListParagraph"/>
        <w:ind w:left="0"/>
        <w:rPr>
          <w:rFonts w:cs="Arial"/>
          <w:i/>
          <w:color w:val="2F5496" w:themeColor="accent5" w:themeShade="BF"/>
          <w:sz w:val="24"/>
          <w:szCs w:val="24"/>
        </w:rPr>
      </w:pPr>
    </w:p>
    <w:p w:rsidR="00622BD0" w:rsidRPr="00ED4CE5" w:rsidRDefault="00797694"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In reviewing/responding to</w:t>
      </w:r>
      <w:r w:rsidR="00622BD0" w:rsidRPr="00ED4CE5">
        <w:rPr>
          <w:rFonts w:cs="Arial"/>
          <w:i/>
          <w:color w:val="2F5496" w:themeColor="accent5" w:themeShade="BF"/>
          <w:sz w:val="24"/>
          <w:szCs w:val="24"/>
        </w:rPr>
        <w:t xml:space="preserve"> the OEB staff question</w:t>
      </w:r>
      <w:r w:rsidR="006123BF" w:rsidRPr="00ED4CE5">
        <w:rPr>
          <w:rFonts w:cs="Arial"/>
          <w:i/>
          <w:color w:val="2F5496" w:themeColor="accent5" w:themeShade="BF"/>
          <w:sz w:val="24"/>
          <w:szCs w:val="24"/>
        </w:rPr>
        <w:t>s</w:t>
      </w:r>
      <w:r w:rsidR="00622BD0" w:rsidRPr="00ED4CE5">
        <w:rPr>
          <w:rFonts w:cs="Arial"/>
          <w:i/>
          <w:color w:val="2F5496" w:themeColor="accent5" w:themeShade="BF"/>
          <w:sz w:val="24"/>
          <w:szCs w:val="24"/>
        </w:rPr>
        <w:t xml:space="preserve"> Oshawa identif</w:t>
      </w:r>
      <w:r w:rsidRPr="00ED4CE5">
        <w:rPr>
          <w:rFonts w:cs="Arial"/>
          <w:i/>
          <w:color w:val="2F5496" w:themeColor="accent5" w:themeShade="BF"/>
          <w:sz w:val="24"/>
          <w:szCs w:val="24"/>
        </w:rPr>
        <w:t>ied</w:t>
      </w:r>
      <w:r w:rsidR="00622BD0" w:rsidRPr="00ED4CE5">
        <w:rPr>
          <w:rFonts w:cs="Arial"/>
          <w:i/>
          <w:color w:val="2F5496" w:themeColor="accent5" w:themeShade="BF"/>
          <w:sz w:val="24"/>
          <w:szCs w:val="24"/>
        </w:rPr>
        <w:t xml:space="preserve"> that GA Modifier should not be recorded in account 15</w:t>
      </w:r>
      <w:r w:rsidR="006123BF" w:rsidRPr="00ED4CE5">
        <w:rPr>
          <w:rFonts w:cs="Arial"/>
          <w:i/>
          <w:color w:val="2F5496" w:themeColor="accent5" w:themeShade="BF"/>
          <w:sz w:val="24"/>
          <w:szCs w:val="24"/>
        </w:rPr>
        <w:t>89</w:t>
      </w:r>
      <w:r w:rsidR="00622BD0" w:rsidRPr="00ED4CE5">
        <w:rPr>
          <w:rFonts w:cs="Arial"/>
          <w:i/>
          <w:color w:val="2F5496" w:themeColor="accent5" w:themeShade="BF"/>
          <w:sz w:val="24"/>
          <w:szCs w:val="24"/>
        </w:rPr>
        <w:t xml:space="preserve">. </w:t>
      </w:r>
    </w:p>
    <w:p w:rsidR="00622BD0" w:rsidRPr="007A6CEC" w:rsidRDefault="00622BD0" w:rsidP="00622BD0">
      <w:pPr>
        <w:pStyle w:val="ListParagraph"/>
        <w:ind w:left="1440"/>
        <w:rPr>
          <w:rFonts w:cs="Arial"/>
          <w:sz w:val="24"/>
          <w:szCs w:val="24"/>
        </w:rPr>
      </w:pPr>
    </w:p>
    <w:p w:rsidR="007A6CEC" w:rsidRPr="007A6CEC" w:rsidRDefault="001236F9" w:rsidP="007A6CEC">
      <w:pPr>
        <w:pStyle w:val="ListParagraph"/>
        <w:numPr>
          <w:ilvl w:val="0"/>
          <w:numId w:val="29"/>
        </w:numPr>
        <w:rPr>
          <w:rFonts w:cs="Arial"/>
          <w:sz w:val="24"/>
          <w:szCs w:val="24"/>
        </w:rPr>
      </w:pPr>
      <w:r>
        <w:rPr>
          <w:rFonts w:cs="Arial"/>
          <w:sz w:val="24"/>
          <w:szCs w:val="24"/>
        </w:rPr>
        <w:t>Response to initial Staff Question #4 p</w:t>
      </w:r>
      <w:r w:rsidR="007A6CEC" w:rsidRPr="007A6CEC">
        <w:rPr>
          <w:rFonts w:cs="Arial"/>
          <w:sz w:val="24"/>
          <w:szCs w:val="24"/>
        </w:rPr>
        <w:t>art d</w:t>
      </w:r>
      <w:r w:rsidR="006D2EEB">
        <w:rPr>
          <w:rFonts w:cs="Arial"/>
          <w:sz w:val="24"/>
          <w:szCs w:val="24"/>
        </w:rPr>
        <w:t xml:space="preserve">) </w:t>
      </w:r>
      <w:r w:rsidR="007A6CEC" w:rsidRPr="007A6CEC">
        <w:rPr>
          <w:rFonts w:cs="Arial"/>
          <w:sz w:val="24"/>
          <w:szCs w:val="24"/>
        </w:rPr>
        <w:t>ii</w:t>
      </w:r>
      <w:r w:rsidR="006D2EEB">
        <w:rPr>
          <w:rFonts w:cs="Arial"/>
          <w:sz w:val="24"/>
          <w:szCs w:val="24"/>
        </w:rPr>
        <w:t>.</w:t>
      </w:r>
      <w:r w:rsidR="007A6CEC" w:rsidRPr="007A6CEC">
        <w:rPr>
          <w:rFonts w:cs="Arial"/>
          <w:sz w:val="24"/>
          <w:szCs w:val="24"/>
        </w:rPr>
        <w:t xml:space="preserve"> </w:t>
      </w:r>
      <w:proofErr w:type="gramStart"/>
      <w:r w:rsidR="007A6CEC" w:rsidRPr="007A6CEC">
        <w:rPr>
          <w:rFonts w:cs="Arial"/>
          <w:sz w:val="24"/>
          <w:szCs w:val="24"/>
        </w:rPr>
        <w:t>states</w:t>
      </w:r>
      <w:proofErr w:type="gramEnd"/>
      <w:r w:rsidR="007A6CEC" w:rsidRPr="007A6CEC">
        <w:rPr>
          <w:rFonts w:cs="Arial"/>
          <w:sz w:val="24"/>
          <w:szCs w:val="24"/>
        </w:rPr>
        <w:t xml:space="preserve"> that the GA Modifier credits issued to Class A customers has been removed as reconciling item and a principal adjustment. </w:t>
      </w:r>
    </w:p>
    <w:p w:rsidR="007A6CEC" w:rsidRDefault="007A6CEC" w:rsidP="007A6CEC">
      <w:pPr>
        <w:pStyle w:val="ListParagraph"/>
        <w:numPr>
          <w:ilvl w:val="1"/>
          <w:numId w:val="29"/>
        </w:numPr>
        <w:rPr>
          <w:rFonts w:cs="Arial"/>
          <w:sz w:val="24"/>
          <w:szCs w:val="24"/>
        </w:rPr>
      </w:pPr>
      <w:r w:rsidRPr="007A6CEC">
        <w:rPr>
          <w:rFonts w:cs="Arial"/>
          <w:sz w:val="24"/>
          <w:szCs w:val="24"/>
        </w:rPr>
        <w:t>Please explain why it is no longer a reconciling item and principal adjustment.</w:t>
      </w:r>
    </w:p>
    <w:p w:rsidR="00ED4CE5" w:rsidRDefault="00ED4CE5" w:rsidP="00622BD0">
      <w:pPr>
        <w:pStyle w:val="ListParagraph"/>
        <w:ind w:left="1440"/>
        <w:rPr>
          <w:rFonts w:cs="Arial"/>
          <w:color w:val="FF0000"/>
          <w:sz w:val="24"/>
          <w:szCs w:val="24"/>
        </w:rPr>
      </w:pPr>
    </w:p>
    <w:p w:rsidR="00622BD0" w:rsidRPr="00ED4CE5" w:rsidRDefault="00622BD0"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Oshawa’s response to</w:t>
      </w:r>
      <w:r w:rsidR="00B7479B" w:rsidRPr="00ED4CE5">
        <w:rPr>
          <w:rFonts w:cs="Arial"/>
          <w:i/>
          <w:color w:val="2F5496" w:themeColor="accent5" w:themeShade="BF"/>
          <w:sz w:val="24"/>
          <w:szCs w:val="24"/>
        </w:rPr>
        <w:t xml:space="preserve"> initial</w:t>
      </w:r>
      <w:r w:rsidRPr="00ED4CE5">
        <w:rPr>
          <w:rFonts w:cs="Arial"/>
          <w:i/>
          <w:color w:val="2F5496" w:themeColor="accent5" w:themeShade="BF"/>
          <w:sz w:val="24"/>
          <w:szCs w:val="24"/>
        </w:rPr>
        <w:t xml:space="preserve"> Staff Question #4 </w:t>
      </w:r>
      <w:r w:rsidR="00B7479B" w:rsidRPr="00ED4CE5">
        <w:rPr>
          <w:rFonts w:cs="Arial"/>
          <w:i/>
          <w:color w:val="2F5496" w:themeColor="accent5" w:themeShade="BF"/>
          <w:sz w:val="24"/>
          <w:szCs w:val="24"/>
        </w:rPr>
        <w:t>was</w:t>
      </w:r>
      <w:r w:rsidRPr="00ED4CE5">
        <w:rPr>
          <w:rFonts w:cs="Arial"/>
          <w:i/>
          <w:color w:val="2F5496" w:themeColor="accent5" w:themeShade="BF"/>
          <w:sz w:val="24"/>
          <w:szCs w:val="24"/>
        </w:rPr>
        <w:t xml:space="preserve"> “For this reason this is a reconciling item, and the principal balance of RSVA GA will be appropriately adjusted to remove the GA Modifier credits.”</w:t>
      </w:r>
    </w:p>
    <w:p w:rsidR="00622BD0" w:rsidRPr="00ED4CE5" w:rsidRDefault="00622BD0" w:rsidP="00ED4CE5">
      <w:pPr>
        <w:pStyle w:val="ListParagraph"/>
        <w:ind w:left="0"/>
        <w:rPr>
          <w:rFonts w:cs="Arial"/>
          <w:i/>
          <w:color w:val="2F5496" w:themeColor="accent5" w:themeShade="BF"/>
          <w:sz w:val="24"/>
          <w:szCs w:val="24"/>
        </w:rPr>
      </w:pPr>
    </w:p>
    <w:p w:rsidR="00622BD0" w:rsidRPr="00ED4CE5" w:rsidRDefault="00622BD0"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This indicate</w:t>
      </w:r>
      <w:r w:rsidR="00B7479B" w:rsidRPr="00ED4CE5">
        <w:rPr>
          <w:rFonts w:cs="Arial"/>
          <w:i/>
          <w:color w:val="2F5496" w:themeColor="accent5" w:themeShade="BF"/>
          <w:sz w:val="24"/>
          <w:szCs w:val="24"/>
        </w:rPr>
        <w:t>s</w:t>
      </w:r>
      <w:r w:rsidRPr="00ED4CE5">
        <w:rPr>
          <w:rFonts w:cs="Arial"/>
          <w:i/>
          <w:color w:val="2F5496" w:themeColor="accent5" w:themeShade="BF"/>
          <w:sz w:val="24"/>
          <w:szCs w:val="24"/>
        </w:rPr>
        <w:t xml:space="preserve"> that the GA modifier credits are a reconciling item, and a principal adjustment. The statement refers to the removal of the GA modifier credits from the RSVA GA principal balance. </w:t>
      </w:r>
      <w:r w:rsidR="00B7479B" w:rsidRPr="00ED4CE5">
        <w:rPr>
          <w:rFonts w:cs="Arial"/>
          <w:i/>
          <w:color w:val="2F5496" w:themeColor="accent5" w:themeShade="BF"/>
          <w:sz w:val="24"/>
          <w:szCs w:val="24"/>
        </w:rPr>
        <w:t xml:space="preserve">Once the principal is adjusted, the GA modifier amounts are no longer a reconciling item. </w:t>
      </w:r>
    </w:p>
    <w:p w:rsidR="00622BD0" w:rsidRPr="00622BD0" w:rsidRDefault="00622BD0" w:rsidP="00622BD0">
      <w:pPr>
        <w:pStyle w:val="ListParagraph"/>
        <w:ind w:left="1440"/>
        <w:rPr>
          <w:rFonts w:cs="Arial"/>
          <w:color w:val="FF0000"/>
          <w:sz w:val="24"/>
          <w:szCs w:val="24"/>
        </w:rPr>
      </w:pPr>
    </w:p>
    <w:p w:rsidR="00CF68C8" w:rsidRDefault="007A6CEC" w:rsidP="007A6CEC">
      <w:pPr>
        <w:pStyle w:val="ListParagraph"/>
        <w:numPr>
          <w:ilvl w:val="1"/>
          <w:numId w:val="29"/>
        </w:numPr>
        <w:rPr>
          <w:rFonts w:cs="Arial"/>
          <w:sz w:val="24"/>
          <w:szCs w:val="24"/>
        </w:rPr>
      </w:pPr>
      <w:r w:rsidRPr="007A6CEC">
        <w:rPr>
          <w:rFonts w:cs="Arial"/>
          <w:sz w:val="24"/>
          <w:szCs w:val="24"/>
        </w:rPr>
        <w:t>Please explain how the treatment of the GA Modifier credits issued to Class A customers differs from that of GA Modifier credits for Class B customers as noted in reconciling item 10.</w:t>
      </w:r>
    </w:p>
    <w:p w:rsidR="00ED4CE5" w:rsidRDefault="00ED4CE5" w:rsidP="00ED4CE5">
      <w:pPr>
        <w:pStyle w:val="ListParagraph"/>
        <w:ind w:left="0"/>
        <w:rPr>
          <w:rFonts w:cs="Arial"/>
          <w:i/>
          <w:color w:val="2F5496" w:themeColor="accent5" w:themeShade="BF"/>
          <w:sz w:val="24"/>
          <w:szCs w:val="24"/>
        </w:rPr>
      </w:pPr>
    </w:p>
    <w:p w:rsidR="006123BF" w:rsidRPr="00ED4CE5" w:rsidRDefault="00B7479B"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Please r</w:t>
      </w:r>
      <w:r w:rsidR="006123BF" w:rsidRPr="00ED4CE5">
        <w:rPr>
          <w:rFonts w:cs="Arial"/>
          <w:i/>
          <w:color w:val="2F5496" w:themeColor="accent5" w:themeShade="BF"/>
          <w:sz w:val="24"/>
          <w:szCs w:val="24"/>
        </w:rPr>
        <w:t>efer to response in e)</w:t>
      </w:r>
      <w:r w:rsidRPr="00ED4CE5">
        <w:rPr>
          <w:rFonts w:cs="Arial"/>
          <w:i/>
          <w:color w:val="2F5496" w:themeColor="accent5" w:themeShade="BF"/>
          <w:sz w:val="24"/>
          <w:szCs w:val="24"/>
        </w:rPr>
        <w:t xml:space="preserve"> below. It appears the OEB is referring to the outdated GA Analysis Workform. </w:t>
      </w:r>
    </w:p>
    <w:p w:rsidR="0066244E" w:rsidRPr="00FC4F79" w:rsidRDefault="0066244E" w:rsidP="00ED4CE5">
      <w:pPr>
        <w:pStyle w:val="ListParagraph"/>
        <w:ind w:left="0"/>
        <w:rPr>
          <w:rFonts w:cs="Arial"/>
          <w:color w:val="FF0000"/>
          <w:sz w:val="24"/>
          <w:szCs w:val="24"/>
        </w:rPr>
      </w:pPr>
      <w:r w:rsidRPr="00ED4CE5">
        <w:rPr>
          <w:rFonts w:cs="Arial"/>
          <w:i/>
          <w:color w:val="2F5496" w:themeColor="accent5" w:themeShade="BF"/>
          <w:sz w:val="24"/>
          <w:szCs w:val="24"/>
        </w:rPr>
        <w:t>Reconciling item #10 pertains to the true-up of non-RPP bal</w:t>
      </w:r>
      <w:r w:rsidR="00B7479B" w:rsidRPr="00ED4CE5">
        <w:rPr>
          <w:rFonts w:cs="Arial"/>
          <w:i/>
          <w:color w:val="2F5496" w:themeColor="accent5" w:themeShade="BF"/>
          <w:sz w:val="24"/>
          <w:szCs w:val="24"/>
        </w:rPr>
        <w:t>ances in RSVA GA and RSVA Power in the updated GA Analysis Workform.</w:t>
      </w:r>
      <w:r w:rsidR="00B7479B" w:rsidRPr="00ED4CE5">
        <w:rPr>
          <w:rFonts w:cs="Arial"/>
          <w:color w:val="2F5496" w:themeColor="accent5" w:themeShade="BF"/>
          <w:sz w:val="24"/>
          <w:szCs w:val="24"/>
        </w:rPr>
        <w:t xml:space="preserve"> </w:t>
      </w:r>
      <w:r w:rsidRPr="00ED4CE5">
        <w:rPr>
          <w:rFonts w:cs="Arial"/>
          <w:color w:val="2F5496" w:themeColor="accent5" w:themeShade="BF"/>
          <w:sz w:val="24"/>
          <w:szCs w:val="24"/>
        </w:rPr>
        <w:t xml:space="preserve"> </w:t>
      </w:r>
    </w:p>
    <w:p w:rsidR="0066244E" w:rsidRPr="0066244E" w:rsidRDefault="0066244E" w:rsidP="0066244E">
      <w:pPr>
        <w:pStyle w:val="ListParagraph"/>
        <w:ind w:left="1440"/>
        <w:rPr>
          <w:rFonts w:cs="Arial"/>
          <w:color w:val="FF0000"/>
          <w:sz w:val="24"/>
          <w:szCs w:val="24"/>
        </w:rPr>
      </w:pPr>
    </w:p>
    <w:p w:rsidR="007A6CEC" w:rsidRDefault="00CF68C8" w:rsidP="00705D6F">
      <w:pPr>
        <w:pStyle w:val="ListParagraph"/>
        <w:numPr>
          <w:ilvl w:val="0"/>
          <w:numId w:val="29"/>
        </w:numPr>
        <w:rPr>
          <w:rFonts w:cs="Arial"/>
          <w:sz w:val="24"/>
          <w:szCs w:val="24"/>
        </w:rPr>
      </w:pPr>
      <w:r>
        <w:rPr>
          <w:rFonts w:cs="Arial"/>
          <w:sz w:val="24"/>
          <w:szCs w:val="24"/>
        </w:rPr>
        <w:t xml:space="preserve">Please provide a monthly analysis showing the quantification of the GA modifier transactions for Class A and Class B customers. Please also show how this analysis </w:t>
      </w:r>
      <w:r w:rsidR="00705D6F">
        <w:rPr>
          <w:rFonts w:cs="Arial"/>
          <w:sz w:val="24"/>
          <w:szCs w:val="24"/>
        </w:rPr>
        <w:t>ties to the reconciling items of ($1,070,000) and ($5,400</w:t>
      </w:r>
      <w:r w:rsidR="00AA75F5">
        <w:rPr>
          <w:rFonts w:cs="Arial"/>
          <w:sz w:val="24"/>
          <w:szCs w:val="24"/>
        </w:rPr>
        <w:t xml:space="preserve">,000) for Class B customers in </w:t>
      </w:r>
      <w:r w:rsidR="00705D6F">
        <w:rPr>
          <w:rFonts w:cs="Arial"/>
          <w:sz w:val="24"/>
          <w:szCs w:val="24"/>
        </w:rPr>
        <w:t>2017 and 2018, respectively and $2,418,000 for Class A customers in 2018.</w:t>
      </w:r>
    </w:p>
    <w:p w:rsidR="00ED4CE5" w:rsidRDefault="00ED4CE5" w:rsidP="00ED4CE5">
      <w:pPr>
        <w:pStyle w:val="ListParagraph"/>
        <w:ind w:left="0"/>
        <w:rPr>
          <w:rFonts w:cs="Arial"/>
          <w:i/>
          <w:color w:val="2F5496" w:themeColor="accent5" w:themeShade="BF"/>
          <w:sz w:val="24"/>
          <w:szCs w:val="24"/>
        </w:rPr>
      </w:pPr>
    </w:p>
    <w:p w:rsidR="000A6A33" w:rsidRPr="00ED4CE5" w:rsidRDefault="000A6A33"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It appears the OEB is referring to the </w:t>
      </w:r>
      <w:r w:rsidR="006123BF" w:rsidRPr="00ED4CE5">
        <w:rPr>
          <w:rFonts w:cs="Arial"/>
          <w:i/>
          <w:color w:val="2F5496" w:themeColor="accent5" w:themeShade="BF"/>
          <w:sz w:val="24"/>
          <w:szCs w:val="24"/>
        </w:rPr>
        <w:t>outdated</w:t>
      </w:r>
      <w:r w:rsidRPr="00ED4CE5">
        <w:rPr>
          <w:rFonts w:cs="Arial"/>
          <w:i/>
          <w:color w:val="2F5496" w:themeColor="accent5" w:themeShade="BF"/>
          <w:sz w:val="24"/>
          <w:szCs w:val="24"/>
        </w:rPr>
        <w:t xml:space="preserve"> GA Analysis Workform (submitted August 12</w:t>
      </w:r>
      <w:r w:rsidRPr="00ED4CE5">
        <w:rPr>
          <w:rFonts w:cs="Arial"/>
          <w:i/>
          <w:color w:val="2F5496" w:themeColor="accent5" w:themeShade="BF"/>
          <w:sz w:val="24"/>
          <w:szCs w:val="24"/>
          <w:vertAlign w:val="superscript"/>
        </w:rPr>
        <w:t>th</w:t>
      </w:r>
      <w:r w:rsidRPr="00ED4CE5">
        <w:rPr>
          <w:rFonts w:cs="Arial"/>
          <w:i/>
          <w:color w:val="2F5496" w:themeColor="accent5" w:themeShade="BF"/>
          <w:sz w:val="24"/>
          <w:szCs w:val="24"/>
        </w:rPr>
        <w:t>, “EB-2019-0062_2020_GA_Analysis_Workform_v1.9_20190812.xlsx”)</w:t>
      </w:r>
      <w:r w:rsidR="00FC4F79" w:rsidRPr="00ED4CE5">
        <w:rPr>
          <w:rFonts w:cs="Arial"/>
          <w:i/>
          <w:color w:val="2F5496" w:themeColor="accent5" w:themeShade="BF"/>
          <w:sz w:val="24"/>
          <w:szCs w:val="24"/>
        </w:rPr>
        <w:t>. T</w:t>
      </w:r>
      <w:r w:rsidRPr="00ED4CE5">
        <w:rPr>
          <w:rFonts w:cs="Arial"/>
          <w:i/>
          <w:color w:val="2F5496" w:themeColor="accent5" w:themeShade="BF"/>
          <w:sz w:val="24"/>
          <w:szCs w:val="24"/>
        </w:rPr>
        <w:t>he reconciling item in 2018 for $2,418,000 no longer exists in the updated model filed Oct 16</w:t>
      </w:r>
      <w:r w:rsidRPr="00ED4CE5">
        <w:rPr>
          <w:rFonts w:cs="Arial"/>
          <w:i/>
          <w:color w:val="2F5496" w:themeColor="accent5" w:themeShade="BF"/>
          <w:sz w:val="24"/>
          <w:szCs w:val="24"/>
          <w:vertAlign w:val="superscript"/>
        </w:rPr>
        <w:t>th</w:t>
      </w:r>
      <w:r w:rsidRPr="00ED4CE5">
        <w:rPr>
          <w:rFonts w:cs="Arial"/>
          <w:i/>
          <w:color w:val="2F5496" w:themeColor="accent5" w:themeShade="BF"/>
          <w:sz w:val="24"/>
          <w:szCs w:val="24"/>
        </w:rPr>
        <w:t xml:space="preserve"> (“EB-2019-0062_2020_GA_Analysis_Workform_v1.9_20191016.xlsx”)</w:t>
      </w:r>
    </w:p>
    <w:p w:rsidR="000A6A33" w:rsidRPr="00ED4CE5" w:rsidRDefault="000A6A33" w:rsidP="00ED4CE5">
      <w:pPr>
        <w:pStyle w:val="ListParagraph"/>
        <w:ind w:left="0"/>
        <w:rPr>
          <w:rFonts w:cs="Arial"/>
          <w:i/>
          <w:color w:val="2F5496" w:themeColor="accent5" w:themeShade="BF"/>
          <w:sz w:val="24"/>
          <w:szCs w:val="24"/>
        </w:rPr>
      </w:pPr>
    </w:p>
    <w:p w:rsidR="000A6A33" w:rsidRPr="00ED4CE5" w:rsidRDefault="000A6A33"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The monthly analysis of GA modifier credits was completed by querying the CIS system with the stat codes that pertain to GA modifier. </w:t>
      </w:r>
    </w:p>
    <w:p w:rsidR="009D6B47" w:rsidRPr="00ED4CE5" w:rsidRDefault="009D6B47" w:rsidP="00ED4CE5">
      <w:pPr>
        <w:pStyle w:val="ListParagraph"/>
        <w:ind w:left="0"/>
        <w:rPr>
          <w:rFonts w:cs="Arial"/>
          <w:i/>
          <w:color w:val="2F5496" w:themeColor="accent5" w:themeShade="BF"/>
          <w:sz w:val="24"/>
          <w:szCs w:val="24"/>
        </w:rPr>
      </w:pPr>
    </w:p>
    <w:p w:rsidR="009D6B47" w:rsidRPr="00ED4CE5" w:rsidRDefault="009D6B47" w:rsidP="00ED4CE5">
      <w:pPr>
        <w:pStyle w:val="ListParagraph"/>
        <w:ind w:left="0"/>
        <w:rPr>
          <w:rFonts w:cs="Arial"/>
          <w:i/>
          <w:color w:val="2F5496" w:themeColor="accent5" w:themeShade="BF"/>
          <w:sz w:val="24"/>
          <w:szCs w:val="24"/>
        </w:rPr>
      </w:pPr>
      <w:r w:rsidRPr="00ED4CE5">
        <w:rPr>
          <w:rFonts w:cs="Arial"/>
          <w:i/>
          <w:color w:val="2F5496" w:themeColor="accent5" w:themeShade="BF"/>
          <w:sz w:val="24"/>
          <w:szCs w:val="24"/>
        </w:rPr>
        <w:t xml:space="preserve">Below is a summary of the balances for each stat code, and the </w:t>
      </w:r>
      <w:r w:rsidR="00FC4F79" w:rsidRPr="00ED4CE5">
        <w:rPr>
          <w:rFonts w:cs="Arial"/>
          <w:i/>
          <w:color w:val="2F5496" w:themeColor="accent5" w:themeShade="BF"/>
          <w:sz w:val="24"/>
          <w:szCs w:val="24"/>
        </w:rPr>
        <w:t xml:space="preserve">GA Modifier credits </w:t>
      </w:r>
      <w:r w:rsidRPr="00ED4CE5">
        <w:rPr>
          <w:rFonts w:cs="Arial"/>
          <w:i/>
          <w:color w:val="2F5496" w:themeColor="accent5" w:themeShade="BF"/>
          <w:sz w:val="24"/>
          <w:szCs w:val="24"/>
        </w:rPr>
        <w:t xml:space="preserve">totals </w:t>
      </w:r>
      <w:r w:rsidR="00FC4F79" w:rsidRPr="00ED4CE5">
        <w:rPr>
          <w:rFonts w:cs="Arial"/>
          <w:i/>
          <w:color w:val="2F5496" w:themeColor="accent5" w:themeShade="BF"/>
          <w:sz w:val="24"/>
          <w:szCs w:val="24"/>
        </w:rPr>
        <w:t>issued to customers</w:t>
      </w:r>
      <w:r w:rsidRPr="00ED4CE5">
        <w:rPr>
          <w:rFonts w:cs="Arial"/>
          <w:i/>
          <w:color w:val="2F5496" w:themeColor="accent5" w:themeShade="BF"/>
          <w:sz w:val="24"/>
          <w:szCs w:val="24"/>
        </w:rPr>
        <w:t xml:space="preserve"> 2017 and 2018. </w:t>
      </w:r>
    </w:p>
    <w:p w:rsidR="009D6B47" w:rsidRDefault="009D6B47" w:rsidP="000A6A33">
      <w:pPr>
        <w:pStyle w:val="ListParagraph"/>
        <w:rPr>
          <w:rFonts w:cs="Arial"/>
          <w:color w:val="FF0000"/>
          <w:sz w:val="24"/>
          <w:szCs w:val="24"/>
        </w:rPr>
      </w:pPr>
    </w:p>
    <w:p w:rsidR="009D6B47" w:rsidRDefault="009D6B47" w:rsidP="009D6B47">
      <w:pPr>
        <w:pStyle w:val="ListParagraph"/>
        <w:ind w:left="0"/>
        <w:rPr>
          <w:rFonts w:cs="Arial"/>
          <w:color w:val="FF0000"/>
          <w:sz w:val="24"/>
          <w:szCs w:val="24"/>
        </w:rPr>
      </w:pPr>
      <w:r w:rsidRPr="009D6B47">
        <w:rPr>
          <w:noProof/>
          <w:lang w:val="en-CA" w:eastAsia="en-CA"/>
        </w:rPr>
        <w:drawing>
          <wp:inline distT="0" distB="0" distL="0" distR="0" wp14:anchorId="24671817" wp14:editId="48EF18D0">
            <wp:extent cx="6761217" cy="1591733"/>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94974" cy="1599680"/>
                    </a:xfrm>
                    <a:prstGeom prst="rect">
                      <a:avLst/>
                    </a:prstGeom>
                    <a:noFill/>
                    <a:ln>
                      <a:noFill/>
                    </a:ln>
                  </pic:spPr>
                </pic:pic>
              </a:graphicData>
            </a:graphic>
          </wp:inline>
        </w:drawing>
      </w:r>
    </w:p>
    <w:p w:rsidR="000A6A33" w:rsidRDefault="00E64A01" w:rsidP="00E64A01">
      <w:pPr>
        <w:rPr>
          <w:rFonts w:cs="Arial"/>
          <w:i/>
          <w:color w:val="00B050"/>
          <w:sz w:val="24"/>
          <w:szCs w:val="24"/>
        </w:rPr>
      </w:pPr>
      <w:r w:rsidRPr="00E64A01">
        <w:rPr>
          <w:rFonts w:cs="Arial"/>
          <w:i/>
          <w:color w:val="00B050"/>
          <w:sz w:val="24"/>
          <w:szCs w:val="24"/>
        </w:rPr>
        <w:t xml:space="preserve">Update: </w:t>
      </w:r>
    </w:p>
    <w:p w:rsidR="00E64A01" w:rsidRDefault="00E64A01" w:rsidP="00E64A01">
      <w:pPr>
        <w:rPr>
          <w:rFonts w:cs="Arial"/>
          <w:i/>
          <w:color w:val="00B050"/>
          <w:sz w:val="24"/>
          <w:szCs w:val="24"/>
        </w:rPr>
      </w:pPr>
      <w:r>
        <w:rPr>
          <w:rFonts w:cs="Arial"/>
          <w:i/>
          <w:color w:val="00B050"/>
          <w:sz w:val="24"/>
          <w:szCs w:val="24"/>
        </w:rPr>
        <w:t>As per Teleconference on Nov 7</w:t>
      </w:r>
      <w:r w:rsidRPr="00E64A01">
        <w:rPr>
          <w:rFonts w:cs="Arial"/>
          <w:i/>
          <w:color w:val="00B050"/>
          <w:sz w:val="24"/>
          <w:szCs w:val="24"/>
          <w:vertAlign w:val="superscript"/>
        </w:rPr>
        <w:t>th</w:t>
      </w:r>
      <w:r>
        <w:rPr>
          <w:rFonts w:cs="Arial"/>
          <w:i/>
          <w:color w:val="00B050"/>
          <w:sz w:val="24"/>
          <w:szCs w:val="24"/>
        </w:rPr>
        <w:t xml:space="preserve">, Oshawa would like to clarify that all GA Modifier credits are removed from RSVA GA for both classes A and B. </w:t>
      </w:r>
    </w:p>
    <w:p w:rsidR="00E64A01" w:rsidRPr="00E64A01" w:rsidRDefault="00E64A01" w:rsidP="00E64A01">
      <w:pPr>
        <w:rPr>
          <w:rFonts w:cs="Arial"/>
          <w:i/>
          <w:color w:val="00B050"/>
          <w:sz w:val="24"/>
          <w:szCs w:val="24"/>
        </w:rPr>
      </w:pPr>
    </w:p>
    <w:p w:rsidR="00436F28" w:rsidRDefault="00436F28" w:rsidP="00E249EC">
      <w:pPr>
        <w:keepNext/>
        <w:keepLines/>
        <w:rPr>
          <w:rFonts w:cs="Arial"/>
          <w:b/>
          <w:sz w:val="24"/>
          <w:szCs w:val="24"/>
        </w:rPr>
      </w:pPr>
      <w:r w:rsidRPr="007A6CEC">
        <w:rPr>
          <w:rFonts w:cs="Arial"/>
          <w:b/>
          <w:sz w:val="24"/>
          <w:szCs w:val="24"/>
        </w:rPr>
        <w:t xml:space="preserve">Staff </w:t>
      </w:r>
      <w:r>
        <w:rPr>
          <w:rFonts w:cs="Arial"/>
          <w:b/>
          <w:sz w:val="24"/>
          <w:szCs w:val="24"/>
        </w:rPr>
        <w:t xml:space="preserve">Follow-up </w:t>
      </w:r>
      <w:r w:rsidRPr="007A6CEC">
        <w:rPr>
          <w:rFonts w:cs="Arial"/>
          <w:b/>
          <w:sz w:val="24"/>
          <w:szCs w:val="24"/>
        </w:rPr>
        <w:t>Question #</w:t>
      </w:r>
      <w:r>
        <w:rPr>
          <w:rFonts w:cs="Arial"/>
          <w:b/>
          <w:sz w:val="24"/>
          <w:szCs w:val="24"/>
        </w:rPr>
        <w:t>6</w:t>
      </w:r>
    </w:p>
    <w:p w:rsidR="007A6CEC" w:rsidRPr="007A6CEC" w:rsidRDefault="007A6CEC" w:rsidP="00E249EC">
      <w:pPr>
        <w:keepNext/>
        <w:keepLines/>
        <w:rPr>
          <w:rFonts w:cs="Arial"/>
          <w:b/>
          <w:sz w:val="24"/>
          <w:szCs w:val="24"/>
        </w:rPr>
      </w:pPr>
      <w:r w:rsidRPr="007A6CEC">
        <w:rPr>
          <w:rFonts w:cs="Arial"/>
          <w:b/>
          <w:sz w:val="24"/>
          <w:szCs w:val="24"/>
        </w:rPr>
        <w:t xml:space="preserve">Ref: </w:t>
      </w:r>
      <w:r>
        <w:rPr>
          <w:rFonts w:cs="Arial"/>
          <w:b/>
          <w:sz w:val="24"/>
          <w:szCs w:val="24"/>
        </w:rPr>
        <w:t xml:space="preserve">Staff </w:t>
      </w:r>
      <w:r w:rsidRPr="007A6CEC">
        <w:rPr>
          <w:rFonts w:cs="Arial"/>
          <w:b/>
          <w:sz w:val="24"/>
          <w:szCs w:val="24"/>
        </w:rPr>
        <w:t xml:space="preserve">Question </w:t>
      </w:r>
      <w:r>
        <w:rPr>
          <w:rFonts w:cs="Arial"/>
          <w:b/>
          <w:sz w:val="24"/>
          <w:szCs w:val="24"/>
        </w:rPr>
        <w:t>#</w:t>
      </w:r>
      <w:r w:rsidRPr="007A6CEC">
        <w:rPr>
          <w:rFonts w:cs="Arial"/>
          <w:b/>
          <w:sz w:val="24"/>
          <w:szCs w:val="24"/>
        </w:rPr>
        <w:t>7</w:t>
      </w:r>
    </w:p>
    <w:p w:rsidR="007A6CEC" w:rsidRDefault="007A6CEC" w:rsidP="007A6CEC">
      <w:pPr>
        <w:pStyle w:val="ListParagraph"/>
        <w:numPr>
          <w:ilvl w:val="0"/>
          <w:numId w:val="27"/>
        </w:numPr>
        <w:rPr>
          <w:rFonts w:cs="Arial"/>
          <w:sz w:val="24"/>
          <w:szCs w:val="24"/>
        </w:rPr>
      </w:pPr>
      <w:r w:rsidRPr="007A6CEC">
        <w:rPr>
          <w:rFonts w:cs="Arial"/>
          <w:sz w:val="24"/>
          <w:szCs w:val="24"/>
        </w:rPr>
        <w:t>Per response</w:t>
      </w:r>
      <w:r w:rsidR="001236F9">
        <w:rPr>
          <w:rFonts w:cs="Arial"/>
          <w:sz w:val="24"/>
          <w:szCs w:val="24"/>
        </w:rPr>
        <w:t xml:space="preserve"> to</w:t>
      </w:r>
      <w:r w:rsidRPr="007A6CEC">
        <w:rPr>
          <w:rFonts w:cs="Arial"/>
          <w:sz w:val="24"/>
          <w:szCs w:val="24"/>
        </w:rPr>
        <w:t xml:space="preserve"> </w:t>
      </w:r>
      <w:r w:rsidR="001236F9">
        <w:rPr>
          <w:rFonts w:cs="Arial"/>
          <w:sz w:val="24"/>
          <w:szCs w:val="24"/>
        </w:rPr>
        <w:t xml:space="preserve">initial Staff </w:t>
      </w:r>
      <w:r w:rsidR="00CE4C2F">
        <w:rPr>
          <w:rFonts w:cs="Arial"/>
          <w:sz w:val="24"/>
          <w:szCs w:val="24"/>
        </w:rPr>
        <w:t>Question</w:t>
      </w:r>
      <w:r w:rsidR="001236F9">
        <w:rPr>
          <w:rFonts w:cs="Arial"/>
          <w:sz w:val="24"/>
          <w:szCs w:val="24"/>
        </w:rPr>
        <w:t xml:space="preserve"> #</w:t>
      </w:r>
      <w:r w:rsidRPr="007A6CEC">
        <w:rPr>
          <w:rFonts w:cs="Arial"/>
          <w:sz w:val="24"/>
          <w:szCs w:val="24"/>
        </w:rPr>
        <w:t>7</w:t>
      </w:r>
      <w:r w:rsidR="001236F9">
        <w:rPr>
          <w:rFonts w:cs="Arial"/>
          <w:sz w:val="24"/>
          <w:szCs w:val="24"/>
        </w:rPr>
        <w:t xml:space="preserve"> </w:t>
      </w:r>
      <w:r w:rsidRPr="007A6CEC">
        <w:rPr>
          <w:rFonts w:cs="Arial"/>
          <w:sz w:val="24"/>
          <w:szCs w:val="24"/>
        </w:rPr>
        <w:t>c</w:t>
      </w:r>
      <w:r w:rsidR="001236F9">
        <w:rPr>
          <w:rFonts w:cs="Arial"/>
          <w:sz w:val="24"/>
          <w:szCs w:val="24"/>
        </w:rPr>
        <w:t>)</w:t>
      </w:r>
      <w:r w:rsidRPr="007A6CEC">
        <w:rPr>
          <w:rFonts w:cs="Arial"/>
          <w:sz w:val="24"/>
          <w:szCs w:val="24"/>
        </w:rPr>
        <w:t>, it appears that Oshawa Power is requesting that the account be effective January 1, 2015 as Oshawa Power is seeking recovery of the cumulative loss starting from 2015. The response to</w:t>
      </w:r>
      <w:r w:rsidR="00CE4C2F">
        <w:rPr>
          <w:rFonts w:cs="Arial"/>
          <w:sz w:val="24"/>
          <w:szCs w:val="24"/>
        </w:rPr>
        <w:t xml:space="preserve"> </w:t>
      </w:r>
      <w:r w:rsidR="001236F9">
        <w:rPr>
          <w:rFonts w:cs="Arial"/>
          <w:sz w:val="24"/>
          <w:szCs w:val="24"/>
        </w:rPr>
        <w:t xml:space="preserve">initial Staff </w:t>
      </w:r>
      <w:r w:rsidR="00CE4C2F">
        <w:rPr>
          <w:rFonts w:cs="Arial"/>
          <w:sz w:val="24"/>
          <w:szCs w:val="24"/>
        </w:rPr>
        <w:t>Question</w:t>
      </w:r>
      <w:r w:rsidR="001236F9">
        <w:rPr>
          <w:rFonts w:cs="Arial"/>
          <w:sz w:val="24"/>
          <w:szCs w:val="24"/>
        </w:rPr>
        <w:t xml:space="preserve"> #</w:t>
      </w:r>
      <w:r w:rsidRPr="007A6CEC">
        <w:rPr>
          <w:rFonts w:cs="Arial"/>
          <w:sz w:val="24"/>
          <w:szCs w:val="24"/>
        </w:rPr>
        <w:t>7</w:t>
      </w:r>
      <w:r w:rsidR="001236F9">
        <w:rPr>
          <w:rFonts w:cs="Arial"/>
          <w:sz w:val="24"/>
          <w:szCs w:val="24"/>
        </w:rPr>
        <w:t xml:space="preserve"> </w:t>
      </w:r>
      <w:r w:rsidRPr="007A6CEC">
        <w:rPr>
          <w:rFonts w:cs="Arial"/>
          <w:sz w:val="24"/>
          <w:szCs w:val="24"/>
        </w:rPr>
        <w:t>a</w:t>
      </w:r>
      <w:r w:rsidR="001236F9">
        <w:rPr>
          <w:rFonts w:cs="Arial"/>
          <w:sz w:val="24"/>
          <w:szCs w:val="24"/>
        </w:rPr>
        <w:t>)</w:t>
      </w:r>
      <w:r w:rsidRPr="007A6CEC">
        <w:rPr>
          <w:rFonts w:cs="Arial"/>
          <w:sz w:val="24"/>
          <w:szCs w:val="24"/>
        </w:rPr>
        <w:t xml:space="preserve"> states that an effective date of January 1, 2019 is proposed as it would allow the recording the amount of the cumulative variance up to December 31 2018. If the account is established as at January 1, 2019, no balance prior to January 1, 2019 would be recorded in the account. Please confirm that Oshawa Power is requesting an effective date of January 1, 2015. If not, please clarify.</w:t>
      </w:r>
    </w:p>
    <w:p w:rsidR="00E668E5" w:rsidRDefault="00E668E5" w:rsidP="00E668E5">
      <w:pPr>
        <w:pStyle w:val="ListParagraph"/>
        <w:ind w:left="0"/>
        <w:rPr>
          <w:rFonts w:cs="Arial"/>
          <w:i/>
          <w:color w:val="2F5496" w:themeColor="accent5" w:themeShade="BF"/>
          <w:sz w:val="24"/>
          <w:szCs w:val="24"/>
        </w:rPr>
      </w:pPr>
    </w:p>
    <w:p w:rsidR="00584650" w:rsidRPr="00E668E5" w:rsidRDefault="00584650"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Confirmed. The effective date of the account is January 1, 2015 to allow for an adjusting entry in 2019 to record the proposed cumulative lost revenues from January 1, 2015 through to December 31, 2018.</w:t>
      </w:r>
    </w:p>
    <w:p w:rsidR="00584650" w:rsidRPr="007A6CEC" w:rsidRDefault="00584650" w:rsidP="00584650">
      <w:pPr>
        <w:pStyle w:val="ListParagraph"/>
        <w:rPr>
          <w:rFonts w:cs="Arial"/>
          <w:sz w:val="24"/>
          <w:szCs w:val="24"/>
        </w:rPr>
      </w:pPr>
    </w:p>
    <w:p w:rsidR="007A6CEC" w:rsidRPr="007A6CEC" w:rsidRDefault="004758BC" w:rsidP="007A6CEC">
      <w:pPr>
        <w:pStyle w:val="ListParagraph"/>
        <w:numPr>
          <w:ilvl w:val="0"/>
          <w:numId w:val="27"/>
        </w:numPr>
        <w:rPr>
          <w:rFonts w:cs="Arial"/>
          <w:sz w:val="24"/>
          <w:szCs w:val="24"/>
        </w:rPr>
      </w:pPr>
      <w:r>
        <w:rPr>
          <w:rFonts w:cs="Arial"/>
          <w:sz w:val="24"/>
          <w:szCs w:val="24"/>
        </w:rPr>
        <w:t>In r</w:t>
      </w:r>
      <w:r w:rsidR="007A6CEC" w:rsidRPr="007A6CEC">
        <w:rPr>
          <w:rFonts w:cs="Arial"/>
          <w:sz w:val="24"/>
          <w:szCs w:val="24"/>
        </w:rPr>
        <w:t xml:space="preserve">esponse </w:t>
      </w:r>
      <w:r w:rsidR="001236F9">
        <w:rPr>
          <w:rFonts w:cs="Arial"/>
          <w:sz w:val="24"/>
          <w:szCs w:val="24"/>
        </w:rPr>
        <w:t>to initial Staff</w:t>
      </w:r>
      <w:r w:rsidR="00607E50">
        <w:rPr>
          <w:rFonts w:cs="Arial"/>
          <w:sz w:val="24"/>
          <w:szCs w:val="24"/>
        </w:rPr>
        <w:t xml:space="preserve"> Question</w:t>
      </w:r>
      <w:r w:rsidR="001236F9">
        <w:rPr>
          <w:rFonts w:cs="Arial"/>
          <w:sz w:val="24"/>
          <w:szCs w:val="24"/>
        </w:rPr>
        <w:t xml:space="preserve"> #</w:t>
      </w:r>
      <w:r w:rsidR="007A6CEC" w:rsidRPr="007A6CEC">
        <w:rPr>
          <w:rFonts w:cs="Arial"/>
          <w:sz w:val="24"/>
          <w:szCs w:val="24"/>
        </w:rPr>
        <w:t>7</w:t>
      </w:r>
      <w:r w:rsidR="001236F9">
        <w:rPr>
          <w:rFonts w:cs="Arial"/>
          <w:sz w:val="24"/>
          <w:szCs w:val="24"/>
        </w:rPr>
        <w:t xml:space="preserve"> </w:t>
      </w:r>
      <w:r w:rsidR="007A6CEC" w:rsidRPr="007A6CEC">
        <w:rPr>
          <w:rFonts w:cs="Arial"/>
          <w:sz w:val="24"/>
          <w:szCs w:val="24"/>
        </w:rPr>
        <w:t>a</w:t>
      </w:r>
      <w:r w:rsidR="001236F9">
        <w:rPr>
          <w:rFonts w:cs="Arial"/>
          <w:sz w:val="24"/>
          <w:szCs w:val="24"/>
        </w:rPr>
        <w:t>)</w:t>
      </w:r>
      <w:r w:rsidR="007A6CEC" w:rsidRPr="007A6CEC">
        <w:rPr>
          <w:rFonts w:cs="Arial"/>
          <w:sz w:val="24"/>
          <w:szCs w:val="24"/>
        </w:rPr>
        <w:t xml:space="preserve"> Oshawa Power indicates that it is seeking disposition of the cumulative variance lost as at December 31, 2018 in the current 2020 rate application. It will request disposition of the account in each of Oshawa</w:t>
      </w:r>
      <w:r w:rsidR="00837606">
        <w:rPr>
          <w:rFonts w:cs="Arial"/>
          <w:sz w:val="24"/>
          <w:szCs w:val="24"/>
        </w:rPr>
        <w:t xml:space="preserve"> PUC</w:t>
      </w:r>
      <w:r w:rsidR="007A6CEC" w:rsidRPr="007A6CEC">
        <w:rPr>
          <w:rFonts w:cs="Arial"/>
          <w:sz w:val="24"/>
          <w:szCs w:val="24"/>
        </w:rPr>
        <w:t xml:space="preserve">’s </w:t>
      </w:r>
      <w:r w:rsidR="00837606">
        <w:rPr>
          <w:rFonts w:cs="Arial"/>
          <w:sz w:val="24"/>
          <w:szCs w:val="24"/>
        </w:rPr>
        <w:t>“</w:t>
      </w:r>
      <w:r w:rsidR="007A6CEC" w:rsidRPr="007A6CEC">
        <w:rPr>
          <w:rFonts w:cs="Arial"/>
          <w:sz w:val="24"/>
          <w:szCs w:val="24"/>
        </w:rPr>
        <w:t>interim rate application</w:t>
      </w:r>
      <w:r>
        <w:rPr>
          <w:rFonts w:cs="Arial"/>
          <w:sz w:val="24"/>
          <w:szCs w:val="24"/>
        </w:rPr>
        <w:t>s</w:t>
      </w:r>
      <w:r w:rsidR="00837606">
        <w:rPr>
          <w:rFonts w:cs="Arial"/>
          <w:sz w:val="24"/>
          <w:szCs w:val="24"/>
        </w:rPr>
        <w:t>”</w:t>
      </w:r>
      <w:r w:rsidR="007A6CEC" w:rsidRPr="007A6CEC">
        <w:rPr>
          <w:rFonts w:cs="Arial"/>
          <w:sz w:val="24"/>
          <w:szCs w:val="24"/>
        </w:rPr>
        <w:t xml:space="preserve">. </w:t>
      </w:r>
      <w:r w:rsidR="00837606">
        <w:rPr>
          <w:rFonts w:cs="Arial"/>
          <w:sz w:val="24"/>
          <w:szCs w:val="24"/>
        </w:rPr>
        <w:t xml:space="preserve">Note that </w:t>
      </w:r>
      <w:r w:rsidR="007A6CEC" w:rsidRPr="007A6CEC">
        <w:rPr>
          <w:rFonts w:cs="Arial"/>
          <w:sz w:val="24"/>
          <w:szCs w:val="24"/>
        </w:rPr>
        <w:t xml:space="preserve">IRM applications are intended to be mechanistic and do not address the disposition of Group 2 accounts. </w:t>
      </w:r>
    </w:p>
    <w:p w:rsidR="007A6CEC" w:rsidRDefault="007A6CEC" w:rsidP="007A6CEC">
      <w:pPr>
        <w:pStyle w:val="ListParagraph"/>
        <w:numPr>
          <w:ilvl w:val="1"/>
          <w:numId w:val="27"/>
        </w:numPr>
        <w:rPr>
          <w:rFonts w:cs="Arial"/>
          <w:sz w:val="24"/>
          <w:szCs w:val="24"/>
        </w:rPr>
      </w:pPr>
      <w:r w:rsidRPr="007A6CEC">
        <w:rPr>
          <w:rFonts w:cs="Arial"/>
          <w:sz w:val="24"/>
          <w:szCs w:val="24"/>
        </w:rPr>
        <w:t xml:space="preserve">The draft accounting order filed in response to </w:t>
      </w:r>
      <w:r w:rsidR="004758BC">
        <w:rPr>
          <w:rFonts w:cs="Arial"/>
          <w:sz w:val="24"/>
          <w:szCs w:val="24"/>
        </w:rPr>
        <w:t xml:space="preserve">initial Staff </w:t>
      </w:r>
      <w:r w:rsidR="00837606">
        <w:rPr>
          <w:rFonts w:cs="Arial"/>
          <w:sz w:val="24"/>
          <w:szCs w:val="24"/>
        </w:rPr>
        <w:t>Question</w:t>
      </w:r>
      <w:r w:rsidR="004758BC">
        <w:rPr>
          <w:rFonts w:cs="Arial"/>
          <w:sz w:val="24"/>
          <w:szCs w:val="24"/>
        </w:rPr>
        <w:t xml:space="preserve"> #</w:t>
      </w:r>
      <w:r w:rsidRPr="007A6CEC">
        <w:rPr>
          <w:rFonts w:cs="Arial"/>
          <w:sz w:val="24"/>
          <w:szCs w:val="24"/>
        </w:rPr>
        <w:t>7</w:t>
      </w:r>
      <w:r w:rsidR="004758BC">
        <w:rPr>
          <w:rFonts w:cs="Arial"/>
          <w:sz w:val="24"/>
          <w:szCs w:val="24"/>
        </w:rPr>
        <w:t xml:space="preserve"> </w:t>
      </w:r>
      <w:r w:rsidRPr="007A6CEC">
        <w:rPr>
          <w:rFonts w:cs="Arial"/>
          <w:sz w:val="24"/>
          <w:szCs w:val="24"/>
        </w:rPr>
        <w:t>b</w:t>
      </w:r>
      <w:r w:rsidR="004758BC">
        <w:rPr>
          <w:rFonts w:cs="Arial"/>
          <w:sz w:val="24"/>
          <w:szCs w:val="24"/>
        </w:rPr>
        <w:t>)</w:t>
      </w:r>
      <w:r w:rsidRPr="007A6CEC">
        <w:rPr>
          <w:rFonts w:cs="Arial"/>
          <w:sz w:val="24"/>
          <w:szCs w:val="24"/>
        </w:rPr>
        <w:t xml:space="preserve"> indicates that the account will be disposed at Oshawa PUC’s next rebasing. Please clarify if Oshawa is proposing to dispose at each </w:t>
      </w:r>
      <w:r w:rsidR="00837606">
        <w:rPr>
          <w:rFonts w:cs="Arial"/>
          <w:sz w:val="24"/>
          <w:szCs w:val="24"/>
        </w:rPr>
        <w:t>IRM</w:t>
      </w:r>
      <w:r w:rsidR="00837606" w:rsidRPr="007A6CEC">
        <w:rPr>
          <w:rFonts w:cs="Arial"/>
          <w:sz w:val="24"/>
          <w:szCs w:val="24"/>
        </w:rPr>
        <w:t xml:space="preserve"> </w:t>
      </w:r>
      <w:r w:rsidR="00837606">
        <w:rPr>
          <w:rFonts w:cs="Arial"/>
          <w:sz w:val="24"/>
          <w:szCs w:val="24"/>
        </w:rPr>
        <w:t xml:space="preserve">or Annual IR </w:t>
      </w:r>
      <w:r w:rsidRPr="007A6CEC">
        <w:rPr>
          <w:rFonts w:cs="Arial"/>
          <w:sz w:val="24"/>
          <w:szCs w:val="24"/>
        </w:rPr>
        <w:t>rate application or at its next rebasing application.</w:t>
      </w:r>
    </w:p>
    <w:p w:rsidR="000A0FBD" w:rsidRDefault="000A0FBD" w:rsidP="00E668E5">
      <w:pPr>
        <w:pStyle w:val="ListParagraph"/>
        <w:ind w:left="0"/>
        <w:rPr>
          <w:rFonts w:cs="Arial"/>
          <w:i/>
          <w:color w:val="2F5496" w:themeColor="accent5" w:themeShade="BF"/>
          <w:sz w:val="24"/>
          <w:szCs w:val="24"/>
        </w:rPr>
      </w:pPr>
    </w:p>
    <w:p w:rsidR="00584650" w:rsidRPr="00E668E5" w:rsidRDefault="00584650"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As noted, Group 2 accounts are not addressed through interim rate applications. Oshawa proposes to dispose of the account as part of its next cost of service rate application.</w:t>
      </w:r>
    </w:p>
    <w:p w:rsidR="00584650" w:rsidRPr="007A6CEC" w:rsidRDefault="00584650" w:rsidP="00584650">
      <w:pPr>
        <w:pStyle w:val="ListParagraph"/>
        <w:ind w:left="1440"/>
        <w:rPr>
          <w:rFonts w:cs="Arial"/>
          <w:sz w:val="24"/>
          <w:szCs w:val="24"/>
        </w:rPr>
      </w:pPr>
    </w:p>
    <w:p w:rsidR="007A6CEC" w:rsidRDefault="007A6CEC" w:rsidP="007A6CEC">
      <w:pPr>
        <w:pStyle w:val="ListParagraph"/>
        <w:numPr>
          <w:ilvl w:val="1"/>
          <w:numId w:val="27"/>
        </w:numPr>
        <w:rPr>
          <w:rFonts w:cs="Arial"/>
          <w:sz w:val="24"/>
          <w:szCs w:val="24"/>
        </w:rPr>
      </w:pPr>
      <w:r w:rsidRPr="007A6CEC">
        <w:rPr>
          <w:rFonts w:cs="Arial"/>
          <w:sz w:val="24"/>
          <w:szCs w:val="24"/>
        </w:rPr>
        <w:t xml:space="preserve">Please confirm that Oshawa Power is proposing disposition of the proposed account </w:t>
      </w:r>
      <w:r w:rsidR="00837606">
        <w:rPr>
          <w:rFonts w:cs="Arial"/>
          <w:sz w:val="24"/>
          <w:szCs w:val="24"/>
        </w:rPr>
        <w:t xml:space="preserve">in the current rate application </w:t>
      </w:r>
      <w:r w:rsidRPr="007A6CEC">
        <w:rPr>
          <w:rFonts w:cs="Arial"/>
          <w:sz w:val="24"/>
          <w:szCs w:val="24"/>
        </w:rPr>
        <w:t>and provide the rationale for doing so.</w:t>
      </w:r>
    </w:p>
    <w:p w:rsidR="00E668E5" w:rsidRDefault="00E668E5" w:rsidP="00E668E5">
      <w:pPr>
        <w:pStyle w:val="ListParagraph"/>
        <w:ind w:left="0"/>
        <w:rPr>
          <w:rFonts w:cs="Arial"/>
          <w:i/>
          <w:color w:val="2F5496" w:themeColor="accent5" w:themeShade="BF"/>
          <w:sz w:val="24"/>
          <w:szCs w:val="24"/>
        </w:rPr>
      </w:pPr>
    </w:p>
    <w:p w:rsidR="00584650" w:rsidRPr="00E668E5" w:rsidRDefault="00584650"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Oshawa withdraws its proposal to dispose of the account in the current rate application. Disposition of the cumulative balance will be included in Oshawa’s next rebasing application.</w:t>
      </w:r>
    </w:p>
    <w:p w:rsidR="00EC7BA6" w:rsidRPr="007A6CEC" w:rsidRDefault="00EC7BA6" w:rsidP="007A6CEC">
      <w:pPr>
        <w:pStyle w:val="ListParagraph"/>
        <w:ind w:left="1440"/>
        <w:rPr>
          <w:rFonts w:cs="Arial"/>
          <w:sz w:val="24"/>
          <w:szCs w:val="24"/>
        </w:rPr>
      </w:pPr>
    </w:p>
    <w:p w:rsidR="00436F28" w:rsidRDefault="00436F28" w:rsidP="007A6CEC">
      <w:pPr>
        <w:rPr>
          <w:rFonts w:cs="Arial"/>
          <w:b/>
          <w:sz w:val="24"/>
          <w:szCs w:val="24"/>
        </w:rPr>
      </w:pPr>
      <w:r w:rsidRPr="007A6CEC">
        <w:rPr>
          <w:rFonts w:cs="Arial"/>
          <w:b/>
          <w:sz w:val="24"/>
          <w:szCs w:val="24"/>
        </w:rPr>
        <w:t xml:space="preserve">Staff </w:t>
      </w:r>
      <w:r>
        <w:rPr>
          <w:rFonts w:cs="Arial"/>
          <w:b/>
          <w:sz w:val="24"/>
          <w:szCs w:val="24"/>
        </w:rPr>
        <w:t xml:space="preserve">Follow-up </w:t>
      </w:r>
      <w:r w:rsidRPr="007A6CEC">
        <w:rPr>
          <w:rFonts w:cs="Arial"/>
          <w:b/>
          <w:sz w:val="24"/>
          <w:szCs w:val="24"/>
        </w:rPr>
        <w:t>Question #</w:t>
      </w:r>
      <w:r>
        <w:rPr>
          <w:rFonts w:cs="Arial"/>
          <w:b/>
          <w:sz w:val="24"/>
          <w:szCs w:val="24"/>
        </w:rPr>
        <w:t>7</w:t>
      </w:r>
    </w:p>
    <w:p w:rsidR="007A6CEC" w:rsidRPr="007A6CEC" w:rsidRDefault="007A6CEC" w:rsidP="007A6CEC">
      <w:pPr>
        <w:rPr>
          <w:rFonts w:cs="Arial"/>
          <w:b/>
          <w:sz w:val="24"/>
          <w:szCs w:val="24"/>
        </w:rPr>
      </w:pPr>
      <w:r w:rsidRPr="007A6CEC">
        <w:rPr>
          <w:rFonts w:cs="Arial"/>
          <w:b/>
          <w:sz w:val="24"/>
          <w:szCs w:val="24"/>
        </w:rPr>
        <w:t xml:space="preserve">Ref: </w:t>
      </w:r>
      <w:r>
        <w:rPr>
          <w:rFonts w:cs="Arial"/>
          <w:b/>
          <w:sz w:val="24"/>
          <w:szCs w:val="24"/>
        </w:rPr>
        <w:t xml:space="preserve">Staff </w:t>
      </w:r>
      <w:r w:rsidRPr="007A6CEC">
        <w:rPr>
          <w:rFonts w:cs="Arial"/>
          <w:b/>
          <w:sz w:val="24"/>
          <w:szCs w:val="24"/>
        </w:rPr>
        <w:t xml:space="preserve">Question </w:t>
      </w:r>
      <w:r>
        <w:rPr>
          <w:rFonts w:cs="Arial"/>
          <w:b/>
          <w:sz w:val="24"/>
          <w:szCs w:val="24"/>
        </w:rPr>
        <w:t>#</w:t>
      </w:r>
      <w:r w:rsidRPr="007A6CEC">
        <w:rPr>
          <w:rFonts w:cs="Arial"/>
          <w:b/>
          <w:sz w:val="24"/>
          <w:szCs w:val="24"/>
        </w:rPr>
        <w:t>10</w:t>
      </w:r>
    </w:p>
    <w:p w:rsidR="007A6CEC" w:rsidRDefault="007A6CEC" w:rsidP="007A6CEC">
      <w:pPr>
        <w:pStyle w:val="ListParagraph"/>
        <w:numPr>
          <w:ilvl w:val="0"/>
          <w:numId w:val="28"/>
        </w:numPr>
        <w:rPr>
          <w:rFonts w:cs="Arial"/>
          <w:sz w:val="24"/>
          <w:szCs w:val="24"/>
        </w:rPr>
      </w:pPr>
      <w:r w:rsidRPr="007A6CEC">
        <w:rPr>
          <w:rFonts w:cs="Arial"/>
          <w:sz w:val="24"/>
          <w:szCs w:val="24"/>
        </w:rPr>
        <w:t>For the 2017 ROE recalculated to include lost revenues, it states lost revenue impact in 2018. Please clarify whether the inclusion of the lost revenue did not change the ROE. Otherwise, please clarify what is meant by that statement and why the recalculated ROE did not change.</w:t>
      </w:r>
    </w:p>
    <w:p w:rsidR="00E668E5" w:rsidRDefault="00E668E5" w:rsidP="00E668E5">
      <w:pPr>
        <w:pStyle w:val="ListParagraph"/>
        <w:ind w:left="0"/>
        <w:rPr>
          <w:rFonts w:cs="Arial"/>
          <w:i/>
          <w:color w:val="2F5496" w:themeColor="accent5" w:themeShade="BF"/>
          <w:sz w:val="24"/>
          <w:szCs w:val="24"/>
        </w:rPr>
      </w:pPr>
    </w:p>
    <w:p w:rsidR="006B54AC" w:rsidRPr="00E668E5" w:rsidRDefault="006B54AC"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Oshawa is proposing to offset lost revenues attributed to the new regulations introduced in 2017 with overearnings achieved in 2015 and 2016 based upon the amounts approved by the OEB in Oshawa’s last rebasing application for rates in 2015 through 2019. Effectively, Oshawa is proposing to return overearnings in the accounts impacted by the Moratorium and related regulatory changes to its customers.</w:t>
      </w:r>
    </w:p>
    <w:p w:rsidR="006B54AC" w:rsidRPr="00E668E5" w:rsidRDefault="006B54AC" w:rsidP="00E668E5">
      <w:pPr>
        <w:pStyle w:val="ListParagraph"/>
        <w:ind w:left="0"/>
        <w:rPr>
          <w:rFonts w:cs="Arial"/>
          <w:i/>
          <w:color w:val="2F5496" w:themeColor="accent5" w:themeShade="BF"/>
          <w:sz w:val="24"/>
          <w:szCs w:val="24"/>
        </w:rPr>
      </w:pPr>
    </w:p>
    <w:p w:rsidR="006B54AC" w:rsidRPr="00E668E5" w:rsidRDefault="006B54AC"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 xml:space="preserve">The cumulative impact of Oshawa’s proposed methodology does not result in net lost revenues until 2018. Therefore, 2017 ROE is not impacted. Only the 2018 ROE has been adjusted for the cumulative loss amount. </w:t>
      </w:r>
    </w:p>
    <w:p w:rsidR="00EC7BA6" w:rsidRPr="00EC7BA6" w:rsidRDefault="00EC7BA6" w:rsidP="00EC7BA6">
      <w:pPr>
        <w:pStyle w:val="ListParagraph"/>
        <w:rPr>
          <w:rFonts w:cs="Arial"/>
          <w:color w:val="FF0000"/>
          <w:sz w:val="24"/>
          <w:szCs w:val="24"/>
        </w:rPr>
      </w:pPr>
    </w:p>
    <w:p w:rsidR="007A6CEC" w:rsidRDefault="007A6CEC" w:rsidP="00E249EC">
      <w:pPr>
        <w:pStyle w:val="ListParagraph"/>
        <w:numPr>
          <w:ilvl w:val="0"/>
          <w:numId w:val="28"/>
        </w:numPr>
        <w:rPr>
          <w:rFonts w:cs="Arial"/>
          <w:sz w:val="24"/>
          <w:szCs w:val="24"/>
        </w:rPr>
      </w:pPr>
      <w:r w:rsidRPr="007A6CEC">
        <w:rPr>
          <w:rFonts w:cs="Arial"/>
          <w:sz w:val="24"/>
          <w:szCs w:val="24"/>
        </w:rPr>
        <w:t>For 2017 to 2020, please indicate the actual or forecasted revenue lost based on the number of collection notices issued/reconnections performed.</w:t>
      </w:r>
    </w:p>
    <w:p w:rsidR="00E668E5" w:rsidRDefault="00E668E5" w:rsidP="00E668E5">
      <w:pPr>
        <w:pStyle w:val="ListParagraph"/>
        <w:ind w:left="0"/>
        <w:rPr>
          <w:rFonts w:cs="Arial"/>
          <w:i/>
          <w:color w:val="2F5496" w:themeColor="accent5" w:themeShade="BF"/>
          <w:sz w:val="24"/>
          <w:szCs w:val="24"/>
        </w:rPr>
      </w:pPr>
    </w:p>
    <w:p w:rsidR="006B54AC" w:rsidRPr="00E668E5" w:rsidRDefault="006B54AC"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The following table provides the estimated number of notices issued and reconnections performed, and the estimated lost revenue impacted by the Moratorium. In addition, the table reflects the overearnings that Oshawa is proposing to share with customers to offset the lost revenue.</w:t>
      </w:r>
    </w:p>
    <w:p w:rsidR="006B54AC" w:rsidRPr="004641E1" w:rsidRDefault="006B54AC" w:rsidP="004641E1">
      <w:pPr>
        <w:rPr>
          <w:rFonts w:cs="Arial"/>
          <w:sz w:val="24"/>
          <w:szCs w:val="24"/>
        </w:rPr>
      </w:pPr>
      <w:r w:rsidRPr="00540E5B">
        <w:rPr>
          <w:noProof/>
          <w:lang w:val="en-CA" w:eastAsia="en-CA"/>
        </w:rPr>
        <w:drawing>
          <wp:inline distT="0" distB="0" distL="0" distR="0" wp14:anchorId="1B910814" wp14:editId="25EFB20C">
            <wp:extent cx="5943600" cy="1078871"/>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078871"/>
                    </a:xfrm>
                    <a:prstGeom prst="rect">
                      <a:avLst/>
                    </a:prstGeom>
                    <a:noFill/>
                    <a:ln>
                      <a:noFill/>
                    </a:ln>
                  </pic:spPr>
                </pic:pic>
              </a:graphicData>
            </a:graphic>
          </wp:inline>
        </w:drawing>
      </w:r>
    </w:p>
    <w:p w:rsidR="00E64A01" w:rsidRDefault="00E64A01" w:rsidP="00436F28">
      <w:pPr>
        <w:rPr>
          <w:rFonts w:cs="Arial"/>
          <w:b/>
          <w:sz w:val="24"/>
          <w:szCs w:val="24"/>
        </w:rPr>
      </w:pPr>
    </w:p>
    <w:p w:rsidR="00436F28" w:rsidRDefault="00436F28" w:rsidP="00436F28">
      <w:pPr>
        <w:rPr>
          <w:rFonts w:cs="Arial"/>
          <w:b/>
          <w:sz w:val="24"/>
          <w:szCs w:val="24"/>
        </w:rPr>
      </w:pPr>
      <w:r w:rsidRPr="007A6CEC">
        <w:rPr>
          <w:rFonts w:cs="Arial"/>
          <w:b/>
          <w:sz w:val="24"/>
          <w:szCs w:val="24"/>
        </w:rPr>
        <w:t xml:space="preserve">Staff </w:t>
      </w:r>
      <w:r>
        <w:rPr>
          <w:rFonts w:cs="Arial"/>
          <w:b/>
          <w:sz w:val="24"/>
          <w:szCs w:val="24"/>
        </w:rPr>
        <w:t xml:space="preserve">Follow-up </w:t>
      </w:r>
      <w:r w:rsidRPr="007A6CEC">
        <w:rPr>
          <w:rFonts w:cs="Arial"/>
          <w:b/>
          <w:sz w:val="24"/>
          <w:szCs w:val="24"/>
        </w:rPr>
        <w:t>Question #</w:t>
      </w:r>
      <w:r>
        <w:rPr>
          <w:rFonts w:cs="Arial"/>
          <w:b/>
          <w:sz w:val="24"/>
          <w:szCs w:val="24"/>
        </w:rPr>
        <w:t>8</w:t>
      </w:r>
    </w:p>
    <w:p w:rsidR="00436F28" w:rsidRPr="00436F28" w:rsidRDefault="00436F28" w:rsidP="00436F28">
      <w:pPr>
        <w:rPr>
          <w:rFonts w:cs="Arial"/>
          <w:b/>
          <w:sz w:val="24"/>
          <w:szCs w:val="24"/>
        </w:rPr>
      </w:pPr>
      <w:r>
        <w:rPr>
          <w:rFonts w:cs="Arial"/>
          <w:b/>
          <w:sz w:val="24"/>
          <w:szCs w:val="24"/>
        </w:rPr>
        <w:t xml:space="preserve">Ref: </w:t>
      </w:r>
      <w:r w:rsidRPr="00436F28">
        <w:rPr>
          <w:rFonts w:cs="Arial"/>
          <w:b/>
          <w:sz w:val="24"/>
          <w:szCs w:val="24"/>
        </w:rPr>
        <w:t>Response to Staff Questions 11 a) and c)</w:t>
      </w:r>
    </w:p>
    <w:p w:rsidR="00436F28" w:rsidRPr="006079FD" w:rsidRDefault="00436F28" w:rsidP="00436F28">
      <w:pPr>
        <w:rPr>
          <w:rFonts w:cs="Arial"/>
          <w:sz w:val="24"/>
          <w:szCs w:val="24"/>
        </w:rPr>
      </w:pPr>
      <w:r w:rsidRPr="006079FD">
        <w:rPr>
          <w:rFonts w:cs="Arial"/>
          <w:sz w:val="24"/>
          <w:szCs w:val="24"/>
        </w:rPr>
        <w:t>In part a) it was noted that 10,721 kW of savings represent</w:t>
      </w:r>
      <w:r>
        <w:rPr>
          <w:rFonts w:cs="Arial"/>
          <w:sz w:val="24"/>
          <w:szCs w:val="24"/>
        </w:rPr>
        <w:t>s</w:t>
      </w:r>
      <w:r w:rsidRPr="006079FD">
        <w:rPr>
          <w:rFonts w:cs="Arial"/>
          <w:sz w:val="24"/>
          <w:szCs w:val="24"/>
        </w:rPr>
        <w:t xml:space="preserve"> </w:t>
      </w:r>
      <w:r>
        <w:rPr>
          <w:rFonts w:cs="Arial"/>
          <w:sz w:val="24"/>
          <w:szCs w:val="24"/>
        </w:rPr>
        <w:t xml:space="preserve">the </w:t>
      </w:r>
      <w:r w:rsidRPr="006079FD">
        <w:rPr>
          <w:rFonts w:cs="Arial"/>
          <w:sz w:val="24"/>
          <w:szCs w:val="24"/>
        </w:rPr>
        <w:t xml:space="preserve">street light upgrades undertaken as part of the 2015 </w:t>
      </w:r>
      <w:proofErr w:type="spellStart"/>
      <w:r>
        <w:rPr>
          <w:rFonts w:cs="Arial"/>
          <w:sz w:val="24"/>
          <w:szCs w:val="24"/>
        </w:rPr>
        <w:t>saveOnEnergy</w:t>
      </w:r>
      <w:proofErr w:type="spellEnd"/>
      <w:r>
        <w:rPr>
          <w:rFonts w:cs="Arial"/>
          <w:sz w:val="24"/>
          <w:szCs w:val="24"/>
        </w:rPr>
        <w:t xml:space="preserve"> </w:t>
      </w:r>
      <w:r w:rsidRPr="006079FD">
        <w:rPr>
          <w:rFonts w:cs="Arial"/>
          <w:sz w:val="24"/>
          <w:szCs w:val="24"/>
        </w:rPr>
        <w:t>retrofit program. However, in part c) Oshawa PUC confirm</w:t>
      </w:r>
      <w:r>
        <w:rPr>
          <w:rFonts w:cs="Arial"/>
          <w:sz w:val="24"/>
          <w:szCs w:val="24"/>
        </w:rPr>
        <w:t>ed</w:t>
      </w:r>
      <w:r w:rsidRPr="006079FD">
        <w:rPr>
          <w:rFonts w:cs="Arial"/>
          <w:sz w:val="24"/>
          <w:szCs w:val="24"/>
        </w:rPr>
        <w:t xml:space="preserve"> that the upgrade</w:t>
      </w:r>
      <w:r>
        <w:rPr>
          <w:rFonts w:cs="Arial"/>
          <w:sz w:val="24"/>
          <w:szCs w:val="24"/>
        </w:rPr>
        <w:t>s</w:t>
      </w:r>
      <w:r w:rsidRPr="006079FD">
        <w:rPr>
          <w:rFonts w:cs="Arial"/>
          <w:sz w:val="24"/>
          <w:szCs w:val="24"/>
        </w:rPr>
        <w:t xml:space="preserve"> </w:t>
      </w:r>
      <w:r>
        <w:rPr>
          <w:rFonts w:cs="Arial"/>
          <w:sz w:val="24"/>
          <w:szCs w:val="24"/>
        </w:rPr>
        <w:t>for</w:t>
      </w:r>
      <w:r w:rsidRPr="006079FD">
        <w:rPr>
          <w:rFonts w:cs="Arial"/>
          <w:sz w:val="24"/>
          <w:szCs w:val="24"/>
        </w:rPr>
        <w:t xml:space="preserve"> street lights took place between 2016 and 2017. In part d) it was further noted that the replacements began in October 2016 to the end of 2017.</w:t>
      </w:r>
    </w:p>
    <w:p w:rsidR="00436F28" w:rsidRDefault="00436F28" w:rsidP="00436F28">
      <w:pPr>
        <w:rPr>
          <w:rFonts w:cs="Arial"/>
          <w:sz w:val="24"/>
          <w:szCs w:val="24"/>
        </w:rPr>
      </w:pPr>
      <w:r w:rsidRPr="006079FD">
        <w:rPr>
          <w:rFonts w:cs="Arial"/>
          <w:sz w:val="24"/>
          <w:szCs w:val="24"/>
        </w:rPr>
        <w:t xml:space="preserve">As demand savings from street lights are included as part of the LRAMVA, the related energy savings included in the IESO’s </w:t>
      </w:r>
      <w:proofErr w:type="spellStart"/>
      <w:r w:rsidRPr="006079FD">
        <w:rPr>
          <w:rFonts w:cs="Arial"/>
          <w:sz w:val="24"/>
          <w:szCs w:val="24"/>
        </w:rPr>
        <w:t>saveOnEnergy</w:t>
      </w:r>
      <w:proofErr w:type="spellEnd"/>
      <w:r w:rsidRPr="006079FD">
        <w:rPr>
          <w:rFonts w:cs="Arial"/>
          <w:sz w:val="24"/>
          <w:szCs w:val="24"/>
        </w:rPr>
        <w:t xml:space="preserve"> retrofit program(s) should be deducted </w:t>
      </w:r>
      <w:r>
        <w:rPr>
          <w:rFonts w:cs="Arial"/>
          <w:sz w:val="24"/>
          <w:szCs w:val="24"/>
        </w:rPr>
        <w:t xml:space="preserve">from the respective program </w:t>
      </w:r>
      <w:r w:rsidRPr="006079FD">
        <w:rPr>
          <w:rFonts w:cs="Arial"/>
          <w:sz w:val="24"/>
          <w:szCs w:val="24"/>
        </w:rPr>
        <w:t>so as not to double count savings in the LRAMVA.</w:t>
      </w:r>
    </w:p>
    <w:p w:rsidR="006D774A" w:rsidRPr="00E41031" w:rsidRDefault="00E41031" w:rsidP="00436F28">
      <w:pPr>
        <w:rPr>
          <w:rFonts w:cs="Arial"/>
          <w:color w:val="FF0000"/>
          <w:sz w:val="24"/>
          <w:szCs w:val="24"/>
        </w:rPr>
      </w:pPr>
      <w:r w:rsidRPr="00E668E5">
        <w:rPr>
          <w:rFonts w:cs="Arial"/>
          <w:i/>
          <w:color w:val="2F5496" w:themeColor="accent5" w:themeShade="BF"/>
          <w:sz w:val="24"/>
          <w:szCs w:val="24"/>
        </w:rPr>
        <w:t xml:space="preserve">Energy savings for streetlights have been removed from the </w:t>
      </w:r>
      <w:proofErr w:type="spellStart"/>
      <w:r w:rsidRPr="00E668E5">
        <w:rPr>
          <w:rFonts w:cs="Arial"/>
          <w:i/>
          <w:color w:val="2F5496" w:themeColor="accent5" w:themeShade="BF"/>
          <w:sz w:val="24"/>
          <w:szCs w:val="24"/>
        </w:rPr>
        <w:t>saveOnEnergy</w:t>
      </w:r>
      <w:proofErr w:type="spellEnd"/>
      <w:r w:rsidRPr="00E668E5">
        <w:rPr>
          <w:rFonts w:cs="Arial"/>
          <w:i/>
          <w:color w:val="2F5496" w:themeColor="accent5" w:themeShade="BF"/>
          <w:sz w:val="24"/>
          <w:szCs w:val="24"/>
        </w:rPr>
        <w:t xml:space="preserve"> retrofit program. </w:t>
      </w:r>
      <w:r>
        <w:rPr>
          <w:rFonts w:cs="Arial"/>
          <w:color w:val="FF0000"/>
          <w:sz w:val="24"/>
          <w:szCs w:val="24"/>
        </w:rPr>
        <w:t xml:space="preserve"> </w:t>
      </w:r>
    </w:p>
    <w:p w:rsidR="00436F28" w:rsidRDefault="00436F28" w:rsidP="00A275BA">
      <w:pPr>
        <w:pStyle w:val="ListParagraph"/>
        <w:numPr>
          <w:ilvl w:val="0"/>
          <w:numId w:val="34"/>
        </w:numPr>
        <w:rPr>
          <w:rFonts w:cs="Arial"/>
          <w:sz w:val="24"/>
          <w:szCs w:val="24"/>
        </w:rPr>
      </w:pPr>
      <w:r w:rsidRPr="00E249EC">
        <w:rPr>
          <w:rFonts w:cs="Arial"/>
          <w:sz w:val="24"/>
          <w:szCs w:val="24"/>
        </w:rPr>
        <w:t xml:space="preserve">Please explain how the street light upgrades were undertaken as part of the 2015 retrofit program, when it appears that savings were realized from street light upgrades in 2016 and 2017. </w:t>
      </w:r>
    </w:p>
    <w:p w:rsidR="00E668E5" w:rsidRDefault="00E668E5" w:rsidP="00E668E5">
      <w:pPr>
        <w:pStyle w:val="ListParagraph"/>
        <w:ind w:left="0"/>
        <w:rPr>
          <w:rFonts w:cs="Arial"/>
          <w:i/>
          <w:color w:val="2F5496" w:themeColor="accent5" w:themeShade="BF"/>
          <w:sz w:val="24"/>
          <w:szCs w:val="24"/>
        </w:rPr>
      </w:pPr>
    </w:p>
    <w:p w:rsidR="006B54AC" w:rsidRPr="00E668E5" w:rsidRDefault="006B54AC"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 xml:space="preserve">We were referring to the year the IESO’s </w:t>
      </w:r>
      <w:proofErr w:type="spellStart"/>
      <w:r w:rsidRPr="00E668E5">
        <w:rPr>
          <w:rFonts w:cs="Arial"/>
          <w:i/>
          <w:color w:val="2F5496" w:themeColor="accent5" w:themeShade="BF"/>
          <w:sz w:val="24"/>
          <w:szCs w:val="24"/>
        </w:rPr>
        <w:t>saveOnEnergy</w:t>
      </w:r>
      <w:proofErr w:type="spellEnd"/>
      <w:r w:rsidRPr="00E668E5">
        <w:rPr>
          <w:rFonts w:cs="Arial"/>
          <w:i/>
          <w:color w:val="2F5496" w:themeColor="accent5" w:themeShade="BF"/>
          <w:sz w:val="24"/>
          <w:szCs w:val="24"/>
        </w:rPr>
        <w:t xml:space="preserve"> retrofit program(s) were introduced, under the CFF 2015-2020, not the year the replacement took place. Oshawa confirms the actual streetlight retrofit program began in 2016 and completed in 2017.  </w:t>
      </w:r>
    </w:p>
    <w:p w:rsidR="006B54AC" w:rsidRPr="00E668E5" w:rsidRDefault="006B54AC" w:rsidP="00E668E5">
      <w:pPr>
        <w:pStyle w:val="ListParagraph"/>
        <w:ind w:left="0"/>
        <w:rPr>
          <w:rFonts w:cs="Arial"/>
          <w:i/>
          <w:color w:val="2F5496" w:themeColor="accent5" w:themeShade="BF"/>
          <w:sz w:val="24"/>
          <w:szCs w:val="24"/>
        </w:rPr>
      </w:pPr>
    </w:p>
    <w:p w:rsidR="00B537B1" w:rsidRPr="00E668E5" w:rsidRDefault="006B54AC"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 xml:space="preserve">Streetlights were in our load forecast in 2015, they were not replaced until 2016/2017. </w:t>
      </w:r>
      <w:r w:rsidR="00F1101B" w:rsidRPr="00E668E5">
        <w:rPr>
          <w:rFonts w:cs="Arial"/>
          <w:i/>
          <w:color w:val="2F5496" w:themeColor="accent5" w:themeShade="BF"/>
          <w:sz w:val="24"/>
          <w:szCs w:val="24"/>
        </w:rPr>
        <w:t xml:space="preserve"> </w:t>
      </w:r>
    </w:p>
    <w:p w:rsidR="00616955" w:rsidRPr="00616955" w:rsidRDefault="00616955" w:rsidP="00616955">
      <w:pPr>
        <w:pStyle w:val="ListParagraph"/>
        <w:rPr>
          <w:rFonts w:cs="Arial"/>
          <w:color w:val="FF0000"/>
          <w:sz w:val="24"/>
          <w:szCs w:val="24"/>
        </w:rPr>
      </w:pPr>
    </w:p>
    <w:p w:rsidR="00436F28" w:rsidRDefault="00436F28" w:rsidP="00A26A6C">
      <w:pPr>
        <w:pStyle w:val="ListParagraph"/>
        <w:numPr>
          <w:ilvl w:val="0"/>
          <w:numId w:val="34"/>
        </w:numPr>
        <w:rPr>
          <w:rFonts w:cs="Arial"/>
          <w:sz w:val="24"/>
          <w:szCs w:val="24"/>
        </w:rPr>
      </w:pPr>
      <w:r w:rsidRPr="00E249EC">
        <w:rPr>
          <w:rFonts w:cs="Arial"/>
          <w:sz w:val="24"/>
          <w:szCs w:val="24"/>
        </w:rPr>
        <w:t xml:space="preserve">Based on your response to part a), please show the kWh deduction from the street light savings as a separate line adjustment in Table 5-b and/or 5-c as applicable. </w:t>
      </w:r>
    </w:p>
    <w:p w:rsidR="00E668E5" w:rsidRDefault="00E668E5" w:rsidP="00E668E5">
      <w:pPr>
        <w:pStyle w:val="ListParagraph"/>
        <w:ind w:left="0"/>
        <w:rPr>
          <w:rFonts w:cs="Arial"/>
          <w:i/>
          <w:color w:val="2F5496" w:themeColor="accent5" w:themeShade="BF"/>
          <w:sz w:val="24"/>
          <w:szCs w:val="24"/>
        </w:rPr>
      </w:pPr>
    </w:p>
    <w:p w:rsidR="00B537B1" w:rsidRPr="00E668E5" w:rsidRDefault="0006240D" w:rsidP="00E668E5">
      <w:pPr>
        <w:pStyle w:val="ListParagraph"/>
        <w:ind w:left="0"/>
        <w:rPr>
          <w:rFonts w:cs="Arial"/>
          <w:i/>
          <w:color w:val="FF0000"/>
          <w:sz w:val="24"/>
          <w:szCs w:val="24"/>
        </w:rPr>
      </w:pPr>
      <w:r w:rsidRPr="00E668E5">
        <w:rPr>
          <w:rFonts w:cs="Arial"/>
          <w:i/>
          <w:color w:val="2F5496" w:themeColor="accent5" w:themeShade="BF"/>
          <w:sz w:val="24"/>
          <w:szCs w:val="24"/>
        </w:rPr>
        <w:t>Please see table 5-</w:t>
      </w:r>
      <w:r w:rsidR="006B54AC" w:rsidRPr="00E668E5">
        <w:rPr>
          <w:rFonts w:cs="Arial"/>
          <w:i/>
          <w:color w:val="2F5496" w:themeColor="accent5" w:themeShade="BF"/>
          <w:sz w:val="24"/>
          <w:szCs w:val="24"/>
        </w:rPr>
        <w:t>b and 5-c</w:t>
      </w:r>
      <w:r w:rsidRPr="00E668E5">
        <w:rPr>
          <w:rFonts w:cs="Arial"/>
          <w:i/>
          <w:color w:val="2F5496" w:themeColor="accent5" w:themeShade="BF"/>
          <w:sz w:val="24"/>
          <w:szCs w:val="24"/>
        </w:rPr>
        <w:t xml:space="preserve">. Streetlight savings were added to </w:t>
      </w:r>
      <w:r w:rsidR="006B54AC" w:rsidRPr="00E668E5">
        <w:rPr>
          <w:rFonts w:cs="Arial"/>
          <w:i/>
          <w:color w:val="2F5496" w:themeColor="accent5" w:themeShade="BF"/>
          <w:sz w:val="24"/>
          <w:szCs w:val="24"/>
        </w:rPr>
        <w:t xml:space="preserve">2016 and </w:t>
      </w:r>
      <w:r w:rsidRPr="00E668E5">
        <w:rPr>
          <w:rFonts w:cs="Arial"/>
          <w:i/>
          <w:color w:val="2F5496" w:themeColor="accent5" w:themeShade="BF"/>
          <w:sz w:val="24"/>
          <w:szCs w:val="24"/>
        </w:rPr>
        <w:t>2017.</w:t>
      </w:r>
      <w:r w:rsidRPr="00E668E5">
        <w:rPr>
          <w:rFonts w:cs="Arial"/>
          <w:i/>
          <w:color w:val="FF0000"/>
          <w:sz w:val="24"/>
          <w:szCs w:val="24"/>
        </w:rPr>
        <w:t xml:space="preserve"> </w:t>
      </w:r>
    </w:p>
    <w:p w:rsidR="00616955" w:rsidRPr="00E249EC" w:rsidRDefault="00616955" w:rsidP="00616955">
      <w:pPr>
        <w:pStyle w:val="ListParagraph"/>
        <w:rPr>
          <w:rFonts w:cs="Arial"/>
          <w:sz w:val="24"/>
          <w:szCs w:val="24"/>
        </w:rPr>
      </w:pPr>
    </w:p>
    <w:p w:rsidR="00436F28" w:rsidRPr="006079FD" w:rsidRDefault="00436F28" w:rsidP="00E249EC">
      <w:pPr>
        <w:pStyle w:val="ListParagraph"/>
        <w:numPr>
          <w:ilvl w:val="0"/>
          <w:numId w:val="34"/>
        </w:numPr>
        <w:rPr>
          <w:rFonts w:cs="Arial"/>
          <w:sz w:val="24"/>
          <w:szCs w:val="24"/>
        </w:rPr>
      </w:pPr>
      <w:r w:rsidRPr="006079FD">
        <w:rPr>
          <w:rFonts w:cs="Arial"/>
          <w:sz w:val="24"/>
          <w:szCs w:val="24"/>
        </w:rPr>
        <w:t xml:space="preserve">Please highlight all changes made to Tab 5 of the LRAMVA </w:t>
      </w:r>
      <w:proofErr w:type="spellStart"/>
      <w:r w:rsidRPr="006079FD">
        <w:rPr>
          <w:rFonts w:cs="Arial"/>
          <w:sz w:val="24"/>
          <w:szCs w:val="24"/>
        </w:rPr>
        <w:t>workform</w:t>
      </w:r>
      <w:proofErr w:type="spellEnd"/>
      <w:r w:rsidRPr="006079FD">
        <w:rPr>
          <w:rFonts w:cs="Arial"/>
          <w:sz w:val="24"/>
          <w:szCs w:val="24"/>
        </w:rPr>
        <w:t xml:space="preserve">, and complete Table A-2 of tab 2 in the LRAMVA </w:t>
      </w:r>
      <w:proofErr w:type="spellStart"/>
      <w:r w:rsidRPr="006079FD">
        <w:rPr>
          <w:rFonts w:cs="Arial"/>
          <w:sz w:val="24"/>
          <w:szCs w:val="24"/>
        </w:rPr>
        <w:t>workform</w:t>
      </w:r>
      <w:proofErr w:type="spellEnd"/>
      <w:r w:rsidRPr="006079FD">
        <w:rPr>
          <w:rFonts w:cs="Arial"/>
          <w:sz w:val="24"/>
          <w:szCs w:val="24"/>
        </w:rPr>
        <w:t xml:space="preserve"> to document the changes.</w:t>
      </w:r>
    </w:p>
    <w:p w:rsidR="00AA75F5" w:rsidRDefault="00AA75F5" w:rsidP="00E668E5">
      <w:pPr>
        <w:pStyle w:val="ListParagraph"/>
        <w:ind w:left="0"/>
        <w:rPr>
          <w:rFonts w:cs="Arial"/>
          <w:i/>
          <w:color w:val="2F5496" w:themeColor="accent5" w:themeShade="BF"/>
          <w:sz w:val="24"/>
          <w:szCs w:val="24"/>
        </w:rPr>
      </w:pPr>
    </w:p>
    <w:p w:rsidR="00436F28" w:rsidRPr="00E668E5" w:rsidRDefault="0006240D"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 xml:space="preserve">All changes to Tab 5 have been documented in tab “1-a. Summary of Changes” table A-2. </w:t>
      </w:r>
    </w:p>
    <w:p w:rsidR="000A0FBD" w:rsidRDefault="000A0FBD">
      <w:pPr>
        <w:rPr>
          <w:rFonts w:cs="Arial"/>
          <w:b/>
          <w:sz w:val="24"/>
          <w:szCs w:val="24"/>
        </w:rPr>
      </w:pPr>
    </w:p>
    <w:p w:rsidR="00436F28" w:rsidRPr="006079FD" w:rsidRDefault="00436F28" w:rsidP="00436F28">
      <w:pPr>
        <w:rPr>
          <w:rFonts w:cs="Arial"/>
          <w:sz w:val="24"/>
          <w:szCs w:val="24"/>
        </w:rPr>
      </w:pPr>
      <w:r w:rsidRPr="007A6CEC">
        <w:rPr>
          <w:rFonts w:cs="Arial"/>
          <w:b/>
          <w:sz w:val="24"/>
          <w:szCs w:val="24"/>
        </w:rPr>
        <w:t xml:space="preserve">Staff </w:t>
      </w:r>
      <w:r>
        <w:rPr>
          <w:rFonts w:cs="Arial"/>
          <w:b/>
          <w:sz w:val="24"/>
          <w:szCs w:val="24"/>
        </w:rPr>
        <w:t xml:space="preserve">Follow-up </w:t>
      </w:r>
      <w:r w:rsidRPr="007A6CEC">
        <w:rPr>
          <w:rFonts w:cs="Arial"/>
          <w:b/>
          <w:sz w:val="24"/>
          <w:szCs w:val="24"/>
        </w:rPr>
        <w:t>Question #</w:t>
      </w:r>
      <w:r>
        <w:rPr>
          <w:rFonts w:cs="Arial"/>
          <w:b/>
          <w:sz w:val="24"/>
          <w:szCs w:val="24"/>
        </w:rPr>
        <w:t>9</w:t>
      </w:r>
    </w:p>
    <w:p w:rsidR="00436F28" w:rsidRPr="00436F28" w:rsidRDefault="00436F28" w:rsidP="00436F28">
      <w:pPr>
        <w:rPr>
          <w:rFonts w:cs="Arial"/>
          <w:b/>
          <w:sz w:val="24"/>
          <w:szCs w:val="24"/>
        </w:rPr>
      </w:pPr>
      <w:r>
        <w:rPr>
          <w:rFonts w:cs="Arial"/>
          <w:b/>
          <w:sz w:val="24"/>
          <w:szCs w:val="24"/>
        </w:rPr>
        <w:t xml:space="preserve">Ref: </w:t>
      </w:r>
      <w:r w:rsidRPr="00436F28">
        <w:rPr>
          <w:rFonts w:cs="Arial"/>
          <w:b/>
          <w:sz w:val="24"/>
          <w:szCs w:val="24"/>
        </w:rPr>
        <w:t>Response to Staff Question 11 e)</w:t>
      </w:r>
    </w:p>
    <w:p w:rsidR="00436F28" w:rsidRPr="006079FD" w:rsidRDefault="00436F28" w:rsidP="00436F28">
      <w:pPr>
        <w:rPr>
          <w:rFonts w:cs="Arial"/>
          <w:sz w:val="24"/>
          <w:szCs w:val="24"/>
        </w:rPr>
      </w:pPr>
      <w:r>
        <w:rPr>
          <w:rFonts w:cs="Arial"/>
          <w:sz w:val="24"/>
          <w:szCs w:val="24"/>
        </w:rPr>
        <w:t>T</w:t>
      </w:r>
      <w:r w:rsidRPr="006079FD">
        <w:rPr>
          <w:rFonts w:cs="Arial"/>
          <w:sz w:val="24"/>
          <w:szCs w:val="24"/>
        </w:rPr>
        <w:t>here was no explicit calculation or explanation of how 12,678 light bulb replacements equated to net, actual savings of 10,721 kW.</w:t>
      </w:r>
      <w:r>
        <w:rPr>
          <w:rFonts w:cs="Arial"/>
          <w:sz w:val="24"/>
          <w:szCs w:val="24"/>
        </w:rPr>
        <w:t xml:space="preserve"> Rather, </w:t>
      </w:r>
      <w:r w:rsidRPr="006079FD">
        <w:rPr>
          <w:rFonts w:cs="Arial"/>
          <w:sz w:val="24"/>
          <w:szCs w:val="24"/>
        </w:rPr>
        <w:t xml:space="preserve">Oshawa PUC </w:t>
      </w:r>
      <w:r>
        <w:rPr>
          <w:rFonts w:cs="Arial"/>
          <w:sz w:val="24"/>
          <w:szCs w:val="24"/>
        </w:rPr>
        <w:t>indicated</w:t>
      </w:r>
      <w:r w:rsidRPr="006079FD">
        <w:rPr>
          <w:rFonts w:cs="Arial"/>
          <w:sz w:val="24"/>
          <w:szCs w:val="24"/>
        </w:rPr>
        <w:t xml:space="preserve"> that a</w:t>
      </w:r>
      <w:r>
        <w:rPr>
          <w:rFonts w:cs="Arial"/>
          <w:sz w:val="24"/>
          <w:szCs w:val="24"/>
        </w:rPr>
        <w:t>n</w:t>
      </w:r>
      <w:r w:rsidRPr="006079FD">
        <w:rPr>
          <w:rFonts w:cs="Arial"/>
          <w:sz w:val="24"/>
          <w:szCs w:val="24"/>
        </w:rPr>
        <w:t xml:space="preserve"> independent third party study was conducted to determine actual savings of 10,721 kW. </w:t>
      </w:r>
    </w:p>
    <w:p w:rsidR="00436F28" w:rsidRDefault="00436F28" w:rsidP="00D613A2">
      <w:pPr>
        <w:pStyle w:val="ListParagraph"/>
        <w:numPr>
          <w:ilvl w:val="0"/>
          <w:numId w:val="33"/>
        </w:numPr>
        <w:rPr>
          <w:rFonts w:cs="Arial"/>
          <w:sz w:val="24"/>
          <w:szCs w:val="24"/>
        </w:rPr>
      </w:pPr>
      <w:r w:rsidRPr="00E249EC">
        <w:rPr>
          <w:rFonts w:cs="Arial"/>
          <w:sz w:val="24"/>
          <w:szCs w:val="24"/>
        </w:rPr>
        <w:t xml:space="preserve">Please file the independent third party study that supports the demand savings and the lost revenues claimed from the street light upgrades. Please also file any applicable attachments or appendices to show the light bulb conversions, pre- and post-conversion usage levels, the explicit savings calculations and the net-to-gross-assumption(s) used by the third party consultant. </w:t>
      </w:r>
    </w:p>
    <w:p w:rsidR="00E668E5" w:rsidRDefault="00E668E5" w:rsidP="00E668E5">
      <w:pPr>
        <w:pStyle w:val="ListParagraph"/>
        <w:ind w:left="0"/>
        <w:rPr>
          <w:rFonts w:cs="Arial"/>
          <w:i/>
          <w:color w:val="2F5496" w:themeColor="accent5" w:themeShade="BF"/>
          <w:sz w:val="24"/>
          <w:szCs w:val="24"/>
        </w:rPr>
      </w:pPr>
    </w:p>
    <w:p w:rsidR="006B54AC" w:rsidRPr="00E668E5" w:rsidRDefault="006B54AC"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 xml:space="preserve">Report from third party audit has been submitted. Document is titled “March 26 2016 City of Oshawa - Investment Grade Audit of Streetlights by </w:t>
      </w:r>
      <w:proofErr w:type="spellStart"/>
      <w:r w:rsidRPr="00E668E5">
        <w:rPr>
          <w:rFonts w:cs="Arial"/>
          <w:i/>
          <w:color w:val="2F5496" w:themeColor="accent5" w:themeShade="BF"/>
          <w:sz w:val="24"/>
          <w:szCs w:val="24"/>
        </w:rPr>
        <w:t>Realterm</w:t>
      </w:r>
      <w:proofErr w:type="spellEnd"/>
      <w:r w:rsidRPr="00E668E5">
        <w:rPr>
          <w:rFonts w:cs="Arial"/>
          <w:i/>
          <w:color w:val="2F5496" w:themeColor="accent5" w:themeShade="BF"/>
          <w:sz w:val="24"/>
          <w:szCs w:val="24"/>
        </w:rPr>
        <w:t xml:space="preserve"> Energy.pdf”. The report identified the number of lights, the type of lights to be retrofitted, and the proposed replacements.</w:t>
      </w:r>
    </w:p>
    <w:p w:rsidR="006B54AC" w:rsidRPr="00E668E5" w:rsidRDefault="006B54AC" w:rsidP="00E668E5">
      <w:pPr>
        <w:pStyle w:val="ListParagraph"/>
        <w:ind w:left="0"/>
        <w:rPr>
          <w:rFonts w:cs="Arial"/>
          <w:i/>
          <w:color w:val="2F5496" w:themeColor="accent5" w:themeShade="BF"/>
          <w:sz w:val="24"/>
          <w:szCs w:val="24"/>
        </w:rPr>
      </w:pPr>
    </w:p>
    <w:p w:rsidR="006B54AC" w:rsidRPr="00E668E5" w:rsidRDefault="006B54AC"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This report informed the load forecast used by Oshawa for 2015 to 2019 rates for streetlights. Additionally, the reported was used to calculate actual savings once the retrofit project was completed. Actual replacement began in October 2016 and was completed in August 2017. The following table provides the calculations for the actual energy savings:</w:t>
      </w:r>
    </w:p>
    <w:p w:rsidR="006B54AC" w:rsidRPr="006B54AC" w:rsidRDefault="006B54AC" w:rsidP="006B54AC">
      <w:pPr>
        <w:pStyle w:val="ListParagraph"/>
        <w:rPr>
          <w:rFonts w:cs="Arial"/>
          <w:color w:val="FF0000"/>
          <w:sz w:val="24"/>
          <w:szCs w:val="24"/>
        </w:rPr>
      </w:pPr>
      <w:r w:rsidRPr="006B54AC">
        <w:rPr>
          <w:rFonts w:cs="Arial"/>
          <w:color w:val="FF0000"/>
          <w:sz w:val="24"/>
          <w:szCs w:val="24"/>
        </w:rPr>
        <w:t xml:space="preserve"> </w:t>
      </w:r>
    </w:p>
    <w:p w:rsidR="00A777D2" w:rsidRPr="00A777D2" w:rsidRDefault="006B54AC" w:rsidP="004641E1">
      <w:pPr>
        <w:pStyle w:val="ListParagraph"/>
        <w:ind w:left="0"/>
        <w:rPr>
          <w:rFonts w:cs="Arial"/>
          <w:color w:val="FF0000"/>
          <w:sz w:val="24"/>
          <w:szCs w:val="24"/>
        </w:rPr>
      </w:pPr>
      <w:r w:rsidRPr="00D20A57">
        <w:rPr>
          <w:noProof/>
          <w:lang w:val="en-CA" w:eastAsia="en-CA"/>
        </w:rPr>
        <w:drawing>
          <wp:inline distT="0" distB="0" distL="0" distR="0" wp14:anchorId="45D2C453" wp14:editId="7DE2A402">
            <wp:extent cx="5943600" cy="19100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910080"/>
                    </a:xfrm>
                    <a:prstGeom prst="rect">
                      <a:avLst/>
                    </a:prstGeom>
                    <a:noFill/>
                    <a:ln>
                      <a:noFill/>
                    </a:ln>
                  </pic:spPr>
                </pic:pic>
              </a:graphicData>
            </a:graphic>
          </wp:inline>
        </w:drawing>
      </w:r>
    </w:p>
    <w:p w:rsidR="00A777D2" w:rsidRPr="00A777D2" w:rsidRDefault="00A777D2" w:rsidP="00B537B1">
      <w:pPr>
        <w:pStyle w:val="ListParagraph"/>
        <w:rPr>
          <w:rFonts w:cs="Arial"/>
          <w:color w:val="FF0000"/>
          <w:sz w:val="24"/>
          <w:szCs w:val="24"/>
        </w:rPr>
      </w:pPr>
    </w:p>
    <w:p w:rsidR="00436F28" w:rsidRDefault="00436F28" w:rsidP="00C9477D">
      <w:pPr>
        <w:pStyle w:val="ListParagraph"/>
        <w:numPr>
          <w:ilvl w:val="0"/>
          <w:numId w:val="33"/>
        </w:numPr>
        <w:rPr>
          <w:rFonts w:cs="Arial"/>
          <w:sz w:val="24"/>
          <w:szCs w:val="24"/>
        </w:rPr>
      </w:pPr>
      <w:r w:rsidRPr="00E249EC">
        <w:rPr>
          <w:rFonts w:cs="Arial"/>
          <w:sz w:val="24"/>
          <w:szCs w:val="24"/>
        </w:rPr>
        <w:t xml:space="preserve">If the above cannot be provided, please provide a detailed explanation of the methodology used to calculate actual street light demand saving. Please file the detailed data and supporting analysis. </w:t>
      </w:r>
    </w:p>
    <w:p w:rsidR="00E668E5" w:rsidRDefault="00E668E5" w:rsidP="00E668E5">
      <w:pPr>
        <w:pStyle w:val="ListParagraph"/>
        <w:ind w:left="0"/>
        <w:rPr>
          <w:rFonts w:cs="Arial"/>
          <w:i/>
          <w:color w:val="2F5496" w:themeColor="accent5" w:themeShade="BF"/>
          <w:sz w:val="24"/>
          <w:szCs w:val="24"/>
        </w:rPr>
      </w:pPr>
    </w:p>
    <w:p w:rsidR="006B54AC" w:rsidRPr="00E668E5" w:rsidRDefault="006B54AC"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Oshawa applied the information included in the third-party audit report as the basis for calculating the streetlight savings.</w:t>
      </w:r>
    </w:p>
    <w:p w:rsidR="006B54AC" w:rsidRPr="00E668E5" w:rsidRDefault="006B54AC" w:rsidP="00E668E5">
      <w:pPr>
        <w:pStyle w:val="ListParagraph"/>
        <w:ind w:left="0"/>
        <w:rPr>
          <w:rFonts w:cs="Arial"/>
          <w:i/>
          <w:color w:val="2F5496" w:themeColor="accent5" w:themeShade="BF"/>
          <w:sz w:val="24"/>
          <w:szCs w:val="24"/>
        </w:rPr>
      </w:pPr>
    </w:p>
    <w:p w:rsidR="006B54AC" w:rsidRPr="00E668E5" w:rsidRDefault="006B54AC"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 xml:space="preserve">The report identified 12,678 lamps to be replaced with LED’s; 10,372 labelled as </w:t>
      </w:r>
      <w:proofErr w:type="spellStart"/>
      <w:r w:rsidRPr="00E668E5">
        <w:rPr>
          <w:rFonts w:cs="Arial"/>
          <w:i/>
          <w:color w:val="2F5496" w:themeColor="accent5" w:themeShade="BF"/>
          <w:sz w:val="24"/>
          <w:szCs w:val="24"/>
        </w:rPr>
        <w:t>Cobraheads</w:t>
      </w:r>
      <w:proofErr w:type="spellEnd"/>
      <w:r w:rsidRPr="00E668E5">
        <w:rPr>
          <w:rFonts w:cs="Arial"/>
          <w:i/>
          <w:color w:val="2F5496" w:themeColor="accent5" w:themeShade="BF"/>
          <w:sz w:val="24"/>
          <w:szCs w:val="24"/>
        </w:rPr>
        <w:t xml:space="preserve"> and 2,306 were decorative. There were six types of </w:t>
      </w:r>
      <w:proofErr w:type="spellStart"/>
      <w:r w:rsidRPr="00E668E5">
        <w:rPr>
          <w:rFonts w:cs="Arial"/>
          <w:i/>
          <w:color w:val="2F5496" w:themeColor="accent5" w:themeShade="BF"/>
          <w:sz w:val="24"/>
          <w:szCs w:val="24"/>
        </w:rPr>
        <w:t>Cobraheads</w:t>
      </w:r>
      <w:proofErr w:type="spellEnd"/>
      <w:r w:rsidRPr="00E668E5">
        <w:rPr>
          <w:rFonts w:cs="Arial"/>
          <w:i/>
          <w:color w:val="2F5496" w:themeColor="accent5" w:themeShade="BF"/>
          <w:sz w:val="24"/>
          <w:szCs w:val="24"/>
        </w:rPr>
        <w:t xml:space="preserve"> and nineteen different decorative lamps. The report also outlined the replacement lamps to be used in the program; there were twenty LED replacement types for the </w:t>
      </w:r>
      <w:proofErr w:type="spellStart"/>
      <w:r w:rsidRPr="00E668E5">
        <w:rPr>
          <w:rFonts w:cs="Arial"/>
          <w:i/>
          <w:color w:val="2F5496" w:themeColor="accent5" w:themeShade="BF"/>
          <w:sz w:val="24"/>
          <w:szCs w:val="24"/>
        </w:rPr>
        <w:t>Cobraheads</w:t>
      </w:r>
      <w:proofErr w:type="spellEnd"/>
      <w:r w:rsidRPr="00E668E5">
        <w:rPr>
          <w:rFonts w:cs="Arial"/>
          <w:i/>
          <w:color w:val="2F5496" w:themeColor="accent5" w:themeShade="BF"/>
          <w:sz w:val="24"/>
          <w:szCs w:val="24"/>
        </w:rPr>
        <w:t xml:space="preserve"> and an additional fifteen LED’s to replace decorative lamps. In addition to the number of replacements, the report identified the savings attribute to each of the replacement LED’s matched to the original light fixtures.</w:t>
      </w:r>
    </w:p>
    <w:p w:rsidR="006B54AC" w:rsidRPr="00E668E5" w:rsidRDefault="006B54AC" w:rsidP="00E668E5">
      <w:pPr>
        <w:pStyle w:val="ListParagraph"/>
        <w:ind w:left="0"/>
        <w:rPr>
          <w:rFonts w:cs="Arial"/>
          <w:i/>
          <w:color w:val="2F5496" w:themeColor="accent5" w:themeShade="BF"/>
          <w:sz w:val="24"/>
          <w:szCs w:val="24"/>
        </w:rPr>
      </w:pPr>
    </w:p>
    <w:p w:rsidR="006B54AC" w:rsidRPr="00E668E5" w:rsidRDefault="006B54AC"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In order to calculate savings, Oshawa tracked the total replacements as they were installed in each of the two categories identified by the third-party. For each month, Oshawa used the average savings per LED for each of the two categories and applied it to the number of fixtures replaced in each month, representing a billing cycle; half of the average savings were used in the first month of installation and full savings were applied each of the following months.</w:t>
      </w:r>
    </w:p>
    <w:p w:rsidR="006B54AC" w:rsidRPr="00E668E5" w:rsidRDefault="006B54AC" w:rsidP="00E668E5">
      <w:pPr>
        <w:pStyle w:val="ListParagraph"/>
        <w:ind w:left="0"/>
        <w:rPr>
          <w:rFonts w:cs="Arial"/>
          <w:i/>
          <w:color w:val="2F5496" w:themeColor="accent5" w:themeShade="BF"/>
          <w:sz w:val="24"/>
          <w:szCs w:val="24"/>
        </w:rPr>
      </w:pPr>
    </w:p>
    <w:p w:rsidR="006B54AC" w:rsidRPr="00E668E5" w:rsidRDefault="006B54AC"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Once the program was completed, the savings were annualized to calculate the actual savings for each of the years during the replacement period with persistent savings equaling the annualized total of the fully installed month.</w:t>
      </w:r>
    </w:p>
    <w:p w:rsidR="006B54AC" w:rsidRPr="00E668E5" w:rsidRDefault="006B54AC" w:rsidP="00E668E5">
      <w:pPr>
        <w:pStyle w:val="ListParagraph"/>
        <w:ind w:left="0"/>
        <w:rPr>
          <w:rFonts w:cs="Arial"/>
          <w:i/>
          <w:color w:val="2F5496" w:themeColor="accent5" w:themeShade="BF"/>
          <w:sz w:val="24"/>
          <w:szCs w:val="24"/>
        </w:rPr>
      </w:pPr>
    </w:p>
    <w:p w:rsidR="006B54AC" w:rsidRDefault="006B54AC" w:rsidP="00E668E5">
      <w:pPr>
        <w:pStyle w:val="ListParagraph"/>
        <w:ind w:left="0"/>
        <w:rPr>
          <w:rFonts w:cs="Arial"/>
          <w:color w:val="FF0000"/>
          <w:sz w:val="24"/>
          <w:szCs w:val="24"/>
        </w:rPr>
      </w:pPr>
      <w:r w:rsidRPr="00E668E5">
        <w:rPr>
          <w:rFonts w:cs="Arial"/>
          <w:i/>
          <w:color w:val="2F5496" w:themeColor="accent5" w:themeShade="BF"/>
          <w:sz w:val="24"/>
          <w:szCs w:val="24"/>
        </w:rPr>
        <w:t>The table in part a) above summarizes the results. Oshawa believes any differences from the replacement program included in the report would not change the results in a material manner. Oshawa does not have the level of detail requested in the methodology described above.</w:t>
      </w:r>
    </w:p>
    <w:p w:rsidR="006B54AC" w:rsidRPr="00E249EC" w:rsidRDefault="006B54AC" w:rsidP="006B54AC">
      <w:pPr>
        <w:pStyle w:val="ListParagraph"/>
        <w:rPr>
          <w:rFonts w:cs="Arial"/>
          <w:sz w:val="24"/>
          <w:szCs w:val="24"/>
        </w:rPr>
      </w:pPr>
    </w:p>
    <w:p w:rsidR="00436F28" w:rsidRDefault="00436F28" w:rsidP="00E92803">
      <w:pPr>
        <w:pStyle w:val="ListParagraph"/>
        <w:numPr>
          <w:ilvl w:val="0"/>
          <w:numId w:val="33"/>
        </w:numPr>
        <w:rPr>
          <w:rFonts w:cs="Arial"/>
          <w:sz w:val="24"/>
          <w:szCs w:val="24"/>
        </w:rPr>
      </w:pPr>
      <w:r w:rsidRPr="00E249EC">
        <w:rPr>
          <w:rFonts w:cs="Arial"/>
          <w:sz w:val="24"/>
          <w:szCs w:val="24"/>
        </w:rPr>
        <w:t xml:space="preserve">Please confirm that the proposed methodology to calculate street light savings aligns with the methodology outlined in the tab 8 templates of the LRAMVA </w:t>
      </w:r>
      <w:proofErr w:type="spellStart"/>
      <w:r w:rsidRPr="00E249EC">
        <w:rPr>
          <w:rFonts w:cs="Arial"/>
          <w:sz w:val="24"/>
          <w:szCs w:val="24"/>
        </w:rPr>
        <w:t>workform</w:t>
      </w:r>
      <w:proofErr w:type="spellEnd"/>
      <w:r w:rsidRPr="00E249EC">
        <w:rPr>
          <w:rFonts w:cs="Arial"/>
          <w:sz w:val="24"/>
          <w:szCs w:val="24"/>
        </w:rPr>
        <w:t>. If a different methodology is proposed, please explain the differences and why Oshawa PUC’s methodology should be accepted by the OEB.</w:t>
      </w:r>
    </w:p>
    <w:p w:rsidR="007D09F4" w:rsidRDefault="006B54AC" w:rsidP="00E668E5">
      <w:pPr>
        <w:rPr>
          <w:rFonts w:cs="Arial"/>
          <w:i/>
          <w:color w:val="2F5496" w:themeColor="accent5" w:themeShade="BF"/>
          <w:sz w:val="24"/>
          <w:szCs w:val="24"/>
        </w:rPr>
      </w:pPr>
      <w:r w:rsidRPr="00E668E5">
        <w:rPr>
          <w:rFonts w:cs="Arial"/>
          <w:i/>
          <w:color w:val="2F5496" w:themeColor="accent5" w:themeShade="BF"/>
          <w:sz w:val="24"/>
          <w:szCs w:val="24"/>
        </w:rPr>
        <w:t xml:space="preserve">Oshawa believes the methodology meets the substance outlined in the tab 8 templates of the LRAMVA </w:t>
      </w:r>
      <w:proofErr w:type="spellStart"/>
      <w:r w:rsidRPr="00E668E5">
        <w:rPr>
          <w:rFonts w:cs="Arial"/>
          <w:i/>
          <w:color w:val="2F5496" w:themeColor="accent5" w:themeShade="BF"/>
          <w:sz w:val="24"/>
          <w:szCs w:val="24"/>
        </w:rPr>
        <w:t>workform</w:t>
      </w:r>
      <w:proofErr w:type="spellEnd"/>
      <w:r w:rsidRPr="00E668E5">
        <w:rPr>
          <w:rFonts w:cs="Arial"/>
          <w:i/>
          <w:color w:val="2F5496" w:themeColor="accent5" w:themeShade="BF"/>
          <w:sz w:val="24"/>
          <w:szCs w:val="24"/>
        </w:rPr>
        <w:t xml:space="preserve">. The table in in part a) above has been inserted in tab 8 of the LRAMVA </w:t>
      </w:r>
      <w:proofErr w:type="spellStart"/>
      <w:r w:rsidRPr="00E668E5">
        <w:rPr>
          <w:rFonts w:cs="Arial"/>
          <w:i/>
          <w:color w:val="2F5496" w:themeColor="accent5" w:themeShade="BF"/>
          <w:sz w:val="24"/>
          <w:szCs w:val="24"/>
        </w:rPr>
        <w:t>workform</w:t>
      </w:r>
      <w:proofErr w:type="spellEnd"/>
      <w:r w:rsidRPr="00E668E5">
        <w:rPr>
          <w:rFonts w:cs="Arial"/>
          <w:i/>
          <w:color w:val="2F5496" w:themeColor="accent5" w:themeShade="BF"/>
          <w:sz w:val="24"/>
          <w:szCs w:val="24"/>
        </w:rPr>
        <w:t xml:space="preserve"> as a representation of the methodology used. </w:t>
      </w:r>
    </w:p>
    <w:p w:rsidR="00436F28" w:rsidRDefault="00436F28" w:rsidP="00273E68">
      <w:pPr>
        <w:pStyle w:val="ListParagraph"/>
        <w:numPr>
          <w:ilvl w:val="0"/>
          <w:numId w:val="33"/>
        </w:numPr>
        <w:rPr>
          <w:rFonts w:cs="Arial"/>
          <w:sz w:val="24"/>
          <w:szCs w:val="24"/>
        </w:rPr>
      </w:pPr>
      <w:r w:rsidRPr="00E249EC">
        <w:rPr>
          <w:rFonts w:cs="Arial"/>
          <w:sz w:val="24"/>
          <w:szCs w:val="24"/>
        </w:rPr>
        <w:t xml:space="preserve">Please re-calculate the street light demand savings based on the tab 8 templates originally included in version 4 of the LRAMVA. </w:t>
      </w:r>
    </w:p>
    <w:p w:rsidR="000A0FBD" w:rsidRDefault="000A0FBD" w:rsidP="00E668E5">
      <w:pPr>
        <w:pStyle w:val="ListParagraph"/>
        <w:ind w:left="0"/>
        <w:rPr>
          <w:rFonts w:cs="Arial"/>
          <w:i/>
          <w:color w:val="2F5496" w:themeColor="accent5" w:themeShade="BF"/>
          <w:sz w:val="24"/>
          <w:szCs w:val="24"/>
        </w:rPr>
      </w:pPr>
    </w:p>
    <w:p w:rsidR="007D09F4" w:rsidRPr="00E668E5" w:rsidRDefault="006B54AC"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 xml:space="preserve">Please refer to parts a), b) and c) above. Oshawa does not believe it has retained the information in the form outlined in the templates included in tab 8 of the LRAMVA </w:t>
      </w:r>
      <w:proofErr w:type="spellStart"/>
      <w:r w:rsidRPr="00E668E5">
        <w:rPr>
          <w:rFonts w:cs="Arial"/>
          <w:i/>
          <w:color w:val="2F5496" w:themeColor="accent5" w:themeShade="BF"/>
          <w:sz w:val="24"/>
          <w:szCs w:val="24"/>
        </w:rPr>
        <w:t>workform</w:t>
      </w:r>
      <w:proofErr w:type="spellEnd"/>
      <w:r w:rsidRPr="00E668E5">
        <w:rPr>
          <w:rFonts w:cs="Arial"/>
          <w:i/>
          <w:color w:val="2F5496" w:themeColor="accent5" w:themeShade="BF"/>
          <w:sz w:val="24"/>
          <w:szCs w:val="24"/>
        </w:rPr>
        <w:t>.</w:t>
      </w:r>
    </w:p>
    <w:p w:rsidR="00436F28" w:rsidRDefault="00436F28" w:rsidP="00CB5A34">
      <w:pPr>
        <w:rPr>
          <w:rFonts w:cs="Arial"/>
          <w:sz w:val="24"/>
          <w:szCs w:val="24"/>
        </w:rPr>
      </w:pPr>
    </w:p>
    <w:p w:rsidR="00CB5A34" w:rsidRDefault="00CB5A34" w:rsidP="00CB5A34">
      <w:pPr>
        <w:rPr>
          <w:rFonts w:cs="Arial"/>
          <w:i/>
          <w:color w:val="00B050"/>
          <w:sz w:val="24"/>
          <w:szCs w:val="24"/>
        </w:rPr>
      </w:pPr>
      <w:r w:rsidRPr="00E64A01">
        <w:rPr>
          <w:rFonts w:cs="Arial"/>
          <w:i/>
          <w:color w:val="00B050"/>
          <w:sz w:val="24"/>
          <w:szCs w:val="24"/>
        </w:rPr>
        <w:t xml:space="preserve">Update: </w:t>
      </w:r>
    </w:p>
    <w:p w:rsidR="00CB5A34" w:rsidRDefault="00CB5A34" w:rsidP="00CB5A34">
      <w:pPr>
        <w:rPr>
          <w:rFonts w:cs="Arial"/>
          <w:i/>
          <w:color w:val="00B050"/>
          <w:sz w:val="24"/>
          <w:szCs w:val="24"/>
        </w:rPr>
      </w:pPr>
      <w:r>
        <w:rPr>
          <w:rFonts w:cs="Arial"/>
          <w:i/>
          <w:color w:val="00B050"/>
          <w:sz w:val="24"/>
          <w:szCs w:val="24"/>
        </w:rPr>
        <w:t>After the teleconference with the OEB on Nov 7</w:t>
      </w:r>
      <w:r w:rsidRPr="00CB5A34">
        <w:rPr>
          <w:rFonts w:cs="Arial"/>
          <w:i/>
          <w:color w:val="00B050"/>
          <w:sz w:val="24"/>
          <w:szCs w:val="24"/>
          <w:vertAlign w:val="superscript"/>
        </w:rPr>
        <w:t>th</w:t>
      </w:r>
      <w:r>
        <w:rPr>
          <w:rFonts w:cs="Arial"/>
          <w:i/>
          <w:color w:val="00B050"/>
          <w:sz w:val="24"/>
          <w:szCs w:val="24"/>
        </w:rPr>
        <w:t>, Oshawa contacted the IESO and they provided us the detailed project lists for 2015, 2016 and 2017. Oshawa reviewed the list</w:t>
      </w:r>
      <w:r w:rsidR="004E2F86">
        <w:rPr>
          <w:rFonts w:cs="Arial"/>
          <w:i/>
          <w:color w:val="00B050"/>
          <w:sz w:val="24"/>
          <w:szCs w:val="24"/>
        </w:rPr>
        <w:t>s</w:t>
      </w:r>
      <w:r>
        <w:rPr>
          <w:rFonts w:cs="Arial"/>
          <w:i/>
          <w:color w:val="00B050"/>
          <w:sz w:val="24"/>
          <w:szCs w:val="24"/>
        </w:rPr>
        <w:t xml:space="preserve"> and noted that net verified streetlights savings of 6,288,659 </w:t>
      </w:r>
      <w:proofErr w:type="gramStart"/>
      <w:r>
        <w:rPr>
          <w:rFonts w:cs="Arial"/>
          <w:i/>
          <w:color w:val="00B050"/>
          <w:sz w:val="24"/>
          <w:szCs w:val="24"/>
        </w:rPr>
        <w:t>kwh</w:t>
      </w:r>
      <w:proofErr w:type="gramEnd"/>
      <w:r>
        <w:rPr>
          <w:rFonts w:cs="Arial"/>
          <w:i/>
          <w:color w:val="00B050"/>
          <w:sz w:val="24"/>
          <w:szCs w:val="24"/>
        </w:rPr>
        <w:t xml:space="preserve"> were included in the 2017 Save on Energy retrofit program. Streetlight savings were not included in the 2015 or 2016 </w:t>
      </w:r>
      <w:r w:rsidR="004E2F86">
        <w:rPr>
          <w:rFonts w:cs="Arial"/>
          <w:i/>
          <w:color w:val="00B050"/>
          <w:sz w:val="24"/>
          <w:szCs w:val="24"/>
        </w:rPr>
        <w:t xml:space="preserve">IESO </w:t>
      </w:r>
      <w:r>
        <w:rPr>
          <w:rFonts w:cs="Arial"/>
          <w:i/>
          <w:color w:val="00B050"/>
          <w:sz w:val="24"/>
          <w:szCs w:val="24"/>
        </w:rPr>
        <w:t xml:space="preserve">reports. </w:t>
      </w:r>
    </w:p>
    <w:p w:rsidR="00CB5A34" w:rsidRDefault="00CB5A34" w:rsidP="00CB5A34">
      <w:pPr>
        <w:rPr>
          <w:rFonts w:cs="Arial"/>
          <w:i/>
          <w:color w:val="00B050"/>
          <w:sz w:val="24"/>
          <w:szCs w:val="24"/>
        </w:rPr>
      </w:pPr>
      <w:r>
        <w:rPr>
          <w:rFonts w:cs="Arial"/>
          <w:i/>
          <w:color w:val="00B050"/>
          <w:sz w:val="24"/>
          <w:szCs w:val="24"/>
        </w:rPr>
        <w:t xml:space="preserve">Oshawa is providing a copy of the 2017 detailed Project List report from the IESO. Row 1250, application number 157566, represents the streetlight savings in the IESO report. </w:t>
      </w:r>
    </w:p>
    <w:p w:rsidR="00CB5A34" w:rsidRDefault="00CB5A34" w:rsidP="00CB5A34">
      <w:pPr>
        <w:rPr>
          <w:rFonts w:cs="Arial"/>
          <w:i/>
          <w:color w:val="00B050"/>
          <w:sz w:val="24"/>
          <w:szCs w:val="24"/>
        </w:rPr>
      </w:pPr>
      <w:r>
        <w:rPr>
          <w:rFonts w:cs="Arial"/>
          <w:i/>
          <w:color w:val="00B050"/>
          <w:sz w:val="24"/>
          <w:szCs w:val="24"/>
        </w:rPr>
        <w:t xml:space="preserve">Per the IESO’s report, streetlights had reported savings of 6,624,287 </w:t>
      </w:r>
      <w:proofErr w:type="gramStart"/>
      <w:r>
        <w:rPr>
          <w:rFonts w:cs="Arial"/>
          <w:i/>
          <w:color w:val="00B050"/>
          <w:sz w:val="24"/>
          <w:szCs w:val="24"/>
        </w:rPr>
        <w:t>kwh</w:t>
      </w:r>
      <w:proofErr w:type="gramEnd"/>
      <w:r>
        <w:rPr>
          <w:rFonts w:cs="Arial"/>
          <w:i/>
          <w:color w:val="00B050"/>
          <w:sz w:val="24"/>
          <w:szCs w:val="24"/>
        </w:rPr>
        <w:t>, using the realization rate of 106%</w:t>
      </w:r>
      <w:r w:rsidR="00723061">
        <w:rPr>
          <w:rFonts w:cs="Arial"/>
          <w:i/>
          <w:color w:val="00B050"/>
          <w:sz w:val="24"/>
          <w:szCs w:val="24"/>
        </w:rPr>
        <w:t xml:space="preserve"> attributed by the IESO provides gross verified savings of 6,999,138 kwh. A net-to-gross ratio of 90%, which builds in free ridership, results in net verified savings of 6,288,659 </w:t>
      </w:r>
      <w:proofErr w:type="gramStart"/>
      <w:r w:rsidR="00723061">
        <w:rPr>
          <w:rFonts w:cs="Arial"/>
          <w:i/>
          <w:color w:val="00B050"/>
          <w:sz w:val="24"/>
          <w:szCs w:val="24"/>
        </w:rPr>
        <w:t>kwh</w:t>
      </w:r>
      <w:proofErr w:type="gramEnd"/>
      <w:r w:rsidR="00723061">
        <w:rPr>
          <w:rFonts w:cs="Arial"/>
          <w:i/>
          <w:color w:val="00B050"/>
          <w:sz w:val="24"/>
          <w:szCs w:val="24"/>
        </w:rPr>
        <w:t xml:space="preserve"> for streetlights. These net savings were removed from row 65 of tab “7. Persistence Report” in the LRAMVA Workform. </w:t>
      </w:r>
    </w:p>
    <w:p w:rsidR="004E2F86" w:rsidRDefault="004E2F86" w:rsidP="00CB5A34">
      <w:pPr>
        <w:rPr>
          <w:rFonts w:cs="Arial"/>
          <w:i/>
          <w:color w:val="00B050"/>
          <w:sz w:val="24"/>
          <w:szCs w:val="24"/>
        </w:rPr>
      </w:pPr>
      <w:r>
        <w:rPr>
          <w:rFonts w:cs="Arial"/>
          <w:i/>
          <w:color w:val="00B050"/>
          <w:sz w:val="24"/>
          <w:szCs w:val="24"/>
        </w:rPr>
        <w:t xml:space="preserve">Subsequently, in tab “5. 2015-2020 LRAM” row 487 has been updated to reflect the net retrofit program savings attributed to all initiatives, other than streetlights. </w:t>
      </w:r>
    </w:p>
    <w:p w:rsidR="00723061" w:rsidRDefault="00723061" w:rsidP="00CB5A34">
      <w:pPr>
        <w:rPr>
          <w:rFonts w:cs="Arial"/>
          <w:i/>
          <w:color w:val="00B050"/>
          <w:sz w:val="24"/>
          <w:szCs w:val="24"/>
        </w:rPr>
      </w:pPr>
      <w:r>
        <w:rPr>
          <w:rFonts w:cs="Arial"/>
          <w:i/>
          <w:color w:val="00B050"/>
          <w:sz w:val="24"/>
          <w:szCs w:val="24"/>
        </w:rPr>
        <w:t xml:space="preserve">Our calculations for streetlights are provided in tab 8 of the </w:t>
      </w:r>
      <w:proofErr w:type="spellStart"/>
      <w:r>
        <w:rPr>
          <w:rFonts w:cs="Arial"/>
          <w:i/>
          <w:color w:val="00B050"/>
          <w:sz w:val="24"/>
          <w:szCs w:val="24"/>
        </w:rPr>
        <w:t>workform</w:t>
      </w:r>
      <w:proofErr w:type="spellEnd"/>
      <w:r>
        <w:rPr>
          <w:rFonts w:cs="Arial"/>
          <w:i/>
          <w:color w:val="00B050"/>
          <w:sz w:val="24"/>
          <w:szCs w:val="24"/>
        </w:rPr>
        <w:t>. They are on a demand (kW) basis</w:t>
      </w:r>
      <w:r w:rsidR="007621E2">
        <w:rPr>
          <w:rFonts w:cs="Arial"/>
          <w:i/>
          <w:color w:val="00B050"/>
          <w:sz w:val="24"/>
          <w:szCs w:val="24"/>
        </w:rPr>
        <w:t xml:space="preserve"> and attributed to the billing periods associated with when the savings were realized (</w:t>
      </w:r>
      <w:proofErr w:type="spellStart"/>
      <w:r w:rsidR="007621E2">
        <w:rPr>
          <w:rFonts w:cs="Arial"/>
          <w:i/>
          <w:color w:val="00B050"/>
          <w:sz w:val="24"/>
          <w:szCs w:val="24"/>
        </w:rPr>
        <w:t>ie</w:t>
      </w:r>
      <w:proofErr w:type="spellEnd"/>
      <w:r w:rsidR="007621E2">
        <w:rPr>
          <w:rFonts w:cs="Arial"/>
          <w:i/>
          <w:color w:val="00B050"/>
          <w:sz w:val="24"/>
          <w:szCs w:val="24"/>
        </w:rPr>
        <w:t xml:space="preserve">, over 2016 and 2017). The IESO (as per their Project List report) have associated all streetlight savings in 2017.  </w:t>
      </w:r>
    </w:p>
    <w:p w:rsidR="00CB5A34" w:rsidRPr="00CB5A34" w:rsidRDefault="004E2F86" w:rsidP="00CB5A34">
      <w:pPr>
        <w:rPr>
          <w:rFonts w:cs="Arial"/>
          <w:sz w:val="24"/>
          <w:szCs w:val="24"/>
        </w:rPr>
      </w:pPr>
      <w:r>
        <w:rPr>
          <w:rFonts w:cs="Arial"/>
          <w:i/>
          <w:color w:val="00B050"/>
          <w:sz w:val="24"/>
          <w:szCs w:val="24"/>
        </w:rPr>
        <w:t xml:space="preserve">The resulting LRAMVA balances for each rate class in tab “1. LRAMVA Summary” was used to update the LRAMVA balance in the Continuity tab in the IRM Rate Generator Model, and resultant rate riders. </w:t>
      </w:r>
      <w:bookmarkStart w:id="0" w:name="_GoBack"/>
      <w:bookmarkEnd w:id="0"/>
    </w:p>
    <w:p w:rsidR="00E249EC" w:rsidRDefault="00436F28" w:rsidP="00436F28">
      <w:pPr>
        <w:rPr>
          <w:rFonts w:cs="Arial"/>
          <w:b/>
          <w:sz w:val="24"/>
          <w:szCs w:val="24"/>
        </w:rPr>
      </w:pPr>
      <w:r w:rsidRPr="007A6CEC">
        <w:rPr>
          <w:rFonts w:cs="Arial"/>
          <w:b/>
          <w:sz w:val="24"/>
          <w:szCs w:val="24"/>
        </w:rPr>
        <w:t xml:space="preserve">Staff </w:t>
      </w:r>
      <w:r>
        <w:rPr>
          <w:rFonts w:cs="Arial"/>
          <w:b/>
          <w:sz w:val="24"/>
          <w:szCs w:val="24"/>
        </w:rPr>
        <w:t xml:space="preserve">Follow-up </w:t>
      </w:r>
      <w:r w:rsidRPr="007A6CEC">
        <w:rPr>
          <w:rFonts w:cs="Arial"/>
          <w:b/>
          <w:sz w:val="24"/>
          <w:szCs w:val="24"/>
        </w:rPr>
        <w:t>Question #</w:t>
      </w:r>
      <w:r w:rsidR="00E249EC">
        <w:rPr>
          <w:rFonts w:cs="Arial"/>
          <w:b/>
          <w:sz w:val="24"/>
          <w:szCs w:val="24"/>
        </w:rPr>
        <w:t>10</w:t>
      </w:r>
    </w:p>
    <w:p w:rsidR="00436F28" w:rsidRPr="00E249EC" w:rsidRDefault="00E249EC" w:rsidP="00436F28">
      <w:pPr>
        <w:rPr>
          <w:rFonts w:cs="Arial"/>
          <w:b/>
          <w:sz w:val="24"/>
          <w:szCs w:val="24"/>
        </w:rPr>
      </w:pPr>
      <w:r w:rsidRPr="00E249EC">
        <w:rPr>
          <w:rFonts w:cs="Arial"/>
          <w:b/>
          <w:sz w:val="24"/>
          <w:szCs w:val="24"/>
        </w:rPr>
        <w:t xml:space="preserve">Ref: </w:t>
      </w:r>
      <w:r w:rsidR="00436F28" w:rsidRPr="00E249EC">
        <w:rPr>
          <w:rFonts w:cs="Arial"/>
          <w:b/>
          <w:sz w:val="24"/>
          <w:szCs w:val="24"/>
        </w:rPr>
        <w:t>Response to Staff Questions 12 a, b and c)</w:t>
      </w:r>
    </w:p>
    <w:p w:rsidR="00436F28" w:rsidRDefault="00436F28" w:rsidP="00436F28">
      <w:pPr>
        <w:rPr>
          <w:rFonts w:cs="Arial"/>
          <w:sz w:val="24"/>
          <w:szCs w:val="24"/>
        </w:rPr>
      </w:pPr>
      <w:r w:rsidRPr="006079FD">
        <w:rPr>
          <w:rFonts w:cs="Arial"/>
          <w:sz w:val="24"/>
          <w:szCs w:val="24"/>
        </w:rPr>
        <w:t>In part a), Oshawa PUC confirmed that there is no settlement agreeme</w:t>
      </w:r>
      <w:r>
        <w:rPr>
          <w:rFonts w:cs="Arial"/>
          <w:sz w:val="24"/>
          <w:szCs w:val="24"/>
        </w:rPr>
        <w:t>nt for the 2015 CIR application.</w:t>
      </w:r>
      <w:r w:rsidRPr="006079FD">
        <w:rPr>
          <w:rFonts w:cs="Arial"/>
          <w:sz w:val="24"/>
          <w:szCs w:val="24"/>
        </w:rPr>
        <w:t xml:space="preserve"> </w:t>
      </w:r>
      <w:r>
        <w:rPr>
          <w:rFonts w:cs="Arial"/>
          <w:sz w:val="24"/>
          <w:szCs w:val="24"/>
        </w:rPr>
        <w:t xml:space="preserve">Oshawa PUC stated that it </w:t>
      </w:r>
      <w:r w:rsidRPr="006079FD">
        <w:rPr>
          <w:rFonts w:cs="Arial"/>
          <w:sz w:val="24"/>
          <w:szCs w:val="24"/>
        </w:rPr>
        <w:t xml:space="preserve">used 12,166,667 kWh </w:t>
      </w:r>
      <w:r>
        <w:rPr>
          <w:rFonts w:cs="Arial"/>
          <w:sz w:val="24"/>
          <w:szCs w:val="24"/>
        </w:rPr>
        <w:t xml:space="preserve">as the </w:t>
      </w:r>
      <w:r w:rsidRPr="006079FD">
        <w:rPr>
          <w:rFonts w:cs="Arial"/>
          <w:sz w:val="24"/>
          <w:szCs w:val="24"/>
        </w:rPr>
        <w:t>LRAMVA threshold</w:t>
      </w:r>
      <w:r>
        <w:rPr>
          <w:rFonts w:cs="Arial"/>
          <w:sz w:val="24"/>
          <w:szCs w:val="24"/>
        </w:rPr>
        <w:t>,</w:t>
      </w:r>
      <w:r w:rsidRPr="006079FD">
        <w:rPr>
          <w:rFonts w:cs="Arial"/>
          <w:sz w:val="24"/>
          <w:szCs w:val="24"/>
        </w:rPr>
        <w:t xml:space="preserve"> identified in Appendix 2-I</w:t>
      </w:r>
      <w:r>
        <w:rPr>
          <w:rFonts w:cs="Arial"/>
          <w:sz w:val="24"/>
          <w:szCs w:val="24"/>
        </w:rPr>
        <w:t xml:space="preserve">, to be consistent with the OEB’s instructions in the LRAMVA </w:t>
      </w:r>
      <w:proofErr w:type="spellStart"/>
      <w:r>
        <w:rPr>
          <w:rFonts w:cs="Arial"/>
          <w:sz w:val="24"/>
          <w:szCs w:val="24"/>
        </w:rPr>
        <w:t>workform</w:t>
      </w:r>
      <w:proofErr w:type="spellEnd"/>
      <w:r w:rsidRPr="006079FD">
        <w:rPr>
          <w:rFonts w:cs="Arial"/>
          <w:sz w:val="24"/>
          <w:szCs w:val="24"/>
        </w:rPr>
        <w:t xml:space="preserve">. </w:t>
      </w:r>
    </w:p>
    <w:p w:rsidR="00436F28" w:rsidRPr="006079FD" w:rsidRDefault="00436F28" w:rsidP="00436F28">
      <w:pPr>
        <w:rPr>
          <w:rFonts w:cs="Arial"/>
          <w:sz w:val="24"/>
          <w:szCs w:val="24"/>
        </w:rPr>
      </w:pPr>
      <w:r w:rsidRPr="006079FD">
        <w:rPr>
          <w:rFonts w:cs="Arial"/>
          <w:sz w:val="24"/>
          <w:szCs w:val="24"/>
        </w:rPr>
        <w:t>In part b), Oshawa PUC confirmed that it applied annual CDM adjustments (identified in part b</w:t>
      </w:r>
      <w:r w:rsidR="007C7C90">
        <w:rPr>
          <w:rFonts w:cs="Arial"/>
          <w:sz w:val="24"/>
          <w:szCs w:val="24"/>
        </w:rPr>
        <w:t>)</w:t>
      </w:r>
      <w:r w:rsidRPr="006079FD">
        <w:rPr>
          <w:rFonts w:cs="Arial"/>
          <w:sz w:val="24"/>
          <w:szCs w:val="24"/>
        </w:rPr>
        <w:t xml:space="preserve"> of the pre-amble) against its 2015 to 2019 load forecasts.</w:t>
      </w:r>
      <w:r w:rsidRPr="005D1B44">
        <w:rPr>
          <w:rFonts w:cs="Arial"/>
          <w:sz w:val="24"/>
          <w:szCs w:val="24"/>
        </w:rPr>
        <w:t xml:space="preserve"> </w:t>
      </w:r>
      <w:r>
        <w:rPr>
          <w:rFonts w:cs="Arial"/>
          <w:sz w:val="24"/>
          <w:szCs w:val="24"/>
        </w:rPr>
        <w:t xml:space="preserve">The annual CDM adjustments were identified </w:t>
      </w:r>
      <w:r w:rsidRPr="006079FD">
        <w:rPr>
          <w:rFonts w:cs="Arial"/>
          <w:sz w:val="24"/>
          <w:szCs w:val="24"/>
        </w:rPr>
        <w:t xml:space="preserve">under the “Total Billed” column of </w:t>
      </w:r>
      <w:r>
        <w:rPr>
          <w:rFonts w:cs="Arial"/>
          <w:sz w:val="24"/>
          <w:szCs w:val="24"/>
        </w:rPr>
        <w:t xml:space="preserve">the </w:t>
      </w:r>
      <w:r w:rsidRPr="006079FD">
        <w:rPr>
          <w:rFonts w:cs="Arial"/>
          <w:sz w:val="24"/>
          <w:szCs w:val="24"/>
        </w:rPr>
        <w:t xml:space="preserve">“Rate Class Energy Model” </w:t>
      </w:r>
      <w:r>
        <w:rPr>
          <w:rFonts w:cs="Arial"/>
          <w:sz w:val="24"/>
          <w:szCs w:val="24"/>
        </w:rPr>
        <w:t xml:space="preserve">tab in the </w:t>
      </w:r>
      <w:r w:rsidRPr="006079FD">
        <w:rPr>
          <w:rFonts w:cs="Arial"/>
          <w:sz w:val="24"/>
          <w:szCs w:val="24"/>
        </w:rPr>
        <w:t>Weather Normalization Regression Model</w:t>
      </w:r>
      <w:r>
        <w:rPr>
          <w:rFonts w:cs="Arial"/>
          <w:sz w:val="24"/>
          <w:szCs w:val="24"/>
        </w:rPr>
        <w:t>.</w:t>
      </w:r>
    </w:p>
    <w:p w:rsidR="00436F28" w:rsidRDefault="00436F28" w:rsidP="006A2A1F">
      <w:pPr>
        <w:pStyle w:val="ListParagraph"/>
        <w:numPr>
          <w:ilvl w:val="0"/>
          <w:numId w:val="35"/>
        </w:numPr>
        <w:rPr>
          <w:rFonts w:cs="Arial"/>
          <w:sz w:val="24"/>
          <w:szCs w:val="24"/>
        </w:rPr>
      </w:pPr>
      <w:r w:rsidRPr="00E249EC">
        <w:rPr>
          <w:rFonts w:cs="Arial"/>
          <w:sz w:val="24"/>
          <w:szCs w:val="24"/>
        </w:rPr>
        <w:t>Please confirm that the extract of CDM adjustments compiled by OEB staff in part b) of the pre-amble represents the cumulative CDM impact that was applied against the 2015 to 2019 load forecasts.</w:t>
      </w:r>
    </w:p>
    <w:p w:rsidR="00EE6023" w:rsidRDefault="00EE6023" w:rsidP="00EE6023">
      <w:pPr>
        <w:pStyle w:val="ListParagraph"/>
        <w:rPr>
          <w:rFonts w:cs="Arial"/>
          <w:color w:val="FF0000"/>
          <w:sz w:val="24"/>
          <w:szCs w:val="24"/>
        </w:rPr>
      </w:pPr>
    </w:p>
    <w:p w:rsidR="0016394B" w:rsidRPr="00E668E5" w:rsidRDefault="0016394B"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 xml:space="preserve">Yes, confirmed.  </w:t>
      </w:r>
    </w:p>
    <w:p w:rsidR="00EE6023" w:rsidRPr="00E668E5" w:rsidRDefault="00EE6023"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The following i</w:t>
      </w:r>
      <w:r w:rsidR="00DF25BF" w:rsidRPr="00E668E5">
        <w:rPr>
          <w:rFonts w:cs="Arial"/>
          <w:i/>
          <w:color w:val="2F5496" w:themeColor="accent5" w:themeShade="BF"/>
          <w:sz w:val="24"/>
          <w:szCs w:val="24"/>
        </w:rPr>
        <w:t>s</w:t>
      </w:r>
      <w:r w:rsidRPr="00E668E5">
        <w:rPr>
          <w:rFonts w:cs="Arial"/>
          <w:i/>
          <w:color w:val="2F5496" w:themeColor="accent5" w:themeShade="BF"/>
          <w:sz w:val="24"/>
          <w:szCs w:val="24"/>
        </w:rPr>
        <w:t xml:space="preserve"> the CDM extract that was </w:t>
      </w:r>
      <w:r w:rsidR="000E375D" w:rsidRPr="00E668E5">
        <w:rPr>
          <w:rFonts w:cs="Arial"/>
          <w:i/>
          <w:color w:val="2F5496" w:themeColor="accent5" w:themeShade="BF"/>
          <w:sz w:val="24"/>
          <w:szCs w:val="24"/>
        </w:rPr>
        <w:t xml:space="preserve">included </w:t>
      </w:r>
      <w:r w:rsidRPr="00E668E5">
        <w:rPr>
          <w:rFonts w:cs="Arial"/>
          <w:i/>
          <w:color w:val="2F5496" w:themeColor="accent5" w:themeShade="BF"/>
          <w:sz w:val="24"/>
          <w:szCs w:val="24"/>
        </w:rPr>
        <w:t xml:space="preserve">by OEB staff in question #12, part b of the initial OEB staff questions. </w:t>
      </w:r>
    </w:p>
    <w:p w:rsidR="00EE6023" w:rsidRDefault="00EE6023" w:rsidP="004641E1">
      <w:pPr>
        <w:pStyle w:val="ListParagraph"/>
        <w:ind w:left="0"/>
        <w:rPr>
          <w:rFonts w:cs="Arial"/>
          <w:color w:val="FF0000"/>
          <w:sz w:val="24"/>
          <w:szCs w:val="24"/>
        </w:rPr>
      </w:pPr>
      <w:r w:rsidRPr="003A5A50">
        <w:rPr>
          <w:rFonts w:cs="Arial"/>
          <w:noProof/>
          <w:sz w:val="24"/>
          <w:szCs w:val="24"/>
          <w:lang w:val="en-CA" w:eastAsia="en-CA"/>
        </w:rPr>
        <w:drawing>
          <wp:inline distT="0" distB="0" distL="0" distR="0" wp14:anchorId="40C0B62F" wp14:editId="057C7EAC">
            <wp:extent cx="5943600" cy="10985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098550"/>
                    </a:xfrm>
                    <a:prstGeom prst="rect">
                      <a:avLst/>
                    </a:prstGeom>
                  </pic:spPr>
                </pic:pic>
              </a:graphicData>
            </a:graphic>
          </wp:inline>
        </w:drawing>
      </w:r>
    </w:p>
    <w:p w:rsidR="00EE6023" w:rsidRPr="00E249EC" w:rsidRDefault="00EE6023" w:rsidP="00EE6023">
      <w:pPr>
        <w:pStyle w:val="ListParagraph"/>
        <w:rPr>
          <w:rFonts w:cs="Arial"/>
          <w:sz w:val="24"/>
          <w:szCs w:val="24"/>
        </w:rPr>
      </w:pPr>
    </w:p>
    <w:p w:rsidR="00436F28" w:rsidRDefault="00436F28" w:rsidP="00516FAA">
      <w:pPr>
        <w:pStyle w:val="ListParagraph"/>
        <w:numPr>
          <w:ilvl w:val="0"/>
          <w:numId w:val="35"/>
        </w:numPr>
        <w:rPr>
          <w:rFonts w:cs="Arial"/>
          <w:sz w:val="24"/>
          <w:szCs w:val="24"/>
        </w:rPr>
      </w:pPr>
      <w:r w:rsidRPr="00E249EC">
        <w:rPr>
          <w:rFonts w:cs="Arial"/>
          <w:sz w:val="24"/>
          <w:szCs w:val="24"/>
        </w:rPr>
        <w:t xml:space="preserve">Please confirm that 2015 to 2019 rates were calculated based on the cumulative impact of CDM on load. </w:t>
      </w:r>
    </w:p>
    <w:p w:rsidR="00E668E5" w:rsidRDefault="00E668E5" w:rsidP="00EE6023">
      <w:pPr>
        <w:pStyle w:val="ListParagraph"/>
        <w:rPr>
          <w:rFonts w:cs="Arial"/>
          <w:color w:val="FF0000"/>
          <w:sz w:val="24"/>
          <w:szCs w:val="24"/>
        </w:rPr>
      </w:pPr>
    </w:p>
    <w:p w:rsidR="00EE6023" w:rsidRDefault="000E375D"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Yes, confirmed</w:t>
      </w:r>
    </w:p>
    <w:p w:rsidR="00E668E5" w:rsidRPr="00EE6023" w:rsidRDefault="00E668E5" w:rsidP="00E668E5">
      <w:pPr>
        <w:pStyle w:val="ListParagraph"/>
        <w:ind w:left="0"/>
        <w:rPr>
          <w:rFonts w:cs="Arial"/>
          <w:sz w:val="24"/>
          <w:szCs w:val="24"/>
        </w:rPr>
      </w:pPr>
    </w:p>
    <w:p w:rsidR="00436F28" w:rsidRDefault="00436F28" w:rsidP="00A16B3A">
      <w:pPr>
        <w:pStyle w:val="ListParagraph"/>
        <w:numPr>
          <w:ilvl w:val="0"/>
          <w:numId w:val="35"/>
        </w:numPr>
        <w:spacing w:before="240"/>
        <w:rPr>
          <w:rFonts w:cs="Arial"/>
          <w:sz w:val="24"/>
          <w:szCs w:val="24"/>
        </w:rPr>
      </w:pPr>
      <w:r w:rsidRPr="00E249EC">
        <w:rPr>
          <w:rFonts w:cs="Arial"/>
          <w:sz w:val="24"/>
          <w:szCs w:val="24"/>
        </w:rPr>
        <w:t>Please confirm which table provided in the responses to part b) of Staff 12 should be used as the LRAMVA threshold from 2015 to 2019</w:t>
      </w:r>
      <w:r w:rsidR="00E249EC">
        <w:rPr>
          <w:rFonts w:cs="Arial"/>
          <w:sz w:val="24"/>
          <w:szCs w:val="24"/>
        </w:rPr>
        <w:t>.</w:t>
      </w:r>
    </w:p>
    <w:p w:rsidR="00E668E5" w:rsidRDefault="00E668E5" w:rsidP="00E668E5">
      <w:pPr>
        <w:pStyle w:val="ListParagraph"/>
        <w:ind w:left="0"/>
        <w:rPr>
          <w:rFonts w:cs="Arial"/>
          <w:i/>
          <w:color w:val="2F5496" w:themeColor="accent5" w:themeShade="BF"/>
          <w:sz w:val="24"/>
          <w:szCs w:val="24"/>
        </w:rPr>
      </w:pPr>
    </w:p>
    <w:p w:rsidR="006C1B28" w:rsidRPr="00E668E5" w:rsidRDefault="006C1B28"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The t</w:t>
      </w:r>
      <w:r w:rsidR="000E375D" w:rsidRPr="00E668E5">
        <w:rPr>
          <w:rFonts w:cs="Arial"/>
          <w:i/>
          <w:color w:val="2F5496" w:themeColor="accent5" w:themeShade="BF"/>
          <w:sz w:val="24"/>
          <w:szCs w:val="24"/>
        </w:rPr>
        <w:t>able</w:t>
      </w:r>
      <w:r w:rsidRPr="00E668E5">
        <w:rPr>
          <w:rFonts w:cs="Arial"/>
          <w:i/>
          <w:color w:val="2F5496" w:themeColor="accent5" w:themeShade="BF"/>
          <w:sz w:val="24"/>
          <w:szCs w:val="24"/>
        </w:rPr>
        <w:t xml:space="preserve"> provided in part a) staff follow-up question #10 above, should be used as the LRAMVA threshold for 2015 to 2019. </w:t>
      </w:r>
    </w:p>
    <w:p w:rsidR="006C1B28" w:rsidRPr="00E668E5" w:rsidRDefault="006C1B28" w:rsidP="00E668E5">
      <w:pPr>
        <w:pStyle w:val="ListParagraph"/>
        <w:ind w:left="0"/>
        <w:rPr>
          <w:rFonts w:cs="Arial"/>
          <w:i/>
          <w:color w:val="2F5496" w:themeColor="accent5" w:themeShade="BF"/>
          <w:sz w:val="24"/>
          <w:szCs w:val="24"/>
        </w:rPr>
      </w:pPr>
    </w:p>
    <w:p w:rsidR="000E375D" w:rsidRPr="00E668E5" w:rsidRDefault="006C1B28" w:rsidP="00E668E5">
      <w:pPr>
        <w:pStyle w:val="ListParagraph"/>
        <w:ind w:left="0"/>
        <w:rPr>
          <w:rFonts w:cs="Arial"/>
          <w:i/>
          <w:color w:val="2F5496" w:themeColor="accent5" w:themeShade="BF"/>
          <w:sz w:val="24"/>
          <w:szCs w:val="24"/>
        </w:rPr>
      </w:pPr>
      <w:r w:rsidRPr="00E668E5">
        <w:rPr>
          <w:rFonts w:cs="Arial"/>
          <w:i/>
          <w:color w:val="2F5496" w:themeColor="accent5" w:themeShade="BF"/>
          <w:sz w:val="24"/>
          <w:szCs w:val="24"/>
        </w:rPr>
        <w:t>T</w:t>
      </w:r>
      <w:r w:rsidR="000E375D" w:rsidRPr="00E668E5">
        <w:rPr>
          <w:rFonts w:cs="Arial"/>
          <w:i/>
          <w:color w:val="2F5496" w:themeColor="accent5" w:themeShade="BF"/>
          <w:sz w:val="24"/>
          <w:szCs w:val="24"/>
        </w:rPr>
        <w:t xml:space="preserve">he second table provided in response to </w:t>
      </w:r>
      <w:r w:rsidRPr="00E668E5">
        <w:rPr>
          <w:rFonts w:cs="Arial"/>
          <w:i/>
          <w:color w:val="2F5496" w:themeColor="accent5" w:themeShade="BF"/>
          <w:sz w:val="24"/>
          <w:szCs w:val="24"/>
        </w:rPr>
        <w:t xml:space="preserve">initial </w:t>
      </w:r>
      <w:r w:rsidR="000E375D" w:rsidRPr="00E668E5">
        <w:rPr>
          <w:rFonts w:cs="Arial"/>
          <w:i/>
          <w:color w:val="2F5496" w:themeColor="accent5" w:themeShade="BF"/>
          <w:sz w:val="24"/>
          <w:szCs w:val="24"/>
        </w:rPr>
        <w:t xml:space="preserve">staff question </w:t>
      </w:r>
      <w:r w:rsidRPr="00E668E5">
        <w:rPr>
          <w:rFonts w:cs="Arial"/>
          <w:i/>
          <w:color w:val="2F5496" w:themeColor="accent5" w:themeShade="BF"/>
          <w:sz w:val="24"/>
          <w:szCs w:val="24"/>
        </w:rPr>
        <w:t>#</w:t>
      </w:r>
      <w:r w:rsidR="000E375D" w:rsidRPr="00E668E5">
        <w:rPr>
          <w:rFonts w:cs="Arial"/>
          <w:i/>
          <w:color w:val="2F5496" w:themeColor="accent5" w:themeShade="BF"/>
          <w:sz w:val="24"/>
          <w:szCs w:val="24"/>
        </w:rPr>
        <w:t>12 (</w:t>
      </w:r>
      <w:r w:rsidRPr="00E668E5">
        <w:rPr>
          <w:rFonts w:cs="Arial"/>
          <w:i/>
          <w:color w:val="2F5496" w:themeColor="accent5" w:themeShade="BF"/>
          <w:sz w:val="24"/>
          <w:szCs w:val="24"/>
        </w:rPr>
        <w:t xml:space="preserve">below) </w:t>
      </w:r>
      <w:r w:rsidR="000E375D" w:rsidRPr="00E668E5">
        <w:rPr>
          <w:rFonts w:cs="Arial"/>
          <w:i/>
          <w:color w:val="2F5496" w:themeColor="accent5" w:themeShade="BF"/>
          <w:sz w:val="24"/>
          <w:szCs w:val="24"/>
        </w:rPr>
        <w:t xml:space="preserve">includes an error, whereby we accumulated the savings for streetlights incorrectly. </w:t>
      </w:r>
    </w:p>
    <w:p w:rsidR="000E375D" w:rsidRDefault="000E375D" w:rsidP="004641E1">
      <w:pPr>
        <w:pStyle w:val="ListParagraph"/>
        <w:ind w:left="0"/>
        <w:rPr>
          <w:rFonts w:cs="Arial"/>
          <w:color w:val="FF0000"/>
          <w:sz w:val="24"/>
          <w:szCs w:val="24"/>
        </w:rPr>
      </w:pPr>
      <w:r w:rsidRPr="007E113B">
        <w:rPr>
          <w:noProof/>
          <w:lang w:val="en-CA" w:eastAsia="en-CA"/>
        </w:rPr>
        <w:drawing>
          <wp:inline distT="0" distB="0" distL="0" distR="0" wp14:anchorId="24D5153C" wp14:editId="7ED61339">
            <wp:extent cx="5943600" cy="11690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169035"/>
                    </a:xfrm>
                    <a:prstGeom prst="rect">
                      <a:avLst/>
                    </a:prstGeom>
                    <a:noFill/>
                    <a:ln>
                      <a:noFill/>
                    </a:ln>
                  </pic:spPr>
                </pic:pic>
              </a:graphicData>
            </a:graphic>
          </wp:inline>
        </w:drawing>
      </w:r>
    </w:p>
    <w:p w:rsidR="0008720E" w:rsidRPr="000E375D" w:rsidRDefault="0008720E" w:rsidP="00EE6023">
      <w:pPr>
        <w:pStyle w:val="ListParagraph"/>
        <w:rPr>
          <w:rFonts w:cs="Arial"/>
          <w:color w:val="FF0000"/>
          <w:sz w:val="24"/>
          <w:szCs w:val="24"/>
        </w:rPr>
      </w:pPr>
    </w:p>
    <w:p w:rsidR="00436F28" w:rsidRDefault="00436F28" w:rsidP="00E249EC">
      <w:pPr>
        <w:pStyle w:val="ListParagraph"/>
        <w:numPr>
          <w:ilvl w:val="0"/>
          <w:numId w:val="35"/>
        </w:numPr>
        <w:rPr>
          <w:rFonts w:cs="Arial"/>
          <w:sz w:val="24"/>
          <w:szCs w:val="24"/>
        </w:rPr>
      </w:pPr>
      <w:r w:rsidRPr="006079FD">
        <w:rPr>
          <w:rFonts w:cs="Arial"/>
          <w:sz w:val="24"/>
          <w:szCs w:val="24"/>
        </w:rPr>
        <w:t xml:space="preserve">Please revise </w:t>
      </w:r>
      <w:r>
        <w:rPr>
          <w:rFonts w:cs="Arial"/>
          <w:sz w:val="24"/>
          <w:szCs w:val="24"/>
        </w:rPr>
        <w:t xml:space="preserve">the auto-populated cells in </w:t>
      </w:r>
      <w:r w:rsidRPr="006079FD">
        <w:rPr>
          <w:rFonts w:cs="Arial"/>
          <w:sz w:val="24"/>
          <w:szCs w:val="24"/>
        </w:rPr>
        <w:t xml:space="preserve">Table 2-c of the LRAMVA </w:t>
      </w:r>
      <w:proofErr w:type="spellStart"/>
      <w:r w:rsidRPr="006079FD">
        <w:rPr>
          <w:rFonts w:cs="Arial"/>
          <w:sz w:val="24"/>
          <w:szCs w:val="24"/>
        </w:rPr>
        <w:t>workform</w:t>
      </w:r>
      <w:proofErr w:type="spellEnd"/>
      <w:r w:rsidRPr="006079FD">
        <w:rPr>
          <w:rFonts w:cs="Arial"/>
          <w:sz w:val="24"/>
          <w:szCs w:val="24"/>
        </w:rPr>
        <w:t xml:space="preserve"> to include the</w:t>
      </w:r>
      <w:r>
        <w:rPr>
          <w:rFonts w:cs="Arial"/>
          <w:sz w:val="24"/>
          <w:szCs w:val="24"/>
        </w:rPr>
        <w:t xml:space="preserve"> LRAMVA threshold for 2015, 2016 and 2017. </w:t>
      </w:r>
    </w:p>
    <w:p w:rsidR="0008720E" w:rsidRDefault="0008720E" w:rsidP="0008720E">
      <w:pPr>
        <w:pStyle w:val="ListParagraph"/>
        <w:ind w:left="0"/>
        <w:rPr>
          <w:rFonts w:cs="Arial"/>
          <w:i/>
          <w:color w:val="2F5496" w:themeColor="accent5" w:themeShade="BF"/>
          <w:sz w:val="24"/>
          <w:szCs w:val="24"/>
        </w:rPr>
      </w:pPr>
    </w:p>
    <w:p w:rsidR="000E375D" w:rsidRPr="0008720E" w:rsidRDefault="00D5077E" w:rsidP="0008720E">
      <w:pPr>
        <w:pStyle w:val="ListParagraph"/>
        <w:ind w:left="0"/>
        <w:rPr>
          <w:rFonts w:cs="Arial"/>
          <w:i/>
          <w:color w:val="2F5496" w:themeColor="accent5" w:themeShade="BF"/>
          <w:sz w:val="24"/>
          <w:szCs w:val="24"/>
        </w:rPr>
      </w:pPr>
      <w:r w:rsidRPr="0008720E">
        <w:rPr>
          <w:rFonts w:cs="Arial"/>
          <w:i/>
          <w:color w:val="2F5496" w:themeColor="accent5" w:themeShade="BF"/>
          <w:sz w:val="24"/>
          <w:szCs w:val="24"/>
        </w:rPr>
        <w:t xml:space="preserve">Table 2-c of tab “2. LRAMVA Threshold” has been revised with the load forecast as the LRAMVA threshold for years 2015, 2016 and 2017. </w:t>
      </w:r>
    </w:p>
    <w:sectPr w:rsidR="000E375D" w:rsidRPr="0008720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46F" w:rsidRDefault="0050646F" w:rsidP="0054349A">
      <w:pPr>
        <w:spacing w:after="0" w:line="240" w:lineRule="auto"/>
      </w:pPr>
      <w:r>
        <w:separator/>
      </w:r>
    </w:p>
  </w:endnote>
  <w:endnote w:type="continuationSeparator" w:id="0">
    <w:p w:rsidR="0050646F" w:rsidRDefault="0050646F" w:rsidP="00543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46F" w:rsidRDefault="0050646F" w:rsidP="0054349A">
      <w:pPr>
        <w:spacing w:after="0" w:line="240" w:lineRule="auto"/>
      </w:pPr>
      <w:r>
        <w:separator/>
      </w:r>
    </w:p>
  </w:footnote>
  <w:footnote w:type="continuationSeparator" w:id="0">
    <w:p w:rsidR="0050646F" w:rsidRDefault="0050646F" w:rsidP="005434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0E4" w:rsidRDefault="00BE46BD" w:rsidP="00CD50E4">
    <w:pPr>
      <w:pStyle w:val="Header"/>
      <w:jc w:val="right"/>
      <w:rPr>
        <w:rFonts w:cs="Arial"/>
        <w:sz w:val="20"/>
        <w:szCs w:val="20"/>
      </w:rPr>
    </w:pPr>
    <w:r>
      <w:rPr>
        <w:rFonts w:cs="Arial"/>
        <w:sz w:val="20"/>
        <w:szCs w:val="20"/>
      </w:rPr>
      <w:t>Oshawa PUC</w:t>
    </w:r>
  </w:p>
  <w:p w:rsidR="00CD50E4" w:rsidRDefault="00CD50E4" w:rsidP="00CD50E4">
    <w:pPr>
      <w:pStyle w:val="Header"/>
      <w:rPr>
        <w:rFonts w:cs="Arial"/>
        <w:sz w:val="20"/>
        <w:szCs w:val="20"/>
      </w:rPr>
    </w:pPr>
    <w:r>
      <w:rPr>
        <w:rFonts w:cs="Arial"/>
        <w:sz w:val="20"/>
        <w:szCs w:val="20"/>
      </w:rPr>
      <w:tab/>
    </w:r>
    <w:r>
      <w:rPr>
        <w:rFonts w:cs="Arial"/>
        <w:sz w:val="20"/>
        <w:szCs w:val="20"/>
      </w:rPr>
      <w:tab/>
      <w:t>EB-2019-0062</w:t>
    </w:r>
  </w:p>
  <w:p w:rsidR="00CD50E4" w:rsidRDefault="00CD50E4" w:rsidP="00CD50E4">
    <w:pPr>
      <w:pStyle w:val="Header"/>
      <w:rPr>
        <w:rFonts w:cs="Arial"/>
        <w:b/>
        <w:sz w:val="20"/>
        <w:szCs w:val="20"/>
      </w:rPr>
    </w:pPr>
    <w:r>
      <w:rPr>
        <w:rFonts w:cs="Arial"/>
        <w:sz w:val="20"/>
        <w:szCs w:val="20"/>
      </w:rPr>
      <w:tab/>
    </w:r>
    <w:r>
      <w:rPr>
        <w:rFonts w:cs="Arial"/>
        <w:sz w:val="20"/>
        <w:szCs w:val="20"/>
      </w:rPr>
      <w:tab/>
      <w:t xml:space="preserve">Page </w:t>
    </w:r>
    <w:r>
      <w:rPr>
        <w:rFonts w:cs="Arial"/>
        <w:b/>
        <w:sz w:val="20"/>
        <w:szCs w:val="20"/>
      </w:rPr>
      <w:fldChar w:fldCharType="begin"/>
    </w:r>
    <w:r>
      <w:rPr>
        <w:rFonts w:cs="Arial"/>
        <w:b/>
        <w:sz w:val="20"/>
        <w:szCs w:val="20"/>
      </w:rPr>
      <w:instrText xml:space="preserve"> PAGE  \* Arabic  \* MERGEFORMAT </w:instrText>
    </w:r>
    <w:r>
      <w:rPr>
        <w:rFonts w:cs="Arial"/>
        <w:b/>
        <w:sz w:val="20"/>
        <w:szCs w:val="20"/>
      </w:rPr>
      <w:fldChar w:fldCharType="separate"/>
    </w:r>
    <w:r w:rsidR="004E2F86">
      <w:rPr>
        <w:rFonts w:cs="Arial"/>
        <w:b/>
        <w:noProof/>
        <w:sz w:val="20"/>
        <w:szCs w:val="20"/>
      </w:rPr>
      <w:t>14</w:t>
    </w:r>
    <w:r>
      <w:rPr>
        <w:rFonts w:cs="Arial"/>
        <w:b/>
        <w:sz w:val="20"/>
        <w:szCs w:val="20"/>
      </w:rPr>
      <w:fldChar w:fldCharType="end"/>
    </w:r>
    <w:r>
      <w:rPr>
        <w:rFonts w:cs="Arial"/>
        <w:sz w:val="20"/>
        <w:szCs w:val="20"/>
      </w:rPr>
      <w:t xml:space="preserve"> of </w:t>
    </w:r>
    <w:r>
      <w:rPr>
        <w:rFonts w:cs="Arial"/>
        <w:b/>
        <w:sz w:val="20"/>
        <w:szCs w:val="20"/>
      </w:rPr>
      <w:fldChar w:fldCharType="begin"/>
    </w:r>
    <w:r>
      <w:rPr>
        <w:rFonts w:cs="Arial"/>
        <w:b/>
        <w:sz w:val="20"/>
        <w:szCs w:val="20"/>
      </w:rPr>
      <w:instrText xml:space="preserve"> NUMPAGES  \* Arabic  \* MERGEFORMAT </w:instrText>
    </w:r>
    <w:r>
      <w:rPr>
        <w:rFonts w:cs="Arial"/>
        <w:b/>
        <w:sz w:val="20"/>
        <w:szCs w:val="20"/>
      </w:rPr>
      <w:fldChar w:fldCharType="separate"/>
    </w:r>
    <w:r w:rsidR="004E2F86">
      <w:rPr>
        <w:rFonts w:cs="Arial"/>
        <w:b/>
        <w:noProof/>
        <w:sz w:val="20"/>
        <w:szCs w:val="20"/>
      </w:rPr>
      <w:t>18</w:t>
    </w:r>
    <w:r>
      <w:rPr>
        <w:rFonts w:cs="Arial"/>
        <w:b/>
        <w:sz w:val="20"/>
        <w:szCs w:val="20"/>
      </w:rPr>
      <w:fldChar w:fldCharType="end"/>
    </w:r>
  </w:p>
  <w:p w:rsidR="00CD50E4" w:rsidRDefault="00CD50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94B53"/>
    <w:multiLevelType w:val="hybridMultilevel"/>
    <w:tmpl w:val="B42ECDAA"/>
    <w:lvl w:ilvl="0" w:tplc="7C043B3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B058E1"/>
    <w:multiLevelType w:val="hybridMultilevel"/>
    <w:tmpl w:val="A3DA7632"/>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21821"/>
    <w:multiLevelType w:val="hybridMultilevel"/>
    <w:tmpl w:val="9D7AD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708C9"/>
    <w:multiLevelType w:val="hybridMultilevel"/>
    <w:tmpl w:val="CE228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302BF"/>
    <w:multiLevelType w:val="hybridMultilevel"/>
    <w:tmpl w:val="2070C9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D52DD"/>
    <w:multiLevelType w:val="hybridMultilevel"/>
    <w:tmpl w:val="55843F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0A6D17"/>
    <w:multiLevelType w:val="hybridMultilevel"/>
    <w:tmpl w:val="A2588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586C51"/>
    <w:multiLevelType w:val="hybridMultilevel"/>
    <w:tmpl w:val="4588F3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82BE8"/>
    <w:multiLevelType w:val="hybridMultilevel"/>
    <w:tmpl w:val="37365972"/>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D07DF"/>
    <w:multiLevelType w:val="hybridMultilevel"/>
    <w:tmpl w:val="3DD0DF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5F6552"/>
    <w:multiLevelType w:val="hybridMultilevel"/>
    <w:tmpl w:val="7B4A4FAE"/>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02A9B"/>
    <w:multiLevelType w:val="hybridMultilevel"/>
    <w:tmpl w:val="1AA0F3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238D7"/>
    <w:multiLevelType w:val="hybridMultilevel"/>
    <w:tmpl w:val="50B22D84"/>
    <w:lvl w:ilvl="0" w:tplc="FBD6DD10">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36211D2"/>
    <w:multiLevelType w:val="hybridMultilevel"/>
    <w:tmpl w:val="51F0CACE"/>
    <w:lvl w:ilvl="0" w:tplc="04090017">
      <w:start w:val="1"/>
      <w:numFmt w:val="lowerLetter"/>
      <w:lvlText w:val="%1)"/>
      <w:lvlJc w:val="left"/>
      <w:pPr>
        <w:ind w:left="720" w:hanging="360"/>
      </w:pPr>
      <w:rPr>
        <w:rFonts w:hint="default"/>
      </w:r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3438CD"/>
    <w:multiLevelType w:val="hybridMultilevel"/>
    <w:tmpl w:val="18DC22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C4CDE"/>
    <w:multiLevelType w:val="hybridMultilevel"/>
    <w:tmpl w:val="467C8F3C"/>
    <w:lvl w:ilvl="0" w:tplc="04090017">
      <w:start w:val="1"/>
      <w:numFmt w:val="lowerLetter"/>
      <w:lvlText w:val="%1)"/>
      <w:lvlJc w:val="left"/>
      <w:pPr>
        <w:ind w:left="360" w:hanging="360"/>
      </w:pPr>
    </w:lvl>
    <w:lvl w:ilvl="1" w:tplc="7C043B34">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663878"/>
    <w:multiLevelType w:val="hybridMultilevel"/>
    <w:tmpl w:val="043483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405BD3"/>
    <w:multiLevelType w:val="hybridMultilevel"/>
    <w:tmpl w:val="D8BC1F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313A6"/>
    <w:multiLevelType w:val="hybridMultilevel"/>
    <w:tmpl w:val="6F8EF6E6"/>
    <w:lvl w:ilvl="0" w:tplc="8926E25A">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290B2C"/>
    <w:multiLevelType w:val="hybridMultilevel"/>
    <w:tmpl w:val="CE228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FF152B"/>
    <w:multiLevelType w:val="hybridMultilevel"/>
    <w:tmpl w:val="BBA0653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04565A"/>
    <w:multiLevelType w:val="hybridMultilevel"/>
    <w:tmpl w:val="2B54AC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4F776D"/>
    <w:multiLevelType w:val="hybridMultilevel"/>
    <w:tmpl w:val="51F0CACE"/>
    <w:lvl w:ilvl="0" w:tplc="04090017">
      <w:start w:val="1"/>
      <w:numFmt w:val="lowerLetter"/>
      <w:lvlText w:val="%1)"/>
      <w:lvlJc w:val="left"/>
      <w:pPr>
        <w:ind w:left="720" w:hanging="360"/>
      </w:pPr>
      <w:rPr>
        <w:rFonts w:hint="default"/>
      </w:r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907EDE"/>
    <w:multiLevelType w:val="hybridMultilevel"/>
    <w:tmpl w:val="16AE520E"/>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C4D67"/>
    <w:multiLevelType w:val="hybridMultilevel"/>
    <w:tmpl w:val="6DA012EC"/>
    <w:lvl w:ilvl="0" w:tplc="7C043B34">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B54FCF"/>
    <w:multiLevelType w:val="hybridMultilevel"/>
    <w:tmpl w:val="DEBA3A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079C1"/>
    <w:multiLevelType w:val="hybridMultilevel"/>
    <w:tmpl w:val="3EC8F9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5F3CD1"/>
    <w:multiLevelType w:val="hybridMultilevel"/>
    <w:tmpl w:val="BA7008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46786E"/>
    <w:multiLevelType w:val="hybridMultilevel"/>
    <w:tmpl w:val="D988E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6C01EC"/>
    <w:multiLevelType w:val="hybridMultilevel"/>
    <w:tmpl w:val="F31E8AF2"/>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2B06FB"/>
    <w:multiLevelType w:val="hybridMultilevel"/>
    <w:tmpl w:val="25D81300"/>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91564"/>
    <w:multiLevelType w:val="hybridMultilevel"/>
    <w:tmpl w:val="7B4A4FAE"/>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CB07DE"/>
    <w:multiLevelType w:val="hybridMultilevel"/>
    <w:tmpl w:val="C09A514E"/>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5719DC"/>
    <w:multiLevelType w:val="hybridMultilevel"/>
    <w:tmpl w:val="8E142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0D4951"/>
    <w:multiLevelType w:val="hybridMultilevel"/>
    <w:tmpl w:val="EADEF732"/>
    <w:lvl w:ilvl="0" w:tplc="04090017">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9E17D8"/>
    <w:multiLevelType w:val="hybridMultilevel"/>
    <w:tmpl w:val="2C0C3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9590C"/>
    <w:multiLevelType w:val="hybridMultilevel"/>
    <w:tmpl w:val="D1FC3D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45383A"/>
    <w:multiLevelType w:val="hybridMultilevel"/>
    <w:tmpl w:val="A4FA77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977FB0"/>
    <w:multiLevelType w:val="hybridMultilevel"/>
    <w:tmpl w:val="379A9030"/>
    <w:lvl w:ilvl="0" w:tplc="42E25CE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086590"/>
    <w:multiLevelType w:val="hybridMultilevel"/>
    <w:tmpl w:val="07B60A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F31BC6"/>
    <w:multiLevelType w:val="hybridMultilevel"/>
    <w:tmpl w:val="D7D6B6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29"/>
  </w:num>
  <w:num w:numId="4">
    <w:abstractNumId w:val="10"/>
  </w:num>
  <w:num w:numId="5">
    <w:abstractNumId w:val="5"/>
  </w:num>
  <w:num w:numId="6">
    <w:abstractNumId w:val="0"/>
  </w:num>
  <w:num w:numId="7">
    <w:abstractNumId w:val="31"/>
  </w:num>
  <w:num w:numId="8">
    <w:abstractNumId w:val="37"/>
  </w:num>
  <w:num w:numId="9">
    <w:abstractNumId w:val="20"/>
  </w:num>
  <w:num w:numId="10">
    <w:abstractNumId w:val="30"/>
  </w:num>
  <w:num w:numId="11">
    <w:abstractNumId w:val="27"/>
  </w:num>
  <w:num w:numId="12">
    <w:abstractNumId w:val="15"/>
  </w:num>
  <w:num w:numId="13">
    <w:abstractNumId w:val="24"/>
  </w:num>
  <w:num w:numId="14">
    <w:abstractNumId w:val="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5"/>
  </w:num>
  <w:num w:numId="18">
    <w:abstractNumId w:val="11"/>
  </w:num>
  <w:num w:numId="19">
    <w:abstractNumId w:val="33"/>
  </w:num>
  <w:num w:numId="20">
    <w:abstractNumId w:val="40"/>
  </w:num>
  <w:num w:numId="21">
    <w:abstractNumId w:val="26"/>
  </w:num>
  <w:num w:numId="22">
    <w:abstractNumId w:val="18"/>
  </w:num>
  <w:num w:numId="23">
    <w:abstractNumId w:val="9"/>
  </w:num>
  <w:num w:numId="24">
    <w:abstractNumId w:val="25"/>
  </w:num>
  <w:num w:numId="25">
    <w:abstractNumId w:val="34"/>
  </w:num>
  <w:num w:numId="26">
    <w:abstractNumId w:val="1"/>
  </w:num>
  <w:num w:numId="27">
    <w:abstractNumId w:val="23"/>
  </w:num>
  <w:num w:numId="28">
    <w:abstractNumId w:val="17"/>
  </w:num>
  <w:num w:numId="29">
    <w:abstractNumId w:val="32"/>
  </w:num>
  <w:num w:numId="30">
    <w:abstractNumId w:val="21"/>
  </w:num>
  <w:num w:numId="31">
    <w:abstractNumId w:val="14"/>
  </w:num>
  <w:num w:numId="32">
    <w:abstractNumId w:val="28"/>
  </w:num>
  <w:num w:numId="33">
    <w:abstractNumId w:val="16"/>
  </w:num>
  <w:num w:numId="34">
    <w:abstractNumId w:val="39"/>
  </w:num>
  <w:num w:numId="35">
    <w:abstractNumId w:val="6"/>
  </w:num>
  <w:num w:numId="36">
    <w:abstractNumId w:val="36"/>
  </w:num>
  <w:num w:numId="37">
    <w:abstractNumId w:val="4"/>
  </w:num>
  <w:num w:numId="38">
    <w:abstractNumId w:val="7"/>
  </w:num>
  <w:num w:numId="39">
    <w:abstractNumId w:val="38"/>
  </w:num>
  <w:num w:numId="40">
    <w:abstractNumId w:val="19"/>
  </w:num>
  <w:num w:numId="41">
    <w:abstractNumId w:val="12"/>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A7B"/>
    <w:rsid w:val="00002C58"/>
    <w:rsid w:val="00021C4C"/>
    <w:rsid w:val="00041510"/>
    <w:rsid w:val="0004681D"/>
    <w:rsid w:val="0006240D"/>
    <w:rsid w:val="000705C5"/>
    <w:rsid w:val="00075A9E"/>
    <w:rsid w:val="00083518"/>
    <w:rsid w:val="0008720E"/>
    <w:rsid w:val="000A0FBD"/>
    <w:rsid w:val="000A6A33"/>
    <w:rsid w:val="000D4CA4"/>
    <w:rsid w:val="000E375D"/>
    <w:rsid w:val="001037ED"/>
    <w:rsid w:val="0012274A"/>
    <w:rsid w:val="001236F9"/>
    <w:rsid w:val="00131C1B"/>
    <w:rsid w:val="001450A1"/>
    <w:rsid w:val="0016394B"/>
    <w:rsid w:val="001659AB"/>
    <w:rsid w:val="00182451"/>
    <w:rsid w:val="00185A33"/>
    <w:rsid w:val="00197543"/>
    <w:rsid w:val="001B3041"/>
    <w:rsid w:val="001D15F1"/>
    <w:rsid w:val="001D21DE"/>
    <w:rsid w:val="001E472D"/>
    <w:rsid w:val="0020164E"/>
    <w:rsid w:val="00203351"/>
    <w:rsid w:val="002073FD"/>
    <w:rsid w:val="00213FC5"/>
    <w:rsid w:val="00214FE1"/>
    <w:rsid w:val="002169D4"/>
    <w:rsid w:val="00236A16"/>
    <w:rsid w:val="002423D7"/>
    <w:rsid w:val="00260708"/>
    <w:rsid w:val="0026699B"/>
    <w:rsid w:val="00290CE5"/>
    <w:rsid w:val="002916AF"/>
    <w:rsid w:val="00295046"/>
    <w:rsid w:val="002A5D91"/>
    <w:rsid w:val="002C39DE"/>
    <w:rsid w:val="002D7378"/>
    <w:rsid w:val="002F3E17"/>
    <w:rsid w:val="002F6A28"/>
    <w:rsid w:val="003072FC"/>
    <w:rsid w:val="0031010D"/>
    <w:rsid w:val="003210F6"/>
    <w:rsid w:val="00344907"/>
    <w:rsid w:val="00345049"/>
    <w:rsid w:val="00360883"/>
    <w:rsid w:val="003615A6"/>
    <w:rsid w:val="003666F5"/>
    <w:rsid w:val="00390CF9"/>
    <w:rsid w:val="003A5A50"/>
    <w:rsid w:val="003C39B0"/>
    <w:rsid w:val="003F6349"/>
    <w:rsid w:val="004020DD"/>
    <w:rsid w:val="00427646"/>
    <w:rsid w:val="00434B6E"/>
    <w:rsid w:val="00435A6A"/>
    <w:rsid w:val="00436F28"/>
    <w:rsid w:val="004441CA"/>
    <w:rsid w:val="004641E1"/>
    <w:rsid w:val="004758BC"/>
    <w:rsid w:val="00480CCF"/>
    <w:rsid w:val="00487508"/>
    <w:rsid w:val="004A06FA"/>
    <w:rsid w:val="004A16CE"/>
    <w:rsid w:val="004B643C"/>
    <w:rsid w:val="004E2F86"/>
    <w:rsid w:val="0050646F"/>
    <w:rsid w:val="00507C87"/>
    <w:rsid w:val="005221D5"/>
    <w:rsid w:val="00523957"/>
    <w:rsid w:val="00540082"/>
    <w:rsid w:val="0054349A"/>
    <w:rsid w:val="00573D3E"/>
    <w:rsid w:val="005844A3"/>
    <w:rsid w:val="00584650"/>
    <w:rsid w:val="0059092A"/>
    <w:rsid w:val="005A458D"/>
    <w:rsid w:val="005B207C"/>
    <w:rsid w:val="005B5693"/>
    <w:rsid w:val="005D17D9"/>
    <w:rsid w:val="005E39D9"/>
    <w:rsid w:val="005F0C35"/>
    <w:rsid w:val="00602BCB"/>
    <w:rsid w:val="00607E50"/>
    <w:rsid w:val="006123BF"/>
    <w:rsid w:val="00616955"/>
    <w:rsid w:val="00622BD0"/>
    <w:rsid w:val="00625A7B"/>
    <w:rsid w:val="00634777"/>
    <w:rsid w:val="00643495"/>
    <w:rsid w:val="00655F86"/>
    <w:rsid w:val="00656432"/>
    <w:rsid w:val="0066244E"/>
    <w:rsid w:val="00662FD3"/>
    <w:rsid w:val="0066338E"/>
    <w:rsid w:val="0066701D"/>
    <w:rsid w:val="006923B8"/>
    <w:rsid w:val="006B54AC"/>
    <w:rsid w:val="006C1B28"/>
    <w:rsid w:val="006D2EEB"/>
    <w:rsid w:val="006D3BC9"/>
    <w:rsid w:val="006D774A"/>
    <w:rsid w:val="006E087A"/>
    <w:rsid w:val="006E47F6"/>
    <w:rsid w:val="006F7BE8"/>
    <w:rsid w:val="00705D6F"/>
    <w:rsid w:val="00710BEB"/>
    <w:rsid w:val="007165C6"/>
    <w:rsid w:val="00723061"/>
    <w:rsid w:val="0074783B"/>
    <w:rsid w:val="007621E2"/>
    <w:rsid w:val="0076230F"/>
    <w:rsid w:val="0077372E"/>
    <w:rsid w:val="007921E4"/>
    <w:rsid w:val="00797694"/>
    <w:rsid w:val="007A6CEC"/>
    <w:rsid w:val="007B39F0"/>
    <w:rsid w:val="007C5F53"/>
    <w:rsid w:val="007C7C90"/>
    <w:rsid w:val="007D09F4"/>
    <w:rsid w:val="00837606"/>
    <w:rsid w:val="00875C73"/>
    <w:rsid w:val="008821BB"/>
    <w:rsid w:val="00887A32"/>
    <w:rsid w:val="008904E7"/>
    <w:rsid w:val="00893C78"/>
    <w:rsid w:val="00897B99"/>
    <w:rsid w:val="008A3AB2"/>
    <w:rsid w:val="008E257E"/>
    <w:rsid w:val="00916BDB"/>
    <w:rsid w:val="009213D8"/>
    <w:rsid w:val="00945CAA"/>
    <w:rsid w:val="00950A59"/>
    <w:rsid w:val="00996ABF"/>
    <w:rsid w:val="009A4A4D"/>
    <w:rsid w:val="009B7404"/>
    <w:rsid w:val="009D6B47"/>
    <w:rsid w:val="009F4F54"/>
    <w:rsid w:val="009F5739"/>
    <w:rsid w:val="009F6926"/>
    <w:rsid w:val="00A020EB"/>
    <w:rsid w:val="00A071E7"/>
    <w:rsid w:val="00A46639"/>
    <w:rsid w:val="00A51CBE"/>
    <w:rsid w:val="00A53F6A"/>
    <w:rsid w:val="00A72AE5"/>
    <w:rsid w:val="00A775C4"/>
    <w:rsid w:val="00A777D2"/>
    <w:rsid w:val="00AA75F5"/>
    <w:rsid w:val="00AC5D74"/>
    <w:rsid w:val="00AC68BE"/>
    <w:rsid w:val="00B13A6D"/>
    <w:rsid w:val="00B21588"/>
    <w:rsid w:val="00B3763D"/>
    <w:rsid w:val="00B537B1"/>
    <w:rsid w:val="00B60084"/>
    <w:rsid w:val="00B7479B"/>
    <w:rsid w:val="00B97EF9"/>
    <w:rsid w:val="00BA035D"/>
    <w:rsid w:val="00BA1E73"/>
    <w:rsid w:val="00BA2686"/>
    <w:rsid w:val="00BB5625"/>
    <w:rsid w:val="00BB7748"/>
    <w:rsid w:val="00BD7521"/>
    <w:rsid w:val="00BE46BD"/>
    <w:rsid w:val="00C16F68"/>
    <w:rsid w:val="00C170B4"/>
    <w:rsid w:val="00C31CB1"/>
    <w:rsid w:val="00C52B2E"/>
    <w:rsid w:val="00CB5A34"/>
    <w:rsid w:val="00CD50E4"/>
    <w:rsid w:val="00CE4C2F"/>
    <w:rsid w:val="00CF68C8"/>
    <w:rsid w:val="00D17E60"/>
    <w:rsid w:val="00D324FC"/>
    <w:rsid w:val="00D32F81"/>
    <w:rsid w:val="00D3348E"/>
    <w:rsid w:val="00D41668"/>
    <w:rsid w:val="00D4584A"/>
    <w:rsid w:val="00D5077E"/>
    <w:rsid w:val="00D624C2"/>
    <w:rsid w:val="00D65011"/>
    <w:rsid w:val="00D70073"/>
    <w:rsid w:val="00D84009"/>
    <w:rsid w:val="00DA060C"/>
    <w:rsid w:val="00DB6F93"/>
    <w:rsid w:val="00DC32A5"/>
    <w:rsid w:val="00DC3683"/>
    <w:rsid w:val="00DD07B4"/>
    <w:rsid w:val="00DE73C5"/>
    <w:rsid w:val="00DF25BF"/>
    <w:rsid w:val="00DF2C33"/>
    <w:rsid w:val="00E04F92"/>
    <w:rsid w:val="00E23967"/>
    <w:rsid w:val="00E249EC"/>
    <w:rsid w:val="00E41031"/>
    <w:rsid w:val="00E538CF"/>
    <w:rsid w:val="00E55F68"/>
    <w:rsid w:val="00E64A01"/>
    <w:rsid w:val="00E668E5"/>
    <w:rsid w:val="00E9283E"/>
    <w:rsid w:val="00E970FB"/>
    <w:rsid w:val="00EB198F"/>
    <w:rsid w:val="00EB6D57"/>
    <w:rsid w:val="00EC7BA6"/>
    <w:rsid w:val="00ED4CE5"/>
    <w:rsid w:val="00EE1B29"/>
    <w:rsid w:val="00EE24DC"/>
    <w:rsid w:val="00EE6023"/>
    <w:rsid w:val="00F03775"/>
    <w:rsid w:val="00F1101B"/>
    <w:rsid w:val="00F456E9"/>
    <w:rsid w:val="00F57D0A"/>
    <w:rsid w:val="00F71F54"/>
    <w:rsid w:val="00FA5422"/>
    <w:rsid w:val="00FA5722"/>
    <w:rsid w:val="00FB0810"/>
    <w:rsid w:val="00FC3D4A"/>
    <w:rsid w:val="00FC4F79"/>
    <w:rsid w:val="00FE0859"/>
    <w:rsid w:val="00FF2B11"/>
    <w:rsid w:val="00FF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74F10-2DAF-4FD0-B580-B74B4455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B11"/>
    <w:pPr>
      <w:ind w:left="720"/>
      <w:contextualSpacing/>
    </w:pPr>
  </w:style>
  <w:style w:type="paragraph" w:customStyle="1" w:styleId="Default">
    <w:name w:val="Default"/>
    <w:rsid w:val="00FF2B11"/>
    <w:pPr>
      <w:autoSpaceDE w:val="0"/>
      <w:autoSpaceDN w:val="0"/>
      <w:adjustRightInd w:val="0"/>
      <w:spacing w:after="0" w:line="240" w:lineRule="auto"/>
    </w:pPr>
    <w:rPr>
      <w:rFonts w:cs="Arial"/>
      <w:color w:val="000000"/>
      <w:sz w:val="24"/>
      <w:szCs w:val="24"/>
    </w:rPr>
  </w:style>
  <w:style w:type="table" w:styleId="TableGrid">
    <w:name w:val="Table Grid"/>
    <w:basedOn w:val="TableNormal"/>
    <w:uiPriority w:val="39"/>
    <w:rsid w:val="002A5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434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49A"/>
    <w:rPr>
      <w:sz w:val="20"/>
      <w:szCs w:val="20"/>
    </w:rPr>
  </w:style>
  <w:style w:type="character" w:styleId="FootnoteReference">
    <w:name w:val="footnote reference"/>
    <w:basedOn w:val="DefaultParagraphFont"/>
    <w:uiPriority w:val="99"/>
    <w:semiHidden/>
    <w:unhideWhenUsed/>
    <w:rsid w:val="0054349A"/>
    <w:rPr>
      <w:vertAlign w:val="superscript"/>
    </w:rPr>
  </w:style>
  <w:style w:type="character" w:styleId="CommentReference">
    <w:name w:val="annotation reference"/>
    <w:basedOn w:val="DefaultParagraphFont"/>
    <w:uiPriority w:val="99"/>
    <w:semiHidden/>
    <w:unhideWhenUsed/>
    <w:rsid w:val="00B97EF9"/>
    <w:rPr>
      <w:sz w:val="16"/>
      <w:szCs w:val="16"/>
    </w:rPr>
  </w:style>
  <w:style w:type="paragraph" w:styleId="CommentText">
    <w:name w:val="annotation text"/>
    <w:basedOn w:val="Normal"/>
    <w:link w:val="CommentTextChar"/>
    <w:uiPriority w:val="99"/>
    <w:semiHidden/>
    <w:unhideWhenUsed/>
    <w:rsid w:val="00B97EF9"/>
    <w:pPr>
      <w:spacing w:line="240" w:lineRule="auto"/>
    </w:pPr>
    <w:rPr>
      <w:sz w:val="20"/>
      <w:szCs w:val="20"/>
    </w:rPr>
  </w:style>
  <w:style w:type="character" w:customStyle="1" w:styleId="CommentTextChar">
    <w:name w:val="Comment Text Char"/>
    <w:basedOn w:val="DefaultParagraphFont"/>
    <w:link w:val="CommentText"/>
    <w:uiPriority w:val="99"/>
    <w:semiHidden/>
    <w:rsid w:val="00B97EF9"/>
    <w:rPr>
      <w:sz w:val="20"/>
      <w:szCs w:val="20"/>
    </w:rPr>
  </w:style>
  <w:style w:type="paragraph" w:styleId="BalloonText">
    <w:name w:val="Balloon Text"/>
    <w:basedOn w:val="Normal"/>
    <w:link w:val="BalloonTextChar"/>
    <w:uiPriority w:val="99"/>
    <w:semiHidden/>
    <w:unhideWhenUsed/>
    <w:rsid w:val="00B97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EF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A2686"/>
    <w:rPr>
      <w:b/>
      <w:bCs/>
    </w:rPr>
  </w:style>
  <w:style w:type="character" w:customStyle="1" w:styleId="CommentSubjectChar">
    <w:name w:val="Comment Subject Char"/>
    <w:basedOn w:val="CommentTextChar"/>
    <w:link w:val="CommentSubject"/>
    <w:uiPriority w:val="99"/>
    <w:semiHidden/>
    <w:rsid w:val="00BA2686"/>
    <w:rPr>
      <w:b/>
      <w:bCs/>
      <w:sz w:val="20"/>
      <w:szCs w:val="20"/>
    </w:rPr>
  </w:style>
  <w:style w:type="paragraph" w:styleId="Header">
    <w:name w:val="header"/>
    <w:basedOn w:val="Normal"/>
    <w:link w:val="HeaderChar"/>
    <w:uiPriority w:val="99"/>
    <w:unhideWhenUsed/>
    <w:rsid w:val="00CD5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0E4"/>
  </w:style>
  <w:style w:type="paragraph" w:styleId="Footer">
    <w:name w:val="footer"/>
    <w:basedOn w:val="Normal"/>
    <w:link w:val="FooterChar"/>
    <w:uiPriority w:val="99"/>
    <w:unhideWhenUsed/>
    <w:rsid w:val="00CD5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0E4"/>
  </w:style>
  <w:style w:type="paragraph" w:styleId="NoSpacing">
    <w:name w:val="No Spacing"/>
    <w:uiPriority w:val="1"/>
    <w:qFormat/>
    <w:rsid w:val="003A5A50"/>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3594">
      <w:bodyDiv w:val="1"/>
      <w:marLeft w:val="0"/>
      <w:marRight w:val="0"/>
      <w:marTop w:val="0"/>
      <w:marBottom w:val="0"/>
      <w:divBdr>
        <w:top w:val="none" w:sz="0" w:space="0" w:color="auto"/>
        <w:left w:val="none" w:sz="0" w:space="0" w:color="auto"/>
        <w:bottom w:val="none" w:sz="0" w:space="0" w:color="auto"/>
        <w:right w:val="none" w:sz="0" w:space="0" w:color="auto"/>
      </w:divBdr>
    </w:div>
    <w:div w:id="73626520">
      <w:bodyDiv w:val="1"/>
      <w:marLeft w:val="0"/>
      <w:marRight w:val="0"/>
      <w:marTop w:val="0"/>
      <w:marBottom w:val="0"/>
      <w:divBdr>
        <w:top w:val="none" w:sz="0" w:space="0" w:color="auto"/>
        <w:left w:val="none" w:sz="0" w:space="0" w:color="auto"/>
        <w:bottom w:val="none" w:sz="0" w:space="0" w:color="auto"/>
        <w:right w:val="none" w:sz="0" w:space="0" w:color="auto"/>
      </w:divBdr>
    </w:div>
    <w:div w:id="122231225">
      <w:bodyDiv w:val="1"/>
      <w:marLeft w:val="0"/>
      <w:marRight w:val="0"/>
      <w:marTop w:val="0"/>
      <w:marBottom w:val="0"/>
      <w:divBdr>
        <w:top w:val="none" w:sz="0" w:space="0" w:color="auto"/>
        <w:left w:val="none" w:sz="0" w:space="0" w:color="auto"/>
        <w:bottom w:val="none" w:sz="0" w:space="0" w:color="auto"/>
        <w:right w:val="none" w:sz="0" w:space="0" w:color="auto"/>
      </w:divBdr>
    </w:div>
    <w:div w:id="259142024">
      <w:bodyDiv w:val="1"/>
      <w:marLeft w:val="0"/>
      <w:marRight w:val="0"/>
      <w:marTop w:val="0"/>
      <w:marBottom w:val="0"/>
      <w:divBdr>
        <w:top w:val="none" w:sz="0" w:space="0" w:color="auto"/>
        <w:left w:val="none" w:sz="0" w:space="0" w:color="auto"/>
        <w:bottom w:val="none" w:sz="0" w:space="0" w:color="auto"/>
        <w:right w:val="none" w:sz="0" w:space="0" w:color="auto"/>
      </w:divBdr>
    </w:div>
    <w:div w:id="466169624">
      <w:bodyDiv w:val="1"/>
      <w:marLeft w:val="0"/>
      <w:marRight w:val="0"/>
      <w:marTop w:val="0"/>
      <w:marBottom w:val="0"/>
      <w:divBdr>
        <w:top w:val="none" w:sz="0" w:space="0" w:color="auto"/>
        <w:left w:val="none" w:sz="0" w:space="0" w:color="auto"/>
        <w:bottom w:val="none" w:sz="0" w:space="0" w:color="auto"/>
        <w:right w:val="none" w:sz="0" w:space="0" w:color="auto"/>
      </w:divBdr>
    </w:div>
    <w:div w:id="1380785312">
      <w:bodyDiv w:val="1"/>
      <w:marLeft w:val="0"/>
      <w:marRight w:val="0"/>
      <w:marTop w:val="0"/>
      <w:marBottom w:val="0"/>
      <w:divBdr>
        <w:top w:val="none" w:sz="0" w:space="0" w:color="auto"/>
        <w:left w:val="none" w:sz="0" w:space="0" w:color="auto"/>
        <w:bottom w:val="none" w:sz="0" w:space="0" w:color="auto"/>
        <w:right w:val="none" w:sz="0" w:space="0" w:color="auto"/>
      </w:divBdr>
    </w:div>
    <w:div w:id="1458449247">
      <w:bodyDiv w:val="1"/>
      <w:marLeft w:val="0"/>
      <w:marRight w:val="0"/>
      <w:marTop w:val="0"/>
      <w:marBottom w:val="0"/>
      <w:divBdr>
        <w:top w:val="none" w:sz="0" w:space="0" w:color="auto"/>
        <w:left w:val="none" w:sz="0" w:space="0" w:color="auto"/>
        <w:bottom w:val="none" w:sz="0" w:space="0" w:color="auto"/>
        <w:right w:val="none" w:sz="0" w:space="0" w:color="auto"/>
      </w:divBdr>
    </w:div>
    <w:div w:id="1683704758">
      <w:bodyDiv w:val="1"/>
      <w:marLeft w:val="0"/>
      <w:marRight w:val="0"/>
      <w:marTop w:val="0"/>
      <w:marBottom w:val="0"/>
      <w:divBdr>
        <w:top w:val="none" w:sz="0" w:space="0" w:color="auto"/>
        <w:left w:val="none" w:sz="0" w:space="0" w:color="auto"/>
        <w:bottom w:val="none" w:sz="0" w:space="0" w:color="auto"/>
        <w:right w:val="none" w:sz="0" w:space="0" w:color="auto"/>
      </w:divBdr>
    </w:div>
    <w:div w:id="1870608288">
      <w:bodyDiv w:val="1"/>
      <w:marLeft w:val="0"/>
      <w:marRight w:val="0"/>
      <w:marTop w:val="0"/>
      <w:marBottom w:val="0"/>
      <w:divBdr>
        <w:top w:val="none" w:sz="0" w:space="0" w:color="auto"/>
        <w:left w:val="none" w:sz="0" w:space="0" w:color="auto"/>
        <w:bottom w:val="none" w:sz="0" w:space="0" w:color="auto"/>
        <w:right w:val="none" w:sz="0" w:space="0" w:color="auto"/>
      </w:divBdr>
    </w:div>
    <w:div w:id="191616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8B49F-D3AE-47C7-9A93-53AAE8D9E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18</Pages>
  <Words>4760</Words>
  <Characters>27136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31833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Margaret Boland</cp:lastModifiedBy>
  <cp:revision>8</cp:revision>
  <cp:lastPrinted>2019-11-01T15:29:00Z</cp:lastPrinted>
  <dcterms:created xsi:type="dcterms:W3CDTF">2019-11-04T20:52:00Z</dcterms:created>
  <dcterms:modified xsi:type="dcterms:W3CDTF">2019-11-13T21:31:00Z</dcterms:modified>
</cp:coreProperties>
</file>