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077" w:rsidRDefault="00A07077" w:rsidP="00A07077">
      <w:pPr>
        <w:pStyle w:val="Default"/>
        <w:rPr>
          <w:rFonts w:ascii="Arial" w:hAnsi="Arial" w:cs="Arial"/>
          <w:sz w:val="22"/>
          <w:szCs w:val="22"/>
        </w:rPr>
      </w:pPr>
    </w:p>
    <w:p w:rsidR="00A07077" w:rsidRPr="0059172B" w:rsidRDefault="001A728D" w:rsidP="00A07077">
      <w:pPr>
        <w:pStyle w:val="Default"/>
        <w:jc w:val="center"/>
        <w:rPr>
          <w:rFonts w:ascii="Arial" w:hAnsi="Arial" w:cs="Arial"/>
          <w:sz w:val="28"/>
          <w:szCs w:val="28"/>
        </w:rPr>
      </w:pPr>
      <w:r w:rsidRPr="0059172B">
        <w:rPr>
          <w:rFonts w:ascii="Arial" w:hAnsi="Arial" w:cs="Arial"/>
          <w:b/>
          <w:bCs/>
          <w:sz w:val="28"/>
          <w:szCs w:val="28"/>
        </w:rPr>
        <w:t>Niagara-on-the-Lake Hydro Inc.</w:t>
      </w:r>
      <w:r w:rsidR="0052560F" w:rsidRPr="0059172B">
        <w:rPr>
          <w:rFonts w:ascii="Arial" w:hAnsi="Arial" w:cs="Arial"/>
          <w:b/>
          <w:bCs/>
          <w:sz w:val="28"/>
          <w:szCs w:val="28"/>
        </w:rPr>
        <w:t xml:space="preserve"> </w:t>
      </w:r>
      <w:r w:rsidR="009E760C">
        <w:rPr>
          <w:rFonts w:ascii="Arial" w:hAnsi="Arial" w:cs="Arial"/>
          <w:b/>
          <w:bCs/>
          <w:sz w:val="28"/>
          <w:szCs w:val="28"/>
        </w:rPr>
        <w:t>(</w:t>
      </w:r>
      <w:r w:rsidR="00AC3F80" w:rsidRPr="00AC3F80">
        <w:rPr>
          <w:rFonts w:ascii="Arial" w:hAnsi="Arial" w:cs="Arial"/>
          <w:b/>
          <w:bCs/>
          <w:sz w:val="28"/>
          <w:szCs w:val="28"/>
        </w:rPr>
        <w:t>Niagara-on-the-Lake Hydro</w:t>
      </w:r>
      <w:r w:rsidR="009E760C">
        <w:rPr>
          <w:rFonts w:ascii="Arial" w:hAnsi="Arial" w:cs="Arial"/>
          <w:b/>
          <w:bCs/>
          <w:sz w:val="28"/>
          <w:szCs w:val="28"/>
        </w:rPr>
        <w:t>)</w:t>
      </w:r>
    </w:p>
    <w:p w:rsidR="00A07077" w:rsidRDefault="00090160" w:rsidP="00A07077">
      <w:pPr>
        <w:pStyle w:val="Default"/>
        <w:jc w:val="center"/>
        <w:rPr>
          <w:rFonts w:ascii="Arial" w:hAnsi="Arial" w:cs="Arial"/>
          <w:b/>
          <w:bCs/>
          <w:sz w:val="28"/>
          <w:szCs w:val="28"/>
        </w:rPr>
      </w:pPr>
      <w:r w:rsidRPr="0059172B">
        <w:rPr>
          <w:rFonts w:ascii="Arial" w:hAnsi="Arial" w:cs="Arial"/>
          <w:b/>
          <w:bCs/>
          <w:sz w:val="28"/>
          <w:szCs w:val="28"/>
        </w:rPr>
        <w:t>EB-201</w:t>
      </w:r>
      <w:r w:rsidR="00651C98" w:rsidRPr="0059172B">
        <w:rPr>
          <w:rFonts w:ascii="Arial" w:hAnsi="Arial" w:cs="Arial"/>
          <w:b/>
          <w:bCs/>
          <w:sz w:val="28"/>
          <w:szCs w:val="28"/>
        </w:rPr>
        <w:t>9</w:t>
      </w:r>
      <w:r w:rsidR="00B069AA" w:rsidRPr="0059172B">
        <w:rPr>
          <w:rFonts w:ascii="Arial" w:hAnsi="Arial" w:cs="Arial"/>
          <w:b/>
          <w:bCs/>
          <w:sz w:val="28"/>
          <w:szCs w:val="28"/>
        </w:rPr>
        <w:t>-0</w:t>
      </w:r>
      <w:r w:rsidR="001A728D" w:rsidRPr="0059172B">
        <w:rPr>
          <w:rFonts w:ascii="Arial" w:hAnsi="Arial" w:cs="Arial"/>
          <w:b/>
          <w:bCs/>
          <w:sz w:val="28"/>
          <w:szCs w:val="28"/>
        </w:rPr>
        <w:t>056</w:t>
      </w:r>
    </w:p>
    <w:p w:rsidR="0059172B" w:rsidRDefault="0059172B" w:rsidP="00A07077">
      <w:pPr>
        <w:pStyle w:val="Default"/>
        <w:jc w:val="center"/>
        <w:rPr>
          <w:rFonts w:ascii="Arial" w:hAnsi="Arial" w:cs="Arial"/>
          <w:b/>
          <w:bCs/>
          <w:sz w:val="28"/>
          <w:szCs w:val="28"/>
        </w:rPr>
      </w:pPr>
      <w:r>
        <w:rPr>
          <w:rFonts w:ascii="Arial" w:hAnsi="Arial" w:cs="Arial"/>
          <w:b/>
          <w:bCs/>
          <w:sz w:val="28"/>
          <w:szCs w:val="28"/>
        </w:rPr>
        <w:t>OEB Staff Questions</w:t>
      </w:r>
    </w:p>
    <w:p w:rsidR="00AC3F80" w:rsidRDefault="00AC3F80" w:rsidP="00A07077">
      <w:pPr>
        <w:pStyle w:val="Default"/>
        <w:jc w:val="center"/>
        <w:rPr>
          <w:rFonts w:ascii="Arial" w:hAnsi="Arial" w:cs="Arial"/>
          <w:b/>
          <w:bCs/>
          <w:sz w:val="28"/>
          <w:szCs w:val="28"/>
        </w:rPr>
      </w:pPr>
      <w:r>
        <w:rPr>
          <w:rFonts w:ascii="Arial" w:hAnsi="Arial" w:cs="Arial"/>
          <w:b/>
          <w:bCs/>
          <w:sz w:val="28"/>
          <w:szCs w:val="28"/>
        </w:rPr>
        <w:t>November 25, 2019</w:t>
      </w:r>
    </w:p>
    <w:p w:rsidR="00A07077" w:rsidRDefault="00A07077" w:rsidP="00A07077">
      <w:pPr>
        <w:rPr>
          <w:rFonts w:ascii="Arial" w:hAnsi="Arial" w:cs="Arial"/>
          <w:b/>
          <w:bCs/>
          <w:sz w:val="28"/>
          <w:szCs w:val="28"/>
        </w:rPr>
      </w:pPr>
    </w:p>
    <w:p w:rsidR="00180C86" w:rsidRPr="00180C86" w:rsidRDefault="00180C86" w:rsidP="00A07077">
      <w:pPr>
        <w:rPr>
          <w:rFonts w:ascii="Arial" w:hAnsi="Arial" w:cs="Arial"/>
          <w:b/>
          <w:color w:val="365F91" w:themeColor="accent1" w:themeShade="BF"/>
          <w:sz w:val="24"/>
          <w:szCs w:val="24"/>
        </w:rPr>
      </w:pPr>
      <w:r w:rsidRPr="00180C86">
        <w:rPr>
          <w:rFonts w:ascii="Arial" w:hAnsi="Arial" w:cs="Arial"/>
          <w:b/>
          <w:color w:val="365F91" w:themeColor="accent1" w:themeShade="BF"/>
          <w:sz w:val="24"/>
          <w:szCs w:val="24"/>
        </w:rPr>
        <w:t>Please see responses below in blue</w:t>
      </w: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Default="00400DFC" w:rsidP="00AC3F80">
      <w:pPr>
        <w:spacing w:after="0"/>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rsidR="00D3742A" w:rsidRDefault="00D3742A" w:rsidP="008E6045">
      <w:pPr>
        <w:rPr>
          <w:rFonts w:ascii="Arial" w:hAnsi="Arial" w:cs="Arial"/>
          <w:b/>
          <w:sz w:val="24"/>
          <w:szCs w:val="24"/>
        </w:rPr>
      </w:pPr>
      <w:r>
        <w:rPr>
          <w:rFonts w:ascii="Arial" w:hAnsi="Arial" w:cs="Arial"/>
          <w:b/>
          <w:sz w:val="24"/>
          <w:szCs w:val="24"/>
        </w:rPr>
        <w:t>Ref: Revenue to Cost Ratio Adjustment Model</w:t>
      </w:r>
    </w:p>
    <w:p w:rsidR="00D3742A" w:rsidRPr="00D3742A" w:rsidRDefault="00D3742A" w:rsidP="008E6045">
      <w:pPr>
        <w:pStyle w:val="ListParagraph"/>
        <w:numPr>
          <w:ilvl w:val="0"/>
          <w:numId w:val="28"/>
        </w:numPr>
        <w:rPr>
          <w:rFonts w:ascii="Arial" w:hAnsi="Arial" w:cs="Arial"/>
          <w:sz w:val="24"/>
          <w:szCs w:val="24"/>
        </w:rPr>
      </w:pPr>
      <w:r>
        <w:rPr>
          <w:rFonts w:ascii="Arial" w:hAnsi="Arial" w:cs="Arial"/>
          <w:sz w:val="24"/>
          <w:szCs w:val="24"/>
        </w:rPr>
        <w:t>Tab 7 of the Revenue to Cost Ratio (R/C Ratio) Adjustment Model</w:t>
      </w:r>
      <w:r w:rsidR="00975348">
        <w:rPr>
          <w:rFonts w:ascii="Arial" w:hAnsi="Arial" w:cs="Arial"/>
          <w:sz w:val="24"/>
          <w:szCs w:val="24"/>
        </w:rPr>
        <w:t xml:space="preserve"> is to allocate the revenue o</w:t>
      </w:r>
      <w:r>
        <w:rPr>
          <w:rFonts w:ascii="Arial" w:hAnsi="Arial" w:cs="Arial"/>
          <w:sz w:val="24"/>
          <w:szCs w:val="24"/>
        </w:rPr>
        <w:t>ffsets to each rate class. Niagara-on-the-Lake Hydro has not entered the total miscellaneous revenue amount in cell F47 of Tab 7. As a result, the allocated revenue offset amounts are not captured in the calculations of this model. Please enter the total miscellaneous revenue amount in cell F47 and update later tabs of the R/C Ratio Model and Tab 16 of the IRM Model.</w:t>
      </w:r>
    </w:p>
    <w:p w:rsidR="00D3742A" w:rsidRDefault="00D3742A" w:rsidP="008E6045">
      <w:pPr>
        <w:rPr>
          <w:rFonts w:ascii="Arial" w:hAnsi="Arial" w:cs="Arial"/>
          <w:b/>
          <w:sz w:val="24"/>
          <w:szCs w:val="24"/>
        </w:rPr>
      </w:pPr>
      <w:r>
        <w:rPr>
          <w:noProof/>
          <w:lang w:val="en-US"/>
        </w:rPr>
        <w:drawing>
          <wp:inline distT="0" distB="0" distL="0" distR="0" wp14:anchorId="791B1097" wp14:editId="1090CD2F">
            <wp:extent cx="4105799" cy="2770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3899" cy="2776376"/>
                    </a:xfrm>
                    <a:prstGeom prst="rect">
                      <a:avLst/>
                    </a:prstGeom>
                  </pic:spPr>
                </pic:pic>
              </a:graphicData>
            </a:graphic>
          </wp:inline>
        </w:drawing>
      </w:r>
    </w:p>
    <w:p w:rsidR="00180C86" w:rsidRDefault="00180C86" w:rsidP="008E6045">
      <w:pPr>
        <w:rPr>
          <w:rFonts w:ascii="Arial" w:hAnsi="Arial" w:cs="Arial"/>
          <w:b/>
          <w:color w:val="365F91" w:themeColor="accent1" w:themeShade="BF"/>
          <w:sz w:val="24"/>
          <w:szCs w:val="24"/>
          <w:u w:val="single"/>
        </w:rPr>
      </w:pPr>
      <w:r w:rsidRPr="00180C86">
        <w:rPr>
          <w:rFonts w:ascii="Arial" w:hAnsi="Arial" w:cs="Arial"/>
          <w:b/>
          <w:color w:val="365F91" w:themeColor="accent1" w:themeShade="BF"/>
          <w:sz w:val="24"/>
          <w:szCs w:val="24"/>
          <w:u w:val="single"/>
        </w:rPr>
        <w:t>NOTL Hydro Response</w:t>
      </w:r>
    </w:p>
    <w:p w:rsidR="00180C86" w:rsidRPr="00180C86" w:rsidRDefault="00180C86" w:rsidP="008E6045">
      <w:pPr>
        <w:rPr>
          <w:rFonts w:ascii="Arial" w:hAnsi="Arial" w:cs="Arial"/>
          <w:bCs/>
          <w:color w:val="365F91" w:themeColor="accent1" w:themeShade="BF"/>
          <w:sz w:val="24"/>
          <w:szCs w:val="24"/>
        </w:rPr>
      </w:pPr>
      <w:r>
        <w:rPr>
          <w:rFonts w:ascii="Arial" w:hAnsi="Arial" w:cs="Arial"/>
          <w:bCs/>
          <w:color w:val="365F91" w:themeColor="accent1" w:themeShade="BF"/>
          <w:sz w:val="24"/>
          <w:szCs w:val="24"/>
        </w:rPr>
        <w:t>Changes reflected in the ‘</w:t>
      </w:r>
      <w:r w:rsidRPr="00180C86">
        <w:rPr>
          <w:rFonts w:ascii="Arial" w:hAnsi="Arial" w:cs="Arial"/>
          <w:bCs/>
          <w:color w:val="365F91" w:themeColor="accent1" w:themeShade="BF"/>
          <w:sz w:val="24"/>
          <w:szCs w:val="24"/>
        </w:rPr>
        <w:t>2020_IRM_Revenue_Cost_Ratio_Adjustment_Model_NOTLH</w:t>
      </w:r>
      <w:r>
        <w:rPr>
          <w:rFonts w:ascii="Arial" w:hAnsi="Arial" w:cs="Arial"/>
          <w:bCs/>
          <w:color w:val="365F91" w:themeColor="accent1" w:themeShade="BF"/>
          <w:sz w:val="24"/>
          <w:szCs w:val="24"/>
        </w:rPr>
        <w:t xml:space="preserve"> V2’ and ‘</w:t>
      </w:r>
      <w:r w:rsidRPr="00180C86">
        <w:rPr>
          <w:rFonts w:ascii="Arial" w:hAnsi="Arial" w:cs="Arial"/>
          <w:bCs/>
          <w:color w:val="365F91" w:themeColor="accent1" w:themeShade="BF"/>
          <w:sz w:val="24"/>
          <w:szCs w:val="24"/>
        </w:rPr>
        <w:t>2020_IRM_Rate_Generator_Model_NOTLH_Revised_201911</w:t>
      </w:r>
      <w:r>
        <w:rPr>
          <w:rFonts w:ascii="Arial" w:hAnsi="Arial" w:cs="Arial"/>
          <w:bCs/>
          <w:color w:val="365F91" w:themeColor="accent1" w:themeShade="BF"/>
          <w:sz w:val="24"/>
          <w:szCs w:val="24"/>
        </w:rPr>
        <w:t>25’ submitted with these responses.</w:t>
      </w:r>
    </w:p>
    <w:p w:rsidR="00D3742A" w:rsidRDefault="00D3742A" w:rsidP="00D3742A">
      <w:pPr>
        <w:pStyle w:val="ListParagraph"/>
        <w:numPr>
          <w:ilvl w:val="0"/>
          <w:numId w:val="28"/>
        </w:numPr>
        <w:rPr>
          <w:rFonts w:ascii="Arial" w:hAnsi="Arial" w:cs="Arial"/>
          <w:sz w:val="24"/>
          <w:szCs w:val="24"/>
        </w:rPr>
      </w:pPr>
      <w:r>
        <w:rPr>
          <w:rFonts w:ascii="Arial" w:hAnsi="Arial" w:cs="Arial"/>
          <w:sz w:val="24"/>
          <w:szCs w:val="24"/>
        </w:rPr>
        <w:t>Tab 8 of the R/C Ratio Model is to remove the transformer allowance from volumetric rates.</w:t>
      </w:r>
      <w:r w:rsidR="00975348">
        <w:rPr>
          <w:rFonts w:ascii="Arial" w:hAnsi="Arial" w:cs="Arial"/>
          <w:sz w:val="24"/>
          <w:szCs w:val="24"/>
        </w:rPr>
        <w:t xml:space="preserve"> By removing the transformer allowance from the distribution </w:t>
      </w:r>
      <w:r w:rsidR="00975348">
        <w:rPr>
          <w:rFonts w:ascii="Arial" w:hAnsi="Arial" w:cs="Arial"/>
          <w:sz w:val="24"/>
          <w:szCs w:val="24"/>
        </w:rPr>
        <w:lastRenderedPageBreak/>
        <w:t>revenue, the adjusted volumetric rates (column marked with I) should be lower than the volumetric rates from tariff (column marked with F). Therefore, the transformer allowance rates entered in this tab should be with positive signs. Please correct the signs of the transformer allowance rates entered in Tab 8 and update later tabs of the R/C Ratio Model and Tab 16 of the IRM Model.</w:t>
      </w:r>
    </w:p>
    <w:p w:rsidR="00180C86" w:rsidRPr="00180C86" w:rsidRDefault="00180C86" w:rsidP="00180C86">
      <w:pPr>
        <w:rPr>
          <w:rFonts w:ascii="Arial" w:hAnsi="Arial" w:cs="Arial"/>
          <w:b/>
          <w:color w:val="365F91" w:themeColor="accent1" w:themeShade="BF"/>
          <w:sz w:val="24"/>
          <w:szCs w:val="24"/>
          <w:u w:val="single"/>
        </w:rPr>
      </w:pPr>
      <w:r w:rsidRPr="00180C86">
        <w:rPr>
          <w:rFonts w:ascii="Arial" w:hAnsi="Arial" w:cs="Arial"/>
          <w:b/>
          <w:color w:val="365F91" w:themeColor="accent1" w:themeShade="BF"/>
          <w:sz w:val="24"/>
          <w:szCs w:val="24"/>
          <w:u w:val="single"/>
        </w:rPr>
        <w:t>NOTL Hydro Response</w:t>
      </w:r>
    </w:p>
    <w:p w:rsidR="00180C86" w:rsidRPr="00180C86" w:rsidRDefault="00180C86" w:rsidP="00180C86">
      <w:pPr>
        <w:rPr>
          <w:rFonts w:ascii="Arial" w:hAnsi="Arial" w:cs="Arial"/>
          <w:bCs/>
          <w:color w:val="365F91" w:themeColor="accent1" w:themeShade="BF"/>
          <w:sz w:val="24"/>
          <w:szCs w:val="24"/>
        </w:rPr>
      </w:pPr>
      <w:r w:rsidRPr="00180C86">
        <w:rPr>
          <w:rFonts w:ascii="Arial" w:hAnsi="Arial" w:cs="Arial"/>
          <w:bCs/>
          <w:color w:val="365F91" w:themeColor="accent1" w:themeShade="BF"/>
          <w:sz w:val="24"/>
          <w:szCs w:val="24"/>
        </w:rPr>
        <w:t>Changes reflected in the ‘2020_IRM_Revenue_Cost_Ratio_Adjustment_Model_NOTLH V2’ and ‘2020_IRM_Rate_Generator_Model_NOTLH_Revised_20191125’ submitted with these responses.</w:t>
      </w:r>
    </w:p>
    <w:p w:rsidR="00180C86" w:rsidRDefault="00180C86" w:rsidP="00180C86">
      <w:pPr>
        <w:pStyle w:val="ListParagraph"/>
        <w:rPr>
          <w:rFonts w:ascii="Arial" w:hAnsi="Arial" w:cs="Arial"/>
          <w:sz w:val="24"/>
          <w:szCs w:val="24"/>
        </w:rPr>
      </w:pPr>
    </w:p>
    <w:p w:rsidR="00D3742A" w:rsidRPr="00D3742A" w:rsidRDefault="00D3742A" w:rsidP="00D3742A">
      <w:pPr>
        <w:rPr>
          <w:rFonts w:ascii="Arial" w:hAnsi="Arial" w:cs="Arial"/>
          <w:sz w:val="24"/>
          <w:szCs w:val="24"/>
        </w:rPr>
      </w:pPr>
      <w:r>
        <w:rPr>
          <w:noProof/>
          <w:lang w:val="en-US"/>
        </w:rPr>
        <w:drawing>
          <wp:inline distT="0" distB="0" distL="0" distR="0" wp14:anchorId="18CE5F7B" wp14:editId="246998F1">
            <wp:extent cx="5195455" cy="1674646"/>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9716" cy="1679243"/>
                    </a:xfrm>
                    <a:prstGeom prst="rect">
                      <a:avLst/>
                    </a:prstGeom>
                  </pic:spPr>
                </pic:pic>
              </a:graphicData>
            </a:graphic>
          </wp:inline>
        </w:drawing>
      </w:r>
    </w:p>
    <w:p w:rsidR="0059172B" w:rsidRDefault="0059172B" w:rsidP="008E6045">
      <w:pPr>
        <w:rPr>
          <w:rFonts w:ascii="Arial" w:hAnsi="Arial" w:cs="Arial"/>
          <w:b/>
          <w:sz w:val="24"/>
          <w:szCs w:val="24"/>
        </w:rPr>
      </w:pPr>
    </w:p>
    <w:p w:rsidR="00B04BFB" w:rsidRDefault="00B04BFB" w:rsidP="00AC3F80">
      <w:pPr>
        <w:spacing w:after="0"/>
        <w:rPr>
          <w:rFonts w:ascii="Arial" w:hAnsi="Arial" w:cs="Arial"/>
          <w:b/>
          <w:sz w:val="24"/>
          <w:szCs w:val="24"/>
        </w:rPr>
      </w:pPr>
      <w:r>
        <w:rPr>
          <w:rFonts w:ascii="Arial" w:hAnsi="Arial" w:cs="Arial"/>
          <w:b/>
          <w:sz w:val="24"/>
          <w:szCs w:val="24"/>
        </w:rPr>
        <w:t>Staff Question-2</w:t>
      </w:r>
    </w:p>
    <w:p w:rsidR="00B04BFB" w:rsidRDefault="00B04BFB" w:rsidP="00B04BFB">
      <w:pPr>
        <w:rPr>
          <w:rFonts w:ascii="Arial" w:hAnsi="Arial" w:cs="Arial"/>
          <w:b/>
          <w:sz w:val="24"/>
          <w:szCs w:val="24"/>
        </w:rPr>
      </w:pPr>
      <w:r>
        <w:rPr>
          <w:rFonts w:ascii="Arial" w:hAnsi="Arial" w:cs="Arial"/>
          <w:b/>
          <w:sz w:val="24"/>
          <w:szCs w:val="24"/>
        </w:rPr>
        <w:t xml:space="preserve">Ref: </w:t>
      </w:r>
      <w:r w:rsidR="009E760C">
        <w:rPr>
          <w:rFonts w:ascii="Arial" w:hAnsi="Arial" w:cs="Arial"/>
          <w:b/>
          <w:sz w:val="24"/>
          <w:szCs w:val="24"/>
        </w:rPr>
        <w:t>Rate Generator Model – Tab 3 Continuity Schedule – Account 1595 (2015) and Account 1595 (2016)</w:t>
      </w:r>
    </w:p>
    <w:p w:rsidR="009E760C" w:rsidRDefault="009E760C" w:rsidP="00B04BFB">
      <w:pPr>
        <w:rPr>
          <w:rFonts w:ascii="Arial" w:hAnsi="Arial" w:cs="Arial"/>
          <w:sz w:val="24"/>
          <w:szCs w:val="24"/>
        </w:rPr>
      </w:pPr>
      <w:r>
        <w:rPr>
          <w:rFonts w:ascii="Arial" w:hAnsi="Arial" w:cs="Arial"/>
          <w:sz w:val="24"/>
          <w:szCs w:val="24"/>
        </w:rPr>
        <w:t xml:space="preserve">In the continuity schedule, </w:t>
      </w:r>
      <w:r w:rsidR="00AC3F80" w:rsidRPr="00AC3F80">
        <w:rPr>
          <w:rFonts w:ascii="Arial" w:eastAsia="Calibri" w:hAnsi="Arial" w:cs="Times New Roman"/>
          <w:sz w:val="24"/>
          <w:lang w:val="en-US"/>
        </w:rPr>
        <w:t>Niagara-on-the-Lake Hydro</w:t>
      </w:r>
      <w:r>
        <w:rPr>
          <w:rFonts w:ascii="Arial" w:hAnsi="Arial" w:cs="Arial"/>
          <w:sz w:val="24"/>
          <w:szCs w:val="24"/>
        </w:rPr>
        <w:t xml:space="preserve"> entered principle adjustment and interest adjustment amounts in Account 1595 (2015) and Account 1595 (2016) in the year of 2018. Please provide explanation for the four adjustment amounts.</w:t>
      </w:r>
    </w:p>
    <w:p w:rsidR="00180C86" w:rsidRPr="00180C86" w:rsidRDefault="00180C86" w:rsidP="00180C86">
      <w:pPr>
        <w:rPr>
          <w:rFonts w:ascii="Arial" w:hAnsi="Arial" w:cs="Arial"/>
          <w:b/>
          <w:color w:val="365F91" w:themeColor="accent1" w:themeShade="BF"/>
          <w:sz w:val="24"/>
          <w:szCs w:val="24"/>
          <w:u w:val="single"/>
        </w:rPr>
      </w:pPr>
      <w:r w:rsidRPr="00180C86">
        <w:rPr>
          <w:rFonts w:ascii="Arial" w:hAnsi="Arial" w:cs="Arial"/>
          <w:b/>
          <w:color w:val="365F91" w:themeColor="accent1" w:themeShade="BF"/>
          <w:sz w:val="24"/>
          <w:szCs w:val="24"/>
          <w:u w:val="single"/>
        </w:rPr>
        <w:t>NOTL Hydro Response</w:t>
      </w:r>
    </w:p>
    <w:p w:rsidR="00180C86" w:rsidRPr="004F17BB" w:rsidRDefault="00180C86" w:rsidP="00B04BFB">
      <w:pPr>
        <w:rPr>
          <w:rFonts w:ascii="Arial" w:hAnsi="Arial" w:cs="Arial"/>
          <w:color w:val="365F91" w:themeColor="accent1" w:themeShade="BF"/>
          <w:sz w:val="24"/>
          <w:szCs w:val="24"/>
        </w:rPr>
      </w:pPr>
      <w:r w:rsidRPr="004F17BB">
        <w:rPr>
          <w:rFonts w:ascii="Arial" w:hAnsi="Arial" w:cs="Arial"/>
          <w:color w:val="365F91" w:themeColor="accent1" w:themeShade="BF"/>
          <w:sz w:val="24"/>
          <w:szCs w:val="24"/>
        </w:rPr>
        <w:t xml:space="preserve">1595 – 2015 adjustments in 2018 </w:t>
      </w:r>
    </w:p>
    <w:p w:rsidR="00180C86" w:rsidRPr="004F17BB" w:rsidRDefault="00180C86" w:rsidP="00180C86">
      <w:pPr>
        <w:rPr>
          <w:rFonts w:ascii="Arial" w:hAnsi="Arial" w:cs="Arial"/>
          <w:color w:val="365F91" w:themeColor="accent1" w:themeShade="BF"/>
          <w:sz w:val="24"/>
          <w:szCs w:val="24"/>
        </w:rPr>
      </w:pPr>
      <w:r w:rsidRPr="004F17BB">
        <w:rPr>
          <w:rFonts w:ascii="Arial" w:hAnsi="Arial" w:cs="Arial"/>
          <w:color w:val="365F91" w:themeColor="accent1" w:themeShade="BF"/>
          <w:sz w:val="24"/>
          <w:szCs w:val="24"/>
        </w:rPr>
        <w:t>Principal adjustment of $21,372 - $18,568.66 from 2016 rate rider was posted to 2015 account instead of 2016 account in error. $2,803.21 was applied to principal account but should have been applied to interest on net principal.</w:t>
      </w:r>
    </w:p>
    <w:p w:rsidR="004F17BB" w:rsidRPr="004F17BB" w:rsidRDefault="004F17BB" w:rsidP="004F17BB">
      <w:pPr>
        <w:rPr>
          <w:rFonts w:ascii="Arial" w:hAnsi="Arial" w:cs="Arial"/>
          <w:color w:val="365F91" w:themeColor="accent1" w:themeShade="BF"/>
          <w:sz w:val="24"/>
          <w:szCs w:val="24"/>
        </w:rPr>
      </w:pPr>
      <w:r w:rsidRPr="004F17BB">
        <w:rPr>
          <w:rFonts w:ascii="Arial" w:hAnsi="Arial" w:cs="Arial"/>
          <w:color w:val="365F91" w:themeColor="accent1" w:themeShade="BF"/>
          <w:sz w:val="24"/>
          <w:szCs w:val="24"/>
        </w:rPr>
        <w:t xml:space="preserve">Interest adjustment of ($2,673) - $112.28 from 2016 rate rider was posted to 2015 account instead of 2016 account in error. ($2,785.22) impact to interest if the $2,803.21 </w:t>
      </w:r>
      <w:r w:rsidRPr="004F17BB">
        <w:rPr>
          <w:rFonts w:ascii="Arial" w:hAnsi="Arial" w:cs="Arial"/>
          <w:color w:val="365F91" w:themeColor="accent1" w:themeShade="BF"/>
          <w:sz w:val="24"/>
          <w:szCs w:val="24"/>
        </w:rPr>
        <w:lastRenderedPageBreak/>
        <w:t>above was applied to the interest account in May 2016 - difference of $17.99 posted to interest expense in 2018</w:t>
      </w:r>
    </w:p>
    <w:p w:rsidR="004F17BB" w:rsidRPr="004F17BB" w:rsidRDefault="004F17BB" w:rsidP="004F17BB">
      <w:pPr>
        <w:rPr>
          <w:rFonts w:ascii="Arial" w:hAnsi="Arial" w:cs="Arial"/>
          <w:color w:val="365F91" w:themeColor="accent1" w:themeShade="BF"/>
          <w:sz w:val="24"/>
          <w:szCs w:val="24"/>
        </w:rPr>
      </w:pPr>
      <w:r w:rsidRPr="004F17BB">
        <w:rPr>
          <w:rFonts w:ascii="Arial" w:hAnsi="Arial" w:cs="Arial"/>
          <w:color w:val="365F91" w:themeColor="accent1" w:themeShade="BF"/>
          <w:sz w:val="24"/>
          <w:szCs w:val="24"/>
        </w:rPr>
        <w:t xml:space="preserve">1595 – 2016 adjustments in 2018 </w:t>
      </w:r>
    </w:p>
    <w:p w:rsidR="004F17BB" w:rsidRPr="004F17BB" w:rsidRDefault="004F17BB" w:rsidP="004F17BB">
      <w:pPr>
        <w:rPr>
          <w:rFonts w:ascii="Arial" w:hAnsi="Arial" w:cs="Arial"/>
          <w:color w:val="365F91" w:themeColor="accent1" w:themeShade="BF"/>
          <w:sz w:val="24"/>
          <w:szCs w:val="24"/>
        </w:rPr>
      </w:pPr>
      <w:r w:rsidRPr="004F17BB">
        <w:rPr>
          <w:rFonts w:ascii="Arial" w:hAnsi="Arial" w:cs="Arial"/>
          <w:color w:val="365F91" w:themeColor="accent1" w:themeShade="BF"/>
          <w:sz w:val="24"/>
          <w:szCs w:val="24"/>
        </w:rPr>
        <w:t>Principal adjustment of ($18,569) - $18,568.66 from 2016 rate rider was posted to 2015 account instead of 2016 account in error.</w:t>
      </w:r>
    </w:p>
    <w:p w:rsidR="004F17BB" w:rsidRPr="004F17BB" w:rsidRDefault="004F17BB" w:rsidP="004F17BB">
      <w:pPr>
        <w:rPr>
          <w:rFonts w:ascii="Arial" w:hAnsi="Arial" w:cs="Arial"/>
          <w:color w:val="365F91" w:themeColor="accent1" w:themeShade="BF"/>
          <w:sz w:val="24"/>
          <w:szCs w:val="24"/>
        </w:rPr>
      </w:pPr>
      <w:r w:rsidRPr="004F17BB">
        <w:rPr>
          <w:rFonts w:ascii="Arial" w:hAnsi="Arial" w:cs="Arial"/>
          <w:color w:val="365F91" w:themeColor="accent1" w:themeShade="BF"/>
          <w:sz w:val="24"/>
          <w:szCs w:val="24"/>
        </w:rPr>
        <w:t>Interest adjustment of ($112) - $112.28 from 2016 rate rider was posted to 2015 account instead of 2016 account in error.</w:t>
      </w:r>
    </w:p>
    <w:p w:rsidR="00180C86" w:rsidRPr="009E760C" w:rsidRDefault="00180C86" w:rsidP="00B04BFB">
      <w:pPr>
        <w:rPr>
          <w:rFonts w:ascii="Arial" w:hAnsi="Arial" w:cs="Arial"/>
          <w:sz w:val="24"/>
          <w:szCs w:val="24"/>
        </w:rPr>
      </w:pPr>
    </w:p>
    <w:p w:rsidR="00B04BFB" w:rsidRDefault="00B04BFB" w:rsidP="008E6045">
      <w:pPr>
        <w:rPr>
          <w:rFonts w:ascii="Arial" w:hAnsi="Arial" w:cs="Arial"/>
          <w:b/>
          <w:sz w:val="24"/>
          <w:szCs w:val="24"/>
        </w:rPr>
      </w:pPr>
    </w:p>
    <w:p w:rsidR="009E760C" w:rsidRDefault="009E760C" w:rsidP="00AC3F80">
      <w:pPr>
        <w:spacing w:after="0"/>
        <w:rPr>
          <w:rFonts w:ascii="Arial" w:hAnsi="Arial" w:cs="Arial"/>
          <w:b/>
          <w:sz w:val="24"/>
          <w:szCs w:val="24"/>
        </w:rPr>
      </w:pPr>
      <w:r>
        <w:rPr>
          <w:rFonts w:ascii="Arial" w:hAnsi="Arial" w:cs="Arial"/>
          <w:b/>
          <w:sz w:val="24"/>
          <w:szCs w:val="24"/>
        </w:rPr>
        <w:t>Staff Question-3</w:t>
      </w:r>
    </w:p>
    <w:p w:rsidR="009E760C" w:rsidRDefault="009E760C" w:rsidP="009E760C">
      <w:pPr>
        <w:rPr>
          <w:rFonts w:ascii="Arial" w:hAnsi="Arial" w:cs="Arial"/>
          <w:b/>
          <w:sz w:val="24"/>
          <w:szCs w:val="24"/>
        </w:rPr>
      </w:pPr>
      <w:r>
        <w:rPr>
          <w:rFonts w:ascii="Arial" w:hAnsi="Arial" w:cs="Arial"/>
          <w:b/>
          <w:sz w:val="24"/>
          <w:szCs w:val="24"/>
        </w:rPr>
        <w:t>Ref:</w:t>
      </w:r>
      <w:r w:rsidR="00CE0AD7">
        <w:rPr>
          <w:rFonts w:ascii="Arial" w:hAnsi="Arial" w:cs="Arial"/>
          <w:b/>
          <w:sz w:val="24"/>
          <w:szCs w:val="24"/>
        </w:rPr>
        <w:t xml:space="preserve"> 2018 Class A Consumption</w:t>
      </w:r>
    </w:p>
    <w:p w:rsidR="00CE0AD7" w:rsidRDefault="00CE0AD7" w:rsidP="009E760C">
      <w:pPr>
        <w:rPr>
          <w:rFonts w:ascii="Arial" w:hAnsi="Arial" w:cs="Arial"/>
          <w:sz w:val="24"/>
          <w:szCs w:val="24"/>
        </w:rPr>
      </w:pPr>
      <w:r>
        <w:rPr>
          <w:rFonts w:ascii="Arial" w:hAnsi="Arial" w:cs="Arial"/>
          <w:sz w:val="24"/>
          <w:szCs w:val="24"/>
        </w:rPr>
        <w:t xml:space="preserve">As noted in the Manager’s Summary and Tab 6 of the Rate Generator Model, </w:t>
      </w:r>
      <w:r w:rsidR="00AC3F80" w:rsidRPr="00AC3F80">
        <w:rPr>
          <w:rFonts w:ascii="Arial" w:hAnsi="Arial" w:cs="Arial"/>
          <w:sz w:val="24"/>
          <w:szCs w:val="24"/>
        </w:rPr>
        <w:t>Niagara-on-the-Lake Hydro</w:t>
      </w:r>
      <w:r>
        <w:rPr>
          <w:rFonts w:ascii="Arial" w:hAnsi="Arial" w:cs="Arial"/>
          <w:sz w:val="24"/>
          <w:szCs w:val="24"/>
        </w:rPr>
        <w:t xml:space="preserve"> had five customers transitioned between Class A and Class B in 2018. OEB staff calculated the total 2018 Class A consumption of these five customers to be 11,633,411 kWh</w:t>
      </w:r>
      <w:r w:rsidR="006F4FBD">
        <w:rPr>
          <w:rFonts w:ascii="Arial" w:hAnsi="Arial" w:cs="Arial"/>
          <w:sz w:val="24"/>
          <w:szCs w:val="24"/>
        </w:rPr>
        <w:t xml:space="preserve"> using the data entered in Table 3a in Tab 6. However, Table Note 2 of the GA Analysis </w:t>
      </w:r>
      <w:proofErr w:type="spellStart"/>
      <w:r w:rsidR="006F4FBD">
        <w:rPr>
          <w:rFonts w:ascii="Arial" w:hAnsi="Arial" w:cs="Arial"/>
          <w:sz w:val="24"/>
          <w:szCs w:val="24"/>
        </w:rPr>
        <w:t>Workform</w:t>
      </w:r>
      <w:proofErr w:type="spellEnd"/>
      <w:r w:rsidR="006F4FBD">
        <w:rPr>
          <w:rFonts w:ascii="Arial" w:hAnsi="Arial" w:cs="Arial"/>
          <w:sz w:val="24"/>
          <w:szCs w:val="24"/>
        </w:rPr>
        <w:t xml:space="preserve"> shows that </w:t>
      </w:r>
      <w:r w:rsidR="00AC3F80" w:rsidRPr="00AC3F80">
        <w:rPr>
          <w:rFonts w:ascii="Arial" w:eastAsia="Calibri" w:hAnsi="Arial" w:cs="Times New Roman"/>
          <w:sz w:val="24"/>
          <w:lang w:val="en-US"/>
        </w:rPr>
        <w:t>Niagara-on-the-Lake Hydro</w:t>
      </w:r>
      <w:r w:rsidR="006F4FBD">
        <w:rPr>
          <w:rFonts w:ascii="Arial" w:hAnsi="Arial" w:cs="Arial"/>
          <w:sz w:val="24"/>
          <w:szCs w:val="24"/>
        </w:rPr>
        <w:t xml:space="preserve"> reported total Class A consumption of 18,134,723 kWh for 2018.</w:t>
      </w:r>
    </w:p>
    <w:p w:rsidR="006F4FBD" w:rsidRDefault="006F4FBD" w:rsidP="006F4FBD">
      <w:pPr>
        <w:pStyle w:val="ListParagraph"/>
        <w:numPr>
          <w:ilvl w:val="0"/>
          <w:numId w:val="29"/>
        </w:numPr>
        <w:rPr>
          <w:rFonts w:ascii="Arial" w:hAnsi="Arial" w:cs="Arial"/>
          <w:sz w:val="24"/>
          <w:szCs w:val="24"/>
        </w:rPr>
      </w:pPr>
      <w:r>
        <w:rPr>
          <w:rFonts w:ascii="Arial" w:hAnsi="Arial" w:cs="Arial"/>
          <w:sz w:val="24"/>
          <w:szCs w:val="24"/>
        </w:rPr>
        <w:t xml:space="preserve">Please confirm whether or not </w:t>
      </w:r>
      <w:r w:rsidR="00AC3F80" w:rsidRPr="00AC3F80">
        <w:rPr>
          <w:rFonts w:ascii="Arial" w:eastAsia="Calibri" w:hAnsi="Arial" w:cs="Times New Roman"/>
          <w:sz w:val="24"/>
          <w:lang w:val="en-US"/>
        </w:rPr>
        <w:t>Niagara-on-the-Lake Hydro</w:t>
      </w:r>
      <w:r>
        <w:rPr>
          <w:rFonts w:ascii="Arial" w:hAnsi="Arial" w:cs="Arial"/>
          <w:sz w:val="24"/>
          <w:szCs w:val="24"/>
        </w:rPr>
        <w:t xml:space="preserve"> had no full-year Class A customers in 2018 and all the Class A consumption was from the five Class A/B transition customers.</w:t>
      </w:r>
    </w:p>
    <w:p w:rsidR="006F4FBD" w:rsidRDefault="00CC0EF2" w:rsidP="006F4FBD">
      <w:pPr>
        <w:pStyle w:val="ListParagraph"/>
        <w:numPr>
          <w:ilvl w:val="0"/>
          <w:numId w:val="29"/>
        </w:numPr>
        <w:rPr>
          <w:rFonts w:ascii="Arial" w:hAnsi="Arial" w:cs="Arial"/>
          <w:sz w:val="24"/>
          <w:szCs w:val="24"/>
        </w:rPr>
      </w:pPr>
      <w:r>
        <w:rPr>
          <w:rFonts w:ascii="Arial" w:hAnsi="Arial" w:cs="Arial"/>
          <w:sz w:val="24"/>
          <w:szCs w:val="24"/>
        </w:rPr>
        <w:t>P</w:t>
      </w:r>
      <w:r w:rsidR="006F4FBD">
        <w:rPr>
          <w:rFonts w:ascii="Arial" w:hAnsi="Arial" w:cs="Arial"/>
          <w:sz w:val="24"/>
          <w:szCs w:val="24"/>
        </w:rPr>
        <w:t>lease provide explanation</w:t>
      </w:r>
      <w:r>
        <w:rPr>
          <w:rFonts w:ascii="Arial" w:hAnsi="Arial" w:cs="Arial"/>
          <w:sz w:val="24"/>
          <w:szCs w:val="24"/>
        </w:rPr>
        <w:t xml:space="preserve"> for the discrepancy in Class A consumption data described above.</w:t>
      </w:r>
    </w:p>
    <w:p w:rsidR="004F17BB" w:rsidRPr="004F17BB" w:rsidRDefault="004F17BB" w:rsidP="004F17BB">
      <w:pPr>
        <w:rPr>
          <w:rFonts w:ascii="Arial" w:hAnsi="Arial" w:cs="Arial"/>
          <w:b/>
          <w:color w:val="365F91" w:themeColor="accent1" w:themeShade="BF"/>
          <w:sz w:val="24"/>
          <w:szCs w:val="24"/>
          <w:u w:val="single"/>
        </w:rPr>
      </w:pPr>
      <w:r w:rsidRPr="004F17BB">
        <w:rPr>
          <w:rFonts w:ascii="Arial" w:hAnsi="Arial" w:cs="Arial"/>
          <w:b/>
          <w:color w:val="365F91" w:themeColor="accent1" w:themeShade="BF"/>
          <w:sz w:val="24"/>
          <w:szCs w:val="24"/>
          <w:u w:val="single"/>
        </w:rPr>
        <w:t>NOTL Hydro Response</w:t>
      </w:r>
    </w:p>
    <w:p w:rsidR="00B44FCD" w:rsidRDefault="004F17BB" w:rsidP="00B44FCD">
      <w:pPr>
        <w:pStyle w:val="ListParagraph"/>
        <w:numPr>
          <w:ilvl w:val="0"/>
          <w:numId w:val="33"/>
        </w:numPr>
        <w:rPr>
          <w:rFonts w:ascii="Arial" w:hAnsi="Arial" w:cs="Arial"/>
          <w:color w:val="365F91" w:themeColor="accent1" w:themeShade="BF"/>
          <w:sz w:val="24"/>
          <w:szCs w:val="24"/>
        </w:rPr>
      </w:pPr>
      <w:r>
        <w:rPr>
          <w:rFonts w:ascii="Arial" w:hAnsi="Arial" w:cs="Arial"/>
          <w:color w:val="365F91" w:themeColor="accent1" w:themeShade="BF"/>
          <w:sz w:val="24"/>
          <w:szCs w:val="24"/>
        </w:rPr>
        <w:t>Confirmed – NOTL Hydro did not have any full year Class A customers in 201</w:t>
      </w:r>
      <w:r w:rsidR="00B44FCD">
        <w:rPr>
          <w:rFonts w:ascii="Arial" w:hAnsi="Arial" w:cs="Arial"/>
          <w:color w:val="365F91" w:themeColor="accent1" w:themeShade="BF"/>
          <w:sz w:val="24"/>
          <w:szCs w:val="24"/>
        </w:rPr>
        <w:t>8.</w:t>
      </w:r>
    </w:p>
    <w:p w:rsidR="00B44FCD" w:rsidRPr="00B44FCD" w:rsidRDefault="00B44FCD" w:rsidP="00B44FCD">
      <w:pPr>
        <w:pStyle w:val="ListParagraph"/>
        <w:numPr>
          <w:ilvl w:val="0"/>
          <w:numId w:val="33"/>
        </w:numPr>
        <w:rPr>
          <w:rFonts w:ascii="Arial" w:hAnsi="Arial" w:cs="Arial"/>
          <w:color w:val="365F91" w:themeColor="accent1" w:themeShade="BF"/>
          <w:sz w:val="24"/>
          <w:szCs w:val="24"/>
        </w:rPr>
      </w:pPr>
      <w:r w:rsidRPr="00B44FCD">
        <w:rPr>
          <w:rFonts w:ascii="Arial" w:hAnsi="Arial" w:cs="Arial"/>
          <w:color w:val="365F91" w:themeColor="accent1" w:themeShade="BF"/>
          <w:sz w:val="24"/>
          <w:szCs w:val="24"/>
        </w:rPr>
        <w:t xml:space="preserve">The amount reported in Note 2 of the GA Analysis </w:t>
      </w:r>
      <w:proofErr w:type="spellStart"/>
      <w:r w:rsidRPr="00B44FCD">
        <w:rPr>
          <w:rFonts w:ascii="Arial" w:hAnsi="Arial" w:cs="Arial"/>
          <w:color w:val="365F91" w:themeColor="accent1" w:themeShade="BF"/>
          <w:sz w:val="24"/>
          <w:szCs w:val="24"/>
        </w:rPr>
        <w:t>workform</w:t>
      </w:r>
      <w:proofErr w:type="spellEnd"/>
      <w:r w:rsidRPr="00B44FCD">
        <w:rPr>
          <w:rFonts w:ascii="Arial" w:hAnsi="Arial" w:cs="Arial"/>
          <w:color w:val="365F91" w:themeColor="accent1" w:themeShade="BF"/>
          <w:sz w:val="24"/>
          <w:szCs w:val="24"/>
        </w:rPr>
        <w:t xml:space="preserve"> of 18,134,723 kWh for Class A customers for 2018 is correct.  The kWh and kW for customers 2 – 5 </w:t>
      </w:r>
      <w:r>
        <w:rPr>
          <w:rFonts w:ascii="Arial" w:hAnsi="Arial" w:cs="Arial"/>
          <w:color w:val="365F91" w:themeColor="accent1" w:themeShade="BF"/>
          <w:sz w:val="24"/>
          <w:szCs w:val="24"/>
        </w:rPr>
        <w:t xml:space="preserve">in tab 6 of the IRM model </w:t>
      </w:r>
      <w:r w:rsidRPr="00B44FCD">
        <w:rPr>
          <w:rFonts w:ascii="Arial" w:hAnsi="Arial" w:cs="Arial"/>
          <w:color w:val="365F91" w:themeColor="accent1" w:themeShade="BF"/>
          <w:sz w:val="24"/>
          <w:szCs w:val="24"/>
        </w:rPr>
        <w:t xml:space="preserve">were transposed in error.  These amounts have been corrected in the </w:t>
      </w:r>
      <w:r w:rsidRPr="00B44FCD">
        <w:rPr>
          <w:rFonts w:ascii="Arial" w:hAnsi="Arial" w:cs="Arial"/>
          <w:bCs/>
          <w:color w:val="365F91" w:themeColor="accent1" w:themeShade="BF"/>
          <w:sz w:val="24"/>
          <w:szCs w:val="24"/>
        </w:rPr>
        <w:t>‘2020_IRM_Rate_Generator_Model_NOTLH_Revised_20191125’ submitted with these responses.</w:t>
      </w:r>
    </w:p>
    <w:p w:rsidR="004F17BB" w:rsidRPr="004F17BB" w:rsidRDefault="004F17BB" w:rsidP="00B44FCD">
      <w:pPr>
        <w:pStyle w:val="ListParagraph"/>
        <w:rPr>
          <w:rFonts w:ascii="Arial" w:hAnsi="Arial" w:cs="Arial"/>
          <w:color w:val="365F91" w:themeColor="accent1" w:themeShade="BF"/>
          <w:sz w:val="24"/>
          <w:szCs w:val="24"/>
        </w:rPr>
      </w:pPr>
    </w:p>
    <w:p w:rsidR="004F17BB" w:rsidRPr="004F17BB" w:rsidRDefault="004F17BB" w:rsidP="004F17BB">
      <w:pPr>
        <w:rPr>
          <w:rFonts w:ascii="Arial" w:hAnsi="Arial" w:cs="Arial"/>
          <w:sz w:val="24"/>
          <w:szCs w:val="24"/>
        </w:rPr>
      </w:pPr>
    </w:p>
    <w:p w:rsidR="00AC3F80" w:rsidRDefault="00AC3F80" w:rsidP="00AC3F80">
      <w:pPr>
        <w:rPr>
          <w:rFonts w:ascii="Arial" w:hAnsi="Arial" w:cs="Arial"/>
          <w:sz w:val="24"/>
          <w:szCs w:val="24"/>
        </w:rPr>
      </w:pPr>
    </w:p>
    <w:p w:rsidR="00AC3F80" w:rsidRDefault="00AC3F80" w:rsidP="00AC3F80">
      <w:pPr>
        <w:spacing w:after="0"/>
        <w:rPr>
          <w:rFonts w:ascii="Arial" w:hAnsi="Arial" w:cs="Arial"/>
          <w:b/>
          <w:sz w:val="24"/>
          <w:szCs w:val="24"/>
        </w:rPr>
      </w:pPr>
      <w:r>
        <w:rPr>
          <w:rFonts w:ascii="Arial" w:hAnsi="Arial" w:cs="Arial"/>
          <w:b/>
          <w:sz w:val="24"/>
          <w:szCs w:val="24"/>
        </w:rPr>
        <w:lastRenderedPageBreak/>
        <w:t>Staff Question-4</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GA Analysis </w:t>
      </w:r>
      <w:proofErr w:type="spellStart"/>
      <w:r w:rsidRPr="00AC3F80">
        <w:rPr>
          <w:rFonts w:ascii="Arial" w:eastAsia="Calibri" w:hAnsi="Arial" w:cs="Times New Roman"/>
          <w:b/>
          <w:sz w:val="24"/>
          <w:lang w:val="en-US"/>
        </w:rPr>
        <w:t>Workform</w:t>
      </w:r>
      <w:proofErr w:type="spellEnd"/>
      <w:r w:rsidRPr="00AC3F80">
        <w:rPr>
          <w:rFonts w:ascii="Arial" w:eastAsia="Calibri" w:hAnsi="Arial" w:cs="Times New Roman"/>
          <w:b/>
          <w:sz w:val="24"/>
          <w:lang w:val="en-US"/>
        </w:rPr>
        <w:t xml:space="preserve">, Appendix A, pages 2 and </w:t>
      </w:r>
      <w:r w:rsidRPr="00AC3F80">
        <w:rPr>
          <w:rFonts w:ascii="Arial" w:hAnsi="Arial" w:cs="Arial"/>
          <w:b/>
          <w:sz w:val="24"/>
          <w:szCs w:val="24"/>
        </w:rPr>
        <w:t>12</w:t>
      </w:r>
    </w:p>
    <w:p w:rsidR="00AC3F80" w:rsidRPr="00AC3F80" w:rsidRDefault="00AC3F80" w:rsidP="00AC3F80">
      <w:pPr>
        <w:rPr>
          <w:rFonts w:ascii="Arial" w:eastAsia="Calibri" w:hAnsi="Arial" w:cs="Arial"/>
          <w:sz w:val="24"/>
          <w:lang w:val="en-US"/>
        </w:rPr>
      </w:pPr>
      <w:r w:rsidRPr="00AC3F80">
        <w:rPr>
          <w:rFonts w:ascii="Arial" w:eastAsia="Calibri" w:hAnsi="Arial" w:cs="Times New Roman"/>
          <w:sz w:val="24"/>
          <w:lang w:val="en-US"/>
        </w:rPr>
        <w:t xml:space="preserve">Under #2, Niagara-on-the-Lake Hydro indicated it uses approach B. Under #4b, it states that this method ensures that </w:t>
      </w:r>
      <w:r w:rsidRPr="00AC3F80">
        <w:rPr>
          <w:rFonts w:ascii="Arial" w:eastAsia="Calibri" w:hAnsi="Arial" w:cs="Arial"/>
          <w:sz w:val="24"/>
          <w:lang w:val="en-US"/>
        </w:rPr>
        <w:t xml:space="preserve">the difference between the approved loses and actual losses are shared between RPP and non-RPP customers. </w:t>
      </w:r>
    </w:p>
    <w:p w:rsidR="00AC3F80" w:rsidRP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Please confirm that Niagara-on-the-Lake Hydro is using approach B as it believes that it ensures that the difference between approved losses and actual loses are shared between RPP and non-RPP customers.</w:t>
      </w:r>
    </w:p>
    <w:p w:rsidR="00AC3F80" w:rsidRP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 xml:space="preserve">If not confirmed, please explain why approach A (the approach in accordance with the new accounting guidance) is not used. </w:t>
      </w:r>
    </w:p>
    <w:p w:rsidR="00AC3F80" w:rsidRP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 xml:space="preserve">If confirmed, please explain how approach B will better allocate the loss difference between RPP and non-RPP customers in comparison to approach A. </w:t>
      </w:r>
    </w:p>
    <w:p w:rsid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If confirmed, please quantify the difference that would be recorded in Accounts 1588 and 1589 between the two approaches.</w:t>
      </w:r>
    </w:p>
    <w:p w:rsidR="00592D50" w:rsidRDefault="00592D50" w:rsidP="00592D50">
      <w:pPr>
        <w:rPr>
          <w:rFonts w:ascii="Arial" w:hAnsi="Arial" w:cs="Arial"/>
          <w:b/>
          <w:color w:val="365F91" w:themeColor="accent1" w:themeShade="BF"/>
          <w:sz w:val="24"/>
          <w:szCs w:val="24"/>
          <w:u w:val="single"/>
        </w:rPr>
      </w:pPr>
    </w:p>
    <w:p w:rsidR="00592D50" w:rsidRPr="004F17BB" w:rsidRDefault="00592D50" w:rsidP="00592D50">
      <w:pPr>
        <w:rPr>
          <w:rFonts w:ascii="Arial" w:hAnsi="Arial" w:cs="Arial"/>
          <w:b/>
          <w:color w:val="365F91" w:themeColor="accent1" w:themeShade="BF"/>
          <w:sz w:val="24"/>
          <w:szCs w:val="24"/>
          <w:u w:val="single"/>
        </w:rPr>
      </w:pPr>
      <w:r w:rsidRPr="004F17BB">
        <w:rPr>
          <w:rFonts w:ascii="Arial" w:hAnsi="Arial" w:cs="Arial"/>
          <w:b/>
          <w:color w:val="365F91" w:themeColor="accent1" w:themeShade="BF"/>
          <w:sz w:val="24"/>
          <w:szCs w:val="24"/>
          <w:u w:val="single"/>
        </w:rPr>
        <w:t>NOTL Hydro Response</w:t>
      </w:r>
    </w:p>
    <w:p w:rsidR="00592D50" w:rsidRDefault="00592D50" w:rsidP="00592D50">
      <w:pPr>
        <w:pStyle w:val="ListParagraph"/>
        <w:numPr>
          <w:ilvl w:val="0"/>
          <w:numId w:val="34"/>
        </w:numPr>
        <w:rPr>
          <w:rFonts w:ascii="Arial" w:hAnsi="Arial" w:cs="Arial"/>
          <w:color w:val="365F91" w:themeColor="accent1" w:themeShade="BF"/>
          <w:sz w:val="24"/>
          <w:szCs w:val="24"/>
        </w:rPr>
      </w:pPr>
      <w:r>
        <w:rPr>
          <w:rFonts w:ascii="Arial" w:hAnsi="Arial" w:cs="Arial"/>
          <w:color w:val="365F91" w:themeColor="accent1" w:themeShade="BF"/>
          <w:sz w:val="24"/>
          <w:szCs w:val="24"/>
        </w:rPr>
        <w:t>Confirmed – NOTL Hydro is using approach B</w:t>
      </w:r>
      <w:r w:rsidR="00FE749E">
        <w:rPr>
          <w:rFonts w:ascii="Arial" w:hAnsi="Arial" w:cs="Arial"/>
          <w:color w:val="365F91" w:themeColor="accent1" w:themeShade="BF"/>
          <w:sz w:val="24"/>
          <w:szCs w:val="24"/>
        </w:rPr>
        <w:t>.  The response noted in 4b is in reference to prorating the actual GA based on actual consumption to ensure the difference in losses is equally allocated between RPP on non-RPP customers.  This would be the same under approach A or B.</w:t>
      </w:r>
    </w:p>
    <w:p w:rsidR="00592D50" w:rsidRDefault="00592D50" w:rsidP="00592D50">
      <w:pPr>
        <w:pStyle w:val="ListParagraph"/>
        <w:numPr>
          <w:ilvl w:val="0"/>
          <w:numId w:val="34"/>
        </w:numPr>
        <w:rPr>
          <w:rFonts w:ascii="Arial" w:hAnsi="Arial" w:cs="Arial"/>
          <w:color w:val="365F91" w:themeColor="accent1" w:themeShade="BF"/>
          <w:sz w:val="24"/>
          <w:szCs w:val="24"/>
        </w:rPr>
      </w:pPr>
      <w:r>
        <w:rPr>
          <w:rFonts w:ascii="Arial" w:hAnsi="Arial" w:cs="Arial"/>
          <w:color w:val="365F91" w:themeColor="accent1" w:themeShade="BF"/>
          <w:sz w:val="24"/>
          <w:szCs w:val="24"/>
        </w:rPr>
        <w:t>n/a</w:t>
      </w:r>
    </w:p>
    <w:p w:rsidR="00FE749E" w:rsidRDefault="00592D50" w:rsidP="00592D50">
      <w:pPr>
        <w:pStyle w:val="ListParagraph"/>
        <w:numPr>
          <w:ilvl w:val="0"/>
          <w:numId w:val="34"/>
        </w:numPr>
        <w:rPr>
          <w:rFonts w:ascii="Arial" w:hAnsi="Arial" w:cs="Arial"/>
          <w:color w:val="365F91" w:themeColor="accent1" w:themeShade="BF"/>
          <w:sz w:val="24"/>
          <w:szCs w:val="24"/>
        </w:rPr>
      </w:pPr>
      <w:r>
        <w:rPr>
          <w:rFonts w:ascii="Arial" w:hAnsi="Arial" w:cs="Arial"/>
          <w:color w:val="365F91" w:themeColor="accent1" w:themeShade="BF"/>
          <w:sz w:val="24"/>
          <w:szCs w:val="24"/>
        </w:rPr>
        <w:t xml:space="preserve">The portion of GA related to RPP customers is </w:t>
      </w:r>
      <w:r w:rsidR="00FE749E">
        <w:rPr>
          <w:rFonts w:ascii="Arial" w:hAnsi="Arial" w:cs="Arial"/>
          <w:color w:val="365F91" w:themeColor="accent1" w:themeShade="BF"/>
          <w:sz w:val="24"/>
          <w:szCs w:val="24"/>
        </w:rPr>
        <w:t xml:space="preserve">initially booked based on the estimate submitted to the IESO by the fourth business day.  This amount is later trued-up to actual GA for RPP customers which is calculated as follows.  </w:t>
      </w:r>
    </w:p>
    <w:p w:rsidR="00FE749E" w:rsidRDefault="00FE749E" w:rsidP="00FE749E">
      <w:pPr>
        <w:pStyle w:val="ListParagraph"/>
        <w:rPr>
          <w:rFonts w:ascii="Arial" w:hAnsi="Arial" w:cs="Arial"/>
          <w:color w:val="365F91" w:themeColor="accent1" w:themeShade="BF"/>
          <w:sz w:val="24"/>
          <w:szCs w:val="24"/>
        </w:rPr>
      </w:pPr>
      <w:r>
        <w:rPr>
          <w:rFonts w:ascii="Arial" w:hAnsi="Arial" w:cs="Arial"/>
          <w:color w:val="365F91" w:themeColor="accent1" w:themeShade="BF"/>
          <w:sz w:val="24"/>
          <w:szCs w:val="24"/>
        </w:rPr>
        <w:t xml:space="preserve">RPP </w:t>
      </w:r>
      <w:proofErr w:type="spellStart"/>
      <w:r>
        <w:rPr>
          <w:rFonts w:ascii="Arial" w:hAnsi="Arial" w:cs="Arial"/>
          <w:color w:val="365F91" w:themeColor="accent1" w:themeShade="BF"/>
          <w:sz w:val="24"/>
          <w:szCs w:val="24"/>
        </w:rPr>
        <w:t>kWhs</w:t>
      </w:r>
      <w:proofErr w:type="spellEnd"/>
      <w:r>
        <w:rPr>
          <w:rFonts w:ascii="Arial" w:hAnsi="Arial" w:cs="Arial"/>
          <w:color w:val="365F91" w:themeColor="accent1" w:themeShade="BF"/>
          <w:sz w:val="24"/>
          <w:szCs w:val="24"/>
        </w:rPr>
        <w:t xml:space="preserve"> / Total Class B </w:t>
      </w:r>
      <w:proofErr w:type="spellStart"/>
      <w:r>
        <w:rPr>
          <w:rFonts w:ascii="Arial" w:hAnsi="Arial" w:cs="Arial"/>
          <w:color w:val="365F91" w:themeColor="accent1" w:themeShade="BF"/>
          <w:sz w:val="24"/>
          <w:szCs w:val="24"/>
        </w:rPr>
        <w:t>kWhs</w:t>
      </w:r>
      <w:proofErr w:type="spellEnd"/>
      <w:r>
        <w:rPr>
          <w:rFonts w:ascii="Arial" w:hAnsi="Arial" w:cs="Arial"/>
          <w:color w:val="365F91" w:themeColor="accent1" w:themeShade="BF"/>
          <w:sz w:val="24"/>
          <w:szCs w:val="24"/>
        </w:rPr>
        <w:t xml:space="preserve"> x Total Actual Class B GA. The end result is the same as under approach A.</w:t>
      </w:r>
    </w:p>
    <w:p w:rsidR="00FE749E" w:rsidRDefault="00FE749E" w:rsidP="00FE749E">
      <w:pPr>
        <w:pStyle w:val="ListParagraph"/>
        <w:numPr>
          <w:ilvl w:val="0"/>
          <w:numId w:val="34"/>
        </w:numPr>
        <w:rPr>
          <w:rFonts w:ascii="Arial" w:hAnsi="Arial" w:cs="Arial"/>
          <w:color w:val="365F91" w:themeColor="accent1" w:themeShade="BF"/>
          <w:sz w:val="24"/>
          <w:szCs w:val="24"/>
        </w:rPr>
      </w:pPr>
      <w:r>
        <w:rPr>
          <w:rFonts w:ascii="Arial" w:hAnsi="Arial" w:cs="Arial"/>
          <w:color w:val="365F91" w:themeColor="accent1" w:themeShade="BF"/>
          <w:sz w:val="24"/>
          <w:szCs w:val="24"/>
        </w:rPr>
        <w:t>The end result is the same as under approach A</w:t>
      </w:r>
    </w:p>
    <w:p w:rsidR="00FE749E" w:rsidRDefault="00FE749E" w:rsidP="00FE749E">
      <w:pPr>
        <w:pStyle w:val="ListParagraph"/>
        <w:rPr>
          <w:rFonts w:ascii="Arial" w:hAnsi="Arial" w:cs="Arial"/>
          <w:color w:val="365F91" w:themeColor="accent1" w:themeShade="BF"/>
          <w:sz w:val="24"/>
          <w:szCs w:val="24"/>
        </w:rPr>
      </w:pPr>
    </w:p>
    <w:p w:rsidR="00FE749E" w:rsidRDefault="00FE749E" w:rsidP="00FE749E">
      <w:pPr>
        <w:pStyle w:val="ListParagraph"/>
        <w:rPr>
          <w:rFonts w:ascii="Arial" w:hAnsi="Arial" w:cs="Arial"/>
          <w:color w:val="365F91" w:themeColor="accent1" w:themeShade="BF"/>
          <w:sz w:val="24"/>
          <w:szCs w:val="24"/>
        </w:rPr>
      </w:pPr>
    </w:p>
    <w:p w:rsidR="00AC3F80" w:rsidRPr="00AC3F80" w:rsidRDefault="00AC3F80" w:rsidP="00AC3F80">
      <w:pPr>
        <w:contextualSpacing/>
        <w:rPr>
          <w:rFonts w:ascii="Arial" w:eastAsia="Calibri" w:hAnsi="Arial" w:cs="Times New Roman"/>
          <w:b/>
          <w:sz w:val="24"/>
          <w:lang w:val="en-US"/>
        </w:rPr>
      </w:pPr>
    </w:p>
    <w:p w:rsidR="00AC3F80" w:rsidRPr="00AC3F80" w:rsidRDefault="00AC3F80" w:rsidP="00AC3F80">
      <w:pPr>
        <w:spacing w:after="0"/>
        <w:rPr>
          <w:rFonts w:ascii="Arial" w:hAnsi="Arial" w:cs="Arial"/>
          <w:b/>
          <w:sz w:val="24"/>
          <w:szCs w:val="24"/>
        </w:rPr>
      </w:pPr>
      <w:r>
        <w:rPr>
          <w:rFonts w:ascii="Arial" w:hAnsi="Arial" w:cs="Arial"/>
          <w:b/>
          <w:sz w:val="24"/>
          <w:szCs w:val="24"/>
        </w:rPr>
        <w:t>Staff Question-5</w:t>
      </w:r>
    </w:p>
    <w:p w:rsidR="00AC3F80" w:rsidRPr="00AC3F80" w:rsidRDefault="00AC3F80" w:rsidP="00AC3F80">
      <w:pPr>
        <w:contextualSpacing/>
        <w:rPr>
          <w:rFonts w:ascii="Arial" w:eastAsia="Calibri" w:hAnsi="Arial" w:cs="Times New Roman"/>
          <w:b/>
          <w:sz w:val="24"/>
          <w:lang w:val="en-US"/>
        </w:rPr>
      </w:pPr>
      <w:r w:rsidRPr="00AC3F80">
        <w:rPr>
          <w:rFonts w:ascii="Arial" w:eastAsia="Calibri" w:hAnsi="Arial" w:cs="Times New Roman"/>
          <w:b/>
          <w:sz w:val="24"/>
          <w:lang w:val="en-US"/>
        </w:rPr>
        <w:t>Ref: Manager’s Summary, page 20</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GA Analysis </w:t>
      </w:r>
      <w:proofErr w:type="spellStart"/>
      <w:r w:rsidRPr="00AC3F80">
        <w:rPr>
          <w:rFonts w:ascii="Arial" w:eastAsia="Calibri" w:hAnsi="Arial" w:cs="Times New Roman"/>
          <w:b/>
          <w:sz w:val="24"/>
          <w:lang w:val="en-US"/>
        </w:rPr>
        <w:t>Workform</w:t>
      </w:r>
      <w:proofErr w:type="spellEnd"/>
      <w:r w:rsidRPr="00AC3F80">
        <w:rPr>
          <w:rFonts w:ascii="Arial" w:eastAsia="Calibri" w:hAnsi="Arial" w:cs="Times New Roman"/>
          <w:b/>
          <w:sz w:val="24"/>
          <w:lang w:val="en-US"/>
        </w:rPr>
        <w:t>, Appendix A, page 14</w:t>
      </w:r>
    </w:p>
    <w:p w:rsidR="00AC3F80" w:rsidRPr="00AC3F80" w:rsidRDefault="00AC3F80" w:rsidP="00AC3F80">
      <w:pPr>
        <w:autoSpaceDE w:val="0"/>
        <w:autoSpaceDN w:val="0"/>
        <w:adjustRightInd w:val="0"/>
        <w:rPr>
          <w:rFonts w:ascii="ArialMT" w:eastAsia="Calibri" w:hAnsi="ArialMT" w:cs="ArialMT"/>
          <w:sz w:val="24"/>
          <w:lang w:val="en-US"/>
        </w:rPr>
      </w:pPr>
      <w:r w:rsidRPr="00AC3F80">
        <w:rPr>
          <w:rFonts w:ascii="ArialMT" w:eastAsia="Calibri" w:hAnsi="ArialMT" w:cs="ArialMT"/>
          <w:sz w:val="24"/>
          <w:lang w:val="en-US"/>
        </w:rPr>
        <w:t>On page 20 of the Manager’s Summary, it states that there is variance of $78,553 between the RRR and DVA Continuity schedule balance for Account 1589 due to the difference in estimate to actual generation submitted to the IESO in 2019 for 2016 and January to April 2017.</w:t>
      </w:r>
    </w:p>
    <w:p w:rsidR="00AC3F80" w:rsidRPr="00AC3F80" w:rsidRDefault="00AC3F80" w:rsidP="00AC3F80">
      <w:pPr>
        <w:numPr>
          <w:ilvl w:val="0"/>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lastRenderedPageBreak/>
        <w:t>Of the $78,553 variance, please confirm that $42,891 is due to the adjustment for January to April 2017.</w:t>
      </w:r>
    </w:p>
    <w:p w:rsidR="00AC3F80" w:rsidRPr="00AC3F80" w:rsidRDefault="00AC3F80" w:rsidP="00AC3F80">
      <w:pPr>
        <w:numPr>
          <w:ilvl w:val="1"/>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 xml:space="preserve">Per Appendix A of the GA Analysis </w:t>
      </w:r>
      <w:proofErr w:type="spellStart"/>
      <w:r w:rsidRPr="00AC3F80">
        <w:rPr>
          <w:rFonts w:ascii="ArialMT" w:eastAsia="Calibri" w:hAnsi="ArialMT" w:cs="ArialMT"/>
          <w:sz w:val="24"/>
          <w:lang w:val="en-US"/>
        </w:rPr>
        <w:t>Workform</w:t>
      </w:r>
      <w:proofErr w:type="spellEnd"/>
      <w:r w:rsidRPr="00AC3F80">
        <w:rPr>
          <w:rFonts w:ascii="ArialMT" w:eastAsia="Calibri" w:hAnsi="ArialMT" w:cs="ArialMT"/>
          <w:sz w:val="24"/>
          <w:lang w:val="en-US"/>
        </w:rPr>
        <w:t xml:space="preserve">, Account 1589 principal adjustment in the 2019 rate application included a principal adjustment of $42,891 for January to April 2017 generation estimate to actual differences. Please confirm that this adjustment was recorded in the GL in 2019 and therefore, is not a reconciling item in the 2018 GA Analysis </w:t>
      </w:r>
      <w:proofErr w:type="spellStart"/>
      <w:r w:rsidRPr="00AC3F80">
        <w:rPr>
          <w:rFonts w:ascii="ArialMT" w:eastAsia="Calibri" w:hAnsi="ArialMT" w:cs="ArialMT"/>
          <w:sz w:val="24"/>
          <w:lang w:val="en-US"/>
        </w:rPr>
        <w:t>Workform</w:t>
      </w:r>
      <w:proofErr w:type="spellEnd"/>
      <w:r w:rsidRPr="00AC3F80">
        <w:rPr>
          <w:rFonts w:ascii="ArialMT" w:eastAsia="Calibri" w:hAnsi="ArialMT" w:cs="ArialMT"/>
          <w:sz w:val="24"/>
          <w:lang w:val="en-US"/>
        </w:rPr>
        <w:t xml:space="preserve"> and is not a reversing principal adjustment in the 2018 balance. If not, please explain why this is not a reconciling item in the 2018 GA Analysis </w:t>
      </w:r>
      <w:proofErr w:type="spellStart"/>
      <w:r w:rsidRPr="00AC3F80">
        <w:rPr>
          <w:rFonts w:ascii="ArialMT" w:eastAsia="Calibri" w:hAnsi="ArialMT" w:cs="ArialMT"/>
          <w:sz w:val="24"/>
          <w:lang w:val="en-US"/>
        </w:rPr>
        <w:t>Workform</w:t>
      </w:r>
      <w:proofErr w:type="spellEnd"/>
      <w:r w:rsidRPr="00AC3F80">
        <w:rPr>
          <w:rFonts w:ascii="ArialMT" w:eastAsia="Calibri" w:hAnsi="ArialMT" w:cs="ArialMT"/>
          <w:sz w:val="24"/>
          <w:lang w:val="en-US"/>
        </w:rPr>
        <w:t xml:space="preserve"> and a reversal in 2018.</w:t>
      </w:r>
    </w:p>
    <w:p w:rsidR="00AC3F80" w:rsidRPr="00AC3F80" w:rsidRDefault="00AC3F80" w:rsidP="00AC3F80">
      <w:pPr>
        <w:numPr>
          <w:ilvl w:val="0"/>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Please confirm that the remaining variance is due to the 2016 difference in estimated to actual generation. If not, please explain what the remaining variance pertained to.</w:t>
      </w:r>
    </w:p>
    <w:p w:rsidR="00AC3F80" w:rsidRPr="00AC3F80" w:rsidRDefault="00AC3F80" w:rsidP="00AC3F80">
      <w:pPr>
        <w:numPr>
          <w:ilvl w:val="1"/>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 xml:space="preserve">Please explain the year in which the 2016 difference in estimated to actual generation was recorded in the GL and in the DVA Continuity Schedule. </w:t>
      </w:r>
    </w:p>
    <w:p w:rsidR="00AC3F80" w:rsidRPr="00AC3F80" w:rsidRDefault="00AC3F80" w:rsidP="00AC3F80">
      <w:pPr>
        <w:numPr>
          <w:ilvl w:val="0"/>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Please discuss the impact to Accounts 1588 and 1589 when Niagara-on-the-</w:t>
      </w:r>
      <w:proofErr w:type="gramStart"/>
      <w:r w:rsidRPr="00AC3F80">
        <w:rPr>
          <w:rFonts w:ascii="ArialMT" w:eastAsia="Calibri" w:hAnsi="ArialMT" w:cs="ArialMT"/>
          <w:sz w:val="24"/>
          <w:lang w:val="en-US"/>
        </w:rPr>
        <w:t>Lake  settled</w:t>
      </w:r>
      <w:proofErr w:type="gramEnd"/>
      <w:r w:rsidRPr="00AC3F80">
        <w:rPr>
          <w:rFonts w:ascii="ArialMT" w:eastAsia="Calibri" w:hAnsi="ArialMT" w:cs="ArialMT"/>
          <w:sz w:val="24"/>
          <w:lang w:val="en-US"/>
        </w:rPr>
        <w:t xml:space="preserve"> the adjustment with the IESO in 2019.</w:t>
      </w:r>
    </w:p>
    <w:p w:rsidR="00AC3F80" w:rsidRDefault="00AC3F80" w:rsidP="00AC3F80">
      <w:pPr>
        <w:contextualSpacing/>
        <w:rPr>
          <w:rFonts w:ascii="Arial" w:eastAsia="Calibri" w:hAnsi="Arial" w:cs="Times New Roman"/>
          <w:b/>
          <w:sz w:val="24"/>
          <w:lang w:val="en-US"/>
        </w:rPr>
      </w:pPr>
    </w:p>
    <w:p w:rsidR="006D07B7" w:rsidRPr="004F17BB" w:rsidRDefault="006D07B7" w:rsidP="006D07B7">
      <w:pPr>
        <w:rPr>
          <w:rFonts w:ascii="Arial" w:hAnsi="Arial" w:cs="Arial"/>
          <w:b/>
          <w:color w:val="365F91" w:themeColor="accent1" w:themeShade="BF"/>
          <w:sz w:val="24"/>
          <w:szCs w:val="24"/>
          <w:u w:val="single"/>
        </w:rPr>
      </w:pPr>
      <w:r w:rsidRPr="004F17BB">
        <w:rPr>
          <w:rFonts w:ascii="Arial" w:hAnsi="Arial" w:cs="Arial"/>
          <w:b/>
          <w:color w:val="365F91" w:themeColor="accent1" w:themeShade="BF"/>
          <w:sz w:val="24"/>
          <w:szCs w:val="24"/>
          <w:u w:val="single"/>
        </w:rPr>
        <w:t>NOTL Hydro Response</w:t>
      </w:r>
    </w:p>
    <w:p w:rsidR="006D07B7" w:rsidRDefault="006D07B7" w:rsidP="006D07B7">
      <w:pPr>
        <w:pStyle w:val="ListParagraph"/>
        <w:numPr>
          <w:ilvl w:val="0"/>
          <w:numId w:val="35"/>
        </w:numPr>
        <w:rPr>
          <w:rFonts w:ascii="Arial" w:eastAsia="Calibri" w:hAnsi="Arial" w:cs="Times New Roman"/>
          <w:bCs/>
          <w:color w:val="365F91" w:themeColor="accent1" w:themeShade="BF"/>
          <w:sz w:val="24"/>
          <w:lang w:val="en-US"/>
        </w:rPr>
      </w:pPr>
      <w:r w:rsidRPr="006D07B7">
        <w:rPr>
          <w:rFonts w:ascii="Arial" w:eastAsia="Calibri" w:hAnsi="Arial" w:cs="Times New Roman"/>
          <w:bCs/>
          <w:color w:val="365F91" w:themeColor="accent1" w:themeShade="BF"/>
          <w:sz w:val="24"/>
          <w:lang w:val="en-US"/>
        </w:rPr>
        <w:t>Confirmed</w:t>
      </w:r>
      <w:r>
        <w:rPr>
          <w:rFonts w:ascii="Arial" w:eastAsia="Calibri" w:hAnsi="Arial" w:cs="Times New Roman"/>
          <w:bCs/>
          <w:color w:val="365F91" w:themeColor="accent1" w:themeShade="BF"/>
          <w:sz w:val="24"/>
          <w:lang w:val="en-US"/>
        </w:rPr>
        <w:t xml:space="preserve"> and the adjustment was recorded in the GL in 2019</w:t>
      </w:r>
    </w:p>
    <w:p w:rsidR="006D07B7" w:rsidRDefault="006D07B7" w:rsidP="006D07B7">
      <w:pPr>
        <w:pStyle w:val="ListParagraph"/>
        <w:numPr>
          <w:ilvl w:val="0"/>
          <w:numId w:val="35"/>
        </w:numPr>
        <w:rPr>
          <w:rFonts w:ascii="Arial" w:eastAsia="Calibri" w:hAnsi="Arial" w:cs="Times New Roman"/>
          <w:bCs/>
          <w:color w:val="365F91" w:themeColor="accent1" w:themeShade="BF"/>
          <w:sz w:val="24"/>
          <w:lang w:val="en-US"/>
        </w:rPr>
      </w:pPr>
      <w:r>
        <w:rPr>
          <w:rFonts w:ascii="Arial" w:eastAsia="Calibri" w:hAnsi="Arial" w:cs="Times New Roman"/>
          <w:bCs/>
          <w:color w:val="365F91" w:themeColor="accent1" w:themeShade="BF"/>
          <w:sz w:val="24"/>
          <w:lang w:val="en-US"/>
        </w:rPr>
        <w:t>Confirmed and the adjustment was recorded in the GL in 2019</w:t>
      </w:r>
      <w:r w:rsidR="001F2FBE">
        <w:rPr>
          <w:rFonts w:ascii="Arial" w:eastAsia="Calibri" w:hAnsi="Arial" w:cs="Times New Roman"/>
          <w:bCs/>
          <w:color w:val="365F91" w:themeColor="accent1" w:themeShade="BF"/>
          <w:sz w:val="24"/>
          <w:lang w:val="en-US"/>
        </w:rPr>
        <w:t xml:space="preserve"> and was included in the DVA schedule in 2016.</w:t>
      </w:r>
    </w:p>
    <w:p w:rsidR="001F2FBE" w:rsidRPr="006D07B7" w:rsidRDefault="001F2FBE" w:rsidP="006D07B7">
      <w:pPr>
        <w:pStyle w:val="ListParagraph"/>
        <w:numPr>
          <w:ilvl w:val="0"/>
          <w:numId w:val="35"/>
        </w:numPr>
        <w:rPr>
          <w:rFonts w:ascii="Arial" w:eastAsia="Calibri" w:hAnsi="Arial" w:cs="Times New Roman"/>
          <w:bCs/>
          <w:color w:val="365F91" w:themeColor="accent1" w:themeShade="BF"/>
          <w:sz w:val="24"/>
          <w:lang w:val="en-US"/>
        </w:rPr>
      </w:pPr>
      <w:r>
        <w:rPr>
          <w:rFonts w:ascii="Arial" w:eastAsia="Calibri" w:hAnsi="Arial" w:cs="Times New Roman"/>
          <w:bCs/>
          <w:color w:val="365F91" w:themeColor="accent1" w:themeShade="BF"/>
          <w:sz w:val="24"/>
          <w:lang w:val="en-US"/>
        </w:rPr>
        <w:t>The entire amount was recorded in account 1589.  The initial impact of the variance was reflected in account 1589 as well.</w:t>
      </w:r>
    </w:p>
    <w:p w:rsidR="00AC3F80" w:rsidRDefault="00AC3F80" w:rsidP="00AC3F80">
      <w:pPr>
        <w:spacing w:after="0"/>
        <w:rPr>
          <w:rFonts w:ascii="Arial" w:hAnsi="Arial" w:cs="Arial"/>
          <w:b/>
          <w:sz w:val="24"/>
          <w:szCs w:val="24"/>
        </w:rPr>
      </w:pPr>
    </w:p>
    <w:p w:rsidR="00AC3F80" w:rsidRDefault="00AC3F80" w:rsidP="00AC3F80">
      <w:pPr>
        <w:spacing w:after="0"/>
        <w:rPr>
          <w:rFonts w:ascii="Arial" w:eastAsia="Calibri" w:hAnsi="Arial" w:cs="Times New Roman"/>
          <w:b/>
          <w:sz w:val="24"/>
          <w:lang w:val="en-US"/>
        </w:rPr>
      </w:pPr>
      <w:r>
        <w:rPr>
          <w:rFonts w:ascii="Arial" w:hAnsi="Arial" w:cs="Arial"/>
          <w:b/>
          <w:sz w:val="24"/>
          <w:szCs w:val="24"/>
        </w:rPr>
        <w:t>Staff Question-6</w:t>
      </w:r>
    </w:p>
    <w:p w:rsidR="00AC3F80" w:rsidRPr="00AC3F80" w:rsidRDefault="00AC3F80" w:rsidP="00AC3F80">
      <w:pPr>
        <w:contextualSpacing/>
        <w:rPr>
          <w:rFonts w:ascii="Arial" w:eastAsia="Calibri" w:hAnsi="Arial" w:cs="Times New Roman"/>
          <w:b/>
          <w:sz w:val="24"/>
          <w:lang w:val="en-US"/>
        </w:rPr>
      </w:pPr>
      <w:r w:rsidRPr="00AC3F80">
        <w:rPr>
          <w:rFonts w:ascii="Arial" w:eastAsia="Calibri" w:hAnsi="Arial" w:cs="Times New Roman"/>
          <w:b/>
          <w:sz w:val="24"/>
          <w:lang w:val="en-US"/>
        </w:rPr>
        <w:t>Ref: Manager’s Summary, pages 38-39</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GA Analysis </w:t>
      </w:r>
      <w:proofErr w:type="spellStart"/>
      <w:r w:rsidRPr="00AC3F80">
        <w:rPr>
          <w:rFonts w:ascii="Arial" w:eastAsia="Calibri" w:hAnsi="Arial" w:cs="Times New Roman"/>
          <w:b/>
          <w:sz w:val="24"/>
          <w:lang w:val="en-US"/>
        </w:rPr>
        <w:t>Workform</w:t>
      </w:r>
      <w:proofErr w:type="spellEnd"/>
    </w:p>
    <w:p w:rsidR="00AC3F80" w:rsidRPr="00AC3F80" w:rsidRDefault="00AC3F80" w:rsidP="00AC3F80">
      <w:pPr>
        <w:autoSpaceDE w:val="0"/>
        <w:autoSpaceDN w:val="0"/>
        <w:adjustRightInd w:val="0"/>
        <w:rPr>
          <w:rFonts w:ascii="Arial" w:eastAsia="Calibri" w:hAnsi="Arial" w:cs="Arial"/>
          <w:sz w:val="24"/>
          <w:lang w:val="en-US"/>
        </w:rPr>
      </w:pPr>
      <w:r w:rsidRPr="00AC3F80">
        <w:rPr>
          <w:rFonts w:ascii="Arial" w:eastAsia="Calibri" w:hAnsi="Arial" w:cs="Times New Roman"/>
          <w:sz w:val="24"/>
          <w:lang w:val="en-US"/>
        </w:rPr>
        <w:t xml:space="preserve">Niagara-on-the-Lake Hydro adjusted its billing schedule so that all customers are billed the </w:t>
      </w:r>
      <w:r w:rsidRPr="00AC3F80">
        <w:rPr>
          <w:rFonts w:ascii="Arial" w:eastAsia="Calibri" w:hAnsi="Arial" w:cs="Arial"/>
          <w:sz w:val="24"/>
          <w:lang w:val="en-US"/>
        </w:rPr>
        <w:t>calendar month in t</w:t>
      </w:r>
      <w:r>
        <w:rPr>
          <w:rFonts w:ascii="Arial" w:eastAsia="Calibri" w:hAnsi="Arial" w:cs="Arial"/>
          <w:sz w:val="24"/>
          <w:lang w:val="en-US"/>
        </w:rPr>
        <w:t>he month following consumption.</w:t>
      </w:r>
    </w:p>
    <w:p w:rsidR="00AC3F80" w:rsidRPr="00AC3F80" w:rsidRDefault="00AC3F80" w:rsidP="00AC3F80">
      <w:pPr>
        <w:numPr>
          <w:ilvl w:val="0"/>
          <w:numId w:val="30"/>
        </w:numPr>
        <w:spacing w:after="160" w:line="259" w:lineRule="auto"/>
        <w:contextualSpacing/>
        <w:rPr>
          <w:rFonts w:ascii="Arial" w:eastAsia="Calibri" w:hAnsi="Arial" w:cs="Arial"/>
          <w:sz w:val="24"/>
          <w:lang w:val="en-US"/>
        </w:rPr>
      </w:pPr>
      <w:r w:rsidRPr="00AC3F80">
        <w:rPr>
          <w:rFonts w:ascii="Arial" w:eastAsia="Calibri" w:hAnsi="Arial" w:cs="Arial"/>
          <w:sz w:val="24"/>
          <w:lang w:val="en-US"/>
        </w:rPr>
        <w:t>Please indicate when the adjustment to the billing schedule occurred.</w:t>
      </w:r>
    </w:p>
    <w:p w:rsidR="00AC3F80" w:rsidRPr="00AC3F80" w:rsidRDefault="00AC3F80" w:rsidP="00AC3F80">
      <w:pPr>
        <w:numPr>
          <w:ilvl w:val="0"/>
          <w:numId w:val="30"/>
        </w:numPr>
        <w:spacing w:after="160" w:line="259" w:lineRule="auto"/>
        <w:contextualSpacing/>
        <w:rPr>
          <w:rFonts w:ascii="Arial" w:eastAsia="Calibri" w:hAnsi="Arial" w:cs="Arial"/>
          <w:sz w:val="24"/>
          <w:lang w:val="en-US"/>
        </w:rPr>
      </w:pPr>
      <w:r w:rsidRPr="00AC3F80">
        <w:rPr>
          <w:rFonts w:ascii="Arial" w:eastAsia="Calibri" w:hAnsi="Arial" w:cs="Arial"/>
          <w:sz w:val="24"/>
          <w:lang w:val="en-US"/>
        </w:rPr>
        <w:t xml:space="preserve">In the GA Analysis </w:t>
      </w:r>
      <w:proofErr w:type="spellStart"/>
      <w:r w:rsidRPr="00AC3F80">
        <w:rPr>
          <w:rFonts w:ascii="Arial" w:eastAsia="Calibri" w:hAnsi="Arial" w:cs="Arial"/>
          <w:sz w:val="24"/>
          <w:lang w:val="en-US"/>
        </w:rPr>
        <w:t>Workform</w:t>
      </w:r>
      <w:proofErr w:type="spellEnd"/>
      <w:r w:rsidRPr="00AC3F80">
        <w:rPr>
          <w:rFonts w:ascii="Arial" w:eastAsia="Calibri" w:hAnsi="Arial" w:cs="Arial"/>
          <w:sz w:val="24"/>
          <w:lang w:val="en-US"/>
        </w:rPr>
        <w:t>, the adjusted net change in the principal balance in the GL is ($37,894), please explain whether this balance accumulated prior to the change in billing schedule.  If not, please explain what this balance pertains to.</w:t>
      </w:r>
    </w:p>
    <w:p w:rsidR="004134EF" w:rsidRDefault="00AC3F80" w:rsidP="004134EF">
      <w:pPr>
        <w:numPr>
          <w:ilvl w:val="0"/>
          <w:numId w:val="30"/>
        </w:numPr>
        <w:spacing w:line="259" w:lineRule="auto"/>
        <w:contextualSpacing/>
        <w:rPr>
          <w:rFonts w:ascii="Arial" w:eastAsia="Calibri" w:hAnsi="Arial" w:cs="Arial"/>
          <w:sz w:val="24"/>
          <w:lang w:val="en-US"/>
        </w:rPr>
      </w:pPr>
      <w:r w:rsidRPr="00AC3F80">
        <w:rPr>
          <w:rFonts w:ascii="Arial" w:eastAsia="Calibri" w:hAnsi="Arial" w:cs="Arial"/>
          <w:sz w:val="24"/>
          <w:lang w:val="en-US"/>
        </w:rPr>
        <w:t>Please confirm that going forward, Account 1589 is still expected to have a balance equal to the difference in approved and actual losses for non-RPP customers.</w:t>
      </w:r>
    </w:p>
    <w:p w:rsidR="004134EF" w:rsidRPr="00AC3F80" w:rsidRDefault="004134EF" w:rsidP="004134EF">
      <w:pPr>
        <w:spacing w:line="259" w:lineRule="auto"/>
        <w:ind w:left="360"/>
        <w:contextualSpacing/>
        <w:rPr>
          <w:rFonts w:ascii="Arial" w:eastAsia="Calibri" w:hAnsi="Arial" w:cs="Arial"/>
          <w:sz w:val="24"/>
          <w:lang w:val="en-US"/>
        </w:rPr>
      </w:pPr>
    </w:p>
    <w:p w:rsidR="00D75F41" w:rsidRPr="004F17BB" w:rsidRDefault="00D75F41" w:rsidP="00D75F41">
      <w:pPr>
        <w:rPr>
          <w:rFonts w:ascii="Arial" w:hAnsi="Arial" w:cs="Arial"/>
          <w:b/>
          <w:color w:val="365F91" w:themeColor="accent1" w:themeShade="BF"/>
          <w:sz w:val="24"/>
          <w:szCs w:val="24"/>
          <w:u w:val="single"/>
        </w:rPr>
      </w:pPr>
      <w:r w:rsidRPr="004F17BB">
        <w:rPr>
          <w:rFonts w:ascii="Arial" w:hAnsi="Arial" w:cs="Arial"/>
          <w:b/>
          <w:color w:val="365F91" w:themeColor="accent1" w:themeShade="BF"/>
          <w:sz w:val="24"/>
          <w:szCs w:val="24"/>
          <w:u w:val="single"/>
        </w:rPr>
        <w:t>NOTL Hydro Response</w:t>
      </w:r>
    </w:p>
    <w:p w:rsidR="00AC3F80" w:rsidRPr="00CC48D2" w:rsidRDefault="00D75F41" w:rsidP="00D75F41">
      <w:pPr>
        <w:pStyle w:val="ListParagraph"/>
        <w:numPr>
          <w:ilvl w:val="0"/>
          <w:numId w:val="36"/>
        </w:numPr>
        <w:rPr>
          <w:rFonts w:ascii="Arial" w:eastAsia="Calibri" w:hAnsi="Arial" w:cs="Times New Roman"/>
          <w:b/>
          <w:sz w:val="24"/>
          <w:lang w:val="en-US"/>
        </w:rPr>
      </w:pPr>
      <w:r>
        <w:rPr>
          <w:rFonts w:ascii="Arial" w:eastAsia="Calibri" w:hAnsi="Arial" w:cs="Times New Roman"/>
          <w:bCs/>
          <w:color w:val="365F91" w:themeColor="accent1" w:themeShade="BF"/>
          <w:sz w:val="24"/>
          <w:lang w:val="en-US"/>
        </w:rPr>
        <w:lastRenderedPageBreak/>
        <w:t xml:space="preserve">The </w:t>
      </w:r>
      <w:r w:rsidR="00CC48D2">
        <w:rPr>
          <w:rFonts w:ascii="Arial" w:eastAsia="Calibri" w:hAnsi="Arial" w:cs="Times New Roman"/>
          <w:bCs/>
          <w:color w:val="365F91" w:themeColor="accent1" w:themeShade="BF"/>
          <w:sz w:val="24"/>
          <w:lang w:val="en-US"/>
        </w:rPr>
        <w:t xml:space="preserve">adjustments to the </w:t>
      </w:r>
      <w:r>
        <w:rPr>
          <w:rFonts w:ascii="Arial" w:eastAsia="Calibri" w:hAnsi="Arial" w:cs="Times New Roman"/>
          <w:bCs/>
          <w:color w:val="365F91" w:themeColor="accent1" w:themeShade="BF"/>
          <w:sz w:val="24"/>
          <w:lang w:val="en-US"/>
        </w:rPr>
        <w:t>billing schedule w</w:t>
      </w:r>
      <w:r w:rsidR="00CC48D2">
        <w:rPr>
          <w:rFonts w:ascii="Arial" w:eastAsia="Calibri" w:hAnsi="Arial" w:cs="Times New Roman"/>
          <w:bCs/>
          <w:color w:val="365F91" w:themeColor="accent1" w:themeShade="BF"/>
          <w:sz w:val="24"/>
          <w:lang w:val="en-US"/>
        </w:rPr>
        <w:t>ere</w:t>
      </w:r>
      <w:r>
        <w:rPr>
          <w:rFonts w:ascii="Arial" w:eastAsia="Calibri" w:hAnsi="Arial" w:cs="Times New Roman"/>
          <w:bCs/>
          <w:color w:val="365F91" w:themeColor="accent1" w:themeShade="BF"/>
          <w:sz w:val="24"/>
          <w:lang w:val="en-US"/>
        </w:rPr>
        <w:t xml:space="preserve"> </w:t>
      </w:r>
      <w:r w:rsidR="00CC48D2">
        <w:rPr>
          <w:rFonts w:ascii="Arial" w:eastAsia="Calibri" w:hAnsi="Arial" w:cs="Times New Roman"/>
          <w:bCs/>
          <w:color w:val="365F91" w:themeColor="accent1" w:themeShade="BF"/>
          <w:sz w:val="24"/>
          <w:lang w:val="en-US"/>
        </w:rPr>
        <w:t>phased in over several months concluding in July 2018.</w:t>
      </w:r>
    </w:p>
    <w:p w:rsidR="00CC48D2" w:rsidRPr="00CC48D2" w:rsidRDefault="00CC48D2" w:rsidP="00D75F41">
      <w:pPr>
        <w:pStyle w:val="ListParagraph"/>
        <w:numPr>
          <w:ilvl w:val="0"/>
          <w:numId w:val="36"/>
        </w:numPr>
        <w:rPr>
          <w:rFonts w:ascii="Arial" w:eastAsia="Calibri" w:hAnsi="Arial" w:cs="Times New Roman"/>
          <w:b/>
          <w:sz w:val="24"/>
          <w:lang w:val="en-US"/>
        </w:rPr>
      </w:pPr>
      <w:r>
        <w:rPr>
          <w:rFonts w:ascii="Arial" w:eastAsia="Calibri" w:hAnsi="Arial" w:cs="Times New Roman"/>
          <w:bCs/>
          <w:color w:val="365F91" w:themeColor="accent1" w:themeShade="BF"/>
          <w:sz w:val="24"/>
          <w:lang w:val="en-US"/>
        </w:rPr>
        <w:t>The balance would have accumulated both before and after the billing schedule changes.</w:t>
      </w:r>
    </w:p>
    <w:p w:rsidR="00CC48D2" w:rsidRPr="00D75F41" w:rsidRDefault="00CC48D2" w:rsidP="00D75F41">
      <w:pPr>
        <w:pStyle w:val="ListParagraph"/>
        <w:numPr>
          <w:ilvl w:val="0"/>
          <w:numId w:val="36"/>
        </w:numPr>
        <w:rPr>
          <w:rFonts w:ascii="Arial" w:eastAsia="Calibri" w:hAnsi="Arial" w:cs="Times New Roman"/>
          <w:b/>
          <w:sz w:val="24"/>
          <w:lang w:val="en-US"/>
        </w:rPr>
      </w:pPr>
      <w:r>
        <w:rPr>
          <w:rFonts w:ascii="Arial" w:eastAsia="Calibri" w:hAnsi="Arial" w:cs="Times New Roman"/>
          <w:bCs/>
          <w:color w:val="365F91" w:themeColor="accent1" w:themeShade="BF"/>
          <w:sz w:val="24"/>
          <w:lang w:val="en-US"/>
        </w:rPr>
        <w:t>Confirmed</w:t>
      </w:r>
    </w:p>
    <w:p w:rsidR="00AC3F80" w:rsidRDefault="00AC3F80" w:rsidP="00AC3F80">
      <w:pPr>
        <w:spacing w:after="0"/>
        <w:rPr>
          <w:rFonts w:ascii="Arial" w:eastAsia="Calibri" w:hAnsi="Arial" w:cs="Times New Roman"/>
          <w:b/>
          <w:sz w:val="24"/>
          <w:lang w:val="en-US"/>
        </w:rPr>
      </w:pPr>
      <w:r>
        <w:rPr>
          <w:rFonts w:ascii="Arial" w:hAnsi="Arial" w:cs="Arial"/>
          <w:b/>
          <w:sz w:val="24"/>
          <w:szCs w:val="24"/>
        </w:rPr>
        <w:t>Staff Question-7</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Ref: Manager’s Summary, page 40</w:t>
      </w:r>
    </w:p>
    <w:p w:rsidR="00AC3F80" w:rsidRPr="00AC3F80" w:rsidRDefault="00AC3F80" w:rsidP="00AC3F80">
      <w:pPr>
        <w:contextualSpacing/>
        <w:rPr>
          <w:rFonts w:ascii="Arial" w:eastAsia="Calibri" w:hAnsi="Arial" w:cs="Times New Roman"/>
          <w:sz w:val="24"/>
          <w:lang w:val="en-US"/>
        </w:rPr>
      </w:pPr>
      <w:r w:rsidRPr="00AC3F80">
        <w:rPr>
          <w:rFonts w:ascii="Arial" w:eastAsia="Calibri" w:hAnsi="Arial" w:cs="Times New Roman"/>
          <w:sz w:val="24"/>
          <w:lang w:val="en-US"/>
        </w:rPr>
        <w:t>Niagara-on-the-Lake Hydro tested the new process by comparing the results to those achieved using the template issued by the OEB and the differences were not material. Please explain what the differences were due to.</w:t>
      </w:r>
    </w:p>
    <w:p w:rsidR="00C32FB5" w:rsidRDefault="00C32FB5" w:rsidP="00C32FB5">
      <w:pPr>
        <w:rPr>
          <w:rFonts w:ascii="Arial" w:hAnsi="Arial" w:cs="Arial"/>
          <w:b/>
          <w:color w:val="365F91" w:themeColor="accent1" w:themeShade="BF"/>
          <w:sz w:val="24"/>
          <w:szCs w:val="24"/>
          <w:u w:val="single"/>
        </w:rPr>
      </w:pPr>
    </w:p>
    <w:p w:rsidR="00C32FB5" w:rsidRPr="004F17BB" w:rsidRDefault="00C32FB5" w:rsidP="00C32FB5">
      <w:pPr>
        <w:rPr>
          <w:rFonts w:ascii="Arial" w:hAnsi="Arial" w:cs="Arial"/>
          <w:b/>
          <w:color w:val="365F91" w:themeColor="accent1" w:themeShade="BF"/>
          <w:sz w:val="24"/>
          <w:szCs w:val="24"/>
          <w:u w:val="single"/>
        </w:rPr>
      </w:pPr>
      <w:r w:rsidRPr="004F17BB">
        <w:rPr>
          <w:rFonts w:ascii="Arial" w:hAnsi="Arial" w:cs="Arial"/>
          <w:b/>
          <w:color w:val="365F91" w:themeColor="accent1" w:themeShade="BF"/>
          <w:sz w:val="24"/>
          <w:szCs w:val="24"/>
          <w:u w:val="single"/>
        </w:rPr>
        <w:t>NOTL Hydro Response</w:t>
      </w:r>
    </w:p>
    <w:p w:rsidR="00AC3F80" w:rsidRDefault="00C32FB5" w:rsidP="00C32FB5">
      <w:pPr>
        <w:contextualSpacing/>
        <w:rPr>
          <w:rFonts w:ascii="Arial" w:eastAsia="Calibri" w:hAnsi="Arial" w:cs="Times New Roman"/>
          <w:sz w:val="24"/>
          <w:lang w:val="en-US"/>
        </w:rPr>
      </w:pPr>
      <w:r>
        <w:rPr>
          <w:rFonts w:ascii="Arial" w:eastAsia="Calibri" w:hAnsi="Arial" w:cs="Times New Roman"/>
          <w:bCs/>
          <w:color w:val="365F91" w:themeColor="accent1" w:themeShade="BF"/>
          <w:sz w:val="24"/>
          <w:lang w:val="en-US"/>
        </w:rPr>
        <w:t>NOTL Hydro compared results from the new process to the results from the OEB template for April 2019.  The end result was a difference of $384 or 0.07% in the initial settlement amount and a difference of $766 or 0.16% in the final settlement calculation.  Due to the insignificant amount of the variance NOTL Hydro did not investigate to determine the differences.</w:t>
      </w:r>
    </w:p>
    <w:p w:rsidR="004134EF" w:rsidRPr="00AC3F80" w:rsidRDefault="004134EF" w:rsidP="00AC3F80">
      <w:pPr>
        <w:contextualSpacing/>
        <w:rPr>
          <w:rFonts w:ascii="Arial" w:eastAsia="Calibri" w:hAnsi="Arial" w:cs="Times New Roman"/>
          <w:sz w:val="24"/>
          <w:lang w:val="en-US"/>
        </w:rPr>
      </w:pPr>
    </w:p>
    <w:p w:rsidR="00AC3F80" w:rsidRDefault="00AC3F80" w:rsidP="00AC3F80">
      <w:pPr>
        <w:spacing w:after="0"/>
        <w:rPr>
          <w:rFonts w:ascii="Arial" w:eastAsia="Calibri" w:hAnsi="Arial" w:cs="Times New Roman"/>
          <w:b/>
          <w:sz w:val="24"/>
          <w:lang w:val="en-US"/>
        </w:rPr>
      </w:pPr>
      <w:r>
        <w:rPr>
          <w:rFonts w:ascii="Arial" w:hAnsi="Arial" w:cs="Arial"/>
          <w:b/>
          <w:sz w:val="24"/>
          <w:szCs w:val="24"/>
        </w:rPr>
        <w:t>Staff Question-8</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Ref: Manager’s Summary, page 40</w:t>
      </w:r>
    </w:p>
    <w:p w:rsidR="00AC3F80" w:rsidRPr="00AC3F80" w:rsidRDefault="00AC3F80" w:rsidP="00AC3F80">
      <w:pPr>
        <w:contextualSpacing/>
        <w:rPr>
          <w:rFonts w:ascii="Arial" w:eastAsia="Calibri" w:hAnsi="Arial" w:cs="Times New Roman"/>
          <w:sz w:val="24"/>
          <w:lang w:val="en-US"/>
        </w:rPr>
      </w:pPr>
      <w:r w:rsidRPr="00AC3F80">
        <w:rPr>
          <w:rFonts w:ascii="Arial" w:eastAsia="Calibri" w:hAnsi="Arial" w:cs="Times New Roman"/>
          <w:sz w:val="24"/>
          <w:lang w:val="en-US"/>
        </w:rPr>
        <w:t xml:space="preserve">Niagara-on-the-Lake Hydro has considered the new accounting guidance for 2017 and 2018 balances and confirms there are no systemic issues with the account balances. </w:t>
      </w:r>
      <w:r w:rsidRPr="00AC3F80">
        <w:rPr>
          <w:rFonts w:ascii="Arial" w:eastAsia="Calibri" w:hAnsi="Arial" w:cs="Arial"/>
          <w:sz w:val="24"/>
          <w:lang w:val="en-US"/>
        </w:rPr>
        <w:t>Please provide further details on the review that was completed, and any summary reports available (e.g. how the review was done).</w:t>
      </w:r>
    </w:p>
    <w:p w:rsidR="00AC3F80" w:rsidRDefault="00AC3F80" w:rsidP="00AC3F80">
      <w:pPr>
        <w:contextualSpacing/>
        <w:rPr>
          <w:rFonts w:ascii="Arial" w:eastAsia="Calibri" w:hAnsi="Arial" w:cs="Times New Roman"/>
          <w:sz w:val="24"/>
          <w:lang w:val="en-US"/>
        </w:rPr>
      </w:pPr>
    </w:p>
    <w:p w:rsidR="00C32FB5" w:rsidRPr="004F17BB" w:rsidRDefault="00C32FB5" w:rsidP="00C32FB5">
      <w:pPr>
        <w:rPr>
          <w:rFonts w:ascii="Arial" w:hAnsi="Arial" w:cs="Arial"/>
          <w:b/>
          <w:color w:val="365F91" w:themeColor="accent1" w:themeShade="BF"/>
          <w:sz w:val="24"/>
          <w:szCs w:val="24"/>
          <w:u w:val="single"/>
        </w:rPr>
      </w:pPr>
      <w:r w:rsidRPr="004F17BB">
        <w:rPr>
          <w:rFonts w:ascii="Arial" w:hAnsi="Arial" w:cs="Arial"/>
          <w:b/>
          <w:color w:val="365F91" w:themeColor="accent1" w:themeShade="BF"/>
          <w:sz w:val="24"/>
          <w:szCs w:val="24"/>
          <w:u w:val="single"/>
        </w:rPr>
        <w:t>NOTL Hydro Response</w:t>
      </w:r>
    </w:p>
    <w:p w:rsidR="00B76207" w:rsidRDefault="00C32FB5" w:rsidP="00C32FB5">
      <w:pPr>
        <w:contextualSpacing/>
        <w:rPr>
          <w:rFonts w:ascii="Arial" w:eastAsia="Calibri" w:hAnsi="Arial" w:cs="Times New Roman"/>
          <w:bCs/>
          <w:color w:val="365F91" w:themeColor="accent1" w:themeShade="BF"/>
          <w:sz w:val="24"/>
          <w:lang w:val="en-US"/>
        </w:rPr>
      </w:pPr>
      <w:r>
        <w:rPr>
          <w:rFonts w:ascii="Arial" w:eastAsia="Calibri" w:hAnsi="Arial" w:cs="Times New Roman"/>
          <w:bCs/>
          <w:color w:val="365F91" w:themeColor="accent1" w:themeShade="BF"/>
          <w:sz w:val="24"/>
          <w:lang w:val="en-US"/>
        </w:rPr>
        <w:t xml:space="preserve">NOTL Hydro is confident that </w:t>
      </w:r>
      <w:r w:rsidR="003E230C">
        <w:rPr>
          <w:rFonts w:ascii="Arial" w:eastAsia="Calibri" w:hAnsi="Arial" w:cs="Times New Roman"/>
          <w:bCs/>
          <w:color w:val="365F91" w:themeColor="accent1" w:themeShade="BF"/>
          <w:sz w:val="24"/>
          <w:lang w:val="en-US"/>
        </w:rPr>
        <w:t>there are no systemic issues with the account balances b</w:t>
      </w:r>
      <w:r>
        <w:rPr>
          <w:rFonts w:ascii="Arial" w:eastAsia="Calibri" w:hAnsi="Arial" w:cs="Times New Roman"/>
          <w:bCs/>
          <w:color w:val="365F91" w:themeColor="accent1" w:themeShade="BF"/>
          <w:sz w:val="24"/>
          <w:lang w:val="en-US"/>
        </w:rPr>
        <w:t>ased on the data available for 2017 and 2018.</w:t>
      </w:r>
      <w:r w:rsidR="00410E40">
        <w:rPr>
          <w:rFonts w:ascii="Arial" w:eastAsia="Calibri" w:hAnsi="Arial" w:cs="Times New Roman"/>
          <w:bCs/>
          <w:color w:val="365F91" w:themeColor="accent1" w:themeShade="BF"/>
          <w:sz w:val="24"/>
          <w:lang w:val="en-US"/>
        </w:rPr>
        <w:t xml:space="preserve">  The process used to true-up accounts in those years was based on actual data for RPP customers</w:t>
      </w:r>
      <w:r w:rsidR="003E230C">
        <w:rPr>
          <w:rFonts w:ascii="Arial" w:eastAsia="Calibri" w:hAnsi="Arial" w:cs="Times New Roman"/>
          <w:bCs/>
          <w:color w:val="365F91" w:themeColor="accent1" w:themeShade="BF"/>
          <w:sz w:val="24"/>
          <w:lang w:val="en-US"/>
        </w:rPr>
        <w:t xml:space="preserve"> from the billing system</w:t>
      </w:r>
      <w:r w:rsidR="00410E40">
        <w:rPr>
          <w:rFonts w:ascii="Arial" w:eastAsia="Calibri" w:hAnsi="Arial" w:cs="Times New Roman"/>
          <w:bCs/>
          <w:color w:val="365F91" w:themeColor="accent1" w:themeShade="BF"/>
          <w:sz w:val="24"/>
          <w:lang w:val="en-US"/>
        </w:rPr>
        <w:t xml:space="preserve">.  In cases where the bill dates were not for a calendar month (final bills, first bills, manual read meters) the consumption by month was prorated based on the number of days in each month during the billing period.  The true-ups were based on actual RPP </w:t>
      </w:r>
      <w:r w:rsidR="003E230C">
        <w:rPr>
          <w:rFonts w:ascii="Arial" w:eastAsia="Calibri" w:hAnsi="Arial" w:cs="Times New Roman"/>
          <w:bCs/>
          <w:color w:val="365F91" w:themeColor="accent1" w:themeShade="BF"/>
          <w:sz w:val="24"/>
          <w:lang w:val="en-US"/>
        </w:rPr>
        <w:t>prices, Weighted</w:t>
      </w:r>
      <w:r w:rsidR="00410E40">
        <w:rPr>
          <w:rFonts w:ascii="Arial" w:eastAsia="Calibri" w:hAnsi="Arial" w:cs="Times New Roman"/>
          <w:bCs/>
          <w:color w:val="365F91" w:themeColor="accent1" w:themeShade="BF"/>
          <w:sz w:val="24"/>
          <w:lang w:val="en-US"/>
        </w:rPr>
        <w:t xml:space="preserve"> Average Price (WAP) and GA rate.  </w:t>
      </w:r>
    </w:p>
    <w:p w:rsidR="00B76207" w:rsidRDefault="00124C92" w:rsidP="00C32FB5">
      <w:pPr>
        <w:contextualSpacing/>
        <w:rPr>
          <w:rFonts w:ascii="Arial" w:eastAsia="Calibri" w:hAnsi="Arial" w:cs="Times New Roman"/>
          <w:sz w:val="24"/>
          <w:lang w:val="en-US"/>
        </w:rPr>
      </w:pPr>
      <w:r>
        <w:rPr>
          <w:rFonts w:ascii="Arial" w:eastAsia="Calibri" w:hAnsi="Arial" w:cs="Times New Roman"/>
          <w:bCs/>
          <w:color w:val="365F91" w:themeColor="accent1" w:themeShade="BF"/>
          <w:sz w:val="24"/>
          <w:lang w:val="en-US"/>
        </w:rPr>
        <w:t>The only difference identified between th</w:t>
      </w:r>
      <w:r w:rsidR="003E230C">
        <w:rPr>
          <w:rFonts w:ascii="Arial" w:eastAsia="Calibri" w:hAnsi="Arial" w:cs="Times New Roman"/>
          <w:bCs/>
          <w:color w:val="365F91" w:themeColor="accent1" w:themeShade="BF"/>
          <w:sz w:val="24"/>
          <w:lang w:val="en-US"/>
        </w:rPr>
        <w:t>e 2017 and 2018</w:t>
      </w:r>
      <w:r>
        <w:rPr>
          <w:rFonts w:ascii="Arial" w:eastAsia="Calibri" w:hAnsi="Arial" w:cs="Times New Roman"/>
          <w:bCs/>
          <w:color w:val="365F91" w:themeColor="accent1" w:themeShade="BF"/>
          <w:sz w:val="24"/>
          <w:lang w:val="en-US"/>
        </w:rPr>
        <w:t xml:space="preserve"> true-ups and the revised method adopted by NOTL Hydro was the allocation of the difference between actual losses and approved losses.</w:t>
      </w:r>
      <w:r w:rsidR="00B76207">
        <w:rPr>
          <w:rFonts w:ascii="Arial" w:eastAsia="Calibri" w:hAnsi="Arial" w:cs="Times New Roman"/>
          <w:bCs/>
          <w:color w:val="365F91" w:themeColor="accent1" w:themeShade="BF"/>
          <w:sz w:val="24"/>
          <w:lang w:val="en-US"/>
        </w:rPr>
        <w:t xml:space="preserve">  The impact to account</w:t>
      </w:r>
      <w:r w:rsidR="003E230C">
        <w:rPr>
          <w:rFonts w:ascii="Arial" w:eastAsia="Calibri" w:hAnsi="Arial" w:cs="Times New Roman"/>
          <w:bCs/>
          <w:color w:val="365F91" w:themeColor="accent1" w:themeShade="BF"/>
          <w:sz w:val="24"/>
          <w:lang w:val="en-US"/>
        </w:rPr>
        <w:t>s</w:t>
      </w:r>
      <w:r w:rsidR="00B76207">
        <w:rPr>
          <w:rFonts w:ascii="Arial" w:eastAsia="Calibri" w:hAnsi="Arial" w:cs="Times New Roman"/>
          <w:bCs/>
          <w:color w:val="365F91" w:themeColor="accent1" w:themeShade="BF"/>
          <w:sz w:val="24"/>
          <w:lang w:val="en-US"/>
        </w:rPr>
        <w:t xml:space="preserve"> 1588 and 1589 was $39k for 2017 and $8k for 2018.  </w:t>
      </w:r>
      <w:r w:rsidR="00CF3E43">
        <w:rPr>
          <w:rFonts w:ascii="Arial" w:eastAsia="Calibri" w:hAnsi="Arial" w:cs="Times New Roman"/>
          <w:bCs/>
          <w:color w:val="365F91" w:themeColor="accent1" w:themeShade="BF"/>
          <w:sz w:val="24"/>
          <w:lang w:val="en-US"/>
        </w:rPr>
        <w:t xml:space="preserve">The combined impact to account 1588 for both years is approximately $47k.  </w:t>
      </w:r>
      <w:r w:rsidR="003E230C">
        <w:rPr>
          <w:rFonts w:ascii="Arial" w:eastAsia="Calibri" w:hAnsi="Arial" w:cs="Times New Roman"/>
          <w:bCs/>
          <w:color w:val="365F91" w:themeColor="accent1" w:themeShade="BF"/>
          <w:sz w:val="24"/>
          <w:lang w:val="en-US"/>
        </w:rPr>
        <w:lastRenderedPageBreak/>
        <w:t>Since, a</w:t>
      </w:r>
      <w:r w:rsidR="00CF3E43">
        <w:rPr>
          <w:rFonts w:ascii="Arial" w:eastAsia="Calibri" w:hAnsi="Arial" w:cs="Times New Roman"/>
          <w:bCs/>
          <w:color w:val="365F91" w:themeColor="accent1" w:themeShade="BF"/>
          <w:sz w:val="24"/>
          <w:lang w:val="en-US"/>
        </w:rPr>
        <w:t xml:space="preserve">ccount 1588 is recovered/returned from all </w:t>
      </w:r>
      <w:r w:rsidR="003E230C">
        <w:rPr>
          <w:rFonts w:ascii="Arial" w:eastAsia="Calibri" w:hAnsi="Arial" w:cs="Times New Roman"/>
          <w:bCs/>
          <w:color w:val="365F91" w:themeColor="accent1" w:themeShade="BF"/>
          <w:sz w:val="24"/>
          <w:lang w:val="en-US"/>
        </w:rPr>
        <w:t>customers, the</w:t>
      </w:r>
      <w:r w:rsidR="00CF3E43">
        <w:rPr>
          <w:rFonts w:ascii="Arial" w:eastAsia="Calibri" w:hAnsi="Arial" w:cs="Times New Roman"/>
          <w:bCs/>
          <w:color w:val="365F91" w:themeColor="accent1" w:themeShade="BF"/>
          <w:sz w:val="24"/>
          <w:lang w:val="en-US"/>
        </w:rPr>
        <w:t xml:space="preserve"> estimated split would be approximately 60% RPP and 40% non-RPP, therefore the net impact to RPP and non-RPP customers would be approximately 60% x $47k or $28k.  </w:t>
      </w:r>
      <w:r w:rsidR="00B76207">
        <w:rPr>
          <w:rFonts w:ascii="Arial" w:eastAsia="Calibri" w:hAnsi="Arial" w:cs="Times New Roman"/>
          <w:bCs/>
          <w:color w:val="365F91" w:themeColor="accent1" w:themeShade="BF"/>
          <w:sz w:val="24"/>
          <w:lang w:val="en-US"/>
        </w:rPr>
        <w:t xml:space="preserve">The annual amounts as well as the combined amount are less than NOTL Hydro’s materiality threshold of $50k.  The total GA for Class B customers was </w:t>
      </w:r>
      <w:r w:rsidR="00A41EE4">
        <w:rPr>
          <w:rFonts w:ascii="Arial" w:eastAsia="Calibri" w:hAnsi="Arial" w:cs="Times New Roman"/>
          <w:bCs/>
          <w:color w:val="365F91" w:themeColor="accent1" w:themeShade="BF"/>
          <w:sz w:val="24"/>
          <w:lang w:val="en-US"/>
        </w:rPr>
        <w:t>$20.6m in 2017 and $18.7m in 2018.</w:t>
      </w:r>
    </w:p>
    <w:p w:rsidR="00C32FB5" w:rsidRPr="00AC3F80" w:rsidRDefault="00C32FB5" w:rsidP="00AC3F80">
      <w:pPr>
        <w:contextualSpacing/>
        <w:rPr>
          <w:rFonts w:ascii="Arial" w:eastAsia="Calibri" w:hAnsi="Arial" w:cs="Times New Roman"/>
          <w:sz w:val="24"/>
          <w:lang w:val="en-US"/>
        </w:rPr>
      </w:pPr>
    </w:p>
    <w:p w:rsidR="00AC3F80" w:rsidRPr="00AC3F80" w:rsidRDefault="00AC3F80" w:rsidP="00AC3F80">
      <w:pPr>
        <w:rPr>
          <w:rFonts w:ascii="Arial" w:hAnsi="Arial" w:cs="Arial"/>
          <w:sz w:val="24"/>
          <w:szCs w:val="24"/>
        </w:rPr>
      </w:pPr>
      <w:bookmarkStart w:id="0" w:name="_GoBack"/>
      <w:bookmarkEnd w:id="0"/>
    </w:p>
    <w:sectPr w:rsidR="00AC3F80" w:rsidRPr="00AC3F80" w:rsidSect="00EA0919">
      <w:headerReference w:type="default" r:id="rId10"/>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28D" w:rsidRDefault="001A728D" w:rsidP="001A728D">
      <w:pPr>
        <w:spacing w:after="0" w:line="240" w:lineRule="auto"/>
      </w:pPr>
      <w:r>
        <w:separator/>
      </w:r>
    </w:p>
  </w:endnote>
  <w:endnote w:type="continuationSeparator" w:id="0">
    <w:p w:rsidR="001A728D" w:rsidRDefault="001A728D" w:rsidP="001A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211800"/>
      <w:docPartObj>
        <w:docPartGallery w:val="Page Numbers (Bottom of Page)"/>
        <w:docPartUnique/>
      </w:docPartObj>
    </w:sdtPr>
    <w:sdtEndPr>
      <w:rPr>
        <w:noProof/>
      </w:rPr>
    </w:sdtEndPr>
    <w:sdtContent>
      <w:p w:rsidR="0059172B" w:rsidRDefault="0059172B">
        <w:pPr>
          <w:pStyle w:val="Footer"/>
          <w:jc w:val="center"/>
        </w:pPr>
        <w:r>
          <w:fldChar w:fldCharType="begin"/>
        </w:r>
        <w:r>
          <w:instrText xml:space="preserve"> PAGE   \* MERGEFORMAT </w:instrText>
        </w:r>
        <w:r>
          <w:fldChar w:fldCharType="separate"/>
        </w:r>
        <w:r w:rsidR="00D84222">
          <w:rPr>
            <w:noProof/>
          </w:rPr>
          <w:t>3</w:t>
        </w:r>
        <w:r>
          <w:rPr>
            <w:noProof/>
          </w:rPr>
          <w:fldChar w:fldCharType="end"/>
        </w:r>
      </w:p>
    </w:sdtContent>
  </w:sdt>
  <w:p w:rsidR="0059172B" w:rsidRDefault="0059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28D" w:rsidRDefault="001A728D" w:rsidP="001A728D">
      <w:pPr>
        <w:spacing w:after="0" w:line="240" w:lineRule="auto"/>
      </w:pPr>
      <w:r>
        <w:separator/>
      </w:r>
    </w:p>
  </w:footnote>
  <w:footnote w:type="continuationSeparator" w:id="0">
    <w:p w:rsidR="001A728D" w:rsidRDefault="001A728D" w:rsidP="001A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72B" w:rsidRDefault="001A728D">
    <w:pPr>
      <w:pStyle w:val="Header"/>
      <w:rPr>
        <w:rFonts w:ascii="Arial" w:hAnsi="Arial" w:cs="Arial"/>
        <w:bCs/>
      </w:rPr>
    </w:pPr>
    <w:r>
      <w:ptab w:relativeTo="margin" w:alignment="center" w:leader="none"/>
    </w:r>
    <w:r>
      <w:ptab w:relativeTo="margin" w:alignment="right" w:leader="none"/>
    </w:r>
    <w:r w:rsidRPr="001A728D">
      <w:rPr>
        <w:rFonts w:ascii="Arial" w:hAnsi="Arial" w:cs="Arial"/>
        <w:bCs/>
      </w:rPr>
      <w:t>Niagara-on-the-Lake Hydro Inc.</w:t>
    </w:r>
    <w:r>
      <w:rPr>
        <w:rFonts w:ascii="Arial" w:hAnsi="Arial" w:cs="Arial"/>
        <w:bCs/>
      </w:rPr>
      <w:t xml:space="preserve">  </w:t>
    </w:r>
  </w:p>
  <w:p w:rsidR="0059172B" w:rsidRPr="0059172B" w:rsidRDefault="0059172B">
    <w:pPr>
      <w:pStyle w:val="Header"/>
      <w:rPr>
        <w:rFonts w:ascii="Arial" w:hAnsi="Arial" w:cs="Arial"/>
      </w:rPr>
    </w:pPr>
    <w:r>
      <w:rPr>
        <w:rFonts w:ascii="Arial" w:hAnsi="Arial" w:cs="Arial"/>
        <w:bCs/>
      </w:rPr>
      <w:tab/>
    </w:r>
    <w:r>
      <w:rPr>
        <w:rFonts w:ascii="Arial" w:hAnsi="Arial" w:cs="Arial"/>
        <w:bCs/>
      </w:rPr>
      <w:tab/>
    </w:r>
    <w:r w:rsidR="001A728D" w:rsidRPr="0059172B">
      <w:rPr>
        <w:rFonts w:ascii="Arial" w:hAnsi="Arial" w:cs="Arial"/>
      </w:rPr>
      <w:t xml:space="preserve">OEB Staff Questions </w:t>
    </w:r>
  </w:p>
  <w:p w:rsidR="001A728D" w:rsidRDefault="0059172B">
    <w:pPr>
      <w:pStyle w:val="Header"/>
    </w:pPr>
    <w:r w:rsidRPr="0059172B">
      <w:rPr>
        <w:rFonts w:ascii="Arial" w:hAnsi="Arial" w:cs="Arial"/>
      </w:rPr>
      <w:tab/>
    </w:r>
    <w:r w:rsidRPr="0059172B">
      <w:rPr>
        <w:rFonts w:ascii="Arial" w:hAnsi="Arial" w:cs="Arial"/>
      </w:rPr>
      <w:tab/>
    </w:r>
    <w:r w:rsidR="001A728D" w:rsidRPr="0059172B">
      <w:rPr>
        <w:rFonts w:ascii="Arial" w:hAnsi="Arial" w:cs="Arial"/>
      </w:rPr>
      <w:t xml:space="preserve">EB-2019-0056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A756FD"/>
    <w:multiLevelType w:val="hybridMultilevel"/>
    <w:tmpl w:val="648837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AAF707D"/>
    <w:multiLevelType w:val="hybridMultilevel"/>
    <w:tmpl w:val="52A86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E85CE8"/>
    <w:multiLevelType w:val="hybridMultilevel"/>
    <w:tmpl w:val="272C1958"/>
    <w:lvl w:ilvl="0" w:tplc="BB14A3F6">
      <w:start w:val="1"/>
      <w:numFmt w:val="lowerLetter"/>
      <w:lvlText w:val="%1)"/>
      <w:lvlJc w:val="left"/>
      <w:pPr>
        <w:ind w:left="720" w:hanging="360"/>
      </w:pPr>
      <w:rPr>
        <w:rFonts w:hint="default"/>
        <w:b w:val="0"/>
        <w:bCs/>
        <w:color w:val="365F91" w:themeColor="accent1"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8C4B29"/>
    <w:multiLevelType w:val="hybridMultilevel"/>
    <w:tmpl w:val="9198016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EE469A3"/>
    <w:multiLevelType w:val="hybridMultilevel"/>
    <w:tmpl w:val="A41EAEA8"/>
    <w:lvl w:ilvl="0" w:tplc="BB14A3F6">
      <w:start w:val="1"/>
      <w:numFmt w:val="lowerLetter"/>
      <w:lvlText w:val="%1)"/>
      <w:lvlJc w:val="left"/>
      <w:pPr>
        <w:ind w:left="720" w:hanging="360"/>
      </w:pPr>
      <w:rPr>
        <w:rFonts w:hint="default"/>
        <w:b w:val="0"/>
        <w:bCs/>
        <w:color w:val="365F91" w:themeColor="accent1"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968679B"/>
    <w:multiLevelType w:val="hybridMultilevel"/>
    <w:tmpl w:val="CA20A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3D62B5"/>
    <w:multiLevelType w:val="hybridMultilevel"/>
    <w:tmpl w:val="52A86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6184FE1"/>
    <w:multiLevelType w:val="hybridMultilevel"/>
    <w:tmpl w:val="0C70A09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A207E"/>
    <w:multiLevelType w:val="hybridMultilevel"/>
    <w:tmpl w:val="6D48DA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7"/>
  </w:num>
  <w:num w:numId="3">
    <w:abstractNumId w:val="25"/>
  </w:num>
  <w:num w:numId="4">
    <w:abstractNumId w:val="35"/>
  </w:num>
  <w:num w:numId="5">
    <w:abstractNumId w:val="15"/>
  </w:num>
  <w:num w:numId="6">
    <w:abstractNumId w:val="11"/>
  </w:num>
  <w:num w:numId="7">
    <w:abstractNumId w:val="21"/>
  </w:num>
  <w:num w:numId="8">
    <w:abstractNumId w:val="16"/>
  </w:num>
  <w:num w:numId="9">
    <w:abstractNumId w:val="18"/>
  </w:num>
  <w:num w:numId="10">
    <w:abstractNumId w:val="5"/>
  </w:num>
  <w:num w:numId="11">
    <w:abstractNumId w:val="20"/>
  </w:num>
  <w:num w:numId="12">
    <w:abstractNumId w:val="27"/>
  </w:num>
  <w:num w:numId="13">
    <w:abstractNumId w:val="4"/>
  </w:num>
  <w:num w:numId="14">
    <w:abstractNumId w:val="1"/>
  </w:num>
  <w:num w:numId="15">
    <w:abstractNumId w:val="34"/>
  </w:num>
  <w:num w:numId="16">
    <w:abstractNumId w:val="8"/>
  </w:num>
  <w:num w:numId="17">
    <w:abstractNumId w:val="23"/>
  </w:num>
  <w:num w:numId="18">
    <w:abstractNumId w:val="30"/>
  </w:num>
  <w:num w:numId="19">
    <w:abstractNumId w:val="31"/>
  </w:num>
  <w:num w:numId="20">
    <w:abstractNumId w:val="14"/>
  </w:num>
  <w:num w:numId="21">
    <w:abstractNumId w:val="28"/>
  </w:num>
  <w:num w:numId="22">
    <w:abstractNumId w:val="12"/>
  </w:num>
  <w:num w:numId="23">
    <w:abstractNumId w:val="26"/>
  </w:num>
  <w:num w:numId="24">
    <w:abstractNumId w:val="24"/>
  </w:num>
  <w:num w:numId="25">
    <w:abstractNumId w:val="2"/>
  </w:num>
  <w:num w:numId="26">
    <w:abstractNumId w:val="19"/>
  </w:num>
  <w:num w:numId="27">
    <w:abstractNumId w:val="22"/>
  </w:num>
  <w:num w:numId="28">
    <w:abstractNumId w:val="29"/>
  </w:num>
  <w:num w:numId="29">
    <w:abstractNumId w:val="6"/>
  </w:num>
  <w:num w:numId="30">
    <w:abstractNumId w:val="32"/>
  </w:num>
  <w:num w:numId="31">
    <w:abstractNumId w:val="10"/>
  </w:num>
  <w:num w:numId="32">
    <w:abstractNumId w:val="17"/>
  </w:num>
  <w:num w:numId="33">
    <w:abstractNumId w:val="33"/>
  </w:num>
  <w:num w:numId="34">
    <w:abstractNumId w:val="3"/>
  </w:num>
  <w:num w:numId="35">
    <w:abstractNumId w:val="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24C92"/>
    <w:rsid w:val="00164E99"/>
    <w:rsid w:val="00180C86"/>
    <w:rsid w:val="00183CC8"/>
    <w:rsid w:val="00187E9B"/>
    <w:rsid w:val="001927C2"/>
    <w:rsid w:val="001A4DCD"/>
    <w:rsid w:val="001A728D"/>
    <w:rsid w:val="001F2FBE"/>
    <w:rsid w:val="00203092"/>
    <w:rsid w:val="002208C0"/>
    <w:rsid w:val="00224C06"/>
    <w:rsid w:val="0025687C"/>
    <w:rsid w:val="00274A48"/>
    <w:rsid w:val="00291CCC"/>
    <w:rsid w:val="002A6415"/>
    <w:rsid w:val="002B7B7C"/>
    <w:rsid w:val="002C2BF2"/>
    <w:rsid w:val="002C7EF6"/>
    <w:rsid w:val="002F4756"/>
    <w:rsid w:val="00302509"/>
    <w:rsid w:val="003049C5"/>
    <w:rsid w:val="00340C00"/>
    <w:rsid w:val="00365C34"/>
    <w:rsid w:val="003702D1"/>
    <w:rsid w:val="00373FAD"/>
    <w:rsid w:val="003777B5"/>
    <w:rsid w:val="003832E7"/>
    <w:rsid w:val="003A20A0"/>
    <w:rsid w:val="003A58B0"/>
    <w:rsid w:val="003E230C"/>
    <w:rsid w:val="00400DFC"/>
    <w:rsid w:val="00410E40"/>
    <w:rsid w:val="00412DC6"/>
    <w:rsid w:val="004134EF"/>
    <w:rsid w:val="004377B0"/>
    <w:rsid w:val="00472C81"/>
    <w:rsid w:val="00475032"/>
    <w:rsid w:val="004859EF"/>
    <w:rsid w:val="004F17BB"/>
    <w:rsid w:val="005164F5"/>
    <w:rsid w:val="0052560F"/>
    <w:rsid w:val="005666F2"/>
    <w:rsid w:val="00572064"/>
    <w:rsid w:val="00584369"/>
    <w:rsid w:val="00587A35"/>
    <w:rsid w:val="0059172B"/>
    <w:rsid w:val="00592D50"/>
    <w:rsid w:val="005F4693"/>
    <w:rsid w:val="006321A3"/>
    <w:rsid w:val="0064279A"/>
    <w:rsid w:val="00651C98"/>
    <w:rsid w:val="006A5D23"/>
    <w:rsid w:val="006D07B7"/>
    <w:rsid w:val="006E3D58"/>
    <w:rsid w:val="006F4FBD"/>
    <w:rsid w:val="00704EE5"/>
    <w:rsid w:val="007066E2"/>
    <w:rsid w:val="00722640"/>
    <w:rsid w:val="0073197E"/>
    <w:rsid w:val="00746080"/>
    <w:rsid w:val="00772B57"/>
    <w:rsid w:val="00781D04"/>
    <w:rsid w:val="007C2D45"/>
    <w:rsid w:val="007F49EB"/>
    <w:rsid w:val="00805FDA"/>
    <w:rsid w:val="00812C1B"/>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75348"/>
    <w:rsid w:val="009A5C44"/>
    <w:rsid w:val="009B03AF"/>
    <w:rsid w:val="009C4216"/>
    <w:rsid w:val="009D5F4B"/>
    <w:rsid w:val="009E626E"/>
    <w:rsid w:val="009E760C"/>
    <w:rsid w:val="009E7CBF"/>
    <w:rsid w:val="00A07077"/>
    <w:rsid w:val="00A41EE4"/>
    <w:rsid w:val="00A50DD0"/>
    <w:rsid w:val="00A516B0"/>
    <w:rsid w:val="00A5620A"/>
    <w:rsid w:val="00AA06D9"/>
    <w:rsid w:val="00AC2406"/>
    <w:rsid w:val="00AC3F80"/>
    <w:rsid w:val="00AD3FCF"/>
    <w:rsid w:val="00B03802"/>
    <w:rsid w:val="00B04BFB"/>
    <w:rsid w:val="00B069AA"/>
    <w:rsid w:val="00B23A36"/>
    <w:rsid w:val="00B25576"/>
    <w:rsid w:val="00B25EF5"/>
    <w:rsid w:val="00B44FCD"/>
    <w:rsid w:val="00B50EB2"/>
    <w:rsid w:val="00B6722A"/>
    <w:rsid w:val="00B76207"/>
    <w:rsid w:val="00B82D78"/>
    <w:rsid w:val="00BA434C"/>
    <w:rsid w:val="00BD4F65"/>
    <w:rsid w:val="00C06F9E"/>
    <w:rsid w:val="00C13E6B"/>
    <w:rsid w:val="00C2370B"/>
    <w:rsid w:val="00C32FB5"/>
    <w:rsid w:val="00C624D5"/>
    <w:rsid w:val="00C848A0"/>
    <w:rsid w:val="00C878C5"/>
    <w:rsid w:val="00C96AEA"/>
    <w:rsid w:val="00CC0B6D"/>
    <w:rsid w:val="00CC0EF2"/>
    <w:rsid w:val="00CC48D2"/>
    <w:rsid w:val="00CE0AD7"/>
    <w:rsid w:val="00CE1CD3"/>
    <w:rsid w:val="00CE4F01"/>
    <w:rsid w:val="00CF3E43"/>
    <w:rsid w:val="00D269AC"/>
    <w:rsid w:val="00D3742A"/>
    <w:rsid w:val="00D55546"/>
    <w:rsid w:val="00D6213C"/>
    <w:rsid w:val="00D647C0"/>
    <w:rsid w:val="00D75F41"/>
    <w:rsid w:val="00D77694"/>
    <w:rsid w:val="00D77B0F"/>
    <w:rsid w:val="00D84222"/>
    <w:rsid w:val="00DB6B52"/>
    <w:rsid w:val="00DE5488"/>
    <w:rsid w:val="00DE75AC"/>
    <w:rsid w:val="00DF5A52"/>
    <w:rsid w:val="00E17C58"/>
    <w:rsid w:val="00E231C2"/>
    <w:rsid w:val="00E429DA"/>
    <w:rsid w:val="00E62C2A"/>
    <w:rsid w:val="00E8586E"/>
    <w:rsid w:val="00E96A06"/>
    <w:rsid w:val="00EA0919"/>
    <w:rsid w:val="00EB5240"/>
    <w:rsid w:val="00EC0B55"/>
    <w:rsid w:val="00F034BF"/>
    <w:rsid w:val="00F233A3"/>
    <w:rsid w:val="00F26D30"/>
    <w:rsid w:val="00F57152"/>
    <w:rsid w:val="00F7362C"/>
    <w:rsid w:val="00F92F61"/>
    <w:rsid w:val="00FB6F10"/>
    <w:rsid w:val="00FC4CF8"/>
    <w:rsid w:val="00FC5DA7"/>
    <w:rsid w:val="00FE74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9730"/>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0FDB1-12EE-4DFA-85E8-39C77B3E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Jeff Klassen</cp:lastModifiedBy>
  <cp:revision>6</cp:revision>
  <cp:lastPrinted>2019-11-28T18:13:00Z</cp:lastPrinted>
  <dcterms:created xsi:type="dcterms:W3CDTF">2019-11-25T16:30:00Z</dcterms:created>
  <dcterms:modified xsi:type="dcterms:W3CDTF">2019-11-28T18:53:00Z</dcterms:modified>
</cp:coreProperties>
</file>