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94E" w:rsidRPr="00151E3B" w:rsidRDefault="0045294E" w:rsidP="0045294E">
      <w:pPr>
        <w:pStyle w:val="Default"/>
        <w:jc w:val="center"/>
        <w:rPr>
          <w:rFonts w:ascii="Arial" w:hAnsi="Arial" w:cs="Arial"/>
          <w:szCs w:val="28"/>
        </w:rPr>
      </w:pPr>
      <w:r w:rsidRPr="00151E3B">
        <w:rPr>
          <w:rFonts w:ascii="Arial" w:hAnsi="Arial" w:cs="Arial"/>
          <w:b/>
          <w:bCs/>
          <w:szCs w:val="28"/>
        </w:rPr>
        <w:t>Niagara-on-the-Lake Hydro Inc. (Niagara-on-the-Lake Hydro)</w:t>
      </w:r>
    </w:p>
    <w:p w:rsidR="0045294E" w:rsidRPr="00151E3B" w:rsidRDefault="0045294E" w:rsidP="0045294E">
      <w:pPr>
        <w:pStyle w:val="Default"/>
        <w:jc w:val="center"/>
        <w:rPr>
          <w:rFonts w:ascii="Arial" w:hAnsi="Arial" w:cs="Arial"/>
          <w:b/>
          <w:bCs/>
          <w:szCs w:val="28"/>
        </w:rPr>
      </w:pPr>
      <w:r w:rsidRPr="00151E3B">
        <w:rPr>
          <w:rFonts w:ascii="Arial" w:hAnsi="Arial" w:cs="Arial"/>
          <w:b/>
          <w:bCs/>
          <w:szCs w:val="28"/>
        </w:rPr>
        <w:t>EB-2019-0056</w:t>
      </w:r>
    </w:p>
    <w:p w:rsidR="0045294E" w:rsidRPr="00151E3B" w:rsidRDefault="0045294E" w:rsidP="0045294E">
      <w:pPr>
        <w:pStyle w:val="Default"/>
        <w:jc w:val="center"/>
        <w:rPr>
          <w:rFonts w:ascii="Arial" w:hAnsi="Arial" w:cs="Arial"/>
          <w:b/>
          <w:bCs/>
          <w:szCs w:val="28"/>
        </w:rPr>
      </w:pPr>
      <w:r w:rsidRPr="00151E3B">
        <w:rPr>
          <w:rFonts w:ascii="Arial" w:hAnsi="Arial" w:cs="Arial"/>
          <w:b/>
          <w:bCs/>
          <w:szCs w:val="28"/>
        </w:rPr>
        <w:t xml:space="preserve">OEB Staff </w:t>
      </w:r>
      <w:r w:rsidRPr="00151E3B">
        <w:rPr>
          <w:rFonts w:ascii="Arial" w:hAnsi="Arial" w:cs="Arial"/>
          <w:b/>
          <w:bCs/>
          <w:szCs w:val="28"/>
        </w:rPr>
        <w:t xml:space="preserve">Follow-up </w:t>
      </w:r>
      <w:r w:rsidRPr="00151E3B">
        <w:rPr>
          <w:rFonts w:ascii="Arial" w:hAnsi="Arial" w:cs="Arial"/>
          <w:b/>
          <w:bCs/>
          <w:szCs w:val="28"/>
        </w:rPr>
        <w:t>Questions</w:t>
      </w:r>
    </w:p>
    <w:p w:rsidR="0045294E" w:rsidRPr="00151E3B" w:rsidRDefault="0045294E" w:rsidP="0045294E">
      <w:pPr>
        <w:pStyle w:val="Default"/>
        <w:jc w:val="center"/>
        <w:rPr>
          <w:rFonts w:ascii="Arial" w:hAnsi="Arial" w:cs="Arial"/>
          <w:b/>
          <w:bCs/>
          <w:szCs w:val="28"/>
        </w:rPr>
      </w:pPr>
      <w:r w:rsidRPr="00151E3B">
        <w:rPr>
          <w:rFonts w:ascii="Arial" w:hAnsi="Arial" w:cs="Arial"/>
          <w:b/>
          <w:bCs/>
          <w:szCs w:val="28"/>
        </w:rPr>
        <w:t>December 9</w:t>
      </w:r>
      <w:r w:rsidRPr="00151E3B">
        <w:rPr>
          <w:rFonts w:ascii="Arial" w:hAnsi="Arial" w:cs="Arial"/>
          <w:b/>
          <w:bCs/>
          <w:szCs w:val="28"/>
        </w:rPr>
        <w:t>, 2019</w:t>
      </w:r>
    </w:p>
    <w:p w:rsidR="00793B22" w:rsidRDefault="00793B22">
      <w:pPr>
        <w:rPr>
          <w:b/>
          <w:u w:val="single"/>
        </w:rPr>
      </w:pPr>
    </w:p>
    <w:p w:rsidR="00151E3B" w:rsidRDefault="00151E3B" w:rsidP="00151E3B">
      <w:pPr>
        <w:spacing w:after="0"/>
        <w:rPr>
          <w:b/>
          <w:sz w:val="24"/>
        </w:rPr>
      </w:pPr>
      <w:r>
        <w:rPr>
          <w:b/>
          <w:sz w:val="24"/>
        </w:rPr>
        <w:t>Follow-up Question - 1</w:t>
      </w:r>
    </w:p>
    <w:p w:rsidR="00793B22" w:rsidRPr="00151E3B" w:rsidRDefault="00793B22">
      <w:pPr>
        <w:rPr>
          <w:b/>
          <w:sz w:val="24"/>
        </w:rPr>
      </w:pPr>
      <w:r w:rsidRPr="00151E3B">
        <w:rPr>
          <w:b/>
          <w:sz w:val="24"/>
        </w:rPr>
        <w:t>Ref: Staff Question – 4</w:t>
      </w:r>
    </w:p>
    <w:p w:rsidR="00793B22" w:rsidRPr="00151E3B" w:rsidRDefault="00793B22">
      <w:pPr>
        <w:rPr>
          <w:sz w:val="24"/>
        </w:rPr>
      </w:pPr>
      <w:r w:rsidRPr="00151E3B">
        <w:rPr>
          <w:sz w:val="24"/>
        </w:rPr>
        <w:t xml:space="preserve">Approach A and B produces the same end result, please explain why Niagara-on-the-Lake Hydro is choosing to deviate from the new accounting guidance by using approach B. </w:t>
      </w:r>
      <w:r w:rsidR="00656A44" w:rsidRPr="00151E3B">
        <w:rPr>
          <w:sz w:val="24"/>
        </w:rPr>
        <w:t>Please explain whether Niagara-on-the-Lake Hydro is planning on changing its approach to approach A.</w:t>
      </w:r>
      <w:bookmarkStart w:id="0" w:name="_GoBack"/>
      <w:bookmarkEnd w:id="0"/>
    </w:p>
    <w:p w:rsidR="00793B22" w:rsidRPr="00151E3B" w:rsidRDefault="00793B22">
      <w:pPr>
        <w:rPr>
          <w:sz w:val="24"/>
        </w:rPr>
      </w:pPr>
    </w:p>
    <w:p w:rsidR="00151E3B" w:rsidRDefault="00151E3B" w:rsidP="00151E3B">
      <w:pPr>
        <w:spacing w:after="0"/>
        <w:rPr>
          <w:b/>
          <w:sz w:val="24"/>
        </w:rPr>
      </w:pPr>
      <w:r>
        <w:rPr>
          <w:b/>
          <w:sz w:val="24"/>
        </w:rPr>
        <w:t xml:space="preserve">Follow-up Question - </w:t>
      </w:r>
      <w:r>
        <w:rPr>
          <w:b/>
          <w:sz w:val="24"/>
        </w:rPr>
        <w:t>2</w:t>
      </w:r>
    </w:p>
    <w:p w:rsidR="00D8463A" w:rsidRPr="00151E3B" w:rsidRDefault="00D8463A" w:rsidP="00D8463A">
      <w:pPr>
        <w:rPr>
          <w:b/>
          <w:sz w:val="24"/>
        </w:rPr>
      </w:pPr>
      <w:r w:rsidRPr="00151E3B">
        <w:rPr>
          <w:b/>
          <w:sz w:val="24"/>
        </w:rPr>
        <w:t>Ref: Staff Question – 5c</w:t>
      </w:r>
    </w:p>
    <w:p w:rsidR="00D8463A" w:rsidRPr="00151E3B" w:rsidRDefault="00D8463A" w:rsidP="00D8463A">
      <w:pPr>
        <w:rPr>
          <w:sz w:val="24"/>
        </w:rPr>
      </w:pPr>
      <w:r w:rsidRPr="00151E3B">
        <w:rPr>
          <w:sz w:val="24"/>
        </w:rPr>
        <w:t>The adjustment to settle estimated to actual embedded generation was recorded in Account 1589. Please explain why the entire amount is recorded in Account 1589.</w:t>
      </w:r>
    </w:p>
    <w:p w:rsidR="00D8463A" w:rsidRPr="00151E3B" w:rsidRDefault="00D8463A" w:rsidP="00D8463A">
      <w:pPr>
        <w:rPr>
          <w:sz w:val="24"/>
        </w:rPr>
      </w:pPr>
    </w:p>
    <w:p w:rsidR="00151E3B" w:rsidRDefault="00151E3B" w:rsidP="00151E3B">
      <w:pPr>
        <w:spacing w:after="0"/>
        <w:rPr>
          <w:b/>
          <w:sz w:val="24"/>
        </w:rPr>
      </w:pPr>
      <w:r>
        <w:rPr>
          <w:b/>
          <w:sz w:val="24"/>
        </w:rPr>
        <w:t xml:space="preserve">Follow-up Question - </w:t>
      </w:r>
      <w:r>
        <w:rPr>
          <w:b/>
          <w:sz w:val="24"/>
        </w:rPr>
        <w:t>3</w:t>
      </w:r>
    </w:p>
    <w:p w:rsidR="00CF41BF" w:rsidRPr="00151E3B" w:rsidRDefault="00CF41BF" w:rsidP="00D8463A">
      <w:pPr>
        <w:rPr>
          <w:b/>
          <w:sz w:val="24"/>
        </w:rPr>
      </w:pPr>
      <w:r w:rsidRPr="00151E3B">
        <w:rPr>
          <w:b/>
          <w:sz w:val="24"/>
        </w:rPr>
        <w:t>Ref: Staff Question</w:t>
      </w:r>
      <w:r w:rsidRPr="00151E3B">
        <w:rPr>
          <w:sz w:val="24"/>
        </w:rPr>
        <w:t xml:space="preserve"> </w:t>
      </w:r>
      <w:r w:rsidR="009C7ED6" w:rsidRPr="00151E3B">
        <w:rPr>
          <w:b/>
          <w:sz w:val="24"/>
        </w:rPr>
        <w:t>7</w:t>
      </w:r>
    </w:p>
    <w:p w:rsidR="00CF41BF" w:rsidRPr="00151E3B" w:rsidRDefault="00CF41BF" w:rsidP="00D8463A">
      <w:pPr>
        <w:rPr>
          <w:sz w:val="24"/>
        </w:rPr>
      </w:pPr>
      <w:r w:rsidRPr="00151E3B">
        <w:rPr>
          <w:sz w:val="24"/>
        </w:rPr>
        <w:t>Please confirm that Niagara-on-the-Lake Hydro has implemented the new accounting guidance retroactive to January 1, 2019. If not, please explain why not.</w:t>
      </w:r>
    </w:p>
    <w:p w:rsidR="009C7ED6" w:rsidRDefault="009C7ED6" w:rsidP="00D8463A">
      <w:pPr>
        <w:rPr>
          <w:rFonts w:eastAsia="Calibri" w:cs="Times New Roman"/>
          <w:bCs/>
          <w:color w:val="2E74B5" w:themeColor="accent1" w:themeShade="BF"/>
          <w:sz w:val="28"/>
        </w:rPr>
      </w:pPr>
    </w:p>
    <w:p w:rsidR="00151E3B" w:rsidRPr="00151E3B" w:rsidRDefault="00151E3B" w:rsidP="00151E3B">
      <w:pPr>
        <w:spacing w:after="0"/>
        <w:rPr>
          <w:b/>
          <w:sz w:val="24"/>
        </w:rPr>
      </w:pPr>
      <w:r>
        <w:rPr>
          <w:b/>
          <w:sz w:val="24"/>
        </w:rPr>
        <w:t xml:space="preserve">Follow-up Question - </w:t>
      </w:r>
      <w:r>
        <w:rPr>
          <w:b/>
          <w:sz w:val="24"/>
        </w:rPr>
        <w:t>4</w:t>
      </w:r>
    </w:p>
    <w:p w:rsidR="009C7ED6" w:rsidRPr="00151E3B" w:rsidRDefault="009C7ED6" w:rsidP="009C7ED6">
      <w:pPr>
        <w:rPr>
          <w:b/>
          <w:sz w:val="24"/>
        </w:rPr>
      </w:pPr>
      <w:r w:rsidRPr="00151E3B">
        <w:rPr>
          <w:b/>
          <w:sz w:val="24"/>
        </w:rPr>
        <w:t>Ref: Staff Question</w:t>
      </w:r>
      <w:r w:rsidRPr="00151E3B">
        <w:rPr>
          <w:sz w:val="24"/>
        </w:rPr>
        <w:t xml:space="preserve"> </w:t>
      </w:r>
      <w:r w:rsidRPr="00151E3B">
        <w:rPr>
          <w:b/>
          <w:sz w:val="24"/>
        </w:rPr>
        <w:t>8</w:t>
      </w:r>
    </w:p>
    <w:p w:rsidR="00D06AC3" w:rsidRPr="00151E3B" w:rsidRDefault="00D06AC3" w:rsidP="009C7ED6">
      <w:pPr>
        <w:rPr>
          <w:sz w:val="24"/>
        </w:rPr>
      </w:pPr>
      <w:r w:rsidRPr="00151E3B">
        <w:rPr>
          <w:sz w:val="24"/>
        </w:rPr>
        <w:t>Niagara-on-the-Lake Hydro indicated that the only difference identified between its true ups and the revised true ups resulting from the new accounting guidance was the allocation difference between actual losses and approved losses. Please explain Niagara-on-the-Lake Hydro’s prior methodology in allocating the loss difference.</w:t>
      </w:r>
    </w:p>
    <w:p w:rsidR="00793B22" w:rsidRPr="00793B22" w:rsidRDefault="00793B22"/>
    <w:sectPr w:rsidR="00793B22" w:rsidRPr="00793B2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94E" w:rsidRDefault="0045294E" w:rsidP="0045294E">
      <w:pPr>
        <w:spacing w:after="0" w:line="240" w:lineRule="auto"/>
      </w:pPr>
      <w:r>
        <w:separator/>
      </w:r>
    </w:p>
  </w:endnote>
  <w:endnote w:type="continuationSeparator" w:id="0">
    <w:p w:rsidR="0045294E" w:rsidRDefault="0045294E" w:rsidP="0045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93592"/>
      <w:docPartObj>
        <w:docPartGallery w:val="Page Numbers (Bottom of Page)"/>
        <w:docPartUnique/>
      </w:docPartObj>
    </w:sdtPr>
    <w:sdtEndPr>
      <w:rPr>
        <w:noProof/>
      </w:rPr>
    </w:sdtEndPr>
    <w:sdtContent>
      <w:p w:rsidR="0045294E" w:rsidRDefault="0045294E">
        <w:pPr>
          <w:pStyle w:val="Footer"/>
          <w:jc w:val="center"/>
        </w:pPr>
        <w:r>
          <w:fldChar w:fldCharType="begin"/>
        </w:r>
        <w:r>
          <w:instrText xml:space="preserve"> PAGE   \* MERGEFORMAT </w:instrText>
        </w:r>
        <w:r>
          <w:fldChar w:fldCharType="separate"/>
        </w:r>
        <w:r w:rsidR="00151E3B">
          <w:rPr>
            <w:noProof/>
          </w:rPr>
          <w:t>1</w:t>
        </w:r>
        <w:r>
          <w:rPr>
            <w:noProof/>
          </w:rPr>
          <w:fldChar w:fldCharType="end"/>
        </w:r>
      </w:p>
    </w:sdtContent>
  </w:sdt>
  <w:p w:rsidR="0045294E" w:rsidRDefault="00452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94E" w:rsidRDefault="0045294E" w:rsidP="0045294E">
      <w:pPr>
        <w:spacing w:after="0" w:line="240" w:lineRule="auto"/>
      </w:pPr>
      <w:r>
        <w:separator/>
      </w:r>
    </w:p>
  </w:footnote>
  <w:footnote w:type="continuationSeparator" w:id="0">
    <w:p w:rsidR="0045294E" w:rsidRDefault="0045294E" w:rsidP="0045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4E" w:rsidRDefault="0045294E" w:rsidP="0045294E">
    <w:pPr>
      <w:pStyle w:val="Header"/>
      <w:rPr>
        <w:rFonts w:cs="Arial"/>
        <w:bCs/>
      </w:rPr>
    </w:pPr>
    <w:r>
      <w:ptab w:relativeTo="margin" w:alignment="center" w:leader="none"/>
    </w:r>
    <w:r>
      <w:ptab w:relativeTo="margin" w:alignment="right" w:leader="none"/>
    </w:r>
    <w:r w:rsidRPr="001A728D">
      <w:rPr>
        <w:rFonts w:cs="Arial"/>
        <w:bCs/>
      </w:rPr>
      <w:t>Niagara-on-the-Lake Hydro Inc.</w:t>
    </w:r>
    <w:r>
      <w:rPr>
        <w:rFonts w:cs="Arial"/>
        <w:bCs/>
      </w:rPr>
      <w:t xml:space="preserve">  </w:t>
    </w:r>
  </w:p>
  <w:p w:rsidR="0045294E" w:rsidRPr="0059172B" w:rsidRDefault="0045294E" w:rsidP="0045294E">
    <w:pPr>
      <w:pStyle w:val="Header"/>
      <w:rPr>
        <w:rFonts w:cs="Arial"/>
      </w:rPr>
    </w:pPr>
    <w:r>
      <w:rPr>
        <w:rFonts w:cs="Arial"/>
        <w:bCs/>
      </w:rPr>
      <w:tab/>
    </w:r>
    <w:r>
      <w:rPr>
        <w:rFonts w:cs="Arial"/>
        <w:bCs/>
      </w:rPr>
      <w:tab/>
    </w:r>
    <w:r w:rsidRPr="0059172B">
      <w:rPr>
        <w:rFonts w:cs="Arial"/>
      </w:rPr>
      <w:t xml:space="preserve">OEB Staff Questions </w:t>
    </w:r>
  </w:p>
  <w:p w:rsidR="0045294E" w:rsidRDefault="0045294E" w:rsidP="0045294E">
    <w:pPr>
      <w:pStyle w:val="Header"/>
    </w:pPr>
    <w:r w:rsidRPr="0059172B">
      <w:rPr>
        <w:rFonts w:cs="Arial"/>
      </w:rPr>
      <w:tab/>
    </w:r>
    <w:r w:rsidRPr="0059172B">
      <w:rPr>
        <w:rFonts w:cs="Arial"/>
      </w:rPr>
      <w:tab/>
      <w:t xml:space="preserve">EB-2019-0056 </w:t>
    </w:r>
  </w:p>
  <w:p w:rsidR="0045294E" w:rsidRDefault="00452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60"/>
    <w:rsid w:val="00151E3B"/>
    <w:rsid w:val="0045294E"/>
    <w:rsid w:val="00656A44"/>
    <w:rsid w:val="00793B22"/>
    <w:rsid w:val="009C7ED6"/>
    <w:rsid w:val="00CF41BF"/>
    <w:rsid w:val="00D06AC3"/>
    <w:rsid w:val="00D8463A"/>
    <w:rsid w:val="00DE531F"/>
    <w:rsid w:val="00DE73C5"/>
    <w:rsid w:val="00E0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1E6E"/>
  <w15:chartTrackingRefBased/>
  <w15:docId w15:val="{27ADFA81-21DC-461E-9B74-96379602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94E"/>
    <w:pPr>
      <w:autoSpaceDE w:val="0"/>
      <w:autoSpaceDN w:val="0"/>
      <w:adjustRightInd w:val="0"/>
      <w:spacing w:after="0" w:line="240" w:lineRule="auto"/>
    </w:pPr>
    <w:rPr>
      <w:rFonts w:ascii="Calibri" w:hAnsi="Calibri" w:cs="Calibri"/>
      <w:color w:val="000000"/>
      <w:sz w:val="24"/>
      <w:szCs w:val="24"/>
      <w:lang w:val="en-CA"/>
    </w:rPr>
  </w:style>
  <w:style w:type="paragraph" w:styleId="Header">
    <w:name w:val="header"/>
    <w:basedOn w:val="Normal"/>
    <w:link w:val="HeaderChar"/>
    <w:uiPriority w:val="99"/>
    <w:unhideWhenUsed/>
    <w:rsid w:val="0045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94E"/>
  </w:style>
  <w:style w:type="paragraph" w:styleId="Footer">
    <w:name w:val="footer"/>
    <w:basedOn w:val="Normal"/>
    <w:link w:val="FooterChar"/>
    <w:uiPriority w:val="99"/>
    <w:unhideWhenUsed/>
    <w:rsid w:val="0045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5B"/>
    <w:rsid w:val="008D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FC974E952B4DDD93726E2A22DD9714">
    <w:name w:val="3CFC974E952B4DDD93726E2A22DD9714"/>
    <w:rsid w:val="008D1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Katherine Wang</cp:lastModifiedBy>
  <cp:revision>6</cp:revision>
  <dcterms:created xsi:type="dcterms:W3CDTF">2019-12-06T17:49:00Z</dcterms:created>
  <dcterms:modified xsi:type="dcterms:W3CDTF">2019-12-09T14:25:00Z</dcterms:modified>
</cp:coreProperties>
</file>