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294E" w:rsidRPr="00151E3B" w:rsidRDefault="0045294E" w:rsidP="0045294E">
      <w:pPr>
        <w:pStyle w:val="Default"/>
        <w:jc w:val="center"/>
        <w:rPr>
          <w:rFonts w:ascii="Arial" w:hAnsi="Arial" w:cs="Arial"/>
          <w:szCs w:val="28"/>
        </w:rPr>
      </w:pPr>
      <w:r w:rsidRPr="00151E3B">
        <w:rPr>
          <w:rFonts w:ascii="Arial" w:hAnsi="Arial" w:cs="Arial"/>
          <w:b/>
          <w:bCs/>
          <w:szCs w:val="28"/>
        </w:rPr>
        <w:t>Niagara-on-the-Lake Hydro Inc. (Niagara-on-the-Lake Hydro)</w:t>
      </w:r>
    </w:p>
    <w:p w:rsidR="0045294E" w:rsidRPr="00151E3B" w:rsidRDefault="0045294E" w:rsidP="0045294E">
      <w:pPr>
        <w:pStyle w:val="Default"/>
        <w:jc w:val="center"/>
        <w:rPr>
          <w:rFonts w:ascii="Arial" w:hAnsi="Arial" w:cs="Arial"/>
          <w:b/>
          <w:bCs/>
          <w:szCs w:val="28"/>
        </w:rPr>
      </w:pPr>
      <w:r w:rsidRPr="00151E3B">
        <w:rPr>
          <w:rFonts w:ascii="Arial" w:hAnsi="Arial" w:cs="Arial"/>
          <w:b/>
          <w:bCs/>
          <w:szCs w:val="28"/>
        </w:rPr>
        <w:t>EB-2019-0056</w:t>
      </w:r>
    </w:p>
    <w:p w:rsidR="0045294E" w:rsidRPr="00151E3B" w:rsidRDefault="0045294E" w:rsidP="0045294E">
      <w:pPr>
        <w:pStyle w:val="Default"/>
        <w:jc w:val="center"/>
        <w:rPr>
          <w:rFonts w:ascii="Arial" w:hAnsi="Arial" w:cs="Arial"/>
          <w:b/>
          <w:bCs/>
          <w:szCs w:val="28"/>
        </w:rPr>
      </w:pPr>
      <w:r w:rsidRPr="00151E3B">
        <w:rPr>
          <w:rFonts w:ascii="Arial" w:hAnsi="Arial" w:cs="Arial"/>
          <w:b/>
          <w:bCs/>
          <w:szCs w:val="28"/>
        </w:rPr>
        <w:t>OEB Staff Follow-up Questions</w:t>
      </w:r>
    </w:p>
    <w:p w:rsidR="0045294E" w:rsidRPr="00151E3B" w:rsidRDefault="0045294E" w:rsidP="0045294E">
      <w:pPr>
        <w:pStyle w:val="Default"/>
        <w:jc w:val="center"/>
        <w:rPr>
          <w:rFonts w:ascii="Arial" w:hAnsi="Arial" w:cs="Arial"/>
          <w:b/>
          <w:bCs/>
          <w:szCs w:val="28"/>
        </w:rPr>
      </w:pPr>
      <w:r w:rsidRPr="00151E3B">
        <w:rPr>
          <w:rFonts w:ascii="Arial" w:hAnsi="Arial" w:cs="Arial"/>
          <w:b/>
          <w:bCs/>
          <w:szCs w:val="28"/>
        </w:rPr>
        <w:t>December 9, 2019</w:t>
      </w:r>
    </w:p>
    <w:p w:rsidR="00793B22" w:rsidRDefault="00793B22">
      <w:pPr>
        <w:rPr>
          <w:b/>
          <w:u w:val="single"/>
        </w:rPr>
      </w:pPr>
    </w:p>
    <w:p w:rsidR="00643E60" w:rsidRPr="00180C86" w:rsidRDefault="00643E60" w:rsidP="00643E60">
      <w:pPr>
        <w:rPr>
          <w:rFonts w:cs="Arial"/>
          <w:b/>
          <w:color w:val="2E74B5" w:themeColor="accent1" w:themeShade="BF"/>
          <w:sz w:val="24"/>
          <w:szCs w:val="24"/>
        </w:rPr>
      </w:pPr>
      <w:r w:rsidRPr="00180C86">
        <w:rPr>
          <w:rFonts w:cs="Arial"/>
          <w:b/>
          <w:color w:val="2E74B5" w:themeColor="accent1" w:themeShade="BF"/>
          <w:sz w:val="24"/>
          <w:szCs w:val="24"/>
        </w:rPr>
        <w:t>Please see responses below in blue</w:t>
      </w:r>
    </w:p>
    <w:p w:rsidR="00643E60" w:rsidRDefault="00643E60" w:rsidP="00151E3B">
      <w:pPr>
        <w:spacing w:after="0"/>
        <w:rPr>
          <w:b/>
          <w:sz w:val="24"/>
        </w:rPr>
      </w:pPr>
    </w:p>
    <w:p w:rsidR="00151E3B" w:rsidRDefault="00151E3B" w:rsidP="00151E3B">
      <w:pPr>
        <w:spacing w:after="0"/>
        <w:rPr>
          <w:b/>
          <w:sz w:val="24"/>
        </w:rPr>
      </w:pPr>
      <w:r>
        <w:rPr>
          <w:b/>
          <w:sz w:val="24"/>
        </w:rPr>
        <w:t>Follow-up Question - 1</w:t>
      </w:r>
    </w:p>
    <w:p w:rsidR="00793B22" w:rsidRPr="00151E3B" w:rsidRDefault="00793B22">
      <w:pPr>
        <w:rPr>
          <w:b/>
          <w:sz w:val="24"/>
        </w:rPr>
      </w:pPr>
      <w:r w:rsidRPr="00151E3B">
        <w:rPr>
          <w:b/>
          <w:sz w:val="24"/>
        </w:rPr>
        <w:t>Ref: Staff Question – 4</w:t>
      </w:r>
    </w:p>
    <w:p w:rsidR="00793B22" w:rsidRPr="00151E3B" w:rsidRDefault="00793B22">
      <w:pPr>
        <w:rPr>
          <w:sz w:val="24"/>
        </w:rPr>
      </w:pPr>
      <w:r w:rsidRPr="00151E3B">
        <w:rPr>
          <w:sz w:val="24"/>
        </w:rPr>
        <w:t xml:space="preserve">Approach A and B produces the same end result, please explain why Niagara-on-the-Lake Hydro is choosing to deviate from the new accounting guidance by using approach B. </w:t>
      </w:r>
      <w:r w:rsidR="00656A44" w:rsidRPr="00151E3B">
        <w:rPr>
          <w:sz w:val="24"/>
        </w:rPr>
        <w:t>Please explain whether Niagara-on-the-Lake Hydro is planning on changing its approach to approach A.</w:t>
      </w:r>
    </w:p>
    <w:p w:rsidR="00793B22" w:rsidRPr="00151E3B" w:rsidRDefault="002A3CE3">
      <w:pPr>
        <w:rPr>
          <w:sz w:val="24"/>
        </w:rPr>
      </w:pPr>
      <w:r>
        <w:rPr>
          <w:color w:val="2E74B5" w:themeColor="accent1" w:themeShade="BF"/>
          <w:sz w:val="24"/>
        </w:rPr>
        <w:t xml:space="preserve">Based on the information available to NOTL Hydro at the time of the 1598 submission and </w:t>
      </w:r>
      <w:r w:rsidR="005805D1">
        <w:rPr>
          <w:color w:val="2E74B5" w:themeColor="accent1" w:themeShade="BF"/>
          <w:sz w:val="24"/>
        </w:rPr>
        <w:t xml:space="preserve">the </w:t>
      </w:r>
      <w:r>
        <w:rPr>
          <w:color w:val="2E74B5" w:themeColor="accent1" w:themeShade="BF"/>
          <w:sz w:val="24"/>
        </w:rPr>
        <w:t>date of the IESO invoice, NOTL Hydro feels that approach B provides the best estimates for account 1588 and 1589 and therefore reduces the magnitude of the true-ups required.  NOTL Hydro is not planning on changing its approach to approach A.</w:t>
      </w:r>
    </w:p>
    <w:p w:rsidR="00151E3B" w:rsidRDefault="00151E3B" w:rsidP="00151E3B">
      <w:pPr>
        <w:spacing w:after="0"/>
        <w:rPr>
          <w:b/>
          <w:sz w:val="24"/>
        </w:rPr>
      </w:pPr>
      <w:r>
        <w:rPr>
          <w:b/>
          <w:sz w:val="24"/>
        </w:rPr>
        <w:t>Follow-up Question - 2</w:t>
      </w:r>
    </w:p>
    <w:p w:rsidR="00D8463A" w:rsidRPr="00151E3B" w:rsidRDefault="00D8463A" w:rsidP="00D8463A">
      <w:pPr>
        <w:rPr>
          <w:b/>
          <w:sz w:val="24"/>
        </w:rPr>
      </w:pPr>
      <w:r w:rsidRPr="00151E3B">
        <w:rPr>
          <w:b/>
          <w:sz w:val="24"/>
        </w:rPr>
        <w:t>Ref: Staff Question – 5c</w:t>
      </w:r>
    </w:p>
    <w:p w:rsidR="00D8463A" w:rsidRDefault="00D8463A" w:rsidP="00D8463A">
      <w:pPr>
        <w:rPr>
          <w:sz w:val="24"/>
        </w:rPr>
      </w:pPr>
      <w:r w:rsidRPr="00151E3B">
        <w:rPr>
          <w:sz w:val="24"/>
        </w:rPr>
        <w:t>The adjustment to settle estimated to actual embedded generation was recorded in Account 1589. Please explain why the entire amount is recorded in Account 1589.</w:t>
      </w:r>
    </w:p>
    <w:p w:rsidR="00643E60" w:rsidRDefault="00643E60" w:rsidP="00D8463A">
      <w:pPr>
        <w:rPr>
          <w:color w:val="2E74B5" w:themeColor="accent1" w:themeShade="BF"/>
          <w:sz w:val="24"/>
        </w:rPr>
      </w:pPr>
      <w:r>
        <w:rPr>
          <w:color w:val="2E74B5" w:themeColor="accent1" w:themeShade="BF"/>
          <w:sz w:val="24"/>
        </w:rPr>
        <w:t xml:space="preserve">Prior to 2019, NOTL Hydro trued-up accounts 1588 and 1589 </w:t>
      </w:r>
      <w:r w:rsidR="005805D1">
        <w:rPr>
          <w:color w:val="2E74B5" w:themeColor="accent1" w:themeShade="BF"/>
          <w:sz w:val="24"/>
        </w:rPr>
        <w:t xml:space="preserve">annually </w:t>
      </w:r>
      <w:r>
        <w:rPr>
          <w:color w:val="2E74B5" w:themeColor="accent1" w:themeShade="BF"/>
          <w:sz w:val="24"/>
        </w:rPr>
        <w:t>based on billed data from it’s Northstar Billing System.  Due to limitations in the available data the process was as follows:</w:t>
      </w:r>
    </w:p>
    <w:p w:rsidR="00643E60" w:rsidRDefault="00643E60" w:rsidP="00643E60">
      <w:pPr>
        <w:pStyle w:val="ListParagraph"/>
        <w:numPr>
          <w:ilvl w:val="0"/>
          <w:numId w:val="1"/>
        </w:numPr>
        <w:rPr>
          <w:color w:val="2E74B5" w:themeColor="accent1" w:themeShade="BF"/>
          <w:sz w:val="24"/>
        </w:rPr>
      </w:pPr>
      <w:r>
        <w:rPr>
          <w:color w:val="2E74B5" w:themeColor="accent1" w:themeShade="BF"/>
          <w:sz w:val="24"/>
        </w:rPr>
        <w:t>Billed information for RPP customers was downloaded from the billing system</w:t>
      </w:r>
    </w:p>
    <w:p w:rsidR="001501C9" w:rsidRDefault="001501C9" w:rsidP="001501C9">
      <w:pPr>
        <w:pStyle w:val="ListParagraph"/>
        <w:numPr>
          <w:ilvl w:val="1"/>
          <w:numId w:val="1"/>
        </w:numPr>
        <w:rPr>
          <w:color w:val="2E74B5" w:themeColor="accent1" w:themeShade="BF"/>
          <w:sz w:val="24"/>
        </w:rPr>
      </w:pPr>
      <w:r>
        <w:rPr>
          <w:color w:val="2E74B5" w:themeColor="accent1" w:themeShade="BF"/>
          <w:sz w:val="24"/>
        </w:rPr>
        <w:t>Weighted Average Price (WAP)</w:t>
      </w:r>
    </w:p>
    <w:p w:rsidR="001501C9" w:rsidRDefault="001501C9" w:rsidP="001501C9">
      <w:pPr>
        <w:pStyle w:val="ListParagraph"/>
        <w:numPr>
          <w:ilvl w:val="1"/>
          <w:numId w:val="1"/>
        </w:numPr>
        <w:rPr>
          <w:color w:val="2E74B5" w:themeColor="accent1" w:themeShade="BF"/>
          <w:sz w:val="24"/>
        </w:rPr>
      </w:pPr>
      <w:r>
        <w:rPr>
          <w:color w:val="2E74B5" w:themeColor="accent1" w:themeShade="BF"/>
          <w:sz w:val="24"/>
        </w:rPr>
        <w:t>RPP Rates</w:t>
      </w:r>
    </w:p>
    <w:p w:rsidR="001501C9" w:rsidRDefault="001501C9" w:rsidP="001501C9">
      <w:pPr>
        <w:pStyle w:val="ListParagraph"/>
        <w:numPr>
          <w:ilvl w:val="1"/>
          <w:numId w:val="1"/>
        </w:numPr>
        <w:rPr>
          <w:color w:val="2E74B5" w:themeColor="accent1" w:themeShade="BF"/>
          <w:sz w:val="24"/>
        </w:rPr>
      </w:pPr>
      <w:r>
        <w:rPr>
          <w:color w:val="2E74B5" w:themeColor="accent1" w:themeShade="BF"/>
          <w:sz w:val="24"/>
        </w:rPr>
        <w:t>Usage (including losses at the OEB approved rate)</w:t>
      </w:r>
    </w:p>
    <w:p w:rsidR="00643E60" w:rsidRDefault="00643E60" w:rsidP="00643E60">
      <w:pPr>
        <w:pStyle w:val="ListParagraph"/>
        <w:numPr>
          <w:ilvl w:val="0"/>
          <w:numId w:val="1"/>
        </w:numPr>
        <w:rPr>
          <w:color w:val="2E74B5" w:themeColor="accent1" w:themeShade="BF"/>
          <w:sz w:val="24"/>
        </w:rPr>
      </w:pPr>
      <w:r>
        <w:rPr>
          <w:color w:val="2E74B5" w:themeColor="accent1" w:themeShade="BF"/>
          <w:sz w:val="24"/>
        </w:rPr>
        <w:t xml:space="preserve">Data was prorated by month (where the billing period </w:t>
      </w:r>
      <w:r w:rsidR="001501C9">
        <w:rPr>
          <w:color w:val="2E74B5" w:themeColor="accent1" w:themeShade="BF"/>
          <w:sz w:val="24"/>
        </w:rPr>
        <w:t>included more than one month)</w:t>
      </w:r>
    </w:p>
    <w:p w:rsidR="001501C9" w:rsidRDefault="001501C9" w:rsidP="00643E60">
      <w:pPr>
        <w:pStyle w:val="ListParagraph"/>
        <w:numPr>
          <w:ilvl w:val="0"/>
          <w:numId w:val="1"/>
        </w:numPr>
        <w:rPr>
          <w:color w:val="2E74B5" w:themeColor="accent1" w:themeShade="BF"/>
          <w:sz w:val="24"/>
        </w:rPr>
      </w:pPr>
      <w:r>
        <w:rPr>
          <w:color w:val="2E74B5" w:themeColor="accent1" w:themeShade="BF"/>
          <w:sz w:val="24"/>
        </w:rPr>
        <w:t xml:space="preserve">The </w:t>
      </w:r>
      <w:r w:rsidR="005A0955">
        <w:rPr>
          <w:color w:val="2E74B5" w:themeColor="accent1" w:themeShade="BF"/>
          <w:sz w:val="24"/>
        </w:rPr>
        <w:t xml:space="preserve">Revenue (RPP rates x Usage), </w:t>
      </w:r>
      <w:r>
        <w:rPr>
          <w:color w:val="2E74B5" w:themeColor="accent1" w:themeShade="BF"/>
          <w:sz w:val="24"/>
        </w:rPr>
        <w:t>Cost of Power (WAP x Usage) and Global Adjustment (Actual GA Rate x Usage) for RPP customers was determined from this data.</w:t>
      </w:r>
    </w:p>
    <w:p w:rsidR="001501C9" w:rsidRPr="001501C9" w:rsidRDefault="001501C9" w:rsidP="001501C9">
      <w:pPr>
        <w:rPr>
          <w:color w:val="2E74B5" w:themeColor="accent1" w:themeShade="BF"/>
          <w:sz w:val="24"/>
        </w:rPr>
      </w:pPr>
      <w:r>
        <w:rPr>
          <w:color w:val="2E74B5" w:themeColor="accent1" w:themeShade="BF"/>
          <w:sz w:val="24"/>
        </w:rPr>
        <w:t xml:space="preserve">This method resulted in any differences in the total GA amount billed to </w:t>
      </w:r>
      <w:r w:rsidR="005805D1">
        <w:rPr>
          <w:color w:val="2E74B5" w:themeColor="accent1" w:themeShade="BF"/>
          <w:sz w:val="24"/>
        </w:rPr>
        <w:t xml:space="preserve">all </w:t>
      </w:r>
      <w:r>
        <w:rPr>
          <w:color w:val="2E74B5" w:themeColor="accent1" w:themeShade="BF"/>
          <w:sz w:val="24"/>
        </w:rPr>
        <w:t>customers and the actual GA amount paid by NOTL Hydro to the IESO being recorded in account 1589.  This would include any variance due to losses and</w:t>
      </w:r>
      <w:r w:rsidR="002A3CE3">
        <w:rPr>
          <w:color w:val="2E74B5" w:themeColor="accent1" w:themeShade="BF"/>
          <w:sz w:val="24"/>
        </w:rPr>
        <w:t>,</w:t>
      </w:r>
      <w:r>
        <w:rPr>
          <w:color w:val="2E74B5" w:themeColor="accent1" w:themeShade="BF"/>
          <w:sz w:val="24"/>
        </w:rPr>
        <w:t xml:space="preserve"> in this case</w:t>
      </w:r>
      <w:r w:rsidR="00681A0A">
        <w:rPr>
          <w:color w:val="2E74B5" w:themeColor="accent1" w:themeShade="BF"/>
          <w:sz w:val="24"/>
        </w:rPr>
        <w:t>,</w:t>
      </w:r>
      <w:r>
        <w:rPr>
          <w:color w:val="2E74B5" w:themeColor="accent1" w:themeShade="BF"/>
          <w:sz w:val="24"/>
        </w:rPr>
        <w:t xml:space="preserve"> the difference between the estimated and actual embedded generation amounts.  Therefore</w:t>
      </w:r>
      <w:r w:rsidR="005A0955">
        <w:rPr>
          <w:color w:val="2E74B5" w:themeColor="accent1" w:themeShade="BF"/>
          <w:sz w:val="24"/>
        </w:rPr>
        <w:t>,</w:t>
      </w:r>
      <w:r>
        <w:rPr>
          <w:color w:val="2E74B5" w:themeColor="accent1" w:themeShade="BF"/>
          <w:sz w:val="24"/>
        </w:rPr>
        <w:t xml:space="preserve"> the entire variance resu</w:t>
      </w:r>
      <w:r w:rsidR="005A0955">
        <w:rPr>
          <w:color w:val="2E74B5" w:themeColor="accent1" w:themeShade="BF"/>
          <w:sz w:val="24"/>
        </w:rPr>
        <w:t xml:space="preserve">lting from the difference </w:t>
      </w:r>
      <w:r w:rsidR="00C16127">
        <w:rPr>
          <w:color w:val="2E74B5" w:themeColor="accent1" w:themeShade="BF"/>
          <w:sz w:val="24"/>
        </w:rPr>
        <w:t>due to</w:t>
      </w:r>
      <w:r w:rsidR="005A0955">
        <w:rPr>
          <w:color w:val="2E74B5" w:themeColor="accent1" w:themeShade="BF"/>
          <w:sz w:val="24"/>
        </w:rPr>
        <w:t xml:space="preserve"> estimate</w:t>
      </w:r>
      <w:r w:rsidR="00C16127">
        <w:rPr>
          <w:color w:val="2E74B5" w:themeColor="accent1" w:themeShade="BF"/>
          <w:sz w:val="24"/>
        </w:rPr>
        <w:t>d generation amounts</w:t>
      </w:r>
      <w:r w:rsidR="005A0955">
        <w:rPr>
          <w:color w:val="2E74B5" w:themeColor="accent1" w:themeShade="BF"/>
          <w:sz w:val="24"/>
        </w:rPr>
        <w:t xml:space="preserve"> was </w:t>
      </w:r>
      <w:r w:rsidR="005A0955">
        <w:rPr>
          <w:color w:val="2E74B5" w:themeColor="accent1" w:themeShade="BF"/>
          <w:sz w:val="24"/>
        </w:rPr>
        <w:lastRenderedPageBreak/>
        <w:t>recorded in account 1589.  The correction should therefore also flow through account 1</w:t>
      </w:r>
      <w:bookmarkStart w:id="0" w:name="_GoBack"/>
      <w:bookmarkEnd w:id="0"/>
      <w:r w:rsidR="005A0955">
        <w:rPr>
          <w:color w:val="2E74B5" w:themeColor="accent1" w:themeShade="BF"/>
          <w:sz w:val="24"/>
        </w:rPr>
        <w:t>589.</w:t>
      </w:r>
    </w:p>
    <w:p w:rsidR="00681A0A" w:rsidRDefault="00681A0A" w:rsidP="00151E3B">
      <w:pPr>
        <w:spacing w:after="0"/>
        <w:rPr>
          <w:b/>
          <w:sz w:val="24"/>
        </w:rPr>
      </w:pPr>
    </w:p>
    <w:p w:rsidR="00151E3B" w:rsidRDefault="00151E3B" w:rsidP="00151E3B">
      <w:pPr>
        <w:spacing w:after="0"/>
        <w:rPr>
          <w:b/>
          <w:sz w:val="24"/>
        </w:rPr>
      </w:pPr>
      <w:r>
        <w:rPr>
          <w:b/>
          <w:sz w:val="24"/>
        </w:rPr>
        <w:t>Follow-up Question - 3</w:t>
      </w:r>
    </w:p>
    <w:p w:rsidR="00CF41BF" w:rsidRPr="00151E3B" w:rsidRDefault="00CF41BF" w:rsidP="00D8463A">
      <w:pPr>
        <w:rPr>
          <w:b/>
          <w:sz w:val="24"/>
        </w:rPr>
      </w:pPr>
      <w:r w:rsidRPr="00151E3B">
        <w:rPr>
          <w:b/>
          <w:sz w:val="24"/>
        </w:rPr>
        <w:t>Ref: Staff Question</w:t>
      </w:r>
      <w:r w:rsidRPr="00151E3B">
        <w:rPr>
          <w:sz w:val="24"/>
        </w:rPr>
        <w:t xml:space="preserve"> </w:t>
      </w:r>
      <w:r w:rsidR="009C7ED6" w:rsidRPr="00151E3B">
        <w:rPr>
          <w:b/>
          <w:sz w:val="24"/>
        </w:rPr>
        <w:t>7</w:t>
      </w:r>
    </w:p>
    <w:p w:rsidR="005A0955" w:rsidRDefault="00CF41BF" w:rsidP="00D8463A">
      <w:pPr>
        <w:rPr>
          <w:sz w:val="24"/>
        </w:rPr>
      </w:pPr>
      <w:r w:rsidRPr="00151E3B">
        <w:rPr>
          <w:sz w:val="24"/>
        </w:rPr>
        <w:t>Please confirm that Niagara-on-the-Lake Hydro has implemented the new accounting guidance retroactive to January 1, 2019. If not, please explain why not.</w:t>
      </w:r>
    </w:p>
    <w:p w:rsidR="005A0955" w:rsidRPr="00151E3B" w:rsidRDefault="005A0955" w:rsidP="00D8463A">
      <w:pPr>
        <w:rPr>
          <w:sz w:val="24"/>
        </w:rPr>
      </w:pPr>
      <w:r>
        <w:rPr>
          <w:color w:val="2E74B5" w:themeColor="accent1" w:themeShade="BF"/>
          <w:sz w:val="24"/>
        </w:rPr>
        <w:t xml:space="preserve">NOTL Hydro has </w:t>
      </w:r>
      <w:r w:rsidR="00681A0A">
        <w:rPr>
          <w:color w:val="2E74B5" w:themeColor="accent1" w:themeShade="BF"/>
          <w:sz w:val="24"/>
        </w:rPr>
        <w:t xml:space="preserve">trued-up amounts in accounts 1588 and 1589 consistent with methodology from the </w:t>
      </w:r>
      <w:r>
        <w:rPr>
          <w:color w:val="2E74B5" w:themeColor="accent1" w:themeShade="BF"/>
          <w:sz w:val="24"/>
        </w:rPr>
        <w:t xml:space="preserve">new accounting guidance retroactive to January 1, 2019. </w:t>
      </w:r>
    </w:p>
    <w:p w:rsidR="009C7ED6" w:rsidRDefault="009C7ED6" w:rsidP="00D8463A">
      <w:pPr>
        <w:rPr>
          <w:rFonts w:eastAsia="Calibri" w:cs="Times New Roman"/>
          <w:bCs/>
          <w:color w:val="2E74B5" w:themeColor="accent1" w:themeShade="BF"/>
          <w:sz w:val="28"/>
        </w:rPr>
      </w:pPr>
    </w:p>
    <w:p w:rsidR="00151E3B" w:rsidRPr="00151E3B" w:rsidRDefault="00151E3B" w:rsidP="00151E3B">
      <w:pPr>
        <w:spacing w:after="0"/>
        <w:rPr>
          <w:b/>
          <w:sz w:val="24"/>
        </w:rPr>
      </w:pPr>
      <w:r>
        <w:rPr>
          <w:b/>
          <w:sz w:val="24"/>
        </w:rPr>
        <w:t>Follow-up Question - 4</w:t>
      </w:r>
    </w:p>
    <w:p w:rsidR="009C7ED6" w:rsidRPr="00151E3B" w:rsidRDefault="009C7ED6" w:rsidP="009C7ED6">
      <w:pPr>
        <w:rPr>
          <w:b/>
          <w:sz w:val="24"/>
        </w:rPr>
      </w:pPr>
      <w:r w:rsidRPr="00151E3B">
        <w:rPr>
          <w:b/>
          <w:sz w:val="24"/>
        </w:rPr>
        <w:t>Ref: Staff Question</w:t>
      </w:r>
      <w:r w:rsidRPr="00151E3B">
        <w:rPr>
          <w:sz w:val="24"/>
        </w:rPr>
        <w:t xml:space="preserve"> </w:t>
      </w:r>
      <w:r w:rsidRPr="00151E3B">
        <w:rPr>
          <w:b/>
          <w:sz w:val="24"/>
        </w:rPr>
        <w:t>8</w:t>
      </w:r>
    </w:p>
    <w:p w:rsidR="00D06AC3" w:rsidRPr="00151E3B" w:rsidRDefault="00D06AC3" w:rsidP="009C7ED6">
      <w:pPr>
        <w:rPr>
          <w:sz w:val="24"/>
        </w:rPr>
      </w:pPr>
      <w:r w:rsidRPr="00151E3B">
        <w:rPr>
          <w:sz w:val="24"/>
        </w:rPr>
        <w:t>Niagara-on-the-Lake Hydro indicated that the only difference identified between its true ups and the revised true ups resulting from the new accounting guidance was the allocation difference between actual losses and approved losses. Please explain Niagara-on-the-Lake Hydro’s prior methodology in allocating the loss difference.</w:t>
      </w:r>
    </w:p>
    <w:p w:rsidR="00793B22" w:rsidRPr="005A0955" w:rsidRDefault="005A0955">
      <w:pPr>
        <w:rPr>
          <w:color w:val="2E74B5" w:themeColor="accent1" w:themeShade="BF"/>
          <w:sz w:val="24"/>
        </w:rPr>
      </w:pPr>
      <w:r w:rsidRPr="005A0955">
        <w:rPr>
          <w:color w:val="2E74B5" w:themeColor="accent1" w:themeShade="BF"/>
          <w:sz w:val="24"/>
        </w:rPr>
        <w:t>Please see response to follow-up question 2</w:t>
      </w:r>
    </w:p>
    <w:sectPr w:rsidR="00793B22" w:rsidRPr="005A095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94E" w:rsidRDefault="0045294E" w:rsidP="0045294E">
      <w:pPr>
        <w:spacing w:after="0" w:line="240" w:lineRule="auto"/>
      </w:pPr>
      <w:r>
        <w:separator/>
      </w:r>
    </w:p>
  </w:endnote>
  <w:endnote w:type="continuationSeparator" w:id="0">
    <w:p w:rsidR="0045294E" w:rsidRDefault="0045294E" w:rsidP="00452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93592"/>
      <w:docPartObj>
        <w:docPartGallery w:val="Page Numbers (Bottom of Page)"/>
        <w:docPartUnique/>
      </w:docPartObj>
    </w:sdtPr>
    <w:sdtEndPr>
      <w:rPr>
        <w:noProof/>
      </w:rPr>
    </w:sdtEndPr>
    <w:sdtContent>
      <w:p w:rsidR="0045294E" w:rsidRDefault="0045294E">
        <w:pPr>
          <w:pStyle w:val="Footer"/>
          <w:jc w:val="center"/>
        </w:pPr>
        <w:r>
          <w:fldChar w:fldCharType="begin"/>
        </w:r>
        <w:r>
          <w:instrText xml:space="preserve"> PAGE   \* MERGEFORMAT </w:instrText>
        </w:r>
        <w:r>
          <w:fldChar w:fldCharType="separate"/>
        </w:r>
        <w:r w:rsidR="00151E3B">
          <w:rPr>
            <w:noProof/>
          </w:rPr>
          <w:t>1</w:t>
        </w:r>
        <w:r>
          <w:rPr>
            <w:noProof/>
          </w:rPr>
          <w:fldChar w:fldCharType="end"/>
        </w:r>
      </w:p>
    </w:sdtContent>
  </w:sdt>
  <w:p w:rsidR="0045294E" w:rsidRDefault="00452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94E" w:rsidRDefault="0045294E" w:rsidP="0045294E">
      <w:pPr>
        <w:spacing w:after="0" w:line="240" w:lineRule="auto"/>
      </w:pPr>
      <w:r>
        <w:separator/>
      </w:r>
    </w:p>
  </w:footnote>
  <w:footnote w:type="continuationSeparator" w:id="0">
    <w:p w:rsidR="0045294E" w:rsidRDefault="0045294E" w:rsidP="004529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294E" w:rsidRDefault="0045294E" w:rsidP="0045294E">
    <w:pPr>
      <w:pStyle w:val="Header"/>
      <w:rPr>
        <w:rFonts w:cs="Arial"/>
        <w:bCs/>
      </w:rPr>
    </w:pPr>
    <w:r>
      <w:ptab w:relativeTo="margin" w:alignment="center" w:leader="none"/>
    </w:r>
    <w:r>
      <w:ptab w:relativeTo="margin" w:alignment="right" w:leader="none"/>
    </w:r>
    <w:r w:rsidRPr="001A728D">
      <w:rPr>
        <w:rFonts w:cs="Arial"/>
        <w:bCs/>
      </w:rPr>
      <w:t>Niagara-on-the-Lake Hydro Inc.</w:t>
    </w:r>
    <w:r>
      <w:rPr>
        <w:rFonts w:cs="Arial"/>
        <w:bCs/>
      </w:rPr>
      <w:t xml:space="preserve">  </w:t>
    </w:r>
  </w:p>
  <w:p w:rsidR="0045294E" w:rsidRPr="0059172B" w:rsidRDefault="0045294E" w:rsidP="0045294E">
    <w:pPr>
      <w:pStyle w:val="Header"/>
      <w:rPr>
        <w:rFonts w:cs="Arial"/>
      </w:rPr>
    </w:pPr>
    <w:r>
      <w:rPr>
        <w:rFonts w:cs="Arial"/>
        <w:bCs/>
      </w:rPr>
      <w:tab/>
    </w:r>
    <w:r>
      <w:rPr>
        <w:rFonts w:cs="Arial"/>
        <w:bCs/>
      </w:rPr>
      <w:tab/>
    </w:r>
    <w:r w:rsidRPr="0059172B">
      <w:rPr>
        <w:rFonts w:cs="Arial"/>
      </w:rPr>
      <w:t xml:space="preserve">OEB Staff Questions </w:t>
    </w:r>
  </w:p>
  <w:p w:rsidR="0045294E" w:rsidRDefault="0045294E" w:rsidP="0045294E">
    <w:pPr>
      <w:pStyle w:val="Header"/>
    </w:pPr>
    <w:r w:rsidRPr="0059172B">
      <w:rPr>
        <w:rFonts w:cs="Arial"/>
      </w:rPr>
      <w:tab/>
    </w:r>
    <w:r w:rsidRPr="0059172B">
      <w:rPr>
        <w:rFonts w:cs="Arial"/>
      </w:rPr>
      <w:tab/>
      <w:t xml:space="preserve">EB-2019-0056 </w:t>
    </w:r>
  </w:p>
  <w:p w:rsidR="0045294E" w:rsidRDefault="004529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9077B5"/>
    <w:multiLevelType w:val="hybridMultilevel"/>
    <w:tmpl w:val="761202A2"/>
    <w:lvl w:ilvl="0" w:tplc="1009000F">
      <w:start w:val="1"/>
      <w:numFmt w:val="decimal"/>
      <w:lvlText w:val="%1."/>
      <w:lvlJc w:val="left"/>
      <w:pPr>
        <w:ind w:left="780" w:hanging="360"/>
      </w:pPr>
    </w:lvl>
    <w:lvl w:ilvl="1" w:tplc="10090019">
      <w:start w:val="1"/>
      <w:numFmt w:val="lowerLetter"/>
      <w:lvlText w:val="%2."/>
      <w:lvlJc w:val="left"/>
      <w:pPr>
        <w:ind w:left="1500" w:hanging="360"/>
      </w:pPr>
    </w:lvl>
    <w:lvl w:ilvl="2" w:tplc="1009001B" w:tentative="1">
      <w:start w:val="1"/>
      <w:numFmt w:val="lowerRoman"/>
      <w:lvlText w:val="%3."/>
      <w:lvlJc w:val="right"/>
      <w:pPr>
        <w:ind w:left="2220" w:hanging="180"/>
      </w:pPr>
    </w:lvl>
    <w:lvl w:ilvl="3" w:tplc="1009000F" w:tentative="1">
      <w:start w:val="1"/>
      <w:numFmt w:val="decimal"/>
      <w:lvlText w:val="%4."/>
      <w:lvlJc w:val="left"/>
      <w:pPr>
        <w:ind w:left="2940" w:hanging="360"/>
      </w:pPr>
    </w:lvl>
    <w:lvl w:ilvl="4" w:tplc="10090019" w:tentative="1">
      <w:start w:val="1"/>
      <w:numFmt w:val="lowerLetter"/>
      <w:lvlText w:val="%5."/>
      <w:lvlJc w:val="left"/>
      <w:pPr>
        <w:ind w:left="3660" w:hanging="360"/>
      </w:pPr>
    </w:lvl>
    <w:lvl w:ilvl="5" w:tplc="1009001B" w:tentative="1">
      <w:start w:val="1"/>
      <w:numFmt w:val="lowerRoman"/>
      <w:lvlText w:val="%6."/>
      <w:lvlJc w:val="right"/>
      <w:pPr>
        <w:ind w:left="4380" w:hanging="180"/>
      </w:pPr>
    </w:lvl>
    <w:lvl w:ilvl="6" w:tplc="1009000F" w:tentative="1">
      <w:start w:val="1"/>
      <w:numFmt w:val="decimal"/>
      <w:lvlText w:val="%7."/>
      <w:lvlJc w:val="left"/>
      <w:pPr>
        <w:ind w:left="5100" w:hanging="360"/>
      </w:pPr>
    </w:lvl>
    <w:lvl w:ilvl="7" w:tplc="10090019" w:tentative="1">
      <w:start w:val="1"/>
      <w:numFmt w:val="lowerLetter"/>
      <w:lvlText w:val="%8."/>
      <w:lvlJc w:val="left"/>
      <w:pPr>
        <w:ind w:left="5820" w:hanging="360"/>
      </w:pPr>
    </w:lvl>
    <w:lvl w:ilvl="8" w:tplc="1009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B60"/>
    <w:rsid w:val="001501C9"/>
    <w:rsid w:val="00151E3B"/>
    <w:rsid w:val="001C77C6"/>
    <w:rsid w:val="002A3CE3"/>
    <w:rsid w:val="0045294E"/>
    <w:rsid w:val="005805D1"/>
    <w:rsid w:val="005A0955"/>
    <w:rsid w:val="00643E60"/>
    <w:rsid w:val="00656A44"/>
    <w:rsid w:val="00681A0A"/>
    <w:rsid w:val="00793B22"/>
    <w:rsid w:val="009C7ED6"/>
    <w:rsid w:val="00A41AD2"/>
    <w:rsid w:val="00B153C9"/>
    <w:rsid w:val="00C16127"/>
    <w:rsid w:val="00CF41BF"/>
    <w:rsid w:val="00D06AC3"/>
    <w:rsid w:val="00D8463A"/>
    <w:rsid w:val="00DE531F"/>
    <w:rsid w:val="00DE73C5"/>
    <w:rsid w:val="00E03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E0065"/>
  <w15:chartTrackingRefBased/>
  <w15:docId w15:val="{27ADFA81-21DC-461E-9B74-963796020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5294E"/>
    <w:pPr>
      <w:autoSpaceDE w:val="0"/>
      <w:autoSpaceDN w:val="0"/>
      <w:adjustRightInd w:val="0"/>
      <w:spacing w:after="0" w:line="240" w:lineRule="auto"/>
    </w:pPr>
    <w:rPr>
      <w:rFonts w:ascii="Calibri" w:hAnsi="Calibri" w:cs="Calibri"/>
      <w:color w:val="000000"/>
      <w:sz w:val="24"/>
      <w:szCs w:val="24"/>
      <w:lang w:val="en-CA"/>
    </w:rPr>
  </w:style>
  <w:style w:type="paragraph" w:styleId="Header">
    <w:name w:val="header"/>
    <w:basedOn w:val="Normal"/>
    <w:link w:val="HeaderChar"/>
    <w:uiPriority w:val="99"/>
    <w:unhideWhenUsed/>
    <w:rsid w:val="00452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294E"/>
  </w:style>
  <w:style w:type="paragraph" w:styleId="Footer">
    <w:name w:val="footer"/>
    <w:basedOn w:val="Normal"/>
    <w:link w:val="FooterChar"/>
    <w:uiPriority w:val="99"/>
    <w:unhideWhenUsed/>
    <w:rsid w:val="00452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294E"/>
  </w:style>
  <w:style w:type="paragraph" w:styleId="ListParagraph">
    <w:name w:val="List Paragraph"/>
    <w:basedOn w:val="Normal"/>
    <w:uiPriority w:val="34"/>
    <w:qFormat/>
    <w:rsid w:val="00643E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4E5F0-7DEA-49C7-875A-3754486A2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Kwan</dc:creator>
  <cp:keywords/>
  <dc:description/>
  <cp:lastModifiedBy>Jeff Klassen</cp:lastModifiedBy>
  <cp:revision>6</cp:revision>
  <cp:lastPrinted>2019-12-09T15:49:00Z</cp:lastPrinted>
  <dcterms:created xsi:type="dcterms:W3CDTF">2019-12-09T14:34:00Z</dcterms:created>
  <dcterms:modified xsi:type="dcterms:W3CDTF">2019-12-09T15:51:00Z</dcterms:modified>
</cp:coreProperties>
</file>