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49FF" w14:textId="03D20BF4" w:rsidR="000979B3" w:rsidRPr="00902431" w:rsidRDefault="000979B3" w:rsidP="000979B3">
      <w:pPr>
        <w:jc w:val="center"/>
        <w:rPr>
          <w:rFonts w:ascii="Arial" w:hAnsi="Arial" w:cs="Arial"/>
          <w:b/>
          <w:sz w:val="24"/>
          <w:szCs w:val="24"/>
        </w:rPr>
      </w:pPr>
      <w:r w:rsidRPr="000979B3">
        <w:rPr>
          <w:rFonts w:ascii="Arial" w:hAnsi="Arial" w:cs="Arial"/>
          <w:b/>
        </w:rPr>
        <w:br/>
      </w:r>
      <w:r w:rsidR="008B1508" w:rsidRPr="00902431">
        <w:rPr>
          <w:rFonts w:ascii="Arial" w:hAnsi="Arial" w:cs="Arial"/>
          <w:b/>
          <w:sz w:val="24"/>
          <w:szCs w:val="24"/>
        </w:rPr>
        <w:t xml:space="preserve">Elexicon </w:t>
      </w:r>
      <w:r w:rsidR="00051B5F" w:rsidRPr="00902431">
        <w:rPr>
          <w:rFonts w:ascii="Arial" w:hAnsi="Arial" w:cs="Arial"/>
          <w:b/>
          <w:sz w:val="24"/>
          <w:szCs w:val="24"/>
        </w:rPr>
        <w:t xml:space="preserve">Energy – </w:t>
      </w:r>
      <w:r w:rsidR="008B1508" w:rsidRPr="00902431">
        <w:rPr>
          <w:rFonts w:ascii="Arial" w:hAnsi="Arial" w:cs="Arial"/>
          <w:b/>
          <w:sz w:val="24"/>
          <w:szCs w:val="24"/>
        </w:rPr>
        <w:t xml:space="preserve">Veridian </w:t>
      </w:r>
      <w:r w:rsidR="00051B5F" w:rsidRPr="00902431">
        <w:rPr>
          <w:rFonts w:ascii="Arial" w:hAnsi="Arial" w:cs="Arial"/>
          <w:b/>
          <w:sz w:val="24"/>
          <w:szCs w:val="24"/>
        </w:rPr>
        <w:t>Rate Zone</w:t>
      </w:r>
    </w:p>
    <w:p w14:paraId="148BA271" w14:textId="77777777" w:rsidR="000979B3" w:rsidRPr="00902431" w:rsidRDefault="008B1508" w:rsidP="000979B3">
      <w:pPr>
        <w:jc w:val="center"/>
        <w:rPr>
          <w:rFonts w:ascii="Arial" w:hAnsi="Arial" w:cs="Arial"/>
          <w:b/>
          <w:sz w:val="24"/>
          <w:szCs w:val="24"/>
        </w:rPr>
      </w:pPr>
      <w:r w:rsidRPr="00902431">
        <w:rPr>
          <w:rFonts w:ascii="Arial" w:hAnsi="Arial" w:cs="Arial"/>
          <w:b/>
          <w:sz w:val="24"/>
          <w:szCs w:val="24"/>
        </w:rPr>
        <w:t>EB-2019-0252</w:t>
      </w:r>
    </w:p>
    <w:p w14:paraId="4BE3849E" w14:textId="77777777" w:rsidR="000979B3" w:rsidRPr="00F10B9B" w:rsidRDefault="000979B3" w:rsidP="00F10B9B">
      <w:pPr>
        <w:spacing w:after="0" w:line="276" w:lineRule="auto"/>
        <w:rPr>
          <w:rFonts w:ascii="Arial" w:hAnsi="Arial" w:cs="Arial"/>
          <w:sz w:val="24"/>
          <w:szCs w:val="24"/>
        </w:rPr>
      </w:pPr>
    </w:p>
    <w:p w14:paraId="72638ABF" w14:textId="4E0EB226" w:rsidR="00D1732D" w:rsidRDefault="00E3163A" w:rsidP="004824CB">
      <w:pPr>
        <w:pStyle w:val="Heading1"/>
      </w:pPr>
      <w:r>
        <w:t>Account</w:t>
      </w:r>
      <w:r w:rsidR="003A2923">
        <w:t>s</w:t>
      </w:r>
      <w:r>
        <w:t xml:space="preserve"> 1588 and 1589</w:t>
      </w:r>
    </w:p>
    <w:p w14:paraId="6BF37916" w14:textId="77777777" w:rsidR="00E3163A" w:rsidRPr="00F10B9B" w:rsidRDefault="00E3163A" w:rsidP="00F10B9B">
      <w:pPr>
        <w:spacing w:after="0" w:line="276" w:lineRule="auto"/>
        <w:rPr>
          <w:rFonts w:ascii="Arial" w:hAnsi="Arial" w:cs="Arial"/>
          <w:sz w:val="24"/>
          <w:szCs w:val="24"/>
        </w:rPr>
      </w:pPr>
    </w:p>
    <w:p w14:paraId="6FCEAA0F" w14:textId="77777777" w:rsidR="000E4C78" w:rsidRPr="00F10B9B" w:rsidRDefault="000E4C78" w:rsidP="00733151">
      <w:pPr>
        <w:pStyle w:val="Heading2"/>
      </w:pPr>
      <w:r w:rsidRPr="00F10B9B">
        <w:t>Staff-</w:t>
      </w:r>
      <w:r w:rsidR="004344D1">
        <w:t>1</w:t>
      </w:r>
    </w:p>
    <w:p w14:paraId="665EF835" w14:textId="77777777" w:rsidR="000E4C78" w:rsidRPr="00F10B9B" w:rsidRDefault="000E4C78" w:rsidP="00F10B9B">
      <w:pPr>
        <w:spacing w:after="0" w:line="276" w:lineRule="auto"/>
        <w:rPr>
          <w:rFonts w:ascii="Arial" w:hAnsi="Arial" w:cs="Arial"/>
          <w:sz w:val="24"/>
          <w:szCs w:val="24"/>
        </w:rPr>
      </w:pPr>
    </w:p>
    <w:p w14:paraId="646505B5" w14:textId="77777777" w:rsidR="000E4C78" w:rsidRPr="00F10B9B" w:rsidRDefault="000E4C78" w:rsidP="00F10B9B">
      <w:pPr>
        <w:spacing w:after="0" w:line="276" w:lineRule="auto"/>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 xml:space="preserve">(1) Chapter 3 of the Filing Requirements for Electricity Distribution Applications </w:t>
      </w:r>
      <w:r w:rsidRPr="00F10B9B">
        <w:rPr>
          <w:rFonts w:ascii="Arial" w:hAnsi="Arial" w:cs="Arial"/>
          <w:sz w:val="24"/>
          <w:szCs w:val="24"/>
        </w:rPr>
        <w:tab/>
        <w:t>Rate Applications, dated July 12, 2018, page 15</w:t>
      </w:r>
    </w:p>
    <w:p w14:paraId="1298E5A5" w14:textId="25A7BABA" w:rsidR="00F2413F" w:rsidRPr="00F10B9B" w:rsidRDefault="00F2413F" w:rsidP="00F10B9B">
      <w:pPr>
        <w:spacing w:after="0" w:line="276" w:lineRule="auto"/>
        <w:rPr>
          <w:rFonts w:ascii="Arial" w:hAnsi="Arial" w:cs="Arial"/>
          <w:sz w:val="24"/>
          <w:szCs w:val="24"/>
        </w:rPr>
      </w:pPr>
      <w:r w:rsidRPr="00F10B9B">
        <w:rPr>
          <w:rFonts w:ascii="Arial" w:hAnsi="Arial" w:cs="Arial"/>
          <w:sz w:val="24"/>
          <w:szCs w:val="24"/>
        </w:rPr>
        <w:tab/>
        <w:t xml:space="preserve">(2) </w:t>
      </w:r>
      <w:r w:rsidR="00165D38">
        <w:rPr>
          <w:rFonts w:ascii="Arial" w:hAnsi="Arial" w:cs="Arial"/>
          <w:sz w:val="24"/>
          <w:szCs w:val="24"/>
        </w:rPr>
        <w:t xml:space="preserve">Application, </w:t>
      </w:r>
      <w:r w:rsidRPr="00F10B9B">
        <w:rPr>
          <w:rFonts w:ascii="Arial" w:hAnsi="Arial" w:cs="Arial"/>
          <w:sz w:val="24"/>
          <w:szCs w:val="24"/>
        </w:rPr>
        <w:t>Manager’s Summary</w:t>
      </w:r>
      <w:r w:rsidR="00483403">
        <w:rPr>
          <w:rFonts w:ascii="Arial" w:hAnsi="Arial" w:cs="Arial"/>
          <w:sz w:val="24"/>
          <w:szCs w:val="24"/>
        </w:rPr>
        <w:t>,</w:t>
      </w:r>
      <w:r w:rsidRPr="00F10B9B">
        <w:rPr>
          <w:rFonts w:ascii="Arial" w:hAnsi="Arial" w:cs="Arial"/>
          <w:sz w:val="24"/>
          <w:szCs w:val="24"/>
        </w:rPr>
        <w:t xml:space="preserve"> page 12</w:t>
      </w:r>
    </w:p>
    <w:p w14:paraId="0EAEAC35" w14:textId="77777777" w:rsidR="000E4C78" w:rsidRPr="00F10B9B" w:rsidRDefault="000E4C78" w:rsidP="00F10B9B">
      <w:pPr>
        <w:spacing w:after="0" w:line="276" w:lineRule="auto"/>
        <w:rPr>
          <w:rFonts w:ascii="Arial" w:hAnsi="Arial" w:cs="Arial"/>
          <w:b/>
          <w:sz w:val="24"/>
          <w:szCs w:val="24"/>
        </w:rPr>
      </w:pPr>
    </w:p>
    <w:p w14:paraId="5E1128BF" w14:textId="77777777" w:rsidR="000E4C78" w:rsidRPr="00051B5F" w:rsidRDefault="000E4C78"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535509C4" w14:textId="77777777" w:rsidR="000E4C78" w:rsidRPr="00F10B9B" w:rsidRDefault="000E4C78" w:rsidP="00F10B9B">
      <w:pPr>
        <w:spacing w:after="0" w:line="276" w:lineRule="auto"/>
        <w:rPr>
          <w:rFonts w:ascii="Arial" w:hAnsi="Arial" w:cs="Arial"/>
          <w:b/>
          <w:sz w:val="24"/>
          <w:szCs w:val="24"/>
        </w:rPr>
      </w:pPr>
    </w:p>
    <w:p w14:paraId="00649101" w14:textId="2C213DB9" w:rsidR="000E4C78" w:rsidRPr="00F10B9B" w:rsidRDefault="000E4C78" w:rsidP="00F10B9B">
      <w:pPr>
        <w:spacing w:after="0" w:line="276" w:lineRule="auto"/>
        <w:rPr>
          <w:rFonts w:ascii="Arial" w:hAnsi="Arial" w:cs="Arial"/>
          <w:sz w:val="24"/>
          <w:szCs w:val="24"/>
        </w:rPr>
      </w:pPr>
      <w:r w:rsidRPr="00F10B9B">
        <w:rPr>
          <w:rFonts w:ascii="Arial" w:hAnsi="Arial" w:cs="Arial"/>
          <w:sz w:val="24"/>
          <w:szCs w:val="24"/>
        </w:rPr>
        <w:t>At the above</w:t>
      </w:r>
      <w:r w:rsidR="00483403">
        <w:rPr>
          <w:rFonts w:ascii="Arial" w:hAnsi="Arial" w:cs="Arial"/>
          <w:sz w:val="24"/>
          <w:szCs w:val="24"/>
        </w:rPr>
        <w:t>-</w:t>
      </w:r>
      <w:r w:rsidRPr="00F10B9B">
        <w:rPr>
          <w:rFonts w:ascii="Arial" w:hAnsi="Arial" w:cs="Arial"/>
          <w:sz w:val="24"/>
          <w:szCs w:val="24"/>
        </w:rPr>
        <w:t>noted first reference, it is stated that distributors must complete the GA Analysis Workform for each applicable fiscal year subsequent to the most recent year in which Accounts 1588 and 1589 were approved for disposition on a final basis by the OEB.</w:t>
      </w:r>
    </w:p>
    <w:p w14:paraId="2D1B7CF3" w14:textId="77777777" w:rsidR="00F2413F" w:rsidRPr="00F10B9B" w:rsidRDefault="00F2413F" w:rsidP="00F10B9B">
      <w:pPr>
        <w:spacing w:after="0" w:line="276" w:lineRule="auto"/>
        <w:rPr>
          <w:rFonts w:ascii="Arial" w:hAnsi="Arial" w:cs="Arial"/>
          <w:sz w:val="24"/>
          <w:szCs w:val="24"/>
        </w:rPr>
      </w:pPr>
    </w:p>
    <w:p w14:paraId="129548DA" w14:textId="30139D4D" w:rsidR="00F2413F" w:rsidRPr="00F10B9B" w:rsidRDefault="00F2413F" w:rsidP="00F10B9B">
      <w:pPr>
        <w:spacing w:after="0" w:line="276" w:lineRule="auto"/>
        <w:rPr>
          <w:rFonts w:ascii="Arial" w:hAnsi="Arial" w:cs="Arial"/>
          <w:sz w:val="24"/>
          <w:szCs w:val="24"/>
        </w:rPr>
      </w:pPr>
      <w:r w:rsidRPr="00F10B9B">
        <w:rPr>
          <w:rFonts w:ascii="Arial" w:hAnsi="Arial" w:cs="Arial"/>
          <w:sz w:val="24"/>
          <w:szCs w:val="24"/>
        </w:rPr>
        <w:t>At the above</w:t>
      </w:r>
      <w:r w:rsidR="00483403">
        <w:rPr>
          <w:rFonts w:ascii="Arial" w:hAnsi="Arial" w:cs="Arial"/>
          <w:sz w:val="24"/>
          <w:szCs w:val="24"/>
        </w:rPr>
        <w:t>-</w:t>
      </w:r>
      <w:r w:rsidRPr="00F10B9B">
        <w:rPr>
          <w:rFonts w:ascii="Arial" w:hAnsi="Arial" w:cs="Arial"/>
          <w:sz w:val="24"/>
          <w:szCs w:val="24"/>
        </w:rPr>
        <w:t xml:space="preserve">noted second reference, </w:t>
      </w:r>
      <w:r w:rsidR="00111473">
        <w:rPr>
          <w:rFonts w:ascii="Arial" w:hAnsi="Arial" w:cs="Arial"/>
          <w:sz w:val="24"/>
          <w:szCs w:val="24"/>
        </w:rPr>
        <w:t>Elexicon Energy</w:t>
      </w:r>
      <w:r w:rsidRPr="00F10B9B">
        <w:rPr>
          <w:rFonts w:ascii="Arial" w:hAnsi="Arial" w:cs="Arial"/>
          <w:sz w:val="24"/>
          <w:szCs w:val="24"/>
        </w:rPr>
        <w:t xml:space="preserve"> stated the following</w:t>
      </w:r>
      <w:r w:rsidR="00483403">
        <w:rPr>
          <w:rFonts w:ascii="Arial" w:hAnsi="Arial" w:cs="Arial"/>
          <w:sz w:val="24"/>
          <w:szCs w:val="24"/>
        </w:rPr>
        <w:t xml:space="preserve"> (noted below)</w:t>
      </w:r>
      <w:r w:rsidRPr="00F10B9B">
        <w:rPr>
          <w:rFonts w:ascii="Arial" w:hAnsi="Arial" w:cs="Arial"/>
          <w:sz w:val="24"/>
          <w:szCs w:val="24"/>
        </w:rPr>
        <w:t xml:space="preserve">, however </w:t>
      </w:r>
      <w:r w:rsidR="00483403">
        <w:rPr>
          <w:rFonts w:ascii="Arial" w:hAnsi="Arial" w:cs="Arial"/>
          <w:sz w:val="24"/>
          <w:szCs w:val="24"/>
        </w:rPr>
        <w:t xml:space="preserve">the </w:t>
      </w:r>
      <w:r w:rsidR="00A1610F" w:rsidRPr="00F10B9B">
        <w:rPr>
          <w:rFonts w:ascii="Arial" w:hAnsi="Arial" w:cs="Arial"/>
          <w:sz w:val="24"/>
          <w:szCs w:val="24"/>
        </w:rPr>
        <w:t xml:space="preserve">December 31, </w:t>
      </w:r>
      <w:r w:rsidRPr="00F10B9B">
        <w:rPr>
          <w:rFonts w:ascii="Arial" w:hAnsi="Arial" w:cs="Arial"/>
          <w:sz w:val="24"/>
          <w:szCs w:val="24"/>
        </w:rPr>
        <w:t>2016 balances have not been addressed in the IRM Rate Generator Model.</w:t>
      </w:r>
      <w:r w:rsidR="00435802" w:rsidRPr="00F10B9B">
        <w:rPr>
          <w:rFonts w:ascii="Arial" w:hAnsi="Arial" w:cs="Arial"/>
          <w:sz w:val="24"/>
          <w:szCs w:val="24"/>
        </w:rPr>
        <w:t xml:space="preserve"> OEB staff notes that 2017 balances were cleared on an interim basis and will be reviewed in this proceeding</w:t>
      </w:r>
      <w:r w:rsidR="003B019B" w:rsidRPr="00F10B9B">
        <w:rPr>
          <w:rFonts w:ascii="Arial" w:hAnsi="Arial" w:cs="Arial"/>
          <w:sz w:val="24"/>
          <w:szCs w:val="24"/>
        </w:rPr>
        <w:t>.</w:t>
      </w:r>
    </w:p>
    <w:p w14:paraId="04189B81" w14:textId="77777777" w:rsidR="00F2413F" w:rsidRPr="00F10B9B" w:rsidRDefault="00F2413F" w:rsidP="00F10B9B">
      <w:pPr>
        <w:spacing w:after="0" w:line="276" w:lineRule="auto"/>
        <w:rPr>
          <w:rFonts w:ascii="Arial" w:hAnsi="Arial" w:cs="Arial"/>
          <w:sz w:val="24"/>
          <w:szCs w:val="24"/>
        </w:rPr>
      </w:pPr>
    </w:p>
    <w:p w14:paraId="3F126234" w14:textId="77777777" w:rsidR="00F2413F" w:rsidRPr="00F10B9B" w:rsidRDefault="00F2413F" w:rsidP="00F10B9B">
      <w:pPr>
        <w:spacing w:after="0" w:line="276" w:lineRule="auto"/>
        <w:ind w:left="720"/>
        <w:rPr>
          <w:rFonts w:ascii="Arial" w:hAnsi="Arial" w:cs="Arial"/>
          <w:sz w:val="24"/>
          <w:szCs w:val="24"/>
        </w:rPr>
      </w:pPr>
      <w:r w:rsidRPr="00F10B9B">
        <w:rPr>
          <w:rFonts w:ascii="Arial" w:hAnsi="Arial" w:cs="Arial"/>
          <w:sz w:val="24"/>
          <w:szCs w:val="24"/>
        </w:rPr>
        <w:t>In keeping with the model instructions, the continuity starts with the balances as per the date for which approval was last received (i</w:t>
      </w:r>
      <w:r w:rsidR="00661C14">
        <w:rPr>
          <w:rFonts w:ascii="Arial" w:hAnsi="Arial" w:cs="Arial"/>
          <w:sz w:val="24"/>
          <w:szCs w:val="24"/>
        </w:rPr>
        <w:t>.</w:t>
      </w:r>
      <w:r w:rsidRPr="00F10B9B">
        <w:rPr>
          <w:rFonts w:ascii="Arial" w:hAnsi="Arial" w:cs="Arial"/>
          <w:sz w:val="24"/>
          <w:szCs w:val="24"/>
        </w:rPr>
        <w:t>e. 2017 closing balances).</w:t>
      </w:r>
    </w:p>
    <w:p w14:paraId="3F4E4387" w14:textId="77777777" w:rsidR="00DD6CA0" w:rsidRPr="00F10B9B" w:rsidRDefault="00DD6CA0" w:rsidP="00F10B9B">
      <w:pPr>
        <w:spacing w:after="0" w:line="276" w:lineRule="auto"/>
        <w:rPr>
          <w:rFonts w:ascii="Arial" w:hAnsi="Arial" w:cs="Arial"/>
          <w:sz w:val="24"/>
          <w:szCs w:val="24"/>
        </w:rPr>
      </w:pPr>
    </w:p>
    <w:p w14:paraId="38815554" w14:textId="77777777" w:rsidR="0024551B" w:rsidRPr="00051B5F" w:rsidRDefault="0024551B" w:rsidP="00F10B9B">
      <w:pPr>
        <w:spacing w:after="0" w:line="276" w:lineRule="auto"/>
        <w:rPr>
          <w:rFonts w:ascii="Arial" w:hAnsi="Arial" w:cs="Arial"/>
          <w:sz w:val="24"/>
          <w:szCs w:val="24"/>
          <w:u w:val="single"/>
        </w:rPr>
      </w:pPr>
      <w:r w:rsidRPr="00051B5F">
        <w:rPr>
          <w:rFonts w:ascii="Arial" w:hAnsi="Arial" w:cs="Arial"/>
          <w:sz w:val="24"/>
          <w:szCs w:val="24"/>
          <w:u w:val="single"/>
        </w:rPr>
        <w:t>Questions:</w:t>
      </w:r>
    </w:p>
    <w:p w14:paraId="54B355B3" w14:textId="77777777" w:rsidR="00375F3C" w:rsidRPr="00051B5F" w:rsidRDefault="00375F3C" w:rsidP="00F10B9B">
      <w:pPr>
        <w:spacing w:after="0" w:line="276" w:lineRule="auto"/>
        <w:rPr>
          <w:rFonts w:ascii="Arial" w:hAnsi="Arial" w:cs="Arial"/>
          <w:sz w:val="24"/>
          <w:szCs w:val="24"/>
          <w:u w:val="single"/>
        </w:rPr>
      </w:pPr>
    </w:p>
    <w:p w14:paraId="7EEB9A3A" w14:textId="4825EE90" w:rsidR="00375F3C" w:rsidRPr="00F10B9B" w:rsidRDefault="00375F3C" w:rsidP="00F10B9B">
      <w:pPr>
        <w:pStyle w:val="ListParagraph"/>
        <w:numPr>
          <w:ilvl w:val="0"/>
          <w:numId w:val="13"/>
        </w:numPr>
        <w:spacing w:after="0" w:line="276" w:lineRule="auto"/>
        <w:rPr>
          <w:rFonts w:ascii="Arial" w:hAnsi="Arial" w:cs="Arial"/>
          <w:sz w:val="24"/>
          <w:szCs w:val="24"/>
        </w:rPr>
      </w:pPr>
      <w:r w:rsidRPr="00F10B9B">
        <w:rPr>
          <w:rFonts w:ascii="Arial" w:hAnsi="Arial" w:cs="Arial"/>
          <w:sz w:val="24"/>
          <w:szCs w:val="24"/>
        </w:rPr>
        <w:t xml:space="preserve">Although </w:t>
      </w:r>
      <w:r w:rsidR="00111473">
        <w:rPr>
          <w:rFonts w:ascii="Arial" w:hAnsi="Arial" w:cs="Arial"/>
          <w:sz w:val="24"/>
          <w:szCs w:val="24"/>
        </w:rPr>
        <w:t>Elexicon Energy</w:t>
      </w:r>
      <w:r w:rsidR="00111473" w:rsidRPr="00F10B9B">
        <w:rPr>
          <w:rFonts w:ascii="Arial" w:hAnsi="Arial" w:cs="Arial"/>
          <w:sz w:val="24"/>
          <w:szCs w:val="24"/>
        </w:rPr>
        <w:t xml:space="preserve"> </w:t>
      </w:r>
      <w:r w:rsidRPr="00F10B9B">
        <w:rPr>
          <w:rFonts w:ascii="Arial" w:hAnsi="Arial" w:cs="Arial"/>
          <w:sz w:val="24"/>
          <w:szCs w:val="24"/>
        </w:rPr>
        <w:t xml:space="preserve">has provided a GA Analysis Workform for 2018 balances, it also needs to provide a GA Analysis Workform for 2017 balances, including explanations of reconciling items. 2017 balances were approved on an interim basis in </w:t>
      </w:r>
      <w:r w:rsidR="00111473">
        <w:rPr>
          <w:rFonts w:ascii="Arial" w:hAnsi="Arial" w:cs="Arial"/>
          <w:sz w:val="24"/>
          <w:szCs w:val="24"/>
        </w:rPr>
        <w:t>the Veridian Rate Zone</w:t>
      </w:r>
      <w:r w:rsidRPr="00F10B9B">
        <w:rPr>
          <w:rFonts w:ascii="Arial" w:hAnsi="Arial" w:cs="Arial"/>
          <w:sz w:val="24"/>
          <w:szCs w:val="24"/>
        </w:rPr>
        <w:t xml:space="preserve">’s 2019 </w:t>
      </w:r>
      <w:r w:rsidR="003A2923">
        <w:rPr>
          <w:rFonts w:ascii="Arial" w:hAnsi="Arial" w:cs="Arial"/>
          <w:sz w:val="24"/>
          <w:szCs w:val="24"/>
        </w:rPr>
        <w:t xml:space="preserve">rates </w:t>
      </w:r>
      <w:r w:rsidRPr="00F10B9B">
        <w:rPr>
          <w:rFonts w:ascii="Arial" w:hAnsi="Arial" w:cs="Arial"/>
          <w:sz w:val="24"/>
          <w:szCs w:val="24"/>
        </w:rPr>
        <w:t>proceeding.</w:t>
      </w:r>
      <w:r w:rsidRPr="00F10B9B">
        <w:rPr>
          <w:rStyle w:val="FootnoteReference"/>
          <w:rFonts w:ascii="Arial" w:hAnsi="Arial" w:cs="Arial"/>
          <w:sz w:val="24"/>
          <w:szCs w:val="24"/>
        </w:rPr>
        <w:footnoteReference w:id="1"/>
      </w:r>
      <w:r w:rsidRPr="00F10B9B">
        <w:rPr>
          <w:rFonts w:ascii="Arial" w:hAnsi="Arial" w:cs="Arial"/>
          <w:sz w:val="24"/>
          <w:szCs w:val="24"/>
        </w:rPr>
        <w:t xml:space="preserve"> The most recent year in which Accounts 1588 and 1589 were approved for disposition on a </w:t>
      </w:r>
      <w:r w:rsidRPr="00F10B9B">
        <w:rPr>
          <w:rFonts w:ascii="Arial" w:hAnsi="Arial" w:cs="Arial"/>
          <w:sz w:val="24"/>
          <w:szCs w:val="24"/>
        </w:rPr>
        <w:lastRenderedPageBreak/>
        <w:t xml:space="preserve">final basis related to 2016 balances in </w:t>
      </w:r>
      <w:r w:rsidR="00111473">
        <w:rPr>
          <w:rFonts w:ascii="Arial" w:hAnsi="Arial" w:cs="Arial"/>
          <w:sz w:val="24"/>
          <w:szCs w:val="24"/>
        </w:rPr>
        <w:t>the Veridian Rate Zone’s</w:t>
      </w:r>
      <w:r w:rsidRPr="00F10B9B">
        <w:rPr>
          <w:rFonts w:ascii="Arial" w:hAnsi="Arial" w:cs="Arial"/>
          <w:sz w:val="24"/>
          <w:szCs w:val="24"/>
        </w:rPr>
        <w:t xml:space="preserve"> 2018 </w:t>
      </w:r>
      <w:r w:rsidR="003A2923">
        <w:rPr>
          <w:rFonts w:ascii="Arial" w:hAnsi="Arial" w:cs="Arial"/>
          <w:sz w:val="24"/>
          <w:szCs w:val="24"/>
        </w:rPr>
        <w:t xml:space="preserve">rates </w:t>
      </w:r>
      <w:r w:rsidRPr="00F10B9B">
        <w:rPr>
          <w:rFonts w:ascii="Arial" w:hAnsi="Arial" w:cs="Arial"/>
          <w:sz w:val="24"/>
          <w:szCs w:val="24"/>
        </w:rPr>
        <w:t>proceeding.</w:t>
      </w:r>
      <w:r w:rsidRPr="00F10B9B">
        <w:rPr>
          <w:rStyle w:val="FootnoteReference"/>
          <w:rFonts w:ascii="Arial" w:hAnsi="Arial" w:cs="Arial"/>
          <w:sz w:val="24"/>
          <w:szCs w:val="24"/>
        </w:rPr>
        <w:footnoteReference w:id="2"/>
      </w:r>
      <w:r w:rsidRPr="00F10B9B">
        <w:rPr>
          <w:rFonts w:ascii="Arial" w:hAnsi="Arial" w:cs="Arial"/>
          <w:sz w:val="24"/>
          <w:szCs w:val="24"/>
        </w:rPr>
        <w:t xml:space="preserve"> </w:t>
      </w:r>
    </w:p>
    <w:p w14:paraId="2F8899FC" w14:textId="77777777" w:rsidR="00375F3C" w:rsidRPr="00F10B9B" w:rsidRDefault="00375F3C" w:rsidP="00F10B9B">
      <w:pPr>
        <w:pStyle w:val="ListParagraph"/>
        <w:spacing w:after="0" w:line="276" w:lineRule="auto"/>
        <w:rPr>
          <w:rFonts w:ascii="Arial" w:hAnsi="Arial" w:cs="Arial"/>
          <w:sz w:val="24"/>
          <w:szCs w:val="24"/>
        </w:rPr>
      </w:pPr>
    </w:p>
    <w:p w14:paraId="26881637" w14:textId="77777777" w:rsidR="00375F3C" w:rsidRPr="00F10B9B" w:rsidRDefault="00375F3C" w:rsidP="00F10B9B">
      <w:pPr>
        <w:pStyle w:val="ListParagraph"/>
        <w:numPr>
          <w:ilvl w:val="0"/>
          <w:numId w:val="14"/>
        </w:numPr>
        <w:spacing w:after="0" w:line="276" w:lineRule="auto"/>
        <w:rPr>
          <w:rFonts w:ascii="Arial" w:hAnsi="Arial" w:cs="Arial"/>
          <w:sz w:val="24"/>
          <w:szCs w:val="24"/>
        </w:rPr>
      </w:pPr>
      <w:r w:rsidRPr="00F10B9B">
        <w:rPr>
          <w:rFonts w:ascii="Arial" w:hAnsi="Arial" w:cs="Arial"/>
          <w:sz w:val="24"/>
          <w:szCs w:val="24"/>
        </w:rPr>
        <w:t>Please provide a revised 2017 GA Analysis Workform.</w:t>
      </w:r>
    </w:p>
    <w:p w14:paraId="4DC90243" w14:textId="77777777" w:rsidR="00375F3C" w:rsidRPr="00F10B9B" w:rsidRDefault="00375F3C" w:rsidP="00F10B9B">
      <w:pPr>
        <w:pStyle w:val="ListParagraph"/>
        <w:spacing w:after="0" w:line="276" w:lineRule="auto"/>
        <w:ind w:left="1440"/>
        <w:rPr>
          <w:rFonts w:ascii="Arial" w:hAnsi="Arial" w:cs="Arial"/>
          <w:sz w:val="24"/>
          <w:szCs w:val="24"/>
        </w:rPr>
      </w:pPr>
    </w:p>
    <w:p w14:paraId="3368ACB7" w14:textId="32FBE725" w:rsidR="00375F3C" w:rsidRPr="00F10B9B" w:rsidRDefault="00375F3C" w:rsidP="00147D0F">
      <w:pPr>
        <w:pStyle w:val="ListParagraph"/>
        <w:numPr>
          <w:ilvl w:val="0"/>
          <w:numId w:val="14"/>
        </w:numPr>
        <w:spacing w:after="0" w:line="276" w:lineRule="auto"/>
        <w:rPr>
          <w:rFonts w:ascii="Arial" w:hAnsi="Arial" w:cs="Arial"/>
          <w:sz w:val="24"/>
          <w:szCs w:val="24"/>
        </w:rPr>
      </w:pPr>
      <w:r w:rsidRPr="00F10B9B">
        <w:rPr>
          <w:rFonts w:ascii="Arial" w:hAnsi="Arial" w:cs="Arial"/>
          <w:sz w:val="24"/>
          <w:szCs w:val="24"/>
        </w:rPr>
        <w:t xml:space="preserve">Alternatively, please confirm that the OEB can rely on the 2017 GA Analysis Workform filed on January 15, 2019 in </w:t>
      </w:r>
      <w:r w:rsidR="00111473">
        <w:rPr>
          <w:rFonts w:ascii="Arial" w:hAnsi="Arial" w:cs="Arial"/>
          <w:sz w:val="24"/>
          <w:szCs w:val="24"/>
        </w:rPr>
        <w:t>Veridian</w:t>
      </w:r>
      <w:r w:rsidRPr="00F10B9B">
        <w:rPr>
          <w:rFonts w:ascii="Arial" w:hAnsi="Arial" w:cs="Arial"/>
          <w:sz w:val="24"/>
          <w:szCs w:val="24"/>
        </w:rPr>
        <w:t xml:space="preserve">’s 2019 </w:t>
      </w:r>
      <w:r w:rsidR="003A2923">
        <w:rPr>
          <w:rFonts w:ascii="Arial" w:hAnsi="Arial" w:cs="Arial"/>
          <w:sz w:val="24"/>
          <w:szCs w:val="24"/>
        </w:rPr>
        <w:t xml:space="preserve">rates </w:t>
      </w:r>
      <w:r w:rsidRPr="00F10B9B">
        <w:rPr>
          <w:rFonts w:ascii="Arial" w:hAnsi="Arial" w:cs="Arial"/>
          <w:sz w:val="24"/>
          <w:szCs w:val="24"/>
        </w:rPr>
        <w:t>proceeding.</w:t>
      </w:r>
      <w:r w:rsidRPr="00F10B9B">
        <w:rPr>
          <w:rStyle w:val="FootnoteReference"/>
          <w:rFonts w:ascii="Arial" w:hAnsi="Arial" w:cs="Arial"/>
          <w:sz w:val="24"/>
          <w:szCs w:val="24"/>
        </w:rPr>
        <w:footnoteReference w:id="3"/>
      </w:r>
      <w:r w:rsidR="00147D0F">
        <w:rPr>
          <w:rFonts w:ascii="Arial" w:hAnsi="Arial" w:cs="Arial"/>
          <w:sz w:val="24"/>
          <w:szCs w:val="24"/>
        </w:rPr>
        <w:t xml:space="preserve"> </w:t>
      </w:r>
      <w:r w:rsidR="00147D0F" w:rsidRPr="00147D0F">
        <w:rPr>
          <w:rFonts w:ascii="Arial" w:hAnsi="Arial" w:cs="Arial"/>
          <w:sz w:val="24"/>
          <w:szCs w:val="24"/>
        </w:rPr>
        <w:t>If confirmed, please file this spreadsheet on the record of the current proceeding.</w:t>
      </w:r>
    </w:p>
    <w:p w14:paraId="51B6C34B" w14:textId="77777777" w:rsidR="00375F3C" w:rsidRPr="00F10B9B" w:rsidRDefault="00375F3C" w:rsidP="00F10B9B">
      <w:pPr>
        <w:spacing w:after="0" w:line="276" w:lineRule="auto"/>
        <w:rPr>
          <w:rFonts w:ascii="Arial" w:hAnsi="Arial" w:cs="Arial"/>
          <w:sz w:val="24"/>
          <w:szCs w:val="24"/>
        </w:rPr>
      </w:pPr>
    </w:p>
    <w:p w14:paraId="64A150A1" w14:textId="77777777" w:rsidR="009B2AC6" w:rsidRDefault="00375F3C" w:rsidP="00F10B9B">
      <w:pPr>
        <w:pStyle w:val="ListParagraph"/>
        <w:numPr>
          <w:ilvl w:val="0"/>
          <w:numId w:val="13"/>
        </w:numPr>
        <w:spacing w:after="0" w:line="276" w:lineRule="auto"/>
        <w:rPr>
          <w:rFonts w:ascii="Arial" w:hAnsi="Arial" w:cs="Arial"/>
          <w:sz w:val="24"/>
          <w:szCs w:val="24"/>
        </w:rPr>
      </w:pPr>
      <w:r w:rsidRPr="00F10B9B">
        <w:rPr>
          <w:rFonts w:ascii="Arial" w:hAnsi="Arial" w:cs="Arial"/>
          <w:sz w:val="24"/>
          <w:szCs w:val="24"/>
        </w:rPr>
        <w:t xml:space="preserve">The Deferral and Variance Account (DVA) Continuity Schedule, Tab 3, provided by </w:t>
      </w:r>
      <w:r w:rsidR="00111473">
        <w:rPr>
          <w:rFonts w:ascii="Arial" w:hAnsi="Arial" w:cs="Arial"/>
          <w:sz w:val="24"/>
          <w:szCs w:val="24"/>
        </w:rPr>
        <w:t>Elexicon Energy</w:t>
      </w:r>
      <w:r w:rsidRPr="00F10B9B">
        <w:rPr>
          <w:rFonts w:ascii="Arial" w:hAnsi="Arial" w:cs="Arial"/>
          <w:sz w:val="24"/>
          <w:szCs w:val="24"/>
        </w:rPr>
        <w:t xml:space="preserve"> 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 As a result, additional columns in Tab 3 will need to be populated.</w:t>
      </w:r>
      <w:r w:rsidR="00F7252A" w:rsidRPr="00F10B9B">
        <w:rPr>
          <w:rFonts w:ascii="Arial" w:hAnsi="Arial" w:cs="Arial"/>
          <w:sz w:val="24"/>
          <w:szCs w:val="24"/>
        </w:rPr>
        <w:t xml:space="preserve"> </w:t>
      </w:r>
    </w:p>
    <w:p w14:paraId="4B5AC423" w14:textId="77777777" w:rsidR="009B2AC6" w:rsidRDefault="009B2AC6" w:rsidP="009B2AC6">
      <w:pPr>
        <w:pStyle w:val="ListParagraph"/>
        <w:spacing w:after="0" w:line="276" w:lineRule="auto"/>
        <w:rPr>
          <w:rFonts w:ascii="Arial" w:hAnsi="Arial" w:cs="Arial"/>
          <w:sz w:val="24"/>
          <w:szCs w:val="24"/>
        </w:rPr>
      </w:pPr>
    </w:p>
    <w:p w14:paraId="6B6EF3C7" w14:textId="113F7AE8" w:rsidR="00F7252A" w:rsidRPr="00F10B9B" w:rsidRDefault="00F7252A" w:rsidP="009B2AC6">
      <w:pPr>
        <w:pStyle w:val="ListParagraph"/>
        <w:spacing w:after="0" w:line="276" w:lineRule="auto"/>
        <w:rPr>
          <w:rFonts w:ascii="Arial" w:hAnsi="Arial" w:cs="Arial"/>
          <w:sz w:val="24"/>
          <w:szCs w:val="24"/>
        </w:rPr>
      </w:pPr>
      <w:r w:rsidRPr="00F10B9B">
        <w:rPr>
          <w:rFonts w:ascii="Arial" w:hAnsi="Arial" w:cs="Arial"/>
          <w:sz w:val="24"/>
          <w:szCs w:val="24"/>
        </w:rPr>
        <w:t xml:space="preserve">Please </w:t>
      </w:r>
      <w:r w:rsidR="00D86A54">
        <w:rPr>
          <w:rFonts w:ascii="Arial" w:hAnsi="Arial" w:cs="Arial"/>
          <w:sz w:val="24"/>
          <w:szCs w:val="24"/>
        </w:rPr>
        <w:t>make the required changes in Tab 1 of the 2020 IRM Rate Gen</w:t>
      </w:r>
      <w:r w:rsidR="002F7EE2">
        <w:rPr>
          <w:rFonts w:ascii="Arial" w:hAnsi="Arial" w:cs="Arial"/>
          <w:sz w:val="24"/>
          <w:szCs w:val="24"/>
        </w:rPr>
        <w:t>erator</w:t>
      </w:r>
      <w:r w:rsidR="00E13F1F">
        <w:rPr>
          <w:rFonts w:ascii="Arial" w:hAnsi="Arial" w:cs="Arial"/>
          <w:sz w:val="24"/>
          <w:szCs w:val="24"/>
        </w:rPr>
        <w:t xml:space="preserve"> to </w:t>
      </w:r>
      <w:r w:rsidRPr="00F10B9B">
        <w:rPr>
          <w:rFonts w:ascii="Arial" w:hAnsi="Arial" w:cs="Arial"/>
          <w:sz w:val="24"/>
          <w:szCs w:val="24"/>
        </w:rPr>
        <w:t>refile the DVA Continuity Schedule accordingly.</w:t>
      </w:r>
    </w:p>
    <w:p w14:paraId="1A8B09D6" w14:textId="77777777" w:rsidR="00332C45" w:rsidRPr="00F10B9B" w:rsidRDefault="00332C45" w:rsidP="00F10B9B">
      <w:pPr>
        <w:spacing w:after="0" w:line="276" w:lineRule="auto"/>
        <w:rPr>
          <w:rFonts w:ascii="Arial" w:hAnsi="Arial" w:cs="Arial"/>
          <w:sz w:val="24"/>
          <w:szCs w:val="24"/>
        </w:rPr>
      </w:pPr>
    </w:p>
    <w:p w14:paraId="630529FC" w14:textId="77777777" w:rsidR="00332C45" w:rsidRPr="00F10B9B" w:rsidRDefault="00332C45" w:rsidP="00F10B9B">
      <w:pPr>
        <w:spacing w:after="0" w:line="276" w:lineRule="auto"/>
        <w:rPr>
          <w:rFonts w:ascii="Arial" w:hAnsi="Arial" w:cs="Arial"/>
          <w:sz w:val="24"/>
          <w:szCs w:val="24"/>
        </w:rPr>
      </w:pPr>
    </w:p>
    <w:p w14:paraId="5828A12E" w14:textId="77777777" w:rsidR="00332C45" w:rsidRPr="00F10B9B" w:rsidRDefault="00332C45" w:rsidP="00051B5F">
      <w:pPr>
        <w:pStyle w:val="Heading2"/>
      </w:pPr>
      <w:r w:rsidRPr="00F10B9B">
        <w:t>Staff-</w:t>
      </w:r>
      <w:r w:rsidR="004344D1">
        <w:t>2</w:t>
      </w:r>
    </w:p>
    <w:p w14:paraId="29BC4C7C" w14:textId="77777777" w:rsidR="00332C45" w:rsidRPr="00F10B9B" w:rsidRDefault="00332C45" w:rsidP="00F10B9B">
      <w:pPr>
        <w:spacing w:after="0" w:line="276" w:lineRule="auto"/>
        <w:rPr>
          <w:rFonts w:ascii="Arial" w:hAnsi="Arial" w:cs="Arial"/>
          <w:sz w:val="24"/>
          <w:szCs w:val="24"/>
        </w:rPr>
      </w:pPr>
    </w:p>
    <w:p w14:paraId="37CF04AB" w14:textId="0460E041" w:rsidR="00584ADF" w:rsidRPr="00F10B9B" w:rsidRDefault="00332C45" w:rsidP="00F10B9B">
      <w:pPr>
        <w:spacing w:after="0" w:line="276" w:lineRule="auto"/>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 xml:space="preserve">(1) </w:t>
      </w:r>
      <w:r w:rsidR="00165D38">
        <w:rPr>
          <w:rFonts w:ascii="Arial" w:hAnsi="Arial" w:cs="Arial"/>
          <w:sz w:val="24"/>
          <w:szCs w:val="24"/>
        </w:rPr>
        <w:t xml:space="preserve">Application, </w:t>
      </w:r>
      <w:r w:rsidR="00584ADF" w:rsidRPr="00F10B9B">
        <w:rPr>
          <w:rFonts w:ascii="Arial" w:hAnsi="Arial" w:cs="Arial"/>
          <w:sz w:val="24"/>
          <w:szCs w:val="24"/>
        </w:rPr>
        <w:t>Manager’s Summary, page 6</w:t>
      </w:r>
    </w:p>
    <w:p w14:paraId="1BF2E2E0" w14:textId="62DAFC23" w:rsidR="00597FEE" w:rsidRPr="00F10B9B" w:rsidRDefault="00597FEE" w:rsidP="00F10B9B">
      <w:pPr>
        <w:spacing w:after="0" w:line="276" w:lineRule="auto"/>
        <w:rPr>
          <w:rFonts w:ascii="Arial" w:hAnsi="Arial" w:cs="Arial"/>
          <w:sz w:val="24"/>
          <w:szCs w:val="24"/>
        </w:rPr>
      </w:pPr>
      <w:r w:rsidRPr="00F10B9B">
        <w:rPr>
          <w:rFonts w:ascii="Arial" w:hAnsi="Arial" w:cs="Arial"/>
          <w:sz w:val="24"/>
          <w:szCs w:val="24"/>
        </w:rPr>
        <w:tab/>
        <w:t xml:space="preserve">(2) </w:t>
      </w:r>
      <w:r w:rsidR="00165D38">
        <w:rPr>
          <w:rFonts w:ascii="Arial" w:hAnsi="Arial" w:cs="Arial"/>
          <w:sz w:val="24"/>
          <w:szCs w:val="24"/>
        </w:rPr>
        <w:t xml:space="preserve">Application, </w:t>
      </w:r>
      <w:r w:rsidRPr="00F10B9B">
        <w:rPr>
          <w:rFonts w:ascii="Arial" w:hAnsi="Arial" w:cs="Arial"/>
          <w:sz w:val="24"/>
          <w:szCs w:val="24"/>
        </w:rPr>
        <w:t>Manager’s Summary, page 13</w:t>
      </w:r>
    </w:p>
    <w:p w14:paraId="3914C934" w14:textId="318EDF67" w:rsidR="00584ADF" w:rsidRPr="00F10B9B" w:rsidRDefault="007433DF" w:rsidP="00F10B9B">
      <w:pPr>
        <w:spacing w:after="0" w:line="276" w:lineRule="auto"/>
        <w:rPr>
          <w:rFonts w:ascii="Arial" w:hAnsi="Arial" w:cs="Arial"/>
          <w:sz w:val="24"/>
          <w:szCs w:val="24"/>
        </w:rPr>
      </w:pPr>
      <w:r w:rsidRPr="00F10B9B">
        <w:rPr>
          <w:rFonts w:ascii="Arial" w:hAnsi="Arial" w:cs="Arial"/>
          <w:sz w:val="24"/>
          <w:szCs w:val="24"/>
        </w:rPr>
        <w:tab/>
        <w:t>(</w:t>
      </w:r>
      <w:r w:rsidR="00E91801">
        <w:rPr>
          <w:rFonts w:ascii="Arial" w:hAnsi="Arial" w:cs="Arial"/>
          <w:sz w:val="24"/>
          <w:szCs w:val="24"/>
        </w:rPr>
        <w:t>3</w:t>
      </w:r>
      <w:r w:rsidR="00584ADF" w:rsidRPr="00F10B9B">
        <w:rPr>
          <w:rFonts w:ascii="Arial" w:hAnsi="Arial" w:cs="Arial"/>
          <w:sz w:val="24"/>
          <w:szCs w:val="24"/>
        </w:rPr>
        <w:t xml:space="preserve">) </w:t>
      </w:r>
      <w:r w:rsidR="00165D38">
        <w:rPr>
          <w:rFonts w:ascii="Arial" w:hAnsi="Arial" w:cs="Arial"/>
          <w:sz w:val="24"/>
          <w:szCs w:val="24"/>
        </w:rPr>
        <w:t xml:space="preserve">Application, </w:t>
      </w:r>
      <w:r w:rsidR="00584ADF" w:rsidRPr="00F10B9B">
        <w:rPr>
          <w:rFonts w:ascii="Arial" w:hAnsi="Arial" w:cs="Arial"/>
          <w:sz w:val="24"/>
          <w:szCs w:val="24"/>
        </w:rPr>
        <w:t>Appendix F</w:t>
      </w:r>
      <w:r w:rsidR="00EF7971">
        <w:rPr>
          <w:rFonts w:ascii="Arial" w:hAnsi="Arial" w:cs="Arial"/>
          <w:sz w:val="24"/>
          <w:szCs w:val="24"/>
        </w:rPr>
        <w:t xml:space="preserve"> </w:t>
      </w:r>
      <w:r w:rsidR="00584ADF" w:rsidRPr="00F10B9B">
        <w:rPr>
          <w:rFonts w:ascii="Arial" w:hAnsi="Arial" w:cs="Arial"/>
          <w:sz w:val="24"/>
          <w:szCs w:val="24"/>
        </w:rPr>
        <w:t>– Accounting Guidance, page 2</w:t>
      </w:r>
    </w:p>
    <w:p w14:paraId="6D77B365" w14:textId="511D5300" w:rsidR="007433DF" w:rsidRPr="00F10B9B" w:rsidRDefault="007433DF" w:rsidP="00F10B9B">
      <w:pPr>
        <w:spacing w:after="0" w:line="276" w:lineRule="auto"/>
        <w:ind w:left="720"/>
        <w:rPr>
          <w:rFonts w:ascii="Arial" w:hAnsi="Arial" w:cs="Arial"/>
          <w:sz w:val="24"/>
          <w:szCs w:val="24"/>
        </w:rPr>
      </w:pPr>
      <w:r w:rsidRPr="00F10B9B">
        <w:rPr>
          <w:rFonts w:ascii="Arial" w:hAnsi="Arial" w:cs="Arial"/>
          <w:sz w:val="24"/>
          <w:szCs w:val="24"/>
        </w:rPr>
        <w:t>(</w:t>
      </w:r>
      <w:r w:rsidR="00E91801">
        <w:rPr>
          <w:rFonts w:ascii="Arial" w:hAnsi="Arial" w:cs="Arial"/>
          <w:sz w:val="24"/>
          <w:szCs w:val="24"/>
        </w:rPr>
        <w:t>4</w:t>
      </w:r>
      <w:r w:rsidR="00A16564" w:rsidRPr="00F10B9B">
        <w:rPr>
          <w:rFonts w:ascii="Arial" w:hAnsi="Arial" w:cs="Arial"/>
          <w:sz w:val="24"/>
          <w:szCs w:val="24"/>
        </w:rPr>
        <w:t xml:space="preserve">) </w:t>
      </w:r>
      <w:r w:rsidR="00A24F41" w:rsidRPr="00F10B9B">
        <w:rPr>
          <w:rFonts w:ascii="Arial" w:hAnsi="Arial" w:cs="Arial"/>
          <w:sz w:val="24"/>
          <w:szCs w:val="24"/>
        </w:rPr>
        <w:t>Addendum to Filing Requirements For Electricity Distribution Rate Applications - 2020 Rate Applications, dated July 15, 2019, page</w:t>
      </w:r>
      <w:r w:rsidR="00E81249">
        <w:rPr>
          <w:rFonts w:ascii="Arial" w:hAnsi="Arial" w:cs="Arial"/>
          <w:sz w:val="24"/>
          <w:szCs w:val="24"/>
        </w:rPr>
        <w:t>s</w:t>
      </w:r>
      <w:r w:rsidR="00A24F41" w:rsidRPr="00F10B9B">
        <w:rPr>
          <w:rFonts w:ascii="Arial" w:hAnsi="Arial" w:cs="Arial"/>
          <w:sz w:val="24"/>
          <w:szCs w:val="24"/>
        </w:rPr>
        <w:t xml:space="preserve"> 12</w:t>
      </w:r>
      <w:r w:rsidR="00D401A7" w:rsidRPr="00F10B9B">
        <w:rPr>
          <w:rFonts w:ascii="Arial" w:hAnsi="Arial" w:cs="Arial"/>
          <w:sz w:val="24"/>
          <w:szCs w:val="24"/>
        </w:rPr>
        <w:t xml:space="preserve"> &amp; 13</w:t>
      </w:r>
    </w:p>
    <w:p w14:paraId="48B5EE48" w14:textId="6486F8CB" w:rsidR="007433DF" w:rsidRPr="00F10B9B" w:rsidRDefault="00CA0816" w:rsidP="00F10B9B">
      <w:pPr>
        <w:spacing w:after="0" w:line="276" w:lineRule="auto"/>
        <w:rPr>
          <w:rFonts w:ascii="Arial" w:hAnsi="Arial" w:cs="Arial"/>
          <w:sz w:val="24"/>
          <w:szCs w:val="24"/>
        </w:rPr>
      </w:pPr>
      <w:r w:rsidRPr="00F10B9B" w:rsidDel="00CA0816">
        <w:rPr>
          <w:rFonts w:ascii="Arial" w:hAnsi="Arial" w:cs="Arial"/>
          <w:sz w:val="24"/>
          <w:szCs w:val="24"/>
        </w:rPr>
        <w:t xml:space="preserve"> </w:t>
      </w:r>
    </w:p>
    <w:p w14:paraId="06830E03" w14:textId="77777777" w:rsidR="00332C45" w:rsidRPr="00051B5F" w:rsidRDefault="00332C45"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6CBD3200" w14:textId="77777777" w:rsidR="00332C45" w:rsidRDefault="00332C45" w:rsidP="00F10B9B">
      <w:pPr>
        <w:spacing w:after="0" w:line="276" w:lineRule="auto"/>
        <w:rPr>
          <w:rFonts w:ascii="Arial" w:hAnsi="Arial" w:cs="Arial"/>
          <w:sz w:val="24"/>
          <w:szCs w:val="24"/>
        </w:rPr>
      </w:pPr>
    </w:p>
    <w:p w14:paraId="31340A95" w14:textId="4BEED33F" w:rsidR="00E37780" w:rsidRPr="00F10B9B" w:rsidRDefault="00E37780" w:rsidP="00E37780">
      <w:pPr>
        <w:spacing w:after="0" w:line="276" w:lineRule="auto"/>
        <w:rPr>
          <w:rFonts w:ascii="Arial" w:hAnsi="Arial" w:cs="Arial"/>
          <w:sz w:val="24"/>
          <w:szCs w:val="24"/>
        </w:rPr>
      </w:pPr>
      <w:r w:rsidRPr="00F10B9B">
        <w:rPr>
          <w:rFonts w:ascii="Arial" w:hAnsi="Arial" w:cs="Arial"/>
          <w:sz w:val="24"/>
          <w:szCs w:val="24"/>
        </w:rPr>
        <w:t xml:space="preserve">In summary,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 xml:space="preserve">is requesting final disposition of 2017 balances </w:t>
      </w:r>
      <w:r w:rsidR="00483403">
        <w:rPr>
          <w:rFonts w:ascii="Arial" w:hAnsi="Arial" w:cs="Arial"/>
          <w:sz w:val="24"/>
          <w:szCs w:val="24"/>
        </w:rPr>
        <w:t xml:space="preserve">in the Veridian Rate Zone </w:t>
      </w:r>
      <w:r w:rsidRPr="00F10B9B">
        <w:rPr>
          <w:rFonts w:ascii="Arial" w:hAnsi="Arial" w:cs="Arial"/>
          <w:sz w:val="24"/>
          <w:szCs w:val="24"/>
        </w:rPr>
        <w:t>that w</w:t>
      </w:r>
      <w:r w:rsidR="00E13F1F">
        <w:rPr>
          <w:rFonts w:ascii="Arial" w:hAnsi="Arial" w:cs="Arial"/>
          <w:sz w:val="24"/>
          <w:szCs w:val="24"/>
        </w:rPr>
        <w:t>as</w:t>
      </w:r>
      <w:r w:rsidRPr="00F10B9B">
        <w:rPr>
          <w:rFonts w:ascii="Arial" w:hAnsi="Arial" w:cs="Arial"/>
          <w:sz w:val="24"/>
          <w:szCs w:val="24"/>
        </w:rPr>
        <w:t xml:space="preserve"> cleared on an interim basis in 2019 IRM.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 xml:space="preserve">has requested that 2018 balances not be cleared in the current proceeding due to the materiality threshold not being met. </w:t>
      </w:r>
      <w:r w:rsidR="00E13F1F">
        <w:rPr>
          <w:rFonts w:ascii="Arial" w:hAnsi="Arial" w:cs="Arial"/>
          <w:sz w:val="24"/>
          <w:szCs w:val="24"/>
        </w:rPr>
        <w:t>A</w:t>
      </w:r>
      <w:r w:rsidRPr="00F10B9B">
        <w:rPr>
          <w:rFonts w:ascii="Arial" w:hAnsi="Arial" w:cs="Arial"/>
          <w:sz w:val="24"/>
          <w:szCs w:val="24"/>
        </w:rPr>
        <w:t xml:space="preserve">lthough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 xml:space="preserve">indicated that it has used its January to June 2019 balances to review its existing processes against the </w:t>
      </w:r>
      <w:r w:rsidRPr="00F10B9B">
        <w:rPr>
          <w:rFonts w:ascii="Arial" w:hAnsi="Arial" w:cs="Arial"/>
          <w:sz w:val="24"/>
          <w:szCs w:val="24"/>
        </w:rPr>
        <w:lastRenderedPageBreak/>
        <w:t xml:space="preserve">accounting guidance,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 xml:space="preserve">has not described whether its 2017 and 2018 balances have been reviewed. </w:t>
      </w:r>
    </w:p>
    <w:p w14:paraId="3486D537" w14:textId="77777777" w:rsidR="00E37780" w:rsidRPr="00F10B9B" w:rsidRDefault="00E37780" w:rsidP="00F10B9B">
      <w:pPr>
        <w:spacing w:after="0" w:line="276" w:lineRule="auto"/>
        <w:rPr>
          <w:rFonts w:ascii="Arial" w:hAnsi="Arial" w:cs="Arial"/>
          <w:sz w:val="24"/>
          <w:szCs w:val="24"/>
        </w:rPr>
      </w:pPr>
    </w:p>
    <w:p w14:paraId="33AE65B7" w14:textId="6348FA63" w:rsidR="00584ADF" w:rsidRPr="00F10B9B" w:rsidRDefault="00584ADF" w:rsidP="00F10B9B">
      <w:pPr>
        <w:spacing w:after="0" w:line="276" w:lineRule="auto"/>
        <w:rPr>
          <w:rFonts w:ascii="Arial" w:hAnsi="Arial" w:cs="Arial"/>
          <w:sz w:val="24"/>
          <w:szCs w:val="24"/>
        </w:rPr>
      </w:pPr>
      <w:r w:rsidRPr="00F10B9B">
        <w:rPr>
          <w:rFonts w:ascii="Arial" w:hAnsi="Arial" w:cs="Arial"/>
          <w:sz w:val="24"/>
          <w:szCs w:val="24"/>
        </w:rPr>
        <w:t>At the above</w:t>
      </w:r>
      <w:r w:rsidR="00483403">
        <w:rPr>
          <w:rFonts w:ascii="Arial" w:hAnsi="Arial" w:cs="Arial"/>
          <w:sz w:val="24"/>
          <w:szCs w:val="24"/>
        </w:rPr>
        <w:t>-</w:t>
      </w:r>
      <w:r w:rsidRPr="00F10B9B">
        <w:rPr>
          <w:rFonts w:ascii="Arial" w:hAnsi="Arial" w:cs="Arial"/>
          <w:sz w:val="24"/>
          <w:szCs w:val="24"/>
        </w:rPr>
        <w:t xml:space="preserve">noted first reference,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stated that it is requesting the following:</w:t>
      </w:r>
    </w:p>
    <w:p w14:paraId="4480E2F0" w14:textId="77777777" w:rsidR="00F35B84" w:rsidRPr="00F10B9B" w:rsidRDefault="00F35B84" w:rsidP="00F10B9B">
      <w:pPr>
        <w:spacing w:after="0" w:line="276" w:lineRule="auto"/>
        <w:rPr>
          <w:rFonts w:ascii="Arial" w:hAnsi="Arial" w:cs="Arial"/>
          <w:sz w:val="24"/>
          <w:szCs w:val="24"/>
        </w:rPr>
      </w:pPr>
    </w:p>
    <w:p w14:paraId="1F8EF9A4" w14:textId="77777777" w:rsidR="00584ADF" w:rsidRPr="00F10B9B" w:rsidRDefault="00584ADF" w:rsidP="00F10B9B">
      <w:pPr>
        <w:spacing w:after="0" w:line="276" w:lineRule="auto"/>
        <w:ind w:left="720"/>
        <w:rPr>
          <w:rFonts w:ascii="Arial" w:hAnsi="Arial" w:cs="Arial"/>
          <w:sz w:val="24"/>
          <w:szCs w:val="24"/>
        </w:rPr>
      </w:pPr>
      <w:r w:rsidRPr="00F10B9B">
        <w:rPr>
          <w:rFonts w:ascii="Arial" w:hAnsi="Arial" w:cs="Arial"/>
          <w:sz w:val="24"/>
          <w:szCs w:val="24"/>
        </w:rPr>
        <w:t>The final approval of Group 1 disposition that was approved in EB-2018-0072 as interim</w:t>
      </w:r>
      <w:r w:rsidR="00F35B84" w:rsidRPr="00F10B9B">
        <w:rPr>
          <w:rFonts w:ascii="Arial" w:hAnsi="Arial" w:cs="Arial"/>
          <w:sz w:val="24"/>
          <w:szCs w:val="24"/>
        </w:rPr>
        <w:t>.</w:t>
      </w:r>
    </w:p>
    <w:p w14:paraId="4B0BC3FF" w14:textId="77777777" w:rsidR="00584ADF" w:rsidRPr="00F10B9B" w:rsidRDefault="00584ADF" w:rsidP="00F10B9B">
      <w:pPr>
        <w:spacing w:after="0" w:line="276" w:lineRule="auto"/>
        <w:rPr>
          <w:rFonts w:ascii="Arial" w:hAnsi="Arial" w:cs="Arial"/>
          <w:sz w:val="24"/>
          <w:szCs w:val="24"/>
        </w:rPr>
      </w:pPr>
    </w:p>
    <w:p w14:paraId="1D6AE90D" w14:textId="6D68729B" w:rsidR="00597FEE" w:rsidRPr="00F10B9B" w:rsidRDefault="00597FEE" w:rsidP="00F10B9B">
      <w:pPr>
        <w:spacing w:after="0" w:line="276" w:lineRule="auto"/>
        <w:rPr>
          <w:rFonts w:ascii="Arial" w:hAnsi="Arial" w:cs="Arial"/>
          <w:sz w:val="24"/>
          <w:szCs w:val="24"/>
        </w:rPr>
      </w:pPr>
      <w:r w:rsidRPr="00F10B9B">
        <w:rPr>
          <w:rFonts w:ascii="Arial" w:hAnsi="Arial" w:cs="Arial"/>
          <w:sz w:val="24"/>
          <w:szCs w:val="24"/>
        </w:rPr>
        <w:t>At the above</w:t>
      </w:r>
      <w:r w:rsidR="00E42979">
        <w:rPr>
          <w:rFonts w:ascii="Arial" w:hAnsi="Arial" w:cs="Arial"/>
          <w:sz w:val="24"/>
          <w:szCs w:val="24"/>
        </w:rPr>
        <w:t>-</w:t>
      </w:r>
      <w:r w:rsidRPr="00F10B9B">
        <w:rPr>
          <w:rFonts w:ascii="Arial" w:hAnsi="Arial" w:cs="Arial"/>
          <w:sz w:val="24"/>
          <w:szCs w:val="24"/>
        </w:rPr>
        <w:t xml:space="preserve">noted second reference,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stated the following:</w:t>
      </w:r>
    </w:p>
    <w:p w14:paraId="297B6247" w14:textId="77777777" w:rsidR="00597FEE" w:rsidRPr="00F10B9B" w:rsidRDefault="00597FEE" w:rsidP="00F10B9B">
      <w:pPr>
        <w:spacing w:after="0" w:line="276" w:lineRule="auto"/>
        <w:rPr>
          <w:rFonts w:ascii="Arial" w:hAnsi="Arial" w:cs="Arial"/>
          <w:sz w:val="24"/>
          <w:szCs w:val="24"/>
        </w:rPr>
      </w:pPr>
    </w:p>
    <w:p w14:paraId="7D760D5D" w14:textId="77777777" w:rsidR="00597FEE" w:rsidRPr="00F10B9B" w:rsidRDefault="00597FEE" w:rsidP="00F10B9B">
      <w:pPr>
        <w:spacing w:after="0" w:line="276" w:lineRule="auto"/>
        <w:ind w:left="720"/>
        <w:rPr>
          <w:rFonts w:ascii="Arial" w:hAnsi="Arial" w:cs="Arial"/>
          <w:sz w:val="24"/>
          <w:szCs w:val="24"/>
        </w:rPr>
      </w:pPr>
      <w:r w:rsidRPr="00F10B9B">
        <w:rPr>
          <w:rFonts w:ascii="Arial" w:hAnsi="Arial" w:cs="Arial"/>
          <w:sz w:val="24"/>
          <w:szCs w:val="24"/>
        </w:rPr>
        <w:t>The Group 1 Total Claim (2018 ending balances plus any identified adjustments and projected interest) does not exceed the threshold test. As a result, this application does not include a disposition request for the Total Group 1 DVA balance.</w:t>
      </w:r>
    </w:p>
    <w:p w14:paraId="34EBA53E" w14:textId="77777777" w:rsidR="00597FEE" w:rsidRPr="00F10B9B" w:rsidRDefault="00597FEE" w:rsidP="00F10B9B">
      <w:pPr>
        <w:spacing w:after="0" w:line="276" w:lineRule="auto"/>
        <w:rPr>
          <w:rFonts w:ascii="Arial" w:hAnsi="Arial" w:cs="Arial"/>
          <w:sz w:val="24"/>
          <w:szCs w:val="24"/>
        </w:rPr>
      </w:pPr>
    </w:p>
    <w:p w14:paraId="673EF946" w14:textId="2449CCB3" w:rsidR="00584ADF" w:rsidRPr="00F10B9B" w:rsidRDefault="00584ADF" w:rsidP="00F10B9B">
      <w:pPr>
        <w:spacing w:after="0" w:line="276" w:lineRule="auto"/>
        <w:rPr>
          <w:rFonts w:ascii="Arial" w:hAnsi="Arial" w:cs="Arial"/>
          <w:sz w:val="24"/>
          <w:szCs w:val="24"/>
        </w:rPr>
      </w:pPr>
      <w:r w:rsidRPr="00F10B9B">
        <w:rPr>
          <w:rFonts w:ascii="Arial" w:hAnsi="Arial" w:cs="Arial"/>
          <w:sz w:val="24"/>
          <w:szCs w:val="24"/>
        </w:rPr>
        <w:t xml:space="preserve">At </w:t>
      </w:r>
      <w:r w:rsidR="00597FEE" w:rsidRPr="00F10B9B">
        <w:rPr>
          <w:rFonts w:ascii="Arial" w:hAnsi="Arial" w:cs="Arial"/>
          <w:sz w:val="24"/>
          <w:szCs w:val="24"/>
        </w:rPr>
        <w:t>the above</w:t>
      </w:r>
      <w:r w:rsidR="00E42979">
        <w:rPr>
          <w:rFonts w:ascii="Arial" w:hAnsi="Arial" w:cs="Arial"/>
          <w:sz w:val="24"/>
          <w:szCs w:val="24"/>
        </w:rPr>
        <w:t>-</w:t>
      </w:r>
      <w:r w:rsidR="00597FEE" w:rsidRPr="00F10B9B">
        <w:rPr>
          <w:rFonts w:ascii="Arial" w:hAnsi="Arial" w:cs="Arial"/>
          <w:sz w:val="24"/>
          <w:szCs w:val="24"/>
        </w:rPr>
        <w:t xml:space="preserve">noted </w:t>
      </w:r>
      <w:r w:rsidR="00E91801">
        <w:rPr>
          <w:rFonts w:ascii="Arial" w:hAnsi="Arial" w:cs="Arial"/>
          <w:sz w:val="24"/>
          <w:szCs w:val="24"/>
        </w:rPr>
        <w:t xml:space="preserve">third </w:t>
      </w:r>
      <w:r w:rsidRPr="00F10B9B">
        <w:rPr>
          <w:rFonts w:ascii="Arial" w:hAnsi="Arial" w:cs="Arial"/>
          <w:sz w:val="24"/>
          <w:szCs w:val="24"/>
        </w:rPr>
        <w:t xml:space="preserve">reference,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stated the following:</w:t>
      </w:r>
    </w:p>
    <w:p w14:paraId="75EDD422" w14:textId="77777777" w:rsidR="00584ADF" w:rsidRPr="00F10B9B" w:rsidRDefault="00584ADF" w:rsidP="00F10B9B">
      <w:pPr>
        <w:spacing w:after="0" w:line="276" w:lineRule="auto"/>
        <w:rPr>
          <w:rFonts w:ascii="Arial" w:hAnsi="Arial" w:cs="Arial"/>
          <w:sz w:val="24"/>
          <w:szCs w:val="24"/>
        </w:rPr>
      </w:pPr>
    </w:p>
    <w:p w14:paraId="3FF01729" w14:textId="72EAF640" w:rsidR="00584ADF" w:rsidRPr="00F10B9B" w:rsidRDefault="00E81249" w:rsidP="00F10B9B">
      <w:pPr>
        <w:spacing w:after="0" w:line="276" w:lineRule="auto"/>
        <w:ind w:left="720"/>
        <w:rPr>
          <w:rFonts w:ascii="Arial" w:hAnsi="Arial" w:cs="Arial"/>
          <w:sz w:val="24"/>
          <w:szCs w:val="24"/>
        </w:rPr>
      </w:pPr>
      <w:r>
        <w:rPr>
          <w:rFonts w:ascii="Arial" w:hAnsi="Arial" w:cs="Arial"/>
          <w:sz w:val="24"/>
          <w:szCs w:val="24"/>
        </w:rPr>
        <w:t>Elexicon Energy</w:t>
      </w:r>
      <w:r w:rsidRPr="00F10B9B">
        <w:rPr>
          <w:rFonts w:ascii="Arial" w:hAnsi="Arial" w:cs="Arial"/>
          <w:sz w:val="24"/>
          <w:szCs w:val="24"/>
        </w:rPr>
        <w:t xml:space="preserve"> </w:t>
      </w:r>
      <w:r w:rsidR="00584ADF" w:rsidRPr="00F10B9B">
        <w:rPr>
          <w:rFonts w:ascii="Arial" w:hAnsi="Arial" w:cs="Arial"/>
          <w:sz w:val="24"/>
          <w:szCs w:val="24"/>
        </w:rPr>
        <w:t>has taken time to review its existing processes against the accounting guidance for 2019 using the completed period of January to June. This was done with a specific objective to identify differences and assess and compare the final</w:t>
      </w:r>
      <w:r w:rsidR="00F91352" w:rsidRPr="00F10B9B">
        <w:rPr>
          <w:rFonts w:ascii="Arial" w:hAnsi="Arial" w:cs="Arial"/>
          <w:sz w:val="24"/>
          <w:szCs w:val="24"/>
        </w:rPr>
        <w:t xml:space="preserve"> </w:t>
      </w:r>
      <w:r w:rsidR="00584ADF" w:rsidRPr="00F10B9B">
        <w:rPr>
          <w:rFonts w:ascii="Arial" w:hAnsi="Arial" w:cs="Arial"/>
          <w:sz w:val="24"/>
          <w:szCs w:val="24"/>
        </w:rPr>
        <w:t>outcome of each method to determine whether, in aggregate, there are any material differences.</w:t>
      </w:r>
    </w:p>
    <w:p w14:paraId="78B54EA4" w14:textId="77777777" w:rsidR="00597FEE" w:rsidRPr="00F10B9B" w:rsidRDefault="00597FEE" w:rsidP="00F10B9B">
      <w:pPr>
        <w:spacing w:after="0" w:line="276" w:lineRule="auto"/>
        <w:rPr>
          <w:rFonts w:ascii="Arial" w:hAnsi="Arial" w:cs="Arial"/>
          <w:sz w:val="24"/>
          <w:szCs w:val="24"/>
        </w:rPr>
      </w:pPr>
    </w:p>
    <w:p w14:paraId="5E96E61B" w14:textId="06BE8014" w:rsidR="00A16564" w:rsidRPr="00F10B9B" w:rsidRDefault="00A16564" w:rsidP="00F10B9B">
      <w:pPr>
        <w:spacing w:after="0" w:line="276" w:lineRule="auto"/>
        <w:rPr>
          <w:rFonts w:ascii="Arial" w:hAnsi="Arial" w:cs="Arial"/>
          <w:sz w:val="24"/>
          <w:szCs w:val="24"/>
        </w:rPr>
      </w:pPr>
      <w:r w:rsidRPr="00F10B9B">
        <w:rPr>
          <w:rFonts w:ascii="Arial" w:hAnsi="Arial" w:cs="Arial"/>
          <w:sz w:val="24"/>
          <w:szCs w:val="24"/>
        </w:rPr>
        <w:t>At the above</w:t>
      </w:r>
      <w:r w:rsidR="00E42979">
        <w:rPr>
          <w:rFonts w:ascii="Arial" w:hAnsi="Arial" w:cs="Arial"/>
          <w:sz w:val="24"/>
          <w:szCs w:val="24"/>
        </w:rPr>
        <w:t>-</w:t>
      </w:r>
      <w:r w:rsidRPr="00F10B9B">
        <w:rPr>
          <w:rFonts w:ascii="Arial" w:hAnsi="Arial" w:cs="Arial"/>
          <w:sz w:val="24"/>
          <w:szCs w:val="24"/>
        </w:rPr>
        <w:t xml:space="preserve">noted </w:t>
      </w:r>
      <w:r w:rsidR="00E91801">
        <w:rPr>
          <w:rFonts w:ascii="Arial" w:hAnsi="Arial" w:cs="Arial"/>
          <w:sz w:val="24"/>
          <w:szCs w:val="24"/>
        </w:rPr>
        <w:t xml:space="preserve">fourth </w:t>
      </w:r>
      <w:r w:rsidRPr="00F10B9B">
        <w:rPr>
          <w:rFonts w:ascii="Arial" w:hAnsi="Arial" w:cs="Arial"/>
          <w:sz w:val="24"/>
          <w:szCs w:val="24"/>
        </w:rPr>
        <w:t xml:space="preserve">reference, the following </w:t>
      </w:r>
      <w:r w:rsidR="00E13F1F">
        <w:rPr>
          <w:rFonts w:ascii="Arial" w:hAnsi="Arial" w:cs="Arial"/>
          <w:sz w:val="24"/>
          <w:szCs w:val="24"/>
        </w:rPr>
        <w:t>was</w:t>
      </w:r>
      <w:r w:rsidRPr="00F10B9B">
        <w:rPr>
          <w:rFonts w:ascii="Arial" w:hAnsi="Arial" w:cs="Arial"/>
          <w:sz w:val="24"/>
          <w:szCs w:val="24"/>
        </w:rPr>
        <w:t xml:space="preserve"> </w:t>
      </w:r>
      <w:r w:rsidR="004D1796" w:rsidRPr="00F10B9B">
        <w:rPr>
          <w:rFonts w:ascii="Arial" w:hAnsi="Arial" w:cs="Arial"/>
          <w:sz w:val="24"/>
          <w:szCs w:val="24"/>
        </w:rPr>
        <w:t>indicated</w:t>
      </w:r>
      <w:r w:rsidRPr="00F10B9B">
        <w:rPr>
          <w:rFonts w:ascii="Arial" w:hAnsi="Arial" w:cs="Arial"/>
          <w:sz w:val="24"/>
          <w:szCs w:val="24"/>
        </w:rPr>
        <w:t>:</w:t>
      </w:r>
    </w:p>
    <w:p w14:paraId="5E0695D0" w14:textId="77777777" w:rsidR="00A16564" w:rsidRPr="00F10B9B" w:rsidRDefault="00A16564" w:rsidP="00F10B9B">
      <w:pPr>
        <w:spacing w:after="0" w:line="276" w:lineRule="auto"/>
        <w:rPr>
          <w:rFonts w:ascii="Arial" w:hAnsi="Arial" w:cs="Arial"/>
          <w:sz w:val="24"/>
          <w:szCs w:val="24"/>
        </w:rPr>
      </w:pPr>
    </w:p>
    <w:p w14:paraId="3DAE3E01" w14:textId="77777777" w:rsidR="00032F2E" w:rsidRPr="00F10B9B" w:rsidRDefault="008F1B56" w:rsidP="00F10B9B">
      <w:pPr>
        <w:pStyle w:val="ListParagraph"/>
        <w:spacing w:after="0" w:line="276" w:lineRule="auto"/>
        <w:rPr>
          <w:rFonts w:ascii="Arial" w:hAnsi="Arial" w:cs="Arial"/>
          <w:sz w:val="24"/>
          <w:szCs w:val="24"/>
        </w:rPr>
      </w:pPr>
      <w:r w:rsidRPr="00F10B9B">
        <w:rPr>
          <w:rFonts w:ascii="Arial" w:hAnsi="Arial" w:cs="Arial"/>
          <w:sz w:val="24"/>
          <w:szCs w:val="24"/>
        </w:rPr>
        <w:t xml:space="preserve">On February 21, 2019, the OEB issued its letter entitled </w:t>
      </w:r>
      <w:r w:rsidRPr="00F10B9B">
        <w:rPr>
          <w:rFonts w:ascii="Arial" w:hAnsi="Arial" w:cs="Arial"/>
          <w:i/>
          <w:sz w:val="24"/>
          <w:szCs w:val="24"/>
        </w:rPr>
        <w:t>Accounting Guidance related to Accounts 1588 Power, and 1589 RSVA Global Adjustment</w:t>
      </w:r>
      <w:r w:rsidRPr="00F10B9B">
        <w:rPr>
          <w:rFonts w:ascii="Arial" w:hAnsi="Arial" w:cs="Arial"/>
          <w:sz w:val="24"/>
          <w:szCs w:val="24"/>
        </w:rPr>
        <w:t xml:space="preserve"> as well as the related accounting guidance. </w:t>
      </w:r>
      <w:r w:rsidR="00032F2E" w:rsidRPr="00F10B9B">
        <w:rPr>
          <w:rFonts w:ascii="Arial" w:hAnsi="Arial" w:cs="Arial"/>
          <w:sz w:val="24"/>
          <w:szCs w:val="24"/>
        </w:rPr>
        <w:t>The accounting guidance is effective</w:t>
      </w:r>
    </w:p>
    <w:p w14:paraId="608D865A" w14:textId="77777777" w:rsidR="00A16564" w:rsidRPr="00F10B9B" w:rsidRDefault="00032F2E" w:rsidP="00F10B9B">
      <w:pPr>
        <w:pStyle w:val="ListParagraph"/>
        <w:spacing w:after="0" w:line="276" w:lineRule="auto"/>
        <w:rPr>
          <w:rFonts w:ascii="Arial" w:hAnsi="Arial" w:cs="Arial"/>
          <w:sz w:val="24"/>
          <w:szCs w:val="24"/>
        </w:rPr>
      </w:pPr>
      <w:r w:rsidRPr="00F10B9B">
        <w:rPr>
          <w:rFonts w:ascii="Arial" w:hAnsi="Arial" w:cs="Arial"/>
          <w:sz w:val="24"/>
          <w:szCs w:val="24"/>
        </w:rPr>
        <w:t>January 1, 2019 and is to be implemented by August 31, 2019. Distributors are expected to consider the accounting guidance in the context of historical balances that have yet to be disposed on a final basis (including the 2018 balances that may be requested for disposition in this rate application). In this application, distributors are to provide a status update on the implementation of the new accounting guidance, a review of historical balances, results of the review, and any adjustments made to account balances</w:t>
      </w:r>
      <w:r w:rsidR="00D74B4D">
        <w:rPr>
          <w:rFonts w:ascii="Arial" w:hAnsi="Arial" w:cs="Arial"/>
          <w:sz w:val="24"/>
          <w:szCs w:val="24"/>
        </w:rPr>
        <w:t>…</w:t>
      </w:r>
    </w:p>
    <w:p w14:paraId="30680A4E" w14:textId="77777777" w:rsidR="00304359" w:rsidRPr="00F10B9B" w:rsidRDefault="00304359" w:rsidP="00F10B9B">
      <w:pPr>
        <w:pStyle w:val="ListParagraph"/>
        <w:spacing w:after="0" w:line="276" w:lineRule="auto"/>
        <w:rPr>
          <w:rFonts w:ascii="Arial" w:hAnsi="Arial" w:cs="Arial"/>
          <w:sz w:val="24"/>
          <w:szCs w:val="24"/>
        </w:rPr>
      </w:pPr>
    </w:p>
    <w:p w14:paraId="2260237C" w14:textId="77777777" w:rsidR="00304359" w:rsidRDefault="00D74B4D" w:rsidP="00F10B9B">
      <w:pPr>
        <w:pStyle w:val="ListParagraph"/>
        <w:spacing w:after="0" w:line="276" w:lineRule="auto"/>
        <w:rPr>
          <w:rFonts w:ascii="Arial" w:hAnsi="Arial" w:cs="Arial"/>
          <w:sz w:val="24"/>
          <w:szCs w:val="24"/>
        </w:rPr>
      </w:pPr>
      <w:r>
        <w:rPr>
          <w:rFonts w:ascii="Arial" w:hAnsi="Arial" w:cs="Arial"/>
          <w:sz w:val="24"/>
          <w:szCs w:val="24"/>
        </w:rPr>
        <w:lastRenderedPageBreak/>
        <w:t>…</w:t>
      </w:r>
      <w:r w:rsidR="00304359" w:rsidRPr="00F10B9B">
        <w:rPr>
          <w:rFonts w:ascii="Arial" w:hAnsi="Arial" w:cs="Arial"/>
          <w:sz w:val="24"/>
          <w:szCs w:val="24"/>
        </w:rPr>
        <w:t>Some utilities may have received approval for interim disposition of historical account balances or did not request disposition of account balances in the 2019 rate application due to the threshold test. If these utilities have reviewed the</w:t>
      </w:r>
      <w:r w:rsidR="00A45B5D" w:rsidRPr="00F10B9B">
        <w:rPr>
          <w:rFonts w:ascii="Arial" w:hAnsi="Arial" w:cs="Arial"/>
          <w:sz w:val="24"/>
          <w:szCs w:val="24"/>
        </w:rPr>
        <w:t xml:space="preserve"> </w:t>
      </w:r>
      <w:r w:rsidR="00304359" w:rsidRPr="00F10B9B">
        <w:rPr>
          <w:rFonts w:ascii="Arial" w:hAnsi="Arial" w:cs="Arial"/>
          <w:sz w:val="24"/>
          <w:szCs w:val="24"/>
        </w:rPr>
        <w:t>balances in the context of the new accounting guidance and are confident that</w:t>
      </w:r>
      <w:r w:rsidR="00A45B5D" w:rsidRPr="00F10B9B">
        <w:rPr>
          <w:rFonts w:ascii="Arial" w:hAnsi="Arial" w:cs="Arial"/>
          <w:sz w:val="24"/>
          <w:szCs w:val="24"/>
        </w:rPr>
        <w:t xml:space="preserve"> </w:t>
      </w:r>
      <w:r w:rsidR="00304359" w:rsidRPr="00F10B9B">
        <w:rPr>
          <w:rFonts w:ascii="Arial" w:hAnsi="Arial" w:cs="Arial"/>
          <w:sz w:val="24"/>
          <w:szCs w:val="24"/>
        </w:rPr>
        <w:t>there are no systemic issues with their RPP settlement and related accounting</w:t>
      </w:r>
      <w:r w:rsidR="00A45B5D" w:rsidRPr="00F10B9B">
        <w:rPr>
          <w:rFonts w:ascii="Arial" w:hAnsi="Arial" w:cs="Arial"/>
          <w:sz w:val="24"/>
          <w:szCs w:val="24"/>
        </w:rPr>
        <w:t xml:space="preserve"> </w:t>
      </w:r>
      <w:r w:rsidR="00304359" w:rsidRPr="00F10B9B">
        <w:rPr>
          <w:rFonts w:ascii="Arial" w:hAnsi="Arial" w:cs="Arial"/>
          <w:sz w:val="24"/>
          <w:szCs w:val="24"/>
        </w:rPr>
        <w:t>processes, such utilities may request final disposition of account balances. If these utilities identified errors or discrepancies that materially affect the ending account balances, utilities should adjust their account balances prior to requesting final disposition</w:t>
      </w:r>
      <w:r>
        <w:rPr>
          <w:rFonts w:ascii="Arial" w:hAnsi="Arial" w:cs="Arial"/>
          <w:sz w:val="24"/>
          <w:szCs w:val="24"/>
        </w:rPr>
        <w:t>…</w:t>
      </w:r>
    </w:p>
    <w:p w14:paraId="5D3E1B05" w14:textId="77777777" w:rsidR="00D74B4D" w:rsidRDefault="00D74B4D" w:rsidP="00F10B9B">
      <w:pPr>
        <w:pStyle w:val="ListParagraph"/>
        <w:spacing w:after="0" w:line="276" w:lineRule="auto"/>
        <w:rPr>
          <w:rFonts w:ascii="Arial" w:hAnsi="Arial" w:cs="Arial"/>
          <w:sz w:val="24"/>
          <w:szCs w:val="24"/>
        </w:rPr>
      </w:pPr>
    </w:p>
    <w:p w14:paraId="329F79E4" w14:textId="77777777" w:rsidR="00D74B4D" w:rsidRPr="00D74B4D" w:rsidRDefault="00D74B4D" w:rsidP="00D74B4D">
      <w:pPr>
        <w:pStyle w:val="ListParagraph"/>
        <w:spacing w:after="0" w:line="276" w:lineRule="auto"/>
        <w:rPr>
          <w:rFonts w:ascii="Arial" w:hAnsi="Arial" w:cs="Arial"/>
          <w:sz w:val="24"/>
          <w:szCs w:val="24"/>
        </w:rPr>
      </w:pPr>
      <w:r w:rsidRPr="00D74B4D">
        <w:rPr>
          <w:rFonts w:ascii="Arial" w:hAnsi="Arial" w:cs="Arial"/>
          <w:sz w:val="24"/>
          <w:szCs w:val="24"/>
        </w:rPr>
        <w:t>… Adjustments to account balances will be considered on a case by case basis.</w:t>
      </w:r>
    </w:p>
    <w:p w14:paraId="2B13E8F6" w14:textId="77777777" w:rsidR="00D74B4D" w:rsidRDefault="00D74B4D" w:rsidP="00D74B4D">
      <w:pPr>
        <w:pStyle w:val="ListParagraph"/>
        <w:spacing w:after="0" w:line="276" w:lineRule="auto"/>
        <w:rPr>
          <w:rFonts w:ascii="Arial" w:hAnsi="Arial" w:cs="Arial"/>
          <w:sz w:val="24"/>
          <w:szCs w:val="24"/>
        </w:rPr>
      </w:pPr>
      <w:r w:rsidRPr="00D74B4D">
        <w:rPr>
          <w:rFonts w:ascii="Arial" w:hAnsi="Arial" w:cs="Arial"/>
          <w:sz w:val="24"/>
          <w:szCs w:val="24"/>
        </w:rPr>
        <w:t>Utilities should provide a detailed discussion on any adjustments made, including the reason for an adjustment, how the adjustment was quantified and the journal entries to adjust the balances.</w:t>
      </w:r>
    </w:p>
    <w:p w14:paraId="1AEB53F4" w14:textId="77777777" w:rsidR="00A16564" w:rsidRPr="00F10B9B" w:rsidRDefault="00A16564" w:rsidP="00F10B9B">
      <w:pPr>
        <w:spacing w:after="0" w:line="276" w:lineRule="auto"/>
        <w:rPr>
          <w:rFonts w:ascii="Arial" w:hAnsi="Arial" w:cs="Arial"/>
          <w:sz w:val="24"/>
          <w:szCs w:val="24"/>
        </w:rPr>
      </w:pPr>
    </w:p>
    <w:p w14:paraId="51008AF6" w14:textId="77777777" w:rsidR="00F35B84" w:rsidRPr="00051B5F" w:rsidRDefault="00F35B84" w:rsidP="00F10B9B">
      <w:pPr>
        <w:spacing w:after="0" w:line="276" w:lineRule="auto"/>
        <w:rPr>
          <w:rFonts w:ascii="Arial" w:hAnsi="Arial" w:cs="Arial"/>
          <w:sz w:val="24"/>
          <w:szCs w:val="24"/>
          <w:u w:val="single"/>
        </w:rPr>
      </w:pPr>
      <w:r w:rsidRPr="00051B5F">
        <w:rPr>
          <w:rFonts w:ascii="Arial" w:hAnsi="Arial" w:cs="Arial"/>
          <w:sz w:val="24"/>
          <w:szCs w:val="24"/>
          <w:u w:val="single"/>
        </w:rPr>
        <w:t>Questions:</w:t>
      </w:r>
    </w:p>
    <w:p w14:paraId="1CDFD89C" w14:textId="77777777" w:rsidR="00F35B84" w:rsidRPr="00051B5F" w:rsidRDefault="00F35B84" w:rsidP="00F10B9B">
      <w:pPr>
        <w:spacing w:after="0" w:line="276" w:lineRule="auto"/>
        <w:rPr>
          <w:rFonts w:ascii="Arial" w:hAnsi="Arial" w:cs="Arial"/>
          <w:sz w:val="24"/>
          <w:szCs w:val="24"/>
          <w:u w:val="single"/>
        </w:rPr>
      </w:pPr>
    </w:p>
    <w:p w14:paraId="528598F6" w14:textId="5DD920C8" w:rsidR="00D74B4D" w:rsidRDefault="009A3FDE" w:rsidP="00D74B4D">
      <w:pPr>
        <w:pStyle w:val="ListParagraph"/>
        <w:numPr>
          <w:ilvl w:val="0"/>
          <w:numId w:val="25"/>
        </w:numPr>
        <w:spacing w:after="0" w:line="276" w:lineRule="auto"/>
        <w:rPr>
          <w:rFonts w:ascii="Arial" w:hAnsi="Arial" w:cs="Arial"/>
          <w:sz w:val="24"/>
          <w:szCs w:val="24"/>
        </w:rPr>
      </w:pPr>
      <w:r w:rsidRPr="00F10B9B">
        <w:rPr>
          <w:rFonts w:ascii="Arial" w:hAnsi="Arial" w:cs="Arial"/>
          <w:sz w:val="24"/>
          <w:szCs w:val="24"/>
        </w:rPr>
        <w:t xml:space="preserve">Please confirm that </w:t>
      </w:r>
      <w:r w:rsidR="00E81249">
        <w:rPr>
          <w:rFonts w:ascii="Arial" w:hAnsi="Arial" w:cs="Arial"/>
          <w:sz w:val="24"/>
          <w:szCs w:val="24"/>
        </w:rPr>
        <w:t>Elexicon Energy</w:t>
      </w:r>
      <w:r w:rsidR="00E81249" w:rsidRPr="00F10B9B">
        <w:rPr>
          <w:rFonts w:ascii="Arial" w:hAnsi="Arial" w:cs="Arial"/>
          <w:sz w:val="24"/>
          <w:szCs w:val="24"/>
        </w:rPr>
        <w:t xml:space="preserve"> </w:t>
      </w:r>
      <w:r w:rsidRPr="00F10B9B">
        <w:rPr>
          <w:rFonts w:ascii="Arial" w:hAnsi="Arial" w:cs="Arial"/>
          <w:sz w:val="24"/>
          <w:szCs w:val="24"/>
        </w:rPr>
        <w:t xml:space="preserve">has completed its review of the new Accounting Guidance and </w:t>
      </w:r>
      <w:r w:rsidR="00165D38">
        <w:rPr>
          <w:rFonts w:ascii="Arial" w:hAnsi="Arial" w:cs="Arial"/>
          <w:sz w:val="24"/>
          <w:szCs w:val="24"/>
        </w:rPr>
        <w:t xml:space="preserve">that </w:t>
      </w:r>
      <w:r w:rsidRPr="00F10B9B">
        <w:rPr>
          <w:rFonts w:ascii="Arial" w:hAnsi="Arial" w:cs="Arial"/>
          <w:sz w:val="24"/>
          <w:szCs w:val="24"/>
        </w:rPr>
        <w:t>any required changes to the accounting for Account 1588 and Acc</w:t>
      </w:r>
      <w:r w:rsidR="00E866AF" w:rsidRPr="00F10B9B">
        <w:rPr>
          <w:rFonts w:ascii="Arial" w:hAnsi="Arial" w:cs="Arial"/>
          <w:sz w:val="24"/>
          <w:szCs w:val="24"/>
        </w:rPr>
        <w:t xml:space="preserve">ount 1589 have been implemented </w:t>
      </w:r>
      <w:r w:rsidR="00E13F1F">
        <w:rPr>
          <w:rFonts w:ascii="Arial" w:hAnsi="Arial" w:cs="Arial"/>
          <w:sz w:val="24"/>
          <w:szCs w:val="24"/>
        </w:rPr>
        <w:t xml:space="preserve">as it </w:t>
      </w:r>
      <w:r w:rsidR="00E866AF" w:rsidRPr="00F10B9B">
        <w:rPr>
          <w:rFonts w:ascii="Arial" w:hAnsi="Arial" w:cs="Arial"/>
          <w:sz w:val="24"/>
          <w:szCs w:val="24"/>
        </w:rPr>
        <w:t>relate</w:t>
      </w:r>
      <w:r w:rsidR="00E13F1F">
        <w:rPr>
          <w:rFonts w:ascii="Arial" w:hAnsi="Arial" w:cs="Arial"/>
          <w:sz w:val="24"/>
          <w:szCs w:val="24"/>
        </w:rPr>
        <w:t>s</w:t>
      </w:r>
      <w:r w:rsidR="00E866AF" w:rsidRPr="00F10B9B">
        <w:rPr>
          <w:rFonts w:ascii="Arial" w:hAnsi="Arial" w:cs="Arial"/>
          <w:sz w:val="24"/>
          <w:szCs w:val="24"/>
        </w:rPr>
        <w:t xml:space="preserve"> to its 2017 and 2018 historical balances.</w:t>
      </w:r>
    </w:p>
    <w:p w14:paraId="6A49E95C" w14:textId="77777777" w:rsidR="00D74B4D" w:rsidRDefault="00D74B4D" w:rsidP="00D74B4D">
      <w:pPr>
        <w:pStyle w:val="ListParagraph"/>
        <w:spacing w:after="0" w:line="276" w:lineRule="auto"/>
        <w:rPr>
          <w:rFonts w:ascii="Arial" w:hAnsi="Arial" w:cs="Arial"/>
          <w:sz w:val="24"/>
          <w:szCs w:val="24"/>
        </w:rPr>
      </w:pPr>
    </w:p>
    <w:p w14:paraId="308A6004" w14:textId="77777777" w:rsidR="00E866AF" w:rsidRPr="00F10B9B" w:rsidRDefault="00D74B4D" w:rsidP="00D74B4D">
      <w:pPr>
        <w:pStyle w:val="ListParagraph"/>
        <w:numPr>
          <w:ilvl w:val="0"/>
          <w:numId w:val="25"/>
        </w:numPr>
        <w:spacing w:after="0" w:line="276" w:lineRule="auto"/>
        <w:rPr>
          <w:rFonts w:ascii="Arial" w:hAnsi="Arial" w:cs="Arial"/>
          <w:sz w:val="24"/>
          <w:szCs w:val="24"/>
        </w:rPr>
      </w:pPr>
      <w:r w:rsidRPr="00D74B4D">
        <w:rPr>
          <w:rFonts w:ascii="Arial" w:hAnsi="Arial" w:cs="Arial"/>
          <w:sz w:val="24"/>
          <w:szCs w:val="24"/>
        </w:rPr>
        <w:t>Please confirm that the new accounting guidance was implemented retroactive to January 1, 2017</w:t>
      </w:r>
      <w:r w:rsidR="008C67CB">
        <w:rPr>
          <w:rFonts w:ascii="Arial" w:hAnsi="Arial" w:cs="Arial"/>
          <w:sz w:val="24"/>
          <w:szCs w:val="24"/>
        </w:rPr>
        <w:t xml:space="preserve"> </w:t>
      </w:r>
      <w:r w:rsidR="008C67CB" w:rsidRPr="00E81110">
        <w:rPr>
          <w:rFonts w:ascii="Arial" w:hAnsi="Arial" w:cs="Arial"/>
          <w:sz w:val="24"/>
          <w:szCs w:val="24"/>
        </w:rPr>
        <w:t>and that this task was completed by August 31, 2019</w:t>
      </w:r>
      <w:r w:rsidRPr="00D74B4D">
        <w:rPr>
          <w:rFonts w:ascii="Arial" w:hAnsi="Arial" w:cs="Arial"/>
          <w:sz w:val="24"/>
          <w:szCs w:val="24"/>
        </w:rPr>
        <w:t>. If this is not the case, please explain</w:t>
      </w:r>
      <w:r w:rsidR="009E57D6">
        <w:rPr>
          <w:rFonts w:ascii="Arial" w:hAnsi="Arial" w:cs="Arial"/>
          <w:sz w:val="24"/>
          <w:szCs w:val="24"/>
        </w:rPr>
        <w:t>.</w:t>
      </w:r>
    </w:p>
    <w:p w14:paraId="47923B04" w14:textId="77777777" w:rsidR="00E866AF" w:rsidRPr="00F10B9B" w:rsidRDefault="00E866AF" w:rsidP="00F10B9B">
      <w:pPr>
        <w:pStyle w:val="ListParagraph"/>
        <w:spacing w:after="0" w:line="276" w:lineRule="auto"/>
        <w:ind w:left="1080"/>
        <w:rPr>
          <w:rFonts w:ascii="Arial" w:hAnsi="Arial" w:cs="Arial"/>
          <w:sz w:val="24"/>
          <w:szCs w:val="24"/>
        </w:rPr>
      </w:pPr>
    </w:p>
    <w:p w14:paraId="4FEEDFD2" w14:textId="6DCB8A78" w:rsidR="00A54555" w:rsidRPr="00F10B9B" w:rsidRDefault="009A3FDE" w:rsidP="00F10B9B">
      <w:pPr>
        <w:pStyle w:val="ListParagraph"/>
        <w:numPr>
          <w:ilvl w:val="0"/>
          <w:numId w:val="25"/>
        </w:numPr>
        <w:spacing w:after="0" w:line="276" w:lineRule="auto"/>
        <w:rPr>
          <w:rFonts w:ascii="Arial" w:hAnsi="Arial" w:cs="Arial"/>
          <w:sz w:val="24"/>
          <w:szCs w:val="24"/>
        </w:rPr>
      </w:pPr>
      <w:r w:rsidRPr="00F10B9B">
        <w:rPr>
          <w:rFonts w:ascii="Arial" w:hAnsi="Arial" w:cs="Arial"/>
          <w:sz w:val="24"/>
          <w:szCs w:val="24"/>
        </w:rPr>
        <w:t xml:space="preserve">Please confirm that there are no systemic issues with </w:t>
      </w:r>
      <w:r w:rsidR="00E81249">
        <w:rPr>
          <w:rFonts w:ascii="Arial" w:hAnsi="Arial" w:cs="Arial"/>
          <w:sz w:val="24"/>
          <w:szCs w:val="24"/>
        </w:rPr>
        <w:t>the Veridian Rate Zone</w:t>
      </w:r>
      <w:r w:rsidRPr="00F10B9B">
        <w:rPr>
          <w:rFonts w:ascii="Arial" w:hAnsi="Arial" w:cs="Arial"/>
          <w:sz w:val="24"/>
          <w:szCs w:val="24"/>
        </w:rPr>
        <w:t>’s RPP settlement and related accounting processes</w:t>
      </w:r>
      <w:r w:rsidR="00E866AF" w:rsidRPr="00F10B9B">
        <w:rPr>
          <w:rFonts w:ascii="Arial" w:hAnsi="Arial" w:cs="Arial"/>
          <w:sz w:val="24"/>
          <w:szCs w:val="24"/>
        </w:rPr>
        <w:t xml:space="preserve"> </w:t>
      </w:r>
      <w:r w:rsidR="001815C2">
        <w:rPr>
          <w:rFonts w:ascii="Arial" w:hAnsi="Arial" w:cs="Arial"/>
          <w:sz w:val="24"/>
          <w:szCs w:val="24"/>
        </w:rPr>
        <w:t xml:space="preserve">as it </w:t>
      </w:r>
      <w:r w:rsidR="00E866AF" w:rsidRPr="00F10B9B">
        <w:rPr>
          <w:rFonts w:ascii="Arial" w:hAnsi="Arial" w:cs="Arial"/>
          <w:sz w:val="24"/>
          <w:szCs w:val="24"/>
        </w:rPr>
        <w:t>relate</w:t>
      </w:r>
      <w:r w:rsidR="001815C2">
        <w:rPr>
          <w:rFonts w:ascii="Arial" w:hAnsi="Arial" w:cs="Arial"/>
          <w:sz w:val="24"/>
          <w:szCs w:val="24"/>
        </w:rPr>
        <w:t>s</w:t>
      </w:r>
      <w:r w:rsidR="00E866AF" w:rsidRPr="00F10B9B">
        <w:rPr>
          <w:rFonts w:ascii="Arial" w:hAnsi="Arial" w:cs="Arial"/>
          <w:sz w:val="24"/>
          <w:szCs w:val="24"/>
        </w:rPr>
        <w:t xml:space="preserve"> to its 2017 and 2018 historical balances.</w:t>
      </w:r>
    </w:p>
    <w:p w14:paraId="1A0D4D30" w14:textId="77777777" w:rsidR="00A54555" w:rsidRPr="00F10B9B" w:rsidRDefault="00A54555" w:rsidP="00F10B9B">
      <w:pPr>
        <w:pStyle w:val="ListParagraph"/>
        <w:spacing w:after="0" w:line="276" w:lineRule="auto"/>
        <w:rPr>
          <w:rFonts w:ascii="Arial" w:hAnsi="Arial" w:cs="Arial"/>
          <w:sz w:val="24"/>
          <w:szCs w:val="24"/>
        </w:rPr>
      </w:pPr>
    </w:p>
    <w:p w14:paraId="0B56F25F" w14:textId="348C1A6D" w:rsidR="00A54555" w:rsidRPr="00F10B9B" w:rsidRDefault="00A54555" w:rsidP="00F10B9B">
      <w:pPr>
        <w:pStyle w:val="ListParagraph"/>
        <w:numPr>
          <w:ilvl w:val="0"/>
          <w:numId w:val="25"/>
        </w:numPr>
        <w:spacing w:after="0" w:line="276" w:lineRule="auto"/>
        <w:rPr>
          <w:rFonts w:ascii="Arial" w:hAnsi="Arial" w:cs="Arial"/>
          <w:sz w:val="24"/>
          <w:szCs w:val="24"/>
        </w:rPr>
      </w:pPr>
      <w:r w:rsidRPr="00F10B9B">
        <w:rPr>
          <w:rFonts w:ascii="Arial" w:hAnsi="Arial" w:cs="Arial"/>
          <w:sz w:val="24"/>
          <w:szCs w:val="24"/>
        </w:rPr>
        <w:t>If there are issues</w:t>
      </w:r>
      <w:r w:rsidR="00BC34DF" w:rsidRPr="00F10B9B">
        <w:rPr>
          <w:rFonts w:ascii="Arial" w:hAnsi="Arial" w:cs="Arial"/>
          <w:sz w:val="24"/>
          <w:szCs w:val="24"/>
        </w:rPr>
        <w:t>, please explain whether adjustments to Group 1 DVA balances that have yet to be disposed on a final basis have been quantified, including balances that have been cleared on an interim basis or not cleared at all in a prior proceeding.</w:t>
      </w:r>
    </w:p>
    <w:p w14:paraId="219CE860" w14:textId="77777777" w:rsidR="00A54555" w:rsidRPr="00F10B9B" w:rsidRDefault="00A54555" w:rsidP="00F10B9B">
      <w:pPr>
        <w:pStyle w:val="ListParagraph"/>
        <w:spacing w:after="0" w:line="276" w:lineRule="auto"/>
        <w:rPr>
          <w:rFonts w:ascii="Arial" w:hAnsi="Arial" w:cs="Arial"/>
          <w:sz w:val="24"/>
          <w:szCs w:val="24"/>
        </w:rPr>
      </w:pPr>
    </w:p>
    <w:p w14:paraId="1B8B77C1" w14:textId="77777777" w:rsidR="00BC34DF" w:rsidRDefault="00BC34DF" w:rsidP="00F10B9B">
      <w:pPr>
        <w:pStyle w:val="ListParagraph"/>
        <w:numPr>
          <w:ilvl w:val="0"/>
          <w:numId w:val="25"/>
        </w:numPr>
        <w:spacing w:after="0" w:line="276" w:lineRule="auto"/>
        <w:rPr>
          <w:rFonts w:ascii="Arial" w:hAnsi="Arial" w:cs="Arial"/>
          <w:sz w:val="24"/>
          <w:szCs w:val="24"/>
        </w:rPr>
      </w:pPr>
      <w:r w:rsidRPr="00F10B9B">
        <w:rPr>
          <w:rFonts w:ascii="Arial" w:hAnsi="Arial" w:cs="Arial"/>
          <w:sz w:val="24"/>
          <w:szCs w:val="24"/>
        </w:rPr>
        <w:t>If adjustments have not been quantified, please provide a timeline as to when the applicant expects any discrepancies to be resolved.</w:t>
      </w:r>
    </w:p>
    <w:p w14:paraId="507DE886" w14:textId="77777777" w:rsidR="0093516E" w:rsidRPr="0093516E" w:rsidRDefault="0093516E" w:rsidP="0093516E">
      <w:pPr>
        <w:pStyle w:val="ListParagraph"/>
        <w:rPr>
          <w:rFonts w:ascii="Arial" w:hAnsi="Arial" w:cs="Arial"/>
          <w:sz w:val="24"/>
          <w:szCs w:val="24"/>
        </w:rPr>
      </w:pPr>
    </w:p>
    <w:p w14:paraId="094E4C7A" w14:textId="7DDE92BF" w:rsidR="002A324B" w:rsidRDefault="002A324B" w:rsidP="00F10B9B">
      <w:pPr>
        <w:pStyle w:val="CommentText"/>
        <w:numPr>
          <w:ilvl w:val="0"/>
          <w:numId w:val="25"/>
        </w:numPr>
        <w:spacing w:after="0" w:line="276" w:lineRule="auto"/>
        <w:rPr>
          <w:rFonts w:ascii="Arial" w:hAnsi="Arial" w:cs="Arial"/>
          <w:sz w:val="24"/>
          <w:szCs w:val="24"/>
        </w:rPr>
      </w:pPr>
      <w:r w:rsidRPr="00F10B9B">
        <w:rPr>
          <w:rFonts w:ascii="Arial" w:hAnsi="Arial" w:cs="Arial"/>
          <w:sz w:val="24"/>
          <w:szCs w:val="24"/>
        </w:rPr>
        <w:lastRenderedPageBreak/>
        <w:t>If material adjustments were identified, please provide the following</w:t>
      </w:r>
      <w:r w:rsidR="00EF7971" w:rsidRPr="00EF7971">
        <w:rPr>
          <w:rFonts w:ascii="Arial" w:hAnsi="Arial" w:cs="Arial"/>
          <w:sz w:val="24"/>
          <w:szCs w:val="24"/>
        </w:rPr>
        <w:t xml:space="preserve"> </w:t>
      </w:r>
      <w:r w:rsidR="00EF7971" w:rsidRPr="00F10B9B">
        <w:rPr>
          <w:rFonts w:ascii="Arial" w:hAnsi="Arial" w:cs="Arial"/>
          <w:sz w:val="24"/>
          <w:szCs w:val="24"/>
        </w:rPr>
        <w:t>for each adjustment</w:t>
      </w:r>
      <w:r w:rsidRPr="00F10B9B">
        <w:rPr>
          <w:rFonts w:ascii="Arial" w:hAnsi="Arial" w:cs="Arial"/>
          <w:sz w:val="24"/>
          <w:szCs w:val="24"/>
        </w:rPr>
        <w:t>:</w:t>
      </w:r>
    </w:p>
    <w:p w14:paraId="1BD89819" w14:textId="77777777" w:rsidR="0093516E" w:rsidRPr="00F10B9B" w:rsidRDefault="0093516E" w:rsidP="0093516E">
      <w:pPr>
        <w:pStyle w:val="CommentText"/>
        <w:spacing w:after="0" w:line="276" w:lineRule="auto"/>
        <w:ind w:left="720"/>
        <w:rPr>
          <w:rFonts w:ascii="Arial" w:hAnsi="Arial" w:cs="Arial"/>
          <w:sz w:val="24"/>
          <w:szCs w:val="24"/>
        </w:rPr>
      </w:pPr>
    </w:p>
    <w:p w14:paraId="5F4FBE43" w14:textId="77777777" w:rsidR="002A324B" w:rsidRPr="00F10B9B" w:rsidRDefault="002A324B" w:rsidP="00F10B9B">
      <w:pPr>
        <w:pStyle w:val="CommentText"/>
        <w:numPr>
          <w:ilvl w:val="1"/>
          <w:numId w:val="26"/>
        </w:numPr>
        <w:spacing w:after="0" w:line="276" w:lineRule="auto"/>
        <w:rPr>
          <w:rFonts w:ascii="Arial" w:hAnsi="Arial" w:cs="Arial"/>
          <w:sz w:val="24"/>
          <w:szCs w:val="24"/>
        </w:rPr>
      </w:pPr>
      <w:r w:rsidRPr="00F10B9B">
        <w:rPr>
          <w:rFonts w:ascii="Arial" w:hAnsi="Arial" w:cs="Arial"/>
          <w:sz w:val="24"/>
          <w:szCs w:val="24"/>
        </w:rPr>
        <w:t>Quantification and nature of the adjustment</w:t>
      </w:r>
    </w:p>
    <w:p w14:paraId="1142FF9D" w14:textId="77777777" w:rsidR="002A324B" w:rsidRPr="00F10B9B" w:rsidRDefault="002A324B" w:rsidP="00F10B9B">
      <w:pPr>
        <w:pStyle w:val="CommentText"/>
        <w:numPr>
          <w:ilvl w:val="1"/>
          <w:numId w:val="26"/>
        </w:numPr>
        <w:spacing w:after="0" w:line="276" w:lineRule="auto"/>
        <w:rPr>
          <w:rFonts w:ascii="Arial" w:hAnsi="Arial" w:cs="Arial"/>
          <w:sz w:val="24"/>
          <w:szCs w:val="24"/>
        </w:rPr>
      </w:pPr>
      <w:r w:rsidRPr="00F10B9B">
        <w:rPr>
          <w:rFonts w:ascii="Arial" w:hAnsi="Arial" w:cs="Arial"/>
          <w:sz w:val="24"/>
          <w:szCs w:val="24"/>
        </w:rPr>
        <w:t>The period in which the adjustment relates to (i.e. in relation to the flow of kWh)</w:t>
      </w:r>
    </w:p>
    <w:p w14:paraId="5254D365" w14:textId="77777777" w:rsidR="002A324B" w:rsidRPr="00F10B9B" w:rsidRDefault="002A324B" w:rsidP="00F10B9B">
      <w:pPr>
        <w:pStyle w:val="CommentText"/>
        <w:numPr>
          <w:ilvl w:val="1"/>
          <w:numId w:val="26"/>
        </w:numPr>
        <w:spacing w:after="0" w:line="276" w:lineRule="auto"/>
        <w:rPr>
          <w:rFonts w:ascii="Arial" w:hAnsi="Arial" w:cs="Arial"/>
          <w:sz w:val="24"/>
          <w:szCs w:val="24"/>
        </w:rPr>
      </w:pPr>
      <w:r w:rsidRPr="00F10B9B">
        <w:rPr>
          <w:rFonts w:ascii="Arial" w:hAnsi="Arial" w:cs="Arial"/>
          <w:sz w:val="24"/>
          <w:szCs w:val="24"/>
        </w:rPr>
        <w:t>Detailed explanation of the adjustment, including how it was identified, the reason for the adjustment, the impact to each of Accounts 1588 and 1589.</w:t>
      </w:r>
    </w:p>
    <w:p w14:paraId="1B3EADB9" w14:textId="77777777" w:rsidR="002A324B" w:rsidRPr="00F10B9B" w:rsidRDefault="002A324B" w:rsidP="00E30E3A">
      <w:pPr>
        <w:pStyle w:val="CommentText"/>
        <w:numPr>
          <w:ilvl w:val="1"/>
          <w:numId w:val="26"/>
        </w:numPr>
        <w:spacing w:after="0" w:line="276" w:lineRule="auto"/>
        <w:rPr>
          <w:rFonts w:ascii="Arial" w:hAnsi="Arial" w:cs="Arial"/>
          <w:sz w:val="24"/>
          <w:szCs w:val="24"/>
        </w:rPr>
      </w:pPr>
      <w:r w:rsidRPr="00F10B9B">
        <w:rPr>
          <w:rFonts w:ascii="Arial" w:hAnsi="Arial" w:cs="Arial"/>
          <w:sz w:val="24"/>
          <w:szCs w:val="24"/>
        </w:rPr>
        <w:t xml:space="preserve">Show how it has been included as a principal adjustment to Account 1589 in the GA Analysis Workform and Account 1588 in </w:t>
      </w:r>
      <w:r w:rsidR="00E30E3A" w:rsidRPr="00E30E3A">
        <w:rPr>
          <w:rFonts w:ascii="Arial" w:hAnsi="Arial" w:cs="Arial"/>
          <w:sz w:val="24"/>
          <w:szCs w:val="24"/>
        </w:rPr>
        <w:t>Appendix A GA Methodology Description Questions on Accounts 1588 &amp; 1589</w:t>
      </w:r>
      <w:r w:rsidR="00E30E3A">
        <w:rPr>
          <w:rFonts w:ascii="Arial" w:hAnsi="Arial" w:cs="Arial"/>
          <w:sz w:val="24"/>
          <w:szCs w:val="24"/>
        </w:rPr>
        <w:t xml:space="preserve">, </w:t>
      </w:r>
      <w:r w:rsidRPr="00F10B9B">
        <w:rPr>
          <w:rFonts w:ascii="Arial" w:hAnsi="Arial" w:cs="Arial"/>
          <w:sz w:val="24"/>
          <w:szCs w:val="24"/>
        </w:rPr>
        <w:t>Question 1</w:t>
      </w:r>
    </w:p>
    <w:p w14:paraId="4E9B587D" w14:textId="77777777" w:rsidR="002A324B" w:rsidRPr="00F10B9B" w:rsidRDefault="002A324B" w:rsidP="00F10B9B">
      <w:pPr>
        <w:pStyle w:val="CommentText"/>
        <w:numPr>
          <w:ilvl w:val="1"/>
          <w:numId w:val="26"/>
        </w:numPr>
        <w:spacing w:after="0" w:line="276" w:lineRule="auto"/>
        <w:rPr>
          <w:rFonts w:ascii="Arial" w:hAnsi="Arial" w:cs="Arial"/>
          <w:sz w:val="24"/>
          <w:szCs w:val="24"/>
        </w:rPr>
      </w:pPr>
      <w:r w:rsidRPr="00F10B9B">
        <w:rPr>
          <w:rFonts w:ascii="Arial" w:hAnsi="Arial" w:cs="Arial"/>
          <w:sz w:val="24"/>
          <w:szCs w:val="24"/>
        </w:rPr>
        <w:t>Describe the steps taken to include these adjustments in the DVA Continuity Schedule and balances requested for disposition in this proceeding. Please also provide the cells in the DVA Continuity Schedule where these adjustments were made.</w:t>
      </w:r>
    </w:p>
    <w:p w14:paraId="389E9BC9" w14:textId="77777777" w:rsidR="00E866AF" w:rsidRPr="00F10B9B" w:rsidRDefault="00E866AF" w:rsidP="00F10B9B">
      <w:pPr>
        <w:pStyle w:val="ListParagraph"/>
        <w:spacing w:after="0" w:line="276" w:lineRule="auto"/>
        <w:ind w:left="1800"/>
        <w:rPr>
          <w:rFonts w:ascii="Arial" w:hAnsi="Arial" w:cs="Arial"/>
          <w:sz w:val="24"/>
          <w:szCs w:val="24"/>
        </w:rPr>
      </w:pPr>
    </w:p>
    <w:p w14:paraId="37CB48D5" w14:textId="5EB0B0B5" w:rsidR="00BC34DF" w:rsidRPr="00F10B9B" w:rsidRDefault="00711956" w:rsidP="00F10B9B">
      <w:pPr>
        <w:pStyle w:val="ListParagraph"/>
        <w:numPr>
          <w:ilvl w:val="0"/>
          <w:numId w:val="25"/>
        </w:numPr>
        <w:spacing w:after="0" w:line="276" w:lineRule="auto"/>
        <w:rPr>
          <w:rFonts w:ascii="Arial" w:hAnsi="Arial" w:cs="Arial"/>
          <w:sz w:val="24"/>
          <w:szCs w:val="24"/>
        </w:rPr>
      </w:pPr>
      <w:r w:rsidRPr="00F10B9B">
        <w:rPr>
          <w:rFonts w:ascii="Arial" w:hAnsi="Arial" w:cs="Arial"/>
          <w:sz w:val="24"/>
          <w:szCs w:val="24"/>
        </w:rPr>
        <w:t>Please provide further details on the review of 2017 and 2018 balances that was completed and any summary reports available (e.g. how the review was done).</w:t>
      </w:r>
    </w:p>
    <w:p w14:paraId="2E0C7176" w14:textId="77777777" w:rsidR="00CA0816" w:rsidRDefault="00CA0816" w:rsidP="00CA0816">
      <w:pPr>
        <w:spacing w:after="0" w:line="276" w:lineRule="auto"/>
        <w:rPr>
          <w:rFonts w:ascii="Arial" w:hAnsi="Arial" w:cs="Arial"/>
          <w:sz w:val="24"/>
          <w:szCs w:val="24"/>
        </w:rPr>
      </w:pPr>
    </w:p>
    <w:p w14:paraId="2E698EBD" w14:textId="77777777" w:rsidR="00CA0816" w:rsidRDefault="00CA0816" w:rsidP="00CA0816">
      <w:pPr>
        <w:spacing w:after="0" w:line="276" w:lineRule="auto"/>
        <w:rPr>
          <w:rFonts w:ascii="Arial" w:hAnsi="Arial" w:cs="Arial"/>
          <w:sz w:val="24"/>
          <w:szCs w:val="24"/>
        </w:rPr>
      </w:pPr>
    </w:p>
    <w:p w14:paraId="2295BE75" w14:textId="77777777" w:rsidR="00CA0816" w:rsidRPr="004824CB" w:rsidRDefault="00CA0816" w:rsidP="004824CB">
      <w:pPr>
        <w:pStyle w:val="Heading2"/>
      </w:pPr>
      <w:r w:rsidRPr="004824CB">
        <w:t>Staff-3</w:t>
      </w:r>
    </w:p>
    <w:p w14:paraId="65B84127" w14:textId="77777777" w:rsidR="00CA0816" w:rsidRDefault="00CA0816" w:rsidP="00CA0816">
      <w:pPr>
        <w:spacing w:after="0" w:line="276" w:lineRule="auto"/>
        <w:rPr>
          <w:rFonts w:ascii="Arial" w:hAnsi="Arial" w:cs="Arial"/>
          <w:sz w:val="24"/>
          <w:szCs w:val="24"/>
        </w:rPr>
      </w:pPr>
    </w:p>
    <w:p w14:paraId="68A86D47" w14:textId="72E575E9" w:rsidR="00CA0816" w:rsidRPr="00F10B9B" w:rsidRDefault="00CA0816" w:rsidP="00CA0816">
      <w:pPr>
        <w:spacing w:after="0" w:line="276" w:lineRule="auto"/>
        <w:rPr>
          <w:rFonts w:ascii="Arial" w:hAnsi="Arial" w:cs="Arial"/>
          <w:sz w:val="24"/>
          <w:szCs w:val="24"/>
        </w:rPr>
      </w:pPr>
      <w:r>
        <w:rPr>
          <w:rFonts w:ascii="Arial" w:hAnsi="Arial" w:cs="Arial"/>
          <w:sz w:val="24"/>
          <w:szCs w:val="24"/>
        </w:rPr>
        <w:t>Ref:</w:t>
      </w:r>
      <w:r>
        <w:rPr>
          <w:rFonts w:ascii="Arial" w:hAnsi="Arial" w:cs="Arial"/>
          <w:sz w:val="24"/>
          <w:szCs w:val="24"/>
        </w:rPr>
        <w:tab/>
      </w:r>
      <w:r w:rsidRPr="00F10B9B">
        <w:rPr>
          <w:rFonts w:ascii="Arial" w:hAnsi="Arial" w:cs="Arial"/>
          <w:sz w:val="24"/>
          <w:szCs w:val="24"/>
        </w:rPr>
        <w:t>(</w:t>
      </w:r>
      <w:r>
        <w:rPr>
          <w:rFonts w:ascii="Arial" w:hAnsi="Arial" w:cs="Arial"/>
          <w:sz w:val="24"/>
          <w:szCs w:val="24"/>
        </w:rPr>
        <w:t>1</w:t>
      </w:r>
      <w:r w:rsidRPr="00F10B9B">
        <w:rPr>
          <w:rFonts w:ascii="Arial" w:hAnsi="Arial" w:cs="Arial"/>
          <w:sz w:val="24"/>
          <w:szCs w:val="24"/>
        </w:rPr>
        <w:t xml:space="preserve">) </w:t>
      </w:r>
      <w:r w:rsidR="00165D38">
        <w:rPr>
          <w:rFonts w:ascii="Arial" w:hAnsi="Arial" w:cs="Arial"/>
          <w:sz w:val="24"/>
          <w:szCs w:val="24"/>
        </w:rPr>
        <w:t xml:space="preserve">Application, </w:t>
      </w:r>
      <w:r w:rsidRPr="00F10B9B">
        <w:rPr>
          <w:rFonts w:ascii="Arial" w:hAnsi="Arial" w:cs="Arial"/>
          <w:sz w:val="24"/>
          <w:szCs w:val="24"/>
        </w:rPr>
        <w:t>Manager’s Summary, page 15</w:t>
      </w:r>
    </w:p>
    <w:p w14:paraId="20751D27" w14:textId="77777777" w:rsidR="00CA0816" w:rsidRDefault="00CA0816" w:rsidP="00CA0816">
      <w:pPr>
        <w:spacing w:after="0" w:line="276" w:lineRule="auto"/>
        <w:rPr>
          <w:rFonts w:ascii="Arial" w:hAnsi="Arial" w:cs="Arial"/>
          <w:sz w:val="24"/>
          <w:szCs w:val="24"/>
        </w:rPr>
      </w:pPr>
    </w:p>
    <w:p w14:paraId="47EC2B46" w14:textId="77777777" w:rsidR="00CA0816" w:rsidRPr="00CA0816" w:rsidRDefault="00CA0816" w:rsidP="00CA0816">
      <w:pPr>
        <w:spacing w:after="0" w:line="276" w:lineRule="auto"/>
        <w:rPr>
          <w:rFonts w:ascii="Arial" w:hAnsi="Arial" w:cs="Arial"/>
          <w:sz w:val="24"/>
          <w:szCs w:val="24"/>
          <w:u w:val="single"/>
        </w:rPr>
      </w:pPr>
      <w:r w:rsidRPr="00CA0816">
        <w:rPr>
          <w:rFonts w:ascii="Arial" w:hAnsi="Arial" w:cs="Arial"/>
          <w:sz w:val="24"/>
          <w:szCs w:val="24"/>
          <w:u w:val="single"/>
        </w:rPr>
        <w:t>Preamble:</w:t>
      </w:r>
    </w:p>
    <w:p w14:paraId="4A44E88E" w14:textId="77777777" w:rsidR="00CA0816" w:rsidRPr="00CA0816" w:rsidRDefault="00CA0816" w:rsidP="00CA0816">
      <w:pPr>
        <w:spacing w:after="0" w:line="276" w:lineRule="auto"/>
        <w:rPr>
          <w:rFonts w:ascii="Arial" w:hAnsi="Arial" w:cs="Arial"/>
          <w:sz w:val="24"/>
          <w:szCs w:val="24"/>
        </w:rPr>
      </w:pPr>
    </w:p>
    <w:p w14:paraId="509A7E67" w14:textId="01EDD033" w:rsidR="00CA0816" w:rsidRDefault="00CA0816" w:rsidP="00CA0816">
      <w:pPr>
        <w:spacing w:after="0" w:line="276" w:lineRule="auto"/>
        <w:rPr>
          <w:rFonts w:ascii="Arial" w:hAnsi="Arial" w:cs="Arial"/>
          <w:sz w:val="24"/>
          <w:szCs w:val="24"/>
        </w:rPr>
      </w:pPr>
      <w:r w:rsidRPr="00F10B9B">
        <w:rPr>
          <w:rFonts w:ascii="Arial" w:hAnsi="Arial" w:cs="Arial"/>
          <w:sz w:val="24"/>
          <w:szCs w:val="24"/>
        </w:rPr>
        <w:t>At the above</w:t>
      </w:r>
      <w:r w:rsidR="00E42979">
        <w:rPr>
          <w:rFonts w:ascii="Arial" w:hAnsi="Arial" w:cs="Arial"/>
          <w:sz w:val="24"/>
          <w:szCs w:val="24"/>
        </w:rPr>
        <w:t>-</w:t>
      </w:r>
      <w:r w:rsidRPr="00F10B9B">
        <w:rPr>
          <w:rFonts w:ascii="Arial" w:hAnsi="Arial" w:cs="Arial"/>
          <w:sz w:val="24"/>
          <w:szCs w:val="24"/>
        </w:rPr>
        <w:t xml:space="preserve">noted reference, </w:t>
      </w:r>
      <w:r w:rsidR="00794B11">
        <w:rPr>
          <w:rFonts w:ascii="Arial" w:hAnsi="Arial" w:cs="Arial"/>
          <w:sz w:val="24"/>
          <w:szCs w:val="24"/>
        </w:rPr>
        <w:t>Elexicon Energy</w:t>
      </w:r>
      <w:r w:rsidRPr="00F10B9B">
        <w:rPr>
          <w:rFonts w:ascii="Arial" w:hAnsi="Arial" w:cs="Arial"/>
          <w:sz w:val="24"/>
          <w:szCs w:val="24"/>
        </w:rPr>
        <w:t xml:space="preserve"> noted the following regarding changes to its methodology </w:t>
      </w:r>
      <w:r w:rsidR="00E42979">
        <w:rPr>
          <w:rFonts w:ascii="Arial" w:hAnsi="Arial" w:cs="Arial"/>
          <w:sz w:val="24"/>
          <w:szCs w:val="24"/>
        </w:rPr>
        <w:t>on</w:t>
      </w:r>
      <w:r w:rsidRPr="00F10B9B">
        <w:rPr>
          <w:rFonts w:ascii="Arial" w:hAnsi="Arial" w:cs="Arial"/>
          <w:sz w:val="24"/>
          <w:szCs w:val="24"/>
        </w:rPr>
        <w:t xml:space="preserve"> the Tiered splits:</w:t>
      </w:r>
    </w:p>
    <w:p w14:paraId="51F0280F" w14:textId="77777777" w:rsidR="00CA0816" w:rsidRPr="00F10B9B" w:rsidRDefault="00CA0816" w:rsidP="00CA0816">
      <w:pPr>
        <w:spacing w:after="0" w:line="276" w:lineRule="auto"/>
        <w:rPr>
          <w:rFonts w:ascii="Arial" w:hAnsi="Arial" w:cs="Arial"/>
          <w:sz w:val="24"/>
          <w:szCs w:val="24"/>
        </w:rPr>
      </w:pPr>
    </w:p>
    <w:p w14:paraId="053D9DD8" w14:textId="3468EAA9" w:rsidR="00CA0816" w:rsidRDefault="00CA0816" w:rsidP="00CA0816">
      <w:pPr>
        <w:spacing w:after="0" w:line="276" w:lineRule="auto"/>
        <w:ind w:left="720"/>
        <w:rPr>
          <w:rFonts w:ascii="Arial" w:hAnsi="Arial" w:cs="Arial"/>
          <w:sz w:val="24"/>
          <w:szCs w:val="24"/>
        </w:rPr>
      </w:pPr>
      <w:r w:rsidRPr="00F10B9B">
        <w:rPr>
          <w:rFonts w:ascii="Arial" w:hAnsi="Arial" w:cs="Arial"/>
          <w:sz w:val="24"/>
          <w:szCs w:val="24"/>
        </w:rPr>
        <w:t xml:space="preserve">The </w:t>
      </w:r>
      <w:r w:rsidR="00794B11">
        <w:rPr>
          <w:rFonts w:ascii="Arial" w:hAnsi="Arial" w:cs="Arial"/>
          <w:sz w:val="24"/>
          <w:szCs w:val="24"/>
        </w:rPr>
        <w:t>Veridian Rate Zone’s</w:t>
      </w:r>
      <w:r w:rsidRPr="00F10B9B">
        <w:rPr>
          <w:rFonts w:ascii="Arial" w:hAnsi="Arial" w:cs="Arial"/>
          <w:sz w:val="24"/>
          <w:szCs w:val="24"/>
        </w:rPr>
        <w:t xml:space="preserve"> Class B RPP claim is submitted monthly (</w:t>
      </w:r>
      <w:r w:rsidR="0063122A">
        <w:rPr>
          <w:rFonts w:ascii="Arial" w:hAnsi="Arial" w:cs="Arial"/>
          <w:sz w:val="24"/>
          <w:szCs w:val="24"/>
        </w:rPr>
        <w:t>C</w:t>
      </w:r>
      <w:r w:rsidRPr="00F10B9B">
        <w:rPr>
          <w:rFonts w:ascii="Arial" w:hAnsi="Arial" w:cs="Arial"/>
          <w:sz w:val="24"/>
          <w:szCs w:val="24"/>
        </w:rPr>
        <w:t xml:space="preserve">harge </w:t>
      </w:r>
      <w:r w:rsidR="0063122A">
        <w:rPr>
          <w:rFonts w:ascii="Arial" w:hAnsi="Arial" w:cs="Arial"/>
          <w:sz w:val="24"/>
          <w:szCs w:val="24"/>
        </w:rPr>
        <w:t>T</w:t>
      </w:r>
      <w:r w:rsidRPr="00F10B9B">
        <w:rPr>
          <w:rFonts w:ascii="Arial" w:hAnsi="Arial" w:cs="Arial"/>
          <w:sz w:val="24"/>
          <w:szCs w:val="24"/>
        </w:rPr>
        <w:t xml:space="preserve">ype 1142). Consumption data for IESO </w:t>
      </w:r>
      <w:r w:rsidR="0063122A">
        <w:rPr>
          <w:rFonts w:ascii="Arial" w:hAnsi="Arial" w:cs="Arial"/>
          <w:sz w:val="24"/>
          <w:szCs w:val="24"/>
        </w:rPr>
        <w:t>C</w:t>
      </w:r>
      <w:r w:rsidRPr="00F10B9B">
        <w:rPr>
          <w:rFonts w:ascii="Arial" w:hAnsi="Arial" w:cs="Arial"/>
          <w:sz w:val="24"/>
          <w:szCs w:val="24"/>
        </w:rPr>
        <w:t xml:space="preserve">harge </w:t>
      </w:r>
      <w:r w:rsidR="0063122A">
        <w:rPr>
          <w:rFonts w:ascii="Arial" w:hAnsi="Arial" w:cs="Arial"/>
          <w:sz w:val="24"/>
          <w:szCs w:val="24"/>
        </w:rPr>
        <w:t>T</w:t>
      </w:r>
      <w:r w:rsidRPr="00F10B9B">
        <w:rPr>
          <w:rFonts w:ascii="Arial" w:hAnsi="Arial" w:cs="Arial"/>
          <w:sz w:val="24"/>
          <w:szCs w:val="24"/>
        </w:rPr>
        <w:t xml:space="preserve">ype 1142 is based on actual metered RPP consumption data for the current month. The estimates for the split of TOU periods are based on the actual metered hourly data for each period. The Tier 1 and 2 split is based on the previous year’s billed split for the same rate period. Effective September 2019, and retroactive to January 2019, the Tier split is based on actual metered hourly data for each period. Effective January 2019, a process change allowed for the implementation of categorized Tiered RPP data. The previous approach used a top-down methodology to arrive at residual </w:t>
      </w:r>
      <w:r w:rsidRPr="00F10B9B">
        <w:rPr>
          <w:rFonts w:ascii="Arial" w:hAnsi="Arial" w:cs="Arial"/>
          <w:sz w:val="24"/>
          <w:szCs w:val="24"/>
        </w:rPr>
        <w:lastRenderedPageBreak/>
        <w:t>consumption. Analysis was conducted during the period of 2018 to compare the two approaches; the results were immaterial.</w:t>
      </w:r>
    </w:p>
    <w:p w14:paraId="27DD2B81" w14:textId="77777777" w:rsidR="00CA0816" w:rsidRDefault="00CA0816" w:rsidP="00E37780">
      <w:pPr>
        <w:spacing w:after="0" w:line="276" w:lineRule="auto"/>
        <w:rPr>
          <w:rFonts w:ascii="Arial" w:hAnsi="Arial" w:cs="Arial"/>
          <w:sz w:val="24"/>
          <w:szCs w:val="24"/>
        </w:rPr>
      </w:pPr>
    </w:p>
    <w:p w14:paraId="6ADACB01" w14:textId="77777777" w:rsidR="00CA0816" w:rsidRDefault="00CA0816" w:rsidP="00CA0816">
      <w:pPr>
        <w:spacing w:after="0" w:line="276" w:lineRule="auto"/>
        <w:rPr>
          <w:rFonts w:ascii="Arial" w:hAnsi="Arial" w:cs="Arial"/>
          <w:sz w:val="24"/>
          <w:szCs w:val="24"/>
          <w:u w:val="single"/>
        </w:rPr>
      </w:pPr>
      <w:r>
        <w:rPr>
          <w:rFonts w:ascii="Arial" w:hAnsi="Arial" w:cs="Arial"/>
          <w:sz w:val="24"/>
          <w:szCs w:val="24"/>
          <w:u w:val="single"/>
        </w:rPr>
        <w:t>Question</w:t>
      </w:r>
      <w:r w:rsidR="00B5411E">
        <w:rPr>
          <w:rFonts w:ascii="Arial" w:hAnsi="Arial" w:cs="Arial"/>
          <w:sz w:val="24"/>
          <w:szCs w:val="24"/>
          <w:u w:val="single"/>
        </w:rPr>
        <w:t>s</w:t>
      </w:r>
      <w:r>
        <w:rPr>
          <w:rFonts w:ascii="Arial" w:hAnsi="Arial" w:cs="Arial"/>
          <w:sz w:val="24"/>
          <w:szCs w:val="24"/>
          <w:u w:val="single"/>
        </w:rPr>
        <w:t>:</w:t>
      </w:r>
    </w:p>
    <w:p w14:paraId="66AAC8B7" w14:textId="77777777" w:rsidR="00CA0816" w:rsidRDefault="00CA0816" w:rsidP="00CA0816">
      <w:pPr>
        <w:spacing w:after="0" w:line="276" w:lineRule="auto"/>
        <w:rPr>
          <w:rFonts w:ascii="Arial" w:hAnsi="Arial" w:cs="Arial"/>
          <w:sz w:val="24"/>
          <w:szCs w:val="24"/>
          <w:u w:val="single"/>
        </w:rPr>
      </w:pPr>
    </w:p>
    <w:p w14:paraId="40E30F4A" w14:textId="53F7A024" w:rsidR="00E6008E" w:rsidRDefault="00794B11" w:rsidP="00E6008E">
      <w:pPr>
        <w:pStyle w:val="ListParagraph"/>
        <w:numPr>
          <w:ilvl w:val="0"/>
          <w:numId w:val="39"/>
        </w:numPr>
        <w:spacing w:after="0" w:line="276" w:lineRule="auto"/>
        <w:rPr>
          <w:rFonts w:ascii="Arial" w:hAnsi="Arial" w:cs="Arial"/>
          <w:sz w:val="24"/>
          <w:szCs w:val="24"/>
        </w:rPr>
      </w:pPr>
      <w:r>
        <w:rPr>
          <w:rFonts w:ascii="Arial" w:hAnsi="Arial" w:cs="Arial"/>
          <w:sz w:val="24"/>
          <w:szCs w:val="24"/>
        </w:rPr>
        <w:t>Elexicon Energy</w:t>
      </w:r>
      <w:r w:rsidRPr="00F10B9B">
        <w:rPr>
          <w:rFonts w:ascii="Arial" w:hAnsi="Arial" w:cs="Arial"/>
          <w:sz w:val="24"/>
          <w:szCs w:val="24"/>
        </w:rPr>
        <w:t xml:space="preserve"> </w:t>
      </w:r>
      <w:r w:rsidR="00E6008E" w:rsidRPr="00E6008E">
        <w:rPr>
          <w:rFonts w:ascii="Arial" w:hAnsi="Arial" w:cs="Arial"/>
          <w:sz w:val="24"/>
          <w:szCs w:val="24"/>
        </w:rPr>
        <w:t xml:space="preserve">has described </w:t>
      </w:r>
      <w:r w:rsidR="0035005D">
        <w:rPr>
          <w:rFonts w:ascii="Arial" w:hAnsi="Arial" w:cs="Arial"/>
          <w:sz w:val="24"/>
          <w:szCs w:val="24"/>
        </w:rPr>
        <w:t xml:space="preserve">that </w:t>
      </w:r>
      <w:r w:rsidR="00E6008E" w:rsidRPr="00E6008E">
        <w:rPr>
          <w:rFonts w:ascii="Arial" w:hAnsi="Arial" w:cs="Arial"/>
          <w:sz w:val="24"/>
          <w:szCs w:val="24"/>
        </w:rPr>
        <w:t>it has performed a Tiered split analysis for 2018 but did not provide an explanation.</w:t>
      </w:r>
      <w:r w:rsidR="001D0496">
        <w:rPr>
          <w:rFonts w:ascii="Arial" w:hAnsi="Arial" w:cs="Arial"/>
          <w:sz w:val="24"/>
          <w:szCs w:val="24"/>
        </w:rPr>
        <w:t xml:space="preserve"> Please provide an explanation, including how </w:t>
      </w:r>
      <w:r>
        <w:rPr>
          <w:rFonts w:ascii="Arial" w:hAnsi="Arial" w:cs="Arial"/>
          <w:sz w:val="24"/>
          <w:szCs w:val="24"/>
        </w:rPr>
        <w:t>its</w:t>
      </w:r>
      <w:r w:rsidR="00F44284">
        <w:rPr>
          <w:rFonts w:ascii="Arial" w:hAnsi="Arial" w:cs="Arial"/>
          <w:sz w:val="24"/>
          <w:szCs w:val="24"/>
        </w:rPr>
        <w:t xml:space="preserve"> analysis </w:t>
      </w:r>
      <w:r w:rsidR="001D0496">
        <w:rPr>
          <w:rFonts w:ascii="Arial" w:hAnsi="Arial" w:cs="Arial"/>
          <w:sz w:val="24"/>
          <w:szCs w:val="24"/>
        </w:rPr>
        <w:t>addresses the OEB’s new accounting guidance.</w:t>
      </w:r>
    </w:p>
    <w:p w14:paraId="61CE588E" w14:textId="77777777" w:rsidR="00B5411E" w:rsidRDefault="00B5411E" w:rsidP="00B5411E">
      <w:pPr>
        <w:pStyle w:val="ListParagraph"/>
        <w:spacing w:after="0" w:line="276" w:lineRule="auto"/>
        <w:rPr>
          <w:rFonts w:ascii="Arial" w:hAnsi="Arial" w:cs="Arial"/>
          <w:sz w:val="24"/>
          <w:szCs w:val="24"/>
        </w:rPr>
      </w:pPr>
    </w:p>
    <w:p w14:paraId="44283526" w14:textId="44E1AB6C" w:rsidR="001D0496" w:rsidRPr="001D0496" w:rsidRDefault="00562535" w:rsidP="001D0496">
      <w:pPr>
        <w:pStyle w:val="ListParagraph"/>
        <w:numPr>
          <w:ilvl w:val="0"/>
          <w:numId w:val="39"/>
        </w:numPr>
        <w:rPr>
          <w:rFonts w:ascii="Arial" w:hAnsi="Arial" w:cs="Arial"/>
          <w:sz w:val="24"/>
          <w:szCs w:val="24"/>
        </w:rPr>
      </w:pPr>
      <w:r>
        <w:rPr>
          <w:rFonts w:ascii="Arial" w:hAnsi="Arial" w:cs="Arial"/>
          <w:sz w:val="24"/>
          <w:szCs w:val="24"/>
        </w:rPr>
        <w:t>Building on the questions asked above</w:t>
      </w:r>
      <w:r w:rsidR="00B5292F">
        <w:rPr>
          <w:rFonts w:ascii="Arial" w:hAnsi="Arial" w:cs="Arial"/>
          <w:sz w:val="24"/>
          <w:szCs w:val="24"/>
        </w:rPr>
        <w:t xml:space="preserve"> regarding </w:t>
      </w:r>
      <w:r w:rsidR="00FC0D33">
        <w:rPr>
          <w:rFonts w:ascii="Arial" w:hAnsi="Arial" w:cs="Arial"/>
          <w:sz w:val="24"/>
          <w:szCs w:val="24"/>
        </w:rPr>
        <w:t>Elexicon Energy</w:t>
      </w:r>
      <w:r w:rsidR="0042270D">
        <w:rPr>
          <w:rFonts w:ascii="Arial" w:hAnsi="Arial" w:cs="Arial"/>
          <w:sz w:val="24"/>
          <w:szCs w:val="24"/>
        </w:rPr>
        <w:t>’s review of the new accounting guidance</w:t>
      </w:r>
      <w:r>
        <w:rPr>
          <w:rFonts w:ascii="Arial" w:hAnsi="Arial" w:cs="Arial"/>
          <w:sz w:val="24"/>
          <w:szCs w:val="24"/>
        </w:rPr>
        <w:t>, p</w:t>
      </w:r>
      <w:r w:rsidR="00B5411E" w:rsidRPr="001D0496">
        <w:rPr>
          <w:rFonts w:ascii="Arial" w:hAnsi="Arial" w:cs="Arial"/>
          <w:sz w:val="24"/>
          <w:szCs w:val="24"/>
        </w:rPr>
        <w:t xml:space="preserve">lease further describe the </w:t>
      </w:r>
      <w:r w:rsidR="001D0496" w:rsidRPr="001D0496">
        <w:rPr>
          <w:rFonts w:ascii="Arial" w:hAnsi="Arial" w:cs="Arial"/>
          <w:sz w:val="24"/>
          <w:szCs w:val="24"/>
        </w:rPr>
        <w:t>scope of the above</w:t>
      </w:r>
      <w:r w:rsidR="00E42979">
        <w:rPr>
          <w:rFonts w:ascii="Arial" w:hAnsi="Arial" w:cs="Arial"/>
          <w:sz w:val="24"/>
          <w:szCs w:val="24"/>
        </w:rPr>
        <w:t>-</w:t>
      </w:r>
      <w:r w:rsidR="001D0496" w:rsidRPr="001D0496">
        <w:rPr>
          <w:rFonts w:ascii="Arial" w:hAnsi="Arial" w:cs="Arial"/>
          <w:sz w:val="24"/>
          <w:szCs w:val="24"/>
        </w:rPr>
        <w:t>noted</w:t>
      </w:r>
      <w:r w:rsidR="00B5411E" w:rsidRPr="001D0496">
        <w:rPr>
          <w:rFonts w:ascii="Arial" w:hAnsi="Arial" w:cs="Arial"/>
          <w:sz w:val="24"/>
          <w:szCs w:val="24"/>
        </w:rPr>
        <w:t xml:space="preserve"> analysis</w:t>
      </w:r>
      <w:r w:rsidR="00FD2019">
        <w:rPr>
          <w:rFonts w:ascii="Arial" w:hAnsi="Arial" w:cs="Arial"/>
          <w:sz w:val="24"/>
          <w:szCs w:val="24"/>
        </w:rPr>
        <w:t>. Please</w:t>
      </w:r>
      <w:r w:rsidR="00B5411E" w:rsidRPr="001D0496">
        <w:rPr>
          <w:rFonts w:ascii="Arial" w:hAnsi="Arial" w:cs="Arial"/>
          <w:sz w:val="24"/>
          <w:szCs w:val="24"/>
        </w:rPr>
        <w:t xml:space="preserve"> </w:t>
      </w:r>
      <w:r w:rsidR="00CC04E0">
        <w:rPr>
          <w:rFonts w:ascii="Arial" w:hAnsi="Arial" w:cs="Arial"/>
          <w:sz w:val="24"/>
          <w:szCs w:val="24"/>
        </w:rPr>
        <w:t>confirm that the analysis</w:t>
      </w:r>
      <w:r w:rsidR="001D0496" w:rsidRPr="001D0496">
        <w:rPr>
          <w:rFonts w:ascii="Arial" w:hAnsi="Arial" w:cs="Arial"/>
          <w:sz w:val="24"/>
          <w:szCs w:val="24"/>
        </w:rPr>
        <w:t xml:space="preserve"> was implemented</w:t>
      </w:r>
      <w:r w:rsidR="00B5411E" w:rsidRPr="001D0496">
        <w:rPr>
          <w:rFonts w:ascii="Arial" w:hAnsi="Arial" w:cs="Arial"/>
          <w:sz w:val="24"/>
          <w:szCs w:val="24"/>
        </w:rPr>
        <w:t xml:space="preserve"> retroactive to January 1, 2017</w:t>
      </w:r>
      <w:r w:rsidR="001D0496" w:rsidRPr="001D0496">
        <w:t xml:space="preserve"> </w:t>
      </w:r>
      <w:r w:rsidR="001D0496" w:rsidRPr="001D0496">
        <w:rPr>
          <w:rFonts w:ascii="Arial" w:hAnsi="Arial" w:cs="Arial"/>
          <w:sz w:val="24"/>
          <w:szCs w:val="24"/>
        </w:rPr>
        <w:t>and that this task was completed by August 31, 2019. If this is not the case, please explain.</w:t>
      </w:r>
    </w:p>
    <w:p w14:paraId="558BCC6B" w14:textId="77777777" w:rsidR="00B5411E" w:rsidRPr="00E6008E" w:rsidRDefault="00B5411E" w:rsidP="001D0496">
      <w:pPr>
        <w:pStyle w:val="ListParagraph"/>
        <w:spacing w:after="0" w:line="276" w:lineRule="auto"/>
        <w:rPr>
          <w:rFonts w:ascii="Arial" w:hAnsi="Arial" w:cs="Arial"/>
          <w:sz w:val="24"/>
          <w:szCs w:val="24"/>
        </w:rPr>
      </w:pPr>
    </w:p>
    <w:p w14:paraId="6F2E0800" w14:textId="77777777" w:rsidR="00CA0816" w:rsidRDefault="00CA0816" w:rsidP="00E37780">
      <w:pPr>
        <w:spacing w:after="0" w:line="276" w:lineRule="auto"/>
        <w:rPr>
          <w:rFonts w:ascii="Arial" w:hAnsi="Arial" w:cs="Arial"/>
          <w:sz w:val="24"/>
          <w:szCs w:val="24"/>
        </w:rPr>
      </w:pPr>
    </w:p>
    <w:p w14:paraId="53F5CDC0" w14:textId="77777777" w:rsidR="00E37780" w:rsidRPr="004824CB" w:rsidRDefault="00CA0816" w:rsidP="004824CB">
      <w:pPr>
        <w:pStyle w:val="Heading2"/>
      </w:pPr>
      <w:r w:rsidRPr="004824CB">
        <w:t>Staff-4</w:t>
      </w:r>
    </w:p>
    <w:p w14:paraId="17E3325E" w14:textId="77777777" w:rsidR="00E37780" w:rsidRDefault="00E37780" w:rsidP="00E37780">
      <w:pPr>
        <w:spacing w:after="0" w:line="276" w:lineRule="auto"/>
        <w:rPr>
          <w:rFonts w:ascii="Arial" w:hAnsi="Arial" w:cs="Arial"/>
          <w:sz w:val="24"/>
          <w:szCs w:val="24"/>
        </w:rPr>
      </w:pPr>
    </w:p>
    <w:p w14:paraId="020FFE0B" w14:textId="77777777" w:rsidR="00E37780" w:rsidRDefault="00E37780" w:rsidP="00E37780">
      <w:pPr>
        <w:spacing w:after="0" w:line="276" w:lineRule="auto"/>
        <w:rPr>
          <w:rFonts w:ascii="Arial" w:hAnsi="Arial" w:cs="Arial"/>
          <w:sz w:val="24"/>
          <w:szCs w:val="24"/>
        </w:rPr>
      </w:pPr>
      <w:r>
        <w:rPr>
          <w:rFonts w:ascii="Arial" w:hAnsi="Arial" w:cs="Arial"/>
          <w:sz w:val="24"/>
          <w:szCs w:val="24"/>
        </w:rPr>
        <w:t>Ref:</w:t>
      </w:r>
      <w:r>
        <w:rPr>
          <w:rFonts w:ascii="Arial" w:hAnsi="Arial" w:cs="Arial"/>
          <w:sz w:val="24"/>
          <w:szCs w:val="24"/>
        </w:rPr>
        <w:tab/>
        <w:t>(1</w:t>
      </w:r>
      <w:r w:rsidRPr="00F10B9B">
        <w:rPr>
          <w:rFonts w:ascii="Arial" w:hAnsi="Arial" w:cs="Arial"/>
          <w:sz w:val="24"/>
          <w:szCs w:val="24"/>
        </w:rPr>
        <w:t xml:space="preserve">) Elexicon_Veridian RZ_2020_Acctng Guidance 2019 </w:t>
      </w:r>
      <w:r>
        <w:rPr>
          <w:rFonts w:ascii="Arial" w:hAnsi="Arial" w:cs="Arial"/>
          <w:sz w:val="24"/>
          <w:szCs w:val="24"/>
        </w:rPr>
        <w:tab/>
      </w:r>
      <w:r w:rsidRPr="00F10B9B">
        <w:rPr>
          <w:rFonts w:ascii="Arial" w:hAnsi="Arial" w:cs="Arial"/>
          <w:sz w:val="24"/>
          <w:szCs w:val="24"/>
        </w:rPr>
        <w:t>Analysis_20191015.XLSX</w:t>
      </w:r>
    </w:p>
    <w:p w14:paraId="3A91A0D2" w14:textId="77777777" w:rsidR="00E37780" w:rsidRPr="00F10B9B" w:rsidRDefault="00E37780" w:rsidP="00E37780">
      <w:pPr>
        <w:spacing w:after="0" w:line="276" w:lineRule="auto"/>
        <w:ind w:left="720"/>
        <w:rPr>
          <w:rFonts w:ascii="Arial" w:hAnsi="Arial" w:cs="Arial"/>
          <w:sz w:val="24"/>
          <w:szCs w:val="24"/>
        </w:rPr>
      </w:pPr>
      <w:r>
        <w:rPr>
          <w:rFonts w:ascii="Arial" w:hAnsi="Arial" w:cs="Arial"/>
          <w:sz w:val="24"/>
          <w:szCs w:val="24"/>
        </w:rPr>
        <w:t xml:space="preserve">(2) OEB’s </w:t>
      </w:r>
      <w:r w:rsidRPr="00F720B6">
        <w:rPr>
          <w:rFonts w:ascii="Arial" w:hAnsi="Arial" w:cs="Arial"/>
          <w:sz w:val="24"/>
          <w:szCs w:val="24"/>
        </w:rPr>
        <w:t>Illustrative-Commodity-Model-20190221.xlsx</w:t>
      </w:r>
    </w:p>
    <w:p w14:paraId="7FD3744D" w14:textId="77777777" w:rsidR="00E37780" w:rsidRDefault="00E37780" w:rsidP="00E37780">
      <w:pPr>
        <w:spacing w:after="0" w:line="276" w:lineRule="auto"/>
        <w:rPr>
          <w:rFonts w:ascii="Arial" w:hAnsi="Arial" w:cs="Arial"/>
          <w:sz w:val="24"/>
          <w:szCs w:val="24"/>
        </w:rPr>
      </w:pPr>
    </w:p>
    <w:p w14:paraId="6E21A0E9" w14:textId="77777777" w:rsidR="00E37780" w:rsidRPr="00FC03B6" w:rsidRDefault="00E37780" w:rsidP="00E37780">
      <w:pPr>
        <w:spacing w:after="0" w:line="276" w:lineRule="auto"/>
        <w:rPr>
          <w:rFonts w:ascii="Arial" w:hAnsi="Arial" w:cs="Arial"/>
          <w:sz w:val="24"/>
          <w:szCs w:val="24"/>
          <w:u w:val="single"/>
        </w:rPr>
      </w:pPr>
      <w:r w:rsidRPr="00FC03B6">
        <w:rPr>
          <w:rFonts w:ascii="Arial" w:hAnsi="Arial" w:cs="Arial"/>
          <w:sz w:val="24"/>
          <w:szCs w:val="24"/>
          <w:u w:val="single"/>
        </w:rPr>
        <w:t>Preamble:</w:t>
      </w:r>
    </w:p>
    <w:p w14:paraId="1B26FD10" w14:textId="77777777" w:rsidR="00E37780" w:rsidRDefault="00E37780" w:rsidP="00E37780">
      <w:pPr>
        <w:spacing w:after="0" w:line="276" w:lineRule="auto"/>
        <w:rPr>
          <w:rFonts w:ascii="Arial" w:hAnsi="Arial" w:cs="Arial"/>
          <w:sz w:val="24"/>
          <w:szCs w:val="24"/>
        </w:rPr>
      </w:pPr>
    </w:p>
    <w:p w14:paraId="41C71060" w14:textId="4FCE335B" w:rsidR="00E37780" w:rsidRDefault="00E37780" w:rsidP="00E37780">
      <w:pPr>
        <w:spacing w:after="0" w:line="276" w:lineRule="auto"/>
        <w:rPr>
          <w:rFonts w:ascii="Arial" w:hAnsi="Arial" w:cs="Arial"/>
          <w:sz w:val="24"/>
          <w:szCs w:val="24"/>
        </w:rPr>
      </w:pPr>
      <w:r w:rsidRPr="00F10B9B">
        <w:rPr>
          <w:rFonts w:ascii="Arial" w:hAnsi="Arial" w:cs="Arial"/>
          <w:sz w:val="24"/>
          <w:szCs w:val="24"/>
        </w:rPr>
        <w:t>At the above</w:t>
      </w:r>
      <w:r w:rsidR="00E42979">
        <w:rPr>
          <w:rFonts w:ascii="Arial" w:hAnsi="Arial" w:cs="Arial"/>
          <w:sz w:val="24"/>
          <w:szCs w:val="24"/>
        </w:rPr>
        <w:t>-</w:t>
      </w:r>
      <w:r w:rsidRPr="00F10B9B">
        <w:rPr>
          <w:rFonts w:ascii="Arial" w:hAnsi="Arial" w:cs="Arial"/>
          <w:sz w:val="24"/>
          <w:szCs w:val="24"/>
        </w:rPr>
        <w:t xml:space="preserve">noted </w:t>
      </w:r>
      <w:r>
        <w:rPr>
          <w:rFonts w:ascii="Arial" w:hAnsi="Arial" w:cs="Arial"/>
          <w:sz w:val="24"/>
          <w:szCs w:val="24"/>
        </w:rPr>
        <w:t xml:space="preserve">first </w:t>
      </w:r>
      <w:r w:rsidRPr="00F10B9B">
        <w:rPr>
          <w:rFonts w:ascii="Arial" w:hAnsi="Arial" w:cs="Arial"/>
          <w:sz w:val="24"/>
          <w:szCs w:val="24"/>
        </w:rPr>
        <w:t xml:space="preserve">reference, tab “Final RSVA Balances,” </w:t>
      </w:r>
      <w:r w:rsidR="00FC0D33">
        <w:rPr>
          <w:rFonts w:ascii="Arial" w:hAnsi="Arial" w:cs="Arial"/>
          <w:sz w:val="24"/>
          <w:szCs w:val="24"/>
        </w:rPr>
        <w:t>Elexicon Energy</w:t>
      </w:r>
      <w:r w:rsidR="00FC0D33" w:rsidRPr="00F10B9B">
        <w:rPr>
          <w:rFonts w:ascii="Arial" w:hAnsi="Arial" w:cs="Arial"/>
          <w:sz w:val="24"/>
          <w:szCs w:val="24"/>
        </w:rPr>
        <w:t xml:space="preserve"> </w:t>
      </w:r>
      <w:r w:rsidRPr="00F10B9B">
        <w:rPr>
          <w:rFonts w:ascii="Arial" w:hAnsi="Arial" w:cs="Arial"/>
          <w:sz w:val="24"/>
          <w:szCs w:val="24"/>
        </w:rPr>
        <w:t>provided calculations showing an Account 1588 balance as at December 31, 2017 of $222,256 and an Account 1589 balance as at December 31, 2017 of $3,498,002. However, OEB staff notes that the balances recorded through the RRR as at December 31, 2017 are a credit of $3,862,357 for Account 1588 and a credit of $793,539 for Account 1589.</w:t>
      </w:r>
    </w:p>
    <w:p w14:paraId="0CCC0A3F" w14:textId="77777777" w:rsidR="00E37780" w:rsidRDefault="00E37780" w:rsidP="00E37780">
      <w:pPr>
        <w:spacing w:after="0" w:line="276" w:lineRule="auto"/>
        <w:rPr>
          <w:rFonts w:ascii="Arial" w:hAnsi="Arial" w:cs="Arial"/>
          <w:sz w:val="24"/>
          <w:szCs w:val="24"/>
        </w:rPr>
      </w:pPr>
    </w:p>
    <w:p w14:paraId="0AB1BE6C" w14:textId="77777777" w:rsidR="00E37780" w:rsidRPr="00051B5F" w:rsidRDefault="00E37780" w:rsidP="00E37780">
      <w:pPr>
        <w:spacing w:after="0" w:line="276" w:lineRule="auto"/>
        <w:rPr>
          <w:rFonts w:ascii="Arial" w:hAnsi="Arial" w:cs="Arial"/>
          <w:sz w:val="24"/>
          <w:szCs w:val="24"/>
          <w:u w:val="single"/>
        </w:rPr>
      </w:pPr>
      <w:r w:rsidRPr="00051B5F">
        <w:rPr>
          <w:rFonts w:ascii="Arial" w:hAnsi="Arial" w:cs="Arial"/>
          <w:sz w:val="24"/>
          <w:szCs w:val="24"/>
          <w:u w:val="single"/>
        </w:rPr>
        <w:t>Questions:</w:t>
      </w:r>
    </w:p>
    <w:p w14:paraId="5FE2FD2A" w14:textId="77777777" w:rsidR="00E37780" w:rsidRDefault="00E37780" w:rsidP="00E37780">
      <w:pPr>
        <w:spacing w:after="0" w:line="276" w:lineRule="auto"/>
        <w:rPr>
          <w:rFonts w:ascii="Arial" w:hAnsi="Arial" w:cs="Arial"/>
          <w:sz w:val="24"/>
          <w:szCs w:val="24"/>
        </w:rPr>
      </w:pPr>
    </w:p>
    <w:p w14:paraId="22171C7C" w14:textId="644F2234" w:rsidR="00DC56F2" w:rsidRDefault="00DC56F2" w:rsidP="00DC56F2">
      <w:pPr>
        <w:pStyle w:val="ListParagraph"/>
        <w:numPr>
          <w:ilvl w:val="0"/>
          <w:numId w:val="38"/>
        </w:numPr>
        <w:spacing w:after="0" w:line="276" w:lineRule="auto"/>
        <w:rPr>
          <w:rFonts w:ascii="Arial" w:hAnsi="Arial" w:cs="Arial"/>
          <w:sz w:val="24"/>
          <w:szCs w:val="24"/>
        </w:rPr>
      </w:pPr>
      <w:r w:rsidRPr="00786FB4">
        <w:rPr>
          <w:rFonts w:ascii="Arial" w:hAnsi="Arial" w:cs="Arial"/>
          <w:sz w:val="24"/>
          <w:szCs w:val="24"/>
        </w:rPr>
        <w:t xml:space="preserve">Please explain the discrepancies </w:t>
      </w:r>
      <w:r w:rsidRPr="006C52D9">
        <w:rPr>
          <w:rFonts w:ascii="Arial" w:hAnsi="Arial" w:cs="Arial"/>
          <w:sz w:val="24"/>
          <w:szCs w:val="24"/>
        </w:rPr>
        <w:t>b</w:t>
      </w:r>
      <w:r w:rsidRPr="004344D1">
        <w:rPr>
          <w:rFonts w:ascii="Arial" w:hAnsi="Arial" w:cs="Arial"/>
          <w:sz w:val="24"/>
          <w:szCs w:val="24"/>
        </w:rPr>
        <w:t xml:space="preserve">etween the Account 1588 and Account 1589 December 31, 2017 balances </w:t>
      </w:r>
      <w:r w:rsidRPr="002F20B2">
        <w:rPr>
          <w:rFonts w:ascii="Arial" w:hAnsi="Arial" w:cs="Arial"/>
          <w:sz w:val="24"/>
          <w:szCs w:val="24"/>
        </w:rPr>
        <w:t>noted at the above</w:t>
      </w:r>
      <w:r w:rsidR="00306408">
        <w:rPr>
          <w:rFonts w:ascii="Arial" w:hAnsi="Arial" w:cs="Arial"/>
          <w:sz w:val="24"/>
          <w:szCs w:val="24"/>
        </w:rPr>
        <w:t>-</w:t>
      </w:r>
      <w:r w:rsidRPr="002F20B2">
        <w:rPr>
          <w:rFonts w:ascii="Arial" w:hAnsi="Arial" w:cs="Arial"/>
          <w:sz w:val="24"/>
          <w:szCs w:val="24"/>
        </w:rPr>
        <w:t xml:space="preserve">noted </w:t>
      </w:r>
      <w:r w:rsidR="002C7EC2">
        <w:rPr>
          <w:rFonts w:ascii="Arial" w:hAnsi="Arial" w:cs="Arial"/>
          <w:sz w:val="24"/>
          <w:szCs w:val="24"/>
        </w:rPr>
        <w:t xml:space="preserve">first </w:t>
      </w:r>
      <w:r w:rsidRPr="002F20B2">
        <w:rPr>
          <w:rFonts w:ascii="Arial" w:hAnsi="Arial" w:cs="Arial"/>
          <w:sz w:val="24"/>
          <w:szCs w:val="24"/>
        </w:rPr>
        <w:t xml:space="preserve">reference, tab “Final RSVA Balances,” and the respective RRR 2.1.7 balances. </w:t>
      </w:r>
      <w:r w:rsidR="00FC0D33">
        <w:rPr>
          <w:rFonts w:ascii="Arial" w:hAnsi="Arial" w:cs="Arial"/>
          <w:sz w:val="24"/>
          <w:szCs w:val="24"/>
        </w:rPr>
        <w:t>Elexicon Energy</w:t>
      </w:r>
      <w:r w:rsidR="00FC0D33" w:rsidRPr="002F20B2" w:rsidDel="00FC0D33">
        <w:rPr>
          <w:rFonts w:ascii="Arial" w:hAnsi="Arial" w:cs="Arial"/>
          <w:sz w:val="24"/>
          <w:szCs w:val="24"/>
        </w:rPr>
        <w:t xml:space="preserve"> </w:t>
      </w:r>
      <w:r w:rsidRPr="002F20B2">
        <w:rPr>
          <w:rFonts w:ascii="Arial" w:hAnsi="Arial" w:cs="Arial"/>
          <w:sz w:val="24"/>
          <w:szCs w:val="24"/>
        </w:rPr>
        <w:t xml:space="preserve">provided calculations showing an Account 1588 balance as at December 31, 2017 of $222,256 and an Account 1589 balance as at December 31, 2017 of $3,498,002. However, OEB staff notes that the balances recorded through the </w:t>
      </w:r>
      <w:r w:rsidRPr="002F20B2">
        <w:rPr>
          <w:rFonts w:ascii="Arial" w:hAnsi="Arial" w:cs="Arial"/>
          <w:sz w:val="24"/>
          <w:szCs w:val="24"/>
        </w:rPr>
        <w:lastRenderedPageBreak/>
        <w:t>RRR as at December 31, 2017 are a credit of $3,862,357 for Account 1588 and a credit of $793,539 for Account 1589.</w:t>
      </w:r>
    </w:p>
    <w:p w14:paraId="6BAC8DEC" w14:textId="77777777" w:rsidR="00DC56F2" w:rsidRPr="00F720B6" w:rsidRDefault="00DC56F2" w:rsidP="00DC56F2">
      <w:pPr>
        <w:pStyle w:val="ListParagraph"/>
        <w:rPr>
          <w:rFonts w:ascii="Arial" w:hAnsi="Arial" w:cs="Arial"/>
          <w:sz w:val="24"/>
          <w:szCs w:val="24"/>
        </w:rPr>
      </w:pPr>
    </w:p>
    <w:p w14:paraId="55CD7E82" w14:textId="6CF3FDE5" w:rsidR="00DC56F2" w:rsidRPr="002F20B2" w:rsidRDefault="00DC56F2" w:rsidP="00DC56F2">
      <w:pPr>
        <w:pStyle w:val="ListParagraph"/>
        <w:numPr>
          <w:ilvl w:val="0"/>
          <w:numId w:val="38"/>
        </w:numPr>
        <w:spacing w:after="0" w:line="276" w:lineRule="auto"/>
        <w:rPr>
          <w:rFonts w:ascii="Arial" w:hAnsi="Arial" w:cs="Arial"/>
          <w:sz w:val="24"/>
          <w:szCs w:val="24"/>
        </w:rPr>
      </w:pPr>
      <w:r>
        <w:rPr>
          <w:rFonts w:ascii="Arial" w:hAnsi="Arial" w:cs="Arial"/>
          <w:sz w:val="24"/>
          <w:szCs w:val="24"/>
        </w:rPr>
        <w:t>At the above</w:t>
      </w:r>
      <w:r w:rsidR="00306408">
        <w:rPr>
          <w:rFonts w:ascii="Arial" w:hAnsi="Arial" w:cs="Arial"/>
          <w:sz w:val="24"/>
          <w:szCs w:val="24"/>
        </w:rPr>
        <w:t>-</w:t>
      </w:r>
      <w:r>
        <w:rPr>
          <w:rFonts w:ascii="Arial" w:hAnsi="Arial" w:cs="Arial"/>
          <w:sz w:val="24"/>
          <w:szCs w:val="24"/>
        </w:rPr>
        <w:t xml:space="preserve">noted </w:t>
      </w:r>
      <w:r w:rsidR="00CC7EC5">
        <w:rPr>
          <w:rFonts w:ascii="Arial" w:hAnsi="Arial" w:cs="Arial"/>
          <w:sz w:val="24"/>
          <w:szCs w:val="24"/>
        </w:rPr>
        <w:t xml:space="preserve">first </w:t>
      </w:r>
      <w:r>
        <w:rPr>
          <w:rFonts w:ascii="Arial" w:hAnsi="Arial" w:cs="Arial"/>
          <w:sz w:val="24"/>
          <w:szCs w:val="24"/>
        </w:rPr>
        <w:t xml:space="preserve">reference, it appears that </w:t>
      </w:r>
      <w:r w:rsidR="003439FF">
        <w:rPr>
          <w:rFonts w:ascii="Arial" w:hAnsi="Arial" w:cs="Arial"/>
          <w:sz w:val="24"/>
          <w:szCs w:val="24"/>
        </w:rPr>
        <w:t>Elexicon Energy</w:t>
      </w:r>
      <w:r w:rsidR="003439FF" w:rsidRPr="002F20B2">
        <w:rPr>
          <w:rFonts w:ascii="Arial" w:hAnsi="Arial" w:cs="Arial"/>
          <w:sz w:val="24"/>
          <w:szCs w:val="24"/>
        </w:rPr>
        <w:t xml:space="preserve"> </w:t>
      </w:r>
      <w:r>
        <w:rPr>
          <w:rFonts w:ascii="Arial" w:hAnsi="Arial" w:cs="Arial"/>
          <w:sz w:val="24"/>
          <w:szCs w:val="24"/>
        </w:rPr>
        <w:t>has provided a spreadsheet that is designed to mirror the OEB’s illustrative commodity model issued on February 21, 2019</w:t>
      </w:r>
      <w:r w:rsidR="00CC7EC5">
        <w:rPr>
          <w:rFonts w:ascii="Arial" w:hAnsi="Arial" w:cs="Arial"/>
          <w:sz w:val="24"/>
          <w:szCs w:val="24"/>
        </w:rPr>
        <w:t xml:space="preserve"> (as per the above</w:t>
      </w:r>
      <w:r w:rsidR="00614800">
        <w:rPr>
          <w:rFonts w:ascii="Arial" w:hAnsi="Arial" w:cs="Arial"/>
          <w:sz w:val="24"/>
          <w:szCs w:val="24"/>
        </w:rPr>
        <w:t>-</w:t>
      </w:r>
      <w:r w:rsidR="00CC7EC5">
        <w:rPr>
          <w:rFonts w:ascii="Arial" w:hAnsi="Arial" w:cs="Arial"/>
          <w:sz w:val="24"/>
          <w:szCs w:val="24"/>
        </w:rPr>
        <w:t>noted second reference)</w:t>
      </w:r>
      <w:r w:rsidR="00237F0D">
        <w:rPr>
          <w:rFonts w:ascii="Arial" w:hAnsi="Arial" w:cs="Arial"/>
          <w:sz w:val="24"/>
          <w:szCs w:val="24"/>
        </w:rPr>
        <w:t xml:space="preserve">. However, </w:t>
      </w:r>
      <w:r w:rsidR="003439FF">
        <w:rPr>
          <w:rFonts w:ascii="Arial" w:hAnsi="Arial" w:cs="Arial"/>
          <w:sz w:val="24"/>
          <w:szCs w:val="24"/>
        </w:rPr>
        <w:t>the</w:t>
      </w:r>
      <w:r w:rsidR="00BF10A8">
        <w:rPr>
          <w:rFonts w:ascii="Arial" w:hAnsi="Arial" w:cs="Arial"/>
          <w:sz w:val="24"/>
          <w:szCs w:val="24"/>
        </w:rPr>
        <w:t xml:space="preserve"> distributor’s</w:t>
      </w:r>
      <w:r w:rsidR="00237F0D">
        <w:rPr>
          <w:rFonts w:ascii="Arial" w:hAnsi="Arial" w:cs="Arial"/>
          <w:sz w:val="24"/>
          <w:szCs w:val="24"/>
        </w:rPr>
        <w:t xml:space="preserve"> model </w:t>
      </w:r>
      <w:r>
        <w:rPr>
          <w:rFonts w:ascii="Arial" w:hAnsi="Arial" w:cs="Arial"/>
          <w:sz w:val="24"/>
          <w:szCs w:val="24"/>
        </w:rPr>
        <w:t xml:space="preserve">does not fully capture all elements of the OEB’s model. Please explain </w:t>
      </w:r>
      <w:r w:rsidR="003439FF">
        <w:rPr>
          <w:rFonts w:ascii="Arial" w:hAnsi="Arial" w:cs="Arial"/>
          <w:sz w:val="24"/>
          <w:szCs w:val="24"/>
        </w:rPr>
        <w:t>the</w:t>
      </w:r>
      <w:r>
        <w:rPr>
          <w:rFonts w:ascii="Arial" w:hAnsi="Arial" w:cs="Arial"/>
          <w:sz w:val="24"/>
          <w:szCs w:val="24"/>
        </w:rPr>
        <w:t xml:space="preserve"> deviations from the OEB’s model.</w:t>
      </w:r>
    </w:p>
    <w:p w14:paraId="477B3118" w14:textId="77777777" w:rsidR="00E37780" w:rsidRDefault="00E37780" w:rsidP="00E37780">
      <w:pPr>
        <w:spacing w:after="0" w:line="276" w:lineRule="auto"/>
        <w:rPr>
          <w:rFonts w:ascii="Arial" w:hAnsi="Arial" w:cs="Arial"/>
          <w:sz w:val="24"/>
          <w:szCs w:val="24"/>
        </w:rPr>
      </w:pPr>
    </w:p>
    <w:p w14:paraId="5C1746D3" w14:textId="77777777" w:rsidR="00E37780" w:rsidRPr="00E37780" w:rsidRDefault="00E37780" w:rsidP="00E37780">
      <w:pPr>
        <w:spacing w:after="0" w:line="276" w:lineRule="auto"/>
        <w:rPr>
          <w:rFonts w:ascii="Arial" w:hAnsi="Arial" w:cs="Arial"/>
          <w:sz w:val="24"/>
          <w:szCs w:val="24"/>
        </w:rPr>
      </w:pPr>
    </w:p>
    <w:p w14:paraId="0404F615" w14:textId="2632E80A" w:rsidR="00CE1A83" w:rsidRPr="00F10B9B" w:rsidRDefault="00CE1A83" w:rsidP="00051B5F">
      <w:pPr>
        <w:pStyle w:val="Heading2"/>
      </w:pPr>
      <w:r w:rsidRPr="00F10B9B">
        <w:t>Staff-</w:t>
      </w:r>
      <w:r w:rsidR="008B0C2A">
        <w:t>5</w:t>
      </w:r>
    </w:p>
    <w:p w14:paraId="4D61268C" w14:textId="77777777" w:rsidR="00CE1A83" w:rsidRPr="00F10B9B" w:rsidRDefault="00CE1A83" w:rsidP="00F10B9B">
      <w:pPr>
        <w:spacing w:after="0" w:line="276" w:lineRule="auto"/>
        <w:rPr>
          <w:rFonts w:ascii="Arial" w:hAnsi="Arial" w:cs="Arial"/>
          <w:sz w:val="24"/>
          <w:szCs w:val="24"/>
        </w:rPr>
      </w:pPr>
    </w:p>
    <w:p w14:paraId="23109510" w14:textId="77777777" w:rsidR="00BC34DF" w:rsidRPr="00F10B9B" w:rsidRDefault="00CE1A83" w:rsidP="00F10B9B">
      <w:pPr>
        <w:spacing w:after="0" w:line="276" w:lineRule="auto"/>
        <w:rPr>
          <w:rFonts w:ascii="Arial" w:hAnsi="Arial" w:cs="Arial"/>
          <w:sz w:val="24"/>
          <w:szCs w:val="24"/>
        </w:rPr>
      </w:pPr>
      <w:r w:rsidRPr="00F10B9B">
        <w:rPr>
          <w:rFonts w:ascii="Arial" w:hAnsi="Arial" w:cs="Arial"/>
          <w:sz w:val="24"/>
          <w:szCs w:val="24"/>
        </w:rPr>
        <w:t>Ref:</w:t>
      </w:r>
      <w:r w:rsidR="006D22F2" w:rsidRPr="00F10B9B">
        <w:rPr>
          <w:rFonts w:ascii="Arial" w:hAnsi="Arial" w:cs="Arial"/>
          <w:sz w:val="24"/>
          <w:szCs w:val="24"/>
        </w:rPr>
        <w:tab/>
        <w:t>(1) GA-Analysis-Workform-Instructions-20190715.docx</w:t>
      </w:r>
    </w:p>
    <w:p w14:paraId="4E33563C" w14:textId="37F73CBB" w:rsidR="00AC1FDA" w:rsidRPr="00F10B9B" w:rsidRDefault="00AC1FDA" w:rsidP="003F63C1">
      <w:pPr>
        <w:spacing w:after="0" w:line="276" w:lineRule="auto"/>
        <w:ind w:left="720"/>
        <w:rPr>
          <w:rFonts w:ascii="Arial" w:hAnsi="Arial" w:cs="Arial"/>
          <w:sz w:val="24"/>
          <w:szCs w:val="24"/>
        </w:rPr>
      </w:pPr>
      <w:r w:rsidRPr="00F10B9B">
        <w:rPr>
          <w:rFonts w:ascii="Arial" w:hAnsi="Arial" w:cs="Arial"/>
          <w:sz w:val="24"/>
          <w:szCs w:val="24"/>
        </w:rPr>
        <w:t xml:space="preserve">(2) </w:t>
      </w:r>
      <w:r w:rsidR="00165D38">
        <w:rPr>
          <w:rFonts w:ascii="Arial" w:hAnsi="Arial" w:cs="Arial"/>
          <w:sz w:val="24"/>
          <w:szCs w:val="24"/>
        </w:rPr>
        <w:t xml:space="preserve">Application, </w:t>
      </w:r>
      <w:r w:rsidRPr="00F10B9B">
        <w:rPr>
          <w:rFonts w:ascii="Arial" w:hAnsi="Arial" w:cs="Arial"/>
          <w:sz w:val="24"/>
          <w:szCs w:val="24"/>
        </w:rPr>
        <w:t>Appendix E-1: GA Methodology Description</w:t>
      </w:r>
      <w:r w:rsidR="003A7FE1" w:rsidRPr="00F10B9B">
        <w:rPr>
          <w:rFonts w:ascii="Arial" w:hAnsi="Arial" w:cs="Arial"/>
          <w:sz w:val="24"/>
          <w:szCs w:val="24"/>
        </w:rPr>
        <w:t xml:space="preserve"> </w:t>
      </w:r>
      <w:r w:rsidR="00947430" w:rsidRPr="00F10B9B">
        <w:rPr>
          <w:rFonts w:ascii="Arial" w:hAnsi="Arial" w:cs="Arial"/>
          <w:sz w:val="24"/>
          <w:szCs w:val="24"/>
        </w:rPr>
        <w:t xml:space="preserve">– Appendix A GA Methodology Description Questions on Accounts 1588 &amp; 1589, </w:t>
      </w:r>
      <w:r w:rsidR="003A7FE1" w:rsidRPr="00F10B9B">
        <w:rPr>
          <w:rFonts w:ascii="Arial" w:hAnsi="Arial" w:cs="Arial"/>
          <w:sz w:val="24"/>
          <w:szCs w:val="24"/>
        </w:rPr>
        <w:t>page 1</w:t>
      </w:r>
    </w:p>
    <w:p w14:paraId="22802A51" w14:textId="77777777" w:rsidR="00446F72" w:rsidRDefault="00446F72" w:rsidP="00F10B9B">
      <w:pPr>
        <w:spacing w:after="0" w:line="276" w:lineRule="auto"/>
        <w:rPr>
          <w:rFonts w:ascii="Arial" w:hAnsi="Arial" w:cs="Arial"/>
          <w:b/>
          <w:sz w:val="24"/>
          <w:szCs w:val="24"/>
        </w:rPr>
      </w:pPr>
    </w:p>
    <w:p w14:paraId="29E43C32" w14:textId="77777777" w:rsidR="00711956" w:rsidRPr="00051B5F" w:rsidRDefault="006D22F2"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33E60AAE" w14:textId="77777777" w:rsidR="00446F72" w:rsidRDefault="00446F72" w:rsidP="00F10B9B">
      <w:pPr>
        <w:spacing w:after="0" w:line="276" w:lineRule="auto"/>
        <w:rPr>
          <w:rFonts w:ascii="Arial" w:hAnsi="Arial" w:cs="Arial"/>
          <w:sz w:val="24"/>
          <w:szCs w:val="24"/>
        </w:rPr>
      </w:pPr>
    </w:p>
    <w:p w14:paraId="1B3477C0" w14:textId="79B82E11" w:rsidR="00CE1A83" w:rsidRDefault="006D22F2" w:rsidP="00F10B9B">
      <w:pPr>
        <w:spacing w:after="0" w:line="276" w:lineRule="auto"/>
        <w:rPr>
          <w:rFonts w:ascii="Arial" w:hAnsi="Arial" w:cs="Arial"/>
          <w:sz w:val="24"/>
          <w:szCs w:val="24"/>
        </w:rPr>
      </w:pPr>
      <w:r w:rsidRPr="00F10B9B">
        <w:rPr>
          <w:rFonts w:ascii="Arial" w:hAnsi="Arial" w:cs="Arial"/>
          <w:sz w:val="24"/>
          <w:szCs w:val="24"/>
        </w:rPr>
        <w:t>At the above</w:t>
      </w:r>
      <w:r w:rsidR="00306408">
        <w:rPr>
          <w:rFonts w:ascii="Arial" w:hAnsi="Arial" w:cs="Arial"/>
          <w:sz w:val="24"/>
          <w:szCs w:val="24"/>
        </w:rPr>
        <w:t>-</w:t>
      </w:r>
      <w:r w:rsidRPr="00F10B9B">
        <w:rPr>
          <w:rFonts w:ascii="Arial" w:hAnsi="Arial" w:cs="Arial"/>
          <w:sz w:val="24"/>
          <w:szCs w:val="24"/>
        </w:rPr>
        <w:t>noted first reference</w:t>
      </w:r>
      <w:r w:rsidR="005E6FF0">
        <w:rPr>
          <w:rFonts w:ascii="Arial" w:hAnsi="Arial" w:cs="Arial"/>
          <w:sz w:val="24"/>
          <w:szCs w:val="24"/>
        </w:rPr>
        <w:t xml:space="preserve"> (</w:t>
      </w:r>
      <w:r w:rsidR="00CE1A83" w:rsidRPr="00F10B9B">
        <w:rPr>
          <w:rFonts w:ascii="Arial" w:hAnsi="Arial" w:cs="Arial"/>
          <w:sz w:val="24"/>
          <w:szCs w:val="24"/>
        </w:rPr>
        <w:t>Appendix A GA Methodology Description Questions on Accounts 1588 &amp; 1589</w:t>
      </w:r>
      <w:r w:rsidR="005E6FF0">
        <w:rPr>
          <w:rFonts w:ascii="Arial" w:hAnsi="Arial" w:cs="Arial"/>
          <w:sz w:val="24"/>
          <w:szCs w:val="24"/>
        </w:rPr>
        <w:t>,</w:t>
      </w:r>
      <w:r w:rsidR="00CE1A83" w:rsidRPr="00F10B9B">
        <w:rPr>
          <w:rFonts w:ascii="Arial" w:hAnsi="Arial" w:cs="Arial"/>
          <w:sz w:val="24"/>
          <w:szCs w:val="24"/>
        </w:rPr>
        <w:t xml:space="preserve"> or page 15 of the document), the table in Question 1 for Account 1588 requests the “Balance December 31, 2018”.</w:t>
      </w:r>
    </w:p>
    <w:p w14:paraId="46E2BF9D" w14:textId="77777777" w:rsidR="00446F72" w:rsidRPr="00F10B9B" w:rsidRDefault="00446F72" w:rsidP="00F10B9B">
      <w:pPr>
        <w:spacing w:after="0" w:line="276" w:lineRule="auto"/>
        <w:rPr>
          <w:rFonts w:ascii="Arial" w:hAnsi="Arial" w:cs="Arial"/>
          <w:sz w:val="24"/>
          <w:szCs w:val="24"/>
        </w:rPr>
      </w:pPr>
    </w:p>
    <w:p w14:paraId="03DDD317" w14:textId="22E19D2A" w:rsidR="003A7FE1" w:rsidRPr="00F10B9B" w:rsidRDefault="003A7FE1" w:rsidP="00F10B9B">
      <w:pPr>
        <w:spacing w:after="0" w:line="276" w:lineRule="auto"/>
        <w:rPr>
          <w:rFonts w:ascii="Arial" w:hAnsi="Arial" w:cs="Arial"/>
          <w:sz w:val="24"/>
          <w:szCs w:val="24"/>
        </w:rPr>
      </w:pPr>
      <w:r w:rsidRPr="00F10B9B">
        <w:rPr>
          <w:rFonts w:ascii="Arial" w:hAnsi="Arial" w:cs="Arial"/>
          <w:sz w:val="24"/>
          <w:szCs w:val="24"/>
        </w:rPr>
        <w:t>At th</w:t>
      </w:r>
      <w:r w:rsidR="00F615C9" w:rsidRPr="00F10B9B">
        <w:rPr>
          <w:rFonts w:ascii="Arial" w:hAnsi="Arial" w:cs="Arial"/>
          <w:sz w:val="24"/>
          <w:szCs w:val="24"/>
        </w:rPr>
        <w:t>e above</w:t>
      </w:r>
      <w:r w:rsidR="00306408">
        <w:rPr>
          <w:rFonts w:ascii="Arial" w:hAnsi="Arial" w:cs="Arial"/>
          <w:sz w:val="24"/>
          <w:szCs w:val="24"/>
        </w:rPr>
        <w:t>-</w:t>
      </w:r>
      <w:r w:rsidR="00F615C9" w:rsidRPr="00F10B9B">
        <w:rPr>
          <w:rFonts w:ascii="Arial" w:hAnsi="Arial" w:cs="Arial"/>
          <w:sz w:val="24"/>
          <w:szCs w:val="24"/>
        </w:rPr>
        <w:t xml:space="preserve">noted second reference, </w:t>
      </w:r>
      <w:r w:rsidR="003439FF">
        <w:rPr>
          <w:rFonts w:ascii="Arial" w:hAnsi="Arial" w:cs="Arial"/>
          <w:sz w:val="24"/>
          <w:szCs w:val="24"/>
        </w:rPr>
        <w:t>Elexicon Energy</w:t>
      </w:r>
      <w:r w:rsidR="003439FF" w:rsidRPr="002F20B2">
        <w:rPr>
          <w:rFonts w:ascii="Arial" w:hAnsi="Arial" w:cs="Arial"/>
          <w:sz w:val="24"/>
          <w:szCs w:val="24"/>
        </w:rPr>
        <w:t xml:space="preserve"> </w:t>
      </w:r>
      <w:r w:rsidR="00F615C9" w:rsidRPr="00F10B9B">
        <w:rPr>
          <w:rFonts w:ascii="Arial" w:hAnsi="Arial" w:cs="Arial"/>
          <w:sz w:val="24"/>
          <w:szCs w:val="24"/>
        </w:rPr>
        <w:t xml:space="preserve">has provided </w:t>
      </w:r>
      <w:r w:rsidR="00947430" w:rsidRPr="00F10B9B">
        <w:rPr>
          <w:rFonts w:ascii="Arial" w:hAnsi="Arial" w:cs="Arial"/>
          <w:sz w:val="24"/>
          <w:szCs w:val="24"/>
        </w:rPr>
        <w:t xml:space="preserve">an analysis of its 2018 Account 1588 balance. </w:t>
      </w:r>
    </w:p>
    <w:p w14:paraId="6FF7BFCB" w14:textId="77777777" w:rsidR="00446F72" w:rsidRDefault="00446F72" w:rsidP="00F10B9B">
      <w:pPr>
        <w:spacing w:after="0" w:line="276" w:lineRule="auto"/>
        <w:rPr>
          <w:rFonts w:ascii="Arial" w:hAnsi="Arial" w:cs="Arial"/>
          <w:b/>
          <w:sz w:val="24"/>
          <w:szCs w:val="24"/>
        </w:rPr>
      </w:pPr>
    </w:p>
    <w:p w14:paraId="0E85AF8F" w14:textId="77777777" w:rsidR="003A7FE1" w:rsidRPr="00051B5F" w:rsidRDefault="00F615C9" w:rsidP="00F10B9B">
      <w:pPr>
        <w:spacing w:after="0" w:line="276" w:lineRule="auto"/>
        <w:rPr>
          <w:rFonts w:ascii="Arial" w:hAnsi="Arial" w:cs="Arial"/>
          <w:sz w:val="24"/>
          <w:szCs w:val="24"/>
          <w:u w:val="single"/>
        </w:rPr>
      </w:pPr>
      <w:r w:rsidRPr="00051B5F">
        <w:rPr>
          <w:rFonts w:ascii="Arial" w:hAnsi="Arial" w:cs="Arial"/>
          <w:sz w:val="24"/>
          <w:szCs w:val="24"/>
          <w:u w:val="single"/>
        </w:rPr>
        <w:t>Questions:</w:t>
      </w:r>
    </w:p>
    <w:p w14:paraId="39ACA823" w14:textId="77777777" w:rsidR="00CE1A83" w:rsidRPr="00F10B9B" w:rsidRDefault="00CE1A83" w:rsidP="00F10B9B">
      <w:pPr>
        <w:pStyle w:val="ListParagraph"/>
        <w:spacing w:after="0" w:line="276" w:lineRule="auto"/>
        <w:ind w:left="1440"/>
        <w:rPr>
          <w:rFonts w:ascii="Arial" w:hAnsi="Arial" w:cs="Arial"/>
          <w:sz w:val="24"/>
          <w:szCs w:val="24"/>
        </w:rPr>
      </w:pPr>
    </w:p>
    <w:p w14:paraId="2FBB207B" w14:textId="72A85AC2" w:rsidR="00CE1A83" w:rsidRDefault="003A1ED9" w:rsidP="00F10B9B">
      <w:pPr>
        <w:spacing w:after="0" w:line="276" w:lineRule="auto"/>
        <w:rPr>
          <w:rFonts w:ascii="Arial" w:hAnsi="Arial" w:cs="Arial"/>
          <w:sz w:val="24"/>
          <w:szCs w:val="24"/>
        </w:rPr>
      </w:pPr>
      <w:r w:rsidRPr="00F10B9B">
        <w:rPr>
          <w:rFonts w:ascii="Arial" w:hAnsi="Arial" w:cs="Arial"/>
          <w:sz w:val="24"/>
          <w:szCs w:val="24"/>
        </w:rPr>
        <w:t xml:space="preserve">It appears that </w:t>
      </w:r>
      <w:r w:rsidR="003439FF">
        <w:rPr>
          <w:rFonts w:ascii="Arial" w:hAnsi="Arial" w:cs="Arial"/>
          <w:sz w:val="24"/>
          <w:szCs w:val="24"/>
        </w:rPr>
        <w:t>Elexicon Energy</w:t>
      </w:r>
      <w:r w:rsidR="003439FF" w:rsidRPr="002F20B2">
        <w:rPr>
          <w:rFonts w:ascii="Arial" w:hAnsi="Arial" w:cs="Arial"/>
          <w:sz w:val="24"/>
          <w:szCs w:val="24"/>
        </w:rPr>
        <w:t xml:space="preserve"> </w:t>
      </w:r>
      <w:r w:rsidRPr="00F10B9B">
        <w:rPr>
          <w:rFonts w:ascii="Arial" w:hAnsi="Arial" w:cs="Arial"/>
          <w:sz w:val="24"/>
          <w:szCs w:val="24"/>
        </w:rPr>
        <w:t xml:space="preserve">has </w:t>
      </w:r>
      <w:r w:rsidR="00CE1A83" w:rsidRPr="00F10B9B">
        <w:rPr>
          <w:rFonts w:ascii="Arial" w:hAnsi="Arial" w:cs="Arial"/>
          <w:sz w:val="24"/>
          <w:szCs w:val="24"/>
        </w:rPr>
        <w:t>filed the “Net Change in Principal Balance in the GL (i.e. Transactions in the Year)” for Account 1588 in the first row of this table:</w:t>
      </w:r>
    </w:p>
    <w:p w14:paraId="38D9D963" w14:textId="77777777" w:rsidR="00446F72" w:rsidRPr="00F10B9B" w:rsidRDefault="00446F72" w:rsidP="00F10B9B">
      <w:pPr>
        <w:spacing w:after="0" w:line="276" w:lineRule="auto"/>
        <w:rPr>
          <w:rFonts w:ascii="Arial" w:hAnsi="Arial" w:cs="Arial"/>
          <w:sz w:val="24"/>
          <w:szCs w:val="24"/>
        </w:rPr>
      </w:pPr>
    </w:p>
    <w:p w14:paraId="1875887A" w14:textId="77777777"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 xml:space="preserve">Please confirm that the first line of this table </w:t>
      </w:r>
      <w:r w:rsidR="00CA5510" w:rsidRPr="00F10B9B">
        <w:rPr>
          <w:rFonts w:ascii="Arial" w:hAnsi="Arial" w:cs="Arial"/>
          <w:sz w:val="24"/>
          <w:szCs w:val="24"/>
        </w:rPr>
        <w:t xml:space="preserve">or a credit of $639,483 </w:t>
      </w:r>
      <w:r w:rsidRPr="00F10B9B">
        <w:rPr>
          <w:rFonts w:ascii="Arial" w:hAnsi="Arial" w:cs="Arial"/>
          <w:sz w:val="24"/>
          <w:szCs w:val="24"/>
        </w:rPr>
        <w:t>represents the Account 1588 principal transactions in the general ledger for 2018</w:t>
      </w:r>
      <w:r w:rsidR="00680E6A" w:rsidRPr="00F10B9B">
        <w:rPr>
          <w:rFonts w:ascii="Arial" w:hAnsi="Arial" w:cs="Arial"/>
          <w:sz w:val="24"/>
          <w:szCs w:val="24"/>
        </w:rPr>
        <w:t>, which ties to cell BD28 in the DVA Continuity Schedule</w:t>
      </w:r>
      <w:r w:rsidRPr="00F10B9B">
        <w:rPr>
          <w:rFonts w:ascii="Arial" w:hAnsi="Arial" w:cs="Arial"/>
          <w:sz w:val="24"/>
          <w:szCs w:val="24"/>
        </w:rPr>
        <w:t xml:space="preserve">. </w:t>
      </w:r>
      <w:r w:rsidR="00A06CF0" w:rsidRPr="00F10B9B">
        <w:rPr>
          <w:rFonts w:ascii="Arial" w:hAnsi="Arial" w:cs="Arial"/>
          <w:sz w:val="24"/>
          <w:szCs w:val="24"/>
        </w:rPr>
        <w:t>If this is not the case, please explain.</w:t>
      </w:r>
    </w:p>
    <w:p w14:paraId="70017E2B" w14:textId="77777777" w:rsidR="00B05311" w:rsidRPr="00F10B9B" w:rsidRDefault="00B05311" w:rsidP="00F10B9B">
      <w:pPr>
        <w:pStyle w:val="ListParagraph"/>
        <w:spacing w:after="0" w:line="276" w:lineRule="auto"/>
        <w:rPr>
          <w:rFonts w:ascii="Arial" w:hAnsi="Arial" w:cs="Arial"/>
          <w:sz w:val="24"/>
          <w:szCs w:val="24"/>
        </w:rPr>
      </w:pPr>
    </w:p>
    <w:p w14:paraId="04522D43" w14:textId="77777777"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 xml:space="preserve">Please confirm that </w:t>
      </w:r>
      <w:r w:rsidR="00EB7722">
        <w:rPr>
          <w:rFonts w:ascii="Arial" w:hAnsi="Arial" w:cs="Arial"/>
          <w:sz w:val="24"/>
          <w:szCs w:val="24"/>
        </w:rPr>
        <w:t xml:space="preserve">the </w:t>
      </w:r>
      <w:r w:rsidRPr="00F10B9B">
        <w:rPr>
          <w:rFonts w:ascii="Arial" w:hAnsi="Arial" w:cs="Arial"/>
          <w:sz w:val="24"/>
          <w:szCs w:val="24"/>
        </w:rPr>
        <w:t xml:space="preserve">last line of this table </w:t>
      </w:r>
      <w:r w:rsidR="00CA5510" w:rsidRPr="00F10B9B">
        <w:rPr>
          <w:rFonts w:ascii="Arial" w:hAnsi="Arial" w:cs="Arial"/>
          <w:sz w:val="24"/>
          <w:szCs w:val="24"/>
        </w:rPr>
        <w:t xml:space="preserve">or a credit of $94,330 </w:t>
      </w:r>
      <w:r w:rsidRPr="00F10B9B">
        <w:rPr>
          <w:rFonts w:ascii="Arial" w:hAnsi="Arial" w:cs="Arial"/>
          <w:sz w:val="24"/>
          <w:szCs w:val="24"/>
        </w:rPr>
        <w:t xml:space="preserve">represents the Account 1588 principal transactions and adjustments for 2018 in the DVA </w:t>
      </w:r>
      <w:r w:rsidRPr="00F10B9B">
        <w:rPr>
          <w:rFonts w:ascii="Arial" w:hAnsi="Arial" w:cs="Arial"/>
          <w:sz w:val="24"/>
          <w:szCs w:val="24"/>
        </w:rPr>
        <w:lastRenderedPageBreak/>
        <w:t>continuity schedule</w:t>
      </w:r>
      <w:r w:rsidR="00680E6A" w:rsidRPr="00F10B9B">
        <w:rPr>
          <w:rFonts w:ascii="Arial" w:hAnsi="Arial" w:cs="Arial"/>
          <w:sz w:val="24"/>
          <w:szCs w:val="24"/>
        </w:rPr>
        <w:t xml:space="preserve">, which tie to the sum of </w:t>
      </w:r>
      <w:r w:rsidRPr="00F10B9B">
        <w:rPr>
          <w:rFonts w:ascii="Arial" w:hAnsi="Arial" w:cs="Arial"/>
          <w:sz w:val="24"/>
          <w:szCs w:val="24"/>
        </w:rPr>
        <w:t>cell BD28 and cell BF28</w:t>
      </w:r>
      <w:r w:rsidR="00680E6A" w:rsidRPr="00F10B9B">
        <w:rPr>
          <w:rFonts w:ascii="Arial" w:hAnsi="Arial" w:cs="Arial"/>
          <w:sz w:val="24"/>
          <w:szCs w:val="24"/>
        </w:rPr>
        <w:t xml:space="preserve"> in the DVA continuity schedule</w:t>
      </w:r>
      <w:r w:rsidRPr="00F10B9B">
        <w:rPr>
          <w:rFonts w:ascii="Arial" w:hAnsi="Arial" w:cs="Arial"/>
          <w:sz w:val="24"/>
          <w:szCs w:val="24"/>
        </w:rPr>
        <w:t>.</w:t>
      </w:r>
      <w:r w:rsidR="00A06CF0" w:rsidRPr="00F10B9B">
        <w:rPr>
          <w:rFonts w:ascii="Arial" w:hAnsi="Arial" w:cs="Arial"/>
          <w:sz w:val="24"/>
          <w:szCs w:val="24"/>
        </w:rPr>
        <w:t xml:space="preserve"> If this is not the case, please explain.</w:t>
      </w:r>
    </w:p>
    <w:p w14:paraId="5F9F1DB5" w14:textId="77777777" w:rsidR="00B05311" w:rsidRPr="00F10B9B" w:rsidRDefault="00B05311" w:rsidP="00F10B9B">
      <w:pPr>
        <w:pStyle w:val="ListParagraph"/>
        <w:spacing w:after="0" w:line="276" w:lineRule="auto"/>
        <w:rPr>
          <w:rFonts w:ascii="Arial" w:hAnsi="Arial" w:cs="Arial"/>
          <w:sz w:val="24"/>
          <w:szCs w:val="24"/>
        </w:rPr>
      </w:pPr>
    </w:p>
    <w:p w14:paraId="764395B2" w14:textId="5BECF0A7"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Please explain any differences between (</w:t>
      </w:r>
      <w:r w:rsidR="00FA6454">
        <w:rPr>
          <w:rFonts w:ascii="Arial" w:hAnsi="Arial" w:cs="Arial"/>
          <w:sz w:val="24"/>
          <w:szCs w:val="24"/>
        </w:rPr>
        <w:t>a</w:t>
      </w:r>
      <w:r w:rsidRPr="00F10B9B">
        <w:rPr>
          <w:rFonts w:ascii="Arial" w:hAnsi="Arial" w:cs="Arial"/>
          <w:sz w:val="24"/>
          <w:szCs w:val="24"/>
        </w:rPr>
        <w:t>) and (</w:t>
      </w:r>
      <w:r w:rsidR="00FA6454">
        <w:rPr>
          <w:rFonts w:ascii="Arial" w:hAnsi="Arial" w:cs="Arial"/>
          <w:sz w:val="24"/>
          <w:szCs w:val="24"/>
        </w:rPr>
        <w:t>b</w:t>
      </w:r>
      <w:r w:rsidRPr="00F10B9B">
        <w:rPr>
          <w:rFonts w:ascii="Arial" w:hAnsi="Arial" w:cs="Arial"/>
          <w:sz w:val="24"/>
          <w:szCs w:val="24"/>
        </w:rPr>
        <w:t>)</w:t>
      </w:r>
      <w:r w:rsidR="005E6FF0">
        <w:rPr>
          <w:rFonts w:ascii="Arial" w:hAnsi="Arial" w:cs="Arial"/>
          <w:sz w:val="24"/>
          <w:szCs w:val="24"/>
        </w:rPr>
        <w:t>.</w:t>
      </w:r>
    </w:p>
    <w:p w14:paraId="19D2D1EA" w14:textId="77777777" w:rsidR="00B05311" w:rsidRPr="00F10B9B" w:rsidRDefault="00B05311" w:rsidP="00F10B9B">
      <w:pPr>
        <w:pStyle w:val="ListParagraph"/>
        <w:spacing w:after="0" w:line="276" w:lineRule="auto"/>
        <w:rPr>
          <w:rFonts w:ascii="Arial" w:hAnsi="Arial" w:cs="Arial"/>
          <w:sz w:val="24"/>
          <w:szCs w:val="24"/>
        </w:rPr>
      </w:pPr>
    </w:p>
    <w:p w14:paraId="47CBC869" w14:textId="431C6C8E"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Please also repeat steps (</w:t>
      </w:r>
      <w:r w:rsidR="00FA6454">
        <w:rPr>
          <w:rFonts w:ascii="Arial" w:hAnsi="Arial" w:cs="Arial"/>
          <w:sz w:val="24"/>
          <w:szCs w:val="24"/>
        </w:rPr>
        <w:t>a</w:t>
      </w:r>
      <w:r w:rsidRPr="00F10B9B">
        <w:rPr>
          <w:rFonts w:ascii="Arial" w:hAnsi="Arial" w:cs="Arial"/>
          <w:sz w:val="24"/>
          <w:szCs w:val="24"/>
        </w:rPr>
        <w:t>), (</w:t>
      </w:r>
      <w:r w:rsidR="00FA6454">
        <w:rPr>
          <w:rFonts w:ascii="Arial" w:hAnsi="Arial" w:cs="Arial"/>
          <w:sz w:val="24"/>
          <w:szCs w:val="24"/>
        </w:rPr>
        <w:t>b</w:t>
      </w:r>
      <w:r w:rsidRPr="00F10B9B">
        <w:rPr>
          <w:rFonts w:ascii="Arial" w:hAnsi="Arial" w:cs="Arial"/>
          <w:sz w:val="24"/>
          <w:szCs w:val="24"/>
        </w:rPr>
        <w:t>), and (</w:t>
      </w:r>
      <w:r w:rsidR="00FA6454">
        <w:rPr>
          <w:rFonts w:ascii="Arial" w:hAnsi="Arial" w:cs="Arial"/>
          <w:sz w:val="24"/>
          <w:szCs w:val="24"/>
        </w:rPr>
        <w:t>c</w:t>
      </w:r>
      <w:r w:rsidRPr="00F10B9B">
        <w:rPr>
          <w:rFonts w:ascii="Arial" w:hAnsi="Arial" w:cs="Arial"/>
          <w:sz w:val="24"/>
          <w:szCs w:val="24"/>
        </w:rPr>
        <w:t>) for 2017 Account 1588 principal transactions</w:t>
      </w:r>
      <w:r w:rsidR="005E6FF0">
        <w:rPr>
          <w:rFonts w:ascii="Arial" w:hAnsi="Arial" w:cs="Arial"/>
          <w:sz w:val="24"/>
          <w:szCs w:val="24"/>
        </w:rPr>
        <w:t>.</w:t>
      </w:r>
    </w:p>
    <w:p w14:paraId="6FD44C24" w14:textId="77777777" w:rsidR="00CE1A83" w:rsidRPr="00F10B9B" w:rsidRDefault="00CE1A83" w:rsidP="00F10B9B">
      <w:pPr>
        <w:pStyle w:val="ListParagraph"/>
        <w:spacing w:after="0" w:line="276" w:lineRule="auto"/>
        <w:rPr>
          <w:rFonts w:ascii="Arial" w:hAnsi="Arial" w:cs="Arial"/>
          <w:sz w:val="24"/>
          <w:szCs w:val="24"/>
        </w:rPr>
      </w:pPr>
    </w:p>
    <w:p w14:paraId="3E7A05C7" w14:textId="77777777"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If the revised table shows a material change in the assessment of the Account 1588 balance, please quantify and explain.</w:t>
      </w:r>
    </w:p>
    <w:p w14:paraId="6A3C7124" w14:textId="77777777" w:rsidR="00CE1A83" w:rsidRPr="00F10B9B" w:rsidRDefault="00CE1A83" w:rsidP="00F10B9B">
      <w:pPr>
        <w:pStyle w:val="ListParagraph"/>
        <w:spacing w:after="0" w:line="276" w:lineRule="auto"/>
        <w:rPr>
          <w:rFonts w:ascii="Arial" w:hAnsi="Arial" w:cs="Arial"/>
          <w:sz w:val="24"/>
          <w:szCs w:val="24"/>
        </w:rPr>
      </w:pPr>
    </w:p>
    <w:p w14:paraId="2BCD67B8" w14:textId="77777777" w:rsidR="00CE1A83" w:rsidRPr="00F10B9B" w:rsidRDefault="00CE1A83" w:rsidP="00F10B9B">
      <w:pPr>
        <w:pStyle w:val="ListParagraph"/>
        <w:numPr>
          <w:ilvl w:val="0"/>
          <w:numId w:val="34"/>
        </w:numPr>
        <w:spacing w:after="0" w:line="276" w:lineRule="auto"/>
        <w:rPr>
          <w:rFonts w:ascii="Arial" w:hAnsi="Arial" w:cs="Arial"/>
          <w:sz w:val="24"/>
          <w:szCs w:val="24"/>
        </w:rPr>
      </w:pPr>
      <w:r w:rsidRPr="00F10B9B">
        <w:rPr>
          <w:rFonts w:ascii="Arial" w:hAnsi="Arial" w:cs="Arial"/>
          <w:sz w:val="24"/>
          <w:szCs w:val="24"/>
        </w:rPr>
        <w:t>Please also file a similar table relating to 2017 balances for Account 1588.</w:t>
      </w:r>
    </w:p>
    <w:p w14:paraId="0210B811" w14:textId="77777777" w:rsidR="00446F72" w:rsidRDefault="00446F72" w:rsidP="00F10B9B">
      <w:pPr>
        <w:spacing w:after="0" w:line="276" w:lineRule="auto"/>
        <w:rPr>
          <w:rFonts w:ascii="Arial" w:hAnsi="Arial" w:cs="Arial"/>
          <w:sz w:val="24"/>
          <w:szCs w:val="24"/>
        </w:rPr>
      </w:pPr>
    </w:p>
    <w:p w14:paraId="56721CD2" w14:textId="77777777" w:rsidR="00D76318" w:rsidRPr="00F10B9B" w:rsidRDefault="00D76318" w:rsidP="00F10B9B">
      <w:pPr>
        <w:spacing w:after="0" w:line="276" w:lineRule="auto"/>
        <w:rPr>
          <w:rFonts w:ascii="Arial" w:hAnsi="Arial" w:cs="Arial"/>
          <w:sz w:val="24"/>
          <w:szCs w:val="24"/>
        </w:rPr>
      </w:pPr>
    </w:p>
    <w:p w14:paraId="72C88A6A" w14:textId="347D5077" w:rsidR="00375CCA" w:rsidRPr="00F10B9B" w:rsidRDefault="00375CCA" w:rsidP="00051B5F">
      <w:pPr>
        <w:pStyle w:val="Heading2"/>
      </w:pPr>
      <w:r w:rsidRPr="00F10B9B">
        <w:t>Staff-</w:t>
      </w:r>
      <w:r w:rsidR="008B0C2A">
        <w:t>6</w:t>
      </w:r>
    </w:p>
    <w:p w14:paraId="12730B75" w14:textId="77777777" w:rsidR="00375CCA" w:rsidRPr="00F10B9B" w:rsidRDefault="00375CCA" w:rsidP="00F10B9B">
      <w:pPr>
        <w:spacing w:after="0" w:line="276" w:lineRule="auto"/>
        <w:rPr>
          <w:rFonts w:ascii="Arial" w:hAnsi="Arial" w:cs="Arial"/>
          <w:sz w:val="24"/>
          <w:szCs w:val="24"/>
        </w:rPr>
      </w:pPr>
    </w:p>
    <w:p w14:paraId="628B4039" w14:textId="69F9D15E" w:rsidR="00375CCA" w:rsidRPr="00F10B9B" w:rsidRDefault="00375CCA" w:rsidP="00F10B9B">
      <w:pPr>
        <w:spacing w:after="0" w:line="276" w:lineRule="auto"/>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r>
    </w:p>
    <w:p w14:paraId="132BB7CE" w14:textId="02A209F8" w:rsidR="00E57F0C" w:rsidRPr="00F10B9B" w:rsidRDefault="00E57F0C" w:rsidP="00E57F0C">
      <w:pPr>
        <w:spacing w:after="0" w:line="276" w:lineRule="auto"/>
        <w:rPr>
          <w:rFonts w:ascii="Arial" w:hAnsi="Arial" w:cs="Arial"/>
          <w:sz w:val="24"/>
          <w:szCs w:val="24"/>
        </w:rPr>
      </w:pPr>
      <w:r w:rsidRPr="00F10B9B">
        <w:rPr>
          <w:rFonts w:ascii="Arial" w:hAnsi="Arial" w:cs="Arial"/>
          <w:sz w:val="24"/>
          <w:szCs w:val="24"/>
        </w:rPr>
        <w:tab/>
        <w:t xml:space="preserve">(1) </w:t>
      </w:r>
      <w:r w:rsidR="00EF7971">
        <w:rPr>
          <w:rFonts w:ascii="Arial" w:hAnsi="Arial" w:cs="Arial"/>
          <w:sz w:val="24"/>
          <w:szCs w:val="24"/>
        </w:rPr>
        <w:t xml:space="preserve">Application, </w:t>
      </w:r>
      <w:r w:rsidRPr="00F10B9B">
        <w:rPr>
          <w:rFonts w:ascii="Arial" w:hAnsi="Arial" w:cs="Arial"/>
          <w:sz w:val="24"/>
          <w:szCs w:val="24"/>
        </w:rPr>
        <w:t>Manager’s Summary, page 16</w:t>
      </w:r>
    </w:p>
    <w:p w14:paraId="0F371F4C" w14:textId="16BA42D1" w:rsidR="00E57F0C" w:rsidRPr="00F10B9B" w:rsidRDefault="00E57F0C" w:rsidP="00E57F0C">
      <w:pPr>
        <w:spacing w:after="0" w:line="276" w:lineRule="auto"/>
        <w:ind w:firstLine="720"/>
        <w:rPr>
          <w:rFonts w:ascii="Arial" w:hAnsi="Arial" w:cs="Arial"/>
          <w:sz w:val="24"/>
          <w:szCs w:val="24"/>
        </w:rPr>
      </w:pPr>
      <w:r w:rsidRPr="00F10B9B">
        <w:rPr>
          <w:rFonts w:ascii="Arial" w:hAnsi="Arial" w:cs="Arial"/>
          <w:sz w:val="24"/>
          <w:szCs w:val="24"/>
        </w:rPr>
        <w:t>(2) 2020 IRM Rate Generator Model, Tab 3, October 15, 2019</w:t>
      </w:r>
    </w:p>
    <w:p w14:paraId="50B868B2" w14:textId="77777777" w:rsidR="00E57F0C" w:rsidRPr="00F10B9B" w:rsidRDefault="00E57F0C" w:rsidP="00E57F0C">
      <w:pPr>
        <w:spacing w:after="0" w:line="276" w:lineRule="auto"/>
        <w:ind w:firstLine="720"/>
        <w:rPr>
          <w:rFonts w:ascii="Arial" w:hAnsi="Arial" w:cs="Arial"/>
          <w:sz w:val="24"/>
          <w:szCs w:val="24"/>
        </w:rPr>
      </w:pPr>
      <w:r w:rsidRPr="00F10B9B">
        <w:rPr>
          <w:rFonts w:ascii="Arial" w:hAnsi="Arial" w:cs="Arial"/>
          <w:sz w:val="24"/>
          <w:szCs w:val="24"/>
        </w:rPr>
        <w:t>(3) 2018 GA Analysis Workform, October 15, 2019</w:t>
      </w:r>
    </w:p>
    <w:p w14:paraId="4D955672" w14:textId="77777777" w:rsidR="00E57F0C" w:rsidRPr="00F10B9B" w:rsidRDefault="00E57F0C" w:rsidP="00E57F0C">
      <w:pPr>
        <w:spacing w:after="0" w:line="276" w:lineRule="auto"/>
        <w:ind w:firstLine="720"/>
        <w:rPr>
          <w:rFonts w:ascii="Arial" w:hAnsi="Arial" w:cs="Arial"/>
          <w:sz w:val="24"/>
          <w:szCs w:val="24"/>
        </w:rPr>
      </w:pPr>
      <w:r w:rsidRPr="00F10B9B">
        <w:rPr>
          <w:rFonts w:ascii="Arial" w:hAnsi="Arial" w:cs="Arial"/>
          <w:sz w:val="24"/>
          <w:szCs w:val="24"/>
        </w:rPr>
        <w:t>(4) EB-2018-0072</w:t>
      </w:r>
      <w:r w:rsidR="00FF1B50">
        <w:rPr>
          <w:rFonts w:ascii="Arial" w:hAnsi="Arial" w:cs="Arial"/>
          <w:sz w:val="24"/>
          <w:szCs w:val="24"/>
        </w:rPr>
        <w:t>,</w:t>
      </w:r>
      <w:r w:rsidRPr="00F10B9B">
        <w:rPr>
          <w:rFonts w:ascii="Arial" w:hAnsi="Arial" w:cs="Arial"/>
          <w:sz w:val="24"/>
          <w:szCs w:val="24"/>
        </w:rPr>
        <w:t xml:space="preserve"> 2017 GA Analysis Workform, January 15, 2019</w:t>
      </w:r>
    </w:p>
    <w:p w14:paraId="75222ED3" w14:textId="77777777" w:rsidR="00E57F0C" w:rsidRPr="00F10B9B" w:rsidRDefault="00E57F0C" w:rsidP="00E57F0C">
      <w:pPr>
        <w:spacing w:after="0" w:line="276" w:lineRule="auto"/>
        <w:ind w:firstLine="720"/>
        <w:rPr>
          <w:rFonts w:ascii="Arial" w:hAnsi="Arial" w:cs="Arial"/>
          <w:sz w:val="24"/>
          <w:szCs w:val="24"/>
        </w:rPr>
      </w:pPr>
    </w:p>
    <w:p w14:paraId="3B6B4592" w14:textId="77777777" w:rsidR="00E57F0C" w:rsidRPr="00051B5F" w:rsidRDefault="00E57F0C" w:rsidP="00E57F0C">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1D58C1B1" w14:textId="77777777" w:rsidR="00E57F0C" w:rsidRPr="00F10B9B" w:rsidRDefault="00E57F0C" w:rsidP="00E57F0C">
      <w:pPr>
        <w:spacing w:after="0" w:line="276" w:lineRule="auto"/>
        <w:rPr>
          <w:rFonts w:ascii="Arial" w:hAnsi="Arial" w:cs="Arial"/>
          <w:sz w:val="24"/>
          <w:szCs w:val="24"/>
        </w:rPr>
      </w:pPr>
    </w:p>
    <w:p w14:paraId="710B59FF" w14:textId="0CB2E4DA" w:rsidR="00E57F0C" w:rsidRPr="00F10B9B" w:rsidRDefault="00E57F0C" w:rsidP="00E57F0C">
      <w:pPr>
        <w:spacing w:after="0" w:line="276" w:lineRule="auto"/>
        <w:rPr>
          <w:rFonts w:ascii="Arial" w:hAnsi="Arial" w:cs="Arial"/>
          <w:sz w:val="24"/>
          <w:szCs w:val="24"/>
        </w:rPr>
      </w:pPr>
      <w:r w:rsidRPr="00F10B9B">
        <w:rPr>
          <w:rFonts w:ascii="Arial" w:hAnsi="Arial" w:cs="Arial"/>
          <w:sz w:val="24"/>
          <w:szCs w:val="24"/>
        </w:rPr>
        <w:t>At the above</w:t>
      </w:r>
      <w:r w:rsidR="00306408">
        <w:rPr>
          <w:rFonts w:ascii="Arial" w:hAnsi="Arial" w:cs="Arial"/>
          <w:sz w:val="24"/>
          <w:szCs w:val="24"/>
        </w:rPr>
        <w:t>-</w:t>
      </w:r>
      <w:r w:rsidRPr="00F10B9B">
        <w:rPr>
          <w:rFonts w:ascii="Arial" w:hAnsi="Arial" w:cs="Arial"/>
          <w:sz w:val="24"/>
          <w:szCs w:val="24"/>
        </w:rPr>
        <w:t xml:space="preserve">noted first reference, </w:t>
      </w:r>
      <w:r w:rsidR="00316299">
        <w:rPr>
          <w:rFonts w:ascii="Arial" w:hAnsi="Arial" w:cs="Arial"/>
          <w:sz w:val="24"/>
          <w:szCs w:val="24"/>
        </w:rPr>
        <w:t>Elexicon Energy</w:t>
      </w:r>
      <w:r w:rsidR="00316299" w:rsidRPr="002F20B2">
        <w:rPr>
          <w:rFonts w:ascii="Arial" w:hAnsi="Arial" w:cs="Arial"/>
          <w:sz w:val="24"/>
          <w:szCs w:val="24"/>
        </w:rPr>
        <w:t xml:space="preserve"> </w:t>
      </w:r>
      <w:r w:rsidRPr="00F10B9B">
        <w:rPr>
          <w:rFonts w:ascii="Arial" w:hAnsi="Arial" w:cs="Arial"/>
          <w:sz w:val="24"/>
          <w:szCs w:val="24"/>
        </w:rPr>
        <w:t>stated the following:</w:t>
      </w:r>
    </w:p>
    <w:p w14:paraId="5B887C67" w14:textId="77777777" w:rsidR="00E57F0C" w:rsidRPr="00F10B9B" w:rsidRDefault="00E57F0C" w:rsidP="00E57F0C">
      <w:pPr>
        <w:spacing w:after="0" w:line="276" w:lineRule="auto"/>
        <w:rPr>
          <w:rFonts w:ascii="Arial" w:hAnsi="Arial" w:cs="Arial"/>
          <w:sz w:val="24"/>
          <w:szCs w:val="24"/>
        </w:rPr>
      </w:pPr>
    </w:p>
    <w:p w14:paraId="1E19637F" w14:textId="4602481A" w:rsidR="00E57F0C" w:rsidRPr="00F10B9B" w:rsidRDefault="00E57F0C" w:rsidP="00E57F0C">
      <w:pPr>
        <w:spacing w:after="0" w:line="276" w:lineRule="auto"/>
        <w:ind w:left="720"/>
        <w:rPr>
          <w:rFonts w:ascii="Arial" w:hAnsi="Arial" w:cs="Arial"/>
          <w:sz w:val="24"/>
          <w:szCs w:val="24"/>
        </w:rPr>
      </w:pPr>
      <w:r w:rsidRPr="00F10B9B">
        <w:rPr>
          <w:rFonts w:ascii="Arial" w:hAnsi="Arial" w:cs="Arial"/>
          <w:sz w:val="24"/>
          <w:szCs w:val="24"/>
        </w:rPr>
        <w:t xml:space="preserve">Adjustments for 2018 unbilled to actual billed revenue differences have been included in the continuity schedule. A true-up adjustment related to </w:t>
      </w:r>
      <w:r w:rsidR="00316299">
        <w:rPr>
          <w:rFonts w:ascii="Arial" w:hAnsi="Arial" w:cs="Arial"/>
          <w:sz w:val="24"/>
          <w:szCs w:val="24"/>
        </w:rPr>
        <w:t>A</w:t>
      </w:r>
      <w:r w:rsidRPr="00F10B9B">
        <w:rPr>
          <w:rFonts w:ascii="Arial" w:hAnsi="Arial" w:cs="Arial"/>
          <w:sz w:val="24"/>
          <w:szCs w:val="24"/>
        </w:rPr>
        <w:t xml:space="preserve">ccount 1588 of $224,585 and </w:t>
      </w:r>
      <w:r w:rsidR="00316299">
        <w:rPr>
          <w:rFonts w:ascii="Arial" w:hAnsi="Arial" w:cs="Arial"/>
          <w:sz w:val="24"/>
          <w:szCs w:val="24"/>
        </w:rPr>
        <w:t xml:space="preserve">Account </w:t>
      </w:r>
      <w:r w:rsidRPr="00F10B9B">
        <w:rPr>
          <w:rFonts w:ascii="Arial" w:hAnsi="Arial" w:cs="Arial"/>
          <w:sz w:val="24"/>
          <w:szCs w:val="24"/>
        </w:rPr>
        <w:t>1589 ($22,333) are reflected in Tab 3 of the 2020 Rate Generator Model.</w:t>
      </w:r>
    </w:p>
    <w:p w14:paraId="4F0ABE13" w14:textId="77777777" w:rsidR="00E57F0C" w:rsidRPr="00F10B9B" w:rsidRDefault="00E57F0C" w:rsidP="00E57F0C">
      <w:pPr>
        <w:spacing w:after="0" w:line="276" w:lineRule="auto"/>
        <w:rPr>
          <w:rFonts w:ascii="Arial" w:hAnsi="Arial" w:cs="Arial"/>
          <w:sz w:val="24"/>
          <w:szCs w:val="24"/>
        </w:rPr>
      </w:pPr>
    </w:p>
    <w:p w14:paraId="6A2ACEEB" w14:textId="5DB37CA7" w:rsidR="00E57F0C" w:rsidRPr="00F10B9B" w:rsidRDefault="00E57F0C" w:rsidP="00E57F0C">
      <w:pPr>
        <w:spacing w:after="0" w:line="276" w:lineRule="auto"/>
        <w:rPr>
          <w:rFonts w:ascii="Arial" w:hAnsi="Arial" w:cs="Arial"/>
          <w:sz w:val="24"/>
          <w:szCs w:val="24"/>
        </w:rPr>
      </w:pPr>
      <w:r w:rsidRPr="00F10B9B">
        <w:rPr>
          <w:rFonts w:ascii="Arial" w:hAnsi="Arial" w:cs="Arial"/>
          <w:sz w:val="24"/>
          <w:szCs w:val="24"/>
        </w:rPr>
        <w:t>However, OEB staff could not reconcile the amounts in the above</w:t>
      </w:r>
      <w:r w:rsidR="00306408">
        <w:rPr>
          <w:rFonts w:ascii="Arial" w:hAnsi="Arial" w:cs="Arial"/>
          <w:sz w:val="24"/>
          <w:szCs w:val="24"/>
        </w:rPr>
        <w:t>-</w:t>
      </w:r>
      <w:r w:rsidRPr="00F10B9B">
        <w:rPr>
          <w:rFonts w:ascii="Arial" w:hAnsi="Arial" w:cs="Arial"/>
          <w:sz w:val="24"/>
          <w:szCs w:val="24"/>
        </w:rPr>
        <w:t>noted first reference to any of the amounts recorded in the above</w:t>
      </w:r>
      <w:r w:rsidR="00306408">
        <w:rPr>
          <w:rFonts w:ascii="Arial" w:hAnsi="Arial" w:cs="Arial"/>
          <w:sz w:val="24"/>
          <w:szCs w:val="24"/>
        </w:rPr>
        <w:t>-</w:t>
      </w:r>
      <w:r w:rsidRPr="00F10B9B">
        <w:rPr>
          <w:rFonts w:ascii="Arial" w:hAnsi="Arial" w:cs="Arial"/>
          <w:sz w:val="24"/>
          <w:szCs w:val="24"/>
        </w:rPr>
        <w:t>noted second, third, and fourth references. OEB staff also notes that</w:t>
      </w:r>
      <w:r w:rsidR="00FA6454">
        <w:rPr>
          <w:rFonts w:ascii="Arial" w:hAnsi="Arial" w:cs="Arial"/>
          <w:sz w:val="24"/>
          <w:szCs w:val="24"/>
        </w:rPr>
        <w:t>,</w:t>
      </w:r>
      <w:r w:rsidRPr="00F10B9B">
        <w:rPr>
          <w:rFonts w:ascii="Arial" w:hAnsi="Arial" w:cs="Arial"/>
          <w:sz w:val="24"/>
          <w:szCs w:val="24"/>
        </w:rPr>
        <w:t xml:space="preserve"> at the above</w:t>
      </w:r>
      <w:r w:rsidR="00306408">
        <w:rPr>
          <w:rFonts w:ascii="Arial" w:hAnsi="Arial" w:cs="Arial"/>
          <w:sz w:val="24"/>
          <w:szCs w:val="24"/>
        </w:rPr>
        <w:t>-</w:t>
      </w:r>
      <w:r w:rsidRPr="00F10B9B">
        <w:rPr>
          <w:rFonts w:ascii="Arial" w:hAnsi="Arial" w:cs="Arial"/>
          <w:sz w:val="24"/>
          <w:szCs w:val="24"/>
        </w:rPr>
        <w:t>noted third reference, a debit amount of $22,333 is shown, instead of the credit amount described in the above</w:t>
      </w:r>
      <w:r w:rsidR="00306408">
        <w:rPr>
          <w:rFonts w:ascii="Arial" w:hAnsi="Arial" w:cs="Arial"/>
          <w:sz w:val="24"/>
          <w:szCs w:val="24"/>
        </w:rPr>
        <w:t>-</w:t>
      </w:r>
      <w:r w:rsidRPr="00F10B9B">
        <w:rPr>
          <w:rFonts w:ascii="Arial" w:hAnsi="Arial" w:cs="Arial"/>
          <w:sz w:val="24"/>
          <w:szCs w:val="24"/>
        </w:rPr>
        <w:t>noted first reference.</w:t>
      </w:r>
    </w:p>
    <w:p w14:paraId="0750FC6B" w14:textId="77777777" w:rsidR="00E57F0C" w:rsidRPr="00F10B9B" w:rsidRDefault="00E57F0C" w:rsidP="00F10B9B">
      <w:pPr>
        <w:spacing w:after="0" w:line="276" w:lineRule="auto"/>
        <w:rPr>
          <w:rFonts w:ascii="Arial" w:hAnsi="Arial" w:cs="Arial"/>
          <w:sz w:val="24"/>
          <w:szCs w:val="24"/>
        </w:rPr>
      </w:pPr>
    </w:p>
    <w:p w14:paraId="48F04FB1" w14:textId="49C1ED8E" w:rsidR="000A7EE8" w:rsidRPr="00F10B9B" w:rsidRDefault="0044375C" w:rsidP="00F10B9B">
      <w:pPr>
        <w:spacing w:after="0" w:line="276" w:lineRule="auto"/>
        <w:rPr>
          <w:rFonts w:ascii="Arial" w:hAnsi="Arial" w:cs="Arial"/>
          <w:sz w:val="24"/>
          <w:szCs w:val="24"/>
        </w:rPr>
      </w:pPr>
      <w:r w:rsidRPr="00F10B9B">
        <w:rPr>
          <w:rFonts w:ascii="Arial" w:hAnsi="Arial" w:cs="Arial"/>
          <w:sz w:val="24"/>
          <w:szCs w:val="24"/>
        </w:rPr>
        <w:lastRenderedPageBreak/>
        <w:t>At the above</w:t>
      </w:r>
      <w:r w:rsidR="00306408">
        <w:rPr>
          <w:rFonts w:ascii="Arial" w:hAnsi="Arial" w:cs="Arial"/>
          <w:sz w:val="24"/>
          <w:szCs w:val="24"/>
        </w:rPr>
        <w:t>-</w:t>
      </w:r>
      <w:r w:rsidRPr="00F10B9B">
        <w:rPr>
          <w:rFonts w:ascii="Arial" w:hAnsi="Arial" w:cs="Arial"/>
          <w:sz w:val="24"/>
          <w:szCs w:val="24"/>
        </w:rPr>
        <w:t xml:space="preserve">noted </w:t>
      </w:r>
      <w:r w:rsidR="001E1ACB">
        <w:rPr>
          <w:rFonts w:ascii="Arial" w:hAnsi="Arial" w:cs="Arial"/>
          <w:sz w:val="24"/>
          <w:szCs w:val="24"/>
        </w:rPr>
        <w:t xml:space="preserve">second </w:t>
      </w:r>
      <w:r w:rsidRPr="00F10B9B">
        <w:rPr>
          <w:rFonts w:ascii="Arial" w:hAnsi="Arial" w:cs="Arial"/>
          <w:sz w:val="24"/>
          <w:szCs w:val="24"/>
        </w:rPr>
        <w:t xml:space="preserve">reference, </w:t>
      </w:r>
      <w:r w:rsidR="00C31A3D" w:rsidRPr="00F10B9B">
        <w:rPr>
          <w:rFonts w:ascii="Arial" w:hAnsi="Arial" w:cs="Arial"/>
          <w:sz w:val="24"/>
          <w:szCs w:val="24"/>
        </w:rPr>
        <w:t xml:space="preserve">cell </w:t>
      </w:r>
      <w:r w:rsidR="00482250" w:rsidRPr="00F10B9B">
        <w:rPr>
          <w:rFonts w:ascii="Arial" w:hAnsi="Arial" w:cs="Arial"/>
          <w:sz w:val="24"/>
          <w:szCs w:val="24"/>
        </w:rPr>
        <w:t xml:space="preserve">BW28 and </w:t>
      </w:r>
      <w:r w:rsidRPr="00F10B9B">
        <w:rPr>
          <w:rFonts w:ascii="Arial" w:hAnsi="Arial" w:cs="Arial"/>
          <w:sz w:val="24"/>
          <w:szCs w:val="24"/>
        </w:rPr>
        <w:t xml:space="preserve">cell </w:t>
      </w:r>
      <w:r w:rsidR="00482250" w:rsidRPr="00F10B9B">
        <w:rPr>
          <w:rFonts w:ascii="Arial" w:hAnsi="Arial" w:cs="Arial"/>
          <w:sz w:val="24"/>
          <w:szCs w:val="24"/>
        </w:rPr>
        <w:t>BW29</w:t>
      </w:r>
      <w:r w:rsidRPr="00F10B9B">
        <w:rPr>
          <w:rFonts w:ascii="Arial" w:hAnsi="Arial" w:cs="Arial"/>
          <w:sz w:val="24"/>
          <w:szCs w:val="24"/>
        </w:rPr>
        <w:t xml:space="preserve"> in Tab 3</w:t>
      </w:r>
      <w:r w:rsidR="00482250" w:rsidRPr="00F10B9B">
        <w:rPr>
          <w:rFonts w:ascii="Arial" w:hAnsi="Arial" w:cs="Arial"/>
          <w:sz w:val="24"/>
          <w:szCs w:val="24"/>
        </w:rPr>
        <w:t xml:space="preserve"> show </w:t>
      </w:r>
      <w:r w:rsidR="004A023D" w:rsidRPr="00F10B9B">
        <w:rPr>
          <w:rFonts w:ascii="Arial" w:hAnsi="Arial" w:cs="Arial"/>
          <w:sz w:val="24"/>
          <w:szCs w:val="24"/>
        </w:rPr>
        <w:t>variances of the RRR versus the 2018 balances of $224,585 for Account 1588 and a credit of $22,332 for Account 1589.</w:t>
      </w:r>
    </w:p>
    <w:p w14:paraId="462E0354" w14:textId="77777777" w:rsidR="004A023D" w:rsidRPr="00F10B9B" w:rsidRDefault="004A023D" w:rsidP="00F10B9B">
      <w:pPr>
        <w:spacing w:after="0" w:line="276" w:lineRule="auto"/>
        <w:rPr>
          <w:rFonts w:ascii="Arial" w:hAnsi="Arial" w:cs="Arial"/>
          <w:sz w:val="24"/>
          <w:szCs w:val="24"/>
        </w:rPr>
      </w:pPr>
    </w:p>
    <w:p w14:paraId="6E429909" w14:textId="77777777" w:rsidR="00C83014" w:rsidRPr="00051B5F" w:rsidRDefault="00C83014" w:rsidP="00F10B9B">
      <w:pPr>
        <w:spacing w:after="0" w:line="276" w:lineRule="auto"/>
        <w:rPr>
          <w:rFonts w:ascii="Arial" w:hAnsi="Arial" w:cs="Arial"/>
          <w:sz w:val="24"/>
          <w:szCs w:val="24"/>
          <w:u w:val="single"/>
        </w:rPr>
      </w:pPr>
      <w:r w:rsidRPr="00051B5F">
        <w:rPr>
          <w:rFonts w:ascii="Arial" w:hAnsi="Arial" w:cs="Arial"/>
          <w:sz w:val="24"/>
          <w:szCs w:val="24"/>
          <w:u w:val="single"/>
        </w:rPr>
        <w:t>Question:</w:t>
      </w:r>
    </w:p>
    <w:p w14:paraId="0BF5E137" w14:textId="77777777" w:rsidR="00C83014" w:rsidRPr="00F10B9B" w:rsidRDefault="00C83014" w:rsidP="00F10B9B">
      <w:pPr>
        <w:spacing w:after="0" w:line="276" w:lineRule="auto"/>
        <w:rPr>
          <w:rFonts w:ascii="Arial" w:hAnsi="Arial" w:cs="Arial"/>
          <w:sz w:val="24"/>
          <w:szCs w:val="24"/>
        </w:rPr>
      </w:pPr>
    </w:p>
    <w:p w14:paraId="5599A7F9" w14:textId="7F9D5064" w:rsidR="003400B6" w:rsidRPr="00F10B9B" w:rsidRDefault="00C83014" w:rsidP="00C572B8">
      <w:pPr>
        <w:pStyle w:val="ListParagraph"/>
        <w:numPr>
          <w:ilvl w:val="0"/>
          <w:numId w:val="28"/>
        </w:numPr>
        <w:spacing w:after="0" w:line="276" w:lineRule="auto"/>
        <w:rPr>
          <w:rFonts w:ascii="Arial" w:hAnsi="Arial" w:cs="Arial"/>
          <w:sz w:val="24"/>
          <w:szCs w:val="24"/>
        </w:rPr>
      </w:pPr>
      <w:r w:rsidRPr="00F10B9B">
        <w:rPr>
          <w:rFonts w:ascii="Arial" w:hAnsi="Arial" w:cs="Arial"/>
          <w:sz w:val="24"/>
          <w:szCs w:val="24"/>
        </w:rPr>
        <w:t>Please explain these above</w:t>
      </w:r>
      <w:r w:rsidR="00306408">
        <w:rPr>
          <w:rFonts w:ascii="Arial" w:hAnsi="Arial" w:cs="Arial"/>
          <w:sz w:val="24"/>
          <w:szCs w:val="24"/>
        </w:rPr>
        <w:t>-</w:t>
      </w:r>
      <w:r w:rsidRPr="00F10B9B">
        <w:rPr>
          <w:rFonts w:ascii="Arial" w:hAnsi="Arial" w:cs="Arial"/>
          <w:sz w:val="24"/>
          <w:szCs w:val="24"/>
        </w:rPr>
        <w:t>noted variances</w:t>
      </w:r>
      <w:r w:rsidR="00256C88" w:rsidRPr="00F10B9B">
        <w:rPr>
          <w:rFonts w:ascii="Arial" w:hAnsi="Arial" w:cs="Arial"/>
          <w:sz w:val="24"/>
          <w:szCs w:val="24"/>
        </w:rPr>
        <w:t xml:space="preserve"> of $224,585 for Account 1588 and a credit of $22,332 for Account 1589</w:t>
      </w:r>
      <w:r w:rsidR="00C572B8">
        <w:rPr>
          <w:rFonts w:ascii="Arial" w:hAnsi="Arial" w:cs="Arial"/>
          <w:sz w:val="24"/>
          <w:szCs w:val="24"/>
        </w:rPr>
        <w:t xml:space="preserve">, including </w:t>
      </w:r>
      <w:r w:rsidR="0018079A">
        <w:rPr>
          <w:rFonts w:ascii="Arial" w:hAnsi="Arial" w:cs="Arial"/>
          <w:sz w:val="24"/>
          <w:szCs w:val="24"/>
        </w:rPr>
        <w:t xml:space="preserve">how </w:t>
      </w:r>
      <w:r w:rsidR="0018079A">
        <w:rPr>
          <w:rFonts w:ascii="Arial" w:hAnsi="Arial" w:cs="Arial"/>
          <w:sz w:val="24"/>
          <w:szCs w:val="24"/>
        </w:rPr>
        <w:t xml:space="preserve">these </w:t>
      </w:r>
      <w:r w:rsidR="003400B6" w:rsidRPr="00F10B9B">
        <w:rPr>
          <w:rFonts w:ascii="Arial" w:hAnsi="Arial" w:cs="Arial"/>
          <w:sz w:val="24"/>
          <w:szCs w:val="24"/>
        </w:rPr>
        <w:t>true-up adjustment</w:t>
      </w:r>
      <w:r w:rsidR="00C572B8">
        <w:rPr>
          <w:rFonts w:ascii="Arial" w:hAnsi="Arial" w:cs="Arial"/>
          <w:sz w:val="24"/>
          <w:szCs w:val="24"/>
        </w:rPr>
        <w:t>s</w:t>
      </w:r>
      <w:r w:rsidR="0018079A">
        <w:rPr>
          <w:rFonts w:ascii="Arial" w:hAnsi="Arial" w:cs="Arial"/>
          <w:sz w:val="24"/>
          <w:szCs w:val="24"/>
        </w:rPr>
        <w:t xml:space="preserve"> (</w:t>
      </w:r>
      <w:r w:rsidR="003400B6" w:rsidRPr="00F10B9B">
        <w:rPr>
          <w:rFonts w:ascii="Arial" w:hAnsi="Arial" w:cs="Arial"/>
          <w:sz w:val="24"/>
          <w:szCs w:val="24"/>
        </w:rPr>
        <w:t>as described in the first above</w:t>
      </w:r>
      <w:r w:rsidR="00306408">
        <w:rPr>
          <w:rFonts w:ascii="Arial" w:hAnsi="Arial" w:cs="Arial"/>
          <w:sz w:val="24"/>
          <w:szCs w:val="24"/>
        </w:rPr>
        <w:t>-</w:t>
      </w:r>
      <w:r w:rsidR="003400B6" w:rsidRPr="00F10B9B">
        <w:rPr>
          <w:rFonts w:ascii="Arial" w:hAnsi="Arial" w:cs="Arial"/>
          <w:sz w:val="24"/>
          <w:szCs w:val="24"/>
        </w:rPr>
        <w:t>noted reference</w:t>
      </w:r>
      <w:r w:rsidR="0018079A">
        <w:rPr>
          <w:rFonts w:ascii="Arial" w:hAnsi="Arial" w:cs="Arial"/>
          <w:sz w:val="24"/>
          <w:szCs w:val="24"/>
        </w:rPr>
        <w:t>)</w:t>
      </w:r>
      <w:r w:rsidR="003400B6" w:rsidRPr="00F10B9B">
        <w:rPr>
          <w:rFonts w:ascii="Arial" w:hAnsi="Arial" w:cs="Arial"/>
          <w:sz w:val="24"/>
          <w:szCs w:val="24"/>
        </w:rPr>
        <w:t xml:space="preserve"> reconcile to the amounts in the above</w:t>
      </w:r>
      <w:r w:rsidR="00306408">
        <w:rPr>
          <w:rFonts w:ascii="Arial" w:hAnsi="Arial" w:cs="Arial"/>
          <w:sz w:val="24"/>
          <w:szCs w:val="24"/>
        </w:rPr>
        <w:t>-</w:t>
      </w:r>
      <w:r w:rsidR="003400B6" w:rsidRPr="00F10B9B">
        <w:rPr>
          <w:rFonts w:ascii="Arial" w:hAnsi="Arial" w:cs="Arial"/>
          <w:sz w:val="24"/>
          <w:szCs w:val="24"/>
        </w:rPr>
        <w:t>noted second, third, and fourth references.</w:t>
      </w:r>
    </w:p>
    <w:p w14:paraId="02CDCC02" w14:textId="77777777" w:rsidR="00C83014" w:rsidRPr="00F10B9B" w:rsidRDefault="00C83014" w:rsidP="00F10B9B">
      <w:pPr>
        <w:spacing w:after="0" w:line="276" w:lineRule="auto"/>
        <w:rPr>
          <w:rFonts w:ascii="Arial" w:hAnsi="Arial" w:cs="Arial"/>
          <w:sz w:val="24"/>
          <w:szCs w:val="24"/>
        </w:rPr>
      </w:pPr>
    </w:p>
    <w:p w14:paraId="2C182652" w14:textId="77777777" w:rsidR="004A023D" w:rsidRPr="00F10B9B" w:rsidRDefault="004A023D" w:rsidP="00F10B9B">
      <w:pPr>
        <w:spacing w:after="0" w:line="276" w:lineRule="auto"/>
        <w:rPr>
          <w:rFonts w:ascii="Arial" w:hAnsi="Arial" w:cs="Arial"/>
          <w:sz w:val="24"/>
          <w:szCs w:val="24"/>
        </w:rPr>
      </w:pPr>
    </w:p>
    <w:p w14:paraId="3582D71B" w14:textId="6F3081C4" w:rsidR="0044375C" w:rsidRPr="00F10B9B" w:rsidRDefault="0044375C" w:rsidP="00051B5F">
      <w:pPr>
        <w:pStyle w:val="Heading2"/>
      </w:pPr>
      <w:r w:rsidRPr="00F10B9B">
        <w:t>Staff-</w:t>
      </w:r>
      <w:r w:rsidR="00453EA2">
        <w:t>7</w:t>
      </w:r>
    </w:p>
    <w:p w14:paraId="778303F1" w14:textId="77777777" w:rsidR="0044375C" w:rsidRPr="00F10B9B" w:rsidRDefault="0044375C" w:rsidP="00F10B9B">
      <w:pPr>
        <w:spacing w:after="0" w:line="276" w:lineRule="auto"/>
        <w:rPr>
          <w:rFonts w:ascii="Arial" w:hAnsi="Arial" w:cs="Arial"/>
          <w:sz w:val="24"/>
          <w:szCs w:val="24"/>
        </w:rPr>
      </w:pPr>
    </w:p>
    <w:p w14:paraId="783B2C48" w14:textId="5121FD18" w:rsidR="0044375C" w:rsidRPr="00F10B9B" w:rsidRDefault="0044375C" w:rsidP="0076166C">
      <w:pPr>
        <w:spacing w:after="0" w:line="276" w:lineRule="auto"/>
        <w:ind w:left="720" w:hanging="720"/>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 xml:space="preserve">(1) </w:t>
      </w:r>
      <w:r w:rsidR="00165D38">
        <w:rPr>
          <w:rFonts w:ascii="Arial" w:hAnsi="Arial" w:cs="Arial"/>
          <w:sz w:val="24"/>
          <w:szCs w:val="24"/>
        </w:rPr>
        <w:t xml:space="preserve">Application, </w:t>
      </w:r>
      <w:r w:rsidRPr="00F10B9B">
        <w:rPr>
          <w:rFonts w:ascii="Arial" w:hAnsi="Arial" w:cs="Arial"/>
          <w:sz w:val="24"/>
          <w:szCs w:val="24"/>
        </w:rPr>
        <w:t>Appendix E-1: GA Methodology Description – Appendix A GA Methodology Description Questions on Accounts 1588 &amp; 1589, page 2</w:t>
      </w:r>
    </w:p>
    <w:p w14:paraId="111ED08D" w14:textId="77777777" w:rsidR="0044375C" w:rsidRPr="00F10B9B" w:rsidRDefault="0044375C" w:rsidP="00F10B9B">
      <w:pPr>
        <w:spacing w:after="0" w:line="276" w:lineRule="auto"/>
        <w:rPr>
          <w:rFonts w:ascii="Arial" w:hAnsi="Arial" w:cs="Arial"/>
          <w:sz w:val="24"/>
          <w:szCs w:val="24"/>
        </w:rPr>
      </w:pPr>
    </w:p>
    <w:p w14:paraId="66337794" w14:textId="77777777" w:rsidR="0044375C" w:rsidRPr="00051B5F" w:rsidRDefault="0044375C"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5F7F581C" w14:textId="77777777" w:rsidR="0044375C" w:rsidRPr="00051B5F" w:rsidRDefault="0044375C" w:rsidP="00F10B9B">
      <w:pPr>
        <w:spacing w:after="0" w:line="276" w:lineRule="auto"/>
        <w:rPr>
          <w:rFonts w:ascii="Arial" w:hAnsi="Arial" w:cs="Arial"/>
          <w:sz w:val="24"/>
          <w:szCs w:val="24"/>
          <w:u w:val="single"/>
        </w:rPr>
      </w:pPr>
    </w:p>
    <w:p w14:paraId="336400DD" w14:textId="671A4E61" w:rsidR="0044375C" w:rsidRPr="00F10B9B" w:rsidRDefault="0044375C" w:rsidP="00F10B9B">
      <w:pPr>
        <w:spacing w:after="0" w:line="276" w:lineRule="auto"/>
        <w:rPr>
          <w:rFonts w:ascii="Arial" w:hAnsi="Arial" w:cs="Arial"/>
          <w:sz w:val="24"/>
          <w:szCs w:val="24"/>
        </w:rPr>
      </w:pPr>
      <w:r w:rsidRPr="00F10B9B">
        <w:rPr>
          <w:rFonts w:ascii="Arial" w:hAnsi="Arial" w:cs="Arial"/>
          <w:sz w:val="24"/>
          <w:szCs w:val="24"/>
        </w:rPr>
        <w:t>At the above</w:t>
      </w:r>
      <w:r w:rsidR="00306408">
        <w:rPr>
          <w:rFonts w:ascii="Arial" w:hAnsi="Arial" w:cs="Arial"/>
          <w:sz w:val="24"/>
          <w:szCs w:val="24"/>
        </w:rPr>
        <w:t>-</w:t>
      </w:r>
      <w:r w:rsidRPr="00F10B9B">
        <w:rPr>
          <w:rFonts w:ascii="Arial" w:hAnsi="Arial" w:cs="Arial"/>
          <w:sz w:val="24"/>
          <w:szCs w:val="24"/>
        </w:rPr>
        <w:t>noted reference</w:t>
      </w:r>
      <w:r w:rsidR="00DD19ED" w:rsidRPr="00F10B9B">
        <w:rPr>
          <w:rFonts w:ascii="Arial" w:hAnsi="Arial" w:cs="Arial"/>
          <w:sz w:val="24"/>
          <w:szCs w:val="24"/>
        </w:rPr>
        <w:t xml:space="preserve">, </w:t>
      </w:r>
      <w:r w:rsidR="00EB7722">
        <w:rPr>
          <w:rFonts w:ascii="Arial" w:hAnsi="Arial" w:cs="Arial"/>
          <w:sz w:val="24"/>
          <w:szCs w:val="24"/>
        </w:rPr>
        <w:t>Elexicon Energy</w:t>
      </w:r>
      <w:r w:rsidR="00EB7722" w:rsidRPr="002F20B2">
        <w:rPr>
          <w:rFonts w:ascii="Arial" w:hAnsi="Arial" w:cs="Arial"/>
          <w:sz w:val="24"/>
          <w:szCs w:val="24"/>
        </w:rPr>
        <w:t xml:space="preserve"> </w:t>
      </w:r>
      <w:r w:rsidR="00DD19ED" w:rsidRPr="00F10B9B">
        <w:rPr>
          <w:rFonts w:ascii="Arial" w:hAnsi="Arial" w:cs="Arial"/>
          <w:sz w:val="24"/>
          <w:szCs w:val="24"/>
        </w:rPr>
        <w:t>stated that in booking expense journal entries for Charge Type (CT) 1142 and CT 148 from the IESO invoice, it utilizes approach “b.” In approach “b” CT 148 is booked into Account 1589. The portion of CT 1142 equaling RPP minus HOEP for RPP consumption is booked into Account 1588. The portion of CT 1142 equaling GA RPP is credited into Account 1589.</w:t>
      </w:r>
    </w:p>
    <w:p w14:paraId="1E81FE32" w14:textId="77777777" w:rsidR="00DD19ED" w:rsidRPr="00F10B9B" w:rsidRDefault="00DD19ED" w:rsidP="00F10B9B">
      <w:pPr>
        <w:spacing w:after="0" w:line="276" w:lineRule="auto"/>
        <w:rPr>
          <w:rFonts w:ascii="Arial" w:hAnsi="Arial" w:cs="Arial"/>
          <w:sz w:val="24"/>
          <w:szCs w:val="24"/>
        </w:rPr>
      </w:pPr>
    </w:p>
    <w:p w14:paraId="7C018AD1" w14:textId="77777777" w:rsidR="00DD19ED" w:rsidRPr="00051B5F" w:rsidRDefault="00DD19ED" w:rsidP="00F10B9B">
      <w:pPr>
        <w:spacing w:after="0" w:line="276" w:lineRule="auto"/>
        <w:rPr>
          <w:rFonts w:ascii="Arial" w:hAnsi="Arial" w:cs="Arial"/>
          <w:sz w:val="24"/>
          <w:szCs w:val="24"/>
          <w:u w:val="single"/>
        </w:rPr>
      </w:pPr>
      <w:r w:rsidRPr="00051B5F">
        <w:rPr>
          <w:rFonts w:ascii="Arial" w:hAnsi="Arial" w:cs="Arial"/>
          <w:sz w:val="24"/>
          <w:szCs w:val="24"/>
          <w:u w:val="single"/>
        </w:rPr>
        <w:t>Question</w:t>
      </w:r>
      <w:r w:rsidR="00CB2257" w:rsidRPr="00051B5F">
        <w:rPr>
          <w:rFonts w:ascii="Arial" w:hAnsi="Arial" w:cs="Arial"/>
          <w:sz w:val="24"/>
          <w:szCs w:val="24"/>
          <w:u w:val="single"/>
        </w:rPr>
        <w:t>s</w:t>
      </w:r>
      <w:r w:rsidRPr="00051B5F">
        <w:rPr>
          <w:rFonts w:ascii="Arial" w:hAnsi="Arial" w:cs="Arial"/>
          <w:sz w:val="24"/>
          <w:szCs w:val="24"/>
          <w:u w:val="single"/>
        </w:rPr>
        <w:t>:</w:t>
      </w:r>
    </w:p>
    <w:p w14:paraId="62377F24" w14:textId="77777777" w:rsidR="00DD19ED" w:rsidRPr="00F10B9B" w:rsidRDefault="00DD19ED" w:rsidP="00F10B9B">
      <w:pPr>
        <w:spacing w:after="0" w:line="276" w:lineRule="auto"/>
        <w:rPr>
          <w:rFonts w:ascii="Arial" w:hAnsi="Arial" w:cs="Arial"/>
          <w:sz w:val="24"/>
          <w:szCs w:val="24"/>
        </w:rPr>
      </w:pPr>
    </w:p>
    <w:p w14:paraId="061574CE" w14:textId="3C58989D" w:rsidR="00FE66F6" w:rsidRDefault="00DD19ED" w:rsidP="00F10B9B">
      <w:pPr>
        <w:pStyle w:val="ListParagraph"/>
        <w:numPr>
          <w:ilvl w:val="0"/>
          <w:numId w:val="29"/>
        </w:numPr>
        <w:spacing w:after="0" w:line="276" w:lineRule="auto"/>
        <w:rPr>
          <w:rFonts w:ascii="Arial" w:hAnsi="Arial" w:cs="Arial"/>
          <w:sz w:val="24"/>
          <w:szCs w:val="24"/>
        </w:rPr>
      </w:pPr>
      <w:r w:rsidRPr="00F10B9B">
        <w:rPr>
          <w:rFonts w:ascii="Arial" w:hAnsi="Arial" w:cs="Arial"/>
          <w:sz w:val="24"/>
          <w:szCs w:val="24"/>
        </w:rPr>
        <w:t xml:space="preserve">Please explain </w:t>
      </w:r>
      <w:r w:rsidR="00FE66F6">
        <w:rPr>
          <w:rFonts w:ascii="Arial" w:hAnsi="Arial" w:cs="Arial"/>
          <w:sz w:val="24"/>
          <w:szCs w:val="24"/>
        </w:rPr>
        <w:t xml:space="preserve">why </w:t>
      </w:r>
      <w:r w:rsidR="00EB7722">
        <w:rPr>
          <w:rFonts w:ascii="Arial" w:hAnsi="Arial" w:cs="Arial"/>
          <w:sz w:val="24"/>
          <w:szCs w:val="24"/>
        </w:rPr>
        <w:t>Elexicon Energy</w:t>
      </w:r>
      <w:r w:rsidR="00EB7722" w:rsidRPr="002F20B2">
        <w:rPr>
          <w:rFonts w:ascii="Arial" w:hAnsi="Arial" w:cs="Arial"/>
          <w:sz w:val="24"/>
          <w:szCs w:val="24"/>
        </w:rPr>
        <w:t xml:space="preserve"> </w:t>
      </w:r>
      <w:r w:rsidR="00FE66F6">
        <w:rPr>
          <w:rFonts w:ascii="Arial" w:hAnsi="Arial" w:cs="Arial"/>
          <w:sz w:val="24"/>
          <w:szCs w:val="24"/>
        </w:rPr>
        <w:t>is using approach “b”</w:t>
      </w:r>
      <w:r w:rsidR="00471830">
        <w:rPr>
          <w:rFonts w:ascii="Arial" w:hAnsi="Arial" w:cs="Arial"/>
          <w:sz w:val="24"/>
          <w:szCs w:val="24"/>
        </w:rPr>
        <w:t>, which is a deviation from the OEB’s methodology.</w:t>
      </w:r>
    </w:p>
    <w:p w14:paraId="002EA575" w14:textId="77777777" w:rsidR="00FE66F6" w:rsidRDefault="00FE66F6" w:rsidP="00FE66F6">
      <w:pPr>
        <w:pStyle w:val="ListParagraph"/>
        <w:spacing w:after="0" w:line="276" w:lineRule="auto"/>
        <w:rPr>
          <w:rFonts w:ascii="Arial" w:hAnsi="Arial" w:cs="Arial"/>
          <w:sz w:val="24"/>
          <w:szCs w:val="24"/>
        </w:rPr>
      </w:pPr>
    </w:p>
    <w:p w14:paraId="188E29D6" w14:textId="2DE393B5" w:rsidR="00DD19ED" w:rsidRPr="00F10B9B" w:rsidRDefault="008F628C" w:rsidP="00F10B9B">
      <w:pPr>
        <w:pStyle w:val="ListParagraph"/>
        <w:numPr>
          <w:ilvl w:val="0"/>
          <w:numId w:val="29"/>
        </w:numPr>
        <w:spacing w:after="0" w:line="276" w:lineRule="auto"/>
        <w:rPr>
          <w:rFonts w:ascii="Arial" w:hAnsi="Arial" w:cs="Arial"/>
          <w:sz w:val="24"/>
          <w:szCs w:val="24"/>
        </w:rPr>
      </w:pPr>
      <w:r>
        <w:rPr>
          <w:rFonts w:ascii="Arial" w:hAnsi="Arial" w:cs="Arial"/>
          <w:sz w:val="24"/>
          <w:szCs w:val="24"/>
        </w:rPr>
        <w:t xml:space="preserve">Please explain whether </w:t>
      </w:r>
      <w:r w:rsidR="00EB7722">
        <w:rPr>
          <w:rFonts w:ascii="Arial" w:hAnsi="Arial" w:cs="Arial"/>
          <w:sz w:val="24"/>
          <w:szCs w:val="24"/>
        </w:rPr>
        <w:t>Elexicon Energy</w:t>
      </w:r>
      <w:r w:rsidR="00EB7722" w:rsidRPr="002F20B2">
        <w:rPr>
          <w:rFonts w:ascii="Arial" w:hAnsi="Arial" w:cs="Arial"/>
          <w:sz w:val="24"/>
          <w:szCs w:val="24"/>
        </w:rPr>
        <w:t xml:space="preserve"> </w:t>
      </w:r>
      <w:r w:rsidR="00DD19ED" w:rsidRPr="00F10B9B">
        <w:rPr>
          <w:rFonts w:ascii="Arial" w:hAnsi="Arial" w:cs="Arial"/>
          <w:sz w:val="24"/>
          <w:szCs w:val="24"/>
        </w:rPr>
        <w:t xml:space="preserve">plans on </w:t>
      </w:r>
      <w:r w:rsidR="00042B67" w:rsidRPr="00F10B9B">
        <w:rPr>
          <w:rFonts w:ascii="Arial" w:hAnsi="Arial" w:cs="Arial"/>
          <w:sz w:val="24"/>
          <w:szCs w:val="24"/>
        </w:rPr>
        <w:t xml:space="preserve">changing </w:t>
      </w:r>
      <w:r w:rsidR="00DD19ED" w:rsidRPr="00F10B9B">
        <w:rPr>
          <w:rFonts w:ascii="Arial" w:hAnsi="Arial" w:cs="Arial"/>
          <w:sz w:val="24"/>
          <w:szCs w:val="24"/>
        </w:rPr>
        <w:t xml:space="preserve">its approach to the OEB’s methodology which is approach “a”. </w:t>
      </w:r>
      <w:r w:rsidR="00042B67" w:rsidRPr="00F10B9B">
        <w:rPr>
          <w:rFonts w:ascii="Arial" w:hAnsi="Arial" w:cs="Arial"/>
          <w:sz w:val="24"/>
          <w:szCs w:val="24"/>
        </w:rPr>
        <w:t>In approach “a” CT 1142 is booked into Account 1588</w:t>
      </w:r>
      <w:r w:rsidR="003113DB">
        <w:rPr>
          <w:rFonts w:ascii="Arial" w:hAnsi="Arial" w:cs="Arial"/>
          <w:sz w:val="24"/>
          <w:szCs w:val="24"/>
        </w:rPr>
        <w:t xml:space="preserve"> (i.e. Account 4705)</w:t>
      </w:r>
      <w:r w:rsidR="00042B67" w:rsidRPr="00F10B9B">
        <w:rPr>
          <w:rFonts w:ascii="Arial" w:hAnsi="Arial" w:cs="Arial"/>
          <w:sz w:val="24"/>
          <w:szCs w:val="24"/>
        </w:rPr>
        <w:t>. CT 148 is pro-rated based on RPP/non-RPP consumption and then booked into Account 1588 and 1589 respectively</w:t>
      </w:r>
      <w:r w:rsidR="003113DB">
        <w:rPr>
          <w:rFonts w:ascii="Arial" w:hAnsi="Arial" w:cs="Arial"/>
          <w:sz w:val="24"/>
          <w:szCs w:val="24"/>
        </w:rPr>
        <w:t xml:space="preserve"> (i.e. Account 4705 and Account 4707)</w:t>
      </w:r>
      <w:r w:rsidR="00042B67" w:rsidRPr="00F10B9B">
        <w:rPr>
          <w:rFonts w:ascii="Arial" w:hAnsi="Arial" w:cs="Arial"/>
          <w:sz w:val="24"/>
          <w:szCs w:val="24"/>
        </w:rPr>
        <w:t>.</w:t>
      </w:r>
    </w:p>
    <w:p w14:paraId="20E7B04A" w14:textId="77777777" w:rsidR="004C0727" w:rsidRDefault="004C0727" w:rsidP="00F10B9B">
      <w:pPr>
        <w:spacing w:after="0" w:line="276" w:lineRule="auto"/>
        <w:rPr>
          <w:rFonts w:ascii="Arial" w:hAnsi="Arial" w:cs="Arial"/>
          <w:sz w:val="24"/>
          <w:szCs w:val="24"/>
        </w:rPr>
      </w:pPr>
    </w:p>
    <w:p w14:paraId="7362DBE8" w14:textId="77777777" w:rsidR="00F52642" w:rsidRDefault="00F52642" w:rsidP="00F10B9B">
      <w:pPr>
        <w:spacing w:after="0" w:line="276" w:lineRule="auto"/>
        <w:rPr>
          <w:rFonts w:ascii="Arial" w:hAnsi="Arial" w:cs="Arial"/>
          <w:sz w:val="24"/>
          <w:szCs w:val="24"/>
        </w:rPr>
      </w:pPr>
    </w:p>
    <w:p w14:paraId="2F3A3481" w14:textId="72EC0F79" w:rsidR="007B4817" w:rsidRPr="00F10B9B" w:rsidRDefault="002143CD" w:rsidP="00051B5F">
      <w:pPr>
        <w:pStyle w:val="Heading2"/>
      </w:pPr>
      <w:r>
        <w:lastRenderedPageBreak/>
        <w:t>Staff-</w:t>
      </w:r>
      <w:r w:rsidR="00453EA2">
        <w:t>8</w:t>
      </w:r>
    </w:p>
    <w:p w14:paraId="66FD0969" w14:textId="77777777" w:rsidR="007B4817" w:rsidRPr="00F10B9B" w:rsidRDefault="007B4817" w:rsidP="00F10B9B">
      <w:pPr>
        <w:spacing w:after="0" w:line="276" w:lineRule="auto"/>
        <w:rPr>
          <w:rFonts w:ascii="Arial" w:hAnsi="Arial" w:cs="Arial"/>
          <w:sz w:val="24"/>
          <w:szCs w:val="24"/>
        </w:rPr>
      </w:pPr>
    </w:p>
    <w:p w14:paraId="145EE51A" w14:textId="77777777" w:rsidR="007B4817" w:rsidRPr="00F10B9B" w:rsidRDefault="007B4817" w:rsidP="00F10B9B">
      <w:pPr>
        <w:spacing w:after="0" w:line="276" w:lineRule="auto"/>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(1) EB-2018-0072</w:t>
      </w:r>
      <w:r w:rsidR="00316299">
        <w:rPr>
          <w:rFonts w:ascii="Arial" w:hAnsi="Arial" w:cs="Arial"/>
          <w:sz w:val="24"/>
          <w:szCs w:val="24"/>
        </w:rPr>
        <w:t>,</w:t>
      </w:r>
      <w:r w:rsidRPr="00F10B9B">
        <w:rPr>
          <w:rFonts w:ascii="Arial" w:hAnsi="Arial" w:cs="Arial"/>
          <w:sz w:val="24"/>
          <w:szCs w:val="24"/>
        </w:rPr>
        <w:t xml:space="preserve"> 2017 GA Analysis Workform, January 15, 2019</w:t>
      </w:r>
    </w:p>
    <w:p w14:paraId="1787D5C3" w14:textId="77777777" w:rsidR="007B4817" w:rsidRPr="00F10B9B" w:rsidRDefault="007B4817" w:rsidP="00F10B9B">
      <w:pPr>
        <w:spacing w:after="0" w:line="276" w:lineRule="auto"/>
        <w:ind w:firstLine="720"/>
        <w:rPr>
          <w:rFonts w:ascii="Arial" w:hAnsi="Arial" w:cs="Arial"/>
          <w:sz w:val="24"/>
          <w:szCs w:val="24"/>
        </w:rPr>
      </w:pPr>
    </w:p>
    <w:p w14:paraId="51205FF9" w14:textId="77777777" w:rsidR="007B4817" w:rsidRPr="00051B5F" w:rsidRDefault="007B4817"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620EADE5" w14:textId="77777777" w:rsidR="007B4817" w:rsidRPr="00F10B9B" w:rsidRDefault="007B4817" w:rsidP="00F10B9B">
      <w:pPr>
        <w:spacing w:after="0" w:line="276" w:lineRule="auto"/>
        <w:rPr>
          <w:rFonts w:ascii="Arial" w:hAnsi="Arial" w:cs="Arial"/>
          <w:sz w:val="24"/>
          <w:szCs w:val="24"/>
        </w:rPr>
      </w:pPr>
    </w:p>
    <w:p w14:paraId="68320D3F" w14:textId="10D73CCB" w:rsidR="007B4817" w:rsidRPr="00F10B9B" w:rsidRDefault="007B4817" w:rsidP="00F10B9B">
      <w:pPr>
        <w:spacing w:after="0" w:line="276" w:lineRule="auto"/>
        <w:rPr>
          <w:rFonts w:ascii="Arial" w:hAnsi="Arial" w:cs="Arial"/>
          <w:sz w:val="24"/>
          <w:szCs w:val="24"/>
        </w:rPr>
      </w:pPr>
      <w:r w:rsidRPr="00F10B9B">
        <w:rPr>
          <w:rFonts w:ascii="Arial" w:hAnsi="Arial" w:cs="Arial"/>
          <w:sz w:val="24"/>
          <w:szCs w:val="24"/>
        </w:rPr>
        <w:t>At the above</w:t>
      </w:r>
      <w:r w:rsidR="00780555">
        <w:rPr>
          <w:rFonts w:ascii="Arial" w:hAnsi="Arial" w:cs="Arial"/>
          <w:sz w:val="24"/>
          <w:szCs w:val="24"/>
        </w:rPr>
        <w:t>-</w:t>
      </w:r>
      <w:r w:rsidRPr="00F10B9B">
        <w:rPr>
          <w:rFonts w:ascii="Arial" w:hAnsi="Arial" w:cs="Arial"/>
          <w:sz w:val="24"/>
          <w:szCs w:val="24"/>
        </w:rPr>
        <w:t xml:space="preserve">noted reference, </w:t>
      </w:r>
      <w:r w:rsidR="00F03F79">
        <w:rPr>
          <w:rFonts w:ascii="Arial" w:hAnsi="Arial" w:cs="Arial"/>
          <w:sz w:val="24"/>
          <w:szCs w:val="24"/>
        </w:rPr>
        <w:t>Elexicon Energy</w:t>
      </w:r>
      <w:r w:rsidRPr="00F10B9B">
        <w:rPr>
          <w:rFonts w:ascii="Arial" w:hAnsi="Arial" w:cs="Arial"/>
          <w:sz w:val="24"/>
          <w:szCs w:val="24"/>
        </w:rPr>
        <w:t xml:space="preserve"> showed a credit balance of $156,497 which is to remove prior</w:t>
      </w:r>
      <w:r w:rsidR="00B371EC">
        <w:rPr>
          <w:rFonts w:ascii="Arial" w:hAnsi="Arial" w:cs="Arial"/>
          <w:sz w:val="24"/>
          <w:szCs w:val="24"/>
        </w:rPr>
        <w:t xml:space="preserve"> </w:t>
      </w:r>
      <w:r w:rsidRPr="00F10B9B">
        <w:rPr>
          <w:rFonts w:ascii="Arial" w:hAnsi="Arial" w:cs="Arial"/>
          <w:sz w:val="24"/>
          <w:szCs w:val="24"/>
        </w:rPr>
        <w:t>year</w:t>
      </w:r>
      <w:r w:rsidR="00B371EC">
        <w:rPr>
          <w:rFonts w:ascii="Arial" w:hAnsi="Arial" w:cs="Arial"/>
          <w:sz w:val="24"/>
          <w:szCs w:val="24"/>
        </w:rPr>
        <w:t>-</w:t>
      </w:r>
      <w:r w:rsidRPr="00F10B9B">
        <w:rPr>
          <w:rFonts w:ascii="Arial" w:hAnsi="Arial" w:cs="Arial"/>
          <w:sz w:val="24"/>
          <w:szCs w:val="24"/>
        </w:rPr>
        <w:t xml:space="preserve">end unbilled to actual revenue </w:t>
      </w:r>
      <w:r w:rsidR="003B08E4" w:rsidRPr="00F10B9B">
        <w:rPr>
          <w:rFonts w:ascii="Arial" w:hAnsi="Arial" w:cs="Arial"/>
          <w:sz w:val="24"/>
          <w:szCs w:val="24"/>
        </w:rPr>
        <w:t>differences (line 2a of the GA Analysis Workform).</w:t>
      </w:r>
    </w:p>
    <w:p w14:paraId="633308AB" w14:textId="77777777" w:rsidR="006570EB" w:rsidRPr="00F10B9B" w:rsidRDefault="006570EB" w:rsidP="00F10B9B">
      <w:pPr>
        <w:spacing w:after="0" w:line="276" w:lineRule="auto"/>
        <w:rPr>
          <w:rFonts w:ascii="Arial" w:hAnsi="Arial" w:cs="Arial"/>
          <w:sz w:val="24"/>
          <w:szCs w:val="24"/>
        </w:rPr>
      </w:pPr>
    </w:p>
    <w:p w14:paraId="37E07FB5" w14:textId="77777777" w:rsidR="006570EB" w:rsidRPr="00051B5F" w:rsidRDefault="006570EB" w:rsidP="00F10B9B">
      <w:pPr>
        <w:spacing w:after="0" w:line="276" w:lineRule="auto"/>
        <w:rPr>
          <w:rFonts w:ascii="Arial" w:hAnsi="Arial" w:cs="Arial"/>
          <w:sz w:val="24"/>
          <w:szCs w:val="24"/>
          <w:u w:val="single"/>
        </w:rPr>
      </w:pPr>
      <w:r w:rsidRPr="00051B5F">
        <w:rPr>
          <w:rFonts w:ascii="Arial" w:hAnsi="Arial" w:cs="Arial"/>
          <w:sz w:val="24"/>
          <w:szCs w:val="24"/>
          <w:u w:val="single"/>
        </w:rPr>
        <w:t>Question:</w:t>
      </w:r>
    </w:p>
    <w:p w14:paraId="3A9018B3" w14:textId="77777777" w:rsidR="006570EB" w:rsidRPr="00F10B9B" w:rsidRDefault="006570EB" w:rsidP="00F10B9B">
      <w:pPr>
        <w:spacing w:after="0" w:line="276" w:lineRule="auto"/>
        <w:rPr>
          <w:rFonts w:ascii="Arial" w:hAnsi="Arial" w:cs="Arial"/>
          <w:sz w:val="24"/>
          <w:szCs w:val="24"/>
        </w:rPr>
      </w:pPr>
    </w:p>
    <w:p w14:paraId="45104B9E" w14:textId="3000DE17" w:rsidR="006570EB" w:rsidRPr="00F10B9B" w:rsidRDefault="006570EB" w:rsidP="00F10B9B">
      <w:pPr>
        <w:pStyle w:val="ListParagraph"/>
        <w:numPr>
          <w:ilvl w:val="0"/>
          <w:numId w:val="35"/>
        </w:numPr>
        <w:spacing w:after="0" w:line="276" w:lineRule="auto"/>
        <w:rPr>
          <w:rFonts w:ascii="Arial" w:hAnsi="Arial" w:cs="Arial"/>
          <w:sz w:val="24"/>
          <w:szCs w:val="24"/>
        </w:rPr>
      </w:pPr>
      <w:r w:rsidRPr="00F10B9B">
        <w:rPr>
          <w:rFonts w:ascii="Arial" w:hAnsi="Arial" w:cs="Arial"/>
          <w:sz w:val="24"/>
          <w:szCs w:val="24"/>
        </w:rPr>
        <w:t>Please confirm that the above</w:t>
      </w:r>
      <w:r w:rsidR="00780555">
        <w:rPr>
          <w:rFonts w:ascii="Arial" w:hAnsi="Arial" w:cs="Arial"/>
          <w:sz w:val="24"/>
          <w:szCs w:val="24"/>
        </w:rPr>
        <w:t>-</w:t>
      </w:r>
      <w:r w:rsidRPr="00F10B9B">
        <w:rPr>
          <w:rFonts w:ascii="Arial" w:hAnsi="Arial" w:cs="Arial"/>
          <w:sz w:val="24"/>
          <w:szCs w:val="24"/>
        </w:rPr>
        <w:t>noted credit balance of $156,497</w:t>
      </w:r>
      <w:r w:rsidR="00BD3D28" w:rsidRPr="00F10B9B">
        <w:rPr>
          <w:rFonts w:ascii="Arial" w:hAnsi="Arial" w:cs="Arial"/>
          <w:sz w:val="24"/>
          <w:szCs w:val="24"/>
        </w:rPr>
        <w:t>,</w:t>
      </w:r>
      <w:r w:rsidRPr="00F10B9B">
        <w:rPr>
          <w:rFonts w:ascii="Arial" w:hAnsi="Arial" w:cs="Arial"/>
          <w:sz w:val="24"/>
          <w:szCs w:val="24"/>
        </w:rPr>
        <w:t xml:space="preserve"> </w:t>
      </w:r>
      <w:r w:rsidR="00BD3D28" w:rsidRPr="00F10B9B">
        <w:rPr>
          <w:rFonts w:ascii="Arial" w:hAnsi="Arial" w:cs="Arial"/>
          <w:sz w:val="24"/>
          <w:szCs w:val="24"/>
        </w:rPr>
        <w:t>which appears to be a</w:t>
      </w:r>
      <w:r w:rsidR="00BA663B" w:rsidRPr="00F10B9B">
        <w:rPr>
          <w:rFonts w:ascii="Arial" w:hAnsi="Arial" w:cs="Arial"/>
          <w:sz w:val="24"/>
          <w:szCs w:val="24"/>
        </w:rPr>
        <w:t xml:space="preserve"> reversal</w:t>
      </w:r>
      <w:r w:rsidR="00BD3D28" w:rsidRPr="00F10B9B">
        <w:rPr>
          <w:rFonts w:ascii="Arial" w:hAnsi="Arial" w:cs="Arial"/>
          <w:sz w:val="24"/>
          <w:szCs w:val="24"/>
        </w:rPr>
        <w:t>,</w:t>
      </w:r>
      <w:r w:rsidR="00BA663B" w:rsidRPr="00F10B9B">
        <w:rPr>
          <w:rFonts w:ascii="Arial" w:hAnsi="Arial" w:cs="Arial"/>
          <w:sz w:val="24"/>
          <w:szCs w:val="24"/>
        </w:rPr>
        <w:t xml:space="preserve"> </w:t>
      </w:r>
      <w:r w:rsidRPr="00F10B9B">
        <w:rPr>
          <w:rFonts w:ascii="Arial" w:hAnsi="Arial" w:cs="Arial"/>
          <w:sz w:val="24"/>
          <w:szCs w:val="24"/>
        </w:rPr>
        <w:t xml:space="preserve">was reflected </w:t>
      </w:r>
      <w:r w:rsidR="00BA663B" w:rsidRPr="00F10B9B">
        <w:rPr>
          <w:rFonts w:ascii="Arial" w:hAnsi="Arial" w:cs="Arial"/>
          <w:sz w:val="24"/>
          <w:szCs w:val="24"/>
        </w:rPr>
        <w:t xml:space="preserve">as an offsetting debit </w:t>
      </w:r>
      <w:r w:rsidR="00BD3D28" w:rsidRPr="00F10B9B">
        <w:rPr>
          <w:rFonts w:ascii="Arial" w:hAnsi="Arial" w:cs="Arial"/>
          <w:sz w:val="24"/>
          <w:szCs w:val="24"/>
        </w:rPr>
        <w:t xml:space="preserve">amount </w:t>
      </w:r>
      <w:r w:rsidRPr="00F10B9B">
        <w:rPr>
          <w:rFonts w:ascii="Arial" w:hAnsi="Arial" w:cs="Arial"/>
          <w:sz w:val="24"/>
          <w:szCs w:val="24"/>
        </w:rPr>
        <w:t>in the 2016 Account 1589 balance that was cleared on a final basis</w:t>
      </w:r>
      <w:r w:rsidR="00DD63CA" w:rsidRPr="00F10B9B">
        <w:rPr>
          <w:rFonts w:ascii="Arial" w:hAnsi="Arial" w:cs="Arial"/>
          <w:sz w:val="24"/>
          <w:szCs w:val="24"/>
        </w:rPr>
        <w:t xml:space="preserve"> </w:t>
      </w:r>
      <w:r w:rsidR="00A033A7" w:rsidRPr="00F10B9B">
        <w:rPr>
          <w:rFonts w:ascii="Arial" w:hAnsi="Arial" w:cs="Arial"/>
          <w:sz w:val="24"/>
          <w:szCs w:val="24"/>
        </w:rPr>
        <w:t xml:space="preserve">in </w:t>
      </w:r>
      <w:r w:rsidR="00F03F79">
        <w:rPr>
          <w:rFonts w:ascii="Arial" w:hAnsi="Arial" w:cs="Arial"/>
          <w:sz w:val="24"/>
          <w:szCs w:val="24"/>
        </w:rPr>
        <w:t>Veridian</w:t>
      </w:r>
      <w:r w:rsidR="00A033A7" w:rsidRPr="00F10B9B">
        <w:rPr>
          <w:rFonts w:ascii="Arial" w:hAnsi="Arial" w:cs="Arial"/>
          <w:sz w:val="24"/>
          <w:szCs w:val="24"/>
        </w:rPr>
        <w:t>’s</w:t>
      </w:r>
      <w:r w:rsidR="00DD63CA" w:rsidRPr="00F10B9B">
        <w:rPr>
          <w:rFonts w:ascii="Arial" w:hAnsi="Arial" w:cs="Arial"/>
          <w:sz w:val="24"/>
          <w:szCs w:val="24"/>
        </w:rPr>
        <w:t xml:space="preserve"> 2018 </w:t>
      </w:r>
      <w:r w:rsidR="003A2923">
        <w:rPr>
          <w:rFonts w:ascii="Arial" w:hAnsi="Arial" w:cs="Arial"/>
          <w:sz w:val="24"/>
          <w:szCs w:val="24"/>
        </w:rPr>
        <w:t>rates</w:t>
      </w:r>
      <w:r w:rsidR="00DD63CA" w:rsidRPr="00F10B9B">
        <w:rPr>
          <w:rFonts w:ascii="Arial" w:hAnsi="Arial" w:cs="Arial"/>
          <w:sz w:val="24"/>
          <w:szCs w:val="24"/>
        </w:rPr>
        <w:t xml:space="preserve"> proceeding</w:t>
      </w:r>
      <w:r w:rsidR="0074542A">
        <w:rPr>
          <w:rStyle w:val="FootnoteReference"/>
          <w:rFonts w:ascii="Arial" w:hAnsi="Arial" w:cs="Arial"/>
          <w:sz w:val="24"/>
          <w:szCs w:val="24"/>
        </w:rPr>
        <w:footnoteReference w:id="4"/>
      </w:r>
      <w:r w:rsidR="00DD63CA" w:rsidRPr="00F10B9B">
        <w:rPr>
          <w:rFonts w:ascii="Arial" w:hAnsi="Arial" w:cs="Arial"/>
          <w:sz w:val="24"/>
          <w:szCs w:val="24"/>
        </w:rPr>
        <w:t>. If this is not the case, please explain.</w:t>
      </w:r>
    </w:p>
    <w:p w14:paraId="1D31B5E8" w14:textId="77777777" w:rsidR="007B4817" w:rsidRPr="00F10B9B" w:rsidRDefault="007B4817" w:rsidP="00F10B9B">
      <w:pPr>
        <w:spacing w:after="0" w:line="276" w:lineRule="auto"/>
        <w:rPr>
          <w:rFonts w:ascii="Arial" w:hAnsi="Arial" w:cs="Arial"/>
          <w:sz w:val="24"/>
          <w:szCs w:val="24"/>
        </w:rPr>
      </w:pPr>
    </w:p>
    <w:p w14:paraId="171C4007" w14:textId="77777777" w:rsidR="00915B2D" w:rsidRPr="00F10B9B" w:rsidRDefault="00915B2D" w:rsidP="00F10B9B">
      <w:pPr>
        <w:spacing w:after="0" w:line="276" w:lineRule="auto"/>
        <w:rPr>
          <w:rFonts w:ascii="Arial" w:hAnsi="Arial" w:cs="Arial"/>
          <w:sz w:val="24"/>
          <w:szCs w:val="24"/>
        </w:rPr>
      </w:pPr>
    </w:p>
    <w:p w14:paraId="31D10F9B" w14:textId="484372C8" w:rsidR="00915B2D" w:rsidRPr="00F10B9B" w:rsidRDefault="002143CD" w:rsidP="00051B5F">
      <w:pPr>
        <w:pStyle w:val="Heading2"/>
      </w:pPr>
      <w:r>
        <w:t>Staff-</w:t>
      </w:r>
      <w:r w:rsidR="00453EA2">
        <w:t>9</w:t>
      </w:r>
    </w:p>
    <w:p w14:paraId="3C507697" w14:textId="77777777" w:rsidR="00915B2D" w:rsidRPr="00F10B9B" w:rsidRDefault="00915B2D" w:rsidP="00F10B9B">
      <w:pPr>
        <w:spacing w:after="0" w:line="276" w:lineRule="auto"/>
        <w:rPr>
          <w:rFonts w:ascii="Arial" w:hAnsi="Arial" w:cs="Arial"/>
          <w:sz w:val="24"/>
          <w:szCs w:val="24"/>
        </w:rPr>
      </w:pPr>
    </w:p>
    <w:p w14:paraId="75E24B0E" w14:textId="77777777" w:rsidR="00915B2D" w:rsidRPr="00F10B9B" w:rsidRDefault="00915B2D" w:rsidP="00F10B9B">
      <w:pPr>
        <w:spacing w:after="0" w:line="276" w:lineRule="auto"/>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w:t>
      </w:r>
      <w:r w:rsidR="001A5812" w:rsidRPr="00F10B9B">
        <w:rPr>
          <w:rFonts w:ascii="Arial" w:hAnsi="Arial" w:cs="Arial"/>
          <w:sz w:val="24"/>
          <w:szCs w:val="24"/>
        </w:rPr>
        <w:t>1</w:t>
      </w:r>
      <w:r w:rsidRPr="00F10B9B">
        <w:rPr>
          <w:rFonts w:ascii="Arial" w:hAnsi="Arial" w:cs="Arial"/>
          <w:sz w:val="24"/>
          <w:szCs w:val="24"/>
        </w:rPr>
        <w:t>) 2020 IRM Rate Generator Model, Tab 3, October 15, 2019</w:t>
      </w:r>
    </w:p>
    <w:p w14:paraId="05664DE1" w14:textId="77777777" w:rsidR="00915B2D" w:rsidRPr="00F10B9B" w:rsidRDefault="00915B2D" w:rsidP="00F10B9B">
      <w:pPr>
        <w:spacing w:after="0" w:line="276" w:lineRule="auto"/>
        <w:ind w:firstLine="720"/>
        <w:rPr>
          <w:rFonts w:ascii="Arial" w:hAnsi="Arial" w:cs="Arial"/>
          <w:sz w:val="24"/>
          <w:szCs w:val="24"/>
        </w:rPr>
      </w:pPr>
      <w:r w:rsidRPr="00F10B9B">
        <w:rPr>
          <w:rFonts w:ascii="Arial" w:hAnsi="Arial" w:cs="Arial"/>
          <w:sz w:val="24"/>
          <w:szCs w:val="24"/>
        </w:rPr>
        <w:t>(</w:t>
      </w:r>
      <w:r w:rsidR="00D24FF2" w:rsidRPr="00F10B9B">
        <w:rPr>
          <w:rFonts w:ascii="Arial" w:hAnsi="Arial" w:cs="Arial"/>
          <w:sz w:val="24"/>
          <w:szCs w:val="24"/>
        </w:rPr>
        <w:t>2</w:t>
      </w:r>
      <w:r w:rsidRPr="00F10B9B">
        <w:rPr>
          <w:rFonts w:ascii="Arial" w:hAnsi="Arial" w:cs="Arial"/>
          <w:sz w:val="24"/>
          <w:szCs w:val="24"/>
        </w:rPr>
        <w:t>) 2018 GA Analysis Workform, October 15, 2019</w:t>
      </w:r>
    </w:p>
    <w:p w14:paraId="40C65288" w14:textId="0D04454F" w:rsidR="00E9444A" w:rsidRPr="00F10B9B" w:rsidRDefault="00E9444A" w:rsidP="0076166C">
      <w:pPr>
        <w:spacing w:after="0" w:line="276" w:lineRule="auto"/>
        <w:ind w:left="720"/>
        <w:rPr>
          <w:rFonts w:ascii="Arial" w:hAnsi="Arial" w:cs="Arial"/>
          <w:sz w:val="24"/>
          <w:szCs w:val="24"/>
        </w:rPr>
      </w:pPr>
      <w:r w:rsidRPr="00F10B9B">
        <w:rPr>
          <w:rFonts w:ascii="Arial" w:hAnsi="Arial" w:cs="Arial"/>
          <w:sz w:val="24"/>
          <w:szCs w:val="24"/>
        </w:rPr>
        <w:t xml:space="preserve">(3) </w:t>
      </w:r>
      <w:r w:rsidR="00F15354">
        <w:rPr>
          <w:rFonts w:ascii="Arial" w:hAnsi="Arial" w:cs="Arial"/>
          <w:sz w:val="24"/>
          <w:szCs w:val="24"/>
        </w:rPr>
        <w:t xml:space="preserve">Application, </w:t>
      </w:r>
      <w:r w:rsidRPr="00F10B9B">
        <w:rPr>
          <w:rFonts w:ascii="Arial" w:hAnsi="Arial" w:cs="Arial"/>
          <w:sz w:val="24"/>
          <w:szCs w:val="24"/>
        </w:rPr>
        <w:t>Appendix E-1: GA Methodology Description – Appendix A GA Methodology Description Questions on Accounts 1588 &amp; 1589, page 1</w:t>
      </w:r>
    </w:p>
    <w:p w14:paraId="1359022D" w14:textId="77777777" w:rsidR="007653AA" w:rsidRPr="00F10B9B" w:rsidRDefault="007653AA" w:rsidP="00F10B9B">
      <w:pPr>
        <w:spacing w:after="0" w:line="276" w:lineRule="auto"/>
        <w:ind w:firstLine="720"/>
        <w:rPr>
          <w:rFonts w:ascii="Arial" w:hAnsi="Arial" w:cs="Arial"/>
          <w:sz w:val="24"/>
          <w:szCs w:val="24"/>
        </w:rPr>
      </w:pPr>
      <w:r w:rsidRPr="00F10B9B">
        <w:rPr>
          <w:rFonts w:ascii="Arial" w:hAnsi="Arial" w:cs="Arial"/>
          <w:sz w:val="24"/>
          <w:szCs w:val="24"/>
        </w:rPr>
        <w:t>(</w:t>
      </w:r>
      <w:r w:rsidR="00E9444A" w:rsidRPr="00F10B9B">
        <w:rPr>
          <w:rFonts w:ascii="Arial" w:hAnsi="Arial" w:cs="Arial"/>
          <w:sz w:val="24"/>
          <w:szCs w:val="24"/>
        </w:rPr>
        <w:t>4</w:t>
      </w:r>
      <w:r w:rsidRPr="00F10B9B">
        <w:rPr>
          <w:rFonts w:ascii="Arial" w:hAnsi="Arial" w:cs="Arial"/>
          <w:sz w:val="24"/>
          <w:szCs w:val="24"/>
        </w:rPr>
        <w:t xml:space="preserve">) </w:t>
      </w:r>
      <w:r w:rsidR="00734BD1" w:rsidRPr="00F10B9B">
        <w:rPr>
          <w:rFonts w:ascii="Arial" w:hAnsi="Arial" w:cs="Arial"/>
          <w:sz w:val="24"/>
          <w:szCs w:val="24"/>
        </w:rPr>
        <w:t>EB-2018-0072</w:t>
      </w:r>
      <w:r w:rsidR="00F03F79">
        <w:rPr>
          <w:rFonts w:ascii="Arial" w:hAnsi="Arial" w:cs="Arial"/>
          <w:sz w:val="24"/>
          <w:szCs w:val="24"/>
        </w:rPr>
        <w:t>,</w:t>
      </w:r>
      <w:r w:rsidR="00734BD1" w:rsidRPr="00F10B9B">
        <w:rPr>
          <w:rFonts w:ascii="Arial" w:hAnsi="Arial" w:cs="Arial"/>
          <w:sz w:val="24"/>
          <w:szCs w:val="24"/>
        </w:rPr>
        <w:t xml:space="preserve"> </w:t>
      </w:r>
      <w:r w:rsidRPr="00F10B9B">
        <w:rPr>
          <w:rFonts w:ascii="Arial" w:hAnsi="Arial" w:cs="Arial"/>
          <w:sz w:val="24"/>
          <w:szCs w:val="24"/>
        </w:rPr>
        <w:t>2019 IRM Rate Generator Model, Tab 3, March 28, 2019</w:t>
      </w:r>
    </w:p>
    <w:p w14:paraId="58B538DC" w14:textId="77777777" w:rsidR="00915B2D" w:rsidRDefault="00915B2D" w:rsidP="00F10B9B">
      <w:pPr>
        <w:spacing w:after="0" w:line="276" w:lineRule="auto"/>
        <w:ind w:firstLine="720"/>
        <w:rPr>
          <w:rFonts w:ascii="Arial" w:hAnsi="Arial" w:cs="Arial"/>
          <w:sz w:val="24"/>
          <w:szCs w:val="24"/>
        </w:rPr>
      </w:pPr>
      <w:r w:rsidRPr="00F10B9B">
        <w:rPr>
          <w:rFonts w:ascii="Arial" w:hAnsi="Arial" w:cs="Arial"/>
          <w:sz w:val="24"/>
          <w:szCs w:val="24"/>
        </w:rPr>
        <w:t>(</w:t>
      </w:r>
      <w:r w:rsidR="00E9444A" w:rsidRPr="00F10B9B">
        <w:rPr>
          <w:rFonts w:ascii="Arial" w:hAnsi="Arial" w:cs="Arial"/>
          <w:sz w:val="24"/>
          <w:szCs w:val="24"/>
        </w:rPr>
        <w:t>5</w:t>
      </w:r>
      <w:r w:rsidRPr="00F10B9B">
        <w:rPr>
          <w:rFonts w:ascii="Arial" w:hAnsi="Arial" w:cs="Arial"/>
          <w:sz w:val="24"/>
          <w:szCs w:val="24"/>
        </w:rPr>
        <w:t>) EB-2018-0072</w:t>
      </w:r>
      <w:r w:rsidR="00F03F79">
        <w:rPr>
          <w:rFonts w:ascii="Arial" w:hAnsi="Arial" w:cs="Arial"/>
          <w:sz w:val="24"/>
          <w:szCs w:val="24"/>
        </w:rPr>
        <w:t>,</w:t>
      </w:r>
      <w:r w:rsidRPr="00F10B9B">
        <w:rPr>
          <w:rFonts w:ascii="Arial" w:hAnsi="Arial" w:cs="Arial"/>
          <w:sz w:val="24"/>
          <w:szCs w:val="24"/>
        </w:rPr>
        <w:t xml:space="preserve"> 2017 GA Analysis Workform, January 15, 2019</w:t>
      </w:r>
    </w:p>
    <w:p w14:paraId="3B5338D2" w14:textId="6214E9B7" w:rsidR="00052F6E" w:rsidRPr="00F10B9B" w:rsidRDefault="00052F6E" w:rsidP="00F10B9B">
      <w:pPr>
        <w:spacing w:after="0" w:line="276" w:lineRule="auto"/>
        <w:ind w:firstLine="720"/>
        <w:rPr>
          <w:rFonts w:ascii="Arial" w:hAnsi="Arial" w:cs="Arial"/>
          <w:sz w:val="24"/>
          <w:szCs w:val="24"/>
        </w:rPr>
      </w:pPr>
      <w:r>
        <w:rPr>
          <w:rFonts w:ascii="Arial" w:hAnsi="Arial" w:cs="Arial"/>
          <w:sz w:val="24"/>
          <w:szCs w:val="24"/>
        </w:rPr>
        <w:t>(6) EB-2018-0072</w:t>
      </w:r>
      <w:r w:rsidR="00F03F79">
        <w:rPr>
          <w:rFonts w:ascii="Arial" w:hAnsi="Arial" w:cs="Arial"/>
          <w:sz w:val="24"/>
          <w:szCs w:val="24"/>
        </w:rPr>
        <w:t>,</w:t>
      </w:r>
      <w:r>
        <w:rPr>
          <w:rFonts w:ascii="Arial" w:hAnsi="Arial" w:cs="Arial"/>
          <w:sz w:val="24"/>
          <w:szCs w:val="24"/>
        </w:rPr>
        <w:t xml:space="preserve"> </w:t>
      </w:r>
      <w:r w:rsidR="005B57D8">
        <w:rPr>
          <w:rFonts w:ascii="Arial" w:hAnsi="Arial" w:cs="Arial"/>
          <w:sz w:val="24"/>
          <w:szCs w:val="24"/>
        </w:rPr>
        <w:t xml:space="preserve">Veridian’s Responses to </w:t>
      </w:r>
      <w:r w:rsidRPr="00052F6E">
        <w:rPr>
          <w:rFonts w:ascii="Arial" w:hAnsi="Arial" w:cs="Arial"/>
          <w:sz w:val="24"/>
          <w:szCs w:val="24"/>
        </w:rPr>
        <w:t>Staff-</w:t>
      </w:r>
      <w:r w:rsidR="00F6205E">
        <w:rPr>
          <w:rFonts w:ascii="Arial" w:hAnsi="Arial" w:cs="Arial"/>
          <w:sz w:val="24"/>
          <w:szCs w:val="24"/>
        </w:rPr>
        <w:t>5</w:t>
      </w:r>
      <w:r w:rsidR="005B57D8">
        <w:rPr>
          <w:rFonts w:ascii="Arial" w:hAnsi="Arial" w:cs="Arial"/>
          <w:sz w:val="24"/>
          <w:szCs w:val="24"/>
        </w:rPr>
        <w:t>, December 11, 2018</w:t>
      </w:r>
    </w:p>
    <w:p w14:paraId="02B7B585" w14:textId="77777777" w:rsidR="00915B2D" w:rsidRPr="00F10B9B" w:rsidRDefault="00915B2D" w:rsidP="00F10B9B">
      <w:pPr>
        <w:spacing w:after="0" w:line="276" w:lineRule="auto"/>
        <w:ind w:firstLine="720"/>
        <w:rPr>
          <w:rFonts w:ascii="Arial" w:hAnsi="Arial" w:cs="Arial"/>
          <w:sz w:val="24"/>
          <w:szCs w:val="24"/>
        </w:rPr>
      </w:pPr>
    </w:p>
    <w:p w14:paraId="5CBB7200" w14:textId="77777777" w:rsidR="00915B2D" w:rsidRPr="00051B5F" w:rsidRDefault="00915B2D"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1E115D2B" w14:textId="77777777" w:rsidR="005E51BD" w:rsidRPr="00051B5F" w:rsidRDefault="005E51BD" w:rsidP="00F10B9B">
      <w:pPr>
        <w:spacing w:after="0" w:line="276" w:lineRule="auto"/>
        <w:rPr>
          <w:rFonts w:ascii="Arial" w:hAnsi="Arial" w:cs="Arial"/>
          <w:sz w:val="24"/>
          <w:szCs w:val="24"/>
          <w:u w:val="single"/>
        </w:rPr>
      </w:pPr>
    </w:p>
    <w:p w14:paraId="1B300C12" w14:textId="63EAB4D2" w:rsidR="005E51BD" w:rsidRPr="00F10B9B" w:rsidRDefault="005E51BD" w:rsidP="00F10B9B">
      <w:pPr>
        <w:spacing w:after="0" w:line="276" w:lineRule="auto"/>
        <w:rPr>
          <w:rFonts w:ascii="Arial" w:hAnsi="Arial" w:cs="Arial"/>
          <w:sz w:val="24"/>
          <w:szCs w:val="24"/>
        </w:rPr>
      </w:pPr>
      <w:r w:rsidRPr="00F10B9B">
        <w:rPr>
          <w:rFonts w:ascii="Arial" w:hAnsi="Arial" w:cs="Arial"/>
          <w:sz w:val="24"/>
          <w:szCs w:val="24"/>
        </w:rPr>
        <w:t>At the above</w:t>
      </w:r>
      <w:r w:rsidR="00780555">
        <w:rPr>
          <w:rFonts w:ascii="Arial" w:hAnsi="Arial" w:cs="Arial"/>
          <w:sz w:val="24"/>
          <w:szCs w:val="24"/>
        </w:rPr>
        <w:t>-</w:t>
      </w:r>
      <w:r w:rsidRPr="00F10B9B">
        <w:rPr>
          <w:rFonts w:ascii="Arial" w:hAnsi="Arial" w:cs="Arial"/>
          <w:sz w:val="24"/>
          <w:szCs w:val="24"/>
        </w:rPr>
        <w:t xml:space="preserve">noted </w:t>
      </w:r>
      <w:r w:rsidR="00247530" w:rsidRPr="00F10B9B">
        <w:rPr>
          <w:rFonts w:ascii="Arial" w:hAnsi="Arial" w:cs="Arial"/>
          <w:sz w:val="24"/>
          <w:szCs w:val="24"/>
        </w:rPr>
        <w:t xml:space="preserve">first </w:t>
      </w:r>
      <w:r w:rsidRPr="00F10B9B">
        <w:rPr>
          <w:rFonts w:ascii="Arial" w:hAnsi="Arial" w:cs="Arial"/>
          <w:sz w:val="24"/>
          <w:szCs w:val="24"/>
        </w:rPr>
        <w:t xml:space="preserve">reference, OEB staff noted that 2018 principal adjustments for Account 1588 of </w:t>
      </w:r>
      <w:r w:rsidR="00780555">
        <w:rPr>
          <w:rFonts w:ascii="Arial" w:hAnsi="Arial" w:cs="Arial"/>
          <w:sz w:val="24"/>
          <w:szCs w:val="24"/>
        </w:rPr>
        <w:t xml:space="preserve">debit </w:t>
      </w:r>
      <w:r w:rsidRPr="00F10B9B">
        <w:rPr>
          <w:rFonts w:ascii="Arial" w:hAnsi="Arial" w:cs="Arial"/>
          <w:sz w:val="24"/>
          <w:szCs w:val="24"/>
        </w:rPr>
        <w:t xml:space="preserve">$545,153 </w:t>
      </w:r>
      <w:r w:rsidR="00416C27">
        <w:rPr>
          <w:rFonts w:ascii="Arial" w:hAnsi="Arial" w:cs="Arial"/>
          <w:sz w:val="24"/>
          <w:szCs w:val="24"/>
        </w:rPr>
        <w:t xml:space="preserve">(cell BF28) </w:t>
      </w:r>
      <w:r w:rsidRPr="00F10B9B">
        <w:rPr>
          <w:rFonts w:ascii="Arial" w:hAnsi="Arial" w:cs="Arial"/>
          <w:sz w:val="24"/>
          <w:szCs w:val="24"/>
        </w:rPr>
        <w:t xml:space="preserve">and Account 1589 of </w:t>
      </w:r>
      <w:r w:rsidR="00780555">
        <w:rPr>
          <w:rFonts w:ascii="Arial" w:hAnsi="Arial" w:cs="Arial"/>
          <w:sz w:val="24"/>
          <w:szCs w:val="24"/>
        </w:rPr>
        <w:t xml:space="preserve">debit </w:t>
      </w:r>
      <w:r w:rsidRPr="00F10B9B">
        <w:rPr>
          <w:rFonts w:ascii="Arial" w:hAnsi="Arial" w:cs="Arial"/>
          <w:sz w:val="24"/>
          <w:szCs w:val="24"/>
        </w:rPr>
        <w:t xml:space="preserve">$597,153 </w:t>
      </w:r>
      <w:r w:rsidR="00416C27">
        <w:rPr>
          <w:rFonts w:ascii="Arial" w:hAnsi="Arial" w:cs="Arial"/>
          <w:sz w:val="24"/>
          <w:szCs w:val="24"/>
        </w:rPr>
        <w:t xml:space="preserve">(cell BF29) </w:t>
      </w:r>
      <w:r w:rsidRPr="00F10B9B">
        <w:rPr>
          <w:rFonts w:ascii="Arial" w:hAnsi="Arial" w:cs="Arial"/>
          <w:sz w:val="24"/>
          <w:szCs w:val="24"/>
        </w:rPr>
        <w:t xml:space="preserve">were shown. </w:t>
      </w:r>
      <w:r w:rsidR="00E9444A" w:rsidRPr="00F10B9B">
        <w:rPr>
          <w:rFonts w:ascii="Arial" w:hAnsi="Arial" w:cs="Arial"/>
          <w:sz w:val="24"/>
          <w:szCs w:val="24"/>
        </w:rPr>
        <w:t>These amounts tie to reconciling amounts shown at the above</w:t>
      </w:r>
      <w:r w:rsidR="00780555">
        <w:rPr>
          <w:rFonts w:ascii="Arial" w:hAnsi="Arial" w:cs="Arial"/>
          <w:sz w:val="24"/>
          <w:szCs w:val="24"/>
        </w:rPr>
        <w:t>-</w:t>
      </w:r>
      <w:r w:rsidR="00E9444A" w:rsidRPr="00F10B9B">
        <w:rPr>
          <w:rFonts w:ascii="Arial" w:hAnsi="Arial" w:cs="Arial"/>
          <w:sz w:val="24"/>
          <w:szCs w:val="24"/>
        </w:rPr>
        <w:t>noted third reference for Account 1588 and the above</w:t>
      </w:r>
      <w:r w:rsidR="00780555">
        <w:rPr>
          <w:rFonts w:ascii="Arial" w:hAnsi="Arial" w:cs="Arial"/>
          <w:sz w:val="24"/>
          <w:szCs w:val="24"/>
        </w:rPr>
        <w:t>-</w:t>
      </w:r>
      <w:r w:rsidR="00E9444A" w:rsidRPr="00F10B9B">
        <w:rPr>
          <w:rFonts w:ascii="Arial" w:hAnsi="Arial" w:cs="Arial"/>
          <w:sz w:val="24"/>
          <w:szCs w:val="24"/>
        </w:rPr>
        <w:t>noted second reference for Account 1589.</w:t>
      </w:r>
    </w:p>
    <w:p w14:paraId="1D4BD307" w14:textId="77777777" w:rsidR="00247530" w:rsidRPr="00F10B9B" w:rsidRDefault="00247530" w:rsidP="00F10B9B">
      <w:pPr>
        <w:spacing w:after="0" w:line="276" w:lineRule="auto"/>
        <w:rPr>
          <w:rFonts w:ascii="Arial" w:hAnsi="Arial" w:cs="Arial"/>
          <w:sz w:val="24"/>
          <w:szCs w:val="24"/>
        </w:rPr>
      </w:pPr>
    </w:p>
    <w:p w14:paraId="00EB67C6" w14:textId="57EA0EEC" w:rsidR="00B67C08" w:rsidRPr="00F10B9B" w:rsidRDefault="00247530" w:rsidP="00F10B9B">
      <w:pPr>
        <w:spacing w:after="0" w:line="276" w:lineRule="auto"/>
        <w:rPr>
          <w:rFonts w:ascii="Arial" w:hAnsi="Arial" w:cs="Arial"/>
          <w:sz w:val="24"/>
          <w:szCs w:val="24"/>
        </w:rPr>
      </w:pPr>
      <w:r w:rsidRPr="00F10B9B">
        <w:rPr>
          <w:rFonts w:ascii="Arial" w:hAnsi="Arial" w:cs="Arial"/>
          <w:sz w:val="24"/>
          <w:szCs w:val="24"/>
        </w:rPr>
        <w:t>At the above</w:t>
      </w:r>
      <w:r w:rsidR="00780555">
        <w:rPr>
          <w:rFonts w:ascii="Arial" w:hAnsi="Arial" w:cs="Arial"/>
          <w:sz w:val="24"/>
          <w:szCs w:val="24"/>
        </w:rPr>
        <w:t>-</w:t>
      </w:r>
      <w:r w:rsidRPr="00F10B9B">
        <w:rPr>
          <w:rFonts w:ascii="Arial" w:hAnsi="Arial" w:cs="Arial"/>
          <w:sz w:val="24"/>
          <w:szCs w:val="24"/>
        </w:rPr>
        <w:t xml:space="preserve">noted fourth reference, OEB staff noted that 2017 principal adjustments for Account 1588 of a credit of $769,739 </w:t>
      </w:r>
      <w:r w:rsidR="000528B1">
        <w:rPr>
          <w:rFonts w:ascii="Arial" w:hAnsi="Arial" w:cs="Arial"/>
          <w:sz w:val="24"/>
          <w:szCs w:val="24"/>
        </w:rPr>
        <w:t xml:space="preserve">(cell BF28) </w:t>
      </w:r>
      <w:r w:rsidRPr="00F10B9B">
        <w:rPr>
          <w:rFonts w:ascii="Arial" w:hAnsi="Arial" w:cs="Arial"/>
          <w:sz w:val="24"/>
          <w:szCs w:val="24"/>
        </w:rPr>
        <w:t xml:space="preserve">and Account 1589 of a credit of </w:t>
      </w:r>
      <w:r w:rsidRPr="00F10B9B">
        <w:rPr>
          <w:rFonts w:ascii="Arial" w:hAnsi="Arial" w:cs="Arial"/>
          <w:sz w:val="24"/>
          <w:szCs w:val="24"/>
        </w:rPr>
        <w:lastRenderedPageBreak/>
        <w:t xml:space="preserve">$574,821 </w:t>
      </w:r>
      <w:r w:rsidR="000528B1">
        <w:rPr>
          <w:rFonts w:ascii="Arial" w:hAnsi="Arial" w:cs="Arial"/>
          <w:sz w:val="24"/>
          <w:szCs w:val="24"/>
        </w:rPr>
        <w:t xml:space="preserve">(cell BF29) </w:t>
      </w:r>
      <w:r w:rsidRPr="00F10B9B">
        <w:rPr>
          <w:rFonts w:ascii="Arial" w:hAnsi="Arial" w:cs="Arial"/>
          <w:sz w:val="24"/>
          <w:szCs w:val="24"/>
        </w:rPr>
        <w:t xml:space="preserve">were shown. </w:t>
      </w:r>
      <w:r w:rsidR="00876513" w:rsidRPr="00F10B9B">
        <w:rPr>
          <w:rFonts w:ascii="Arial" w:hAnsi="Arial" w:cs="Arial"/>
          <w:sz w:val="24"/>
          <w:szCs w:val="24"/>
        </w:rPr>
        <w:t>The</w:t>
      </w:r>
      <w:r w:rsidR="00B67C08" w:rsidRPr="00F10B9B">
        <w:rPr>
          <w:rFonts w:ascii="Arial" w:hAnsi="Arial" w:cs="Arial"/>
          <w:sz w:val="24"/>
          <w:szCs w:val="24"/>
        </w:rPr>
        <w:t xml:space="preserve"> Account 1589</w:t>
      </w:r>
      <w:r w:rsidRPr="00F10B9B">
        <w:rPr>
          <w:rFonts w:ascii="Arial" w:hAnsi="Arial" w:cs="Arial"/>
          <w:sz w:val="24"/>
          <w:szCs w:val="24"/>
        </w:rPr>
        <w:t xml:space="preserve"> amount</w:t>
      </w:r>
      <w:r w:rsidR="00FC42DF" w:rsidRPr="00F10B9B">
        <w:rPr>
          <w:rFonts w:ascii="Arial" w:hAnsi="Arial" w:cs="Arial"/>
          <w:sz w:val="24"/>
          <w:szCs w:val="24"/>
        </w:rPr>
        <w:t xml:space="preserve"> do</w:t>
      </w:r>
      <w:r w:rsidR="00B67C08" w:rsidRPr="00F10B9B">
        <w:rPr>
          <w:rFonts w:ascii="Arial" w:hAnsi="Arial" w:cs="Arial"/>
          <w:sz w:val="24"/>
          <w:szCs w:val="24"/>
        </w:rPr>
        <w:t>es</w:t>
      </w:r>
      <w:r w:rsidR="00FC42DF" w:rsidRPr="00F10B9B">
        <w:rPr>
          <w:rFonts w:ascii="Arial" w:hAnsi="Arial" w:cs="Arial"/>
          <w:sz w:val="24"/>
          <w:szCs w:val="24"/>
        </w:rPr>
        <w:t xml:space="preserve"> not</w:t>
      </w:r>
      <w:r w:rsidRPr="00F10B9B">
        <w:rPr>
          <w:rFonts w:ascii="Arial" w:hAnsi="Arial" w:cs="Arial"/>
          <w:sz w:val="24"/>
          <w:szCs w:val="24"/>
        </w:rPr>
        <w:t xml:space="preserve"> tie to </w:t>
      </w:r>
      <w:r w:rsidR="00B67C08" w:rsidRPr="00F10B9B">
        <w:rPr>
          <w:rFonts w:ascii="Arial" w:hAnsi="Arial" w:cs="Arial"/>
          <w:sz w:val="24"/>
          <w:szCs w:val="24"/>
        </w:rPr>
        <w:t xml:space="preserve">the sum of the </w:t>
      </w:r>
      <w:r w:rsidRPr="00F10B9B">
        <w:rPr>
          <w:rFonts w:ascii="Arial" w:hAnsi="Arial" w:cs="Arial"/>
          <w:sz w:val="24"/>
          <w:szCs w:val="24"/>
        </w:rPr>
        <w:t xml:space="preserve">reconciling amounts shown </w:t>
      </w:r>
      <w:r w:rsidR="00B67C08" w:rsidRPr="00F10B9B">
        <w:rPr>
          <w:rFonts w:ascii="Arial" w:hAnsi="Arial" w:cs="Arial"/>
          <w:sz w:val="24"/>
          <w:szCs w:val="24"/>
        </w:rPr>
        <w:t>at the above</w:t>
      </w:r>
      <w:r w:rsidR="00780555">
        <w:rPr>
          <w:rFonts w:ascii="Arial" w:hAnsi="Arial" w:cs="Arial"/>
          <w:sz w:val="24"/>
          <w:szCs w:val="24"/>
        </w:rPr>
        <w:t>-</w:t>
      </w:r>
      <w:r w:rsidR="00B67C08" w:rsidRPr="00F10B9B">
        <w:rPr>
          <w:rFonts w:ascii="Arial" w:hAnsi="Arial" w:cs="Arial"/>
          <w:sz w:val="24"/>
          <w:szCs w:val="24"/>
        </w:rPr>
        <w:t xml:space="preserve">noted fifth reference. OEB staff was unable to reconcile the Account 1588 amount to documents currently on the record. </w:t>
      </w:r>
      <w:r w:rsidR="003D1BEE">
        <w:rPr>
          <w:rFonts w:ascii="Arial" w:hAnsi="Arial" w:cs="Arial"/>
          <w:sz w:val="24"/>
          <w:szCs w:val="24"/>
        </w:rPr>
        <w:t>However, OEB staff notes that an explanation was partly provided at the above</w:t>
      </w:r>
      <w:r w:rsidR="00780555">
        <w:rPr>
          <w:rFonts w:ascii="Arial" w:hAnsi="Arial" w:cs="Arial"/>
          <w:sz w:val="24"/>
          <w:szCs w:val="24"/>
        </w:rPr>
        <w:t>-</w:t>
      </w:r>
      <w:r w:rsidR="003D1BEE">
        <w:rPr>
          <w:rFonts w:ascii="Arial" w:hAnsi="Arial" w:cs="Arial"/>
          <w:sz w:val="24"/>
          <w:szCs w:val="24"/>
        </w:rPr>
        <w:t>noted sixth reference.</w:t>
      </w:r>
    </w:p>
    <w:p w14:paraId="61F8BB31" w14:textId="77777777" w:rsidR="00B67C08" w:rsidRPr="00F10B9B" w:rsidRDefault="00B67C08" w:rsidP="00F10B9B">
      <w:pPr>
        <w:spacing w:after="0" w:line="276" w:lineRule="auto"/>
        <w:rPr>
          <w:rFonts w:ascii="Arial" w:hAnsi="Arial" w:cs="Arial"/>
          <w:sz w:val="24"/>
          <w:szCs w:val="24"/>
        </w:rPr>
      </w:pPr>
    </w:p>
    <w:p w14:paraId="1E3243B6" w14:textId="77777777" w:rsidR="00EF7732" w:rsidRPr="00051B5F" w:rsidRDefault="00EF7732" w:rsidP="00F10B9B">
      <w:pPr>
        <w:spacing w:after="0" w:line="276" w:lineRule="auto"/>
        <w:rPr>
          <w:rFonts w:ascii="Arial" w:hAnsi="Arial" w:cs="Arial"/>
          <w:sz w:val="24"/>
          <w:szCs w:val="24"/>
          <w:u w:val="single"/>
        </w:rPr>
      </w:pPr>
      <w:r w:rsidRPr="00051B5F">
        <w:rPr>
          <w:rFonts w:ascii="Arial" w:hAnsi="Arial" w:cs="Arial"/>
          <w:sz w:val="24"/>
          <w:szCs w:val="24"/>
          <w:u w:val="single"/>
        </w:rPr>
        <w:t>Question:</w:t>
      </w:r>
    </w:p>
    <w:p w14:paraId="095C5431" w14:textId="77777777" w:rsidR="00EF7732" w:rsidRPr="00F10B9B" w:rsidRDefault="00EF7732" w:rsidP="00F10B9B">
      <w:pPr>
        <w:spacing w:after="0" w:line="276" w:lineRule="auto"/>
        <w:rPr>
          <w:rFonts w:ascii="Arial" w:hAnsi="Arial" w:cs="Arial"/>
          <w:sz w:val="24"/>
          <w:szCs w:val="24"/>
        </w:rPr>
      </w:pPr>
    </w:p>
    <w:p w14:paraId="3616A2AF" w14:textId="77777777" w:rsidR="00876513" w:rsidRPr="00F10B9B" w:rsidRDefault="00876513" w:rsidP="00F10B9B">
      <w:pPr>
        <w:pStyle w:val="ListParagraph"/>
        <w:numPr>
          <w:ilvl w:val="0"/>
          <w:numId w:val="36"/>
        </w:numPr>
        <w:spacing w:after="0" w:line="276" w:lineRule="auto"/>
        <w:rPr>
          <w:rFonts w:ascii="Arial" w:hAnsi="Arial" w:cs="Arial"/>
          <w:sz w:val="24"/>
          <w:szCs w:val="24"/>
        </w:rPr>
      </w:pPr>
      <w:r w:rsidRPr="00F10B9B">
        <w:rPr>
          <w:rFonts w:ascii="Arial" w:hAnsi="Arial" w:cs="Arial"/>
          <w:sz w:val="24"/>
          <w:szCs w:val="24"/>
        </w:rPr>
        <w:t>Please explain and reconcile the 2017 principal adjustments for Account 1588 of a credit of $769,739 and Account 1589 of a credit of $574,821.</w:t>
      </w:r>
    </w:p>
    <w:p w14:paraId="1D6BE6F9" w14:textId="77777777" w:rsidR="00E9444A" w:rsidRPr="00F10B9B" w:rsidRDefault="00E9444A" w:rsidP="00F10B9B">
      <w:pPr>
        <w:spacing w:after="0" w:line="276" w:lineRule="auto"/>
        <w:rPr>
          <w:rFonts w:ascii="Arial" w:hAnsi="Arial" w:cs="Arial"/>
          <w:sz w:val="24"/>
          <w:szCs w:val="24"/>
        </w:rPr>
      </w:pPr>
    </w:p>
    <w:p w14:paraId="4F88984D" w14:textId="77777777" w:rsidR="00B25B4C" w:rsidRPr="00F10B9B" w:rsidRDefault="00B25B4C" w:rsidP="00F10B9B">
      <w:pPr>
        <w:spacing w:after="0" w:line="276" w:lineRule="auto"/>
        <w:rPr>
          <w:rFonts w:ascii="Arial" w:hAnsi="Arial" w:cs="Arial"/>
          <w:sz w:val="24"/>
          <w:szCs w:val="24"/>
        </w:rPr>
      </w:pPr>
    </w:p>
    <w:p w14:paraId="4647A481" w14:textId="41BF430C" w:rsidR="00B87AE7" w:rsidRPr="00F10B9B" w:rsidRDefault="002143CD" w:rsidP="00051B5F">
      <w:pPr>
        <w:pStyle w:val="Heading2"/>
      </w:pPr>
      <w:r>
        <w:t>Staff-</w:t>
      </w:r>
      <w:r w:rsidR="00453EA2">
        <w:t>10</w:t>
      </w:r>
    </w:p>
    <w:p w14:paraId="457EBD3C" w14:textId="77777777" w:rsidR="00B87AE7" w:rsidRPr="00F10B9B" w:rsidRDefault="00B87AE7" w:rsidP="00F10B9B">
      <w:pPr>
        <w:spacing w:after="0" w:line="276" w:lineRule="auto"/>
        <w:rPr>
          <w:rFonts w:ascii="Arial" w:hAnsi="Arial" w:cs="Arial"/>
          <w:sz w:val="24"/>
          <w:szCs w:val="24"/>
        </w:rPr>
      </w:pPr>
    </w:p>
    <w:p w14:paraId="2A2E6E81" w14:textId="494B61BB" w:rsidR="00B87AE7" w:rsidRPr="00F10B9B" w:rsidRDefault="00B87AE7" w:rsidP="008708B4">
      <w:pPr>
        <w:spacing w:after="0" w:line="276" w:lineRule="auto"/>
        <w:ind w:left="720" w:hanging="720"/>
        <w:rPr>
          <w:rFonts w:ascii="Arial" w:hAnsi="Arial" w:cs="Arial"/>
          <w:sz w:val="24"/>
          <w:szCs w:val="24"/>
        </w:rPr>
      </w:pPr>
      <w:r w:rsidRPr="00F10B9B">
        <w:rPr>
          <w:rFonts w:ascii="Arial" w:hAnsi="Arial" w:cs="Arial"/>
          <w:sz w:val="24"/>
          <w:szCs w:val="24"/>
        </w:rPr>
        <w:t>Ref:</w:t>
      </w:r>
      <w:r w:rsidRPr="00F10B9B">
        <w:rPr>
          <w:rFonts w:ascii="Arial" w:hAnsi="Arial" w:cs="Arial"/>
          <w:sz w:val="24"/>
          <w:szCs w:val="24"/>
        </w:rPr>
        <w:tab/>
        <w:t xml:space="preserve">(1) </w:t>
      </w:r>
      <w:r w:rsidR="00F15354">
        <w:rPr>
          <w:rFonts w:ascii="Arial" w:hAnsi="Arial" w:cs="Arial"/>
          <w:sz w:val="24"/>
          <w:szCs w:val="24"/>
        </w:rPr>
        <w:t xml:space="preserve">Application, </w:t>
      </w:r>
      <w:r w:rsidRPr="00F10B9B">
        <w:rPr>
          <w:rFonts w:ascii="Arial" w:hAnsi="Arial" w:cs="Arial"/>
          <w:sz w:val="24"/>
          <w:szCs w:val="24"/>
        </w:rPr>
        <w:t xml:space="preserve">Appendix E-1: GA Methodology Description – Appendix A GA Methodology Description Questions on Accounts 1588 &amp; 1589, </w:t>
      </w:r>
      <w:r w:rsidR="008708B4">
        <w:rPr>
          <w:rFonts w:ascii="Arial" w:hAnsi="Arial" w:cs="Arial"/>
          <w:sz w:val="24"/>
          <w:szCs w:val="24"/>
        </w:rPr>
        <w:t xml:space="preserve">Questions on CT 1142, </w:t>
      </w:r>
      <w:r w:rsidRPr="00F10B9B">
        <w:rPr>
          <w:rFonts w:ascii="Arial" w:hAnsi="Arial" w:cs="Arial"/>
          <w:sz w:val="24"/>
          <w:szCs w:val="24"/>
        </w:rPr>
        <w:t>page</w:t>
      </w:r>
      <w:r w:rsidR="00911255">
        <w:rPr>
          <w:rFonts w:ascii="Arial" w:hAnsi="Arial" w:cs="Arial"/>
          <w:sz w:val="24"/>
          <w:szCs w:val="24"/>
        </w:rPr>
        <w:t>s</w:t>
      </w:r>
      <w:r w:rsidRPr="00F10B9B">
        <w:rPr>
          <w:rFonts w:ascii="Arial" w:hAnsi="Arial" w:cs="Arial"/>
          <w:sz w:val="24"/>
          <w:szCs w:val="24"/>
        </w:rPr>
        <w:t xml:space="preserve"> 2 &amp; 3</w:t>
      </w:r>
    </w:p>
    <w:p w14:paraId="52521E2F" w14:textId="77777777" w:rsidR="00B87AE7" w:rsidRPr="00F10B9B" w:rsidRDefault="00B87AE7" w:rsidP="00F10B9B">
      <w:pPr>
        <w:spacing w:after="0" w:line="276" w:lineRule="auto"/>
        <w:rPr>
          <w:rFonts w:ascii="Arial" w:hAnsi="Arial" w:cs="Arial"/>
          <w:sz w:val="24"/>
          <w:szCs w:val="24"/>
        </w:rPr>
      </w:pPr>
    </w:p>
    <w:p w14:paraId="335CCA51" w14:textId="77777777" w:rsidR="009C2190" w:rsidRPr="00051B5F" w:rsidRDefault="009C2190" w:rsidP="00F10B9B">
      <w:pPr>
        <w:spacing w:after="0" w:line="276" w:lineRule="auto"/>
        <w:rPr>
          <w:rFonts w:ascii="Arial" w:hAnsi="Arial" w:cs="Arial"/>
          <w:sz w:val="24"/>
          <w:szCs w:val="24"/>
          <w:u w:val="single"/>
        </w:rPr>
      </w:pPr>
      <w:r w:rsidRPr="00051B5F">
        <w:rPr>
          <w:rFonts w:ascii="Arial" w:hAnsi="Arial" w:cs="Arial"/>
          <w:sz w:val="24"/>
          <w:szCs w:val="24"/>
          <w:u w:val="single"/>
        </w:rPr>
        <w:t>Preamble:</w:t>
      </w:r>
    </w:p>
    <w:p w14:paraId="09CA45B8" w14:textId="77777777" w:rsidR="009C2190" w:rsidRPr="00051B5F" w:rsidRDefault="009C2190" w:rsidP="00F10B9B">
      <w:pPr>
        <w:spacing w:after="0" w:line="276" w:lineRule="auto"/>
        <w:rPr>
          <w:rFonts w:ascii="Arial" w:hAnsi="Arial" w:cs="Arial"/>
          <w:sz w:val="24"/>
          <w:szCs w:val="24"/>
          <w:u w:val="single"/>
        </w:rPr>
      </w:pPr>
    </w:p>
    <w:p w14:paraId="2FE1517A" w14:textId="38A60170" w:rsidR="00210258" w:rsidRPr="00F10B9B" w:rsidRDefault="00210258" w:rsidP="00F10B9B">
      <w:pPr>
        <w:spacing w:after="0" w:line="276" w:lineRule="auto"/>
        <w:rPr>
          <w:rFonts w:ascii="Arial" w:hAnsi="Arial" w:cs="Arial"/>
          <w:sz w:val="24"/>
          <w:szCs w:val="24"/>
        </w:rPr>
      </w:pPr>
      <w:r w:rsidRPr="00F10B9B">
        <w:rPr>
          <w:rFonts w:ascii="Arial" w:hAnsi="Arial" w:cs="Arial"/>
          <w:sz w:val="24"/>
          <w:szCs w:val="24"/>
        </w:rPr>
        <w:t>At the above</w:t>
      </w:r>
      <w:r w:rsidR="00780555">
        <w:rPr>
          <w:rFonts w:ascii="Arial" w:hAnsi="Arial" w:cs="Arial"/>
          <w:sz w:val="24"/>
          <w:szCs w:val="24"/>
        </w:rPr>
        <w:t>-</w:t>
      </w:r>
      <w:r w:rsidRPr="00F10B9B">
        <w:rPr>
          <w:rFonts w:ascii="Arial" w:hAnsi="Arial" w:cs="Arial"/>
          <w:sz w:val="24"/>
          <w:szCs w:val="24"/>
        </w:rPr>
        <w:t xml:space="preserve">noted reference, </w:t>
      </w:r>
      <w:r w:rsidR="00FF1B50">
        <w:rPr>
          <w:rFonts w:ascii="Arial" w:hAnsi="Arial" w:cs="Arial"/>
          <w:sz w:val="24"/>
          <w:szCs w:val="24"/>
        </w:rPr>
        <w:t>Elexicon Energy</w:t>
      </w:r>
      <w:r w:rsidRPr="00F10B9B">
        <w:rPr>
          <w:rFonts w:ascii="Arial" w:hAnsi="Arial" w:cs="Arial"/>
          <w:sz w:val="24"/>
          <w:szCs w:val="24"/>
        </w:rPr>
        <w:t xml:space="preserve"> provided the following table which described the basis for truing up CT 1142 for 2018 and 2019.</w:t>
      </w:r>
    </w:p>
    <w:p w14:paraId="71FF808C" w14:textId="77777777" w:rsidR="00210258" w:rsidRPr="00F10B9B" w:rsidRDefault="00210258" w:rsidP="00F10B9B">
      <w:pPr>
        <w:spacing w:after="0" w:line="276" w:lineRule="auto"/>
        <w:rPr>
          <w:rFonts w:ascii="Arial" w:hAnsi="Arial" w:cs="Arial"/>
          <w:sz w:val="24"/>
          <w:szCs w:val="24"/>
        </w:rPr>
      </w:pPr>
    </w:p>
    <w:p w14:paraId="71F362C8" w14:textId="77777777" w:rsidR="00210258" w:rsidRPr="00F10B9B" w:rsidRDefault="00790012" w:rsidP="00F10B9B">
      <w:pPr>
        <w:spacing w:after="0" w:line="276" w:lineRule="auto"/>
        <w:jc w:val="center"/>
        <w:rPr>
          <w:rFonts w:ascii="Arial" w:hAnsi="Arial" w:cs="Arial"/>
          <w:sz w:val="24"/>
          <w:szCs w:val="24"/>
        </w:rPr>
      </w:pPr>
      <w:r w:rsidRPr="00F10B9B">
        <w:rPr>
          <w:rFonts w:ascii="Arial" w:hAnsi="Arial" w:cs="Arial"/>
          <w:noProof/>
          <w:sz w:val="24"/>
          <w:szCs w:val="24"/>
        </w:rPr>
        <w:drawing>
          <wp:inline distT="0" distB="0" distL="0" distR="0" wp14:anchorId="58AAF50A" wp14:editId="31875DB2">
            <wp:extent cx="4353128" cy="170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9640" cy="1703800"/>
                    </a:xfrm>
                    <a:prstGeom prst="rect">
                      <a:avLst/>
                    </a:prstGeom>
                  </pic:spPr>
                </pic:pic>
              </a:graphicData>
            </a:graphic>
          </wp:inline>
        </w:drawing>
      </w:r>
    </w:p>
    <w:p w14:paraId="21219077" w14:textId="77777777" w:rsidR="00790012" w:rsidRPr="00051B5F" w:rsidRDefault="00790012" w:rsidP="00F10B9B">
      <w:pPr>
        <w:spacing w:after="0" w:line="276" w:lineRule="auto"/>
        <w:rPr>
          <w:rFonts w:ascii="Arial" w:hAnsi="Arial" w:cs="Arial"/>
          <w:sz w:val="24"/>
          <w:szCs w:val="24"/>
          <w:u w:val="single"/>
        </w:rPr>
      </w:pPr>
      <w:r w:rsidRPr="00051B5F">
        <w:rPr>
          <w:rFonts w:ascii="Arial" w:hAnsi="Arial" w:cs="Arial"/>
          <w:sz w:val="24"/>
          <w:szCs w:val="24"/>
          <w:u w:val="single"/>
        </w:rPr>
        <w:t xml:space="preserve">Question: </w:t>
      </w:r>
    </w:p>
    <w:p w14:paraId="1FAFD7CF" w14:textId="77777777" w:rsidR="00790012" w:rsidRPr="00051B5F" w:rsidRDefault="00790012" w:rsidP="00F10B9B">
      <w:pPr>
        <w:spacing w:after="0" w:line="276" w:lineRule="auto"/>
        <w:rPr>
          <w:rFonts w:ascii="Arial" w:hAnsi="Arial" w:cs="Arial"/>
          <w:sz w:val="24"/>
          <w:szCs w:val="24"/>
          <w:u w:val="single"/>
        </w:rPr>
      </w:pPr>
    </w:p>
    <w:p w14:paraId="37F6EAFA" w14:textId="581FF032" w:rsidR="00790012" w:rsidRPr="00F10B9B" w:rsidRDefault="00790012" w:rsidP="00F10B9B">
      <w:pPr>
        <w:pStyle w:val="ListParagraph"/>
        <w:numPr>
          <w:ilvl w:val="0"/>
          <w:numId w:val="37"/>
        </w:numPr>
        <w:spacing w:after="0" w:line="276" w:lineRule="auto"/>
        <w:rPr>
          <w:rFonts w:ascii="Arial" w:hAnsi="Arial" w:cs="Arial"/>
          <w:sz w:val="24"/>
          <w:szCs w:val="24"/>
        </w:rPr>
      </w:pPr>
      <w:r w:rsidRPr="00F10B9B">
        <w:rPr>
          <w:rFonts w:ascii="Arial" w:hAnsi="Arial" w:cs="Arial"/>
          <w:sz w:val="24"/>
          <w:szCs w:val="24"/>
        </w:rPr>
        <w:t>Please update the table to show a column for 2017 and explain any additional differences.</w:t>
      </w:r>
      <w:r w:rsidR="00A519F9" w:rsidRPr="00A519F9">
        <w:rPr>
          <w:rFonts w:ascii="Arial" w:hAnsi="Arial" w:cs="Arial"/>
          <w:sz w:val="24"/>
          <w:szCs w:val="24"/>
        </w:rPr>
        <w:t xml:space="preserve"> </w:t>
      </w:r>
      <w:r w:rsidR="00A519F9">
        <w:rPr>
          <w:rFonts w:ascii="Arial" w:hAnsi="Arial" w:cs="Arial"/>
          <w:sz w:val="24"/>
          <w:szCs w:val="24"/>
        </w:rPr>
        <w:t>Please file an updated version of the table in response to this question.</w:t>
      </w:r>
    </w:p>
    <w:p w14:paraId="1A311AB0" w14:textId="77777777" w:rsidR="009233D5" w:rsidRPr="005403C7" w:rsidRDefault="009233D5" w:rsidP="009233D5">
      <w:pPr>
        <w:pStyle w:val="Heading1"/>
      </w:pPr>
      <w:r w:rsidRPr="005403C7">
        <w:t>DVA Request</w:t>
      </w:r>
    </w:p>
    <w:p w14:paraId="7197ED71" w14:textId="77777777" w:rsidR="009233D5" w:rsidRDefault="009233D5" w:rsidP="009233D5">
      <w:pPr>
        <w:spacing w:line="276" w:lineRule="auto"/>
        <w:rPr>
          <w:rFonts w:ascii="Arial" w:hAnsi="Arial" w:cs="Arial"/>
          <w:sz w:val="24"/>
          <w:szCs w:val="24"/>
        </w:rPr>
      </w:pPr>
    </w:p>
    <w:p w14:paraId="68D99FF0" w14:textId="10AA19A0" w:rsidR="009233D5" w:rsidRDefault="009233D5" w:rsidP="009233D5">
      <w:pPr>
        <w:pStyle w:val="Heading2"/>
      </w:pPr>
      <w:r>
        <w:t>Staff-11</w:t>
      </w:r>
    </w:p>
    <w:p w14:paraId="68A5BE07" w14:textId="77777777" w:rsidR="009233D5" w:rsidRPr="009233D5" w:rsidRDefault="009233D5" w:rsidP="009233D5"/>
    <w:p w14:paraId="7FD99765" w14:textId="2FFF9EED" w:rsidR="009233D5" w:rsidRDefault="009233D5" w:rsidP="009233D5">
      <w:pPr>
        <w:spacing w:line="276" w:lineRule="auto"/>
        <w:rPr>
          <w:rFonts w:ascii="Arial" w:hAnsi="Arial" w:cs="Arial"/>
          <w:sz w:val="24"/>
          <w:szCs w:val="24"/>
        </w:rPr>
      </w:pPr>
      <w:r w:rsidRPr="005403C7">
        <w:rPr>
          <w:rFonts w:ascii="Arial" w:hAnsi="Arial" w:cs="Arial"/>
          <w:sz w:val="24"/>
          <w:szCs w:val="24"/>
        </w:rPr>
        <w:t>Ref:</w:t>
      </w:r>
      <w:r w:rsidRPr="005403C7">
        <w:rPr>
          <w:rFonts w:ascii="Arial" w:hAnsi="Arial" w:cs="Arial"/>
          <w:sz w:val="24"/>
          <w:szCs w:val="24"/>
        </w:rPr>
        <w:tab/>
      </w:r>
      <w:r w:rsidR="00B371EC">
        <w:rPr>
          <w:rFonts w:ascii="Arial" w:hAnsi="Arial" w:cs="Arial"/>
          <w:sz w:val="24"/>
          <w:szCs w:val="24"/>
        </w:rPr>
        <w:t xml:space="preserve">(1) </w:t>
      </w:r>
      <w:r w:rsidRPr="005403C7">
        <w:rPr>
          <w:rFonts w:ascii="Arial" w:hAnsi="Arial" w:cs="Arial"/>
          <w:sz w:val="24"/>
          <w:szCs w:val="24"/>
        </w:rPr>
        <w:t>Application</w:t>
      </w:r>
      <w:r>
        <w:rPr>
          <w:rFonts w:ascii="Arial" w:hAnsi="Arial" w:cs="Arial"/>
          <w:sz w:val="24"/>
          <w:szCs w:val="24"/>
        </w:rPr>
        <w:t xml:space="preserve"> –</w:t>
      </w:r>
      <w:r w:rsidRPr="005403C7">
        <w:rPr>
          <w:rFonts w:ascii="Arial" w:hAnsi="Arial" w:cs="Arial"/>
          <w:sz w:val="24"/>
          <w:szCs w:val="24"/>
        </w:rPr>
        <w:t xml:space="preserve"> Appendix G</w:t>
      </w:r>
      <w:r>
        <w:rPr>
          <w:rFonts w:ascii="Arial" w:hAnsi="Arial" w:cs="Arial"/>
          <w:sz w:val="24"/>
          <w:szCs w:val="24"/>
        </w:rPr>
        <w:t>,</w:t>
      </w:r>
      <w:r w:rsidRPr="005403C7">
        <w:rPr>
          <w:rFonts w:ascii="Arial" w:hAnsi="Arial" w:cs="Arial"/>
          <w:sz w:val="24"/>
          <w:szCs w:val="24"/>
        </w:rPr>
        <w:t xml:space="preserve"> </w:t>
      </w:r>
      <w:r>
        <w:rPr>
          <w:rFonts w:ascii="Arial" w:hAnsi="Arial" w:cs="Arial"/>
          <w:sz w:val="24"/>
          <w:szCs w:val="24"/>
        </w:rPr>
        <w:t>pages 2</w:t>
      </w:r>
      <w:r w:rsidR="00232137">
        <w:rPr>
          <w:rFonts w:ascii="Arial" w:hAnsi="Arial" w:cs="Arial"/>
          <w:sz w:val="24"/>
          <w:szCs w:val="24"/>
        </w:rPr>
        <w:t xml:space="preserve"> to </w:t>
      </w:r>
      <w:r>
        <w:rPr>
          <w:rFonts w:ascii="Arial" w:hAnsi="Arial" w:cs="Arial"/>
          <w:sz w:val="24"/>
          <w:szCs w:val="24"/>
        </w:rPr>
        <w:t xml:space="preserve">5 and </w:t>
      </w:r>
      <w:r w:rsidRPr="005403C7">
        <w:rPr>
          <w:rFonts w:ascii="Arial" w:hAnsi="Arial" w:cs="Arial"/>
          <w:sz w:val="24"/>
          <w:szCs w:val="24"/>
        </w:rPr>
        <w:t>Draft Accounting Order</w:t>
      </w:r>
    </w:p>
    <w:p w14:paraId="4E429924" w14:textId="50D74FB0" w:rsidR="00232137" w:rsidRDefault="00232137" w:rsidP="009233D5">
      <w:pPr>
        <w:spacing w:line="276" w:lineRule="auto"/>
        <w:rPr>
          <w:rFonts w:ascii="Arial" w:hAnsi="Arial" w:cs="Arial"/>
          <w:sz w:val="24"/>
          <w:szCs w:val="24"/>
        </w:rPr>
      </w:pPr>
      <w:r>
        <w:rPr>
          <w:rFonts w:ascii="Arial" w:hAnsi="Arial" w:cs="Arial"/>
          <w:sz w:val="24"/>
          <w:szCs w:val="24"/>
        </w:rPr>
        <w:tab/>
        <w:t>(2) EB-2013-0174, 2014 COS Chapter 2 Appendices, App 2-H, October 31, 2013</w:t>
      </w:r>
    </w:p>
    <w:p w14:paraId="6F18EB20" w14:textId="2E0C351C" w:rsidR="00232137" w:rsidRPr="005403C7" w:rsidRDefault="00232137" w:rsidP="009233D5">
      <w:pPr>
        <w:spacing w:line="276" w:lineRule="auto"/>
        <w:rPr>
          <w:rFonts w:ascii="Arial" w:hAnsi="Arial" w:cs="Arial"/>
          <w:sz w:val="24"/>
          <w:szCs w:val="24"/>
        </w:rPr>
      </w:pPr>
      <w:r>
        <w:rPr>
          <w:rFonts w:ascii="Arial" w:hAnsi="Arial" w:cs="Arial"/>
          <w:sz w:val="24"/>
          <w:szCs w:val="24"/>
        </w:rPr>
        <w:tab/>
        <w:t>(3) EB-2013-0174, 2014 Settlement Agreement, section 7.6, page 35</w:t>
      </w:r>
    </w:p>
    <w:p w14:paraId="1DF6E814" w14:textId="77777777" w:rsidR="00AB1941" w:rsidRDefault="00AB1941" w:rsidP="009233D5">
      <w:pPr>
        <w:spacing w:line="276" w:lineRule="auto"/>
        <w:rPr>
          <w:rFonts w:ascii="Arial" w:hAnsi="Arial" w:cs="Arial"/>
          <w:sz w:val="24"/>
          <w:szCs w:val="24"/>
          <w:u w:val="single"/>
        </w:rPr>
      </w:pPr>
    </w:p>
    <w:p w14:paraId="5991FC65" w14:textId="2B7E0E4A"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t>Preamble:</w:t>
      </w:r>
    </w:p>
    <w:p w14:paraId="508C8E86" w14:textId="0CF9E352" w:rsidR="009233D5" w:rsidRPr="005403C7" w:rsidRDefault="009233D5" w:rsidP="009233D5">
      <w:pPr>
        <w:spacing w:line="276" w:lineRule="auto"/>
        <w:rPr>
          <w:rFonts w:ascii="Arial" w:hAnsi="Arial" w:cs="Arial"/>
          <w:sz w:val="24"/>
          <w:szCs w:val="24"/>
        </w:rPr>
      </w:pPr>
      <w:r>
        <w:rPr>
          <w:rFonts w:ascii="Arial" w:hAnsi="Arial" w:cs="Arial"/>
          <w:sz w:val="24"/>
          <w:szCs w:val="24"/>
        </w:rPr>
        <w:t>I</w:t>
      </w:r>
      <w:r w:rsidRPr="005403C7">
        <w:rPr>
          <w:rFonts w:ascii="Arial" w:hAnsi="Arial" w:cs="Arial"/>
          <w:sz w:val="24"/>
          <w:szCs w:val="24"/>
        </w:rPr>
        <w:t xml:space="preserve">n the Draft Accounting Order, </w:t>
      </w:r>
      <w:r>
        <w:rPr>
          <w:rFonts w:ascii="Arial" w:hAnsi="Arial" w:cs="Arial"/>
          <w:sz w:val="24"/>
          <w:szCs w:val="24"/>
        </w:rPr>
        <w:t>Elexicon Energy</w:t>
      </w:r>
      <w:r w:rsidRPr="005403C7">
        <w:rPr>
          <w:rFonts w:ascii="Arial" w:hAnsi="Arial" w:cs="Arial"/>
          <w:sz w:val="24"/>
          <w:szCs w:val="24"/>
        </w:rPr>
        <w:t xml:space="preserve"> </w:t>
      </w:r>
      <w:r>
        <w:rPr>
          <w:rFonts w:ascii="Arial" w:hAnsi="Arial" w:cs="Arial"/>
          <w:sz w:val="24"/>
          <w:szCs w:val="24"/>
        </w:rPr>
        <w:t>states</w:t>
      </w:r>
      <w:r w:rsidRPr="005403C7">
        <w:rPr>
          <w:rFonts w:ascii="Arial" w:hAnsi="Arial" w:cs="Arial"/>
          <w:sz w:val="24"/>
          <w:szCs w:val="24"/>
        </w:rPr>
        <w:t xml:space="preserve"> that </w:t>
      </w:r>
      <w:r w:rsidR="00232137">
        <w:rPr>
          <w:rFonts w:ascii="Arial" w:hAnsi="Arial" w:cs="Arial"/>
          <w:sz w:val="24"/>
          <w:szCs w:val="24"/>
        </w:rPr>
        <w:t>it seeks to establish a</w:t>
      </w:r>
      <w:r w:rsidRPr="005403C7">
        <w:rPr>
          <w:rFonts w:ascii="Arial" w:hAnsi="Arial" w:cs="Arial"/>
          <w:sz w:val="24"/>
          <w:szCs w:val="24"/>
        </w:rPr>
        <w:t xml:space="preserve"> </w:t>
      </w:r>
      <w:r>
        <w:rPr>
          <w:rFonts w:ascii="Arial" w:hAnsi="Arial" w:cs="Arial"/>
          <w:sz w:val="24"/>
          <w:szCs w:val="24"/>
        </w:rPr>
        <w:t xml:space="preserve">deferral </w:t>
      </w:r>
      <w:r w:rsidRPr="005403C7">
        <w:rPr>
          <w:rFonts w:ascii="Arial" w:hAnsi="Arial" w:cs="Arial"/>
          <w:sz w:val="24"/>
          <w:szCs w:val="24"/>
        </w:rPr>
        <w:t>account to recover lost revenues from the Collection of Account charge, effective July 1, 2019</w:t>
      </w:r>
      <w:r w:rsidR="00232137">
        <w:rPr>
          <w:rFonts w:ascii="Arial" w:hAnsi="Arial" w:cs="Arial"/>
          <w:sz w:val="24"/>
          <w:szCs w:val="24"/>
        </w:rPr>
        <w:t>.</w:t>
      </w:r>
      <w:r>
        <w:rPr>
          <w:rFonts w:ascii="Arial" w:hAnsi="Arial" w:cs="Arial"/>
          <w:sz w:val="24"/>
          <w:szCs w:val="24"/>
        </w:rPr>
        <w:t xml:space="preserve"> </w:t>
      </w:r>
      <w:r w:rsidR="00232137">
        <w:rPr>
          <w:rFonts w:ascii="Arial" w:hAnsi="Arial" w:cs="Arial"/>
          <w:sz w:val="24"/>
          <w:szCs w:val="24"/>
        </w:rPr>
        <w:t xml:space="preserve">The proposed account </w:t>
      </w:r>
      <w:r w:rsidRPr="005403C7">
        <w:rPr>
          <w:rFonts w:ascii="Arial" w:hAnsi="Arial" w:cs="Arial"/>
          <w:sz w:val="24"/>
          <w:szCs w:val="24"/>
        </w:rPr>
        <w:t>will be discon</w:t>
      </w:r>
      <w:r w:rsidR="00232137">
        <w:rPr>
          <w:rFonts w:ascii="Arial" w:hAnsi="Arial" w:cs="Arial"/>
          <w:sz w:val="24"/>
          <w:szCs w:val="24"/>
        </w:rPr>
        <w:t>tinued</w:t>
      </w:r>
      <w:r w:rsidRPr="005403C7">
        <w:rPr>
          <w:rFonts w:ascii="Arial" w:hAnsi="Arial" w:cs="Arial"/>
          <w:sz w:val="24"/>
          <w:szCs w:val="24"/>
        </w:rPr>
        <w:t xml:space="preserve"> </w:t>
      </w:r>
      <w:r w:rsidR="00232137">
        <w:rPr>
          <w:rFonts w:ascii="Arial" w:hAnsi="Arial" w:cs="Arial"/>
          <w:sz w:val="24"/>
          <w:szCs w:val="24"/>
        </w:rPr>
        <w:t xml:space="preserve">at </w:t>
      </w:r>
      <w:r w:rsidRPr="005403C7">
        <w:rPr>
          <w:rFonts w:ascii="Arial" w:hAnsi="Arial" w:cs="Arial"/>
          <w:sz w:val="24"/>
          <w:szCs w:val="24"/>
        </w:rPr>
        <w:t xml:space="preserve">its next rebasing application. </w:t>
      </w:r>
      <w:r>
        <w:rPr>
          <w:rFonts w:ascii="Arial" w:hAnsi="Arial" w:cs="Arial"/>
          <w:sz w:val="24"/>
          <w:szCs w:val="24"/>
        </w:rPr>
        <w:t>T</w:t>
      </w:r>
      <w:r w:rsidRPr="005403C7">
        <w:rPr>
          <w:rFonts w:ascii="Arial" w:hAnsi="Arial" w:cs="Arial"/>
          <w:sz w:val="24"/>
          <w:szCs w:val="24"/>
        </w:rPr>
        <w:t>he account</w:t>
      </w:r>
      <w:r>
        <w:rPr>
          <w:rFonts w:ascii="Arial" w:hAnsi="Arial" w:cs="Arial"/>
          <w:sz w:val="24"/>
          <w:szCs w:val="24"/>
        </w:rPr>
        <w:t xml:space="preserve"> is proposed to</w:t>
      </w:r>
      <w:r w:rsidRPr="005403C7">
        <w:rPr>
          <w:rFonts w:ascii="Arial" w:hAnsi="Arial" w:cs="Arial"/>
          <w:sz w:val="24"/>
          <w:szCs w:val="24"/>
        </w:rPr>
        <w:t xml:space="preserve"> be disposed of periodically (i.e. annually) as part of the IRM rate application or as a stand-alone application. By disposing of the balance periodically, </w:t>
      </w:r>
      <w:r w:rsidR="00F20B95">
        <w:rPr>
          <w:rFonts w:ascii="Arial" w:hAnsi="Arial" w:cs="Arial"/>
          <w:sz w:val="24"/>
          <w:szCs w:val="24"/>
        </w:rPr>
        <w:t>Elexicon Energy</w:t>
      </w:r>
      <w:r w:rsidR="00F20B95" w:rsidRPr="005403C7">
        <w:rPr>
          <w:rFonts w:ascii="Arial" w:hAnsi="Arial" w:cs="Arial"/>
          <w:sz w:val="24"/>
          <w:szCs w:val="24"/>
        </w:rPr>
        <w:t xml:space="preserve"> </w:t>
      </w:r>
      <w:r w:rsidR="00F20B95">
        <w:rPr>
          <w:rFonts w:ascii="Arial" w:hAnsi="Arial" w:cs="Arial"/>
          <w:sz w:val="24"/>
          <w:szCs w:val="24"/>
        </w:rPr>
        <w:t xml:space="preserve">notes </w:t>
      </w:r>
      <w:r w:rsidRPr="005403C7">
        <w:rPr>
          <w:rFonts w:ascii="Arial" w:hAnsi="Arial" w:cs="Arial"/>
          <w:sz w:val="24"/>
          <w:szCs w:val="24"/>
        </w:rPr>
        <w:t>it will avoid the accumulation of significant balances over a ten</w:t>
      </w:r>
      <w:r w:rsidR="004824CB">
        <w:rPr>
          <w:rFonts w:ascii="Arial" w:hAnsi="Arial" w:cs="Arial"/>
          <w:sz w:val="24"/>
          <w:szCs w:val="24"/>
        </w:rPr>
        <w:t>-</w:t>
      </w:r>
      <w:r w:rsidRPr="005403C7">
        <w:rPr>
          <w:rFonts w:ascii="Arial" w:hAnsi="Arial" w:cs="Arial"/>
          <w:sz w:val="24"/>
          <w:szCs w:val="24"/>
        </w:rPr>
        <w:t xml:space="preserve">year period. </w:t>
      </w:r>
    </w:p>
    <w:p w14:paraId="7F5E2A2E" w14:textId="77777777" w:rsidR="00AB1941" w:rsidRDefault="009233D5" w:rsidP="009233D5">
      <w:pPr>
        <w:spacing w:line="276" w:lineRule="auto"/>
        <w:rPr>
          <w:rFonts w:ascii="Arial" w:hAnsi="Arial" w:cs="Arial"/>
          <w:sz w:val="24"/>
          <w:szCs w:val="24"/>
        </w:rPr>
      </w:pPr>
      <w:r w:rsidRPr="005403C7">
        <w:rPr>
          <w:rFonts w:ascii="Arial" w:hAnsi="Arial" w:cs="Arial"/>
          <w:sz w:val="24"/>
          <w:szCs w:val="24"/>
        </w:rPr>
        <w:t>Appendix G (page 2</w:t>
      </w:r>
      <w:r>
        <w:rPr>
          <w:rFonts w:ascii="Arial" w:hAnsi="Arial" w:cs="Arial"/>
          <w:sz w:val="24"/>
          <w:szCs w:val="24"/>
        </w:rPr>
        <w:t>, lines 16-18</w:t>
      </w:r>
      <w:r w:rsidRPr="005403C7">
        <w:rPr>
          <w:rFonts w:ascii="Arial" w:hAnsi="Arial" w:cs="Arial"/>
          <w:sz w:val="24"/>
          <w:szCs w:val="24"/>
        </w:rPr>
        <w:t xml:space="preserve">) </w:t>
      </w:r>
      <w:r>
        <w:rPr>
          <w:rFonts w:ascii="Arial" w:hAnsi="Arial" w:cs="Arial"/>
          <w:sz w:val="24"/>
          <w:szCs w:val="24"/>
        </w:rPr>
        <w:t xml:space="preserve">indicates </w:t>
      </w:r>
      <w:r w:rsidRPr="005403C7">
        <w:rPr>
          <w:rFonts w:ascii="Arial" w:hAnsi="Arial" w:cs="Arial"/>
          <w:sz w:val="24"/>
          <w:szCs w:val="24"/>
        </w:rPr>
        <w:t xml:space="preserve">that the proposed </w:t>
      </w:r>
      <w:r>
        <w:rPr>
          <w:rFonts w:ascii="Arial" w:hAnsi="Arial" w:cs="Arial"/>
          <w:sz w:val="24"/>
          <w:szCs w:val="24"/>
        </w:rPr>
        <w:t xml:space="preserve">variance </w:t>
      </w:r>
      <w:r w:rsidRPr="005403C7">
        <w:rPr>
          <w:rFonts w:ascii="Arial" w:hAnsi="Arial" w:cs="Arial"/>
          <w:sz w:val="24"/>
          <w:szCs w:val="24"/>
        </w:rPr>
        <w:t>account is intended to capture the financial impacts of OEB policy changes that have occurred, which has impacted the ability of electricity distributors to collect revenues from the Collection of Account charge.</w:t>
      </w:r>
      <w:r>
        <w:rPr>
          <w:rFonts w:ascii="Arial" w:hAnsi="Arial" w:cs="Arial"/>
          <w:sz w:val="24"/>
          <w:szCs w:val="24"/>
        </w:rPr>
        <w:t xml:space="preserve"> </w:t>
      </w:r>
    </w:p>
    <w:p w14:paraId="50713EE8" w14:textId="699289D8" w:rsidR="009233D5" w:rsidRPr="005403C7" w:rsidRDefault="00232137" w:rsidP="009233D5">
      <w:pPr>
        <w:spacing w:line="276" w:lineRule="auto"/>
        <w:rPr>
          <w:rFonts w:ascii="Arial" w:hAnsi="Arial" w:cs="Arial"/>
          <w:sz w:val="24"/>
          <w:szCs w:val="24"/>
        </w:rPr>
      </w:pPr>
      <w:r>
        <w:rPr>
          <w:rFonts w:ascii="Arial" w:hAnsi="Arial" w:cs="Arial"/>
          <w:sz w:val="24"/>
          <w:szCs w:val="24"/>
        </w:rPr>
        <w:t>Elexicon Energy</w:t>
      </w:r>
      <w:r w:rsidR="009233D5" w:rsidRPr="005403C7">
        <w:rPr>
          <w:rFonts w:ascii="Arial" w:hAnsi="Arial" w:cs="Arial"/>
          <w:sz w:val="24"/>
          <w:szCs w:val="24"/>
        </w:rPr>
        <w:t xml:space="preserve"> provided the following tables: </w:t>
      </w:r>
    </w:p>
    <w:p w14:paraId="2387367B" w14:textId="77777777" w:rsidR="009233D5" w:rsidRPr="005403C7" w:rsidRDefault="009233D5" w:rsidP="009233D5">
      <w:pPr>
        <w:spacing w:line="276" w:lineRule="auto"/>
        <w:rPr>
          <w:rFonts w:ascii="Arial" w:hAnsi="Arial" w:cs="Arial"/>
          <w:sz w:val="24"/>
          <w:szCs w:val="24"/>
        </w:rPr>
      </w:pPr>
      <w:r w:rsidRPr="005403C7">
        <w:rPr>
          <w:rFonts w:ascii="Arial" w:hAnsi="Arial" w:cs="Arial"/>
          <w:noProof/>
          <w:sz w:val="24"/>
          <w:szCs w:val="24"/>
        </w:rPr>
        <w:drawing>
          <wp:inline distT="0" distB="0" distL="0" distR="0" wp14:anchorId="40017167" wp14:editId="12685BA8">
            <wp:extent cx="6014720" cy="86421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2535" cy="873961"/>
                    </a:xfrm>
                    <a:prstGeom prst="rect">
                      <a:avLst/>
                    </a:prstGeom>
                  </pic:spPr>
                </pic:pic>
              </a:graphicData>
            </a:graphic>
          </wp:inline>
        </w:drawing>
      </w:r>
    </w:p>
    <w:p w14:paraId="1541CB40" w14:textId="77777777" w:rsidR="009233D5" w:rsidRPr="005403C7" w:rsidRDefault="009233D5" w:rsidP="009233D5">
      <w:pPr>
        <w:spacing w:line="276" w:lineRule="auto"/>
        <w:rPr>
          <w:rFonts w:ascii="Arial" w:hAnsi="Arial" w:cs="Arial"/>
          <w:sz w:val="24"/>
          <w:szCs w:val="24"/>
        </w:rPr>
      </w:pPr>
      <w:r w:rsidRPr="005403C7">
        <w:rPr>
          <w:rFonts w:ascii="Arial" w:hAnsi="Arial" w:cs="Arial"/>
          <w:noProof/>
          <w:sz w:val="24"/>
          <w:szCs w:val="24"/>
        </w:rPr>
        <w:drawing>
          <wp:inline distT="0" distB="0" distL="0" distR="0" wp14:anchorId="4890EA56" wp14:editId="7A7AC8D2">
            <wp:extent cx="5943600" cy="1159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59510"/>
                    </a:xfrm>
                    <a:prstGeom prst="rect">
                      <a:avLst/>
                    </a:prstGeom>
                  </pic:spPr>
                </pic:pic>
              </a:graphicData>
            </a:graphic>
          </wp:inline>
        </w:drawing>
      </w:r>
    </w:p>
    <w:p w14:paraId="181F236E" w14:textId="77777777" w:rsidR="009233D5" w:rsidRPr="005403C7" w:rsidRDefault="009233D5" w:rsidP="009233D5">
      <w:pPr>
        <w:spacing w:line="276" w:lineRule="auto"/>
        <w:rPr>
          <w:rFonts w:ascii="Arial" w:hAnsi="Arial" w:cs="Arial"/>
          <w:sz w:val="24"/>
          <w:szCs w:val="24"/>
        </w:rPr>
      </w:pPr>
      <w:r w:rsidRPr="005403C7">
        <w:rPr>
          <w:rFonts w:ascii="Arial" w:hAnsi="Arial" w:cs="Arial"/>
          <w:noProof/>
          <w:sz w:val="24"/>
          <w:szCs w:val="24"/>
        </w:rPr>
        <w:lastRenderedPageBreak/>
        <w:drawing>
          <wp:inline distT="0" distB="0" distL="0" distR="0" wp14:anchorId="5377097D" wp14:editId="18B3DB27">
            <wp:extent cx="2656823" cy="140360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4972" cy="1418476"/>
                    </a:xfrm>
                    <a:prstGeom prst="rect">
                      <a:avLst/>
                    </a:prstGeom>
                  </pic:spPr>
                </pic:pic>
              </a:graphicData>
            </a:graphic>
          </wp:inline>
        </w:drawing>
      </w:r>
    </w:p>
    <w:p w14:paraId="7D9EE9E1" w14:textId="77777777"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t>Questions:</w:t>
      </w:r>
    </w:p>
    <w:p w14:paraId="547F6269" w14:textId="77777777" w:rsidR="009233D5" w:rsidRPr="005403C7" w:rsidRDefault="009233D5" w:rsidP="009233D5">
      <w:pPr>
        <w:pStyle w:val="ListParagraph"/>
        <w:numPr>
          <w:ilvl w:val="0"/>
          <w:numId w:val="40"/>
        </w:numPr>
        <w:spacing w:line="276" w:lineRule="auto"/>
        <w:ind w:left="360"/>
        <w:rPr>
          <w:rFonts w:ascii="Arial" w:hAnsi="Arial" w:cs="Arial"/>
          <w:sz w:val="24"/>
          <w:szCs w:val="24"/>
        </w:rPr>
      </w:pPr>
      <w:r w:rsidRPr="005403C7">
        <w:rPr>
          <w:rFonts w:ascii="Arial" w:hAnsi="Arial" w:cs="Arial"/>
          <w:sz w:val="24"/>
          <w:szCs w:val="24"/>
        </w:rPr>
        <w:t xml:space="preserve">Please </w:t>
      </w:r>
      <w:r>
        <w:rPr>
          <w:rFonts w:ascii="Arial" w:hAnsi="Arial" w:cs="Arial"/>
          <w:sz w:val="24"/>
          <w:szCs w:val="24"/>
        </w:rPr>
        <w:t>discuss</w:t>
      </w:r>
      <w:r w:rsidRPr="005403C7">
        <w:rPr>
          <w:rFonts w:ascii="Arial" w:hAnsi="Arial" w:cs="Arial"/>
          <w:sz w:val="24"/>
          <w:szCs w:val="24"/>
        </w:rPr>
        <w:t xml:space="preserve"> the rationale for an effective date of July 1, 2019 </w:t>
      </w:r>
      <w:r>
        <w:rPr>
          <w:rFonts w:ascii="Arial" w:hAnsi="Arial" w:cs="Arial"/>
          <w:sz w:val="24"/>
          <w:szCs w:val="24"/>
        </w:rPr>
        <w:t>as</w:t>
      </w:r>
      <w:r w:rsidRPr="005403C7">
        <w:rPr>
          <w:rFonts w:ascii="Arial" w:hAnsi="Arial" w:cs="Arial"/>
          <w:sz w:val="24"/>
          <w:szCs w:val="24"/>
        </w:rPr>
        <w:t xml:space="preserve"> it pre-dates the implementation of May 1, 20</w:t>
      </w:r>
      <w:r>
        <w:rPr>
          <w:rFonts w:ascii="Arial" w:hAnsi="Arial" w:cs="Arial"/>
          <w:sz w:val="24"/>
          <w:szCs w:val="24"/>
        </w:rPr>
        <w:t xml:space="preserve">20 rates, and explain the distributor’s views on rate retroactivity. </w:t>
      </w:r>
    </w:p>
    <w:p w14:paraId="35EF31C8" w14:textId="77777777" w:rsidR="009233D5" w:rsidRDefault="009233D5" w:rsidP="009233D5">
      <w:pPr>
        <w:pStyle w:val="ListParagraph"/>
        <w:spacing w:line="276" w:lineRule="auto"/>
        <w:ind w:left="360"/>
        <w:rPr>
          <w:rFonts w:ascii="Arial" w:hAnsi="Arial" w:cs="Arial"/>
          <w:sz w:val="24"/>
          <w:szCs w:val="24"/>
        </w:rPr>
      </w:pPr>
    </w:p>
    <w:p w14:paraId="3455A51E" w14:textId="1FF98063" w:rsidR="009233D5" w:rsidRDefault="009233D5" w:rsidP="009233D5">
      <w:pPr>
        <w:pStyle w:val="ListParagraph"/>
        <w:numPr>
          <w:ilvl w:val="0"/>
          <w:numId w:val="40"/>
        </w:numPr>
        <w:spacing w:line="276" w:lineRule="auto"/>
        <w:ind w:left="360"/>
        <w:rPr>
          <w:rFonts w:ascii="Arial" w:hAnsi="Arial" w:cs="Arial"/>
          <w:sz w:val="24"/>
          <w:szCs w:val="24"/>
        </w:rPr>
      </w:pPr>
      <w:r w:rsidRPr="005403C7">
        <w:rPr>
          <w:rFonts w:ascii="Arial" w:hAnsi="Arial" w:cs="Arial"/>
          <w:sz w:val="24"/>
          <w:szCs w:val="24"/>
        </w:rPr>
        <w:t xml:space="preserve">Please confirm </w:t>
      </w:r>
      <w:r>
        <w:rPr>
          <w:rFonts w:ascii="Arial" w:hAnsi="Arial" w:cs="Arial"/>
          <w:sz w:val="24"/>
          <w:szCs w:val="24"/>
        </w:rPr>
        <w:t>whether</w:t>
      </w:r>
      <w:r w:rsidRPr="005403C7">
        <w:rPr>
          <w:rFonts w:ascii="Arial" w:hAnsi="Arial" w:cs="Arial"/>
          <w:sz w:val="24"/>
          <w:szCs w:val="24"/>
        </w:rPr>
        <w:t xml:space="preserve"> </w:t>
      </w:r>
      <w:r>
        <w:rPr>
          <w:rFonts w:ascii="Arial" w:hAnsi="Arial" w:cs="Arial"/>
          <w:sz w:val="24"/>
          <w:szCs w:val="24"/>
        </w:rPr>
        <w:t>Elexicon Energy</w:t>
      </w:r>
      <w:r w:rsidRPr="005403C7">
        <w:rPr>
          <w:rFonts w:ascii="Arial" w:hAnsi="Arial" w:cs="Arial"/>
          <w:sz w:val="24"/>
          <w:szCs w:val="24"/>
        </w:rPr>
        <w:t xml:space="preserve"> is seeking to e</w:t>
      </w:r>
      <w:r>
        <w:rPr>
          <w:rFonts w:ascii="Arial" w:hAnsi="Arial" w:cs="Arial"/>
          <w:sz w:val="24"/>
          <w:szCs w:val="24"/>
        </w:rPr>
        <w:t>stablish a deferral account (</w:t>
      </w:r>
      <w:r w:rsidRPr="005403C7">
        <w:rPr>
          <w:rFonts w:ascii="Arial" w:hAnsi="Arial" w:cs="Arial"/>
          <w:sz w:val="24"/>
          <w:szCs w:val="24"/>
        </w:rPr>
        <w:t>per the Draft Accounting Order)</w:t>
      </w:r>
      <w:r>
        <w:rPr>
          <w:rFonts w:ascii="Arial" w:hAnsi="Arial" w:cs="Arial"/>
          <w:sz w:val="24"/>
          <w:szCs w:val="24"/>
        </w:rPr>
        <w:t xml:space="preserve"> or</w:t>
      </w:r>
      <w:r w:rsidRPr="005403C7">
        <w:rPr>
          <w:rFonts w:ascii="Arial" w:hAnsi="Arial" w:cs="Arial"/>
          <w:sz w:val="24"/>
          <w:szCs w:val="24"/>
        </w:rPr>
        <w:t xml:space="preserve"> </w:t>
      </w:r>
      <w:r>
        <w:rPr>
          <w:rFonts w:ascii="Arial" w:hAnsi="Arial" w:cs="Arial"/>
          <w:sz w:val="24"/>
          <w:szCs w:val="24"/>
        </w:rPr>
        <w:t>a variance account (per Appendix G, page 2, line 15)</w:t>
      </w:r>
      <w:r w:rsidRPr="00E74EE6">
        <w:rPr>
          <w:rFonts w:ascii="Arial" w:hAnsi="Arial" w:cs="Arial"/>
          <w:sz w:val="24"/>
          <w:szCs w:val="24"/>
        </w:rPr>
        <w:t xml:space="preserve"> </w:t>
      </w:r>
      <w:r w:rsidR="004824CB">
        <w:rPr>
          <w:rFonts w:ascii="Arial" w:hAnsi="Arial" w:cs="Arial"/>
          <w:sz w:val="24"/>
          <w:szCs w:val="24"/>
        </w:rPr>
        <w:t xml:space="preserve">for the </w:t>
      </w:r>
      <w:r>
        <w:rPr>
          <w:rFonts w:ascii="Arial" w:hAnsi="Arial" w:cs="Arial"/>
          <w:sz w:val="24"/>
          <w:szCs w:val="24"/>
        </w:rPr>
        <w:t xml:space="preserve">Veridian </w:t>
      </w:r>
      <w:r w:rsidR="00AC7C17">
        <w:rPr>
          <w:rFonts w:ascii="Arial" w:hAnsi="Arial" w:cs="Arial"/>
          <w:sz w:val="24"/>
          <w:szCs w:val="24"/>
        </w:rPr>
        <w:t>R</w:t>
      </w:r>
      <w:r>
        <w:rPr>
          <w:rFonts w:ascii="Arial" w:hAnsi="Arial" w:cs="Arial"/>
          <w:sz w:val="24"/>
          <w:szCs w:val="24"/>
        </w:rPr>
        <w:t xml:space="preserve">ate </w:t>
      </w:r>
      <w:r w:rsidR="00AC7C17">
        <w:rPr>
          <w:rFonts w:ascii="Arial" w:hAnsi="Arial" w:cs="Arial"/>
          <w:sz w:val="24"/>
          <w:szCs w:val="24"/>
        </w:rPr>
        <w:t>Z</w:t>
      </w:r>
      <w:r>
        <w:rPr>
          <w:rFonts w:ascii="Arial" w:hAnsi="Arial" w:cs="Arial"/>
          <w:sz w:val="24"/>
          <w:szCs w:val="24"/>
        </w:rPr>
        <w:t>one.</w:t>
      </w:r>
    </w:p>
    <w:p w14:paraId="54AC331C" w14:textId="77777777" w:rsidR="009233D5" w:rsidRPr="005A7EC8" w:rsidRDefault="009233D5" w:rsidP="009233D5">
      <w:pPr>
        <w:pStyle w:val="ListParagraph"/>
        <w:rPr>
          <w:rFonts w:ascii="Arial" w:hAnsi="Arial" w:cs="Arial"/>
          <w:sz w:val="24"/>
          <w:szCs w:val="24"/>
        </w:rPr>
      </w:pPr>
    </w:p>
    <w:p w14:paraId="6D319063" w14:textId="3BBA54A9" w:rsidR="009233D5" w:rsidRDefault="009233D5" w:rsidP="009233D5">
      <w:pPr>
        <w:pStyle w:val="ListParagraph"/>
        <w:numPr>
          <w:ilvl w:val="0"/>
          <w:numId w:val="40"/>
        </w:numPr>
        <w:spacing w:line="276" w:lineRule="auto"/>
        <w:ind w:left="360"/>
        <w:rPr>
          <w:rFonts w:ascii="Arial" w:hAnsi="Arial" w:cs="Arial"/>
          <w:sz w:val="24"/>
          <w:szCs w:val="24"/>
        </w:rPr>
      </w:pPr>
      <w:r>
        <w:rPr>
          <w:rFonts w:ascii="Arial" w:hAnsi="Arial" w:cs="Arial"/>
          <w:sz w:val="24"/>
          <w:szCs w:val="24"/>
        </w:rPr>
        <w:t>Elexicon Energy</w:t>
      </w:r>
      <w:r w:rsidRPr="005403C7">
        <w:rPr>
          <w:rFonts w:ascii="Arial" w:hAnsi="Arial" w:cs="Arial"/>
          <w:sz w:val="24"/>
          <w:szCs w:val="24"/>
        </w:rPr>
        <w:t xml:space="preserve"> </w:t>
      </w:r>
      <w:r>
        <w:rPr>
          <w:rFonts w:ascii="Arial" w:hAnsi="Arial" w:cs="Arial"/>
          <w:sz w:val="24"/>
          <w:szCs w:val="24"/>
        </w:rPr>
        <w:t>notes that it seeks to capture lost revenue associated with the elimination of the Collection of Account charge, as well as the impact of restricting collection (</w:t>
      </w:r>
      <w:r w:rsidR="009F0236">
        <w:rPr>
          <w:rFonts w:ascii="Arial" w:hAnsi="Arial" w:cs="Arial"/>
          <w:sz w:val="24"/>
          <w:szCs w:val="24"/>
        </w:rPr>
        <w:t xml:space="preserve">or </w:t>
      </w:r>
      <w:r>
        <w:rPr>
          <w:rFonts w:ascii="Arial" w:hAnsi="Arial" w:cs="Arial"/>
          <w:sz w:val="24"/>
          <w:szCs w:val="24"/>
        </w:rPr>
        <w:t>disconnection) notices during the winter moratorium.</w:t>
      </w:r>
    </w:p>
    <w:p w14:paraId="217D104A" w14:textId="77777777" w:rsidR="009233D5" w:rsidRPr="00E74EE6" w:rsidRDefault="009233D5" w:rsidP="009233D5">
      <w:pPr>
        <w:pStyle w:val="ListParagraph"/>
        <w:rPr>
          <w:rFonts w:ascii="Arial" w:hAnsi="Arial" w:cs="Arial"/>
          <w:sz w:val="24"/>
          <w:szCs w:val="24"/>
        </w:rPr>
      </w:pPr>
    </w:p>
    <w:p w14:paraId="55E6B721" w14:textId="6BF10F48" w:rsidR="009233D5" w:rsidRPr="00E74EE6" w:rsidRDefault="009233D5" w:rsidP="009233D5">
      <w:pPr>
        <w:pStyle w:val="ListParagraph"/>
        <w:numPr>
          <w:ilvl w:val="0"/>
          <w:numId w:val="44"/>
        </w:numPr>
        <w:spacing w:line="276" w:lineRule="auto"/>
        <w:rPr>
          <w:rFonts w:ascii="Arial" w:hAnsi="Arial" w:cs="Arial"/>
          <w:sz w:val="24"/>
          <w:szCs w:val="24"/>
        </w:rPr>
      </w:pPr>
      <w:r>
        <w:rPr>
          <w:rFonts w:ascii="Arial" w:hAnsi="Arial" w:cs="Arial"/>
          <w:sz w:val="24"/>
          <w:szCs w:val="24"/>
        </w:rPr>
        <w:t>Please</w:t>
      </w:r>
      <w:r w:rsidRPr="00E74EE6">
        <w:rPr>
          <w:rFonts w:ascii="Arial" w:hAnsi="Arial" w:cs="Arial"/>
          <w:sz w:val="24"/>
          <w:szCs w:val="24"/>
        </w:rPr>
        <w:t xml:space="preserve"> confirm that it will only record the lost revenue associated with the elimination of Collection of Account charge </w:t>
      </w:r>
      <w:r w:rsidR="009F0236">
        <w:rPr>
          <w:rFonts w:ascii="Arial" w:hAnsi="Arial" w:cs="Arial"/>
          <w:sz w:val="24"/>
          <w:szCs w:val="24"/>
        </w:rPr>
        <w:t xml:space="preserve">in the account </w:t>
      </w:r>
      <w:r w:rsidRPr="00E74EE6">
        <w:rPr>
          <w:rFonts w:ascii="Arial" w:hAnsi="Arial" w:cs="Arial"/>
          <w:sz w:val="24"/>
          <w:szCs w:val="24"/>
        </w:rPr>
        <w:t>until it next rebases.</w:t>
      </w:r>
    </w:p>
    <w:p w14:paraId="0F0C5B70" w14:textId="77777777" w:rsidR="009233D5" w:rsidRPr="000B6FB1" w:rsidRDefault="009233D5" w:rsidP="009233D5">
      <w:pPr>
        <w:pStyle w:val="ListParagraph"/>
        <w:rPr>
          <w:rFonts w:ascii="Arial" w:hAnsi="Arial" w:cs="Arial"/>
          <w:sz w:val="24"/>
          <w:szCs w:val="24"/>
        </w:rPr>
      </w:pPr>
    </w:p>
    <w:p w14:paraId="681C811F" w14:textId="23C09F7F" w:rsidR="009233D5" w:rsidRDefault="00AC7C17" w:rsidP="009233D5">
      <w:pPr>
        <w:pStyle w:val="ListParagraph"/>
        <w:numPr>
          <w:ilvl w:val="0"/>
          <w:numId w:val="44"/>
        </w:numPr>
        <w:spacing w:line="276" w:lineRule="auto"/>
        <w:rPr>
          <w:rFonts w:ascii="Arial" w:hAnsi="Arial" w:cs="Arial"/>
          <w:sz w:val="24"/>
          <w:szCs w:val="24"/>
        </w:rPr>
      </w:pPr>
      <w:r>
        <w:rPr>
          <w:rFonts w:ascii="Arial" w:hAnsi="Arial" w:cs="Arial"/>
          <w:sz w:val="24"/>
          <w:szCs w:val="24"/>
        </w:rPr>
        <w:t>Based on the description provided on page 3 of Appendix G (lines 17-24), p</w:t>
      </w:r>
      <w:r w:rsidR="009233D5">
        <w:rPr>
          <w:rFonts w:ascii="Arial" w:hAnsi="Arial" w:cs="Arial"/>
          <w:sz w:val="24"/>
          <w:szCs w:val="24"/>
        </w:rPr>
        <w:t>lease clarify the circumstances in which the distributor will continue to issue a disconnection notice</w:t>
      </w:r>
      <w:r>
        <w:rPr>
          <w:rFonts w:ascii="Arial" w:hAnsi="Arial" w:cs="Arial"/>
          <w:sz w:val="24"/>
          <w:szCs w:val="24"/>
        </w:rPr>
        <w:t>.</w:t>
      </w:r>
      <w:r w:rsidR="009233D5">
        <w:rPr>
          <w:rFonts w:ascii="Arial" w:hAnsi="Arial" w:cs="Arial"/>
          <w:sz w:val="24"/>
          <w:szCs w:val="24"/>
        </w:rPr>
        <w:t xml:space="preserve"> </w:t>
      </w:r>
      <w:r>
        <w:rPr>
          <w:rFonts w:ascii="Arial" w:hAnsi="Arial" w:cs="Arial"/>
          <w:sz w:val="24"/>
          <w:szCs w:val="24"/>
        </w:rPr>
        <w:t xml:space="preserve">Please </w:t>
      </w:r>
      <w:r w:rsidR="009F0236">
        <w:rPr>
          <w:rFonts w:ascii="Arial" w:hAnsi="Arial" w:cs="Arial"/>
          <w:sz w:val="24"/>
          <w:szCs w:val="24"/>
        </w:rPr>
        <w:t xml:space="preserve">also </w:t>
      </w:r>
      <w:r>
        <w:rPr>
          <w:rFonts w:ascii="Arial" w:hAnsi="Arial" w:cs="Arial"/>
          <w:sz w:val="24"/>
          <w:szCs w:val="24"/>
        </w:rPr>
        <w:t>confirm</w:t>
      </w:r>
      <w:r w:rsidR="009233D5">
        <w:rPr>
          <w:rFonts w:ascii="Arial" w:hAnsi="Arial" w:cs="Arial"/>
          <w:sz w:val="24"/>
          <w:szCs w:val="24"/>
        </w:rPr>
        <w:t xml:space="preserve"> that the methodology employed to derive the forecast number of collection (or disconnection) notices is consistent with the approved methodology from the 2014</w:t>
      </w:r>
      <w:r w:rsidR="009233D5" w:rsidRPr="000B6FB1">
        <w:rPr>
          <w:rFonts w:ascii="Arial" w:hAnsi="Arial" w:cs="Arial"/>
          <w:sz w:val="24"/>
          <w:szCs w:val="24"/>
        </w:rPr>
        <w:t xml:space="preserve"> </w:t>
      </w:r>
      <w:r w:rsidR="009233D5" w:rsidRPr="005403C7">
        <w:rPr>
          <w:rFonts w:ascii="Arial" w:hAnsi="Arial" w:cs="Arial"/>
          <w:sz w:val="24"/>
          <w:szCs w:val="24"/>
        </w:rPr>
        <w:t>COS proceeding</w:t>
      </w:r>
      <w:r w:rsidR="009233D5">
        <w:rPr>
          <w:rFonts w:ascii="Arial" w:hAnsi="Arial" w:cs="Arial"/>
          <w:sz w:val="24"/>
          <w:szCs w:val="24"/>
        </w:rPr>
        <w:t>.</w:t>
      </w:r>
    </w:p>
    <w:p w14:paraId="28926D43" w14:textId="77777777" w:rsidR="009233D5" w:rsidRPr="005403C7" w:rsidRDefault="009233D5" w:rsidP="009233D5">
      <w:pPr>
        <w:pStyle w:val="ListParagraph"/>
        <w:spacing w:line="276" w:lineRule="auto"/>
        <w:ind w:left="1440"/>
        <w:rPr>
          <w:rFonts w:ascii="Arial" w:hAnsi="Arial" w:cs="Arial"/>
          <w:sz w:val="24"/>
          <w:szCs w:val="24"/>
        </w:rPr>
      </w:pPr>
    </w:p>
    <w:p w14:paraId="14766581" w14:textId="19E440E2" w:rsidR="009233D5" w:rsidRPr="00E77A17" w:rsidRDefault="009233D5" w:rsidP="009233D5">
      <w:pPr>
        <w:pStyle w:val="ListParagraph"/>
        <w:numPr>
          <w:ilvl w:val="0"/>
          <w:numId w:val="44"/>
        </w:numPr>
        <w:rPr>
          <w:rFonts w:ascii="Arial" w:hAnsi="Arial" w:cs="Arial"/>
          <w:sz w:val="24"/>
          <w:szCs w:val="24"/>
        </w:rPr>
      </w:pPr>
      <w:r w:rsidRPr="00E77A17">
        <w:rPr>
          <w:rFonts w:ascii="Arial" w:hAnsi="Arial" w:cs="Arial"/>
          <w:sz w:val="24"/>
          <w:szCs w:val="24"/>
        </w:rPr>
        <w:t xml:space="preserve">In the Draft </w:t>
      </w:r>
      <w:r w:rsidR="009F0236">
        <w:rPr>
          <w:rFonts w:ascii="Arial" w:hAnsi="Arial" w:cs="Arial"/>
          <w:sz w:val="24"/>
          <w:szCs w:val="24"/>
        </w:rPr>
        <w:t>Accounting</w:t>
      </w:r>
      <w:r w:rsidRPr="00E77A17">
        <w:rPr>
          <w:rFonts w:ascii="Arial" w:hAnsi="Arial" w:cs="Arial"/>
          <w:sz w:val="24"/>
          <w:szCs w:val="24"/>
        </w:rPr>
        <w:t xml:space="preserve"> Order, </w:t>
      </w:r>
      <w:r>
        <w:rPr>
          <w:rFonts w:ascii="Arial" w:hAnsi="Arial" w:cs="Arial"/>
          <w:sz w:val="24"/>
          <w:szCs w:val="24"/>
        </w:rPr>
        <w:t>Elexicon Energy stated</w:t>
      </w:r>
      <w:r w:rsidRPr="00E77A17">
        <w:rPr>
          <w:rFonts w:ascii="Arial" w:hAnsi="Arial" w:cs="Arial"/>
          <w:sz w:val="24"/>
          <w:szCs w:val="24"/>
        </w:rPr>
        <w:t xml:space="preserve"> that it will calculate lost revenues in the deferral account as follows: “Approved Collection of Account Revenue less Actual Collection of Account Revenue”. Please confirm that the </w:t>
      </w:r>
      <w:r>
        <w:rPr>
          <w:rFonts w:ascii="Arial" w:hAnsi="Arial" w:cs="Arial"/>
          <w:sz w:val="24"/>
          <w:szCs w:val="24"/>
        </w:rPr>
        <w:t>total net recovery from the charge, as well as lost revenues recorded in the account will equal the approved revenue offset.</w:t>
      </w:r>
    </w:p>
    <w:p w14:paraId="1D20C841" w14:textId="77777777" w:rsidR="009233D5" w:rsidRDefault="009233D5" w:rsidP="009233D5">
      <w:pPr>
        <w:pStyle w:val="ListParagraph"/>
        <w:spacing w:line="276" w:lineRule="auto"/>
        <w:ind w:left="1440"/>
        <w:rPr>
          <w:rFonts w:ascii="Arial" w:hAnsi="Arial" w:cs="Arial"/>
          <w:sz w:val="24"/>
          <w:szCs w:val="24"/>
        </w:rPr>
      </w:pPr>
    </w:p>
    <w:p w14:paraId="2FB3734C" w14:textId="489E8CB1" w:rsidR="00AC7C17" w:rsidRPr="00467BBA" w:rsidRDefault="009233D5" w:rsidP="00467BBA">
      <w:pPr>
        <w:pStyle w:val="ListParagraph"/>
        <w:numPr>
          <w:ilvl w:val="0"/>
          <w:numId w:val="44"/>
        </w:numPr>
        <w:spacing w:line="276" w:lineRule="auto"/>
        <w:rPr>
          <w:rFonts w:ascii="Arial" w:hAnsi="Arial" w:cs="Arial"/>
          <w:sz w:val="24"/>
          <w:szCs w:val="24"/>
        </w:rPr>
      </w:pPr>
      <w:r w:rsidRPr="00467BBA">
        <w:rPr>
          <w:rFonts w:ascii="Arial" w:hAnsi="Arial" w:cs="Arial"/>
          <w:sz w:val="24"/>
          <w:szCs w:val="24"/>
        </w:rPr>
        <w:lastRenderedPageBreak/>
        <w:t>Please</w:t>
      </w:r>
      <w:r w:rsidR="007508AB">
        <w:rPr>
          <w:rFonts w:ascii="Arial" w:hAnsi="Arial" w:cs="Arial"/>
          <w:sz w:val="24"/>
          <w:szCs w:val="24"/>
        </w:rPr>
        <w:t xml:space="preserve"> confirm that</w:t>
      </w:r>
      <w:r w:rsidRPr="00467BBA">
        <w:rPr>
          <w:rFonts w:ascii="Arial" w:hAnsi="Arial" w:cs="Arial"/>
          <w:sz w:val="24"/>
          <w:szCs w:val="24"/>
        </w:rPr>
        <w:t xml:space="preserve"> Elexicon Energy agrees to record revenues in the account based on the number of collection notices issued</w:t>
      </w:r>
      <w:r w:rsidR="007508AB">
        <w:rPr>
          <w:rFonts w:ascii="Arial" w:hAnsi="Arial" w:cs="Arial"/>
          <w:sz w:val="24"/>
          <w:szCs w:val="24"/>
        </w:rPr>
        <w:t xml:space="preserve"> (or </w:t>
      </w:r>
      <w:r w:rsidRPr="00467BBA">
        <w:rPr>
          <w:rFonts w:ascii="Arial" w:hAnsi="Arial" w:cs="Arial"/>
          <w:sz w:val="24"/>
          <w:szCs w:val="24"/>
        </w:rPr>
        <w:t>reconnections performed</w:t>
      </w:r>
      <w:r w:rsidR="007508AB">
        <w:rPr>
          <w:rFonts w:ascii="Arial" w:hAnsi="Arial" w:cs="Arial"/>
          <w:sz w:val="24"/>
          <w:szCs w:val="24"/>
        </w:rPr>
        <w:t>)</w:t>
      </w:r>
      <w:r w:rsidRPr="00467BBA">
        <w:rPr>
          <w:rFonts w:ascii="Arial" w:hAnsi="Arial" w:cs="Arial"/>
          <w:sz w:val="24"/>
          <w:szCs w:val="24"/>
        </w:rPr>
        <w:t xml:space="preserve"> and </w:t>
      </w:r>
      <w:r w:rsidR="005F64FC">
        <w:rPr>
          <w:rFonts w:ascii="Arial" w:hAnsi="Arial" w:cs="Arial"/>
          <w:sz w:val="24"/>
          <w:szCs w:val="24"/>
        </w:rPr>
        <w:t xml:space="preserve">will be </w:t>
      </w:r>
      <w:r w:rsidRPr="00467BBA">
        <w:rPr>
          <w:rFonts w:ascii="Arial" w:hAnsi="Arial" w:cs="Arial"/>
          <w:sz w:val="24"/>
          <w:szCs w:val="24"/>
        </w:rPr>
        <w:t>capped at the approved</w:t>
      </w:r>
      <w:r w:rsidRPr="00622099">
        <w:rPr>
          <w:rFonts w:ascii="Arial" w:hAnsi="Arial" w:cs="Arial"/>
          <w:sz w:val="24"/>
          <w:szCs w:val="24"/>
        </w:rPr>
        <w:t xml:space="preserve"> </w:t>
      </w:r>
      <w:r w:rsidRPr="00467BBA">
        <w:rPr>
          <w:rFonts w:ascii="Arial" w:hAnsi="Arial" w:cs="Arial"/>
          <w:sz w:val="24"/>
          <w:szCs w:val="24"/>
        </w:rPr>
        <w:t>$1,143,711 amount</w:t>
      </w:r>
      <w:r w:rsidR="005F64FC">
        <w:rPr>
          <w:rFonts w:ascii="Arial" w:hAnsi="Arial" w:cs="Arial"/>
          <w:sz w:val="24"/>
          <w:szCs w:val="24"/>
        </w:rPr>
        <w:t xml:space="preserve"> </w:t>
      </w:r>
      <w:r w:rsidR="0035416C">
        <w:rPr>
          <w:rStyle w:val="FootnoteReference"/>
          <w:rFonts w:ascii="Arial" w:hAnsi="Arial" w:cs="Arial"/>
          <w:sz w:val="24"/>
          <w:szCs w:val="24"/>
        </w:rPr>
        <w:footnoteReference w:id="5"/>
      </w:r>
      <w:r w:rsidRPr="00467BBA">
        <w:rPr>
          <w:rFonts w:ascii="Arial" w:hAnsi="Arial" w:cs="Arial"/>
          <w:sz w:val="24"/>
          <w:szCs w:val="24"/>
        </w:rPr>
        <w:t xml:space="preserve"> for</w:t>
      </w:r>
      <w:r w:rsidR="00467BBA" w:rsidRPr="00467BBA">
        <w:rPr>
          <w:rFonts w:ascii="Arial" w:hAnsi="Arial" w:cs="Arial"/>
          <w:sz w:val="24"/>
          <w:szCs w:val="24"/>
        </w:rPr>
        <w:t xml:space="preserve"> Collection of Account charges. </w:t>
      </w:r>
      <w:r w:rsidR="00F2463D">
        <w:rPr>
          <w:rFonts w:ascii="Arial" w:hAnsi="Arial" w:cs="Arial"/>
          <w:sz w:val="24"/>
          <w:szCs w:val="24"/>
        </w:rPr>
        <w:t>If not, please discuss.</w:t>
      </w:r>
    </w:p>
    <w:p w14:paraId="11009D6D" w14:textId="77777777" w:rsidR="009233D5" w:rsidRPr="005403C7" w:rsidRDefault="009233D5" w:rsidP="009233D5">
      <w:pPr>
        <w:pStyle w:val="ListParagraph"/>
        <w:spacing w:line="276" w:lineRule="auto"/>
        <w:ind w:left="360"/>
        <w:rPr>
          <w:rFonts w:ascii="Arial" w:hAnsi="Arial" w:cs="Arial"/>
          <w:sz w:val="24"/>
          <w:szCs w:val="24"/>
        </w:rPr>
      </w:pPr>
    </w:p>
    <w:p w14:paraId="5FA42AA6" w14:textId="77777777" w:rsidR="009233D5" w:rsidRDefault="009233D5" w:rsidP="009233D5">
      <w:pPr>
        <w:pStyle w:val="ListParagraph"/>
        <w:numPr>
          <w:ilvl w:val="0"/>
          <w:numId w:val="40"/>
        </w:numPr>
        <w:spacing w:line="276" w:lineRule="auto"/>
        <w:ind w:left="360"/>
        <w:rPr>
          <w:rFonts w:ascii="Arial" w:hAnsi="Arial" w:cs="Arial"/>
          <w:sz w:val="24"/>
          <w:szCs w:val="24"/>
        </w:rPr>
      </w:pPr>
      <w:r w:rsidRPr="005A7EC8">
        <w:rPr>
          <w:rFonts w:ascii="Arial" w:hAnsi="Arial" w:cs="Arial"/>
          <w:sz w:val="24"/>
          <w:szCs w:val="24"/>
        </w:rPr>
        <w:t xml:space="preserve">Please update Table G-2 </w:t>
      </w:r>
      <w:r>
        <w:rPr>
          <w:rFonts w:ascii="Arial" w:hAnsi="Arial" w:cs="Arial"/>
          <w:sz w:val="24"/>
          <w:szCs w:val="24"/>
        </w:rPr>
        <w:t>to</w:t>
      </w:r>
      <w:r w:rsidRPr="005A7EC8">
        <w:rPr>
          <w:rFonts w:ascii="Arial" w:hAnsi="Arial" w:cs="Arial"/>
          <w:sz w:val="24"/>
          <w:szCs w:val="24"/>
        </w:rPr>
        <w:t xml:space="preserve"> show 2019 to 2029 forecast lost revenues</w:t>
      </w:r>
      <w:r>
        <w:rPr>
          <w:rFonts w:ascii="Arial" w:hAnsi="Arial" w:cs="Arial"/>
          <w:sz w:val="24"/>
          <w:szCs w:val="24"/>
        </w:rPr>
        <w:t xml:space="preserve"> </w:t>
      </w:r>
      <w:r w:rsidRPr="000B6FB1">
        <w:rPr>
          <w:rFonts w:ascii="Arial" w:hAnsi="Arial" w:cs="Arial"/>
          <w:sz w:val="24"/>
          <w:szCs w:val="24"/>
        </w:rPr>
        <w:t>(i.e. current year to next rebasing period)</w:t>
      </w:r>
      <w:r>
        <w:rPr>
          <w:rFonts w:ascii="Arial" w:hAnsi="Arial" w:cs="Arial"/>
          <w:sz w:val="24"/>
          <w:szCs w:val="24"/>
        </w:rPr>
        <w:t xml:space="preserve"> broken down by the number of collection notices issued and the cost per collection notice</w:t>
      </w:r>
      <w:r w:rsidRPr="005A7EC8">
        <w:rPr>
          <w:rFonts w:ascii="Arial" w:hAnsi="Arial" w:cs="Arial"/>
          <w:sz w:val="24"/>
          <w:szCs w:val="24"/>
        </w:rPr>
        <w:t xml:space="preserve">. </w:t>
      </w:r>
    </w:p>
    <w:p w14:paraId="38050A28" w14:textId="77777777" w:rsidR="009233D5" w:rsidRDefault="009233D5" w:rsidP="009233D5">
      <w:pPr>
        <w:pStyle w:val="ListParagraph"/>
        <w:spacing w:line="276" w:lineRule="auto"/>
        <w:ind w:left="360"/>
        <w:rPr>
          <w:rFonts w:ascii="Arial" w:hAnsi="Arial" w:cs="Arial"/>
          <w:sz w:val="24"/>
          <w:szCs w:val="24"/>
        </w:rPr>
      </w:pPr>
    </w:p>
    <w:p w14:paraId="346370EE" w14:textId="16FCBC8B" w:rsidR="009233D5" w:rsidRDefault="009233D5" w:rsidP="009233D5">
      <w:pPr>
        <w:pStyle w:val="ListParagraph"/>
        <w:numPr>
          <w:ilvl w:val="0"/>
          <w:numId w:val="45"/>
        </w:numPr>
        <w:spacing w:line="276" w:lineRule="auto"/>
        <w:ind w:left="1080"/>
        <w:rPr>
          <w:rFonts w:ascii="Arial" w:hAnsi="Arial" w:cs="Arial"/>
          <w:sz w:val="24"/>
          <w:szCs w:val="24"/>
        </w:rPr>
      </w:pPr>
      <w:r w:rsidRPr="00E74EE6">
        <w:rPr>
          <w:rFonts w:ascii="Arial" w:hAnsi="Arial" w:cs="Arial"/>
          <w:sz w:val="24"/>
          <w:szCs w:val="24"/>
        </w:rPr>
        <w:t xml:space="preserve">Please explain how the number of collection notices in 2019 was determined, as there </w:t>
      </w:r>
      <w:r w:rsidR="007508AB">
        <w:rPr>
          <w:rFonts w:ascii="Arial" w:hAnsi="Arial" w:cs="Arial"/>
          <w:sz w:val="24"/>
          <w:szCs w:val="24"/>
        </w:rPr>
        <w:t>was</w:t>
      </w:r>
      <w:r w:rsidRPr="00E74EE6">
        <w:rPr>
          <w:rFonts w:ascii="Arial" w:hAnsi="Arial" w:cs="Arial"/>
          <w:sz w:val="24"/>
          <w:szCs w:val="24"/>
        </w:rPr>
        <w:t xml:space="preserve"> a </w:t>
      </w:r>
      <w:r w:rsidR="004824CB">
        <w:rPr>
          <w:rFonts w:ascii="Arial" w:hAnsi="Arial" w:cs="Arial"/>
          <w:sz w:val="24"/>
          <w:szCs w:val="24"/>
        </w:rPr>
        <w:t xml:space="preserve">significant </w:t>
      </w:r>
      <w:r w:rsidRPr="00E74EE6">
        <w:rPr>
          <w:rFonts w:ascii="Arial" w:hAnsi="Arial" w:cs="Arial"/>
          <w:sz w:val="24"/>
          <w:szCs w:val="24"/>
        </w:rPr>
        <w:t xml:space="preserve">decrease </w:t>
      </w:r>
      <w:r w:rsidR="008149BD">
        <w:rPr>
          <w:rFonts w:ascii="Arial" w:hAnsi="Arial" w:cs="Arial"/>
          <w:sz w:val="24"/>
          <w:szCs w:val="24"/>
        </w:rPr>
        <w:t>in</w:t>
      </w:r>
      <w:r w:rsidR="004824CB">
        <w:rPr>
          <w:rFonts w:ascii="Arial" w:hAnsi="Arial" w:cs="Arial"/>
          <w:sz w:val="24"/>
          <w:szCs w:val="24"/>
        </w:rPr>
        <w:t xml:space="preserve"> collection notices </w:t>
      </w:r>
      <w:r w:rsidRPr="00E74EE6">
        <w:rPr>
          <w:rFonts w:ascii="Arial" w:hAnsi="Arial" w:cs="Arial"/>
          <w:sz w:val="24"/>
          <w:szCs w:val="24"/>
        </w:rPr>
        <w:t>from</w:t>
      </w:r>
      <w:r w:rsidR="004824CB">
        <w:rPr>
          <w:rFonts w:ascii="Arial" w:hAnsi="Arial" w:cs="Arial"/>
          <w:sz w:val="24"/>
          <w:szCs w:val="24"/>
        </w:rPr>
        <w:t xml:space="preserve"> </w:t>
      </w:r>
      <w:r w:rsidRPr="00E74EE6">
        <w:rPr>
          <w:rFonts w:ascii="Arial" w:hAnsi="Arial" w:cs="Arial"/>
          <w:sz w:val="24"/>
          <w:szCs w:val="24"/>
        </w:rPr>
        <w:t xml:space="preserve">38,124 in 2014 to 3,729 in 2019. </w:t>
      </w:r>
    </w:p>
    <w:p w14:paraId="4A0B9BBC" w14:textId="77777777" w:rsidR="008D3DF0" w:rsidRPr="00E74EE6" w:rsidRDefault="008D3DF0" w:rsidP="008D3DF0">
      <w:pPr>
        <w:pStyle w:val="ListParagraph"/>
        <w:spacing w:line="276" w:lineRule="auto"/>
        <w:ind w:left="1080"/>
        <w:rPr>
          <w:rFonts w:ascii="Arial" w:hAnsi="Arial" w:cs="Arial"/>
          <w:sz w:val="24"/>
          <w:szCs w:val="24"/>
        </w:rPr>
      </w:pPr>
    </w:p>
    <w:p w14:paraId="65F0307A" w14:textId="0B97AA65" w:rsidR="009233D5" w:rsidRPr="002B768A" w:rsidRDefault="009233D5" w:rsidP="009233D5">
      <w:pPr>
        <w:pStyle w:val="ListParagraph"/>
        <w:numPr>
          <w:ilvl w:val="0"/>
          <w:numId w:val="45"/>
        </w:numPr>
        <w:spacing w:line="276" w:lineRule="auto"/>
        <w:ind w:left="1080"/>
        <w:rPr>
          <w:rFonts w:ascii="Arial" w:hAnsi="Arial" w:cs="Arial"/>
          <w:sz w:val="24"/>
          <w:szCs w:val="24"/>
        </w:rPr>
      </w:pPr>
      <w:r>
        <w:rPr>
          <w:rFonts w:ascii="Arial" w:hAnsi="Arial" w:cs="Arial"/>
          <w:sz w:val="24"/>
          <w:szCs w:val="24"/>
        </w:rPr>
        <w:t xml:space="preserve">As 2019 lost revenues are forecast to </w:t>
      </w:r>
      <w:r w:rsidR="001572C2">
        <w:rPr>
          <w:rFonts w:ascii="Arial" w:hAnsi="Arial" w:cs="Arial"/>
          <w:sz w:val="24"/>
          <w:szCs w:val="24"/>
        </w:rPr>
        <w:t xml:space="preserve">be </w:t>
      </w:r>
      <w:r>
        <w:rPr>
          <w:rFonts w:ascii="Arial" w:hAnsi="Arial" w:cs="Arial"/>
          <w:sz w:val="24"/>
          <w:szCs w:val="24"/>
        </w:rPr>
        <w:t xml:space="preserve">about 10% of the offset amount approved to be collected from Collection of Account charges (i.e. $111,587/ $1,143,711), please discuss whether </w:t>
      </w:r>
      <w:r w:rsidR="00B03976">
        <w:rPr>
          <w:rFonts w:ascii="Arial" w:hAnsi="Arial" w:cs="Arial"/>
          <w:sz w:val="24"/>
          <w:szCs w:val="24"/>
        </w:rPr>
        <w:t xml:space="preserve">the </w:t>
      </w:r>
      <w:r>
        <w:rPr>
          <w:rFonts w:ascii="Arial" w:hAnsi="Arial" w:cs="Arial"/>
          <w:sz w:val="24"/>
          <w:szCs w:val="24"/>
        </w:rPr>
        <w:t xml:space="preserve">lost revenues can potentially be </w:t>
      </w:r>
      <w:r w:rsidR="00077533">
        <w:rPr>
          <w:rFonts w:ascii="Arial" w:hAnsi="Arial" w:cs="Arial"/>
          <w:sz w:val="24"/>
          <w:szCs w:val="24"/>
        </w:rPr>
        <w:t>negated</w:t>
      </w:r>
      <w:r>
        <w:rPr>
          <w:rFonts w:ascii="Arial" w:hAnsi="Arial" w:cs="Arial"/>
          <w:sz w:val="24"/>
          <w:szCs w:val="24"/>
        </w:rPr>
        <w:t xml:space="preserve"> through </w:t>
      </w:r>
      <w:r w:rsidR="00C725A9">
        <w:rPr>
          <w:rFonts w:ascii="Arial" w:hAnsi="Arial" w:cs="Arial"/>
          <w:sz w:val="24"/>
          <w:szCs w:val="24"/>
        </w:rPr>
        <w:t xml:space="preserve">the </w:t>
      </w:r>
      <w:r>
        <w:rPr>
          <w:rFonts w:ascii="Arial" w:hAnsi="Arial" w:cs="Arial"/>
          <w:sz w:val="24"/>
          <w:szCs w:val="24"/>
        </w:rPr>
        <w:t xml:space="preserve">avoided costs </w:t>
      </w:r>
      <w:r w:rsidR="00AC7C17">
        <w:rPr>
          <w:rFonts w:ascii="Arial" w:hAnsi="Arial" w:cs="Arial"/>
          <w:sz w:val="24"/>
          <w:szCs w:val="24"/>
        </w:rPr>
        <w:t xml:space="preserve">identified in Appendix G (pages 2 and 3) </w:t>
      </w:r>
      <w:r w:rsidR="00ED421B">
        <w:rPr>
          <w:rFonts w:ascii="Arial" w:hAnsi="Arial" w:cs="Arial"/>
          <w:sz w:val="24"/>
          <w:szCs w:val="24"/>
        </w:rPr>
        <w:t>and/</w:t>
      </w:r>
      <w:r>
        <w:rPr>
          <w:rFonts w:ascii="Arial" w:hAnsi="Arial" w:cs="Arial"/>
          <w:sz w:val="24"/>
          <w:szCs w:val="24"/>
        </w:rPr>
        <w:t xml:space="preserve">or </w:t>
      </w:r>
      <w:r w:rsidR="00C725A9">
        <w:rPr>
          <w:rFonts w:ascii="Arial" w:hAnsi="Arial" w:cs="Arial"/>
          <w:sz w:val="24"/>
          <w:szCs w:val="24"/>
        </w:rPr>
        <w:t xml:space="preserve">operational efficiencies in </w:t>
      </w:r>
      <w:r>
        <w:rPr>
          <w:rFonts w:ascii="Arial" w:hAnsi="Arial" w:cs="Arial"/>
          <w:sz w:val="24"/>
          <w:szCs w:val="24"/>
        </w:rPr>
        <w:t>coming years.</w:t>
      </w:r>
    </w:p>
    <w:p w14:paraId="4A80A63D" w14:textId="77777777" w:rsidR="009233D5" w:rsidRDefault="009233D5" w:rsidP="009233D5">
      <w:pPr>
        <w:pStyle w:val="ListParagraph"/>
        <w:spacing w:line="276" w:lineRule="auto"/>
        <w:rPr>
          <w:rFonts w:ascii="Arial" w:hAnsi="Arial" w:cs="Arial"/>
          <w:sz w:val="24"/>
          <w:szCs w:val="24"/>
        </w:rPr>
      </w:pPr>
      <w:bookmarkStart w:id="0" w:name="_GoBack"/>
      <w:bookmarkEnd w:id="0"/>
    </w:p>
    <w:p w14:paraId="44765DE8" w14:textId="231768F2" w:rsidR="009233D5" w:rsidRDefault="009233D5" w:rsidP="009233D5">
      <w:pPr>
        <w:pStyle w:val="ListParagraph"/>
        <w:numPr>
          <w:ilvl w:val="0"/>
          <w:numId w:val="40"/>
        </w:numPr>
        <w:spacing w:line="276" w:lineRule="auto"/>
        <w:ind w:left="360"/>
        <w:rPr>
          <w:rFonts w:ascii="Arial" w:hAnsi="Arial" w:cs="Arial"/>
          <w:sz w:val="24"/>
          <w:szCs w:val="24"/>
        </w:rPr>
      </w:pPr>
      <w:r w:rsidRPr="002F6503">
        <w:rPr>
          <w:rFonts w:ascii="Arial" w:hAnsi="Arial" w:cs="Arial"/>
          <w:sz w:val="24"/>
          <w:szCs w:val="24"/>
        </w:rPr>
        <w:t xml:space="preserve">Please clarify </w:t>
      </w:r>
      <w:r>
        <w:rPr>
          <w:rFonts w:ascii="Arial" w:hAnsi="Arial" w:cs="Arial"/>
          <w:sz w:val="24"/>
          <w:szCs w:val="24"/>
        </w:rPr>
        <w:t>whether Elexicon Energy</w:t>
      </w:r>
      <w:r w:rsidRPr="002F6503">
        <w:rPr>
          <w:rFonts w:ascii="Arial" w:hAnsi="Arial" w:cs="Arial"/>
          <w:sz w:val="24"/>
          <w:szCs w:val="24"/>
        </w:rPr>
        <w:t xml:space="preserve"> seeks to record </w:t>
      </w:r>
      <w:r w:rsidR="009A4FE0">
        <w:rPr>
          <w:rFonts w:ascii="Arial" w:hAnsi="Arial" w:cs="Arial"/>
          <w:sz w:val="24"/>
          <w:szCs w:val="24"/>
        </w:rPr>
        <w:t xml:space="preserve">any true-up amounts for </w:t>
      </w:r>
      <w:r w:rsidRPr="002F6503">
        <w:rPr>
          <w:rFonts w:ascii="Arial" w:hAnsi="Arial" w:cs="Arial"/>
          <w:sz w:val="24"/>
          <w:szCs w:val="24"/>
        </w:rPr>
        <w:t xml:space="preserve">collection activity costs </w:t>
      </w:r>
      <w:r w:rsidR="009A4FE0">
        <w:rPr>
          <w:rFonts w:ascii="Arial" w:hAnsi="Arial" w:cs="Arial"/>
          <w:sz w:val="24"/>
          <w:szCs w:val="24"/>
        </w:rPr>
        <w:t>(</w:t>
      </w:r>
      <w:r w:rsidR="00FA05C3">
        <w:rPr>
          <w:rFonts w:ascii="Arial" w:hAnsi="Arial" w:cs="Arial"/>
          <w:sz w:val="24"/>
          <w:szCs w:val="24"/>
        </w:rPr>
        <w:t>as per</w:t>
      </w:r>
      <w:r w:rsidR="009A4FE0" w:rsidRPr="002F6503">
        <w:rPr>
          <w:rFonts w:ascii="Arial" w:hAnsi="Arial" w:cs="Arial"/>
          <w:sz w:val="24"/>
          <w:szCs w:val="24"/>
        </w:rPr>
        <w:t xml:space="preserve"> Table G-1</w:t>
      </w:r>
      <w:r w:rsidR="009A4FE0">
        <w:rPr>
          <w:rFonts w:ascii="Arial" w:hAnsi="Arial" w:cs="Arial"/>
          <w:sz w:val="24"/>
          <w:szCs w:val="24"/>
        </w:rPr>
        <w:t xml:space="preserve">) </w:t>
      </w:r>
      <w:r w:rsidRPr="002F6503">
        <w:rPr>
          <w:rFonts w:ascii="Arial" w:hAnsi="Arial" w:cs="Arial"/>
          <w:sz w:val="24"/>
          <w:szCs w:val="24"/>
        </w:rPr>
        <w:t xml:space="preserve">in this deferral </w:t>
      </w:r>
      <w:r w:rsidR="002F7734">
        <w:rPr>
          <w:rFonts w:ascii="Arial" w:hAnsi="Arial" w:cs="Arial"/>
          <w:sz w:val="24"/>
          <w:szCs w:val="24"/>
        </w:rPr>
        <w:t xml:space="preserve">or variance </w:t>
      </w:r>
      <w:r w:rsidRPr="002F6503">
        <w:rPr>
          <w:rFonts w:ascii="Arial" w:hAnsi="Arial" w:cs="Arial"/>
          <w:sz w:val="24"/>
          <w:szCs w:val="24"/>
        </w:rPr>
        <w:t xml:space="preserve">account. </w:t>
      </w:r>
    </w:p>
    <w:p w14:paraId="0BFD6EC4" w14:textId="77777777" w:rsidR="009233D5" w:rsidRDefault="009233D5" w:rsidP="009233D5">
      <w:pPr>
        <w:pStyle w:val="ListParagraph"/>
        <w:spacing w:line="276" w:lineRule="auto"/>
        <w:ind w:left="360"/>
        <w:rPr>
          <w:rFonts w:ascii="Arial" w:hAnsi="Arial" w:cs="Arial"/>
          <w:sz w:val="24"/>
          <w:szCs w:val="24"/>
        </w:rPr>
      </w:pPr>
    </w:p>
    <w:p w14:paraId="148F14BF" w14:textId="5421C42F" w:rsidR="009233D5" w:rsidRDefault="009233D5" w:rsidP="009233D5">
      <w:pPr>
        <w:pStyle w:val="ListParagraph"/>
        <w:numPr>
          <w:ilvl w:val="0"/>
          <w:numId w:val="46"/>
        </w:numPr>
        <w:spacing w:line="276" w:lineRule="auto"/>
        <w:rPr>
          <w:rFonts w:ascii="Arial" w:hAnsi="Arial" w:cs="Arial"/>
          <w:sz w:val="24"/>
          <w:szCs w:val="24"/>
        </w:rPr>
      </w:pPr>
      <w:r w:rsidRPr="000B6FB1">
        <w:rPr>
          <w:rFonts w:ascii="Arial" w:hAnsi="Arial" w:cs="Arial"/>
          <w:sz w:val="24"/>
          <w:szCs w:val="24"/>
        </w:rPr>
        <w:t xml:space="preserve">If yes, please </w:t>
      </w:r>
      <w:r w:rsidR="009A4FE0">
        <w:rPr>
          <w:rFonts w:ascii="Arial" w:hAnsi="Arial" w:cs="Arial"/>
          <w:sz w:val="24"/>
          <w:szCs w:val="24"/>
        </w:rPr>
        <w:t>provide</w:t>
      </w:r>
      <w:r w:rsidRPr="000B6FB1">
        <w:rPr>
          <w:rFonts w:ascii="Arial" w:hAnsi="Arial" w:cs="Arial"/>
          <w:sz w:val="24"/>
          <w:szCs w:val="24"/>
        </w:rPr>
        <w:t xml:space="preserve"> the rationale for doing so. </w:t>
      </w:r>
    </w:p>
    <w:p w14:paraId="501B9810" w14:textId="77777777" w:rsidR="009233D5" w:rsidRPr="000B6FB1" w:rsidRDefault="009233D5" w:rsidP="009233D5">
      <w:pPr>
        <w:pStyle w:val="ListParagraph"/>
        <w:spacing w:line="276" w:lineRule="auto"/>
        <w:ind w:left="1080"/>
        <w:rPr>
          <w:rFonts w:ascii="Arial" w:hAnsi="Arial" w:cs="Arial"/>
          <w:sz w:val="24"/>
          <w:szCs w:val="24"/>
        </w:rPr>
      </w:pPr>
    </w:p>
    <w:p w14:paraId="4DA56BE3" w14:textId="1ADC2588" w:rsidR="009233D5" w:rsidRPr="000B6FB1" w:rsidRDefault="003C486F" w:rsidP="009233D5">
      <w:pPr>
        <w:pStyle w:val="ListParagraph"/>
        <w:numPr>
          <w:ilvl w:val="0"/>
          <w:numId w:val="46"/>
        </w:numPr>
        <w:spacing w:line="276" w:lineRule="auto"/>
        <w:rPr>
          <w:rFonts w:ascii="Arial" w:hAnsi="Arial" w:cs="Arial"/>
          <w:sz w:val="24"/>
          <w:szCs w:val="24"/>
        </w:rPr>
      </w:pPr>
      <w:r>
        <w:rPr>
          <w:rFonts w:ascii="Arial" w:hAnsi="Arial" w:cs="Arial"/>
          <w:sz w:val="24"/>
          <w:szCs w:val="24"/>
        </w:rPr>
        <w:t>If yes to i) above, p</w:t>
      </w:r>
      <w:r w:rsidR="009233D5" w:rsidRPr="000B6FB1">
        <w:rPr>
          <w:rFonts w:ascii="Arial" w:hAnsi="Arial" w:cs="Arial"/>
          <w:sz w:val="24"/>
          <w:szCs w:val="24"/>
        </w:rPr>
        <w:t xml:space="preserve">lease update Table G-1 with a breakdown of 2019 to 2029 </w:t>
      </w:r>
      <w:r w:rsidR="00F53D25" w:rsidRPr="000B6FB1">
        <w:rPr>
          <w:rFonts w:ascii="Arial" w:hAnsi="Arial" w:cs="Arial"/>
          <w:sz w:val="24"/>
          <w:szCs w:val="24"/>
        </w:rPr>
        <w:t xml:space="preserve">costs </w:t>
      </w:r>
      <w:r w:rsidR="009233D5" w:rsidRPr="000B6FB1">
        <w:rPr>
          <w:rFonts w:ascii="Arial" w:hAnsi="Arial" w:cs="Arial"/>
          <w:sz w:val="24"/>
          <w:szCs w:val="24"/>
        </w:rPr>
        <w:t xml:space="preserve">(i.e. current year to next rebasing period) by </w:t>
      </w:r>
      <w:r w:rsidR="00F53D25">
        <w:rPr>
          <w:rFonts w:ascii="Arial" w:hAnsi="Arial" w:cs="Arial"/>
          <w:sz w:val="24"/>
          <w:szCs w:val="24"/>
        </w:rPr>
        <w:t xml:space="preserve">the </w:t>
      </w:r>
      <w:r w:rsidR="009233D5" w:rsidRPr="000B6FB1">
        <w:rPr>
          <w:rFonts w:ascii="Arial" w:hAnsi="Arial" w:cs="Arial"/>
          <w:sz w:val="24"/>
          <w:szCs w:val="24"/>
        </w:rPr>
        <w:t>collection activit</w:t>
      </w:r>
      <w:r w:rsidR="00F53D25">
        <w:rPr>
          <w:rFonts w:ascii="Arial" w:hAnsi="Arial" w:cs="Arial"/>
          <w:sz w:val="24"/>
          <w:szCs w:val="24"/>
        </w:rPr>
        <w:t>ies</w:t>
      </w:r>
      <w:r w:rsidR="009233D5" w:rsidRPr="000B6FB1">
        <w:rPr>
          <w:rFonts w:ascii="Arial" w:hAnsi="Arial" w:cs="Arial"/>
          <w:sz w:val="24"/>
          <w:szCs w:val="24"/>
        </w:rPr>
        <w:t xml:space="preserve"> identified in Appendix G.</w:t>
      </w:r>
    </w:p>
    <w:p w14:paraId="5E28C7A4" w14:textId="77777777" w:rsidR="009233D5" w:rsidRDefault="009233D5" w:rsidP="009233D5">
      <w:pPr>
        <w:pStyle w:val="ListParagraph"/>
        <w:spacing w:line="276" w:lineRule="auto"/>
        <w:ind w:left="360"/>
        <w:rPr>
          <w:rFonts w:ascii="Arial" w:hAnsi="Arial" w:cs="Arial"/>
          <w:sz w:val="24"/>
          <w:szCs w:val="24"/>
        </w:rPr>
      </w:pPr>
    </w:p>
    <w:p w14:paraId="5D7FD929" w14:textId="32C402E6" w:rsidR="009233D5" w:rsidRPr="00E74EE6" w:rsidRDefault="009233D5" w:rsidP="009233D5">
      <w:pPr>
        <w:pStyle w:val="ListParagraph"/>
        <w:numPr>
          <w:ilvl w:val="0"/>
          <w:numId w:val="40"/>
        </w:numPr>
        <w:spacing w:line="276" w:lineRule="auto"/>
        <w:ind w:left="360" w:hanging="270"/>
        <w:rPr>
          <w:rFonts w:ascii="Arial" w:hAnsi="Arial" w:cs="Arial"/>
          <w:sz w:val="24"/>
          <w:szCs w:val="24"/>
        </w:rPr>
      </w:pPr>
      <w:r w:rsidRPr="00E74EE6">
        <w:rPr>
          <w:rFonts w:ascii="Arial" w:hAnsi="Arial" w:cs="Arial"/>
          <w:sz w:val="24"/>
          <w:szCs w:val="24"/>
        </w:rPr>
        <w:t>Please file updates to Tables G-1</w:t>
      </w:r>
      <w:r w:rsidR="00A825D2">
        <w:rPr>
          <w:rFonts w:ascii="Arial" w:hAnsi="Arial" w:cs="Arial"/>
          <w:sz w:val="24"/>
          <w:szCs w:val="24"/>
        </w:rPr>
        <w:t xml:space="preserve"> and</w:t>
      </w:r>
      <w:r w:rsidRPr="00E74EE6">
        <w:rPr>
          <w:rFonts w:ascii="Arial" w:hAnsi="Arial" w:cs="Arial"/>
          <w:sz w:val="24"/>
          <w:szCs w:val="24"/>
        </w:rPr>
        <w:t xml:space="preserve"> G-2 in excel format in response to the DVA questions. </w:t>
      </w:r>
    </w:p>
    <w:p w14:paraId="0CBADA08" w14:textId="77777777" w:rsidR="009233D5" w:rsidRPr="00E74EE6" w:rsidRDefault="009233D5" w:rsidP="009233D5">
      <w:pPr>
        <w:spacing w:line="276" w:lineRule="auto"/>
        <w:rPr>
          <w:rFonts w:ascii="Arial" w:hAnsi="Arial" w:cs="Arial"/>
          <w:sz w:val="24"/>
          <w:szCs w:val="24"/>
        </w:rPr>
      </w:pPr>
    </w:p>
    <w:p w14:paraId="774B1A1A" w14:textId="2379AE66" w:rsidR="009233D5" w:rsidRDefault="009233D5" w:rsidP="009233D5">
      <w:pPr>
        <w:pStyle w:val="Heading2"/>
      </w:pPr>
      <w:r>
        <w:t>Staff-12</w:t>
      </w:r>
    </w:p>
    <w:p w14:paraId="0E245108" w14:textId="77777777" w:rsidR="009233D5" w:rsidRPr="009233D5" w:rsidRDefault="009233D5" w:rsidP="009233D5"/>
    <w:p w14:paraId="1735564D" w14:textId="4E155509" w:rsidR="009233D5" w:rsidRPr="005403C7" w:rsidRDefault="009233D5" w:rsidP="009233D5">
      <w:pPr>
        <w:spacing w:line="276" w:lineRule="auto"/>
        <w:rPr>
          <w:rFonts w:ascii="Arial" w:hAnsi="Arial" w:cs="Arial"/>
          <w:sz w:val="24"/>
          <w:szCs w:val="24"/>
        </w:rPr>
      </w:pPr>
      <w:r w:rsidRPr="005403C7">
        <w:rPr>
          <w:rFonts w:ascii="Arial" w:hAnsi="Arial" w:cs="Arial"/>
          <w:sz w:val="24"/>
          <w:szCs w:val="24"/>
        </w:rPr>
        <w:t>Ref:</w:t>
      </w:r>
      <w:r w:rsidRPr="005403C7">
        <w:rPr>
          <w:rFonts w:ascii="Arial" w:hAnsi="Arial" w:cs="Arial"/>
          <w:sz w:val="24"/>
          <w:szCs w:val="24"/>
        </w:rPr>
        <w:tab/>
      </w:r>
      <w:r w:rsidR="00B371EC">
        <w:rPr>
          <w:rFonts w:ascii="Arial" w:hAnsi="Arial" w:cs="Arial"/>
          <w:sz w:val="24"/>
          <w:szCs w:val="24"/>
        </w:rPr>
        <w:t xml:space="preserve">(1) </w:t>
      </w:r>
      <w:r w:rsidRPr="005403C7">
        <w:rPr>
          <w:rFonts w:ascii="Arial" w:hAnsi="Arial" w:cs="Arial"/>
          <w:sz w:val="24"/>
          <w:szCs w:val="24"/>
        </w:rPr>
        <w:t>Application</w:t>
      </w:r>
      <w:r>
        <w:rPr>
          <w:rFonts w:ascii="Arial" w:hAnsi="Arial" w:cs="Arial"/>
          <w:sz w:val="24"/>
          <w:szCs w:val="24"/>
        </w:rPr>
        <w:t xml:space="preserve"> –</w:t>
      </w:r>
      <w:r w:rsidRPr="005403C7">
        <w:rPr>
          <w:rFonts w:ascii="Arial" w:hAnsi="Arial" w:cs="Arial"/>
          <w:sz w:val="24"/>
          <w:szCs w:val="24"/>
        </w:rPr>
        <w:t xml:space="preserve"> Appendix G (Table G-4)</w:t>
      </w:r>
    </w:p>
    <w:p w14:paraId="743C8F60" w14:textId="39F0E451"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lastRenderedPageBreak/>
        <w:t>Preamble:</w:t>
      </w:r>
    </w:p>
    <w:p w14:paraId="52555A0C" w14:textId="3085FD1C" w:rsidR="009233D5" w:rsidRPr="005403C7" w:rsidRDefault="009233D5" w:rsidP="009233D5">
      <w:pPr>
        <w:spacing w:line="276" w:lineRule="auto"/>
        <w:rPr>
          <w:rFonts w:ascii="Arial" w:hAnsi="Arial" w:cs="Arial"/>
          <w:sz w:val="24"/>
          <w:szCs w:val="24"/>
        </w:rPr>
      </w:pPr>
      <w:r w:rsidRPr="005403C7">
        <w:rPr>
          <w:rFonts w:ascii="Arial" w:hAnsi="Arial" w:cs="Arial"/>
          <w:sz w:val="24"/>
          <w:szCs w:val="24"/>
        </w:rPr>
        <w:t xml:space="preserve">Table G-4 provides a comparison </w:t>
      </w:r>
      <w:r w:rsidR="0065642C">
        <w:rPr>
          <w:rFonts w:ascii="Arial" w:hAnsi="Arial" w:cs="Arial"/>
          <w:sz w:val="24"/>
          <w:szCs w:val="24"/>
        </w:rPr>
        <w:t>of the</w:t>
      </w:r>
      <w:r w:rsidRPr="005403C7">
        <w:rPr>
          <w:rFonts w:ascii="Arial" w:hAnsi="Arial" w:cs="Arial"/>
          <w:sz w:val="24"/>
          <w:szCs w:val="24"/>
        </w:rPr>
        <w:t xml:space="preserve"> ROE </w:t>
      </w:r>
      <w:r w:rsidR="0065642C">
        <w:rPr>
          <w:rFonts w:ascii="Arial" w:hAnsi="Arial" w:cs="Arial"/>
          <w:sz w:val="24"/>
          <w:szCs w:val="24"/>
        </w:rPr>
        <w:t>in</w:t>
      </w:r>
      <w:r w:rsidRPr="005403C7">
        <w:rPr>
          <w:rFonts w:ascii="Arial" w:hAnsi="Arial" w:cs="Arial"/>
          <w:sz w:val="24"/>
          <w:szCs w:val="24"/>
        </w:rPr>
        <w:t xml:space="preserve"> 2017 and 2018. </w:t>
      </w:r>
      <w:r>
        <w:rPr>
          <w:rFonts w:ascii="Arial" w:hAnsi="Arial" w:cs="Arial"/>
          <w:sz w:val="24"/>
          <w:szCs w:val="24"/>
        </w:rPr>
        <w:t>The</w:t>
      </w:r>
      <w:r w:rsidRPr="005403C7">
        <w:rPr>
          <w:rFonts w:ascii="Arial" w:hAnsi="Arial" w:cs="Arial"/>
          <w:sz w:val="24"/>
          <w:szCs w:val="24"/>
        </w:rPr>
        <w:t xml:space="preserve"> following </w:t>
      </w:r>
      <w:r w:rsidR="0065642C">
        <w:rPr>
          <w:rFonts w:ascii="Arial" w:hAnsi="Arial" w:cs="Arial"/>
          <w:sz w:val="24"/>
          <w:szCs w:val="24"/>
        </w:rPr>
        <w:t>table was</w:t>
      </w:r>
      <w:r>
        <w:rPr>
          <w:rFonts w:ascii="Arial" w:hAnsi="Arial" w:cs="Arial"/>
          <w:sz w:val="24"/>
          <w:szCs w:val="24"/>
        </w:rPr>
        <w:t xml:space="preserve"> provided</w:t>
      </w:r>
      <w:r w:rsidRPr="005403C7">
        <w:rPr>
          <w:rFonts w:ascii="Arial" w:hAnsi="Arial" w:cs="Arial"/>
          <w:sz w:val="24"/>
          <w:szCs w:val="24"/>
        </w:rPr>
        <w:t>:</w:t>
      </w:r>
    </w:p>
    <w:p w14:paraId="2F6C6816" w14:textId="77777777" w:rsidR="009233D5" w:rsidRPr="005403C7" w:rsidRDefault="009233D5" w:rsidP="009233D5">
      <w:pPr>
        <w:spacing w:line="276" w:lineRule="auto"/>
        <w:rPr>
          <w:rFonts w:ascii="Arial" w:hAnsi="Arial" w:cs="Arial"/>
          <w:sz w:val="24"/>
          <w:szCs w:val="24"/>
        </w:rPr>
      </w:pPr>
      <w:r w:rsidRPr="005403C7">
        <w:rPr>
          <w:rFonts w:ascii="Arial" w:hAnsi="Arial" w:cs="Arial"/>
          <w:noProof/>
          <w:sz w:val="24"/>
          <w:szCs w:val="24"/>
        </w:rPr>
        <w:drawing>
          <wp:inline distT="0" distB="0" distL="0" distR="0" wp14:anchorId="46EB195F" wp14:editId="44391FD0">
            <wp:extent cx="3472933" cy="126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9397" cy="1298677"/>
                    </a:xfrm>
                    <a:prstGeom prst="rect">
                      <a:avLst/>
                    </a:prstGeom>
                  </pic:spPr>
                </pic:pic>
              </a:graphicData>
            </a:graphic>
          </wp:inline>
        </w:drawing>
      </w:r>
    </w:p>
    <w:p w14:paraId="6CE1D2C8" w14:textId="724AA0E9" w:rsidR="009233D5" w:rsidRPr="005403C7" w:rsidRDefault="005B69AE" w:rsidP="009233D5">
      <w:pPr>
        <w:spacing w:line="276" w:lineRule="auto"/>
        <w:rPr>
          <w:rFonts w:ascii="Arial" w:hAnsi="Arial" w:cs="Arial"/>
          <w:sz w:val="24"/>
          <w:szCs w:val="24"/>
        </w:rPr>
      </w:pPr>
      <w:r>
        <w:rPr>
          <w:rFonts w:ascii="Arial" w:hAnsi="Arial" w:cs="Arial"/>
          <w:sz w:val="24"/>
          <w:szCs w:val="24"/>
        </w:rPr>
        <w:t>D</w:t>
      </w:r>
      <w:r w:rsidRPr="005403C7">
        <w:rPr>
          <w:rFonts w:ascii="Arial" w:hAnsi="Arial" w:cs="Arial"/>
          <w:sz w:val="24"/>
          <w:szCs w:val="24"/>
        </w:rPr>
        <w:t>ue to the removal of the Collection of Account charge effective July 1, 2019</w:t>
      </w:r>
      <w:r>
        <w:rPr>
          <w:rFonts w:ascii="Arial" w:hAnsi="Arial" w:cs="Arial"/>
          <w:sz w:val="24"/>
          <w:szCs w:val="24"/>
        </w:rPr>
        <w:t xml:space="preserve">, </w:t>
      </w:r>
      <w:r w:rsidR="009233D5">
        <w:rPr>
          <w:rFonts w:ascii="Arial" w:hAnsi="Arial" w:cs="Arial"/>
          <w:sz w:val="24"/>
          <w:szCs w:val="24"/>
        </w:rPr>
        <w:t>Elexicon Energy</w:t>
      </w:r>
      <w:r w:rsidR="009233D5" w:rsidRPr="005403C7">
        <w:rPr>
          <w:rFonts w:ascii="Arial" w:hAnsi="Arial" w:cs="Arial"/>
          <w:sz w:val="24"/>
          <w:szCs w:val="24"/>
        </w:rPr>
        <w:t xml:space="preserve"> notes that </w:t>
      </w:r>
      <w:r>
        <w:rPr>
          <w:rFonts w:ascii="Arial" w:hAnsi="Arial" w:cs="Arial"/>
          <w:sz w:val="24"/>
          <w:szCs w:val="24"/>
        </w:rPr>
        <w:t>it will increase the</w:t>
      </w:r>
      <w:r w:rsidR="009233D5" w:rsidRPr="005403C7">
        <w:rPr>
          <w:rFonts w:ascii="Arial" w:hAnsi="Arial" w:cs="Arial"/>
          <w:sz w:val="24"/>
          <w:szCs w:val="24"/>
        </w:rPr>
        <w:t xml:space="preserve"> ROE in 2019 and 2020.</w:t>
      </w:r>
    </w:p>
    <w:p w14:paraId="2E6024BD" w14:textId="77777777"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t>Questions:</w:t>
      </w:r>
    </w:p>
    <w:p w14:paraId="396E37A9" w14:textId="77777777" w:rsidR="009233D5" w:rsidRDefault="009233D5" w:rsidP="009233D5">
      <w:pPr>
        <w:pStyle w:val="ListParagraph"/>
        <w:numPr>
          <w:ilvl w:val="0"/>
          <w:numId w:val="41"/>
        </w:numPr>
        <w:spacing w:line="276" w:lineRule="auto"/>
        <w:rPr>
          <w:rFonts w:ascii="Arial" w:hAnsi="Arial" w:cs="Arial"/>
          <w:sz w:val="24"/>
          <w:szCs w:val="24"/>
        </w:rPr>
      </w:pPr>
      <w:r w:rsidRPr="005403C7">
        <w:rPr>
          <w:rFonts w:ascii="Arial" w:hAnsi="Arial" w:cs="Arial"/>
          <w:sz w:val="24"/>
          <w:szCs w:val="24"/>
        </w:rPr>
        <w:t xml:space="preserve">Please </w:t>
      </w:r>
      <w:r>
        <w:rPr>
          <w:rFonts w:ascii="Arial" w:hAnsi="Arial" w:cs="Arial"/>
          <w:sz w:val="24"/>
          <w:szCs w:val="24"/>
        </w:rPr>
        <w:t>confirm that</w:t>
      </w:r>
      <w:r w:rsidRPr="005403C7">
        <w:rPr>
          <w:rFonts w:ascii="Arial" w:hAnsi="Arial" w:cs="Arial"/>
          <w:sz w:val="24"/>
          <w:szCs w:val="24"/>
        </w:rPr>
        <w:t xml:space="preserve"> </w:t>
      </w:r>
      <w:r>
        <w:rPr>
          <w:rFonts w:ascii="Arial" w:hAnsi="Arial" w:cs="Arial"/>
          <w:sz w:val="24"/>
          <w:szCs w:val="24"/>
        </w:rPr>
        <w:t xml:space="preserve">the “RRR Adjusted for Lost Revenue” under the </w:t>
      </w:r>
      <w:r w:rsidRPr="005403C7">
        <w:rPr>
          <w:rFonts w:ascii="Arial" w:hAnsi="Arial" w:cs="Arial"/>
          <w:sz w:val="24"/>
          <w:szCs w:val="24"/>
        </w:rPr>
        <w:t xml:space="preserve">ROE </w:t>
      </w:r>
      <w:r>
        <w:rPr>
          <w:rFonts w:ascii="Arial" w:hAnsi="Arial" w:cs="Arial"/>
          <w:sz w:val="24"/>
          <w:szCs w:val="24"/>
        </w:rPr>
        <w:t xml:space="preserve">comparison heading of Table G-4 </w:t>
      </w:r>
      <w:r w:rsidRPr="005403C7">
        <w:rPr>
          <w:rFonts w:ascii="Arial" w:hAnsi="Arial" w:cs="Arial"/>
          <w:sz w:val="24"/>
          <w:szCs w:val="24"/>
        </w:rPr>
        <w:t xml:space="preserve">represents the ROE </w:t>
      </w:r>
      <w:r>
        <w:rPr>
          <w:rFonts w:ascii="Arial" w:hAnsi="Arial" w:cs="Arial"/>
          <w:sz w:val="24"/>
          <w:szCs w:val="24"/>
        </w:rPr>
        <w:t xml:space="preserve">with lost revenues included.  </w:t>
      </w:r>
    </w:p>
    <w:p w14:paraId="545A0F6E" w14:textId="77777777" w:rsidR="009233D5" w:rsidRPr="005403C7" w:rsidRDefault="009233D5" w:rsidP="009233D5">
      <w:pPr>
        <w:pStyle w:val="ListParagraph"/>
        <w:spacing w:line="276" w:lineRule="auto"/>
        <w:rPr>
          <w:rFonts w:ascii="Arial" w:hAnsi="Arial" w:cs="Arial"/>
          <w:sz w:val="24"/>
          <w:szCs w:val="24"/>
        </w:rPr>
      </w:pPr>
    </w:p>
    <w:p w14:paraId="1E0EE247" w14:textId="17449F80" w:rsidR="009233D5" w:rsidRDefault="009233D5" w:rsidP="009233D5">
      <w:pPr>
        <w:pStyle w:val="ListParagraph"/>
        <w:numPr>
          <w:ilvl w:val="0"/>
          <w:numId w:val="41"/>
        </w:numPr>
        <w:spacing w:line="276" w:lineRule="auto"/>
        <w:rPr>
          <w:rFonts w:ascii="Arial" w:hAnsi="Arial" w:cs="Arial"/>
          <w:sz w:val="24"/>
          <w:szCs w:val="24"/>
        </w:rPr>
      </w:pPr>
      <w:r w:rsidRPr="005403C7">
        <w:rPr>
          <w:rFonts w:ascii="Arial" w:hAnsi="Arial" w:cs="Arial"/>
          <w:sz w:val="24"/>
          <w:szCs w:val="24"/>
        </w:rPr>
        <w:t xml:space="preserve">Please </w:t>
      </w:r>
      <w:r w:rsidR="002F7734">
        <w:rPr>
          <w:rFonts w:ascii="Arial" w:hAnsi="Arial" w:cs="Arial"/>
          <w:sz w:val="24"/>
          <w:szCs w:val="24"/>
        </w:rPr>
        <w:t>confirm whether</w:t>
      </w:r>
      <w:r>
        <w:rPr>
          <w:rFonts w:ascii="Arial" w:hAnsi="Arial" w:cs="Arial"/>
          <w:sz w:val="24"/>
          <w:szCs w:val="24"/>
        </w:rPr>
        <w:t xml:space="preserve"> the </w:t>
      </w:r>
      <w:r w:rsidRPr="005403C7">
        <w:rPr>
          <w:rFonts w:ascii="Arial" w:hAnsi="Arial" w:cs="Arial"/>
          <w:sz w:val="24"/>
          <w:szCs w:val="24"/>
        </w:rPr>
        <w:t xml:space="preserve">54 </w:t>
      </w:r>
      <w:r>
        <w:rPr>
          <w:rFonts w:ascii="Arial" w:hAnsi="Arial" w:cs="Arial"/>
          <w:sz w:val="24"/>
          <w:szCs w:val="24"/>
        </w:rPr>
        <w:t>basis point increase</w:t>
      </w:r>
      <w:r w:rsidRPr="005403C7">
        <w:rPr>
          <w:rFonts w:ascii="Arial" w:hAnsi="Arial" w:cs="Arial"/>
          <w:sz w:val="24"/>
          <w:szCs w:val="24"/>
        </w:rPr>
        <w:t xml:space="preserve"> in </w:t>
      </w:r>
      <w:r>
        <w:rPr>
          <w:rFonts w:ascii="Arial" w:hAnsi="Arial" w:cs="Arial"/>
          <w:sz w:val="24"/>
          <w:szCs w:val="24"/>
        </w:rPr>
        <w:t xml:space="preserve">2018 </w:t>
      </w:r>
      <w:r w:rsidRPr="005403C7">
        <w:rPr>
          <w:rFonts w:ascii="Arial" w:hAnsi="Arial" w:cs="Arial"/>
          <w:sz w:val="24"/>
          <w:szCs w:val="24"/>
        </w:rPr>
        <w:t>ROE</w:t>
      </w:r>
      <w:r>
        <w:rPr>
          <w:rFonts w:ascii="Arial" w:hAnsi="Arial" w:cs="Arial"/>
          <w:sz w:val="24"/>
          <w:szCs w:val="24"/>
        </w:rPr>
        <w:t xml:space="preserve"> is associated with </w:t>
      </w:r>
      <w:r w:rsidR="002839B8">
        <w:rPr>
          <w:rFonts w:ascii="Arial" w:hAnsi="Arial" w:cs="Arial"/>
          <w:sz w:val="24"/>
          <w:szCs w:val="24"/>
        </w:rPr>
        <w:t>tr</w:t>
      </w:r>
      <w:r w:rsidR="009A0564">
        <w:rPr>
          <w:rFonts w:ascii="Arial" w:hAnsi="Arial" w:cs="Arial"/>
          <w:sz w:val="24"/>
          <w:szCs w:val="24"/>
        </w:rPr>
        <w:t xml:space="preserve">ueing up actual revenues to </w:t>
      </w:r>
      <w:r w:rsidR="002839B8">
        <w:rPr>
          <w:rFonts w:ascii="Arial" w:hAnsi="Arial" w:cs="Arial"/>
          <w:sz w:val="24"/>
          <w:szCs w:val="24"/>
        </w:rPr>
        <w:t xml:space="preserve">forecast </w:t>
      </w:r>
      <w:r>
        <w:rPr>
          <w:rFonts w:ascii="Arial" w:hAnsi="Arial" w:cs="Arial"/>
          <w:sz w:val="24"/>
          <w:szCs w:val="24"/>
        </w:rPr>
        <w:t xml:space="preserve">based on the difference between $346,290 (2018 actual collection </w:t>
      </w:r>
      <w:r w:rsidR="00DC380C">
        <w:rPr>
          <w:rFonts w:ascii="Arial" w:hAnsi="Arial" w:cs="Arial"/>
          <w:sz w:val="24"/>
          <w:szCs w:val="24"/>
        </w:rPr>
        <w:t xml:space="preserve">of account </w:t>
      </w:r>
      <w:r>
        <w:rPr>
          <w:rFonts w:ascii="Arial" w:hAnsi="Arial" w:cs="Arial"/>
          <w:sz w:val="24"/>
          <w:szCs w:val="24"/>
        </w:rPr>
        <w:t>revenues) and $1,143,711 (2014 COS approved).</w:t>
      </w:r>
      <w:r w:rsidRPr="005403C7">
        <w:rPr>
          <w:rFonts w:ascii="Arial" w:hAnsi="Arial" w:cs="Arial"/>
          <w:sz w:val="24"/>
          <w:szCs w:val="24"/>
        </w:rPr>
        <w:t xml:space="preserve"> </w:t>
      </w:r>
      <w:r w:rsidR="003870F6">
        <w:rPr>
          <w:rFonts w:ascii="Arial" w:hAnsi="Arial" w:cs="Arial"/>
          <w:sz w:val="24"/>
          <w:szCs w:val="24"/>
        </w:rPr>
        <w:t>If not, please explain</w:t>
      </w:r>
      <w:r>
        <w:rPr>
          <w:rFonts w:ascii="Arial" w:hAnsi="Arial" w:cs="Arial"/>
          <w:sz w:val="24"/>
          <w:szCs w:val="24"/>
        </w:rPr>
        <w:t xml:space="preserve">. </w:t>
      </w:r>
    </w:p>
    <w:p w14:paraId="59B87AC2" w14:textId="77777777" w:rsidR="00A825D2" w:rsidRPr="0041636F" w:rsidRDefault="00A825D2" w:rsidP="0041636F">
      <w:pPr>
        <w:pStyle w:val="ListParagraph"/>
        <w:rPr>
          <w:rFonts w:ascii="Arial" w:hAnsi="Arial" w:cs="Arial"/>
          <w:sz w:val="24"/>
          <w:szCs w:val="24"/>
        </w:rPr>
      </w:pPr>
    </w:p>
    <w:p w14:paraId="7064D8CC" w14:textId="52E2E27E" w:rsidR="00A825D2" w:rsidRPr="005403C7" w:rsidRDefault="00A825D2" w:rsidP="009233D5">
      <w:pPr>
        <w:pStyle w:val="ListParagraph"/>
        <w:numPr>
          <w:ilvl w:val="0"/>
          <w:numId w:val="41"/>
        </w:numPr>
        <w:spacing w:line="276" w:lineRule="auto"/>
        <w:rPr>
          <w:rFonts w:ascii="Arial" w:hAnsi="Arial" w:cs="Arial"/>
          <w:sz w:val="24"/>
          <w:szCs w:val="24"/>
        </w:rPr>
      </w:pPr>
      <w:r>
        <w:rPr>
          <w:rFonts w:ascii="Arial" w:hAnsi="Arial" w:cs="Arial"/>
          <w:sz w:val="24"/>
          <w:szCs w:val="24"/>
        </w:rPr>
        <w:t xml:space="preserve">Please update Table G-4 </w:t>
      </w:r>
      <w:r w:rsidR="00427AF5">
        <w:rPr>
          <w:rFonts w:ascii="Arial" w:hAnsi="Arial" w:cs="Arial"/>
          <w:sz w:val="24"/>
          <w:szCs w:val="24"/>
        </w:rPr>
        <w:t>with</w:t>
      </w:r>
      <w:r>
        <w:rPr>
          <w:rFonts w:ascii="Arial" w:hAnsi="Arial" w:cs="Arial"/>
          <w:sz w:val="24"/>
          <w:szCs w:val="24"/>
        </w:rPr>
        <w:t xml:space="preserve"> 2019 and 2020 </w:t>
      </w:r>
      <w:r w:rsidR="00267F0C">
        <w:rPr>
          <w:rFonts w:ascii="Arial" w:hAnsi="Arial" w:cs="Arial"/>
          <w:sz w:val="24"/>
          <w:szCs w:val="24"/>
        </w:rPr>
        <w:t xml:space="preserve">ROE </w:t>
      </w:r>
      <w:r>
        <w:rPr>
          <w:rFonts w:ascii="Arial" w:hAnsi="Arial" w:cs="Arial"/>
          <w:sz w:val="24"/>
          <w:szCs w:val="24"/>
        </w:rPr>
        <w:t>estimates and explain the results.</w:t>
      </w:r>
      <w:r w:rsidR="00D34650">
        <w:rPr>
          <w:rFonts w:ascii="Arial" w:hAnsi="Arial" w:cs="Arial"/>
          <w:sz w:val="24"/>
          <w:szCs w:val="24"/>
        </w:rPr>
        <w:t xml:space="preserve"> Please file an updated version of the table in response to this question.</w:t>
      </w:r>
    </w:p>
    <w:p w14:paraId="1787D5F6" w14:textId="77777777" w:rsidR="00BD227A" w:rsidRPr="005403C7" w:rsidRDefault="00BD227A" w:rsidP="009233D5">
      <w:pPr>
        <w:spacing w:line="276" w:lineRule="auto"/>
        <w:rPr>
          <w:rFonts w:ascii="Arial" w:hAnsi="Arial" w:cs="Arial"/>
          <w:sz w:val="24"/>
          <w:szCs w:val="24"/>
        </w:rPr>
      </w:pPr>
    </w:p>
    <w:p w14:paraId="212731A9" w14:textId="1AF1D529" w:rsidR="009233D5" w:rsidRDefault="009233D5" w:rsidP="009233D5">
      <w:pPr>
        <w:pStyle w:val="Heading2"/>
      </w:pPr>
      <w:r>
        <w:t>Staff-13</w:t>
      </w:r>
    </w:p>
    <w:p w14:paraId="4A8B5611" w14:textId="77777777" w:rsidR="009233D5" w:rsidRPr="009233D5" w:rsidRDefault="009233D5" w:rsidP="009233D5"/>
    <w:p w14:paraId="77A8D48B" w14:textId="134E10FF" w:rsidR="009233D5" w:rsidRPr="005403C7" w:rsidRDefault="009233D5" w:rsidP="009233D5">
      <w:pPr>
        <w:spacing w:line="276" w:lineRule="auto"/>
        <w:rPr>
          <w:rFonts w:ascii="Arial" w:hAnsi="Arial" w:cs="Arial"/>
          <w:sz w:val="24"/>
          <w:szCs w:val="24"/>
        </w:rPr>
      </w:pPr>
      <w:r w:rsidRPr="005403C7">
        <w:rPr>
          <w:rFonts w:ascii="Arial" w:hAnsi="Arial" w:cs="Arial"/>
          <w:sz w:val="24"/>
          <w:szCs w:val="24"/>
        </w:rPr>
        <w:t>Ref:</w:t>
      </w:r>
      <w:r w:rsidRPr="005403C7">
        <w:rPr>
          <w:rFonts w:ascii="Arial" w:hAnsi="Arial" w:cs="Arial"/>
          <w:sz w:val="24"/>
          <w:szCs w:val="24"/>
        </w:rPr>
        <w:tab/>
      </w:r>
      <w:r w:rsidR="00B371EC">
        <w:rPr>
          <w:rFonts w:ascii="Arial" w:hAnsi="Arial" w:cs="Arial"/>
          <w:sz w:val="24"/>
          <w:szCs w:val="24"/>
        </w:rPr>
        <w:t xml:space="preserve">(1) </w:t>
      </w:r>
      <w:r w:rsidRPr="005403C7">
        <w:rPr>
          <w:rFonts w:ascii="Arial" w:hAnsi="Arial" w:cs="Arial"/>
          <w:sz w:val="24"/>
          <w:szCs w:val="24"/>
        </w:rPr>
        <w:t>Application</w:t>
      </w:r>
      <w:r>
        <w:rPr>
          <w:rFonts w:ascii="Arial" w:hAnsi="Arial" w:cs="Arial"/>
          <w:sz w:val="24"/>
          <w:szCs w:val="24"/>
        </w:rPr>
        <w:t xml:space="preserve"> –</w:t>
      </w:r>
      <w:r w:rsidRPr="005403C7">
        <w:rPr>
          <w:rFonts w:ascii="Arial" w:hAnsi="Arial" w:cs="Arial"/>
          <w:sz w:val="24"/>
          <w:szCs w:val="24"/>
        </w:rPr>
        <w:t xml:space="preserve"> Appendix G (pages 2-3)</w:t>
      </w:r>
    </w:p>
    <w:p w14:paraId="22EEC286" w14:textId="7459C9FF"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t>Preamble:</w:t>
      </w:r>
    </w:p>
    <w:p w14:paraId="3CA9430E" w14:textId="340C121E" w:rsidR="009233D5" w:rsidRPr="005403C7" w:rsidRDefault="009233D5" w:rsidP="009233D5">
      <w:pPr>
        <w:spacing w:line="276" w:lineRule="auto"/>
        <w:rPr>
          <w:rFonts w:ascii="Arial" w:hAnsi="Arial" w:cs="Arial"/>
          <w:sz w:val="24"/>
          <w:szCs w:val="24"/>
        </w:rPr>
      </w:pPr>
      <w:r>
        <w:rPr>
          <w:rFonts w:ascii="Arial" w:hAnsi="Arial" w:cs="Arial"/>
          <w:sz w:val="24"/>
          <w:szCs w:val="24"/>
        </w:rPr>
        <w:t>Elexicon Energy</w:t>
      </w:r>
      <w:r w:rsidRPr="005403C7">
        <w:rPr>
          <w:rFonts w:ascii="Arial" w:hAnsi="Arial" w:cs="Arial"/>
          <w:sz w:val="24"/>
          <w:szCs w:val="24"/>
        </w:rPr>
        <w:t xml:space="preserve"> states that cost savings are expected to be below materiality threshold due to the following </w:t>
      </w:r>
      <w:r w:rsidR="00BC18E7">
        <w:rPr>
          <w:rFonts w:ascii="Arial" w:hAnsi="Arial" w:cs="Arial"/>
          <w:sz w:val="24"/>
          <w:szCs w:val="24"/>
        </w:rPr>
        <w:t>reasons</w:t>
      </w:r>
      <w:r w:rsidRPr="005403C7">
        <w:rPr>
          <w:rFonts w:ascii="Arial" w:hAnsi="Arial" w:cs="Arial"/>
          <w:sz w:val="24"/>
          <w:szCs w:val="24"/>
        </w:rPr>
        <w:t xml:space="preserve">: </w:t>
      </w:r>
    </w:p>
    <w:p w14:paraId="447E48A7" w14:textId="77777777" w:rsidR="009233D5" w:rsidRPr="005403C7" w:rsidRDefault="009233D5" w:rsidP="009233D5">
      <w:pPr>
        <w:pStyle w:val="ListParagraph"/>
        <w:numPr>
          <w:ilvl w:val="0"/>
          <w:numId w:val="42"/>
        </w:numPr>
        <w:spacing w:line="276" w:lineRule="auto"/>
        <w:rPr>
          <w:rFonts w:ascii="Arial" w:hAnsi="Arial" w:cs="Arial"/>
          <w:sz w:val="24"/>
          <w:szCs w:val="24"/>
        </w:rPr>
      </w:pPr>
      <w:r w:rsidRPr="005403C7">
        <w:rPr>
          <w:rFonts w:ascii="Arial" w:hAnsi="Arial" w:cs="Arial"/>
          <w:sz w:val="24"/>
          <w:szCs w:val="24"/>
        </w:rPr>
        <w:t>Continued incremental costs related to other forms of collection activity, including internal and external resources, collection notices, out-bound calls, field activities and collection agencies</w:t>
      </w:r>
    </w:p>
    <w:p w14:paraId="23088A1F" w14:textId="3B3E1293" w:rsidR="00DC380C" w:rsidRDefault="009233D5" w:rsidP="00146495">
      <w:pPr>
        <w:pStyle w:val="ListParagraph"/>
        <w:numPr>
          <w:ilvl w:val="0"/>
          <w:numId w:val="42"/>
        </w:numPr>
        <w:spacing w:line="276" w:lineRule="auto"/>
        <w:rPr>
          <w:rFonts w:ascii="Arial" w:hAnsi="Arial" w:cs="Arial"/>
          <w:sz w:val="24"/>
          <w:szCs w:val="24"/>
        </w:rPr>
      </w:pPr>
      <w:r w:rsidRPr="00DC380C">
        <w:rPr>
          <w:rFonts w:ascii="Arial" w:hAnsi="Arial" w:cs="Arial"/>
          <w:sz w:val="24"/>
          <w:szCs w:val="24"/>
        </w:rPr>
        <w:lastRenderedPageBreak/>
        <w:t xml:space="preserve">Continued use of </w:t>
      </w:r>
      <w:r w:rsidR="00DC380C" w:rsidRPr="00DC380C">
        <w:rPr>
          <w:rFonts w:ascii="Arial" w:hAnsi="Arial" w:cs="Arial"/>
          <w:sz w:val="24"/>
          <w:szCs w:val="24"/>
        </w:rPr>
        <w:t xml:space="preserve">a </w:t>
      </w:r>
      <w:r w:rsidRPr="00DC380C">
        <w:rPr>
          <w:rFonts w:ascii="Arial" w:hAnsi="Arial" w:cs="Arial"/>
          <w:sz w:val="24"/>
          <w:szCs w:val="24"/>
        </w:rPr>
        <w:t xml:space="preserve">third party </w:t>
      </w:r>
      <w:r w:rsidR="00DC380C" w:rsidRPr="00DC380C">
        <w:rPr>
          <w:rFonts w:ascii="Arial" w:hAnsi="Arial" w:cs="Arial"/>
          <w:sz w:val="24"/>
          <w:szCs w:val="24"/>
        </w:rPr>
        <w:t xml:space="preserve">service </w:t>
      </w:r>
      <w:r w:rsidRPr="00DC380C">
        <w:rPr>
          <w:rFonts w:ascii="Arial" w:hAnsi="Arial" w:cs="Arial"/>
          <w:sz w:val="24"/>
          <w:szCs w:val="24"/>
        </w:rPr>
        <w:t xml:space="preserve">for other field activities, charged at a flat daily rate, </w:t>
      </w:r>
      <w:r w:rsidR="00DC380C" w:rsidRPr="00DC380C">
        <w:rPr>
          <w:rFonts w:ascii="Arial" w:hAnsi="Arial" w:cs="Arial"/>
          <w:sz w:val="24"/>
          <w:szCs w:val="24"/>
        </w:rPr>
        <w:t xml:space="preserve">irrespective of the fact </w:t>
      </w:r>
      <w:r w:rsidRPr="00DC380C">
        <w:rPr>
          <w:rFonts w:ascii="Arial" w:hAnsi="Arial" w:cs="Arial"/>
          <w:sz w:val="24"/>
          <w:szCs w:val="24"/>
        </w:rPr>
        <w:t xml:space="preserve">the delivery notices </w:t>
      </w:r>
      <w:r w:rsidR="00071203">
        <w:rPr>
          <w:rFonts w:ascii="Arial" w:hAnsi="Arial" w:cs="Arial"/>
          <w:sz w:val="24"/>
          <w:szCs w:val="24"/>
        </w:rPr>
        <w:t>are</w:t>
      </w:r>
      <w:r w:rsidR="00DC380C" w:rsidRPr="00DC380C">
        <w:rPr>
          <w:rFonts w:ascii="Arial" w:hAnsi="Arial" w:cs="Arial"/>
          <w:sz w:val="24"/>
          <w:szCs w:val="24"/>
        </w:rPr>
        <w:t xml:space="preserve"> no longer hand delivered. </w:t>
      </w:r>
    </w:p>
    <w:p w14:paraId="4FB688D0" w14:textId="67D9A129" w:rsidR="009233D5" w:rsidRPr="00DC380C" w:rsidRDefault="005F64FC" w:rsidP="00DC380C">
      <w:pPr>
        <w:spacing w:line="276" w:lineRule="auto"/>
        <w:ind w:left="360"/>
        <w:rPr>
          <w:rFonts w:ascii="Arial" w:hAnsi="Arial" w:cs="Arial"/>
          <w:sz w:val="24"/>
          <w:szCs w:val="24"/>
        </w:rPr>
      </w:pPr>
      <w:r w:rsidRPr="00DC380C">
        <w:rPr>
          <w:rFonts w:ascii="Arial" w:hAnsi="Arial" w:cs="Arial"/>
          <w:sz w:val="24"/>
          <w:szCs w:val="24"/>
        </w:rPr>
        <w:t>Elexicon Energy further notes</w:t>
      </w:r>
      <w:r w:rsidR="009233D5" w:rsidRPr="00DC380C">
        <w:rPr>
          <w:rFonts w:ascii="Arial" w:hAnsi="Arial" w:cs="Arial"/>
          <w:sz w:val="24"/>
          <w:szCs w:val="24"/>
        </w:rPr>
        <w:t xml:space="preserve"> there is limited ability to separate incremental costs and cost savings by rate zone, as OM&amp;A activities </w:t>
      </w:r>
      <w:r w:rsidR="00550EAC" w:rsidRPr="00DC380C">
        <w:rPr>
          <w:rFonts w:ascii="Arial" w:hAnsi="Arial" w:cs="Arial"/>
          <w:sz w:val="24"/>
          <w:szCs w:val="24"/>
        </w:rPr>
        <w:t>in</w:t>
      </w:r>
      <w:r w:rsidR="009233D5" w:rsidRPr="00DC380C">
        <w:rPr>
          <w:rFonts w:ascii="Arial" w:hAnsi="Arial" w:cs="Arial"/>
          <w:sz w:val="24"/>
          <w:szCs w:val="24"/>
        </w:rPr>
        <w:t xml:space="preserve"> the Whitby and Veridian Rate Zones are becoming more integrated.</w:t>
      </w:r>
    </w:p>
    <w:p w14:paraId="28AB81C9" w14:textId="77777777" w:rsidR="009233D5" w:rsidRPr="005403C7" w:rsidRDefault="009233D5" w:rsidP="009233D5">
      <w:pPr>
        <w:spacing w:line="276" w:lineRule="auto"/>
        <w:rPr>
          <w:rFonts w:ascii="Arial" w:hAnsi="Arial" w:cs="Arial"/>
          <w:sz w:val="24"/>
          <w:szCs w:val="24"/>
        </w:rPr>
      </w:pPr>
    </w:p>
    <w:p w14:paraId="569EB6EA" w14:textId="77777777" w:rsidR="009233D5" w:rsidRPr="005403C7" w:rsidRDefault="009233D5" w:rsidP="009233D5">
      <w:pPr>
        <w:spacing w:line="276" w:lineRule="auto"/>
        <w:rPr>
          <w:rFonts w:ascii="Arial" w:hAnsi="Arial" w:cs="Arial"/>
          <w:sz w:val="24"/>
          <w:szCs w:val="24"/>
          <w:u w:val="single"/>
        </w:rPr>
      </w:pPr>
      <w:r w:rsidRPr="005403C7">
        <w:rPr>
          <w:rFonts w:ascii="Arial" w:hAnsi="Arial" w:cs="Arial"/>
          <w:sz w:val="24"/>
          <w:szCs w:val="24"/>
          <w:u w:val="single"/>
        </w:rPr>
        <w:t>Questions:</w:t>
      </w:r>
    </w:p>
    <w:p w14:paraId="21DC0002" w14:textId="3FCBF2BF" w:rsidR="009233D5" w:rsidRDefault="009233D5" w:rsidP="009233D5">
      <w:pPr>
        <w:pStyle w:val="ListParagraph"/>
        <w:numPr>
          <w:ilvl w:val="0"/>
          <w:numId w:val="43"/>
        </w:numPr>
        <w:spacing w:line="276" w:lineRule="auto"/>
        <w:rPr>
          <w:rFonts w:ascii="Arial" w:hAnsi="Arial" w:cs="Arial"/>
          <w:sz w:val="24"/>
          <w:szCs w:val="24"/>
        </w:rPr>
      </w:pPr>
      <w:r>
        <w:rPr>
          <w:rFonts w:ascii="Arial" w:hAnsi="Arial" w:cs="Arial"/>
          <w:sz w:val="24"/>
          <w:szCs w:val="24"/>
        </w:rPr>
        <w:t xml:space="preserve">Please quantify the cost savings in the Veridian Rate Zone based on the </w:t>
      </w:r>
      <w:r w:rsidR="00796502">
        <w:rPr>
          <w:rFonts w:ascii="Arial" w:hAnsi="Arial" w:cs="Arial"/>
          <w:sz w:val="24"/>
          <w:szCs w:val="24"/>
        </w:rPr>
        <w:t xml:space="preserve">collection </w:t>
      </w:r>
      <w:r>
        <w:rPr>
          <w:rFonts w:ascii="Arial" w:hAnsi="Arial" w:cs="Arial"/>
          <w:sz w:val="24"/>
          <w:szCs w:val="24"/>
        </w:rPr>
        <w:t>activities that are now avoided</w:t>
      </w:r>
      <w:r w:rsidR="00796502">
        <w:rPr>
          <w:rFonts w:ascii="Arial" w:hAnsi="Arial" w:cs="Arial"/>
          <w:sz w:val="24"/>
          <w:szCs w:val="24"/>
        </w:rPr>
        <w:t>, as</w:t>
      </w:r>
      <w:r w:rsidR="00796502" w:rsidRPr="00796502">
        <w:rPr>
          <w:rFonts w:ascii="Arial" w:hAnsi="Arial" w:cs="Arial"/>
          <w:sz w:val="24"/>
          <w:szCs w:val="24"/>
        </w:rPr>
        <w:t xml:space="preserve"> </w:t>
      </w:r>
      <w:r w:rsidR="00796502">
        <w:rPr>
          <w:rFonts w:ascii="Arial" w:hAnsi="Arial" w:cs="Arial"/>
          <w:sz w:val="24"/>
          <w:szCs w:val="24"/>
        </w:rPr>
        <w:t>identified in Appendix G</w:t>
      </w:r>
      <w:r>
        <w:rPr>
          <w:rFonts w:ascii="Arial" w:hAnsi="Arial" w:cs="Arial"/>
          <w:sz w:val="24"/>
          <w:szCs w:val="24"/>
        </w:rPr>
        <w:t xml:space="preserve">. </w:t>
      </w:r>
    </w:p>
    <w:p w14:paraId="0FF90DC5" w14:textId="77777777" w:rsidR="009233D5" w:rsidRDefault="009233D5" w:rsidP="009233D5">
      <w:pPr>
        <w:pStyle w:val="ListParagraph"/>
        <w:spacing w:line="276" w:lineRule="auto"/>
        <w:rPr>
          <w:rFonts w:ascii="Arial" w:hAnsi="Arial" w:cs="Arial"/>
          <w:sz w:val="24"/>
          <w:szCs w:val="24"/>
        </w:rPr>
      </w:pPr>
    </w:p>
    <w:p w14:paraId="6091E527" w14:textId="2EA1174F" w:rsidR="009233D5" w:rsidRDefault="009233D5" w:rsidP="009233D5">
      <w:pPr>
        <w:pStyle w:val="ListParagraph"/>
        <w:numPr>
          <w:ilvl w:val="0"/>
          <w:numId w:val="43"/>
        </w:numPr>
        <w:spacing w:line="276" w:lineRule="auto"/>
        <w:rPr>
          <w:rFonts w:ascii="Arial" w:hAnsi="Arial" w:cs="Arial"/>
          <w:sz w:val="24"/>
          <w:szCs w:val="24"/>
        </w:rPr>
      </w:pPr>
      <w:r>
        <w:rPr>
          <w:rFonts w:ascii="Arial" w:hAnsi="Arial" w:cs="Arial"/>
          <w:sz w:val="24"/>
          <w:szCs w:val="24"/>
        </w:rPr>
        <w:t>Please clarify whether</w:t>
      </w:r>
      <w:r w:rsidRPr="00C22961">
        <w:rPr>
          <w:rFonts w:ascii="Arial" w:hAnsi="Arial" w:cs="Arial"/>
          <w:sz w:val="24"/>
          <w:szCs w:val="24"/>
        </w:rPr>
        <w:t xml:space="preserve"> </w:t>
      </w:r>
      <w:r>
        <w:rPr>
          <w:rFonts w:ascii="Arial" w:hAnsi="Arial" w:cs="Arial"/>
          <w:sz w:val="24"/>
          <w:szCs w:val="24"/>
        </w:rPr>
        <w:t>Elexicon Energy</w:t>
      </w:r>
      <w:r w:rsidRPr="005403C7">
        <w:rPr>
          <w:rFonts w:ascii="Arial" w:hAnsi="Arial" w:cs="Arial"/>
          <w:sz w:val="24"/>
          <w:szCs w:val="24"/>
        </w:rPr>
        <w:t xml:space="preserve"> plan</w:t>
      </w:r>
      <w:r>
        <w:rPr>
          <w:rFonts w:ascii="Arial" w:hAnsi="Arial" w:cs="Arial"/>
          <w:sz w:val="24"/>
          <w:szCs w:val="24"/>
        </w:rPr>
        <w:t xml:space="preserve">s </w:t>
      </w:r>
      <w:r w:rsidRPr="005403C7">
        <w:rPr>
          <w:rFonts w:ascii="Arial" w:hAnsi="Arial" w:cs="Arial"/>
          <w:sz w:val="24"/>
          <w:szCs w:val="24"/>
        </w:rPr>
        <w:t>on recording</w:t>
      </w:r>
      <w:r>
        <w:rPr>
          <w:rFonts w:ascii="Arial" w:hAnsi="Arial" w:cs="Arial"/>
          <w:sz w:val="24"/>
          <w:szCs w:val="24"/>
        </w:rPr>
        <w:t xml:space="preserve"> </w:t>
      </w:r>
      <w:r w:rsidRPr="005403C7">
        <w:rPr>
          <w:rFonts w:ascii="Arial" w:hAnsi="Arial" w:cs="Arial"/>
          <w:sz w:val="24"/>
          <w:szCs w:val="24"/>
        </w:rPr>
        <w:t xml:space="preserve">cost savings in the deferral </w:t>
      </w:r>
      <w:r w:rsidR="0029458F">
        <w:rPr>
          <w:rFonts w:ascii="Arial" w:hAnsi="Arial" w:cs="Arial"/>
          <w:sz w:val="24"/>
          <w:szCs w:val="24"/>
        </w:rPr>
        <w:t xml:space="preserve">or variance </w:t>
      </w:r>
      <w:r w:rsidRPr="005403C7">
        <w:rPr>
          <w:rFonts w:ascii="Arial" w:hAnsi="Arial" w:cs="Arial"/>
          <w:sz w:val="24"/>
          <w:szCs w:val="24"/>
        </w:rPr>
        <w:t>account</w:t>
      </w:r>
      <w:r>
        <w:rPr>
          <w:rFonts w:ascii="Arial" w:hAnsi="Arial" w:cs="Arial"/>
          <w:sz w:val="24"/>
          <w:szCs w:val="24"/>
        </w:rPr>
        <w:t>.</w:t>
      </w:r>
    </w:p>
    <w:p w14:paraId="5810F7E9" w14:textId="77777777" w:rsidR="009233D5" w:rsidRDefault="009233D5" w:rsidP="009233D5">
      <w:pPr>
        <w:pStyle w:val="ListParagraph"/>
        <w:spacing w:line="276" w:lineRule="auto"/>
        <w:rPr>
          <w:rFonts w:ascii="Arial" w:hAnsi="Arial" w:cs="Arial"/>
          <w:sz w:val="24"/>
          <w:szCs w:val="24"/>
        </w:rPr>
      </w:pPr>
    </w:p>
    <w:p w14:paraId="1E039152" w14:textId="35C8612D" w:rsidR="009233D5" w:rsidRPr="005403C7" w:rsidRDefault="00E514B9" w:rsidP="009233D5">
      <w:pPr>
        <w:pStyle w:val="ListParagraph"/>
        <w:numPr>
          <w:ilvl w:val="0"/>
          <w:numId w:val="43"/>
        </w:numPr>
        <w:spacing w:line="276" w:lineRule="auto"/>
        <w:rPr>
          <w:rFonts w:ascii="Arial" w:hAnsi="Arial" w:cs="Arial"/>
          <w:sz w:val="24"/>
          <w:szCs w:val="24"/>
        </w:rPr>
      </w:pPr>
      <w:r>
        <w:rPr>
          <w:rFonts w:ascii="Arial" w:hAnsi="Arial" w:cs="Arial"/>
          <w:sz w:val="24"/>
          <w:szCs w:val="24"/>
        </w:rPr>
        <w:t>With regards to a) above, p</w:t>
      </w:r>
      <w:r w:rsidR="009233D5">
        <w:rPr>
          <w:rFonts w:ascii="Arial" w:hAnsi="Arial" w:cs="Arial"/>
          <w:sz w:val="24"/>
          <w:szCs w:val="24"/>
        </w:rPr>
        <w:t xml:space="preserve">lease explain </w:t>
      </w:r>
      <w:r w:rsidR="00435C5E">
        <w:rPr>
          <w:rFonts w:ascii="Arial" w:hAnsi="Arial" w:cs="Arial"/>
          <w:sz w:val="24"/>
          <w:szCs w:val="24"/>
        </w:rPr>
        <w:t>what</w:t>
      </w:r>
      <w:r w:rsidR="009233D5">
        <w:rPr>
          <w:rFonts w:ascii="Arial" w:hAnsi="Arial" w:cs="Arial"/>
          <w:sz w:val="24"/>
          <w:szCs w:val="24"/>
        </w:rPr>
        <w:t xml:space="preserve"> potential</w:t>
      </w:r>
      <w:r w:rsidR="009233D5" w:rsidRPr="005403C7">
        <w:rPr>
          <w:rFonts w:ascii="Arial" w:hAnsi="Arial" w:cs="Arial"/>
          <w:sz w:val="24"/>
          <w:szCs w:val="24"/>
        </w:rPr>
        <w:t xml:space="preserve"> actions </w:t>
      </w:r>
      <w:r w:rsidR="009233D5">
        <w:rPr>
          <w:rFonts w:ascii="Arial" w:hAnsi="Arial" w:cs="Arial"/>
          <w:sz w:val="24"/>
          <w:szCs w:val="24"/>
        </w:rPr>
        <w:t>Elexicon Energy</w:t>
      </w:r>
      <w:r w:rsidR="00BD69CF">
        <w:rPr>
          <w:rFonts w:ascii="Arial" w:hAnsi="Arial" w:cs="Arial"/>
          <w:sz w:val="24"/>
          <w:szCs w:val="24"/>
        </w:rPr>
        <w:t xml:space="preserve"> </w:t>
      </w:r>
      <w:r w:rsidR="00435C5E">
        <w:rPr>
          <w:rFonts w:ascii="Arial" w:hAnsi="Arial" w:cs="Arial"/>
          <w:sz w:val="24"/>
          <w:szCs w:val="24"/>
        </w:rPr>
        <w:t xml:space="preserve">may </w:t>
      </w:r>
      <w:r w:rsidR="009233D5">
        <w:rPr>
          <w:rFonts w:ascii="Arial" w:hAnsi="Arial" w:cs="Arial"/>
          <w:sz w:val="24"/>
          <w:szCs w:val="24"/>
        </w:rPr>
        <w:t>under</w:t>
      </w:r>
      <w:r w:rsidR="009233D5" w:rsidRPr="005403C7">
        <w:rPr>
          <w:rFonts w:ascii="Arial" w:hAnsi="Arial" w:cs="Arial"/>
          <w:sz w:val="24"/>
          <w:szCs w:val="24"/>
        </w:rPr>
        <w:t>tak</w:t>
      </w:r>
      <w:r w:rsidR="00435C5E">
        <w:rPr>
          <w:rFonts w:ascii="Arial" w:hAnsi="Arial" w:cs="Arial"/>
          <w:sz w:val="24"/>
          <w:szCs w:val="24"/>
        </w:rPr>
        <w:t xml:space="preserve">e </w:t>
      </w:r>
      <w:r w:rsidR="009233D5" w:rsidRPr="005403C7">
        <w:rPr>
          <w:rFonts w:ascii="Arial" w:hAnsi="Arial" w:cs="Arial"/>
          <w:sz w:val="24"/>
          <w:szCs w:val="24"/>
        </w:rPr>
        <w:t xml:space="preserve">to </w:t>
      </w:r>
      <w:r w:rsidR="00BD69CF">
        <w:rPr>
          <w:rFonts w:ascii="Arial" w:hAnsi="Arial" w:cs="Arial"/>
          <w:sz w:val="24"/>
          <w:szCs w:val="24"/>
        </w:rPr>
        <w:t>achieve greater</w:t>
      </w:r>
      <w:r w:rsidR="009233D5" w:rsidRPr="005403C7">
        <w:rPr>
          <w:rFonts w:ascii="Arial" w:hAnsi="Arial" w:cs="Arial"/>
          <w:sz w:val="24"/>
          <w:szCs w:val="24"/>
        </w:rPr>
        <w:t xml:space="preserve"> operational efficiencies</w:t>
      </w:r>
      <w:r w:rsidR="009233D5">
        <w:rPr>
          <w:rFonts w:ascii="Arial" w:hAnsi="Arial" w:cs="Arial"/>
          <w:sz w:val="24"/>
          <w:szCs w:val="24"/>
        </w:rPr>
        <w:t xml:space="preserve"> and cost savings in the</w:t>
      </w:r>
      <w:r w:rsidR="000608CA">
        <w:rPr>
          <w:rFonts w:ascii="Arial" w:hAnsi="Arial" w:cs="Arial"/>
          <w:sz w:val="24"/>
          <w:szCs w:val="24"/>
        </w:rPr>
        <w:t xml:space="preserve"> coming</w:t>
      </w:r>
      <w:r w:rsidR="009233D5">
        <w:rPr>
          <w:rFonts w:ascii="Arial" w:hAnsi="Arial" w:cs="Arial"/>
          <w:sz w:val="24"/>
          <w:szCs w:val="24"/>
        </w:rPr>
        <w:t xml:space="preserve"> years.</w:t>
      </w:r>
    </w:p>
    <w:p w14:paraId="09EAAAF1" w14:textId="77777777" w:rsidR="009233D5" w:rsidRDefault="009233D5" w:rsidP="009233D5">
      <w:pPr>
        <w:spacing w:line="276" w:lineRule="auto"/>
        <w:rPr>
          <w:rFonts w:ascii="Arial" w:hAnsi="Arial" w:cs="Arial"/>
          <w:sz w:val="24"/>
          <w:szCs w:val="24"/>
        </w:rPr>
      </w:pPr>
    </w:p>
    <w:p w14:paraId="0AACA337" w14:textId="30AE577E" w:rsidR="009233D5" w:rsidRDefault="009233D5" w:rsidP="009233D5">
      <w:pPr>
        <w:pStyle w:val="Heading2"/>
      </w:pPr>
      <w:r>
        <w:t>Staff-14</w:t>
      </w:r>
    </w:p>
    <w:p w14:paraId="2B5F483A" w14:textId="77777777" w:rsidR="009233D5" w:rsidRPr="009233D5" w:rsidRDefault="009233D5" w:rsidP="009233D5"/>
    <w:p w14:paraId="1BFE2948" w14:textId="5C96CDF2" w:rsidR="009233D5" w:rsidRPr="005403C7" w:rsidRDefault="009233D5" w:rsidP="009233D5">
      <w:pPr>
        <w:spacing w:line="276" w:lineRule="auto"/>
        <w:rPr>
          <w:rFonts w:ascii="Arial" w:hAnsi="Arial" w:cs="Arial"/>
          <w:sz w:val="24"/>
          <w:szCs w:val="24"/>
        </w:rPr>
      </w:pPr>
      <w:r>
        <w:rPr>
          <w:rFonts w:ascii="Arial" w:hAnsi="Arial" w:cs="Arial"/>
          <w:sz w:val="24"/>
          <w:szCs w:val="24"/>
        </w:rPr>
        <w:t>Ref:</w:t>
      </w:r>
      <w:r>
        <w:rPr>
          <w:rFonts w:ascii="Arial" w:hAnsi="Arial" w:cs="Arial"/>
          <w:sz w:val="24"/>
          <w:szCs w:val="24"/>
        </w:rPr>
        <w:tab/>
      </w:r>
      <w:r w:rsidR="00B371EC">
        <w:rPr>
          <w:rFonts w:ascii="Arial" w:hAnsi="Arial" w:cs="Arial"/>
          <w:sz w:val="24"/>
          <w:szCs w:val="24"/>
        </w:rPr>
        <w:t xml:space="preserve">(1) </w:t>
      </w:r>
      <w:r>
        <w:rPr>
          <w:rFonts w:ascii="Arial" w:hAnsi="Arial" w:cs="Arial"/>
          <w:sz w:val="24"/>
          <w:szCs w:val="24"/>
        </w:rPr>
        <w:t>Application – Appendix G, Draft Accounting Order</w:t>
      </w:r>
    </w:p>
    <w:p w14:paraId="008280C2" w14:textId="5261646A" w:rsidR="009233D5" w:rsidRDefault="009233D5" w:rsidP="009233D5">
      <w:pPr>
        <w:pStyle w:val="ListParagraph"/>
        <w:numPr>
          <w:ilvl w:val="1"/>
          <w:numId w:val="40"/>
        </w:numPr>
        <w:spacing w:line="276" w:lineRule="auto"/>
        <w:ind w:left="720"/>
        <w:rPr>
          <w:rFonts w:ascii="Arial" w:hAnsi="Arial" w:cs="Arial"/>
          <w:sz w:val="24"/>
          <w:szCs w:val="24"/>
        </w:rPr>
      </w:pPr>
      <w:r w:rsidRPr="002A0C19">
        <w:rPr>
          <w:rFonts w:ascii="Arial" w:hAnsi="Arial" w:cs="Arial"/>
          <w:sz w:val="24"/>
          <w:szCs w:val="24"/>
        </w:rPr>
        <w:t xml:space="preserve">Please re-file the Draft Accounting Order to reflect any changes </w:t>
      </w:r>
      <w:r w:rsidR="00943ABF">
        <w:rPr>
          <w:rFonts w:ascii="Arial" w:hAnsi="Arial" w:cs="Arial"/>
          <w:sz w:val="24"/>
          <w:szCs w:val="24"/>
        </w:rPr>
        <w:t xml:space="preserve">that may </w:t>
      </w:r>
      <w:r w:rsidRPr="002A0C19">
        <w:rPr>
          <w:rFonts w:ascii="Arial" w:hAnsi="Arial" w:cs="Arial"/>
          <w:sz w:val="24"/>
          <w:szCs w:val="24"/>
        </w:rPr>
        <w:t xml:space="preserve">result from the above </w:t>
      </w:r>
      <w:r w:rsidR="00943ABF">
        <w:rPr>
          <w:rFonts w:ascii="Arial" w:hAnsi="Arial" w:cs="Arial"/>
          <w:sz w:val="24"/>
          <w:szCs w:val="24"/>
        </w:rPr>
        <w:t xml:space="preserve">DVA </w:t>
      </w:r>
      <w:r w:rsidRPr="002A0C19">
        <w:rPr>
          <w:rFonts w:ascii="Arial" w:hAnsi="Arial" w:cs="Arial"/>
          <w:sz w:val="24"/>
          <w:szCs w:val="24"/>
        </w:rPr>
        <w:t>questions</w:t>
      </w:r>
      <w:r w:rsidR="00943ABF">
        <w:rPr>
          <w:rFonts w:ascii="Arial" w:hAnsi="Arial" w:cs="Arial"/>
          <w:sz w:val="24"/>
          <w:szCs w:val="24"/>
        </w:rPr>
        <w:t>.</w:t>
      </w:r>
      <w:r w:rsidRPr="002A0C19">
        <w:rPr>
          <w:rFonts w:ascii="Arial" w:hAnsi="Arial" w:cs="Arial"/>
          <w:sz w:val="24"/>
          <w:szCs w:val="24"/>
        </w:rPr>
        <w:t xml:space="preserve"> </w:t>
      </w:r>
    </w:p>
    <w:p w14:paraId="7FB9946B" w14:textId="77777777" w:rsidR="00E42979" w:rsidRPr="002A0C19" w:rsidRDefault="00E42979" w:rsidP="009233D5">
      <w:pPr>
        <w:pStyle w:val="ListParagraph"/>
        <w:spacing w:line="276" w:lineRule="auto"/>
        <w:rPr>
          <w:rFonts w:ascii="Arial" w:hAnsi="Arial" w:cs="Arial"/>
          <w:sz w:val="24"/>
          <w:szCs w:val="24"/>
        </w:rPr>
      </w:pPr>
    </w:p>
    <w:p w14:paraId="6A75E01D" w14:textId="1BE3277F" w:rsidR="009233D5" w:rsidRDefault="00E42979" w:rsidP="00E42979">
      <w:pPr>
        <w:pStyle w:val="Heading1"/>
      </w:pPr>
      <w:r>
        <w:t>IRM Questions</w:t>
      </w:r>
    </w:p>
    <w:p w14:paraId="746EF24C" w14:textId="5A07E5E7" w:rsidR="00E42979" w:rsidRDefault="00E42979" w:rsidP="00E42979">
      <w:pPr>
        <w:rPr>
          <w:rFonts w:ascii="Arial" w:hAnsi="Arial" w:cs="Arial"/>
          <w:sz w:val="24"/>
          <w:szCs w:val="24"/>
        </w:rPr>
      </w:pPr>
    </w:p>
    <w:p w14:paraId="7C0BB830" w14:textId="53C6E699" w:rsidR="00E42979" w:rsidRDefault="00E42979" w:rsidP="00E42979">
      <w:pPr>
        <w:pStyle w:val="Heading2"/>
      </w:pPr>
      <w:r>
        <w:t>Staff-15</w:t>
      </w:r>
    </w:p>
    <w:p w14:paraId="282F7D4B" w14:textId="466295F2" w:rsidR="009D2D49" w:rsidRDefault="009D2D49" w:rsidP="00D86A54">
      <w:pPr>
        <w:spacing w:after="0" w:line="276" w:lineRule="auto"/>
        <w:rPr>
          <w:rFonts w:ascii="Arial" w:hAnsi="Arial" w:cs="Arial"/>
          <w:sz w:val="24"/>
          <w:szCs w:val="24"/>
        </w:rPr>
      </w:pPr>
    </w:p>
    <w:p w14:paraId="4F1F3AB5" w14:textId="3D453419" w:rsidR="009D2D49" w:rsidRDefault="009D2D49" w:rsidP="00D86A54">
      <w:pPr>
        <w:spacing w:after="0" w:line="276" w:lineRule="auto"/>
        <w:rPr>
          <w:rFonts w:ascii="Arial" w:hAnsi="Arial" w:cs="Arial"/>
          <w:sz w:val="24"/>
          <w:szCs w:val="24"/>
        </w:rPr>
      </w:pPr>
      <w:r>
        <w:rPr>
          <w:rFonts w:ascii="Arial" w:hAnsi="Arial" w:cs="Arial"/>
          <w:sz w:val="24"/>
          <w:szCs w:val="24"/>
        </w:rPr>
        <w:t>Ref:</w:t>
      </w:r>
      <w:r>
        <w:rPr>
          <w:rFonts w:ascii="Arial" w:hAnsi="Arial" w:cs="Arial"/>
          <w:sz w:val="24"/>
          <w:szCs w:val="24"/>
        </w:rPr>
        <w:tab/>
        <w:t>Application, page 15</w:t>
      </w:r>
    </w:p>
    <w:p w14:paraId="22EC6C4A" w14:textId="0939EBB9" w:rsidR="009D2D49" w:rsidRDefault="009D2D49" w:rsidP="00D86A54">
      <w:pPr>
        <w:spacing w:after="0" w:line="276" w:lineRule="auto"/>
        <w:rPr>
          <w:rFonts w:ascii="Arial" w:hAnsi="Arial" w:cs="Arial"/>
          <w:sz w:val="24"/>
          <w:szCs w:val="24"/>
        </w:rPr>
      </w:pPr>
    </w:p>
    <w:p w14:paraId="195F874A" w14:textId="6B4EBF3E" w:rsidR="009D2D49" w:rsidRPr="00B479E9" w:rsidRDefault="009D2D49" w:rsidP="009D2D49">
      <w:pPr>
        <w:rPr>
          <w:rFonts w:ascii="Arial" w:hAnsi="Arial" w:cs="Arial"/>
          <w:sz w:val="24"/>
          <w:szCs w:val="24"/>
          <w:u w:val="single"/>
        </w:rPr>
      </w:pPr>
      <w:r w:rsidRPr="00B479E9">
        <w:rPr>
          <w:rFonts w:ascii="Arial" w:hAnsi="Arial" w:cs="Arial"/>
          <w:sz w:val="24"/>
          <w:szCs w:val="24"/>
          <w:u w:val="single"/>
        </w:rPr>
        <w:t>Preamble:</w:t>
      </w:r>
    </w:p>
    <w:p w14:paraId="694CFE0E" w14:textId="7982CDBD" w:rsidR="009D2D49" w:rsidRDefault="00991E1D" w:rsidP="00D86A54">
      <w:pPr>
        <w:spacing w:after="0" w:line="276" w:lineRule="auto"/>
        <w:rPr>
          <w:rFonts w:ascii="Arial" w:hAnsi="Arial" w:cs="Arial"/>
          <w:sz w:val="24"/>
          <w:szCs w:val="24"/>
        </w:rPr>
      </w:pPr>
      <w:r>
        <w:rPr>
          <w:rFonts w:ascii="Arial" w:hAnsi="Arial" w:cs="Arial"/>
          <w:sz w:val="24"/>
          <w:szCs w:val="24"/>
        </w:rPr>
        <w:t>Elexicon Energy states that it bills and records unbilled entries on the 1</w:t>
      </w:r>
      <w:r w:rsidRPr="00991E1D">
        <w:rPr>
          <w:rFonts w:ascii="Arial" w:hAnsi="Arial" w:cs="Arial"/>
          <w:sz w:val="24"/>
          <w:szCs w:val="24"/>
          <w:vertAlign w:val="superscript"/>
        </w:rPr>
        <w:t>st</w:t>
      </w:r>
      <w:r>
        <w:rPr>
          <w:rFonts w:ascii="Arial" w:hAnsi="Arial" w:cs="Arial"/>
          <w:sz w:val="24"/>
          <w:szCs w:val="24"/>
        </w:rPr>
        <w:t xml:space="preserve"> estimate GA rate for Cl</w:t>
      </w:r>
      <w:r w:rsidR="009A0564">
        <w:rPr>
          <w:rFonts w:ascii="Arial" w:hAnsi="Arial" w:cs="Arial"/>
          <w:sz w:val="24"/>
          <w:szCs w:val="24"/>
        </w:rPr>
        <w:t xml:space="preserve">ass B non-RPP GA customers, with the exception of two Class B embedded distributors </w:t>
      </w:r>
      <w:r w:rsidR="00D54888">
        <w:rPr>
          <w:rFonts w:ascii="Arial" w:hAnsi="Arial" w:cs="Arial"/>
          <w:sz w:val="24"/>
          <w:szCs w:val="24"/>
        </w:rPr>
        <w:t xml:space="preserve">for </w:t>
      </w:r>
      <w:r w:rsidR="009A0564">
        <w:rPr>
          <w:rFonts w:ascii="Arial" w:hAnsi="Arial" w:cs="Arial"/>
          <w:sz w:val="24"/>
          <w:szCs w:val="24"/>
        </w:rPr>
        <w:t xml:space="preserve">which it has a bilateral agreement to </w:t>
      </w:r>
      <w:r w:rsidR="00CB6784">
        <w:rPr>
          <w:rFonts w:ascii="Arial" w:hAnsi="Arial" w:cs="Arial"/>
          <w:sz w:val="24"/>
          <w:szCs w:val="24"/>
        </w:rPr>
        <w:t xml:space="preserve">be </w:t>
      </w:r>
      <w:r w:rsidR="009A0564">
        <w:rPr>
          <w:rFonts w:ascii="Arial" w:hAnsi="Arial" w:cs="Arial"/>
          <w:sz w:val="24"/>
          <w:szCs w:val="24"/>
        </w:rPr>
        <w:t>bill</w:t>
      </w:r>
      <w:r w:rsidR="00CB6784">
        <w:rPr>
          <w:rFonts w:ascii="Arial" w:hAnsi="Arial" w:cs="Arial"/>
          <w:sz w:val="24"/>
          <w:szCs w:val="24"/>
        </w:rPr>
        <w:t>ed</w:t>
      </w:r>
      <w:r w:rsidR="009A0564">
        <w:rPr>
          <w:rFonts w:ascii="Arial" w:hAnsi="Arial" w:cs="Arial"/>
          <w:sz w:val="24"/>
          <w:szCs w:val="24"/>
        </w:rPr>
        <w:t xml:space="preserve"> on the actual GA rate.</w:t>
      </w:r>
    </w:p>
    <w:p w14:paraId="7EC7CBE0" w14:textId="7FA49D6C" w:rsidR="009A0564" w:rsidRDefault="009A0564" w:rsidP="00D86A54">
      <w:pPr>
        <w:spacing w:after="0" w:line="276" w:lineRule="auto"/>
        <w:rPr>
          <w:rFonts w:ascii="Arial" w:hAnsi="Arial" w:cs="Arial"/>
          <w:sz w:val="24"/>
          <w:szCs w:val="24"/>
        </w:rPr>
      </w:pPr>
    </w:p>
    <w:p w14:paraId="69383390" w14:textId="17423725" w:rsidR="009A0564" w:rsidRPr="009A0564" w:rsidRDefault="009A0564" w:rsidP="00D86A54">
      <w:pPr>
        <w:spacing w:after="0" w:line="276" w:lineRule="auto"/>
        <w:rPr>
          <w:rFonts w:ascii="Arial" w:hAnsi="Arial" w:cs="Arial"/>
          <w:sz w:val="24"/>
          <w:szCs w:val="24"/>
          <w:u w:val="single"/>
        </w:rPr>
      </w:pPr>
      <w:r w:rsidRPr="009A0564">
        <w:rPr>
          <w:rFonts w:ascii="Arial" w:hAnsi="Arial" w:cs="Arial"/>
          <w:sz w:val="24"/>
          <w:szCs w:val="24"/>
          <w:u w:val="single"/>
        </w:rPr>
        <w:t>Question:</w:t>
      </w:r>
    </w:p>
    <w:p w14:paraId="7C24019E" w14:textId="4EB9058D" w:rsidR="009A0564" w:rsidRDefault="009A0564" w:rsidP="00D86A54">
      <w:pPr>
        <w:spacing w:after="0" w:line="276" w:lineRule="auto"/>
        <w:rPr>
          <w:rFonts w:ascii="Arial" w:hAnsi="Arial" w:cs="Arial"/>
          <w:sz w:val="24"/>
          <w:szCs w:val="24"/>
        </w:rPr>
      </w:pPr>
    </w:p>
    <w:p w14:paraId="2B16C5FE" w14:textId="7D91965B" w:rsidR="009A0564" w:rsidRPr="006E075F" w:rsidRDefault="009A0564" w:rsidP="006E075F">
      <w:pPr>
        <w:pStyle w:val="ListParagraph"/>
        <w:numPr>
          <w:ilvl w:val="0"/>
          <w:numId w:val="47"/>
        </w:numPr>
        <w:spacing w:after="0" w:line="276" w:lineRule="auto"/>
        <w:rPr>
          <w:rFonts w:ascii="Arial" w:hAnsi="Arial" w:cs="Arial"/>
          <w:sz w:val="24"/>
          <w:szCs w:val="24"/>
        </w:rPr>
      </w:pPr>
      <w:r w:rsidRPr="006E075F">
        <w:rPr>
          <w:rFonts w:ascii="Arial" w:hAnsi="Arial" w:cs="Arial"/>
          <w:sz w:val="24"/>
          <w:szCs w:val="24"/>
        </w:rPr>
        <w:t xml:space="preserve">Please confirm that </w:t>
      </w:r>
      <w:r w:rsidR="00A774C0">
        <w:rPr>
          <w:rFonts w:ascii="Arial" w:hAnsi="Arial" w:cs="Arial"/>
          <w:sz w:val="24"/>
          <w:szCs w:val="24"/>
        </w:rPr>
        <w:t>Elexicon Energy</w:t>
      </w:r>
      <w:r w:rsidRPr="006E075F">
        <w:rPr>
          <w:rFonts w:ascii="Arial" w:hAnsi="Arial" w:cs="Arial"/>
          <w:sz w:val="24"/>
          <w:szCs w:val="24"/>
        </w:rPr>
        <w:t xml:space="preserve"> has excluded the</w:t>
      </w:r>
      <w:r w:rsidR="00844E6E">
        <w:rPr>
          <w:rFonts w:ascii="Arial" w:hAnsi="Arial" w:cs="Arial"/>
          <w:sz w:val="24"/>
          <w:szCs w:val="24"/>
        </w:rPr>
        <w:t xml:space="preserve"> above-noted</w:t>
      </w:r>
      <w:r w:rsidRPr="006E075F">
        <w:rPr>
          <w:rFonts w:ascii="Arial" w:hAnsi="Arial" w:cs="Arial"/>
          <w:sz w:val="24"/>
          <w:szCs w:val="24"/>
        </w:rPr>
        <w:t xml:space="preserve"> two customers from the allocation of the 2017 and 2018 GA balance</w:t>
      </w:r>
      <w:r w:rsidR="009F0D90">
        <w:rPr>
          <w:rFonts w:ascii="Arial" w:hAnsi="Arial" w:cs="Arial"/>
          <w:sz w:val="24"/>
          <w:szCs w:val="24"/>
        </w:rPr>
        <w:t>s</w:t>
      </w:r>
      <w:r w:rsidRPr="006E075F">
        <w:rPr>
          <w:rFonts w:ascii="Arial" w:hAnsi="Arial" w:cs="Arial"/>
          <w:sz w:val="24"/>
          <w:szCs w:val="24"/>
        </w:rPr>
        <w:t xml:space="preserve"> and the calculation of the resulting rate riders. </w:t>
      </w:r>
    </w:p>
    <w:p w14:paraId="4649E494" w14:textId="4318DDEC" w:rsidR="009A0564" w:rsidRDefault="009A0564" w:rsidP="00D86A54">
      <w:pPr>
        <w:spacing w:after="0" w:line="276" w:lineRule="auto"/>
        <w:rPr>
          <w:rFonts w:ascii="Arial" w:hAnsi="Arial" w:cs="Arial"/>
          <w:sz w:val="24"/>
          <w:szCs w:val="24"/>
        </w:rPr>
      </w:pPr>
    </w:p>
    <w:p w14:paraId="211E914F" w14:textId="46B7BCBB" w:rsidR="009272FD" w:rsidRDefault="009272FD" w:rsidP="009272FD">
      <w:pPr>
        <w:pStyle w:val="Heading2"/>
      </w:pPr>
      <w:r>
        <w:t>Staff-1</w:t>
      </w:r>
      <w:r>
        <w:t>6</w:t>
      </w:r>
    </w:p>
    <w:p w14:paraId="2C068778" w14:textId="7CF5E026" w:rsidR="009A0564" w:rsidRDefault="009A0564" w:rsidP="00D86A54">
      <w:pPr>
        <w:spacing w:after="0" w:line="276" w:lineRule="auto"/>
        <w:rPr>
          <w:rFonts w:ascii="Arial" w:hAnsi="Arial" w:cs="Arial"/>
          <w:sz w:val="24"/>
          <w:szCs w:val="24"/>
        </w:rPr>
      </w:pPr>
    </w:p>
    <w:p w14:paraId="7FA4FB4D" w14:textId="742DE0D1" w:rsidR="009272FD" w:rsidRDefault="009272FD" w:rsidP="00D86A54">
      <w:pPr>
        <w:spacing w:after="0" w:line="276" w:lineRule="auto"/>
        <w:rPr>
          <w:rFonts w:ascii="Arial" w:hAnsi="Arial" w:cs="Arial"/>
          <w:sz w:val="24"/>
          <w:szCs w:val="24"/>
        </w:rPr>
      </w:pPr>
      <w:r>
        <w:rPr>
          <w:rFonts w:ascii="Arial" w:hAnsi="Arial" w:cs="Arial"/>
          <w:sz w:val="24"/>
          <w:szCs w:val="24"/>
        </w:rPr>
        <w:t>Ref:</w:t>
      </w:r>
      <w:r>
        <w:rPr>
          <w:rFonts w:ascii="Arial" w:hAnsi="Arial" w:cs="Arial"/>
          <w:sz w:val="24"/>
          <w:szCs w:val="24"/>
        </w:rPr>
        <w:tab/>
      </w:r>
      <w:r>
        <w:rPr>
          <w:rFonts w:ascii="Arial" w:hAnsi="Arial" w:cs="Arial"/>
          <w:sz w:val="24"/>
          <w:szCs w:val="24"/>
        </w:rPr>
        <w:t xml:space="preserve">(1) </w:t>
      </w:r>
      <w:r w:rsidRPr="00F10B9B">
        <w:rPr>
          <w:rFonts w:ascii="Arial" w:hAnsi="Arial" w:cs="Arial"/>
          <w:sz w:val="24"/>
          <w:szCs w:val="24"/>
        </w:rPr>
        <w:t xml:space="preserve">2020 IRM Rate Generator Model, </w:t>
      </w:r>
      <w:r>
        <w:rPr>
          <w:rFonts w:ascii="Arial" w:hAnsi="Arial" w:cs="Arial"/>
          <w:sz w:val="24"/>
          <w:szCs w:val="24"/>
        </w:rPr>
        <w:t>Tab 16</w:t>
      </w:r>
      <w:r w:rsidRPr="00F10B9B">
        <w:rPr>
          <w:rFonts w:ascii="Arial" w:hAnsi="Arial" w:cs="Arial"/>
          <w:sz w:val="24"/>
          <w:szCs w:val="24"/>
        </w:rPr>
        <w:t>, October 15, 2019</w:t>
      </w:r>
      <w:r>
        <w:rPr>
          <w:rFonts w:ascii="Arial" w:hAnsi="Arial" w:cs="Arial"/>
          <w:sz w:val="24"/>
          <w:szCs w:val="24"/>
        </w:rPr>
        <w:t xml:space="preserve"> </w:t>
      </w:r>
    </w:p>
    <w:p w14:paraId="1F16B01B" w14:textId="785D619F" w:rsidR="009272FD" w:rsidRDefault="009272FD" w:rsidP="00D86A54">
      <w:pPr>
        <w:spacing w:after="0" w:line="276" w:lineRule="auto"/>
        <w:rPr>
          <w:rFonts w:ascii="Arial" w:hAnsi="Arial" w:cs="Arial"/>
          <w:sz w:val="24"/>
          <w:szCs w:val="24"/>
        </w:rPr>
      </w:pPr>
      <w:r>
        <w:rPr>
          <w:rFonts w:ascii="Arial" w:hAnsi="Arial" w:cs="Arial"/>
          <w:sz w:val="24"/>
          <w:szCs w:val="24"/>
        </w:rPr>
        <w:tab/>
        <w:t xml:space="preserve">(2) 2019 IRM </w:t>
      </w:r>
      <w:r w:rsidRPr="00F10B9B">
        <w:rPr>
          <w:rFonts w:ascii="Arial" w:hAnsi="Arial" w:cs="Arial"/>
          <w:sz w:val="24"/>
          <w:szCs w:val="24"/>
        </w:rPr>
        <w:t xml:space="preserve">Rate Generator Model, </w:t>
      </w:r>
      <w:r>
        <w:rPr>
          <w:rFonts w:ascii="Arial" w:hAnsi="Arial" w:cs="Arial"/>
          <w:sz w:val="24"/>
          <w:szCs w:val="24"/>
        </w:rPr>
        <w:t>Tab 16</w:t>
      </w:r>
      <w:r w:rsidRPr="00F10B9B">
        <w:rPr>
          <w:rFonts w:ascii="Arial" w:hAnsi="Arial" w:cs="Arial"/>
          <w:sz w:val="24"/>
          <w:szCs w:val="24"/>
        </w:rPr>
        <w:t>,</w:t>
      </w:r>
      <w:r>
        <w:rPr>
          <w:rFonts w:ascii="Arial" w:hAnsi="Arial" w:cs="Arial"/>
          <w:sz w:val="24"/>
          <w:szCs w:val="24"/>
        </w:rPr>
        <w:t xml:space="preserve"> March 28, 2019</w:t>
      </w:r>
    </w:p>
    <w:p w14:paraId="2B5FC783" w14:textId="77C0703B" w:rsidR="009272FD" w:rsidRDefault="009272FD" w:rsidP="00D86A54">
      <w:pPr>
        <w:spacing w:after="0" w:line="276" w:lineRule="auto"/>
        <w:rPr>
          <w:rFonts w:ascii="Arial" w:hAnsi="Arial" w:cs="Arial"/>
          <w:sz w:val="24"/>
          <w:szCs w:val="24"/>
        </w:rPr>
      </w:pPr>
    </w:p>
    <w:p w14:paraId="2C9E7967" w14:textId="2B4020DB" w:rsidR="009272FD" w:rsidRDefault="009272FD" w:rsidP="00D86A54">
      <w:pPr>
        <w:spacing w:after="0" w:line="276" w:lineRule="auto"/>
        <w:rPr>
          <w:rFonts w:ascii="Arial" w:hAnsi="Arial" w:cs="Arial"/>
          <w:sz w:val="24"/>
          <w:szCs w:val="24"/>
          <w:u w:val="single"/>
        </w:rPr>
      </w:pPr>
      <w:r w:rsidRPr="0041636F">
        <w:rPr>
          <w:rFonts w:ascii="Arial" w:hAnsi="Arial" w:cs="Arial"/>
          <w:sz w:val="24"/>
          <w:szCs w:val="24"/>
          <w:u w:val="single"/>
        </w:rPr>
        <w:t>Preamble</w:t>
      </w:r>
      <w:r>
        <w:rPr>
          <w:rFonts w:ascii="Arial" w:hAnsi="Arial" w:cs="Arial"/>
          <w:sz w:val="24"/>
          <w:szCs w:val="24"/>
          <w:u w:val="single"/>
        </w:rPr>
        <w:t>:</w:t>
      </w:r>
    </w:p>
    <w:p w14:paraId="56394434" w14:textId="77777777" w:rsidR="009272FD" w:rsidRPr="0041636F" w:rsidRDefault="009272FD" w:rsidP="00D86A54">
      <w:pPr>
        <w:spacing w:after="0" w:line="276" w:lineRule="auto"/>
        <w:rPr>
          <w:rFonts w:ascii="Arial" w:hAnsi="Arial" w:cs="Arial"/>
          <w:sz w:val="24"/>
          <w:szCs w:val="24"/>
          <w:u w:val="single"/>
        </w:rPr>
      </w:pPr>
    </w:p>
    <w:p w14:paraId="5BAFC09B" w14:textId="6441EA7A" w:rsidR="009272FD" w:rsidRDefault="009272FD" w:rsidP="00D86A54">
      <w:pPr>
        <w:spacing w:after="0" w:line="276" w:lineRule="auto"/>
        <w:rPr>
          <w:rFonts w:ascii="Arial" w:hAnsi="Arial" w:cs="Arial"/>
          <w:sz w:val="24"/>
          <w:szCs w:val="24"/>
        </w:rPr>
      </w:pPr>
      <w:r>
        <w:rPr>
          <w:rFonts w:ascii="Arial" w:hAnsi="Arial" w:cs="Arial"/>
          <w:sz w:val="24"/>
          <w:szCs w:val="24"/>
        </w:rPr>
        <w:t xml:space="preserve">In the 2019 IRM Rate </w:t>
      </w:r>
      <w:r w:rsidRPr="00F10B9B">
        <w:rPr>
          <w:rFonts w:ascii="Arial" w:hAnsi="Arial" w:cs="Arial"/>
          <w:sz w:val="24"/>
          <w:szCs w:val="24"/>
        </w:rPr>
        <w:t>Generator Model</w:t>
      </w:r>
      <w:r>
        <w:rPr>
          <w:rFonts w:ascii="Arial" w:hAnsi="Arial" w:cs="Arial"/>
          <w:sz w:val="24"/>
          <w:szCs w:val="24"/>
        </w:rPr>
        <w:t xml:space="preserve">, the billed </w:t>
      </w:r>
      <w:r w:rsidR="00F1473D">
        <w:rPr>
          <w:rFonts w:ascii="Arial" w:hAnsi="Arial" w:cs="Arial"/>
          <w:sz w:val="24"/>
          <w:szCs w:val="24"/>
        </w:rPr>
        <w:t>consumption</w:t>
      </w:r>
      <w:r>
        <w:rPr>
          <w:rFonts w:ascii="Arial" w:hAnsi="Arial" w:cs="Arial"/>
          <w:sz w:val="24"/>
          <w:szCs w:val="24"/>
        </w:rPr>
        <w:t xml:space="preserve"> for the residential class </w:t>
      </w:r>
      <w:r w:rsidR="00F1473D">
        <w:rPr>
          <w:rFonts w:ascii="Arial" w:hAnsi="Arial" w:cs="Arial"/>
          <w:sz w:val="24"/>
          <w:szCs w:val="24"/>
        </w:rPr>
        <w:t>was</w:t>
      </w:r>
      <w:r>
        <w:rPr>
          <w:rFonts w:ascii="Arial" w:hAnsi="Arial" w:cs="Arial"/>
          <w:sz w:val="24"/>
          <w:szCs w:val="24"/>
        </w:rPr>
        <w:t xml:space="preserve"> 9</w:t>
      </w:r>
      <w:r w:rsidR="00681779">
        <w:rPr>
          <w:rFonts w:ascii="Arial" w:hAnsi="Arial" w:cs="Arial"/>
          <w:sz w:val="24"/>
          <w:szCs w:val="24"/>
        </w:rPr>
        <w:t>6</w:t>
      </w:r>
      <w:r>
        <w:rPr>
          <w:rFonts w:ascii="Arial" w:hAnsi="Arial" w:cs="Arial"/>
          <w:sz w:val="24"/>
          <w:szCs w:val="24"/>
        </w:rPr>
        <w:t xml:space="preserve">8,772,164 kWh. However, in the 2020 </w:t>
      </w:r>
      <w:r>
        <w:rPr>
          <w:rFonts w:ascii="Arial" w:hAnsi="Arial" w:cs="Arial"/>
          <w:sz w:val="24"/>
          <w:szCs w:val="24"/>
        </w:rPr>
        <w:t xml:space="preserve">IRM Rate </w:t>
      </w:r>
      <w:r w:rsidRPr="00F10B9B">
        <w:rPr>
          <w:rFonts w:ascii="Arial" w:hAnsi="Arial" w:cs="Arial"/>
          <w:sz w:val="24"/>
          <w:szCs w:val="24"/>
        </w:rPr>
        <w:t>Generator Model</w:t>
      </w:r>
      <w:r>
        <w:rPr>
          <w:rFonts w:ascii="Arial" w:hAnsi="Arial" w:cs="Arial"/>
          <w:sz w:val="24"/>
          <w:szCs w:val="24"/>
        </w:rPr>
        <w:t>, it appears to be revised to 268,772,164 kWh.</w:t>
      </w:r>
    </w:p>
    <w:p w14:paraId="15B90E06" w14:textId="26A05B12" w:rsidR="009272FD" w:rsidRDefault="009272FD" w:rsidP="00D86A54">
      <w:pPr>
        <w:spacing w:after="0" w:line="276" w:lineRule="auto"/>
        <w:rPr>
          <w:rFonts w:ascii="Arial" w:hAnsi="Arial" w:cs="Arial"/>
          <w:sz w:val="24"/>
          <w:szCs w:val="24"/>
        </w:rPr>
      </w:pPr>
    </w:p>
    <w:p w14:paraId="70D284F9" w14:textId="00E482F8" w:rsidR="009272FD" w:rsidRPr="0041636F" w:rsidRDefault="009272FD" w:rsidP="00D86A54">
      <w:pPr>
        <w:spacing w:after="0" w:line="276" w:lineRule="auto"/>
        <w:rPr>
          <w:rFonts w:ascii="Arial" w:hAnsi="Arial" w:cs="Arial"/>
          <w:sz w:val="24"/>
          <w:szCs w:val="24"/>
          <w:u w:val="single"/>
        </w:rPr>
      </w:pPr>
      <w:r w:rsidRPr="00681779">
        <w:rPr>
          <w:rFonts w:ascii="Arial" w:hAnsi="Arial" w:cs="Arial"/>
          <w:sz w:val="24"/>
          <w:szCs w:val="24"/>
          <w:u w:val="single"/>
        </w:rPr>
        <w:t>Question</w:t>
      </w:r>
      <w:r w:rsidR="00F64081">
        <w:rPr>
          <w:rFonts w:ascii="Arial" w:hAnsi="Arial" w:cs="Arial"/>
          <w:sz w:val="24"/>
          <w:szCs w:val="24"/>
          <w:u w:val="single"/>
        </w:rPr>
        <w:t>s</w:t>
      </w:r>
      <w:r w:rsidRPr="0041636F">
        <w:rPr>
          <w:rFonts w:ascii="Arial" w:hAnsi="Arial" w:cs="Arial"/>
          <w:sz w:val="24"/>
          <w:szCs w:val="24"/>
          <w:u w:val="single"/>
        </w:rPr>
        <w:t>:</w:t>
      </w:r>
    </w:p>
    <w:p w14:paraId="5CE34D3C" w14:textId="77777777" w:rsidR="009272FD" w:rsidRDefault="009272FD" w:rsidP="00D86A54">
      <w:pPr>
        <w:spacing w:after="0" w:line="276" w:lineRule="auto"/>
        <w:rPr>
          <w:rFonts w:ascii="Arial" w:hAnsi="Arial" w:cs="Arial"/>
          <w:sz w:val="24"/>
          <w:szCs w:val="24"/>
        </w:rPr>
      </w:pPr>
    </w:p>
    <w:p w14:paraId="7AC6CBFB" w14:textId="3657B5C4" w:rsidR="009272FD" w:rsidRDefault="009272FD" w:rsidP="0041636F">
      <w:pPr>
        <w:pStyle w:val="ListParagraph"/>
        <w:numPr>
          <w:ilvl w:val="0"/>
          <w:numId w:val="48"/>
        </w:numPr>
        <w:spacing w:after="0" w:line="276" w:lineRule="auto"/>
        <w:rPr>
          <w:rFonts w:ascii="Arial" w:hAnsi="Arial" w:cs="Arial"/>
          <w:sz w:val="24"/>
          <w:szCs w:val="24"/>
        </w:rPr>
      </w:pPr>
      <w:r>
        <w:rPr>
          <w:rFonts w:ascii="Arial" w:hAnsi="Arial" w:cs="Arial"/>
          <w:sz w:val="24"/>
          <w:szCs w:val="24"/>
        </w:rPr>
        <w:t>Please explain why an update to the residential class kWh</w:t>
      </w:r>
      <w:r w:rsidR="00861927">
        <w:rPr>
          <w:rFonts w:ascii="Arial" w:hAnsi="Arial" w:cs="Arial"/>
          <w:sz w:val="24"/>
          <w:szCs w:val="24"/>
        </w:rPr>
        <w:t xml:space="preserve"> consumption</w:t>
      </w:r>
      <w:r w:rsidR="00F1473D">
        <w:rPr>
          <w:rFonts w:ascii="Arial" w:hAnsi="Arial" w:cs="Arial"/>
          <w:sz w:val="24"/>
          <w:szCs w:val="24"/>
        </w:rPr>
        <w:t xml:space="preserve"> is required</w:t>
      </w:r>
      <w:r>
        <w:rPr>
          <w:rFonts w:ascii="Arial" w:hAnsi="Arial" w:cs="Arial"/>
          <w:sz w:val="24"/>
          <w:szCs w:val="24"/>
        </w:rPr>
        <w:t xml:space="preserve">, and confirm whether the entry in the 2020 </w:t>
      </w:r>
      <w:r>
        <w:rPr>
          <w:rFonts w:ascii="Arial" w:hAnsi="Arial" w:cs="Arial"/>
          <w:sz w:val="24"/>
          <w:szCs w:val="24"/>
        </w:rPr>
        <w:t xml:space="preserve">IRM Rate </w:t>
      </w:r>
      <w:r w:rsidRPr="00F10B9B">
        <w:rPr>
          <w:rFonts w:ascii="Arial" w:hAnsi="Arial" w:cs="Arial"/>
          <w:sz w:val="24"/>
          <w:szCs w:val="24"/>
        </w:rPr>
        <w:t>Generator Model</w:t>
      </w:r>
      <w:r>
        <w:rPr>
          <w:rFonts w:ascii="Arial" w:hAnsi="Arial" w:cs="Arial"/>
          <w:sz w:val="24"/>
          <w:szCs w:val="24"/>
        </w:rPr>
        <w:t xml:space="preserve"> </w:t>
      </w:r>
      <w:r w:rsidR="008B258F">
        <w:rPr>
          <w:rFonts w:ascii="Arial" w:hAnsi="Arial" w:cs="Arial"/>
          <w:sz w:val="24"/>
          <w:szCs w:val="24"/>
        </w:rPr>
        <w:t>is correct</w:t>
      </w:r>
      <w:r w:rsidR="008B258F">
        <w:rPr>
          <w:rFonts w:ascii="Arial" w:hAnsi="Arial" w:cs="Arial"/>
          <w:sz w:val="24"/>
          <w:szCs w:val="24"/>
        </w:rPr>
        <w:t xml:space="preserve"> </w:t>
      </w:r>
      <w:r>
        <w:rPr>
          <w:rFonts w:ascii="Arial" w:hAnsi="Arial" w:cs="Arial"/>
          <w:sz w:val="24"/>
          <w:szCs w:val="24"/>
        </w:rPr>
        <w:t xml:space="preserve">(tab 16, cell </w:t>
      </w:r>
      <w:r w:rsidR="00B2257C">
        <w:rPr>
          <w:rFonts w:ascii="Arial" w:hAnsi="Arial" w:cs="Arial"/>
          <w:sz w:val="24"/>
          <w:szCs w:val="24"/>
        </w:rPr>
        <w:t>F13).</w:t>
      </w:r>
    </w:p>
    <w:p w14:paraId="5DE4EEA7" w14:textId="7C5E1EED" w:rsidR="00873663" w:rsidRDefault="00873663" w:rsidP="0041636F">
      <w:pPr>
        <w:pStyle w:val="ListParagraph"/>
        <w:numPr>
          <w:ilvl w:val="0"/>
          <w:numId w:val="48"/>
        </w:numPr>
        <w:spacing w:after="0" w:line="276" w:lineRule="auto"/>
        <w:rPr>
          <w:rFonts w:ascii="Arial" w:hAnsi="Arial" w:cs="Arial"/>
          <w:sz w:val="24"/>
          <w:szCs w:val="24"/>
        </w:rPr>
      </w:pPr>
      <w:r>
        <w:rPr>
          <w:rFonts w:ascii="Arial" w:hAnsi="Arial" w:cs="Arial"/>
          <w:sz w:val="24"/>
          <w:szCs w:val="24"/>
        </w:rPr>
        <w:t xml:space="preserve">Please confirm whether there are any changes to Tab 16 and the resulting rate riders. </w:t>
      </w:r>
    </w:p>
    <w:p w14:paraId="16FDCD6D" w14:textId="3F12908E" w:rsidR="005E7D29" w:rsidRDefault="005E7D29" w:rsidP="005E7D29">
      <w:pPr>
        <w:spacing w:after="0" w:line="276" w:lineRule="auto"/>
        <w:rPr>
          <w:rFonts w:ascii="Arial" w:hAnsi="Arial" w:cs="Arial"/>
          <w:sz w:val="24"/>
          <w:szCs w:val="24"/>
        </w:rPr>
      </w:pPr>
    </w:p>
    <w:p w14:paraId="035FB567" w14:textId="185D9544" w:rsidR="000E28B2" w:rsidRDefault="000E28B2" w:rsidP="000E28B2">
      <w:pPr>
        <w:pStyle w:val="Heading2"/>
      </w:pPr>
      <w:r>
        <w:t>Staff-1</w:t>
      </w:r>
      <w:r>
        <w:t>7</w:t>
      </w:r>
    </w:p>
    <w:p w14:paraId="46407240" w14:textId="12A7C59E" w:rsidR="005E7D29" w:rsidRPr="000E28B2" w:rsidRDefault="005E7D29" w:rsidP="005E7D29">
      <w:pPr>
        <w:spacing w:after="0" w:line="276" w:lineRule="auto"/>
        <w:rPr>
          <w:rFonts w:ascii="Arial" w:hAnsi="Arial" w:cs="Arial"/>
          <w:sz w:val="24"/>
          <w:szCs w:val="24"/>
        </w:rPr>
      </w:pPr>
    </w:p>
    <w:p w14:paraId="3C0A643F" w14:textId="4384CD91" w:rsidR="000E28B2" w:rsidRPr="000E28B2" w:rsidRDefault="000E28B2" w:rsidP="000E28B2">
      <w:pPr>
        <w:rPr>
          <w:rFonts w:ascii="Arial" w:hAnsi="Arial" w:cs="Arial"/>
          <w:sz w:val="24"/>
          <w:szCs w:val="24"/>
        </w:rPr>
      </w:pPr>
      <w:r w:rsidRPr="000E28B2">
        <w:rPr>
          <w:rFonts w:ascii="Arial" w:hAnsi="Arial" w:cs="Arial"/>
          <w:sz w:val="24"/>
          <w:szCs w:val="24"/>
        </w:rPr>
        <w:t>Ref:</w:t>
      </w:r>
      <w:r w:rsidRPr="000E28B2">
        <w:rPr>
          <w:rFonts w:ascii="Arial" w:hAnsi="Arial" w:cs="Arial"/>
          <w:sz w:val="24"/>
          <w:szCs w:val="24"/>
        </w:rPr>
        <w:tab/>
        <w:t xml:space="preserve">All models filed with 2020 IRM </w:t>
      </w:r>
      <w:r>
        <w:rPr>
          <w:rFonts w:ascii="Arial" w:hAnsi="Arial" w:cs="Arial"/>
          <w:sz w:val="24"/>
          <w:szCs w:val="24"/>
        </w:rPr>
        <w:t xml:space="preserve">rate </w:t>
      </w:r>
      <w:r w:rsidRPr="000E28B2">
        <w:rPr>
          <w:rFonts w:ascii="Arial" w:hAnsi="Arial" w:cs="Arial"/>
          <w:sz w:val="24"/>
          <w:szCs w:val="24"/>
        </w:rPr>
        <w:t>application</w:t>
      </w:r>
    </w:p>
    <w:p w14:paraId="73E21C51" w14:textId="694154AD" w:rsidR="000E28B2" w:rsidRDefault="000E28B2" w:rsidP="000E28B2">
      <w:pPr>
        <w:pStyle w:val="ListParagraph"/>
        <w:numPr>
          <w:ilvl w:val="0"/>
          <w:numId w:val="49"/>
        </w:numPr>
        <w:spacing w:after="200" w:line="276" w:lineRule="auto"/>
        <w:rPr>
          <w:rFonts w:ascii="Arial" w:hAnsi="Arial" w:cs="Arial"/>
          <w:sz w:val="24"/>
          <w:szCs w:val="24"/>
        </w:rPr>
      </w:pPr>
      <w:r w:rsidRPr="00BC5D0B">
        <w:rPr>
          <w:rFonts w:ascii="Arial" w:hAnsi="Arial" w:cs="Arial"/>
          <w:sz w:val="24"/>
          <w:szCs w:val="24"/>
        </w:rPr>
        <w:t xml:space="preserve">Based on </w:t>
      </w:r>
      <w:r>
        <w:rPr>
          <w:rFonts w:ascii="Arial" w:hAnsi="Arial" w:cs="Arial"/>
          <w:sz w:val="24"/>
          <w:szCs w:val="24"/>
        </w:rPr>
        <w:t>Elexicon Energy’s</w:t>
      </w:r>
      <w:r w:rsidRPr="00BC5D0B">
        <w:rPr>
          <w:rFonts w:ascii="Arial" w:hAnsi="Arial" w:cs="Arial"/>
          <w:sz w:val="24"/>
          <w:szCs w:val="24"/>
        </w:rPr>
        <w:t xml:space="preserve"> response</w:t>
      </w:r>
      <w:r>
        <w:rPr>
          <w:rFonts w:ascii="Arial" w:hAnsi="Arial" w:cs="Arial"/>
          <w:sz w:val="24"/>
          <w:szCs w:val="24"/>
        </w:rPr>
        <w:t>s</w:t>
      </w:r>
      <w:r w:rsidRPr="00BC5D0B">
        <w:rPr>
          <w:rFonts w:ascii="Arial" w:hAnsi="Arial" w:cs="Arial"/>
          <w:sz w:val="24"/>
          <w:szCs w:val="24"/>
        </w:rPr>
        <w:t xml:space="preserve"> to the above questions, please re-file all applicable models</w:t>
      </w:r>
      <w:r>
        <w:rPr>
          <w:rFonts w:ascii="Arial" w:hAnsi="Arial" w:cs="Arial"/>
          <w:sz w:val="24"/>
          <w:szCs w:val="24"/>
        </w:rPr>
        <w:t>,</w:t>
      </w:r>
      <w:r w:rsidRPr="00BC5D0B">
        <w:rPr>
          <w:rFonts w:ascii="Arial" w:hAnsi="Arial" w:cs="Arial"/>
          <w:sz w:val="24"/>
          <w:szCs w:val="24"/>
        </w:rPr>
        <w:t xml:space="preserve"> workforms</w:t>
      </w:r>
      <w:r>
        <w:rPr>
          <w:rFonts w:ascii="Arial" w:hAnsi="Arial" w:cs="Arial"/>
          <w:sz w:val="24"/>
          <w:szCs w:val="24"/>
        </w:rPr>
        <w:t xml:space="preserve"> and/or appendices </w:t>
      </w:r>
      <w:r w:rsidRPr="00BC5D0B">
        <w:rPr>
          <w:rFonts w:ascii="Arial" w:hAnsi="Arial" w:cs="Arial"/>
          <w:sz w:val="24"/>
          <w:szCs w:val="24"/>
        </w:rPr>
        <w:t>to reflect the updates.</w:t>
      </w:r>
    </w:p>
    <w:p w14:paraId="44654A29" w14:textId="77777777" w:rsidR="000E28B2" w:rsidRDefault="000E28B2" w:rsidP="000E28B2">
      <w:pPr>
        <w:pStyle w:val="ListParagraph"/>
        <w:rPr>
          <w:rFonts w:ascii="Arial" w:hAnsi="Arial" w:cs="Arial"/>
          <w:sz w:val="24"/>
          <w:szCs w:val="24"/>
        </w:rPr>
      </w:pPr>
    </w:p>
    <w:p w14:paraId="7CDACEBF" w14:textId="77777777" w:rsidR="000E28B2" w:rsidRDefault="000E28B2" w:rsidP="000E28B2">
      <w:pPr>
        <w:pStyle w:val="ListParagraph"/>
        <w:numPr>
          <w:ilvl w:val="0"/>
          <w:numId w:val="49"/>
        </w:numPr>
        <w:spacing w:after="200" w:line="276" w:lineRule="auto"/>
        <w:rPr>
          <w:rFonts w:ascii="Arial" w:hAnsi="Arial" w:cs="Arial"/>
          <w:sz w:val="24"/>
          <w:szCs w:val="24"/>
        </w:rPr>
      </w:pPr>
      <w:r>
        <w:rPr>
          <w:rFonts w:ascii="Arial" w:hAnsi="Arial" w:cs="Arial"/>
          <w:sz w:val="24"/>
          <w:szCs w:val="24"/>
        </w:rPr>
        <w:t>Please summarize all updates to the application, model(s) and/or appendices submitted in this proceeding.</w:t>
      </w:r>
    </w:p>
    <w:p w14:paraId="4954F7B8" w14:textId="229EDCFB" w:rsidR="000E28B2" w:rsidRDefault="000E28B2" w:rsidP="005E7D29">
      <w:pPr>
        <w:spacing w:after="0" w:line="276" w:lineRule="auto"/>
        <w:rPr>
          <w:rFonts w:ascii="Arial" w:hAnsi="Arial" w:cs="Arial"/>
          <w:sz w:val="24"/>
          <w:szCs w:val="24"/>
        </w:rPr>
      </w:pPr>
    </w:p>
    <w:p w14:paraId="43905204" w14:textId="0F96B60D" w:rsidR="00D84355" w:rsidRDefault="00D84355" w:rsidP="005E7D29">
      <w:pPr>
        <w:spacing w:after="0" w:line="276" w:lineRule="auto"/>
        <w:rPr>
          <w:rFonts w:ascii="Arial" w:hAnsi="Arial" w:cs="Arial"/>
          <w:sz w:val="24"/>
          <w:szCs w:val="24"/>
        </w:rPr>
      </w:pPr>
    </w:p>
    <w:p w14:paraId="23D2D37C" w14:textId="77777777" w:rsidR="00575B40" w:rsidRPr="000E28B2" w:rsidRDefault="00575B40" w:rsidP="005E7D29">
      <w:pPr>
        <w:spacing w:after="0" w:line="276" w:lineRule="auto"/>
        <w:rPr>
          <w:rFonts w:ascii="Arial" w:hAnsi="Arial" w:cs="Arial"/>
          <w:sz w:val="24"/>
          <w:szCs w:val="24"/>
        </w:rPr>
      </w:pPr>
    </w:p>
    <w:sectPr w:rsidR="00575B40" w:rsidRPr="000E28B2" w:rsidSect="00902431">
      <w:headerReference w:type="default" r:id="rId13"/>
      <w:footerReference w:type="default" r:id="rId14"/>
      <w:pgSz w:w="12240" w:h="15840"/>
      <w:pgMar w:top="189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79D52" w14:textId="77777777" w:rsidR="00D86A54" w:rsidRDefault="00D86A54" w:rsidP="00A84084">
      <w:pPr>
        <w:spacing w:after="0" w:line="240" w:lineRule="auto"/>
      </w:pPr>
      <w:r>
        <w:separator/>
      </w:r>
    </w:p>
  </w:endnote>
  <w:endnote w:type="continuationSeparator" w:id="0">
    <w:p w14:paraId="6A6493EC" w14:textId="77777777" w:rsidR="00D86A54" w:rsidRDefault="00D86A54" w:rsidP="00A8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868058"/>
      <w:docPartObj>
        <w:docPartGallery w:val="Page Numbers (Bottom of Page)"/>
        <w:docPartUnique/>
      </w:docPartObj>
    </w:sdtPr>
    <w:sdtEndPr/>
    <w:sdtContent>
      <w:sdt>
        <w:sdtPr>
          <w:id w:val="-1769616900"/>
          <w:docPartObj>
            <w:docPartGallery w:val="Page Numbers (Top of Page)"/>
            <w:docPartUnique/>
          </w:docPartObj>
        </w:sdtPr>
        <w:sdtEndPr/>
        <w:sdtContent>
          <w:p w14:paraId="3E961106" w14:textId="6074A236" w:rsidR="00D86A54" w:rsidRDefault="00D86A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2C8B">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2C8B">
              <w:rPr>
                <w:b/>
                <w:bCs/>
                <w:noProof/>
              </w:rPr>
              <w:t>18</w:t>
            </w:r>
            <w:r>
              <w:rPr>
                <w:b/>
                <w:bCs/>
                <w:sz w:val="24"/>
                <w:szCs w:val="24"/>
              </w:rPr>
              <w:fldChar w:fldCharType="end"/>
            </w:r>
          </w:p>
        </w:sdtContent>
      </w:sdt>
    </w:sdtContent>
  </w:sdt>
  <w:p w14:paraId="1E17D651" w14:textId="77777777" w:rsidR="00D86A54" w:rsidRDefault="00D8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929F8" w14:textId="77777777" w:rsidR="00D86A54" w:rsidRDefault="00D86A54" w:rsidP="00A84084">
      <w:pPr>
        <w:spacing w:after="0" w:line="240" w:lineRule="auto"/>
      </w:pPr>
      <w:r>
        <w:separator/>
      </w:r>
    </w:p>
  </w:footnote>
  <w:footnote w:type="continuationSeparator" w:id="0">
    <w:p w14:paraId="67E9299B" w14:textId="77777777" w:rsidR="00D86A54" w:rsidRDefault="00D86A54" w:rsidP="00A84084">
      <w:pPr>
        <w:spacing w:after="0" w:line="240" w:lineRule="auto"/>
      </w:pPr>
      <w:r>
        <w:continuationSeparator/>
      </w:r>
    </w:p>
  </w:footnote>
  <w:footnote w:id="1">
    <w:p w14:paraId="4D9CD742" w14:textId="77777777" w:rsidR="00D86A54" w:rsidRPr="00761F08" w:rsidRDefault="00D86A54" w:rsidP="00375F3C">
      <w:pPr>
        <w:pStyle w:val="FootnoteText"/>
        <w:rPr>
          <w:rFonts w:ascii="Arial" w:hAnsi="Arial" w:cs="Arial"/>
        </w:rPr>
      </w:pPr>
      <w:r w:rsidRPr="00761F08">
        <w:rPr>
          <w:rStyle w:val="FootnoteReference"/>
          <w:rFonts w:ascii="Arial" w:hAnsi="Arial" w:cs="Arial"/>
        </w:rPr>
        <w:footnoteRef/>
      </w:r>
      <w:r w:rsidRPr="00761F08">
        <w:rPr>
          <w:rFonts w:ascii="Arial" w:hAnsi="Arial" w:cs="Arial"/>
        </w:rPr>
        <w:t xml:space="preserve"> EB-2018-0072</w:t>
      </w:r>
    </w:p>
  </w:footnote>
  <w:footnote w:id="2">
    <w:p w14:paraId="14FAE9FA" w14:textId="77777777" w:rsidR="00D86A54" w:rsidRPr="00761F08" w:rsidRDefault="00D86A54" w:rsidP="00375F3C">
      <w:pPr>
        <w:pStyle w:val="FootnoteText"/>
        <w:rPr>
          <w:rFonts w:ascii="Arial" w:hAnsi="Arial" w:cs="Arial"/>
        </w:rPr>
      </w:pPr>
      <w:r w:rsidRPr="00761F08">
        <w:rPr>
          <w:rStyle w:val="FootnoteReference"/>
          <w:rFonts w:ascii="Arial" w:hAnsi="Arial" w:cs="Arial"/>
        </w:rPr>
        <w:footnoteRef/>
      </w:r>
      <w:r w:rsidRPr="00761F08">
        <w:rPr>
          <w:rFonts w:ascii="Arial" w:hAnsi="Arial" w:cs="Arial"/>
        </w:rPr>
        <w:t xml:space="preserve"> EB-2017-0078</w:t>
      </w:r>
    </w:p>
  </w:footnote>
  <w:footnote w:id="3">
    <w:p w14:paraId="78EEDDFB" w14:textId="77777777" w:rsidR="00D86A54" w:rsidRPr="00375F3C" w:rsidRDefault="00D86A54">
      <w:pPr>
        <w:pStyle w:val="FootnoteText"/>
        <w:rPr>
          <w:rFonts w:ascii="Arial" w:hAnsi="Arial" w:cs="Arial"/>
        </w:rPr>
      </w:pPr>
      <w:r w:rsidRPr="00375F3C">
        <w:rPr>
          <w:rStyle w:val="FootnoteReference"/>
          <w:rFonts w:ascii="Arial" w:hAnsi="Arial" w:cs="Arial"/>
        </w:rPr>
        <w:footnoteRef/>
      </w:r>
      <w:r w:rsidRPr="00375F3C">
        <w:rPr>
          <w:rFonts w:ascii="Arial" w:hAnsi="Arial" w:cs="Arial"/>
        </w:rPr>
        <w:t xml:space="preserve"> EB-2018-0072</w:t>
      </w:r>
    </w:p>
  </w:footnote>
  <w:footnote w:id="4">
    <w:p w14:paraId="406D8885" w14:textId="1B29FA91" w:rsidR="0074542A" w:rsidRPr="0074542A" w:rsidRDefault="0074542A">
      <w:pPr>
        <w:pStyle w:val="FootnoteText"/>
        <w:rPr>
          <w:rFonts w:cstheme="minorHAnsi"/>
        </w:rPr>
      </w:pPr>
      <w:r w:rsidRPr="0074542A">
        <w:rPr>
          <w:rStyle w:val="FootnoteReference"/>
          <w:rFonts w:cstheme="minorHAnsi"/>
        </w:rPr>
        <w:footnoteRef/>
      </w:r>
      <w:r w:rsidRPr="0074542A">
        <w:rPr>
          <w:rFonts w:cstheme="minorHAnsi"/>
        </w:rPr>
        <w:t xml:space="preserve"> </w:t>
      </w:r>
      <w:r w:rsidRPr="0074542A">
        <w:rPr>
          <w:rFonts w:cstheme="minorHAnsi"/>
        </w:rPr>
        <w:t>EB-2017-0078</w:t>
      </w:r>
    </w:p>
  </w:footnote>
  <w:footnote w:id="5">
    <w:p w14:paraId="131265A5" w14:textId="002FE4C3" w:rsidR="0035416C" w:rsidRPr="005B69AE" w:rsidRDefault="0035416C">
      <w:pPr>
        <w:pStyle w:val="FootnoteText"/>
        <w:rPr>
          <w:rFonts w:cstheme="minorHAnsi"/>
        </w:rPr>
      </w:pPr>
      <w:r w:rsidRPr="0035416C">
        <w:rPr>
          <w:rStyle w:val="FootnoteReference"/>
          <w:rFonts w:cstheme="minorHAnsi"/>
        </w:rPr>
        <w:footnoteRef/>
      </w:r>
      <w:r w:rsidRPr="005B69AE">
        <w:rPr>
          <w:rFonts w:cstheme="minorHAnsi"/>
        </w:rPr>
        <w:t xml:space="preserve"> </w:t>
      </w:r>
      <w:r w:rsidRPr="0041636F">
        <w:rPr>
          <w:rFonts w:cstheme="minorHAnsi"/>
        </w:rPr>
        <w:t>U</w:t>
      </w:r>
      <w:r w:rsidRPr="0041636F">
        <w:rPr>
          <w:rFonts w:cstheme="minorHAnsi"/>
        </w:rPr>
        <w:t xml:space="preserve">ndertaking JT1.2 </w:t>
      </w:r>
      <w:r w:rsidR="001572C2">
        <w:rPr>
          <w:rFonts w:cstheme="minorHAnsi"/>
        </w:rPr>
        <w:t xml:space="preserve">referenced </w:t>
      </w:r>
      <w:r w:rsidRPr="0041636F">
        <w:rPr>
          <w:rFonts w:cstheme="minorHAnsi"/>
        </w:rPr>
        <w:t xml:space="preserve">in the 2014 </w:t>
      </w:r>
      <w:r w:rsidR="00860BF8">
        <w:rPr>
          <w:rFonts w:cstheme="minorHAnsi"/>
        </w:rPr>
        <w:t xml:space="preserve">approved </w:t>
      </w:r>
      <w:r w:rsidRPr="0041636F">
        <w:rPr>
          <w:rFonts w:cstheme="minorHAnsi"/>
        </w:rPr>
        <w:t>settlement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2748" w14:textId="77777777" w:rsidR="00D86A54" w:rsidRPr="00902431" w:rsidRDefault="00D86A54" w:rsidP="00051B5F">
    <w:pPr>
      <w:pStyle w:val="Default"/>
      <w:jc w:val="right"/>
      <w:rPr>
        <w:rFonts w:ascii="Arial" w:hAnsi="Arial" w:cs="Arial"/>
        <w:sz w:val="20"/>
        <w:szCs w:val="22"/>
      </w:rPr>
    </w:pPr>
    <w:r w:rsidRPr="00051B5F">
      <w:rPr>
        <w:rFonts w:ascii="Arial" w:hAnsi="Arial" w:cs="Arial"/>
        <w:sz w:val="22"/>
        <w:szCs w:val="22"/>
      </w:rPr>
      <w:ptab w:relativeTo="margin" w:alignment="left" w:leader="none"/>
    </w:r>
    <w:r w:rsidRPr="00051B5F">
      <w:rPr>
        <w:rFonts w:ascii="Arial" w:hAnsi="Arial" w:cs="Arial"/>
        <w:sz w:val="22"/>
        <w:szCs w:val="22"/>
      </w:rPr>
      <w:ptab w:relativeTo="margin" w:alignment="left" w:leader="none"/>
    </w:r>
    <w:r w:rsidRPr="00902431">
      <w:rPr>
        <w:rFonts w:ascii="Arial" w:hAnsi="Arial" w:cs="Arial"/>
        <w:sz w:val="20"/>
        <w:szCs w:val="22"/>
      </w:rPr>
      <w:t xml:space="preserve"> Elexicon Energy - Veridian Rate Zone</w:t>
    </w:r>
  </w:p>
  <w:p w14:paraId="2FCFB12D" w14:textId="77777777" w:rsidR="00D86A54" w:rsidRPr="00902431" w:rsidRDefault="00D86A54" w:rsidP="00051B5F">
    <w:pPr>
      <w:pStyle w:val="Default"/>
      <w:jc w:val="right"/>
      <w:rPr>
        <w:rFonts w:ascii="Arial" w:hAnsi="Arial" w:cs="Arial"/>
        <w:sz w:val="20"/>
        <w:szCs w:val="22"/>
      </w:rPr>
    </w:pPr>
    <w:r w:rsidRPr="00902431">
      <w:rPr>
        <w:rFonts w:ascii="Arial" w:hAnsi="Arial" w:cs="Arial"/>
        <w:sz w:val="20"/>
        <w:szCs w:val="22"/>
      </w:rPr>
      <w:t>OEB Staff Questions</w:t>
    </w:r>
  </w:p>
  <w:p w14:paraId="4DCCD1C8" w14:textId="77777777" w:rsidR="00D86A54" w:rsidRPr="00902431" w:rsidRDefault="00D86A54" w:rsidP="00051B5F">
    <w:pPr>
      <w:pStyle w:val="Default"/>
      <w:jc w:val="right"/>
      <w:rPr>
        <w:rFonts w:ascii="Arial" w:hAnsi="Arial" w:cs="Arial"/>
        <w:sz w:val="20"/>
        <w:szCs w:val="22"/>
      </w:rPr>
    </w:pPr>
    <w:r w:rsidRPr="00902431">
      <w:rPr>
        <w:rFonts w:ascii="Arial" w:hAnsi="Arial" w:cs="Arial"/>
        <w:sz w:val="20"/>
        <w:szCs w:val="22"/>
      </w:rPr>
      <w:t>EB-2019-0252</w:t>
    </w:r>
  </w:p>
  <w:p w14:paraId="4598B59B" w14:textId="77777777" w:rsidR="00D86A54" w:rsidRDefault="00D8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DFAC5E5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64053"/>
    <w:multiLevelType w:val="hybridMultilevel"/>
    <w:tmpl w:val="F2AA1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30F18"/>
    <w:multiLevelType w:val="hybridMultilevel"/>
    <w:tmpl w:val="9B2EA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86E86"/>
    <w:multiLevelType w:val="hybridMultilevel"/>
    <w:tmpl w:val="566A9B96"/>
    <w:lvl w:ilvl="0" w:tplc="FBCC8A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044DD"/>
    <w:multiLevelType w:val="hybridMultilevel"/>
    <w:tmpl w:val="B47C7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34E"/>
    <w:multiLevelType w:val="hybridMultilevel"/>
    <w:tmpl w:val="EE164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244F3"/>
    <w:multiLevelType w:val="hybridMultilevel"/>
    <w:tmpl w:val="EDB00ED4"/>
    <w:lvl w:ilvl="0" w:tplc="8438CC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3270F"/>
    <w:multiLevelType w:val="hybridMultilevel"/>
    <w:tmpl w:val="5992B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95DE3"/>
    <w:multiLevelType w:val="hybridMultilevel"/>
    <w:tmpl w:val="93E2EBBE"/>
    <w:lvl w:ilvl="0" w:tplc="04090017">
      <w:start w:val="1"/>
      <w:numFmt w:val="lowerLetter"/>
      <w:lvlText w:val="%1)"/>
      <w:lvlJc w:val="left"/>
      <w:pPr>
        <w:ind w:left="720" w:hanging="360"/>
      </w:pPr>
    </w:lvl>
    <w:lvl w:ilvl="1" w:tplc="270A163E">
      <w:start w:val="1"/>
      <w:numFmt w:val="lowerLetter"/>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51F37"/>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E546D"/>
    <w:multiLevelType w:val="hybridMultilevel"/>
    <w:tmpl w:val="57D034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65162"/>
    <w:multiLevelType w:val="hybridMultilevel"/>
    <w:tmpl w:val="2FA05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2785E"/>
    <w:multiLevelType w:val="hybridMultilevel"/>
    <w:tmpl w:val="700E3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037A8"/>
    <w:multiLevelType w:val="hybridMultilevel"/>
    <w:tmpl w:val="65225138"/>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B42C5"/>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410E4"/>
    <w:multiLevelType w:val="hybridMultilevel"/>
    <w:tmpl w:val="A66063F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2318B2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02F43"/>
    <w:multiLevelType w:val="hybridMultilevel"/>
    <w:tmpl w:val="D976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52EAE"/>
    <w:multiLevelType w:val="hybridMultilevel"/>
    <w:tmpl w:val="FF760E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250C6"/>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54D82"/>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C475D"/>
    <w:multiLevelType w:val="hybridMultilevel"/>
    <w:tmpl w:val="0340E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916D1"/>
    <w:multiLevelType w:val="hybridMultilevel"/>
    <w:tmpl w:val="4E128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533AA"/>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233C2"/>
    <w:multiLevelType w:val="hybridMultilevel"/>
    <w:tmpl w:val="88360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4A5188"/>
    <w:multiLevelType w:val="hybridMultilevel"/>
    <w:tmpl w:val="7B249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34359"/>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674E9"/>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07A0D"/>
    <w:multiLevelType w:val="hybridMultilevel"/>
    <w:tmpl w:val="A3848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C2C29"/>
    <w:multiLevelType w:val="hybridMultilevel"/>
    <w:tmpl w:val="D326E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4188D"/>
    <w:multiLevelType w:val="hybridMultilevel"/>
    <w:tmpl w:val="3C841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755AA"/>
    <w:multiLevelType w:val="hybridMultilevel"/>
    <w:tmpl w:val="5EFC8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60C76"/>
    <w:multiLevelType w:val="hybridMultilevel"/>
    <w:tmpl w:val="D80A9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AF64AC"/>
    <w:multiLevelType w:val="hybridMultilevel"/>
    <w:tmpl w:val="560E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BC4365"/>
    <w:multiLevelType w:val="hybridMultilevel"/>
    <w:tmpl w:val="62387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ED4E22"/>
    <w:multiLevelType w:val="hybridMultilevel"/>
    <w:tmpl w:val="413AA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C57FC"/>
    <w:multiLevelType w:val="hybridMultilevel"/>
    <w:tmpl w:val="9FF2A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963AF3"/>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6428D"/>
    <w:multiLevelType w:val="hybridMultilevel"/>
    <w:tmpl w:val="B1684E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4522F"/>
    <w:multiLevelType w:val="hybridMultilevel"/>
    <w:tmpl w:val="365C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75253"/>
    <w:multiLevelType w:val="hybridMultilevel"/>
    <w:tmpl w:val="1A8CBF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2472C"/>
    <w:multiLevelType w:val="hybridMultilevel"/>
    <w:tmpl w:val="AB904992"/>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9B671C"/>
    <w:multiLevelType w:val="hybridMultilevel"/>
    <w:tmpl w:val="C5083EF4"/>
    <w:lvl w:ilvl="0" w:tplc="023AD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482CA0"/>
    <w:multiLevelType w:val="hybridMultilevel"/>
    <w:tmpl w:val="AC92C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F1A6B"/>
    <w:multiLevelType w:val="hybridMultilevel"/>
    <w:tmpl w:val="9664E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C6F39"/>
    <w:multiLevelType w:val="hybridMultilevel"/>
    <w:tmpl w:val="A66063F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2318B2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D3BB6"/>
    <w:multiLevelType w:val="hybridMultilevel"/>
    <w:tmpl w:val="24E4B2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num>
  <w:num w:numId="3">
    <w:abstractNumId w:val="15"/>
  </w:num>
  <w:num w:numId="4">
    <w:abstractNumId w:val="34"/>
  </w:num>
  <w:num w:numId="5">
    <w:abstractNumId w:val="19"/>
  </w:num>
  <w:num w:numId="6">
    <w:abstractNumId w:val="10"/>
  </w:num>
  <w:num w:numId="7">
    <w:abstractNumId w:val="26"/>
  </w:num>
  <w:num w:numId="8">
    <w:abstractNumId w:val="22"/>
  </w:num>
  <w:num w:numId="9">
    <w:abstractNumId w:val="40"/>
  </w:num>
  <w:num w:numId="10">
    <w:abstractNumId w:val="0"/>
  </w:num>
  <w:num w:numId="11">
    <w:abstractNumId w:val="37"/>
  </w:num>
  <w:num w:numId="12">
    <w:abstractNumId w:val="30"/>
  </w:num>
  <w:num w:numId="13">
    <w:abstractNumId w:val="36"/>
  </w:num>
  <w:num w:numId="14">
    <w:abstractNumId w:val="47"/>
  </w:num>
  <w:num w:numId="15">
    <w:abstractNumId w:val="41"/>
  </w:num>
  <w:num w:numId="16">
    <w:abstractNumId w:val="42"/>
  </w:num>
  <w:num w:numId="17">
    <w:abstractNumId w:val="2"/>
  </w:num>
  <w:num w:numId="18">
    <w:abstractNumId w:val="11"/>
  </w:num>
  <w:num w:numId="19">
    <w:abstractNumId w:val="43"/>
  </w:num>
  <w:num w:numId="20">
    <w:abstractNumId w:val="29"/>
  </w:num>
  <w:num w:numId="21">
    <w:abstractNumId w:val="25"/>
  </w:num>
  <w:num w:numId="22">
    <w:abstractNumId w:val="45"/>
  </w:num>
  <w:num w:numId="23">
    <w:abstractNumId w:val="13"/>
  </w:num>
  <w:num w:numId="24">
    <w:abstractNumId w:val="8"/>
  </w:num>
  <w:num w:numId="25">
    <w:abstractNumId w:val="38"/>
  </w:num>
  <w:num w:numId="26">
    <w:abstractNumId w:val="46"/>
  </w:num>
  <w:num w:numId="27">
    <w:abstractNumId w:val="6"/>
  </w:num>
  <w:num w:numId="28">
    <w:abstractNumId w:val="21"/>
  </w:num>
  <w:num w:numId="29">
    <w:abstractNumId w:val="35"/>
  </w:num>
  <w:num w:numId="30">
    <w:abstractNumId w:val="1"/>
  </w:num>
  <w:num w:numId="31">
    <w:abstractNumId w:val="24"/>
  </w:num>
  <w:num w:numId="32">
    <w:abstractNumId w:val="31"/>
  </w:num>
  <w:num w:numId="33">
    <w:abstractNumId w:val="18"/>
  </w:num>
  <w:num w:numId="34">
    <w:abstractNumId w:val="9"/>
  </w:num>
  <w:num w:numId="35">
    <w:abstractNumId w:val="32"/>
  </w:num>
  <w:num w:numId="36">
    <w:abstractNumId w:val="3"/>
  </w:num>
  <w:num w:numId="37">
    <w:abstractNumId w:val="33"/>
  </w:num>
  <w:num w:numId="38">
    <w:abstractNumId w:val="23"/>
  </w:num>
  <w:num w:numId="39">
    <w:abstractNumId w:val="5"/>
  </w:num>
  <w:num w:numId="40">
    <w:abstractNumId w:val="14"/>
  </w:num>
  <w:num w:numId="41">
    <w:abstractNumId w:val="12"/>
  </w:num>
  <w:num w:numId="42">
    <w:abstractNumId w:val="17"/>
  </w:num>
  <w:num w:numId="43">
    <w:abstractNumId w:val="44"/>
  </w:num>
  <w:num w:numId="44">
    <w:abstractNumId w:val="7"/>
  </w:num>
  <w:num w:numId="45">
    <w:abstractNumId w:val="48"/>
  </w:num>
  <w:num w:numId="46">
    <w:abstractNumId w:val="4"/>
  </w:num>
  <w:num w:numId="47">
    <w:abstractNumId w:val="16"/>
  </w:num>
  <w:num w:numId="48">
    <w:abstractNumId w:val="2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B3"/>
    <w:rsid w:val="00005965"/>
    <w:rsid w:val="000064F0"/>
    <w:rsid w:val="00024810"/>
    <w:rsid w:val="0002624F"/>
    <w:rsid w:val="00030A90"/>
    <w:rsid w:val="00032F2E"/>
    <w:rsid w:val="00035089"/>
    <w:rsid w:val="00042B67"/>
    <w:rsid w:val="00042DC4"/>
    <w:rsid w:val="00051B5F"/>
    <w:rsid w:val="00051EC4"/>
    <w:rsid w:val="000528B1"/>
    <w:rsid w:val="00052F6E"/>
    <w:rsid w:val="00054ECE"/>
    <w:rsid w:val="00056B41"/>
    <w:rsid w:val="000570B6"/>
    <w:rsid w:val="000570D8"/>
    <w:rsid w:val="000608CA"/>
    <w:rsid w:val="00060A8D"/>
    <w:rsid w:val="000658A2"/>
    <w:rsid w:val="00071203"/>
    <w:rsid w:val="00077533"/>
    <w:rsid w:val="00081AE6"/>
    <w:rsid w:val="00083F41"/>
    <w:rsid w:val="00092CC8"/>
    <w:rsid w:val="00093E06"/>
    <w:rsid w:val="00094AB2"/>
    <w:rsid w:val="0009771C"/>
    <w:rsid w:val="000979B3"/>
    <w:rsid w:val="000A6FDB"/>
    <w:rsid w:val="000A7EE8"/>
    <w:rsid w:val="000B1CC0"/>
    <w:rsid w:val="000B1D02"/>
    <w:rsid w:val="000B637F"/>
    <w:rsid w:val="000B6A9E"/>
    <w:rsid w:val="000C4FB6"/>
    <w:rsid w:val="000D01DF"/>
    <w:rsid w:val="000D195F"/>
    <w:rsid w:val="000E1389"/>
    <w:rsid w:val="000E28B2"/>
    <w:rsid w:val="000E4594"/>
    <w:rsid w:val="000E4C78"/>
    <w:rsid w:val="000E7EBF"/>
    <w:rsid w:val="000F1247"/>
    <w:rsid w:val="000F352D"/>
    <w:rsid w:val="000F6437"/>
    <w:rsid w:val="000F7DD4"/>
    <w:rsid w:val="00106461"/>
    <w:rsid w:val="00111473"/>
    <w:rsid w:val="001114D6"/>
    <w:rsid w:val="00112F46"/>
    <w:rsid w:val="00115F72"/>
    <w:rsid w:val="001364C5"/>
    <w:rsid w:val="00140AB1"/>
    <w:rsid w:val="00143126"/>
    <w:rsid w:val="00145B35"/>
    <w:rsid w:val="00147D0F"/>
    <w:rsid w:val="00150EB7"/>
    <w:rsid w:val="001572C2"/>
    <w:rsid w:val="001576A2"/>
    <w:rsid w:val="00157A75"/>
    <w:rsid w:val="00165D38"/>
    <w:rsid w:val="00175E7D"/>
    <w:rsid w:val="0018079A"/>
    <w:rsid w:val="001815C2"/>
    <w:rsid w:val="0018425D"/>
    <w:rsid w:val="00186CC5"/>
    <w:rsid w:val="00187BC4"/>
    <w:rsid w:val="00190595"/>
    <w:rsid w:val="00193A81"/>
    <w:rsid w:val="00193D77"/>
    <w:rsid w:val="0019547C"/>
    <w:rsid w:val="001A0C26"/>
    <w:rsid w:val="001A1A50"/>
    <w:rsid w:val="001A2F94"/>
    <w:rsid w:val="001A5812"/>
    <w:rsid w:val="001B549A"/>
    <w:rsid w:val="001C21C2"/>
    <w:rsid w:val="001C2336"/>
    <w:rsid w:val="001C6FB5"/>
    <w:rsid w:val="001C728A"/>
    <w:rsid w:val="001D0496"/>
    <w:rsid w:val="001D45D7"/>
    <w:rsid w:val="001D5A1E"/>
    <w:rsid w:val="001D6504"/>
    <w:rsid w:val="001D792E"/>
    <w:rsid w:val="001E1ACB"/>
    <w:rsid w:val="001E3257"/>
    <w:rsid w:val="001E4986"/>
    <w:rsid w:val="001F0B5B"/>
    <w:rsid w:val="001F7B18"/>
    <w:rsid w:val="002041A4"/>
    <w:rsid w:val="00210258"/>
    <w:rsid w:val="002143CD"/>
    <w:rsid w:val="00216005"/>
    <w:rsid w:val="0022256E"/>
    <w:rsid w:val="00232137"/>
    <w:rsid w:val="00232E87"/>
    <w:rsid w:val="00234D24"/>
    <w:rsid w:val="00237F0D"/>
    <w:rsid w:val="002416EB"/>
    <w:rsid w:val="0024551B"/>
    <w:rsid w:val="00245714"/>
    <w:rsid w:val="00246F02"/>
    <w:rsid w:val="00247530"/>
    <w:rsid w:val="00247FDC"/>
    <w:rsid w:val="002527A6"/>
    <w:rsid w:val="002543A2"/>
    <w:rsid w:val="00256C88"/>
    <w:rsid w:val="002608F4"/>
    <w:rsid w:val="00261306"/>
    <w:rsid w:val="00261BC3"/>
    <w:rsid w:val="00261CB2"/>
    <w:rsid w:val="0026551F"/>
    <w:rsid w:val="00266CF4"/>
    <w:rsid w:val="00267F0C"/>
    <w:rsid w:val="00271379"/>
    <w:rsid w:val="002755F0"/>
    <w:rsid w:val="00275A8C"/>
    <w:rsid w:val="0028207D"/>
    <w:rsid w:val="0028224F"/>
    <w:rsid w:val="002839B8"/>
    <w:rsid w:val="002841B2"/>
    <w:rsid w:val="002874F0"/>
    <w:rsid w:val="00292582"/>
    <w:rsid w:val="00292A10"/>
    <w:rsid w:val="0029458F"/>
    <w:rsid w:val="00294B77"/>
    <w:rsid w:val="002957BC"/>
    <w:rsid w:val="002A2AB2"/>
    <w:rsid w:val="002A2C8B"/>
    <w:rsid w:val="002A324B"/>
    <w:rsid w:val="002A6939"/>
    <w:rsid w:val="002A70EB"/>
    <w:rsid w:val="002B0628"/>
    <w:rsid w:val="002B2864"/>
    <w:rsid w:val="002C0285"/>
    <w:rsid w:val="002C2AFE"/>
    <w:rsid w:val="002C3434"/>
    <w:rsid w:val="002C39F3"/>
    <w:rsid w:val="002C3AFF"/>
    <w:rsid w:val="002C56E9"/>
    <w:rsid w:val="002C6B59"/>
    <w:rsid w:val="002C7B88"/>
    <w:rsid w:val="002C7EC2"/>
    <w:rsid w:val="002D24C9"/>
    <w:rsid w:val="002D26CC"/>
    <w:rsid w:val="002D35BD"/>
    <w:rsid w:val="002D3E7E"/>
    <w:rsid w:val="002D60C2"/>
    <w:rsid w:val="002D6851"/>
    <w:rsid w:val="002E407D"/>
    <w:rsid w:val="002F20B2"/>
    <w:rsid w:val="002F43DD"/>
    <w:rsid w:val="002F7734"/>
    <w:rsid w:val="002F7EE2"/>
    <w:rsid w:val="00301A87"/>
    <w:rsid w:val="00302949"/>
    <w:rsid w:val="00303A1A"/>
    <w:rsid w:val="00304184"/>
    <w:rsid w:val="00304359"/>
    <w:rsid w:val="00304846"/>
    <w:rsid w:val="00305761"/>
    <w:rsid w:val="00306408"/>
    <w:rsid w:val="0031019F"/>
    <w:rsid w:val="00310379"/>
    <w:rsid w:val="00310670"/>
    <w:rsid w:val="003113DB"/>
    <w:rsid w:val="0031359D"/>
    <w:rsid w:val="00314981"/>
    <w:rsid w:val="00316299"/>
    <w:rsid w:val="0031777B"/>
    <w:rsid w:val="0032034A"/>
    <w:rsid w:val="00323F62"/>
    <w:rsid w:val="00332C45"/>
    <w:rsid w:val="00332E58"/>
    <w:rsid w:val="003400B6"/>
    <w:rsid w:val="003439FF"/>
    <w:rsid w:val="003456F5"/>
    <w:rsid w:val="0035005D"/>
    <w:rsid w:val="003513CE"/>
    <w:rsid w:val="0035416C"/>
    <w:rsid w:val="00357057"/>
    <w:rsid w:val="003606D0"/>
    <w:rsid w:val="00362414"/>
    <w:rsid w:val="00367C9D"/>
    <w:rsid w:val="00370553"/>
    <w:rsid w:val="00374699"/>
    <w:rsid w:val="00375CCA"/>
    <w:rsid w:val="00375F3C"/>
    <w:rsid w:val="0037737F"/>
    <w:rsid w:val="00380298"/>
    <w:rsid w:val="003809B1"/>
    <w:rsid w:val="003815EA"/>
    <w:rsid w:val="00382AAF"/>
    <w:rsid w:val="0038450D"/>
    <w:rsid w:val="00384C9C"/>
    <w:rsid w:val="00385729"/>
    <w:rsid w:val="0038636A"/>
    <w:rsid w:val="003870F6"/>
    <w:rsid w:val="00392203"/>
    <w:rsid w:val="003A0EDF"/>
    <w:rsid w:val="003A1ED9"/>
    <w:rsid w:val="003A2923"/>
    <w:rsid w:val="003A2AAA"/>
    <w:rsid w:val="003A7FE1"/>
    <w:rsid w:val="003B019B"/>
    <w:rsid w:val="003B08E4"/>
    <w:rsid w:val="003B1D09"/>
    <w:rsid w:val="003B303A"/>
    <w:rsid w:val="003B4159"/>
    <w:rsid w:val="003B6321"/>
    <w:rsid w:val="003C486F"/>
    <w:rsid w:val="003C6536"/>
    <w:rsid w:val="003D024E"/>
    <w:rsid w:val="003D0F99"/>
    <w:rsid w:val="003D1BEE"/>
    <w:rsid w:val="003D3B7E"/>
    <w:rsid w:val="003D4F71"/>
    <w:rsid w:val="003E1792"/>
    <w:rsid w:val="003E271F"/>
    <w:rsid w:val="003E47E8"/>
    <w:rsid w:val="003E55BB"/>
    <w:rsid w:val="003E6699"/>
    <w:rsid w:val="003F38D7"/>
    <w:rsid w:val="003F47E5"/>
    <w:rsid w:val="003F62EC"/>
    <w:rsid w:val="003F63C1"/>
    <w:rsid w:val="00400245"/>
    <w:rsid w:val="004011C1"/>
    <w:rsid w:val="004019ED"/>
    <w:rsid w:val="004046B9"/>
    <w:rsid w:val="0040672B"/>
    <w:rsid w:val="004077BF"/>
    <w:rsid w:val="00412BF4"/>
    <w:rsid w:val="00413EE7"/>
    <w:rsid w:val="004150D4"/>
    <w:rsid w:val="0041636F"/>
    <w:rsid w:val="00416C27"/>
    <w:rsid w:val="004226AC"/>
    <w:rsid w:val="0042270D"/>
    <w:rsid w:val="004258ED"/>
    <w:rsid w:val="00427AF5"/>
    <w:rsid w:val="004344D1"/>
    <w:rsid w:val="004350E4"/>
    <w:rsid w:val="00435802"/>
    <w:rsid w:val="00435C5E"/>
    <w:rsid w:val="00436AC4"/>
    <w:rsid w:val="0044375C"/>
    <w:rsid w:val="004439B4"/>
    <w:rsid w:val="004448CA"/>
    <w:rsid w:val="00445D01"/>
    <w:rsid w:val="00446322"/>
    <w:rsid w:val="00446F72"/>
    <w:rsid w:val="00453EA2"/>
    <w:rsid w:val="004558EB"/>
    <w:rsid w:val="0045609B"/>
    <w:rsid w:val="00456582"/>
    <w:rsid w:val="004568FB"/>
    <w:rsid w:val="00456973"/>
    <w:rsid w:val="00457EE5"/>
    <w:rsid w:val="00463A28"/>
    <w:rsid w:val="00464C45"/>
    <w:rsid w:val="00465E5E"/>
    <w:rsid w:val="00467BBA"/>
    <w:rsid w:val="004706E8"/>
    <w:rsid w:val="004717D6"/>
    <w:rsid w:val="00471830"/>
    <w:rsid w:val="00474322"/>
    <w:rsid w:val="0047485D"/>
    <w:rsid w:val="00474AD0"/>
    <w:rsid w:val="00480B9F"/>
    <w:rsid w:val="00481B94"/>
    <w:rsid w:val="00482250"/>
    <w:rsid w:val="004824CB"/>
    <w:rsid w:val="00483403"/>
    <w:rsid w:val="00485BCE"/>
    <w:rsid w:val="00491165"/>
    <w:rsid w:val="004A023D"/>
    <w:rsid w:val="004A2D04"/>
    <w:rsid w:val="004A4915"/>
    <w:rsid w:val="004A7563"/>
    <w:rsid w:val="004B5AEF"/>
    <w:rsid w:val="004B6D28"/>
    <w:rsid w:val="004B71B4"/>
    <w:rsid w:val="004C0355"/>
    <w:rsid w:val="004C0727"/>
    <w:rsid w:val="004C0849"/>
    <w:rsid w:val="004C1FC0"/>
    <w:rsid w:val="004C2538"/>
    <w:rsid w:val="004C55EF"/>
    <w:rsid w:val="004D1796"/>
    <w:rsid w:val="004D6247"/>
    <w:rsid w:val="004D6A54"/>
    <w:rsid w:val="004E18B4"/>
    <w:rsid w:val="004E6289"/>
    <w:rsid w:val="004F3BAC"/>
    <w:rsid w:val="00501F42"/>
    <w:rsid w:val="005022B7"/>
    <w:rsid w:val="005059B7"/>
    <w:rsid w:val="00506034"/>
    <w:rsid w:val="00511A26"/>
    <w:rsid w:val="00516B35"/>
    <w:rsid w:val="00516D48"/>
    <w:rsid w:val="0052074E"/>
    <w:rsid w:val="0052229A"/>
    <w:rsid w:val="00523C49"/>
    <w:rsid w:val="005249CF"/>
    <w:rsid w:val="005275E0"/>
    <w:rsid w:val="00540998"/>
    <w:rsid w:val="00541EB3"/>
    <w:rsid w:val="005443E0"/>
    <w:rsid w:val="00544932"/>
    <w:rsid w:val="00547B15"/>
    <w:rsid w:val="00550EAC"/>
    <w:rsid w:val="00556C83"/>
    <w:rsid w:val="005612E9"/>
    <w:rsid w:val="00562535"/>
    <w:rsid w:val="00565D93"/>
    <w:rsid w:val="00575B40"/>
    <w:rsid w:val="0057760C"/>
    <w:rsid w:val="00584ADF"/>
    <w:rsid w:val="0058679D"/>
    <w:rsid w:val="00587675"/>
    <w:rsid w:val="005901D4"/>
    <w:rsid w:val="00590D65"/>
    <w:rsid w:val="00597944"/>
    <w:rsid w:val="00597FEE"/>
    <w:rsid w:val="005A341E"/>
    <w:rsid w:val="005B57D8"/>
    <w:rsid w:val="005B69AE"/>
    <w:rsid w:val="005C05D2"/>
    <w:rsid w:val="005C0974"/>
    <w:rsid w:val="005D1D3D"/>
    <w:rsid w:val="005D6385"/>
    <w:rsid w:val="005E1F39"/>
    <w:rsid w:val="005E1F73"/>
    <w:rsid w:val="005E3C65"/>
    <w:rsid w:val="005E51BD"/>
    <w:rsid w:val="005E6FF0"/>
    <w:rsid w:val="005E7D29"/>
    <w:rsid w:val="005F141B"/>
    <w:rsid w:val="005F2584"/>
    <w:rsid w:val="005F4562"/>
    <w:rsid w:val="005F47EE"/>
    <w:rsid w:val="005F64FC"/>
    <w:rsid w:val="005F751C"/>
    <w:rsid w:val="006019C4"/>
    <w:rsid w:val="00610024"/>
    <w:rsid w:val="00612A74"/>
    <w:rsid w:val="00612B71"/>
    <w:rsid w:val="00614800"/>
    <w:rsid w:val="0061506C"/>
    <w:rsid w:val="00622099"/>
    <w:rsid w:val="00625B4A"/>
    <w:rsid w:val="00625F44"/>
    <w:rsid w:val="006304EE"/>
    <w:rsid w:val="0063122A"/>
    <w:rsid w:val="00631344"/>
    <w:rsid w:val="00631D3E"/>
    <w:rsid w:val="00633D30"/>
    <w:rsid w:val="006356EF"/>
    <w:rsid w:val="00635E5A"/>
    <w:rsid w:val="006403CE"/>
    <w:rsid w:val="00644B7B"/>
    <w:rsid w:val="00644BED"/>
    <w:rsid w:val="00651C45"/>
    <w:rsid w:val="00651FD2"/>
    <w:rsid w:val="0065642C"/>
    <w:rsid w:val="006570EB"/>
    <w:rsid w:val="00661C14"/>
    <w:rsid w:val="00663443"/>
    <w:rsid w:val="00663521"/>
    <w:rsid w:val="00663A28"/>
    <w:rsid w:val="00676C4D"/>
    <w:rsid w:val="0067731A"/>
    <w:rsid w:val="00680E6A"/>
    <w:rsid w:val="00681779"/>
    <w:rsid w:val="0068357C"/>
    <w:rsid w:val="00685649"/>
    <w:rsid w:val="00686B46"/>
    <w:rsid w:val="00687EAF"/>
    <w:rsid w:val="0069426F"/>
    <w:rsid w:val="006A320E"/>
    <w:rsid w:val="006A5C9E"/>
    <w:rsid w:val="006B1438"/>
    <w:rsid w:val="006B17C7"/>
    <w:rsid w:val="006B22E5"/>
    <w:rsid w:val="006B370B"/>
    <w:rsid w:val="006B47BC"/>
    <w:rsid w:val="006C52D9"/>
    <w:rsid w:val="006C5D7B"/>
    <w:rsid w:val="006C6D85"/>
    <w:rsid w:val="006C741E"/>
    <w:rsid w:val="006C753F"/>
    <w:rsid w:val="006C7C1E"/>
    <w:rsid w:val="006D22F2"/>
    <w:rsid w:val="006D6680"/>
    <w:rsid w:val="006D6F86"/>
    <w:rsid w:val="006E075F"/>
    <w:rsid w:val="006E07C2"/>
    <w:rsid w:val="006E1B92"/>
    <w:rsid w:val="006E314D"/>
    <w:rsid w:val="006E39D0"/>
    <w:rsid w:val="006E57E2"/>
    <w:rsid w:val="006F4397"/>
    <w:rsid w:val="00702C61"/>
    <w:rsid w:val="00704046"/>
    <w:rsid w:val="00704102"/>
    <w:rsid w:val="0071157F"/>
    <w:rsid w:val="00711956"/>
    <w:rsid w:val="00711F44"/>
    <w:rsid w:val="0071261A"/>
    <w:rsid w:val="0071309F"/>
    <w:rsid w:val="0071627C"/>
    <w:rsid w:val="00717A8E"/>
    <w:rsid w:val="00720170"/>
    <w:rsid w:val="00720315"/>
    <w:rsid w:val="00721C8B"/>
    <w:rsid w:val="00724058"/>
    <w:rsid w:val="007252A3"/>
    <w:rsid w:val="00725E77"/>
    <w:rsid w:val="00733151"/>
    <w:rsid w:val="00734BD1"/>
    <w:rsid w:val="00734DF6"/>
    <w:rsid w:val="00736610"/>
    <w:rsid w:val="0073784E"/>
    <w:rsid w:val="007433DF"/>
    <w:rsid w:val="0074457C"/>
    <w:rsid w:val="0074542A"/>
    <w:rsid w:val="00747B31"/>
    <w:rsid w:val="00747E78"/>
    <w:rsid w:val="007508AB"/>
    <w:rsid w:val="007578A7"/>
    <w:rsid w:val="0076166C"/>
    <w:rsid w:val="00761F08"/>
    <w:rsid w:val="00762CB3"/>
    <w:rsid w:val="007653AA"/>
    <w:rsid w:val="007711D0"/>
    <w:rsid w:val="00771E6F"/>
    <w:rsid w:val="0077435C"/>
    <w:rsid w:val="00775BB3"/>
    <w:rsid w:val="007760EC"/>
    <w:rsid w:val="00776CDB"/>
    <w:rsid w:val="00780555"/>
    <w:rsid w:val="007846B5"/>
    <w:rsid w:val="00784AD1"/>
    <w:rsid w:val="007859BE"/>
    <w:rsid w:val="00786FB4"/>
    <w:rsid w:val="0078734E"/>
    <w:rsid w:val="00790012"/>
    <w:rsid w:val="00790B7F"/>
    <w:rsid w:val="00790DAE"/>
    <w:rsid w:val="00791606"/>
    <w:rsid w:val="00793244"/>
    <w:rsid w:val="00794B11"/>
    <w:rsid w:val="007960D0"/>
    <w:rsid w:val="00796502"/>
    <w:rsid w:val="00797115"/>
    <w:rsid w:val="00797EE1"/>
    <w:rsid w:val="00797FF5"/>
    <w:rsid w:val="007A00F5"/>
    <w:rsid w:val="007A18E4"/>
    <w:rsid w:val="007A2CF4"/>
    <w:rsid w:val="007A35B9"/>
    <w:rsid w:val="007A368B"/>
    <w:rsid w:val="007A50FD"/>
    <w:rsid w:val="007A5C45"/>
    <w:rsid w:val="007B1CF5"/>
    <w:rsid w:val="007B4527"/>
    <w:rsid w:val="007B4817"/>
    <w:rsid w:val="007B4D69"/>
    <w:rsid w:val="007B5F69"/>
    <w:rsid w:val="007C649A"/>
    <w:rsid w:val="007C70D7"/>
    <w:rsid w:val="007C774D"/>
    <w:rsid w:val="007D1223"/>
    <w:rsid w:val="007D1B8A"/>
    <w:rsid w:val="007D442A"/>
    <w:rsid w:val="007D6414"/>
    <w:rsid w:val="007E01F4"/>
    <w:rsid w:val="007E4CF4"/>
    <w:rsid w:val="007E651C"/>
    <w:rsid w:val="007E7C7E"/>
    <w:rsid w:val="008011A8"/>
    <w:rsid w:val="008015F9"/>
    <w:rsid w:val="0080792B"/>
    <w:rsid w:val="00811DB2"/>
    <w:rsid w:val="008137DB"/>
    <w:rsid w:val="00813C71"/>
    <w:rsid w:val="008149BD"/>
    <w:rsid w:val="00817D9A"/>
    <w:rsid w:val="00822331"/>
    <w:rsid w:val="00827F61"/>
    <w:rsid w:val="00831EC2"/>
    <w:rsid w:val="008331C0"/>
    <w:rsid w:val="00841650"/>
    <w:rsid w:val="0084225E"/>
    <w:rsid w:val="00844E6E"/>
    <w:rsid w:val="00846CB8"/>
    <w:rsid w:val="00846D13"/>
    <w:rsid w:val="0085089C"/>
    <w:rsid w:val="00850917"/>
    <w:rsid w:val="00852143"/>
    <w:rsid w:val="008522B0"/>
    <w:rsid w:val="00855D2F"/>
    <w:rsid w:val="00855DCF"/>
    <w:rsid w:val="00860988"/>
    <w:rsid w:val="00860BF8"/>
    <w:rsid w:val="00861927"/>
    <w:rsid w:val="00861F7A"/>
    <w:rsid w:val="00862F5C"/>
    <w:rsid w:val="0086574A"/>
    <w:rsid w:val="00865780"/>
    <w:rsid w:val="0086601C"/>
    <w:rsid w:val="0086651A"/>
    <w:rsid w:val="008708B4"/>
    <w:rsid w:val="00871BBE"/>
    <w:rsid w:val="008725E3"/>
    <w:rsid w:val="0087302E"/>
    <w:rsid w:val="00873663"/>
    <w:rsid w:val="0087503C"/>
    <w:rsid w:val="00876513"/>
    <w:rsid w:val="008765F3"/>
    <w:rsid w:val="008821F2"/>
    <w:rsid w:val="00883F7A"/>
    <w:rsid w:val="008914DF"/>
    <w:rsid w:val="0089151F"/>
    <w:rsid w:val="00892D3A"/>
    <w:rsid w:val="00894109"/>
    <w:rsid w:val="008947B1"/>
    <w:rsid w:val="00895372"/>
    <w:rsid w:val="008A07BB"/>
    <w:rsid w:val="008A7346"/>
    <w:rsid w:val="008B0C2A"/>
    <w:rsid w:val="008B1508"/>
    <w:rsid w:val="008B258F"/>
    <w:rsid w:val="008B28CB"/>
    <w:rsid w:val="008B7C44"/>
    <w:rsid w:val="008C1FFC"/>
    <w:rsid w:val="008C67CB"/>
    <w:rsid w:val="008C7042"/>
    <w:rsid w:val="008C7AB1"/>
    <w:rsid w:val="008C7CBB"/>
    <w:rsid w:val="008D1C22"/>
    <w:rsid w:val="008D3514"/>
    <w:rsid w:val="008D3DF0"/>
    <w:rsid w:val="008E35ED"/>
    <w:rsid w:val="008E74A5"/>
    <w:rsid w:val="008F1B56"/>
    <w:rsid w:val="008F205D"/>
    <w:rsid w:val="008F210E"/>
    <w:rsid w:val="008F2911"/>
    <w:rsid w:val="008F628C"/>
    <w:rsid w:val="008F72F3"/>
    <w:rsid w:val="00901D3D"/>
    <w:rsid w:val="00902431"/>
    <w:rsid w:val="009046C6"/>
    <w:rsid w:val="00907F7F"/>
    <w:rsid w:val="00911255"/>
    <w:rsid w:val="009140ED"/>
    <w:rsid w:val="00914439"/>
    <w:rsid w:val="00914C9C"/>
    <w:rsid w:val="00915B2D"/>
    <w:rsid w:val="00917FFB"/>
    <w:rsid w:val="00920A3C"/>
    <w:rsid w:val="009223C9"/>
    <w:rsid w:val="009233D5"/>
    <w:rsid w:val="009241E5"/>
    <w:rsid w:val="00924E74"/>
    <w:rsid w:val="009272FD"/>
    <w:rsid w:val="00930723"/>
    <w:rsid w:val="00932F30"/>
    <w:rsid w:val="00933AF3"/>
    <w:rsid w:val="0093516E"/>
    <w:rsid w:val="00942D81"/>
    <w:rsid w:val="00943ABF"/>
    <w:rsid w:val="009465F2"/>
    <w:rsid w:val="00947430"/>
    <w:rsid w:val="00947C7B"/>
    <w:rsid w:val="00950CEC"/>
    <w:rsid w:val="0095301E"/>
    <w:rsid w:val="00954F21"/>
    <w:rsid w:val="00971100"/>
    <w:rsid w:val="009737BA"/>
    <w:rsid w:val="00975AE4"/>
    <w:rsid w:val="0097611B"/>
    <w:rsid w:val="009770EA"/>
    <w:rsid w:val="0098348D"/>
    <w:rsid w:val="00991E1D"/>
    <w:rsid w:val="00993A04"/>
    <w:rsid w:val="009A0564"/>
    <w:rsid w:val="009A05D6"/>
    <w:rsid w:val="009A3FDE"/>
    <w:rsid w:val="009A4FE0"/>
    <w:rsid w:val="009A5A46"/>
    <w:rsid w:val="009B058A"/>
    <w:rsid w:val="009B201B"/>
    <w:rsid w:val="009B2AC6"/>
    <w:rsid w:val="009B3425"/>
    <w:rsid w:val="009C0A64"/>
    <w:rsid w:val="009C2190"/>
    <w:rsid w:val="009C335D"/>
    <w:rsid w:val="009C4080"/>
    <w:rsid w:val="009C4408"/>
    <w:rsid w:val="009C6659"/>
    <w:rsid w:val="009C7EEC"/>
    <w:rsid w:val="009D2D49"/>
    <w:rsid w:val="009D3E84"/>
    <w:rsid w:val="009E073C"/>
    <w:rsid w:val="009E098F"/>
    <w:rsid w:val="009E57D6"/>
    <w:rsid w:val="009E5FD8"/>
    <w:rsid w:val="009E6C85"/>
    <w:rsid w:val="009F0236"/>
    <w:rsid w:val="009F0D90"/>
    <w:rsid w:val="00A00213"/>
    <w:rsid w:val="00A01445"/>
    <w:rsid w:val="00A015D6"/>
    <w:rsid w:val="00A033A7"/>
    <w:rsid w:val="00A06CF0"/>
    <w:rsid w:val="00A12C03"/>
    <w:rsid w:val="00A14A17"/>
    <w:rsid w:val="00A1610F"/>
    <w:rsid w:val="00A16564"/>
    <w:rsid w:val="00A21CA4"/>
    <w:rsid w:val="00A24F41"/>
    <w:rsid w:val="00A27852"/>
    <w:rsid w:val="00A31EB9"/>
    <w:rsid w:val="00A32098"/>
    <w:rsid w:val="00A334A7"/>
    <w:rsid w:val="00A36D4F"/>
    <w:rsid w:val="00A4127C"/>
    <w:rsid w:val="00A45B5D"/>
    <w:rsid w:val="00A476B5"/>
    <w:rsid w:val="00A47795"/>
    <w:rsid w:val="00A47A9C"/>
    <w:rsid w:val="00A519F9"/>
    <w:rsid w:val="00A53C22"/>
    <w:rsid w:val="00A53D9F"/>
    <w:rsid w:val="00A54555"/>
    <w:rsid w:val="00A55B54"/>
    <w:rsid w:val="00A56D9E"/>
    <w:rsid w:val="00A57CE8"/>
    <w:rsid w:val="00A61B4F"/>
    <w:rsid w:val="00A6380A"/>
    <w:rsid w:val="00A711D2"/>
    <w:rsid w:val="00A748CD"/>
    <w:rsid w:val="00A774C0"/>
    <w:rsid w:val="00A77DCE"/>
    <w:rsid w:val="00A825D2"/>
    <w:rsid w:val="00A829D6"/>
    <w:rsid w:val="00A82F05"/>
    <w:rsid w:val="00A84084"/>
    <w:rsid w:val="00A90499"/>
    <w:rsid w:val="00A953C9"/>
    <w:rsid w:val="00A973D2"/>
    <w:rsid w:val="00A97865"/>
    <w:rsid w:val="00AA1E75"/>
    <w:rsid w:val="00AA3CBE"/>
    <w:rsid w:val="00AA6DED"/>
    <w:rsid w:val="00AB08D2"/>
    <w:rsid w:val="00AB16EC"/>
    <w:rsid w:val="00AB1941"/>
    <w:rsid w:val="00AB29D1"/>
    <w:rsid w:val="00AC0922"/>
    <w:rsid w:val="00AC1507"/>
    <w:rsid w:val="00AC1FDA"/>
    <w:rsid w:val="00AC3707"/>
    <w:rsid w:val="00AC7388"/>
    <w:rsid w:val="00AC7C17"/>
    <w:rsid w:val="00AD03E6"/>
    <w:rsid w:val="00AD19A3"/>
    <w:rsid w:val="00AD1A2A"/>
    <w:rsid w:val="00AD1D7F"/>
    <w:rsid w:val="00AD61C1"/>
    <w:rsid w:val="00AE638D"/>
    <w:rsid w:val="00AE6E92"/>
    <w:rsid w:val="00AF4EC5"/>
    <w:rsid w:val="00B03859"/>
    <w:rsid w:val="00B03976"/>
    <w:rsid w:val="00B05286"/>
    <w:rsid w:val="00B05311"/>
    <w:rsid w:val="00B07430"/>
    <w:rsid w:val="00B13D9B"/>
    <w:rsid w:val="00B14DC7"/>
    <w:rsid w:val="00B15E52"/>
    <w:rsid w:val="00B2257C"/>
    <w:rsid w:val="00B22891"/>
    <w:rsid w:val="00B25B4C"/>
    <w:rsid w:val="00B26D8F"/>
    <w:rsid w:val="00B31BD2"/>
    <w:rsid w:val="00B35933"/>
    <w:rsid w:val="00B371EC"/>
    <w:rsid w:val="00B474F2"/>
    <w:rsid w:val="00B479E9"/>
    <w:rsid w:val="00B527F6"/>
    <w:rsid w:val="00B5292F"/>
    <w:rsid w:val="00B53C5F"/>
    <w:rsid w:val="00B5411E"/>
    <w:rsid w:val="00B57079"/>
    <w:rsid w:val="00B6053A"/>
    <w:rsid w:val="00B63AD8"/>
    <w:rsid w:val="00B64788"/>
    <w:rsid w:val="00B67C08"/>
    <w:rsid w:val="00B705DA"/>
    <w:rsid w:val="00B75BEC"/>
    <w:rsid w:val="00B761FB"/>
    <w:rsid w:val="00B77FC7"/>
    <w:rsid w:val="00B81F31"/>
    <w:rsid w:val="00B8213A"/>
    <w:rsid w:val="00B83A02"/>
    <w:rsid w:val="00B84BF3"/>
    <w:rsid w:val="00B85D65"/>
    <w:rsid w:val="00B87AE7"/>
    <w:rsid w:val="00B914AA"/>
    <w:rsid w:val="00B91FE1"/>
    <w:rsid w:val="00B9301B"/>
    <w:rsid w:val="00B94974"/>
    <w:rsid w:val="00B9547E"/>
    <w:rsid w:val="00B96A40"/>
    <w:rsid w:val="00B97FB1"/>
    <w:rsid w:val="00BA3728"/>
    <w:rsid w:val="00BA5DC7"/>
    <w:rsid w:val="00BA5F5C"/>
    <w:rsid w:val="00BA663B"/>
    <w:rsid w:val="00BA72D3"/>
    <w:rsid w:val="00BB0C25"/>
    <w:rsid w:val="00BB58D4"/>
    <w:rsid w:val="00BC0B25"/>
    <w:rsid w:val="00BC0D34"/>
    <w:rsid w:val="00BC18E7"/>
    <w:rsid w:val="00BC2487"/>
    <w:rsid w:val="00BC2A8C"/>
    <w:rsid w:val="00BC34DF"/>
    <w:rsid w:val="00BC53D4"/>
    <w:rsid w:val="00BC59CA"/>
    <w:rsid w:val="00BD04FE"/>
    <w:rsid w:val="00BD1040"/>
    <w:rsid w:val="00BD227A"/>
    <w:rsid w:val="00BD3D28"/>
    <w:rsid w:val="00BD69C8"/>
    <w:rsid w:val="00BD69CF"/>
    <w:rsid w:val="00BF10A8"/>
    <w:rsid w:val="00BF1FE6"/>
    <w:rsid w:val="00BF49D8"/>
    <w:rsid w:val="00C12A27"/>
    <w:rsid w:val="00C13F00"/>
    <w:rsid w:val="00C17232"/>
    <w:rsid w:val="00C20BCF"/>
    <w:rsid w:val="00C20CCA"/>
    <w:rsid w:val="00C20DDC"/>
    <w:rsid w:val="00C262C6"/>
    <w:rsid w:val="00C3069D"/>
    <w:rsid w:val="00C31A3D"/>
    <w:rsid w:val="00C34CD9"/>
    <w:rsid w:val="00C35F0C"/>
    <w:rsid w:val="00C41A7C"/>
    <w:rsid w:val="00C45C46"/>
    <w:rsid w:val="00C46AB8"/>
    <w:rsid w:val="00C50B12"/>
    <w:rsid w:val="00C5245E"/>
    <w:rsid w:val="00C5364C"/>
    <w:rsid w:val="00C559C9"/>
    <w:rsid w:val="00C572B8"/>
    <w:rsid w:val="00C64D75"/>
    <w:rsid w:val="00C65EB2"/>
    <w:rsid w:val="00C70CD5"/>
    <w:rsid w:val="00C7195D"/>
    <w:rsid w:val="00C725A9"/>
    <w:rsid w:val="00C7435F"/>
    <w:rsid w:val="00C81276"/>
    <w:rsid w:val="00C83014"/>
    <w:rsid w:val="00C90BCE"/>
    <w:rsid w:val="00C92B45"/>
    <w:rsid w:val="00C94941"/>
    <w:rsid w:val="00C95469"/>
    <w:rsid w:val="00CA0816"/>
    <w:rsid w:val="00CA4691"/>
    <w:rsid w:val="00CA4773"/>
    <w:rsid w:val="00CA5510"/>
    <w:rsid w:val="00CA7637"/>
    <w:rsid w:val="00CB2257"/>
    <w:rsid w:val="00CB40C6"/>
    <w:rsid w:val="00CB41D3"/>
    <w:rsid w:val="00CB6784"/>
    <w:rsid w:val="00CC04E0"/>
    <w:rsid w:val="00CC7EC5"/>
    <w:rsid w:val="00CD0E76"/>
    <w:rsid w:val="00CD754E"/>
    <w:rsid w:val="00CE1A83"/>
    <w:rsid w:val="00CE4C90"/>
    <w:rsid w:val="00CE4EF4"/>
    <w:rsid w:val="00CF3148"/>
    <w:rsid w:val="00CF62F0"/>
    <w:rsid w:val="00CF6A60"/>
    <w:rsid w:val="00CF6B79"/>
    <w:rsid w:val="00CF7F6E"/>
    <w:rsid w:val="00D0367D"/>
    <w:rsid w:val="00D0772F"/>
    <w:rsid w:val="00D12766"/>
    <w:rsid w:val="00D129C7"/>
    <w:rsid w:val="00D12CC8"/>
    <w:rsid w:val="00D13600"/>
    <w:rsid w:val="00D1593C"/>
    <w:rsid w:val="00D1732D"/>
    <w:rsid w:val="00D20D6D"/>
    <w:rsid w:val="00D21A2F"/>
    <w:rsid w:val="00D242F7"/>
    <w:rsid w:val="00D24FF2"/>
    <w:rsid w:val="00D25BDB"/>
    <w:rsid w:val="00D3204D"/>
    <w:rsid w:val="00D32A7E"/>
    <w:rsid w:val="00D33CB0"/>
    <w:rsid w:val="00D34650"/>
    <w:rsid w:val="00D35B56"/>
    <w:rsid w:val="00D373B0"/>
    <w:rsid w:val="00D401A7"/>
    <w:rsid w:val="00D40609"/>
    <w:rsid w:val="00D40C33"/>
    <w:rsid w:val="00D42D15"/>
    <w:rsid w:val="00D444A0"/>
    <w:rsid w:val="00D448D4"/>
    <w:rsid w:val="00D50353"/>
    <w:rsid w:val="00D5066E"/>
    <w:rsid w:val="00D511D6"/>
    <w:rsid w:val="00D5222F"/>
    <w:rsid w:val="00D54888"/>
    <w:rsid w:val="00D62559"/>
    <w:rsid w:val="00D63F7A"/>
    <w:rsid w:val="00D72288"/>
    <w:rsid w:val="00D74B4D"/>
    <w:rsid w:val="00D76318"/>
    <w:rsid w:val="00D84355"/>
    <w:rsid w:val="00D84AF4"/>
    <w:rsid w:val="00D86A54"/>
    <w:rsid w:val="00D87EBD"/>
    <w:rsid w:val="00D95010"/>
    <w:rsid w:val="00DA457B"/>
    <w:rsid w:val="00DA5908"/>
    <w:rsid w:val="00DB6FC5"/>
    <w:rsid w:val="00DB7487"/>
    <w:rsid w:val="00DB77F4"/>
    <w:rsid w:val="00DC27B9"/>
    <w:rsid w:val="00DC380C"/>
    <w:rsid w:val="00DC3D02"/>
    <w:rsid w:val="00DC56F2"/>
    <w:rsid w:val="00DC7D08"/>
    <w:rsid w:val="00DD19ED"/>
    <w:rsid w:val="00DD63CA"/>
    <w:rsid w:val="00DD6CA0"/>
    <w:rsid w:val="00DE4A0E"/>
    <w:rsid w:val="00DE6C78"/>
    <w:rsid w:val="00DE7ECA"/>
    <w:rsid w:val="00DF5419"/>
    <w:rsid w:val="00E02D24"/>
    <w:rsid w:val="00E0327A"/>
    <w:rsid w:val="00E07780"/>
    <w:rsid w:val="00E13F1F"/>
    <w:rsid w:val="00E251E2"/>
    <w:rsid w:val="00E30E3A"/>
    <w:rsid w:val="00E3163A"/>
    <w:rsid w:val="00E37780"/>
    <w:rsid w:val="00E42979"/>
    <w:rsid w:val="00E45236"/>
    <w:rsid w:val="00E46508"/>
    <w:rsid w:val="00E514B9"/>
    <w:rsid w:val="00E54F41"/>
    <w:rsid w:val="00E57F0C"/>
    <w:rsid w:val="00E60031"/>
    <w:rsid w:val="00E6008E"/>
    <w:rsid w:val="00E64A55"/>
    <w:rsid w:val="00E66CDB"/>
    <w:rsid w:val="00E67F3C"/>
    <w:rsid w:val="00E70059"/>
    <w:rsid w:val="00E72567"/>
    <w:rsid w:val="00E748B4"/>
    <w:rsid w:val="00E74983"/>
    <w:rsid w:val="00E81249"/>
    <w:rsid w:val="00E866AF"/>
    <w:rsid w:val="00E91801"/>
    <w:rsid w:val="00E9422F"/>
    <w:rsid w:val="00E9444A"/>
    <w:rsid w:val="00E9515C"/>
    <w:rsid w:val="00E957C2"/>
    <w:rsid w:val="00EB4539"/>
    <w:rsid w:val="00EB7722"/>
    <w:rsid w:val="00EC129C"/>
    <w:rsid w:val="00ED06CD"/>
    <w:rsid w:val="00ED0DB2"/>
    <w:rsid w:val="00ED1DEA"/>
    <w:rsid w:val="00ED421B"/>
    <w:rsid w:val="00ED562A"/>
    <w:rsid w:val="00EE0A04"/>
    <w:rsid w:val="00EE351B"/>
    <w:rsid w:val="00EE78ED"/>
    <w:rsid w:val="00EF2C57"/>
    <w:rsid w:val="00EF427E"/>
    <w:rsid w:val="00EF550A"/>
    <w:rsid w:val="00EF5757"/>
    <w:rsid w:val="00EF7732"/>
    <w:rsid w:val="00EF7971"/>
    <w:rsid w:val="00F008EF"/>
    <w:rsid w:val="00F00FC5"/>
    <w:rsid w:val="00F03F79"/>
    <w:rsid w:val="00F04F8A"/>
    <w:rsid w:val="00F0644C"/>
    <w:rsid w:val="00F10B9B"/>
    <w:rsid w:val="00F10F04"/>
    <w:rsid w:val="00F13EB2"/>
    <w:rsid w:val="00F1473D"/>
    <w:rsid w:val="00F147F6"/>
    <w:rsid w:val="00F14C13"/>
    <w:rsid w:val="00F15354"/>
    <w:rsid w:val="00F2000A"/>
    <w:rsid w:val="00F20B95"/>
    <w:rsid w:val="00F22AB9"/>
    <w:rsid w:val="00F2413F"/>
    <w:rsid w:val="00F2463D"/>
    <w:rsid w:val="00F25FAA"/>
    <w:rsid w:val="00F33164"/>
    <w:rsid w:val="00F3533B"/>
    <w:rsid w:val="00F35B84"/>
    <w:rsid w:val="00F40836"/>
    <w:rsid w:val="00F41FC6"/>
    <w:rsid w:val="00F42D84"/>
    <w:rsid w:val="00F44284"/>
    <w:rsid w:val="00F4606B"/>
    <w:rsid w:val="00F46B96"/>
    <w:rsid w:val="00F52642"/>
    <w:rsid w:val="00F53D25"/>
    <w:rsid w:val="00F54D7F"/>
    <w:rsid w:val="00F56B2C"/>
    <w:rsid w:val="00F615C9"/>
    <w:rsid w:val="00F6205E"/>
    <w:rsid w:val="00F639DC"/>
    <w:rsid w:val="00F64081"/>
    <w:rsid w:val="00F720B6"/>
    <w:rsid w:val="00F7252A"/>
    <w:rsid w:val="00F726C7"/>
    <w:rsid w:val="00F730DD"/>
    <w:rsid w:val="00F74D22"/>
    <w:rsid w:val="00F75069"/>
    <w:rsid w:val="00F752EB"/>
    <w:rsid w:val="00F75456"/>
    <w:rsid w:val="00F77C0C"/>
    <w:rsid w:val="00F83B4B"/>
    <w:rsid w:val="00F8516E"/>
    <w:rsid w:val="00F863AD"/>
    <w:rsid w:val="00F91076"/>
    <w:rsid w:val="00F91352"/>
    <w:rsid w:val="00F91EF7"/>
    <w:rsid w:val="00F94833"/>
    <w:rsid w:val="00F961C3"/>
    <w:rsid w:val="00F96926"/>
    <w:rsid w:val="00F969A9"/>
    <w:rsid w:val="00FA05C3"/>
    <w:rsid w:val="00FA1211"/>
    <w:rsid w:val="00FA447D"/>
    <w:rsid w:val="00FA4E26"/>
    <w:rsid w:val="00FA6454"/>
    <w:rsid w:val="00FB7BE5"/>
    <w:rsid w:val="00FC03B6"/>
    <w:rsid w:val="00FC0D33"/>
    <w:rsid w:val="00FC3438"/>
    <w:rsid w:val="00FC42DF"/>
    <w:rsid w:val="00FC466B"/>
    <w:rsid w:val="00FD09BD"/>
    <w:rsid w:val="00FD2019"/>
    <w:rsid w:val="00FD28B0"/>
    <w:rsid w:val="00FD28F1"/>
    <w:rsid w:val="00FD3025"/>
    <w:rsid w:val="00FD4BFB"/>
    <w:rsid w:val="00FD5CC7"/>
    <w:rsid w:val="00FE468B"/>
    <w:rsid w:val="00FE66F6"/>
    <w:rsid w:val="00FF1B50"/>
    <w:rsid w:val="00FF1CC2"/>
    <w:rsid w:val="00FF310B"/>
    <w:rsid w:val="00FF3A63"/>
    <w:rsid w:val="00FF5B57"/>
    <w:rsid w:val="00FF78B9"/>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7FF253"/>
  <w15:chartTrackingRefBased/>
  <w15:docId w15:val="{6E8E0EE1-1A58-4810-91BB-2B58FF37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163A"/>
    <w:pPr>
      <w:keepNext/>
      <w:keepLines/>
      <w:spacing w:before="240" w:after="0"/>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051B5F"/>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E84"/>
    <w:pPr>
      <w:ind w:left="720"/>
      <w:contextualSpacing/>
    </w:pPr>
  </w:style>
  <w:style w:type="character" w:styleId="CommentReference">
    <w:name w:val="annotation reference"/>
    <w:basedOn w:val="DefaultParagraphFont"/>
    <w:uiPriority w:val="99"/>
    <w:semiHidden/>
    <w:unhideWhenUsed/>
    <w:rsid w:val="00CF6A60"/>
    <w:rPr>
      <w:sz w:val="16"/>
      <w:szCs w:val="16"/>
    </w:rPr>
  </w:style>
  <w:style w:type="paragraph" w:styleId="CommentText">
    <w:name w:val="annotation text"/>
    <w:basedOn w:val="Normal"/>
    <w:link w:val="CommentTextChar"/>
    <w:uiPriority w:val="99"/>
    <w:unhideWhenUsed/>
    <w:rsid w:val="00CF6A60"/>
    <w:pPr>
      <w:spacing w:line="240" w:lineRule="auto"/>
    </w:pPr>
    <w:rPr>
      <w:sz w:val="20"/>
      <w:szCs w:val="20"/>
    </w:rPr>
  </w:style>
  <w:style w:type="character" w:customStyle="1" w:styleId="CommentTextChar">
    <w:name w:val="Comment Text Char"/>
    <w:basedOn w:val="DefaultParagraphFont"/>
    <w:link w:val="CommentText"/>
    <w:uiPriority w:val="99"/>
    <w:rsid w:val="00CF6A60"/>
    <w:rPr>
      <w:sz w:val="20"/>
      <w:szCs w:val="20"/>
    </w:rPr>
  </w:style>
  <w:style w:type="paragraph" w:styleId="CommentSubject">
    <w:name w:val="annotation subject"/>
    <w:basedOn w:val="CommentText"/>
    <w:next w:val="CommentText"/>
    <w:link w:val="CommentSubjectChar"/>
    <w:uiPriority w:val="99"/>
    <w:semiHidden/>
    <w:unhideWhenUsed/>
    <w:rsid w:val="00CF6A60"/>
    <w:rPr>
      <w:b/>
      <w:bCs/>
    </w:rPr>
  </w:style>
  <w:style w:type="character" w:customStyle="1" w:styleId="CommentSubjectChar">
    <w:name w:val="Comment Subject Char"/>
    <w:basedOn w:val="CommentTextChar"/>
    <w:link w:val="CommentSubject"/>
    <w:uiPriority w:val="99"/>
    <w:semiHidden/>
    <w:rsid w:val="00CF6A60"/>
    <w:rPr>
      <w:b/>
      <w:bCs/>
      <w:sz w:val="20"/>
      <w:szCs w:val="20"/>
    </w:rPr>
  </w:style>
  <w:style w:type="paragraph" w:styleId="BalloonText">
    <w:name w:val="Balloon Text"/>
    <w:basedOn w:val="Normal"/>
    <w:link w:val="BalloonTextChar"/>
    <w:uiPriority w:val="99"/>
    <w:semiHidden/>
    <w:unhideWhenUsed/>
    <w:rsid w:val="00CF6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60"/>
    <w:rPr>
      <w:rFonts w:ascii="Segoe UI" w:hAnsi="Segoe UI" w:cs="Segoe UI"/>
      <w:sz w:val="18"/>
      <w:szCs w:val="18"/>
    </w:rPr>
  </w:style>
  <w:style w:type="paragraph" w:styleId="Header">
    <w:name w:val="header"/>
    <w:basedOn w:val="Normal"/>
    <w:link w:val="HeaderChar"/>
    <w:uiPriority w:val="99"/>
    <w:unhideWhenUsed/>
    <w:rsid w:val="00A8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84"/>
  </w:style>
  <w:style w:type="paragraph" w:styleId="Footer">
    <w:name w:val="footer"/>
    <w:basedOn w:val="Normal"/>
    <w:link w:val="FooterChar"/>
    <w:uiPriority w:val="99"/>
    <w:unhideWhenUsed/>
    <w:rsid w:val="00A8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84"/>
  </w:style>
  <w:style w:type="paragraph" w:styleId="FootnoteText">
    <w:name w:val="footnote text"/>
    <w:basedOn w:val="Normal"/>
    <w:link w:val="FootnoteTextChar"/>
    <w:uiPriority w:val="99"/>
    <w:unhideWhenUsed/>
    <w:rsid w:val="00B63AD8"/>
    <w:pPr>
      <w:spacing w:after="0" w:line="240" w:lineRule="auto"/>
    </w:pPr>
    <w:rPr>
      <w:sz w:val="20"/>
      <w:szCs w:val="20"/>
    </w:rPr>
  </w:style>
  <w:style w:type="character" w:customStyle="1" w:styleId="FootnoteTextChar">
    <w:name w:val="Footnote Text Char"/>
    <w:basedOn w:val="DefaultParagraphFont"/>
    <w:link w:val="FootnoteText"/>
    <w:uiPriority w:val="99"/>
    <w:rsid w:val="00B63AD8"/>
    <w:rPr>
      <w:sz w:val="20"/>
      <w:szCs w:val="20"/>
    </w:rPr>
  </w:style>
  <w:style w:type="character" w:styleId="FootnoteReference">
    <w:name w:val="footnote reference"/>
    <w:basedOn w:val="DefaultParagraphFont"/>
    <w:uiPriority w:val="99"/>
    <w:unhideWhenUsed/>
    <w:rsid w:val="00B63AD8"/>
    <w:rPr>
      <w:vertAlign w:val="superscript"/>
    </w:rPr>
  </w:style>
  <w:style w:type="character" w:customStyle="1" w:styleId="Heading2Char">
    <w:name w:val="Heading 2 Char"/>
    <w:basedOn w:val="DefaultParagraphFont"/>
    <w:link w:val="Heading2"/>
    <w:uiPriority w:val="9"/>
    <w:rsid w:val="00051B5F"/>
    <w:rPr>
      <w:rFonts w:ascii="Arial" w:eastAsiaTheme="majorEastAsia" w:hAnsi="Arial" w:cstheme="majorBidi"/>
      <w:b/>
      <w:sz w:val="24"/>
      <w:szCs w:val="26"/>
    </w:rPr>
  </w:style>
  <w:style w:type="paragraph" w:customStyle="1" w:styleId="Default">
    <w:name w:val="Default"/>
    <w:rsid w:val="00051B5F"/>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1Char">
    <w:name w:val="Heading 1 Char"/>
    <w:basedOn w:val="DefaultParagraphFont"/>
    <w:link w:val="Heading1"/>
    <w:uiPriority w:val="9"/>
    <w:rsid w:val="00E3163A"/>
    <w:rPr>
      <w:rFonts w:ascii="Arial" w:eastAsiaTheme="majorEastAsia" w:hAnsi="Arial" w:cstheme="majorBidi"/>
      <w:b/>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178F-7623-4EA9-B9BD-B4DCCA82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18</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Judy But</cp:lastModifiedBy>
  <cp:revision>80</cp:revision>
  <cp:lastPrinted>2019-12-20T18:48:00Z</cp:lastPrinted>
  <dcterms:created xsi:type="dcterms:W3CDTF">2019-12-20T14:06:00Z</dcterms:created>
  <dcterms:modified xsi:type="dcterms:W3CDTF">2019-12-20T21:10:00Z</dcterms:modified>
</cp:coreProperties>
</file>