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11EC" w14:textId="77777777" w:rsidR="00A07077" w:rsidRPr="0059172B" w:rsidRDefault="00850A5F" w:rsidP="00A07077">
      <w:pPr>
        <w:pStyle w:val="Default"/>
        <w:jc w:val="center"/>
        <w:rPr>
          <w:rFonts w:ascii="Arial" w:hAnsi="Arial" w:cs="Arial"/>
          <w:sz w:val="28"/>
          <w:szCs w:val="28"/>
        </w:rPr>
      </w:pPr>
      <w:r>
        <w:rPr>
          <w:rFonts w:ascii="Arial" w:hAnsi="Arial" w:cs="Arial"/>
          <w:b/>
          <w:bCs/>
          <w:sz w:val="28"/>
          <w:szCs w:val="28"/>
        </w:rPr>
        <w:t>Sioux Lookout Hydro Inc.</w:t>
      </w:r>
      <w:r w:rsidR="0052560F" w:rsidRPr="0059172B">
        <w:rPr>
          <w:rFonts w:ascii="Arial" w:hAnsi="Arial" w:cs="Arial"/>
          <w:b/>
          <w:bCs/>
          <w:sz w:val="28"/>
          <w:szCs w:val="28"/>
        </w:rPr>
        <w:t xml:space="preserve"> </w:t>
      </w:r>
      <w:r w:rsidR="009E760C">
        <w:rPr>
          <w:rFonts w:ascii="Arial" w:hAnsi="Arial" w:cs="Arial"/>
          <w:b/>
          <w:bCs/>
          <w:sz w:val="28"/>
          <w:szCs w:val="28"/>
        </w:rPr>
        <w:t>(</w:t>
      </w:r>
      <w:r>
        <w:rPr>
          <w:rFonts w:ascii="Arial" w:hAnsi="Arial" w:cs="Arial"/>
          <w:b/>
          <w:bCs/>
          <w:sz w:val="28"/>
          <w:szCs w:val="28"/>
        </w:rPr>
        <w:t>Sioux Lookout</w:t>
      </w:r>
      <w:r w:rsidR="009E760C">
        <w:rPr>
          <w:rFonts w:ascii="Arial" w:hAnsi="Arial" w:cs="Arial"/>
          <w:b/>
          <w:bCs/>
          <w:sz w:val="28"/>
          <w:szCs w:val="28"/>
        </w:rPr>
        <w:t>)</w:t>
      </w:r>
    </w:p>
    <w:p w14:paraId="4A9D52BD" w14:textId="77777777" w:rsidR="00A07077" w:rsidRDefault="00090160" w:rsidP="00A07077">
      <w:pPr>
        <w:pStyle w:val="Default"/>
        <w:jc w:val="center"/>
        <w:rPr>
          <w:rFonts w:ascii="Arial" w:hAnsi="Arial" w:cs="Arial"/>
          <w:b/>
          <w:bCs/>
          <w:sz w:val="28"/>
          <w:szCs w:val="28"/>
        </w:rPr>
      </w:pPr>
      <w:r w:rsidRPr="0059172B">
        <w:rPr>
          <w:rFonts w:ascii="Arial" w:hAnsi="Arial" w:cs="Arial"/>
          <w:b/>
          <w:bCs/>
          <w:sz w:val="28"/>
          <w:szCs w:val="28"/>
        </w:rPr>
        <w:t>EB-201</w:t>
      </w:r>
      <w:r w:rsidR="00651C98" w:rsidRPr="0059172B">
        <w:rPr>
          <w:rFonts w:ascii="Arial" w:hAnsi="Arial" w:cs="Arial"/>
          <w:b/>
          <w:bCs/>
          <w:sz w:val="28"/>
          <w:szCs w:val="28"/>
        </w:rPr>
        <w:t>9</w:t>
      </w:r>
      <w:r w:rsidR="00B069AA" w:rsidRPr="0059172B">
        <w:rPr>
          <w:rFonts w:ascii="Arial" w:hAnsi="Arial" w:cs="Arial"/>
          <w:b/>
          <w:bCs/>
          <w:sz w:val="28"/>
          <w:szCs w:val="28"/>
        </w:rPr>
        <w:t>-0</w:t>
      </w:r>
      <w:r w:rsidR="00850A5F">
        <w:rPr>
          <w:rFonts w:ascii="Arial" w:hAnsi="Arial" w:cs="Arial"/>
          <w:b/>
          <w:bCs/>
          <w:sz w:val="28"/>
          <w:szCs w:val="28"/>
        </w:rPr>
        <w:t>067</w:t>
      </w:r>
    </w:p>
    <w:p w14:paraId="107C0BDB" w14:textId="77777777" w:rsidR="0059172B" w:rsidRDefault="0059172B" w:rsidP="00A07077">
      <w:pPr>
        <w:pStyle w:val="Default"/>
        <w:jc w:val="center"/>
        <w:rPr>
          <w:rFonts w:ascii="Arial" w:hAnsi="Arial" w:cs="Arial"/>
          <w:b/>
          <w:bCs/>
          <w:sz w:val="28"/>
          <w:szCs w:val="28"/>
        </w:rPr>
      </w:pPr>
      <w:r>
        <w:rPr>
          <w:rFonts w:ascii="Arial" w:hAnsi="Arial" w:cs="Arial"/>
          <w:b/>
          <w:bCs/>
          <w:sz w:val="28"/>
          <w:szCs w:val="28"/>
        </w:rPr>
        <w:t>OEB Staff Questions</w:t>
      </w:r>
    </w:p>
    <w:p w14:paraId="01DF9951" w14:textId="77777777" w:rsidR="00A07077" w:rsidRDefault="00487F07" w:rsidP="00E54ED5">
      <w:pPr>
        <w:pStyle w:val="Default"/>
        <w:jc w:val="center"/>
        <w:rPr>
          <w:rFonts w:ascii="Arial" w:hAnsi="Arial" w:cs="Arial"/>
          <w:b/>
          <w:bCs/>
          <w:sz w:val="28"/>
          <w:szCs w:val="28"/>
        </w:rPr>
      </w:pPr>
      <w:r>
        <w:rPr>
          <w:rFonts w:ascii="Arial" w:hAnsi="Arial" w:cs="Arial"/>
          <w:b/>
          <w:bCs/>
          <w:sz w:val="28"/>
          <w:szCs w:val="28"/>
        </w:rPr>
        <w:t>January 17</w:t>
      </w:r>
      <w:r w:rsidR="00711950">
        <w:rPr>
          <w:rFonts w:ascii="Arial" w:hAnsi="Arial" w:cs="Arial"/>
          <w:b/>
          <w:bCs/>
          <w:sz w:val="28"/>
          <w:szCs w:val="28"/>
        </w:rPr>
        <w:t>, 2020</w:t>
      </w:r>
    </w:p>
    <w:p w14:paraId="7A097A36" w14:textId="77777777" w:rsidR="00EC0B55" w:rsidRPr="00B93A4C" w:rsidRDefault="00EC0B55" w:rsidP="00302509">
      <w:pPr>
        <w:autoSpaceDE w:val="0"/>
        <w:autoSpaceDN w:val="0"/>
        <w:adjustRightInd w:val="0"/>
        <w:spacing w:after="0" w:line="240" w:lineRule="auto"/>
        <w:rPr>
          <w:rFonts w:ascii="Arial" w:hAnsi="Arial" w:cs="Arial"/>
          <w:b/>
          <w:bCs/>
          <w:color w:val="B2A1C7" w:themeColor="accent4" w:themeTint="99"/>
          <w:sz w:val="24"/>
          <w:szCs w:val="24"/>
        </w:rPr>
      </w:pPr>
    </w:p>
    <w:p w14:paraId="58A255E4" w14:textId="77777777" w:rsidR="00A55F9A" w:rsidRDefault="00A55F9A" w:rsidP="00AC3F80">
      <w:pPr>
        <w:spacing w:after="0"/>
        <w:rPr>
          <w:rFonts w:ascii="Arial" w:hAnsi="Arial" w:cs="Arial"/>
          <w:b/>
          <w:sz w:val="24"/>
          <w:szCs w:val="24"/>
        </w:rPr>
      </w:pPr>
    </w:p>
    <w:p w14:paraId="66C5E85D" w14:textId="77777777" w:rsidR="00B04BFB" w:rsidRDefault="00CA1DB8" w:rsidP="00AC3F80">
      <w:pPr>
        <w:spacing w:after="0"/>
        <w:rPr>
          <w:rFonts w:ascii="Arial" w:hAnsi="Arial" w:cs="Arial"/>
          <w:b/>
          <w:sz w:val="24"/>
          <w:szCs w:val="24"/>
        </w:rPr>
      </w:pPr>
      <w:r>
        <w:rPr>
          <w:rFonts w:ascii="Arial" w:hAnsi="Arial" w:cs="Arial"/>
          <w:b/>
          <w:sz w:val="24"/>
          <w:szCs w:val="24"/>
        </w:rPr>
        <w:t>Staff Question-1</w:t>
      </w:r>
    </w:p>
    <w:p w14:paraId="51701E23" w14:textId="77777777" w:rsidR="001D3B55" w:rsidRPr="00F90249" w:rsidRDefault="00B04BFB" w:rsidP="00F90249">
      <w:pPr>
        <w:spacing w:after="0"/>
        <w:rPr>
          <w:rFonts w:ascii="Arial" w:hAnsi="Arial" w:cs="Arial"/>
          <w:b/>
          <w:sz w:val="24"/>
          <w:szCs w:val="24"/>
        </w:rPr>
      </w:pPr>
      <w:r>
        <w:rPr>
          <w:rFonts w:ascii="Arial" w:hAnsi="Arial" w:cs="Arial"/>
          <w:b/>
          <w:sz w:val="24"/>
          <w:szCs w:val="24"/>
        </w:rPr>
        <w:t>Ref:</w:t>
      </w:r>
      <w:r w:rsidRPr="00F90249">
        <w:rPr>
          <w:rFonts w:ascii="Arial" w:hAnsi="Arial" w:cs="Arial"/>
          <w:b/>
          <w:sz w:val="24"/>
          <w:szCs w:val="24"/>
        </w:rPr>
        <w:t xml:space="preserve"> </w:t>
      </w:r>
      <w:r w:rsidR="00F90249" w:rsidRPr="00F90249">
        <w:rPr>
          <w:rFonts w:ascii="Arial" w:hAnsi="Arial" w:cs="Arial"/>
          <w:b/>
          <w:sz w:val="24"/>
          <w:szCs w:val="24"/>
        </w:rPr>
        <w:t>Rate Generator Model Tab 3 Continuity Schedule</w:t>
      </w:r>
    </w:p>
    <w:p w14:paraId="55410333" w14:textId="77777777" w:rsidR="00F90249" w:rsidRPr="001D3B55" w:rsidRDefault="00F90249" w:rsidP="00F90249">
      <w:pPr>
        <w:spacing w:after="0"/>
        <w:rPr>
          <w:rFonts w:ascii="Arial" w:hAnsi="Arial" w:cs="Arial"/>
          <w:b/>
          <w:sz w:val="24"/>
          <w:szCs w:val="24"/>
        </w:rPr>
      </w:pPr>
    </w:p>
    <w:p w14:paraId="3A24973E" w14:textId="77777777" w:rsidR="001D3B55" w:rsidRDefault="00F90249" w:rsidP="001D3B55">
      <w:pPr>
        <w:rPr>
          <w:rFonts w:ascii="Arial" w:hAnsi="Arial" w:cs="Arial"/>
          <w:sz w:val="24"/>
          <w:szCs w:val="24"/>
          <w:u w:val="single"/>
        </w:rPr>
      </w:pPr>
      <w:r>
        <w:rPr>
          <w:noProof/>
          <w:lang w:val="en-US"/>
        </w:rPr>
        <w:drawing>
          <wp:inline distT="0" distB="0" distL="0" distR="0" wp14:anchorId="278CACC6" wp14:editId="5ACCF554">
            <wp:extent cx="5943600" cy="3568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8065"/>
                    </a:xfrm>
                    <a:prstGeom prst="rect">
                      <a:avLst/>
                    </a:prstGeom>
                  </pic:spPr>
                </pic:pic>
              </a:graphicData>
            </a:graphic>
          </wp:inline>
        </w:drawing>
      </w:r>
    </w:p>
    <w:p w14:paraId="28CAE597" w14:textId="5F0334FB" w:rsidR="00F90249" w:rsidRPr="00262C30" w:rsidRDefault="005A23DB" w:rsidP="005A23DB">
      <w:pPr>
        <w:pStyle w:val="ListParagraph"/>
        <w:numPr>
          <w:ilvl w:val="0"/>
          <w:numId w:val="38"/>
        </w:numPr>
        <w:rPr>
          <w:rFonts w:ascii="Arial" w:hAnsi="Arial" w:cs="Arial"/>
          <w:sz w:val="24"/>
          <w:szCs w:val="24"/>
          <w:u w:val="single"/>
        </w:rPr>
      </w:pPr>
      <w:r>
        <w:rPr>
          <w:rFonts w:ascii="Arial" w:hAnsi="Arial" w:cs="Arial"/>
          <w:sz w:val="24"/>
          <w:szCs w:val="24"/>
        </w:rPr>
        <w:t xml:space="preserve">In the continuity schedule, Sioux Lookout entered a credit of $3,259 as the OEB-approved interest disposition in Account 1595 (2014) in 2018. As shown in the DVA Continuity Schedule model issued with the </w:t>
      </w:r>
      <w:r w:rsidR="00761F32">
        <w:rPr>
          <w:rFonts w:ascii="Arial" w:hAnsi="Arial" w:cs="Arial"/>
          <w:sz w:val="24"/>
          <w:szCs w:val="24"/>
        </w:rPr>
        <w:t>Draft Rate Order in Sioux Lookout’s 2018 cost of service proceeding, the interest amount approved for disposition in Account 1595 (2014) is a credit of $3,064. Please provide explanation for the above noted discrepancy. Or please make necessary update in the current continuity schedule for the disposition balance.</w:t>
      </w:r>
    </w:p>
    <w:p w14:paraId="19146AAF" w14:textId="5BCA776E" w:rsidR="00262C30" w:rsidRPr="00544BA5" w:rsidRDefault="00262C30" w:rsidP="00262C30">
      <w:pPr>
        <w:rPr>
          <w:rFonts w:ascii="Arial" w:hAnsi="Arial" w:cs="Arial"/>
          <w:color w:val="7030A0"/>
          <w:sz w:val="24"/>
          <w:szCs w:val="24"/>
        </w:rPr>
      </w:pPr>
      <w:r w:rsidRPr="00544BA5">
        <w:rPr>
          <w:rFonts w:ascii="Arial" w:hAnsi="Arial" w:cs="Arial"/>
          <w:color w:val="7030A0"/>
          <w:sz w:val="24"/>
          <w:szCs w:val="24"/>
          <w:u w:val="single"/>
        </w:rPr>
        <w:t>Response</w:t>
      </w:r>
      <w:r w:rsidR="004763D3" w:rsidRPr="00544BA5">
        <w:rPr>
          <w:rFonts w:ascii="Arial" w:hAnsi="Arial" w:cs="Arial"/>
          <w:color w:val="7030A0"/>
          <w:sz w:val="24"/>
          <w:szCs w:val="24"/>
          <w:u w:val="single"/>
        </w:rPr>
        <w:t>: Staff Question</w:t>
      </w:r>
      <w:r w:rsidRPr="00544BA5">
        <w:rPr>
          <w:rFonts w:ascii="Arial" w:hAnsi="Arial" w:cs="Arial"/>
          <w:color w:val="7030A0"/>
          <w:sz w:val="24"/>
          <w:szCs w:val="24"/>
          <w:u w:val="single"/>
        </w:rPr>
        <w:t xml:space="preserve"> 1(a)</w:t>
      </w:r>
    </w:p>
    <w:p w14:paraId="0A8644AF" w14:textId="599218E8" w:rsidR="00262C30" w:rsidRPr="00544BA5" w:rsidRDefault="00262C30" w:rsidP="00262C30">
      <w:pPr>
        <w:rPr>
          <w:rFonts w:ascii="Arial" w:hAnsi="Arial" w:cs="Arial"/>
          <w:color w:val="7030A0"/>
          <w:sz w:val="24"/>
          <w:szCs w:val="24"/>
        </w:rPr>
      </w:pPr>
      <w:r w:rsidRPr="00544BA5">
        <w:rPr>
          <w:rFonts w:ascii="Arial" w:hAnsi="Arial" w:cs="Arial"/>
          <w:color w:val="7030A0"/>
          <w:sz w:val="24"/>
          <w:szCs w:val="24"/>
        </w:rPr>
        <w:t xml:space="preserve">SLHI agrees that the amount entered for Account 1595 (2014) in the OEB-Approved disposition during 2018 should be a credit of $3,064. </w:t>
      </w:r>
      <w:r w:rsidR="005A5D37">
        <w:rPr>
          <w:rFonts w:ascii="Arial" w:hAnsi="Arial" w:cs="Arial"/>
          <w:color w:val="7030A0"/>
          <w:sz w:val="24"/>
          <w:szCs w:val="24"/>
        </w:rPr>
        <w:t xml:space="preserve">And amount of $(195) was erroneously included in the “Interest to December 31, 2019 instead of the amount </w:t>
      </w:r>
      <w:r w:rsidR="005A5D37">
        <w:rPr>
          <w:rFonts w:ascii="Arial" w:hAnsi="Arial" w:cs="Arial"/>
          <w:color w:val="7030A0"/>
          <w:sz w:val="24"/>
          <w:szCs w:val="24"/>
        </w:rPr>
        <w:lastRenderedPageBreak/>
        <w:t xml:space="preserve">approved for disposition. </w:t>
      </w:r>
      <w:r w:rsidRPr="00544BA5">
        <w:rPr>
          <w:rFonts w:ascii="Arial" w:hAnsi="Arial" w:cs="Arial"/>
          <w:color w:val="7030A0"/>
          <w:sz w:val="24"/>
          <w:szCs w:val="24"/>
        </w:rPr>
        <w:t>SLHI has updated the continuity schedule to reflect the correct amount</w:t>
      </w:r>
      <w:r w:rsidR="005A5D37">
        <w:rPr>
          <w:rFonts w:ascii="Arial" w:hAnsi="Arial" w:cs="Arial"/>
          <w:color w:val="7030A0"/>
          <w:sz w:val="24"/>
          <w:szCs w:val="24"/>
        </w:rPr>
        <w:t>s.</w:t>
      </w:r>
    </w:p>
    <w:p w14:paraId="0AD690F3" w14:textId="77777777" w:rsidR="00761F32" w:rsidRPr="00761F32" w:rsidRDefault="00761F32" w:rsidP="00761F32">
      <w:pPr>
        <w:pStyle w:val="ListParagraph"/>
        <w:rPr>
          <w:rFonts w:ascii="Arial" w:hAnsi="Arial" w:cs="Arial"/>
          <w:sz w:val="24"/>
          <w:szCs w:val="24"/>
          <w:u w:val="single"/>
        </w:rPr>
      </w:pPr>
    </w:p>
    <w:p w14:paraId="64836B81" w14:textId="517F905F" w:rsidR="006D125D" w:rsidRPr="004763D3" w:rsidRDefault="00761F32" w:rsidP="006D125D">
      <w:pPr>
        <w:pStyle w:val="ListParagraph"/>
        <w:numPr>
          <w:ilvl w:val="0"/>
          <w:numId w:val="38"/>
        </w:numPr>
        <w:rPr>
          <w:rFonts w:ascii="Arial" w:hAnsi="Arial" w:cs="Arial"/>
          <w:sz w:val="24"/>
          <w:szCs w:val="24"/>
          <w:u w:val="single"/>
        </w:rPr>
      </w:pPr>
      <w:r>
        <w:rPr>
          <w:rFonts w:ascii="Arial" w:hAnsi="Arial" w:cs="Arial"/>
          <w:sz w:val="24"/>
          <w:szCs w:val="24"/>
        </w:rPr>
        <w:t xml:space="preserve">As shown in the continuity schedule, the total Group 1 principal disposition approved for 2018 is a debit of $4,760. And according to the 2018 DVA Continuity Schedule model, the total Group 2 principal disposition approved for 2018 is a debit of $36,393. </w:t>
      </w:r>
      <w:proofErr w:type="gramStart"/>
      <w:r>
        <w:rPr>
          <w:rFonts w:ascii="Arial" w:hAnsi="Arial" w:cs="Arial"/>
          <w:sz w:val="24"/>
          <w:szCs w:val="24"/>
        </w:rPr>
        <w:t>Therefore</w:t>
      </w:r>
      <w:proofErr w:type="gramEnd"/>
      <w:r>
        <w:rPr>
          <w:rFonts w:ascii="Arial" w:hAnsi="Arial" w:cs="Arial"/>
          <w:sz w:val="24"/>
          <w:szCs w:val="24"/>
        </w:rPr>
        <w:t xml:space="preserve"> the total Group 1 and Group 2 principal disposition for 2018 should be a debit o</w:t>
      </w:r>
      <w:r w:rsidR="006D125D">
        <w:rPr>
          <w:rFonts w:ascii="Arial" w:hAnsi="Arial" w:cs="Arial"/>
          <w:sz w:val="24"/>
          <w:szCs w:val="24"/>
        </w:rPr>
        <w:t>f $41,153. However, in the current continuity schedule, Sioux Lookout entered a credit of $47,230 in Account 1595 (2018). This amount cannot be reconciled with the total Group 1 and Group 2 principal disposition amount approved for 2018. Please explain what this $47,230 amount is pertaining to.</w:t>
      </w:r>
    </w:p>
    <w:p w14:paraId="25D268AD" w14:textId="0154A2C9" w:rsidR="004763D3" w:rsidRPr="00544BA5" w:rsidRDefault="004763D3" w:rsidP="004763D3">
      <w:pPr>
        <w:ind w:left="360"/>
        <w:rPr>
          <w:rFonts w:ascii="Arial" w:hAnsi="Arial" w:cs="Arial"/>
          <w:color w:val="7030A0"/>
          <w:sz w:val="24"/>
          <w:szCs w:val="24"/>
        </w:rPr>
      </w:pPr>
      <w:r w:rsidRPr="00544BA5">
        <w:rPr>
          <w:rFonts w:ascii="Arial" w:hAnsi="Arial" w:cs="Arial"/>
          <w:color w:val="7030A0"/>
          <w:sz w:val="24"/>
          <w:szCs w:val="24"/>
          <w:u w:val="single"/>
        </w:rPr>
        <w:t>Response: Staff Question 1(b)</w:t>
      </w:r>
    </w:p>
    <w:p w14:paraId="26F5BB1C" w14:textId="572558B2" w:rsidR="004763D3" w:rsidRPr="00544BA5" w:rsidRDefault="004763D3" w:rsidP="004763D3">
      <w:pPr>
        <w:ind w:left="360"/>
        <w:rPr>
          <w:rFonts w:ascii="Arial" w:hAnsi="Arial" w:cs="Arial"/>
          <w:color w:val="7030A0"/>
          <w:sz w:val="24"/>
          <w:szCs w:val="24"/>
        </w:rPr>
      </w:pPr>
      <w:r w:rsidRPr="00544BA5">
        <w:rPr>
          <w:rFonts w:ascii="Arial" w:hAnsi="Arial" w:cs="Arial"/>
          <w:color w:val="7030A0"/>
          <w:sz w:val="24"/>
          <w:szCs w:val="24"/>
        </w:rPr>
        <w:t xml:space="preserve">SLHI </w:t>
      </w:r>
      <w:r w:rsidR="005A5D37">
        <w:rPr>
          <w:rFonts w:ascii="Arial" w:hAnsi="Arial" w:cs="Arial"/>
          <w:color w:val="7030A0"/>
          <w:sz w:val="24"/>
          <w:szCs w:val="24"/>
        </w:rPr>
        <w:t xml:space="preserve">has included </w:t>
      </w:r>
      <w:r w:rsidRPr="00544BA5">
        <w:rPr>
          <w:rFonts w:ascii="Arial" w:hAnsi="Arial" w:cs="Arial"/>
          <w:color w:val="7030A0"/>
          <w:sz w:val="24"/>
          <w:szCs w:val="24"/>
        </w:rPr>
        <w:t xml:space="preserve">the amount approved for disposition of LRAM Account </w:t>
      </w:r>
      <w:proofErr w:type="gramStart"/>
      <w:r w:rsidRPr="00544BA5">
        <w:rPr>
          <w:rFonts w:ascii="Arial" w:hAnsi="Arial" w:cs="Arial"/>
          <w:color w:val="7030A0"/>
          <w:sz w:val="24"/>
          <w:szCs w:val="24"/>
        </w:rPr>
        <w:t>1568  of</w:t>
      </w:r>
      <w:proofErr w:type="gramEnd"/>
      <w:r w:rsidRPr="00544BA5">
        <w:rPr>
          <w:rFonts w:ascii="Arial" w:hAnsi="Arial" w:cs="Arial"/>
          <w:color w:val="7030A0"/>
          <w:sz w:val="24"/>
          <w:szCs w:val="24"/>
        </w:rPr>
        <w:t xml:space="preserve"> $6,077 in the total</w:t>
      </w:r>
      <w:r w:rsidR="00EA2EFF">
        <w:rPr>
          <w:rFonts w:ascii="Arial" w:hAnsi="Arial" w:cs="Arial"/>
          <w:color w:val="7030A0"/>
          <w:sz w:val="24"/>
          <w:szCs w:val="24"/>
        </w:rPr>
        <w:t>( $41,153 + $6,077= 47,230)</w:t>
      </w:r>
      <w:r w:rsidRPr="00544BA5">
        <w:rPr>
          <w:rFonts w:ascii="Arial" w:hAnsi="Arial" w:cs="Arial"/>
          <w:color w:val="7030A0"/>
          <w:sz w:val="24"/>
          <w:szCs w:val="24"/>
        </w:rPr>
        <w:t>. In addition, the amount was entered as a credit</w:t>
      </w:r>
      <w:r w:rsidR="005A5D37">
        <w:rPr>
          <w:rFonts w:ascii="Arial" w:hAnsi="Arial" w:cs="Arial"/>
          <w:color w:val="7030A0"/>
          <w:sz w:val="24"/>
          <w:szCs w:val="24"/>
        </w:rPr>
        <w:t xml:space="preserve"> since the formula in the continuity schedule subtracts the amount from the transactions during the year instead of adding to come up with the </w:t>
      </w:r>
      <w:r w:rsidR="009D32B1">
        <w:rPr>
          <w:rFonts w:ascii="Arial" w:hAnsi="Arial" w:cs="Arial"/>
          <w:color w:val="7030A0"/>
          <w:sz w:val="24"/>
          <w:szCs w:val="24"/>
        </w:rPr>
        <w:t xml:space="preserve">closing </w:t>
      </w:r>
      <w:r w:rsidR="005A5D37">
        <w:rPr>
          <w:rFonts w:ascii="Arial" w:hAnsi="Arial" w:cs="Arial"/>
          <w:color w:val="7030A0"/>
          <w:sz w:val="24"/>
          <w:szCs w:val="24"/>
        </w:rPr>
        <w:t xml:space="preserve">balance at the end of the year. </w:t>
      </w:r>
      <w:proofErr w:type="gramStart"/>
      <w:r w:rsidR="005A5D37">
        <w:rPr>
          <w:rFonts w:ascii="Arial" w:hAnsi="Arial" w:cs="Arial"/>
          <w:color w:val="7030A0"/>
          <w:sz w:val="24"/>
          <w:szCs w:val="24"/>
        </w:rPr>
        <w:t>Therefore</w:t>
      </w:r>
      <w:proofErr w:type="gramEnd"/>
      <w:r w:rsidR="005A5D37">
        <w:rPr>
          <w:rFonts w:ascii="Arial" w:hAnsi="Arial" w:cs="Arial"/>
          <w:color w:val="7030A0"/>
          <w:sz w:val="24"/>
          <w:szCs w:val="24"/>
        </w:rPr>
        <w:t xml:space="preserve"> the amount has to be entered as the opposite sign of the amount approved for disposition. This is consistent with all 1595 accounts.</w:t>
      </w:r>
    </w:p>
    <w:p w14:paraId="20C01AAB" w14:textId="77777777" w:rsidR="006D125D" w:rsidRPr="006D125D" w:rsidRDefault="006D125D" w:rsidP="006D125D">
      <w:pPr>
        <w:pStyle w:val="ListParagraph"/>
        <w:rPr>
          <w:rFonts w:ascii="Arial" w:hAnsi="Arial" w:cs="Arial"/>
          <w:sz w:val="24"/>
          <w:szCs w:val="24"/>
          <w:u w:val="single"/>
        </w:rPr>
      </w:pPr>
    </w:p>
    <w:p w14:paraId="04CBCDB1" w14:textId="7FCB1CE7" w:rsidR="006D125D" w:rsidRPr="004763D3" w:rsidRDefault="001E5A62" w:rsidP="006D125D">
      <w:pPr>
        <w:pStyle w:val="ListParagraph"/>
        <w:numPr>
          <w:ilvl w:val="0"/>
          <w:numId w:val="38"/>
        </w:numPr>
        <w:rPr>
          <w:rFonts w:ascii="Arial" w:hAnsi="Arial" w:cs="Arial"/>
          <w:sz w:val="24"/>
          <w:szCs w:val="24"/>
          <w:u w:val="single"/>
        </w:rPr>
      </w:pPr>
      <w:r>
        <w:rPr>
          <w:rFonts w:ascii="Arial" w:hAnsi="Arial" w:cs="Arial"/>
          <w:sz w:val="24"/>
          <w:szCs w:val="24"/>
        </w:rPr>
        <w:t>Similar to</w:t>
      </w:r>
      <w:r w:rsidR="006D125D">
        <w:rPr>
          <w:rFonts w:ascii="Arial" w:hAnsi="Arial" w:cs="Arial"/>
          <w:sz w:val="24"/>
          <w:szCs w:val="24"/>
        </w:rPr>
        <w:t xml:space="preserve"> the above question </w:t>
      </w:r>
      <w:proofErr w:type="gramStart"/>
      <w:r w:rsidR="006D125D">
        <w:rPr>
          <w:rFonts w:ascii="Arial" w:hAnsi="Arial" w:cs="Arial"/>
          <w:sz w:val="24"/>
          <w:szCs w:val="24"/>
        </w:rPr>
        <w:t>2 part</w:t>
      </w:r>
      <w:proofErr w:type="gramEnd"/>
      <w:r w:rsidR="006D125D">
        <w:rPr>
          <w:rFonts w:ascii="Arial" w:hAnsi="Arial" w:cs="Arial"/>
          <w:sz w:val="24"/>
          <w:szCs w:val="24"/>
        </w:rPr>
        <w:t xml:space="preserve"> b), please provide the breakdown information for the credit amount of $70,307 that Sioux Lookout entered in Account 1595 (2018) for the </w:t>
      </w:r>
      <w:r>
        <w:rPr>
          <w:rFonts w:ascii="Arial" w:hAnsi="Arial" w:cs="Arial"/>
          <w:sz w:val="24"/>
          <w:szCs w:val="24"/>
        </w:rPr>
        <w:t xml:space="preserve">total </w:t>
      </w:r>
      <w:r w:rsidR="006D125D">
        <w:rPr>
          <w:rFonts w:ascii="Arial" w:hAnsi="Arial" w:cs="Arial"/>
          <w:sz w:val="24"/>
          <w:szCs w:val="24"/>
        </w:rPr>
        <w:t xml:space="preserve">interest </w:t>
      </w:r>
      <w:r>
        <w:rPr>
          <w:rFonts w:ascii="Arial" w:hAnsi="Arial" w:cs="Arial"/>
          <w:sz w:val="24"/>
          <w:szCs w:val="24"/>
        </w:rPr>
        <w:t>disposition</w:t>
      </w:r>
      <w:r w:rsidR="006D125D">
        <w:rPr>
          <w:rFonts w:ascii="Arial" w:hAnsi="Arial" w:cs="Arial"/>
          <w:sz w:val="24"/>
          <w:szCs w:val="24"/>
        </w:rPr>
        <w:t xml:space="preserve">. </w:t>
      </w:r>
    </w:p>
    <w:p w14:paraId="2E20C6FA" w14:textId="422690F1" w:rsidR="004763D3" w:rsidRPr="00544BA5" w:rsidRDefault="004763D3" w:rsidP="004763D3">
      <w:pPr>
        <w:ind w:left="360"/>
        <w:rPr>
          <w:rFonts w:ascii="Arial" w:hAnsi="Arial" w:cs="Arial"/>
          <w:color w:val="7030A0"/>
          <w:sz w:val="24"/>
          <w:szCs w:val="24"/>
        </w:rPr>
      </w:pPr>
      <w:r w:rsidRPr="00544BA5">
        <w:rPr>
          <w:rFonts w:ascii="Arial" w:hAnsi="Arial" w:cs="Arial"/>
          <w:color w:val="7030A0"/>
          <w:sz w:val="24"/>
          <w:szCs w:val="24"/>
          <w:u w:val="single"/>
        </w:rPr>
        <w:t>Response: Staff Question 1(c)</w:t>
      </w:r>
    </w:p>
    <w:p w14:paraId="5C934810" w14:textId="627A4EAF" w:rsidR="004763D3" w:rsidRPr="00544BA5" w:rsidRDefault="004763D3" w:rsidP="004763D3">
      <w:pPr>
        <w:ind w:left="360"/>
        <w:rPr>
          <w:rFonts w:ascii="Arial" w:hAnsi="Arial" w:cs="Arial"/>
          <w:color w:val="7030A0"/>
          <w:sz w:val="24"/>
          <w:szCs w:val="24"/>
        </w:rPr>
      </w:pPr>
      <w:proofErr w:type="gramStart"/>
      <w:r w:rsidRPr="00544BA5">
        <w:rPr>
          <w:rFonts w:ascii="Arial" w:hAnsi="Arial" w:cs="Arial"/>
          <w:color w:val="7030A0"/>
          <w:sz w:val="24"/>
          <w:szCs w:val="24"/>
        </w:rPr>
        <w:t>Similar to</w:t>
      </w:r>
      <w:proofErr w:type="gramEnd"/>
      <w:r w:rsidRPr="00544BA5">
        <w:rPr>
          <w:rFonts w:ascii="Arial" w:hAnsi="Arial" w:cs="Arial"/>
          <w:color w:val="7030A0"/>
          <w:sz w:val="24"/>
          <w:szCs w:val="24"/>
        </w:rPr>
        <w:t xml:space="preserve"> the response to 1(b), SLHI included the</w:t>
      </w:r>
      <w:r w:rsidR="00E91E2F" w:rsidRPr="00544BA5">
        <w:rPr>
          <w:rFonts w:ascii="Arial" w:hAnsi="Arial" w:cs="Arial"/>
          <w:color w:val="7030A0"/>
          <w:sz w:val="24"/>
          <w:szCs w:val="24"/>
        </w:rPr>
        <w:t xml:space="preserve"> interest approved for </w:t>
      </w:r>
      <w:r w:rsidR="005A5D37">
        <w:rPr>
          <w:rFonts w:ascii="Arial" w:hAnsi="Arial" w:cs="Arial"/>
          <w:color w:val="7030A0"/>
          <w:sz w:val="24"/>
          <w:szCs w:val="24"/>
        </w:rPr>
        <w:t xml:space="preserve">disposition of </w:t>
      </w:r>
      <w:r w:rsidR="00E91E2F" w:rsidRPr="00544BA5">
        <w:rPr>
          <w:rFonts w:ascii="Arial" w:hAnsi="Arial" w:cs="Arial"/>
          <w:color w:val="7030A0"/>
          <w:sz w:val="24"/>
          <w:szCs w:val="24"/>
        </w:rPr>
        <w:t>LRAM Account 1568 of $(47)</w:t>
      </w:r>
      <w:r w:rsidR="005A5D37">
        <w:rPr>
          <w:rFonts w:ascii="Arial" w:hAnsi="Arial" w:cs="Arial"/>
          <w:color w:val="7030A0"/>
          <w:sz w:val="24"/>
          <w:szCs w:val="24"/>
        </w:rPr>
        <w:t xml:space="preserve">. The amount of $70,354 was approved for Group 1 and 2 accounts. The total entered is a credit of $70,307 </w:t>
      </w:r>
      <w:r w:rsidR="00EA2EFF">
        <w:rPr>
          <w:rFonts w:ascii="Arial" w:hAnsi="Arial" w:cs="Arial"/>
          <w:color w:val="7030A0"/>
          <w:sz w:val="24"/>
          <w:szCs w:val="24"/>
        </w:rPr>
        <w:t xml:space="preserve">(70,354 – 47= 70,307) </w:t>
      </w:r>
      <w:r w:rsidR="005A5D37">
        <w:rPr>
          <w:rFonts w:ascii="Arial" w:hAnsi="Arial" w:cs="Arial"/>
          <w:color w:val="7030A0"/>
          <w:sz w:val="24"/>
          <w:szCs w:val="24"/>
        </w:rPr>
        <w:t>consistent with the above response.</w:t>
      </w:r>
    </w:p>
    <w:p w14:paraId="199EC24A" w14:textId="77777777" w:rsidR="006D125D" w:rsidRPr="006D125D" w:rsidRDefault="006D125D" w:rsidP="006D125D">
      <w:pPr>
        <w:pStyle w:val="ListParagraph"/>
        <w:rPr>
          <w:rFonts w:ascii="Arial" w:hAnsi="Arial" w:cs="Arial"/>
          <w:sz w:val="24"/>
          <w:szCs w:val="24"/>
          <w:u w:val="single"/>
        </w:rPr>
      </w:pPr>
    </w:p>
    <w:p w14:paraId="7A905331" w14:textId="02732BC3" w:rsidR="006D125D" w:rsidRPr="00E91E2F" w:rsidRDefault="001E5A62" w:rsidP="006D125D">
      <w:pPr>
        <w:pStyle w:val="ListParagraph"/>
        <w:numPr>
          <w:ilvl w:val="0"/>
          <w:numId w:val="38"/>
        </w:numPr>
        <w:rPr>
          <w:rFonts w:ascii="Arial" w:hAnsi="Arial" w:cs="Arial"/>
          <w:sz w:val="24"/>
          <w:szCs w:val="24"/>
          <w:u w:val="single"/>
        </w:rPr>
      </w:pPr>
      <w:r>
        <w:rPr>
          <w:rFonts w:ascii="Arial" w:hAnsi="Arial" w:cs="Arial"/>
          <w:sz w:val="24"/>
          <w:szCs w:val="24"/>
        </w:rPr>
        <w:t xml:space="preserve">Similar to the question </w:t>
      </w:r>
      <w:proofErr w:type="gramStart"/>
      <w:r>
        <w:rPr>
          <w:rFonts w:ascii="Arial" w:hAnsi="Arial" w:cs="Arial"/>
          <w:sz w:val="24"/>
          <w:szCs w:val="24"/>
        </w:rPr>
        <w:t>2 part</w:t>
      </w:r>
      <w:proofErr w:type="gramEnd"/>
      <w:r>
        <w:rPr>
          <w:rFonts w:ascii="Arial" w:hAnsi="Arial" w:cs="Arial"/>
          <w:sz w:val="24"/>
          <w:szCs w:val="24"/>
        </w:rPr>
        <w:t xml:space="preserve"> b), please provide the breakdown information for the debit amount of $825,134 that Sioux Lookout entered in Account 1595 (2019) for the total principal disposition.</w:t>
      </w:r>
    </w:p>
    <w:p w14:paraId="1762852D" w14:textId="660968C8" w:rsidR="00E91E2F" w:rsidRPr="00544BA5" w:rsidRDefault="00E91E2F" w:rsidP="00E91E2F">
      <w:pPr>
        <w:ind w:left="360"/>
        <w:rPr>
          <w:rFonts w:ascii="Arial" w:hAnsi="Arial" w:cs="Arial"/>
          <w:color w:val="7030A0"/>
          <w:sz w:val="24"/>
          <w:szCs w:val="24"/>
        </w:rPr>
      </w:pPr>
      <w:r w:rsidRPr="00544BA5">
        <w:rPr>
          <w:rFonts w:ascii="Arial" w:hAnsi="Arial" w:cs="Arial"/>
          <w:color w:val="7030A0"/>
          <w:sz w:val="24"/>
          <w:szCs w:val="24"/>
          <w:u w:val="single"/>
        </w:rPr>
        <w:t>Response: Staff Question 1(d)</w:t>
      </w:r>
    </w:p>
    <w:p w14:paraId="1205A80F" w14:textId="714967E1" w:rsidR="00E91E2F" w:rsidRPr="00544BA5" w:rsidRDefault="00E91E2F" w:rsidP="00E91E2F">
      <w:pPr>
        <w:ind w:left="360"/>
        <w:rPr>
          <w:rFonts w:ascii="Arial" w:hAnsi="Arial" w:cs="Arial"/>
          <w:color w:val="7030A0"/>
          <w:sz w:val="24"/>
          <w:szCs w:val="24"/>
        </w:rPr>
      </w:pPr>
      <w:r w:rsidRPr="00544BA5">
        <w:rPr>
          <w:rFonts w:ascii="Arial" w:hAnsi="Arial" w:cs="Arial"/>
          <w:color w:val="7030A0"/>
          <w:sz w:val="24"/>
          <w:szCs w:val="24"/>
        </w:rPr>
        <w:lastRenderedPageBreak/>
        <w:t>The amount of $825,134 is the amount approved for Group 1 disposition of a principle balance of $(822,940) and the amount approved for the Shared Tax Savings of $(2,194).</w:t>
      </w:r>
      <w:r w:rsidR="00EA2EFF">
        <w:rPr>
          <w:rFonts w:ascii="Arial" w:hAnsi="Arial" w:cs="Arial"/>
          <w:color w:val="7030A0"/>
          <w:sz w:val="24"/>
          <w:szCs w:val="24"/>
        </w:rPr>
        <w:t>(822,940 + 2,194= 825,134)</w:t>
      </w:r>
      <w:r w:rsidRPr="00544BA5">
        <w:rPr>
          <w:rFonts w:ascii="Arial" w:hAnsi="Arial" w:cs="Arial"/>
          <w:color w:val="7030A0"/>
          <w:sz w:val="24"/>
          <w:szCs w:val="24"/>
        </w:rPr>
        <w:t xml:space="preserve"> </w:t>
      </w:r>
      <w:r w:rsidR="00866EB1" w:rsidRPr="00544BA5">
        <w:rPr>
          <w:rFonts w:ascii="Arial" w:hAnsi="Arial" w:cs="Arial"/>
          <w:color w:val="7030A0"/>
          <w:sz w:val="24"/>
          <w:szCs w:val="24"/>
        </w:rPr>
        <w:t xml:space="preserve">As with the above questions, the amount </w:t>
      </w:r>
      <w:r w:rsidR="005A5D37">
        <w:rPr>
          <w:rFonts w:ascii="Arial" w:hAnsi="Arial" w:cs="Arial"/>
          <w:color w:val="7030A0"/>
          <w:sz w:val="24"/>
          <w:szCs w:val="24"/>
        </w:rPr>
        <w:t>is entered as a debit in order to reflect the correct balance in the closing balances column.</w:t>
      </w:r>
    </w:p>
    <w:p w14:paraId="0DD4757E" w14:textId="77777777" w:rsidR="001E5A62" w:rsidRPr="001E5A62" w:rsidRDefault="001E5A62" w:rsidP="001E5A62">
      <w:pPr>
        <w:pStyle w:val="ListParagraph"/>
        <w:rPr>
          <w:rFonts w:ascii="Arial" w:hAnsi="Arial" w:cs="Arial"/>
          <w:sz w:val="24"/>
          <w:szCs w:val="24"/>
          <w:u w:val="single"/>
        </w:rPr>
      </w:pPr>
    </w:p>
    <w:p w14:paraId="2AAC0B76" w14:textId="77777777" w:rsidR="001E5A62" w:rsidRPr="001E5A62" w:rsidRDefault="001E5A62" w:rsidP="006D125D">
      <w:pPr>
        <w:pStyle w:val="ListParagraph"/>
        <w:numPr>
          <w:ilvl w:val="0"/>
          <w:numId w:val="38"/>
        </w:numPr>
        <w:rPr>
          <w:rFonts w:ascii="Arial" w:hAnsi="Arial" w:cs="Arial"/>
          <w:sz w:val="24"/>
          <w:szCs w:val="24"/>
          <w:u w:val="single"/>
        </w:rPr>
      </w:pPr>
      <w:r>
        <w:rPr>
          <w:rFonts w:ascii="Arial" w:hAnsi="Arial" w:cs="Arial"/>
          <w:sz w:val="24"/>
          <w:szCs w:val="24"/>
        </w:rPr>
        <w:t xml:space="preserve">As shown in the continuity schedule, there are immaterial balances in Accounts 1595 (2014), 1595 (2015) and 1595 (2016). These accounts have been disposed of in previous rate proceedings. In the manager’s summary, Sioux Lookout noted that there are no residual balances from prior years being requested for disposition. Please confirm </w:t>
      </w:r>
      <w:proofErr w:type="gramStart"/>
      <w:r>
        <w:rPr>
          <w:rFonts w:ascii="Arial" w:hAnsi="Arial" w:cs="Arial"/>
          <w:sz w:val="24"/>
          <w:szCs w:val="24"/>
        </w:rPr>
        <w:t>whether or not</w:t>
      </w:r>
      <w:proofErr w:type="gramEnd"/>
      <w:r>
        <w:rPr>
          <w:rFonts w:ascii="Arial" w:hAnsi="Arial" w:cs="Arial"/>
          <w:sz w:val="24"/>
          <w:szCs w:val="24"/>
        </w:rPr>
        <w:t xml:space="preserve"> Sioux Lookout will write off the immaterial balances in these 1595 accounts.</w:t>
      </w:r>
    </w:p>
    <w:p w14:paraId="2540798C" w14:textId="776BBCD6" w:rsidR="001E5A62" w:rsidRDefault="00487F07" w:rsidP="001E5A62">
      <w:pPr>
        <w:pStyle w:val="ListParagraph"/>
        <w:rPr>
          <w:rFonts w:ascii="Arial" w:hAnsi="Arial" w:cs="Arial"/>
          <w:sz w:val="24"/>
          <w:szCs w:val="24"/>
          <w:u w:val="single"/>
        </w:rPr>
      </w:pPr>
      <w:r>
        <w:rPr>
          <w:noProof/>
          <w:lang w:val="en-US"/>
        </w:rPr>
        <w:drawing>
          <wp:inline distT="0" distB="0" distL="0" distR="0" wp14:anchorId="03EC89B6" wp14:editId="246BB7B4">
            <wp:extent cx="3549650" cy="42437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6031" cy="4251334"/>
                    </a:xfrm>
                    <a:prstGeom prst="rect">
                      <a:avLst/>
                    </a:prstGeom>
                  </pic:spPr>
                </pic:pic>
              </a:graphicData>
            </a:graphic>
          </wp:inline>
        </w:drawing>
      </w:r>
    </w:p>
    <w:p w14:paraId="7FDA9A3F" w14:textId="56EF2CB0" w:rsidR="00B431C8" w:rsidRPr="00544BA5" w:rsidRDefault="00B431C8" w:rsidP="00B431C8">
      <w:pPr>
        <w:rPr>
          <w:rFonts w:ascii="Arial" w:hAnsi="Arial" w:cs="Arial"/>
          <w:color w:val="7030A0"/>
          <w:sz w:val="24"/>
          <w:szCs w:val="24"/>
        </w:rPr>
      </w:pPr>
      <w:r w:rsidRPr="00544BA5">
        <w:rPr>
          <w:rFonts w:ascii="Arial" w:hAnsi="Arial" w:cs="Arial"/>
          <w:color w:val="7030A0"/>
          <w:sz w:val="24"/>
          <w:szCs w:val="24"/>
          <w:u w:val="single"/>
        </w:rPr>
        <w:t>Response: Staff Question 1(e)</w:t>
      </w:r>
    </w:p>
    <w:p w14:paraId="309239D3" w14:textId="5CACFEA4" w:rsidR="00B431C8" w:rsidRPr="00544BA5" w:rsidRDefault="00B431C8" w:rsidP="00B431C8">
      <w:pPr>
        <w:rPr>
          <w:rFonts w:ascii="Arial" w:hAnsi="Arial" w:cs="Arial"/>
          <w:color w:val="7030A0"/>
          <w:sz w:val="24"/>
          <w:szCs w:val="24"/>
        </w:rPr>
      </w:pPr>
      <w:r w:rsidRPr="00544BA5">
        <w:rPr>
          <w:rFonts w:ascii="Arial" w:hAnsi="Arial" w:cs="Arial"/>
          <w:color w:val="7030A0"/>
          <w:sz w:val="24"/>
          <w:szCs w:val="24"/>
        </w:rPr>
        <w:t>SLHI confirms that the immaterial amounts in 1595(2014), 1595(2015) and 1595(2016) will be written off.</w:t>
      </w:r>
    </w:p>
    <w:p w14:paraId="3583B4DF" w14:textId="77777777" w:rsidR="00487F07" w:rsidRDefault="00CA1DB8" w:rsidP="00487F07">
      <w:pPr>
        <w:spacing w:after="0"/>
        <w:rPr>
          <w:rFonts w:ascii="Arial" w:hAnsi="Arial" w:cs="Arial"/>
          <w:b/>
          <w:sz w:val="24"/>
          <w:szCs w:val="24"/>
        </w:rPr>
      </w:pPr>
      <w:r>
        <w:rPr>
          <w:rFonts w:ascii="Arial" w:hAnsi="Arial" w:cs="Arial"/>
          <w:b/>
          <w:sz w:val="24"/>
          <w:szCs w:val="24"/>
        </w:rPr>
        <w:t>Staff Question-2</w:t>
      </w:r>
    </w:p>
    <w:p w14:paraId="18BE8DA8" w14:textId="77777777" w:rsidR="00487F07" w:rsidRPr="00F90249" w:rsidRDefault="00487F07" w:rsidP="00487F07">
      <w:pPr>
        <w:rPr>
          <w:rFonts w:ascii="Arial" w:hAnsi="Arial" w:cs="Arial"/>
          <w:b/>
          <w:sz w:val="24"/>
          <w:szCs w:val="24"/>
        </w:rPr>
      </w:pPr>
      <w:r>
        <w:rPr>
          <w:rFonts w:ascii="Arial" w:hAnsi="Arial" w:cs="Arial"/>
          <w:b/>
          <w:sz w:val="24"/>
          <w:szCs w:val="24"/>
        </w:rPr>
        <w:t>Ref:</w:t>
      </w:r>
      <w:r w:rsidRPr="00F90249">
        <w:rPr>
          <w:rFonts w:ascii="Arial" w:hAnsi="Arial" w:cs="Arial"/>
          <w:b/>
          <w:sz w:val="24"/>
          <w:szCs w:val="24"/>
        </w:rPr>
        <w:t xml:space="preserve"> </w:t>
      </w:r>
      <w:r w:rsidRPr="00487F07">
        <w:rPr>
          <w:rFonts w:ascii="Arial" w:hAnsi="Arial" w:cs="Arial"/>
          <w:b/>
          <w:sz w:val="24"/>
          <w:szCs w:val="24"/>
        </w:rPr>
        <w:t>Manager’s Summary, pp. 6-9</w:t>
      </w:r>
    </w:p>
    <w:p w14:paraId="614D13D0" w14:textId="77777777" w:rsidR="00487F07" w:rsidRPr="00056E3A" w:rsidRDefault="00487F07" w:rsidP="00487F07">
      <w:pPr>
        <w:rPr>
          <w:rFonts w:ascii="Arial" w:hAnsi="Arial" w:cs="Arial"/>
          <w:sz w:val="24"/>
        </w:rPr>
      </w:pPr>
      <w:r w:rsidRPr="00056E3A">
        <w:rPr>
          <w:rFonts w:ascii="Arial" w:hAnsi="Arial" w:cs="Arial"/>
          <w:sz w:val="24"/>
        </w:rPr>
        <w:lastRenderedPageBreak/>
        <w:t>At the above reference, Sioux Lookout Hydro has provided Tables 4-9 which summarize the adjustments to the balances in Accounts 1588 and 1589 for the period 2016-2018 as a result of implementing the OEB’s February 21, 2019 accounting guidance related those accounts.</w:t>
      </w:r>
    </w:p>
    <w:p w14:paraId="64FDEBBA" w14:textId="77777777" w:rsidR="00487F07" w:rsidRPr="00056E3A" w:rsidRDefault="00487F07" w:rsidP="00487F07">
      <w:pPr>
        <w:pStyle w:val="ListParagraph"/>
        <w:numPr>
          <w:ilvl w:val="0"/>
          <w:numId w:val="39"/>
        </w:numPr>
        <w:contextualSpacing w:val="0"/>
        <w:rPr>
          <w:rFonts w:ascii="Arial" w:hAnsi="Arial" w:cs="Arial"/>
          <w:sz w:val="24"/>
        </w:rPr>
      </w:pPr>
      <w:r w:rsidRPr="00056E3A">
        <w:rPr>
          <w:rFonts w:ascii="Arial" w:hAnsi="Arial" w:cs="Arial"/>
          <w:sz w:val="24"/>
        </w:rPr>
        <w:t>For the adjustments made to Account 1588 in each year, they are characterized as either “Adjustment to Global Adjustments to Implement OEB Accounting Guidance” or “Adjustment to 1142 to Implement OEB Accounting Guidance”.</w:t>
      </w:r>
    </w:p>
    <w:p w14:paraId="7C491E40" w14:textId="1BC66EBF" w:rsidR="00487F07" w:rsidRDefault="00487F07" w:rsidP="00487F07">
      <w:pPr>
        <w:pStyle w:val="ListParagraph"/>
        <w:numPr>
          <w:ilvl w:val="2"/>
          <w:numId w:val="39"/>
        </w:numPr>
        <w:contextualSpacing w:val="0"/>
        <w:rPr>
          <w:rFonts w:ascii="Arial" w:hAnsi="Arial" w:cs="Arial"/>
          <w:sz w:val="24"/>
        </w:rPr>
      </w:pPr>
      <w:r w:rsidRPr="00056E3A">
        <w:rPr>
          <w:rFonts w:ascii="Arial" w:hAnsi="Arial" w:cs="Arial"/>
          <w:sz w:val="24"/>
        </w:rPr>
        <w:t>For clarification purposes please confirm that the “Adjustment to Global Adjustments to Implement OEB Accounting Guidance” relates to the fact that previously Sioux Lookout Hydro would split the CT 148 charge between RPP and Non-RPP consumption (accounts 4505 and 4507) based on retail consumption kWh, whereas the OEB accounting guidance requires that calculation to be done based on wholesale consumption amounts.</w:t>
      </w:r>
    </w:p>
    <w:p w14:paraId="269367E3" w14:textId="51AACF2F" w:rsidR="004C01DD" w:rsidRPr="00F13385" w:rsidRDefault="004C01DD" w:rsidP="004C01DD">
      <w:pPr>
        <w:rPr>
          <w:rFonts w:ascii="Arial" w:hAnsi="Arial" w:cs="Arial"/>
          <w:color w:val="7030A0"/>
          <w:sz w:val="24"/>
          <w:u w:val="single"/>
        </w:rPr>
      </w:pPr>
      <w:r w:rsidRPr="00F13385">
        <w:rPr>
          <w:rFonts w:ascii="Arial" w:hAnsi="Arial" w:cs="Arial"/>
          <w:color w:val="7030A0"/>
          <w:sz w:val="24"/>
          <w:u w:val="single"/>
        </w:rPr>
        <w:t xml:space="preserve">Response: Staff Question 2(a) </w:t>
      </w:r>
      <w:proofErr w:type="spellStart"/>
      <w:r w:rsidRPr="00F13385">
        <w:rPr>
          <w:rFonts w:ascii="Arial" w:hAnsi="Arial" w:cs="Arial"/>
          <w:color w:val="7030A0"/>
          <w:sz w:val="24"/>
          <w:u w:val="single"/>
        </w:rPr>
        <w:t>i</w:t>
      </w:r>
      <w:proofErr w:type="spellEnd"/>
    </w:p>
    <w:p w14:paraId="20DB1033" w14:textId="587441D9" w:rsidR="004C01DD" w:rsidRPr="00F13385" w:rsidRDefault="004C01DD" w:rsidP="004C01DD">
      <w:pPr>
        <w:rPr>
          <w:rFonts w:ascii="Arial" w:hAnsi="Arial" w:cs="Arial"/>
          <w:color w:val="7030A0"/>
          <w:sz w:val="24"/>
        </w:rPr>
      </w:pPr>
      <w:r w:rsidRPr="00F13385">
        <w:rPr>
          <w:rFonts w:ascii="Arial" w:hAnsi="Arial" w:cs="Arial"/>
          <w:color w:val="7030A0"/>
          <w:sz w:val="24"/>
        </w:rPr>
        <w:t>SLHI confirms that the adjustments are due to changing the methodology from using retail consumption kWh to wholesale consumption kWh.</w:t>
      </w:r>
    </w:p>
    <w:p w14:paraId="7E0A7972" w14:textId="60A18EF2" w:rsidR="004C01DD" w:rsidRDefault="00487F07" w:rsidP="004C01DD">
      <w:pPr>
        <w:pStyle w:val="ListParagraph"/>
        <w:numPr>
          <w:ilvl w:val="2"/>
          <w:numId w:val="39"/>
        </w:numPr>
        <w:contextualSpacing w:val="0"/>
        <w:rPr>
          <w:rFonts w:ascii="Arial" w:hAnsi="Arial" w:cs="Arial"/>
          <w:sz w:val="24"/>
        </w:rPr>
      </w:pPr>
      <w:r w:rsidRPr="00056E3A">
        <w:rPr>
          <w:rFonts w:ascii="Arial" w:hAnsi="Arial" w:cs="Arial"/>
          <w:sz w:val="24"/>
        </w:rPr>
        <w:t>For each of the years 2016-2018, the resulting GA adjustment to account 1589 is a credit to the account (and a debit to 1588). In the context of the methodology that Sioux Lookout previously utilized to split CT 148 between RPP and Non-RPP consumption (or between account 4505 and 4507), please explain why the implementation of the OEB’s accounting guidance results in a credit to Account 1589 in each year (and a debit to 1588).</w:t>
      </w:r>
    </w:p>
    <w:p w14:paraId="30F5B4CE" w14:textId="55522F3F" w:rsidR="004C01DD" w:rsidRPr="00394695" w:rsidRDefault="004C01DD" w:rsidP="004C01DD">
      <w:pPr>
        <w:rPr>
          <w:rFonts w:ascii="Arial" w:hAnsi="Arial" w:cs="Arial"/>
          <w:color w:val="7030A0"/>
          <w:sz w:val="24"/>
          <w:u w:val="single"/>
        </w:rPr>
      </w:pPr>
      <w:r w:rsidRPr="00394695">
        <w:rPr>
          <w:rFonts w:ascii="Arial" w:hAnsi="Arial" w:cs="Arial"/>
          <w:color w:val="7030A0"/>
          <w:sz w:val="24"/>
          <w:u w:val="single"/>
        </w:rPr>
        <w:t>Response: Staff Question 2(a) ii</w:t>
      </w:r>
    </w:p>
    <w:p w14:paraId="4CEB57A8" w14:textId="334A39C4" w:rsidR="004C01DD" w:rsidRPr="00394695" w:rsidRDefault="00394695" w:rsidP="004C01DD">
      <w:pPr>
        <w:rPr>
          <w:rFonts w:ascii="Arial" w:hAnsi="Arial" w:cs="Arial"/>
          <w:color w:val="7030A0"/>
          <w:sz w:val="24"/>
        </w:rPr>
      </w:pPr>
      <w:r w:rsidRPr="00394695">
        <w:rPr>
          <w:rFonts w:ascii="Arial" w:hAnsi="Arial" w:cs="Arial"/>
          <w:color w:val="7030A0"/>
          <w:sz w:val="24"/>
        </w:rPr>
        <w:t>The OEB’s accounting guidance u</w:t>
      </w:r>
      <w:r w:rsidR="001147B3" w:rsidRPr="00394695">
        <w:rPr>
          <w:rFonts w:ascii="Arial" w:hAnsi="Arial" w:cs="Arial"/>
          <w:color w:val="7030A0"/>
          <w:sz w:val="24"/>
        </w:rPr>
        <w:t xml:space="preserve">ses proportional allocation rather than actual retail kWh. SLHI used actual </w:t>
      </w:r>
      <w:r w:rsidR="00C84942" w:rsidRPr="00394695">
        <w:rPr>
          <w:rFonts w:ascii="Arial" w:hAnsi="Arial" w:cs="Arial"/>
          <w:color w:val="7030A0"/>
          <w:sz w:val="24"/>
        </w:rPr>
        <w:t xml:space="preserve">Non-RPP </w:t>
      </w:r>
      <w:r w:rsidR="001147B3" w:rsidRPr="00394695">
        <w:rPr>
          <w:rFonts w:ascii="Arial" w:hAnsi="Arial" w:cs="Arial"/>
          <w:color w:val="7030A0"/>
          <w:sz w:val="24"/>
        </w:rPr>
        <w:t xml:space="preserve">retail kWh when determining the split </w:t>
      </w:r>
      <w:r w:rsidR="00C84942" w:rsidRPr="00394695">
        <w:rPr>
          <w:rFonts w:ascii="Arial" w:hAnsi="Arial" w:cs="Arial"/>
          <w:color w:val="7030A0"/>
          <w:sz w:val="24"/>
        </w:rPr>
        <w:t xml:space="preserve">(GA rate multiplied by retail Non-RPP kWh) </w:t>
      </w:r>
      <w:r w:rsidR="001147B3" w:rsidRPr="00394695">
        <w:rPr>
          <w:rFonts w:ascii="Arial" w:hAnsi="Arial" w:cs="Arial"/>
          <w:color w:val="7030A0"/>
          <w:sz w:val="24"/>
        </w:rPr>
        <w:t xml:space="preserve">and therefore </w:t>
      </w:r>
      <w:r w:rsidR="003B7CAF" w:rsidRPr="00394695">
        <w:rPr>
          <w:rFonts w:ascii="Arial" w:hAnsi="Arial" w:cs="Arial"/>
          <w:color w:val="7030A0"/>
          <w:sz w:val="24"/>
        </w:rPr>
        <w:t xml:space="preserve">since these were higher due to the line loss issue, resulted in more allocated to </w:t>
      </w:r>
      <w:r w:rsidR="00F13385">
        <w:rPr>
          <w:rFonts w:ascii="Arial" w:hAnsi="Arial" w:cs="Arial"/>
          <w:color w:val="7030A0"/>
          <w:sz w:val="24"/>
        </w:rPr>
        <w:t xml:space="preserve">Account 1589 </w:t>
      </w:r>
      <w:r w:rsidR="003B7CAF" w:rsidRPr="00394695">
        <w:rPr>
          <w:rFonts w:ascii="Arial" w:hAnsi="Arial" w:cs="Arial"/>
          <w:color w:val="7030A0"/>
          <w:sz w:val="24"/>
        </w:rPr>
        <w:t xml:space="preserve">GA. Once SLHI recalculated based on </w:t>
      </w:r>
      <w:r w:rsidR="00C84942" w:rsidRPr="00394695">
        <w:rPr>
          <w:rFonts w:ascii="Arial" w:hAnsi="Arial" w:cs="Arial"/>
          <w:color w:val="7030A0"/>
          <w:sz w:val="24"/>
        </w:rPr>
        <w:t xml:space="preserve">the proportionate split between RPP and Non-RPP </w:t>
      </w:r>
      <w:r w:rsidR="003B7CAF" w:rsidRPr="00394695">
        <w:rPr>
          <w:rFonts w:ascii="Arial" w:hAnsi="Arial" w:cs="Arial"/>
          <w:color w:val="7030A0"/>
          <w:sz w:val="24"/>
        </w:rPr>
        <w:t xml:space="preserve">wholesale </w:t>
      </w:r>
      <w:proofErr w:type="spellStart"/>
      <w:r w:rsidR="003B7CAF" w:rsidRPr="00394695">
        <w:rPr>
          <w:rFonts w:ascii="Arial" w:hAnsi="Arial" w:cs="Arial"/>
          <w:color w:val="7030A0"/>
          <w:sz w:val="24"/>
        </w:rPr>
        <w:t>kWH</w:t>
      </w:r>
      <w:proofErr w:type="spellEnd"/>
      <w:r w:rsidR="003B7CAF" w:rsidRPr="00394695">
        <w:rPr>
          <w:rFonts w:ascii="Arial" w:hAnsi="Arial" w:cs="Arial"/>
          <w:color w:val="7030A0"/>
          <w:sz w:val="24"/>
        </w:rPr>
        <w:t>, the proportion of GA Allocated to Non-RPP was smaller.</w:t>
      </w:r>
    </w:p>
    <w:p w14:paraId="3F097FCA" w14:textId="04E4C9E0" w:rsidR="001E5A62" w:rsidRDefault="00487F07" w:rsidP="00487F07">
      <w:pPr>
        <w:pStyle w:val="ListParagraph"/>
        <w:numPr>
          <w:ilvl w:val="0"/>
          <w:numId w:val="39"/>
        </w:numPr>
        <w:contextualSpacing w:val="0"/>
        <w:rPr>
          <w:rFonts w:ascii="Arial" w:hAnsi="Arial" w:cs="Arial"/>
          <w:sz w:val="24"/>
        </w:rPr>
      </w:pPr>
      <w:r w:rsidRPr="00487F07">
        <w:rPr>
          <w:rFonts w:ascii="Arial" w:hAnsi="Arial" w:cs="Arial"/>
          <w:sz w:val="24"/>
        </w:rPr>
        <w:t xml:space="preserve">For each of the years 2016-2018 the “Adjustment to 1142 to implement OEB Accounting Guidance” resulted in a debit adjustment to Account 1588. In the context of Sioux Lookout Hydro’s monthly 1142 settlement for each of the years and the resulting adjustment from implementing the OEB’s accounting guidance, </w:t>
      </w:r>
      <w:r w:rsidRPr="00487F07">
        <w:rPr>
          <w:rFonts w:ascii="Arial" w:hAnsi="Arial" w:cs="Arial"/>
          <w:sz w:val="24"/>
        </w:rPr>
        <w:lastRenderedPageBreak/>
        <w:t>please confirm that this means that Sioux Lookout Hydro’s 1142 settlement had historically been a credit (i.e. refund from IESO), which was overstated because the calculated amount was based on retail consumption instead of wholesale consumption (with wholesale consumption being consistently lower than retail), therefore resulting in amounts having to be returned to the IESO by Sioux Lookout Hydro upon implementation of the OEB’s guidance.</w:t>
      </w:r>
    </w:p>
    <w:p w14:paraId="5821468E" w14:textId="72ACD193" w:rsidR="00C84942" w:rsidRPr="00C84942" w:rsidRDefault="00C84942" w:rsidP="00C84942">
      <w:pPr>
        <w:rPr>
          <w:rFonts w:ascii="Arial" w:hAnsi="Arial" w:cs="Arial"/>
          <w:color w:val="7030A0"/>
          <w:sz w:val="24"/>
          <w:u w:val="single"/>
        </w:rPr>
      </w:pPr>
      <w:r w:rsidRPr="00C84942">
        <w:rPr>
          <w:rFonts w:ascii="Arial" w:hAnsi="Arial" w:cs="Arial"/>
          <w:color w:val="7030A0"/>
          <w:sz w:val="24"/>
          <w:u w:val="single"/>
        </w:rPr>
        <w:t>Response: Staff Question 2(b)</w:t>
      </w:r>
    </w:p>
    <w:p w14:paraId="6AF0DB94" w14:textId="697C8586" w:rsidR="00C84942" w:rsidRPr="00C84942" w:rsidRDefault="00C84942" w:rsidP="00C84942">
      <w:pPr>
        <w:rPr>
          <w:rFonts w:ascii="Arial" w:hAnsi="Arial" w:cs="Arial"/>
          <w:color w:val="7030A0"/>
          <w:sz w:val="24"/>
        </w:rPr>
      </w:pPr>
      <w:r w:rsidRPr="00C84942">
        <w:rPr>
          <w:rFonts w:ascii="Arial" w:hAnsi="Arial" w:cs="Arial"/>
          <w:color w:val="7030A0"/>
          <w:sz w:val="24"/>
        </w:rPr>
        <w:t>SLHI confirms that the above statements are correct.</w:t>
      </w:r>
    </w:p>
    <w:p w14:paraId="6A782D77" w14:textId="77777777" w:rsidR="00487F07" w:rsidRDefault="00487F07" w:rsidP="00487F07">
      <w:pPr>
        <w:rPr>
          <w:rFonts w:ascii="Arial" w:hAnsi="Arial" w:cs="Arial"/>
          <w:sz w:val="24"/>
        </w:rPr>
      </w:pPr>
    </w:p>
    <w:p w14:paraId="1F751A34" w14:textId="77777777" w:rsidR="00487F07" w:rsidRDefault="00CA1DB8" w:rsidP="00487F07">
      <w:pPr>
        <w:spacing w:after="0"/>
        <w:rPr>
          <w:rFonts w:ascii="Arial" w:hAnsi="Arial" w:cs="Arial"/>
          <w:b/>
          <w:sz w:val="24"/>
          <w:szCs w:val="24"/>
        </w:rPr>
      </w:pPr>
      <w:r>
        <w:rPr>
          <w:rFonts w:ascii="Arial" w:hAnsi="Arial" w:cs="Arial"/>
          <w:b/>
          <w:sz w:val="24"/>
          <w:szCs w:val="24"/>
        </w:rPr>
        <w:t>Staff Question-3</w:t>
      </w:r>
    </w:p>
    <w:p w14:paraId="6A7B0CE9" w14:textId="77777777" w:rsidR="00487F07" w:rsidRDefault="00487F07" w:rsidP="00487F07">
      <w:pPr>
        <w:rPr>
          <w:rFonts w:ascii="Arial" w:hAnsi="Arial" w:cs="Arial"/>
          <w:b/>
          <w:sz w:val="24"/>
          <w:szCs w:val="24"/>
        </w:rPr>
      </w:pPr>
      <w:r>
        <w:rPr>
          <w:rFonts w:ascii="Arial" w:hAnsi="Arial" w:cs="Arial"/>
          <w:b/>
          <w:sz w:val="24"/>
          <w:szCs w:val="24"/>
        </w:rPr>
        <w:t>Ref:</w:t>
      </w:r>
      <w:r w:rsidRPr="00F90249">
        <w:rPr>
          <w:rFonts w:ascii="Arial" w:hAnsi="Arial" w:cs="Arial"/>
          <w:b/>
          <w:sz w:val="24"/>
          <w:szCs w:val="24"/>
        </w:rPr>
        <w:t xml:space="preserve"> </w:t>
      </w:r>
      <w:r w:rsidRPr="00487F07">
        <w:rPr>
          <w:rFonts w:ascii="Arial" w:hAnsi="Arial" w:cs="Arial"/>
          <w:b/>
          <w:sz w:val="24"/>
          <w:szCs w:val="24"/>
        </w:rPr>
        <w:t>EB-2018-0066 Decision and Rate Order, p. 10</w:t>
      </w:r>
    </w:p>
    <w:p w14:paraId="0DAB468D" w14:textId="77777777" w:rsidR="00487F07" w:rsidRPr="00056E3A" w:rsidRDefault="00487F07" w:rsidP="00487F07">
      <w:pPr>
        <w:rPr>
          <w:rFonts w:ascii="Arial" w:hAnsi="Arial" w:cs="Arial"/>
          <w:sz w:val="24"/>
        </w:rPr>
      </w:pPr>
      <w:r w:rsidRPr="00056E3A">
        <w:rPr>
          <w:rFonts w:ascii="Arial" w:hAnsi="Arial" w:cs="Arial"/>
          <w:sz w:val="24"/>
        </w:rPr>
        <w:t>The above reference indicates that as a result of difference between Sioux Lookout Hydro’s approved and actual loss factors, it has caused a significant over-collection from customers compared to what has been purchased, resulting in the large credit variance (refund to customers) in Account 1588 as at December 31, 2017, which was expected to continue in 2018 since an updated loss factor was not put in place until May 1, 2019.</w:t>
      </w:r>
    </w:p>
    <w:p w14:paraId="7EBE4505" w14:textId="691B6116" w:rsidR="00487F07" w:rsidRDefault="00487F07" w:rsidP="00487F07">
      <w:pPr>
        <w:pStyle w:val="ListParagraph"/>
        <w:numPr>
          <w:ilvl w:val="0"/>
          <w:numId w:val="40"/>
        </w:numPr>
        <w:contextualSpacing w:val="0"/>
        <w:rPr>
          <w:rFonts w:ascii="Arial" w:hAnsi="Arial" w:cs="Arial"/>
          <w:sz w:val="24"/>
        </w:rPr>
      </w:pPr>
      <w:r w:rsidRPr="00056E3A">
        <w:rPr>
          <w:rFonts w:ascii="Arial" w:hAnsi="Arial" w:cs="Arial"/>
          <w:sz w:val="24"/>
        </w:rPr>
        <w:t>Based on the above, the OEB was expecting to see a credit balance within Account 1588 as at December 31, 2018. Please explain why this is not the case (i.e. the balance in Account 1588 is a debit of $47,881 at December 31, 2018).</w:t>
      </w:r>
    </w:p>
    <w:p w14:paraId="5A68690D" w14:textId="69EC39ED" w:rsidR="00C84942" w:rsidRPr="00DF36D3" w:rsidRDefault="00C84942" w:rsidP="00C84942">
      <w:pPr>
        <w:rPr>
          <w:rFonts w:ascii="Arial" w:hAnsi="Arial" w:cs="Arial"/>
          <w:color w:val="7030A0"/>
          <w:sz w:val="24"/>
          <w:u w:val="single"/>
        </w:rPr>
      </w:pPr>
      <w:r w:rsidRPr="00DF36D3">
        <w:rPr>
          <w:rFonts w:ascii="Arial" w:hAnsi="Arial" w:cs="Arial"/>
          <w:color w:val="7030A0"/>
          <w:sz w:val="24"/>
          <w:u w:val="single"/>
        </w:rPr>
        <w:t>Response: Staff Question 3(a)</w:t>
      </w:r>
    </w:p>
    <w:p w14:paraId="1DDB7608" w14:textId="77777777" w:rsidR="00E7518F" w:rsidRDefault="00A30FDE" w:rsidP="00C84942">
      <w:pPr>
        <w:rPr>
          <w:rFonts w:ascii="Arial" w:hAnsi="Arial" w:cs="Arial"/>
          <w:color w:val="7030A0"/>
          <w:sz w:val="24"/>
        </w:rPr>
      </w:pPr>
      <w:r w:rsidRPr="00DF36D3">
        <w:rPr>
          <w:rFonts w:ascii="Arial" w:hAnsi="Arial" w:cs="Arial"/>
          <w:color w:val="7030A0"/>
          <w:sz w:val="24"/>
        </w:rPr>
        <w:t>The balance is a debit due to the adjustments made to 1588 for 2016 and 2017 to implement the OEB Accounting Guidance.</w:t>
      </w:r>
      <w:r w:rsidR="00F13385">
        <w:rPr>
          <w:rFonts w:ascii="Arial" w:hAnsi="Arial" w:cs="Arial"/>
          <w:color w:val="7030A0"/>
          <w:sz w:val="24"/>
        </w:rPr>
        <w:t xml:space="preserve"> </w:t>
      </w:r>
      <w:r w:rsidRPr="00DF36D3">
        <w:rPr>
          <w:rFonts w:ascii="Arial" w:hAnsi="Arial" w:cs="Arial"/>
          <w:color w:val="7030A0"/>
          <w:sz w:val="24"/>
        </w:rPr>
        <w:t xml:space="preserve">SLHI received interim disposition of account 1588 in its 2019 application EB-2018-0066 to December 31, 2017. The adjustments from Table 4 and Table 5 </w:t>
      </w:r>
      <w:r w:rsidR="00F13385">
        <w:rPr>
          <w:rFonts w:ascii="Arial" w:hAnsi="Arial" w:cs="Arial"/>
          <w:color w:val="7030A0"/>
          <w:sz w:val="24"/>
        </w:rPr>
        <w:t>in the current application page</w:t>
      </w:r>
      <w:r w:rsidR="00E7518F">
        <w:rPr>
          <w:rFonts w:ascii="Arial" w:hAnsi="Arial" w:cs="Arial"/>
          <w:color w:val="7030A0"/>
          <w:sz w:val="24"/>
        </w:rPr>
        <w:t xml:space="preserve"> 6, </w:t>
      </w:r>
      <w:r w:rsidRPr="00DF36D3">
        <w:rPr>
          <w:rFonts w:ascii="Arial" w:hAnsi="Arial" w:cs="Arial"/>
          <w:color w:val="7030A0"/>
          <w:sz w:val="24"/>
        </w:rPr>
        <w:t xml:space="preserve">which are not included in EB-2018-0066 total $234,022. </w:t>
      </w:r>
    </w:p>
    <w:tbl>
      <w:tblPr>
        <w:tblStyle w:val="TableGrid"/>
        <w:tblW w:w="0" w:type="auto"/>
        <w:tblLook w:val="04A0" w:firstRow="1" w:lastRow="0" w:firstColumn="1" w:lastColumn="0" w:noHBand="0" w:noVBand="1"/>
      </w:tblPr>
      <w:tblGrid>
        <w:gridCol w:w="4675"/>
        <w:gridCol w:w="4675"/>
      </w:tblGrid>
      <w:tr w:rsidR="00E7518F" w14:paraId="5C30A99B" w14:textId="77777777" w:rsidTr="00E7518F">
        <w:tc>
          <w:tcPr>
            <w:tcW w:w="4675" w:type="dxa"/>
          </w:tcPr>
          <w:p w14:paraId="42CB89E3" w14:textId="3A3ABA81" w:rsidR="00E7518F" w:rsidRPr="00E7518F" w:rsidRDefault="00E7518F" w:rsidP="00C84942">
            <w:pPr>
              <w:rPr>
                <w:rFonts w:ascii="Arial" w:hAnsi="Arial" w:cs="Arial"/>
                <w:b/>
                <w:bCs/>
                <w:color w:val="7030A0"/>
                <w:sz w:val="24"/>
              </w:rPr>
            </w:pPr>
            <w:r w:rsidRPr="00E7518F">
              <w:rPr>
                <w:rFonts w:ascii="Arial" w:hAnsi="Arial" w:cs="Arial"/>
                <w:b/>
                <w:bCs/>
                <w:color w:val="7030A0"/>
                <w:sz w:val="24"/>
              </w:rPr>
              <w:t xml:space="preserve">2016 – 1588 </w:t>
            </w:r>
          </w:p>
        </w:tc>
        <w:tc>
          <w:tcPr>
            <w:tcW w:w="4675" w:type="dxa"/>
          </w:tcPr>
          <w:p w14:paraId="15759DBA" w14:textId="296AEC62" w:rsidR="00E7518F" w:rsidRDefault="00E7518F" w:rsidP="00C84942">
            <w:pPr>
              <w:rPr>
                <w:rFonts w:ascii="Arial" w:hAnsi="Arial" w:cs="Arial"/>
                <w:color w:val="7030A0"/>
                <w:sz w:val="24"/>
              </w:rPr>
            </w:pPr>
            <w:r>
              <w:rPr>
                <w:rFonts w:ascii="Arial" w:hAnsi="Arial" w:cs="Arial"/>
                <w:color w:val="7030A0"/>
                <w:sz w:val="24"/>
              </w:rPr>
              <w:t>Adj not included in EB-2018-0066</w:t>
            </w:r>
          </w:p>
        </w:tc>
      </w:tr>
      <w:tr w:rsidR="00E7518F" w14:paraId="1FE25C8A" w14:textId="77777777" w:rsidTr="00E7518F">
        <w:tc>
          <w:tcPr>
            <w:tcW w:w="4675" w:type="dxa"/>
          </w:tcPr>
          <w:p w14:paraId="51E7929F" w14:textId="217B2D39" w:rsidR="00E7518F" w:rsidRDefault="00E7518F" w:rsidP="00C84942">
            <w:pPr>
              <w:rPr>
                <w:rFonts w:ascii="Arial" w:hAnsi="Arial" w:cs="Arial"/>
                <w:color w:val="7030A0"/>
                <w:sz w:val="24"/>
              </w:rPr>
            </w:pPr>
            <w:r>
              <w:rPr>
                <w:rFonts w:ascii="Arial" w:hAnsi="Arial" w:cs="Arial"/>
                <w:color w:val="7030A0"/>
                <w:sz w:val="24"/>
              </w:rPr>
              <w:t xml:space="preserve">Principal </w:t>
            </w:r>
          </w:p>
        </w:tc>
        <w:tc>
          <w:tcPr>
            <w:tcW w:w="4675" w:type="dxa"/>
          </w:tcPr>
          <w:p w14:paraId="3BF0CC82" w14:textId="1768F88C" w:rsidR="00E7518F" w:rsidRDefault="00E7518F" w:rsidP="00C84942">
            <w:pPr>
              <w:rPr>
                <w:rFonts w:ascii="Arial" w:hAnsi="Arial" w:cs="Arial"/>
                <w:color w:val="7030A0"/>
                <w:sz w:val="24"/>
              </w:rPr>
            </w:pPr>
            <w:r>
              <w:rPr>
                <w:rFonts w:ascii="Arial" w:hAnsi="Arial" w:cs="Arial"/>
                <w:color w:val="7030A0"/>
                <w:sz w:val="24"/>
              </w:rPr>
              <w:t>Interest</w:t>
            </w:r>
          </w:p>
        </w:tc>
      </w:tr>
      <w:tr w:rsidR="00E7518F" w14:paraId="0090E65B" w14:textId="77777777" w:rsidTr="00E7518F">
        <w:tc>
          <w:tcPr>
            <w:tcW w:w="4675" w:type="dxa"/>
          </w:tcPr>
          <w:p w14:paraId="357513E2" w14:textId="7EDAEE72" w:rsidR="00E7518F" w:rsidRDefault="00E7518F" w:rsidP="00C84942">
            <w:pPr>
              <w:rPr>
                <w:rFonts w:ascii="Arial" w:hAnsi="Arial" w:cs="Arial"/>
                <w:color w:val="7030A0"/>
                <w:sz w:val="24"/>
              </w:rPr>
            </w:pPr>
            <w:r>
              <w:rPr>
                <w:rFonts w:ascii="Arial" w:hAnsi="Arial" w:cs="Arial"/>
                <w:color w:val="7030A0"/>
                <w:sz w:val="24"/>
              </w:rPr>
              <w:t>69,684</w:t>
            </w:r>
          </w:p>
        </w:tc>
        <w:tc>
          <w:tcPr>
            <w:tcW w:w="4675" w:type="dxa"/>
          </w:tcPr>
          <w:p w14:paraId="6788A78E" w14:textId="62876BEE" w:rsidR="00E7518F" w:rsidRDefault="00E7518F" w:rsidP="00C84942">
            <w:pPr>
              <w:rPr>
                <w:rFonts w:ascii="Arial" w:hAnsi="Arial" w:cs="Arial"/>
                <w:color w:val="7030A0"/>
                <w:sz w:val="24"/>
              </w:rPr>
            </w:pPr>
            <w:r>
              <w:rPr>
                <w:rFonts w:ascii="Arial" w:hAnsi="Arial" w:cs="Arial"/>
                <w:color w:val="7030A0"/>
                <w:sz w:val="24"/>
              </w:rPr>
              <w:t>213</w:t>
            </w:r>
          </w:p>
        </w:tc>
      </w:tr>
      <w:tr w:rsidR="00E7518F" w14:paraId="590F234F" w14:textId="77777777" w:rsidTr="00E7518F">
        <w:tc>
          <w:tcPr>
            <w:tcW w:w="4675" w:type="dxa"/>
          </w:tcPr>
          <w:p w14:paraId="60C05AEF" w14:textId="4131553C" w:rsidR="00E7518F" w:rsidRDefault="00E7518F" w:rsidP="00C84942">
            <w:pPr>
              <w:rPr>
                <w:rFonts w:ascii="Arial" w:hAnsi="Arial" w:cs="Arial"/>
                <w:color w:val="7030A0"/>
                <w:sz w:val="24"/>
              </w:rPr>
            </w:pPr>
            <w:r>
              <w:rPr>
                <w:rFonts w:ascii="Arial" w:hAnsi="Arial" w:cs="Arial"/>
                <w:color w:val="7030A0"/>
                <w:sz w:val="24"/>
              </w:rPr>
              <w:t>60,973</w:t>
            </w:r>
            <w:bookmarkStart w:id="0" w:name="_GoBack"/>
            <w:bookmarkEnd w:id="0"/>
          </w:p>
        </w:tc>
        <w:tc>
          <w:tcPr>
            <w:tcW w:w="4675" w:type="dxa"/>
          </w:tcPr>
          <w:p w14:paraId="4E6D7ADC" w14:textId="40C53BB0" w:rsidR="00E7518F" w:rsidRDefault="00E7518F" w:rsidP="00C84942">
            <w:pPr>
              <w:rPr>
                <w:rFonts w:ascii="Arial" w:hAnsi="Arial" w:cs="Arial"/>
                <w:color w:val="7030A0"/>
                <w:sz w:val="24"/>
              </w:rPr>
            </w:pPr>
            <w:r>
              <w:rPr>
                <w:rFonts w:ascii="Arial" w:hAnsi="Arial" w:cs="Arial"/>
                <w:color w:val="7030A0"/>
                <w:sz w:val="24"/>
              </w:rPr>
              <w:t>-217</w:t>
            </w:r>
          </w:p>
        </w:tc>
      </w:tr>
      <w:tr w:rsidR="00E7518F" w14:paraId="248035E3" w14:textId="77777777" w:rsidTr="00E7518F">
        <w:tc>
          <w:tcPr>
            <w:tcW w:w="4675" w:type="dxa"/>
          </w:tcPr>
          <w:p w14:paraId="65B2593D" w14:textId="537810F9" w:rsidR="00E7518F" w:rsidRPr="00E7518F" w:rsidRDefault="00E7518F" w:rsidP="00C84942">
            <w:pPr>
              <w:rPr>
                <w:rFonts w:ascii="Arial" w:hAnsi="Arial" w:cs="Arial"/>
                <w:b/>
                <w:bCs/>
                <w:color w:val="7030A0"/>
                <w:sz w:val="24"/>
              </w:rPr>
            </w:pPr>
            <w:r w:rsidRPr="00E7518F">
              <w:rPr>
                <w:rFonts w:ascii="Arial" w:hAnsi="Arial" w:cs="Arial"/>
                <w:b/>
                <w:bCs/>
                <w:color w:val="7030A0"/>
                <w:sz w:val="24"/>
              </w:rPr>
              <w:t>2017 – 1588</w:t>
            </w:r>
          </w:p>
        </w:tc>
        <w:tc>
          <w:tcPr>
            <w:tcW w:w="4675" w:type="dxa"/>
          </w:tcPr>
          <w:p w14:paraId="06166729" w14:textId="1A593F6D" w:rsidR="00E7518F" w:rsidRDefault="00E7518F" w:rsidP="00C84942">
            <w:pPr>
              <w:rPr>
                <w:rFonts w:ascii="Arial" w:hAnsi="Arial" w:cs="Arial"/>
                <w:color w:val="7030A0"/>
                <w:sz w:val="24"/>
              </w:rPr>
            </w:pPr>
          </w:p>
        </w:tc>
      </w:tr>
      <w:tr w:rsidR="00E7518F" w14:paraId="02089840" w14:textId="77777777" w:rsidTr="00E7518F">
        <w:tc>
          <w:tcPr>
            <w:tcW w:w="4675" w:type="dxa"/>
          </w:tcPr>
          <w:p w14:paraId="12814F38" w14:textId="4273D238" w:rsidR="00E7518F" w:rsidRDefault="00E7518F" w:rsidP="00C84942">
            <w:pPr>
              <w:rPr>
                <w:rFonts w:ascii="Arial" w:hAnsi="Arial" w:cs="Arial"/>
                <w:color w:val="7030A0"/>
                <w:sz w:val="24"/>
              </w:rPr>
            </w:pPr>
            <w:r>
              <w:rPr>
                <w:rFonts w:ascii="Arial" w:hAnsi="Arial" w:cs="Arial"/>
                <w:color w:val="7030A0"/>
                <w:sz w:val="24"/>
              </w:rPr>
              <w:t>98,959</w:t>
            </w:r>
          </w:p>
        </w:tc>
        <w:tc>
          <w:tcPr>
            <w:tcW w:w="4675" w:type="dxa"/>
          </w:tcPr>
          <w:p w14:paraId="05C8C3B5" w14:textId="7C8A2694" w:rsidR="00E7518F" w:rsidRDefault="00E7518F" w:rsidP="00C84942">
            <w:pPr>
              <w:rPr>
                <w:rFonts w:ascii="Arial" w:hAnsi="Arial" w:cs="Arial"/>
                <w:color w:val="7030A0"/>
                <w:sz w:val="24"/>
              </w:rPr>
            </w:pPr>
            <w:r>
              <w:rPr>
                <w:rFonts w:ascii="Arial" w:hAnsi="Arial" w:cs="Arial"/>
                <w:color w:val="7030A0"/>
                <w:sz w:val="24"/>
              </w:rPr>
              <w:t>2620</w:t>
            </w:r>
          </w:p>
        </w:tc>
      </w:tr>
      <w:tr w:rsidR="00E7518F" w14:paraId="3AB5C94F" w14:textId="77777777" w:rsidTr="00E7518F">
        <w:tc>
          <w:tcPr>
            <w:tcW w:w="4675" w:type="dxa"/>
          </w:tcPr>
          <w:p w14:paraId="3EF1B490" w14:textId="6150CCB3" w:rsidR="00E7518F" w:rsidRDefault="00E7518F" w:rsidP="00C84942">
            <w:pPr>
              <w:rPr>
                <w:rFonts w:ascii="Arial" w:hAnsi="Arial" w:cs="Arial"/>
                <w:color w:val="7030A0"/>
                <w:sz w:val="24"/>
              </w:rPr>
            </w:pPr>
            <w:r>
              <w:rPr>
                <w:rFonts w:ascii="Arial" w:hAnsi="Arial" w:cs="Arial"/>
                <w:color w:val="7030A0"/>
                <w:sz w:val="24"/>
              </w:rPr>
              <w:t>98</w:t>
            </w:r>
          </w:p>
        </w:tc>
        <w:tc>
          <w:tcPr>
            <w:tcW w:w="4675" w:type="dxa"/>
          </w:tcPr>
          <w:p w14:paraId="59A8C5B6" w14:textId="7A97B283" w:rsidR="00E7518F" w:rsidRDefault="00E7518F" w:rsidP="00C84942">
            <w:pPr>
              <w:rPr>
                <w:rFonts w:ascii="Arial" w:hAnsi="Arial" w:cs="Arial"/>
                <w:color w:val="7030A0"/>
                <w:sz w:val="24"/>
              </w:rPr>
            </w:pPr>
            <w:r>
              <w:rPr>
                <w:rFonts w:ascii="Arial" w:hAnsi="Arial" w:cs="Arial"/>
                <w:color w:val="7030A0"/>
                <w:sz w:val="24"/>
              </w:rPr>
              <w:t>1692</w:t>
            </w:r>
          </w:p>
        </w:tc>
      </w:tr>
      <w:tr w:rsidR="00E7518F" w14:paraId="54A35DFB" w14:textId="77777777" w:rsidTr="00E7518F">
        <w:tc>
          <w:tcPr>
            <w:tcW w:w="4675" w:type="dxa"/>
          </w:tcPr>
          <w:p w14:paraId="22A6D9BC" w14:textId="77777777" w:rsidR="00E7518F" w:rsidRDefault="00E7518F" w:rsidP="00C84942">
            <w:pPr>
              <w:rPr>
                <w:rFonts w:ascii="Arial" w:hAnsi="Arial" w:cs="Arial"/>
                <w:color w:val="7030A0"/>
                <w:sz w:val="24"/>
              </w:rPr>
            </w:pPr>
          </w:p>
        </w:tc>
        <w:tc>
          <w:tcPr>
            <w:tcW w:w="4675" w:type="dxa"/>
          </w:tcPr>
          <w:p w14:paraId="75FBB6DE" w14:textId="77777777" w:rsidR="00E7518F" w:rsidRDefault="00E7518F" w:rsidP="00C84942">
            <w:pPr>
              <w:rPr>
                <w:rFonts w:ascii="Arial" w:hAnsi="Arial" w:cs="Arial"/>
                <w:color w:val="7030A0"/>
                <w:sz w:val="24"/>
              </w:rPr>
            </w:pPr>
          </w:p>
        </w:tc>
      </w:tr>
    </w:tbl>
    <w:p w14:paraId="009FD671" w14:textId="77777777" w:rsidR="00E7518F" w:rsidRDefault="00E7518F" w:rsidP="00C84942">
      <w:pPr>
        <w:rPr>
          <w:rFonts w:ascii="Arial" w:hAnsi="Arial" w:cs="Arial"/>
          <w:color w:val="7030A0"/>
          <w:sz w:val="24"/>
        </w:rPr>
      </w:pPr>
    </w:p>
    <w:p w14:paraId="2677199B" w14:textId="074BC3B6" w:rsidR="00C84942" w:rsidRPr="00DF36D3" w:rsidRDefault="00A30FDE" w:rsidP="00C84942">
      <w:pPr>
        <w:rPr>
          <w:rFonts w:ascii="Arial" w:hAnsi="Arial" w:cs="Arial"/>
          <w:color w:val="7030A0"/>
          <w:sz w:val="24"/>
        </w:rPr>
      </w:pPr>
      <w:r w:rsidRPr="00DF36D3">
        <w:rPr>
          <w:rFonts w:ascii="Arial" w:hAnsi="Arial" w:cs="Arial"/>
          <w:color w:val="7030A0"/>
          <w:sz w:val="24"/>
        </w:rPr>
        <w:lastRenderedPageBreak/>
        <w:t xml:space="preserve">The total transactions and adjustments for 2018 total $(204,053). The difference in these two amounts is </w:t>
      </w:r>
      <w:proofErr w:type="gramStart"/>
      <w:r w:rsidRPr="00DF36D3">
        <w:rPr>
          <w:rFonts w:ascii="Arial" w:hAnsi="Arial" w:cs="Arial"/>
          <w:color w:val="7030A0"/>
          <w:sz w:val="24"/>
        </w:rPr>
        <w:t>fairly close</w:t>
      </w:r>
      <w:proofErr w:type="gramEnd"/>
      <w:r w:rsidRPr="00DF36D3">
        <w:rPr>
          <w:rFonts w:ascii="Arial" w:hAnsi="Arial" w:cs="Arial"/>
          <w:color w:val="7030A0"/>
          <w:sz w:val="24"/>
        </w:rPr>
        <w:t xml:space="preserve"> to the amount claimed and also a debit amount.</w:t>
      </w:r>
      <w:r w:rsidR="00DF36D3" w:rsidRPr="00DF36D3">
        <w:rPr>
          <w:rFonts w:ascii="Arial" w:hAnsi="Arial" w:cs="Arial"/>
          <w:color w:val="7030A0"/>
          <w:sz w:val="24"/>
        </w:rPr>
        <w:t xml:space="preserve"> If SLHI did not restate the 2016 and 2017 to conform to the new accounting guidance, then the amount claimed would be a credit.</w:t>
      </w:r>
    </w:p>
    <w:p w14:paraId="646ABAB0" w14:textId="77777777" w:rsidR="00487F07" w:rsidRDefault="00487F07" w:rsidP="00487F07">
      <w:pPr>
        <w:spacing w:after="0"/>
        <w:rPr>
          <w:rFonts w:ascii="Arial" w:hAnsi="Arial" w:cs="Arial"/>
          <w:b/>
          <w:sz w:val="24"/>
          <w:szCs w:val="24"/>
        </w:rPr>
      </w:pPr>
    </w:p>
    <w:p w14:paraId="778C32C1" w14:textId="77777777" w:rsidR="006D125D" w:rsidRDefault="006D125D" w:rsidP="001D3B55">
      <w:pPr>
        <w:rPr>
          <w:rFonts w:ascii="Arial" w:hAnsi="Arial" w:cs="Arial"/>
          <w:sz w:val="24"/>
          <w:szCs w:val="24"/>
        </w:rPr>
      </w:pPr>
    </w:p>
    <w:p w14:paraId="588407A1" w14:textId="77777777" w:rsidR="006D125D" w:rsidRDefault="006D125D" w:rsidP="001D3B55">
      <w:pPr>
        <w:rPr>
          <w:rFonts w:ascii="Arial" w:hAnsi="Arial" w:cs="Arial"/>
          <w:sz w:val="24"/>
          <w:szCs w:val="24"/>
        </w:rPr>
      </w:pPr>
    </w:p>
    <w:p w14:paraId="5C258C85" w14:textId="77777777" w:rsidR="00AC3F80" w:rsidRPr="00AC3F80" w:rsidRDefault="00AC3F80" w:rsidP="00AC3F80">
      <w:pPr>
        <w:rPr>
          <w:rFonts w:ascii="Arial" w:hAnsi="Arial" w:cs="Arial"/>
          <w:sz w:val="24"/>
          <w:szCs w:val="24"/>
        </w:rPr>
      </w:pPr>
    </w:p>
    <w:sectPr w:rsidR="00AC3F80" w:rsidRPr="00AC3F80"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AFBA" w14:textId="77777777" w:rsidR="00287852" w:rsidRDefault="00287852" w:rsidP="001A728D">
      <w:pPr>
        <w:spacing w:after="0" w:line="240" w:lineRule="auto"/>
      </w:pPr>
      <w:r>
        <w:separator/>
      </w:r>
    </w:p>
  </w:endnote>
  <w:endnote w:type="continuationSeparator" w:id="0">
    <w:p w14:paraId="6F8AB09F" w14:textId="77777777" w:rsidR="00287852" w:rsidRDefault="00287852" w:rsidP="001A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211800"/>
      <w:docPartObj>
        <w:docPartGallery w:val="Page Numbers (Bottom of Page)"/>
        <w:docPartUnique/>
      </w:docPartObj>
    </w:sdtPr>
    <w:sdtEndPr>
      <w:rPr>
        <w:noProof/>
      </w:rPr>
    </w:sdtEndPr>
    <w:sdtContent>
      <w:p w14:paraId="3AB453D0" w14:textId="77777777" w:rsidR="0059172B" w:rsidRDefault="0059172B">
        <w:pPr>
          <w:pStyle w:val="Footer"/>
          <w:jc w:val="center"/>
        </w:pPr>
        <w:r>
          <w:fldChar w:fldCharType="begin"/>
        </w:r>
        <w:r>
          <w:instrText xml:space="preserve"> PAGE   \* MERGEFORMAT </w:instrText>
        </w:r>
        <w:r>
          <w:fldChar w:fldCharType="separate"/>
        </w:r>
        <w:r w:rsidR="00CA1DB8">
          <w:rPr>
            <w:noProof/>
          </w:rPr>
          <w:t>1</w:t>
        </w:r>
        <w:r>
          <w:rPr>
            <w:noProof/>
          </w:rPr>
          <w:fldChar w:fldCharType="end"/>
        </w:r>
      </w:p>
    </w:sdtContent>
  </w:sdt>
  <w:p w14:paraId="330014A6" w14:textId="77777777" w:rsidR="0059172B" w:rsidRDefault="0059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B7E3" w14:textId="77777777" w:rsidR="00287852" w:rsidRDefault="00287852" w:rsidP="001A728D">
      <w:pPr>
        <w:spacing w:after="0" w:line="240" w:lineRule="auto"/>
      </w:pPr>
      <w:r>
        <w:separator/>
      </w:r>
    </w:p>
  </w:footnote>
  <w:footnote w:type="continuationSeparator" w:id="0">
    <w:p w14:paraId="0420FC42" w14:textId="77777777" w:rsidR="00287852" w:rsidRDefault="00287852" w:rsidP="001A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2929" w14:textId="77777777" w:rsidR="0059172B" w:rsidRPr="0059172B" w:rsidRDefault="001A728D">
    <w:pPr>
      <w:pStyle w:val="Header"/>
      <w:rPr>
        <w:rFonts w:ascii="Arial" w:hAnsi="Arial" w:cs="Arial"/>
      </w:rPr>
    </w:pPr>
    <w:r w:rsidRPr="00850A5F">
      <w:rPr>
        <w:rFonts w:ascii="Arial" w:hAnsi="Arial" w:cs="Arial"/>
      </w:rPr>
      <w:ptab w:relativeTo="margin" w:alignment="center" w:leader="none"/>
    </w:r>
    <w:r w:rsidRPr="00850A5F">
      <w:rPr>
        <w:rFonts w:ascii="Arial" w:hAnsi="Arial" w:cs="Arial"/>
      </w:rPr>
      <w:ptab w:relativeTo="margin" w:alignment="right" w:leader="none"/>
    </w:r>
    <w:r w:rsidR="00850A5F" w:rsidRPr="00850A5F">
      <w:rPr>
        <w:rFonts w:ascii="Arial" w:hAnsi="Arial" w:cs="Arial"/>
      </w:rPr>
      <w:t>Sioux Lookout Hydro Inc.</w:t>
    </w:r>
    <w:r w:rsidR="0059172B">
      <w:rPr>
        <w:rFonts w:ascii="Arial" w:hAnsi="Arial" w:cs="Arial"/>
        <w:bCs/>
      </w:rPr>
      <w:tab/>
    </w:r>
    <w:r w:rsidR="0059172B">
      <w:rPr>
        <w:rFonts w:ascii="Arial" w:hAnsi="Arial" w:cs="Arial"/>
        <w:bCs/>
      </w:rPr>
      <w:tab/>
    </w:r>
    <w:r w:rsidRPr="0059172B">
      <w:rPr>
        <w:rFonts w:ascii="Arial" w:hAnsi="Arial" w:cs="Arial"/>
      </w:rPr>
      <w:t xml:space="preserve">OEB Staff Questions </w:t>
    </w:r>
  </w:p>
  <w:p w14:paraId="4E8AC29D" w14:textId="77777777" w:rsidR="001A728D" w:rsidRDefault="0059172B">
    <w:pPr>
      <w:pStyle w:val="Header"/>
    </w:pPr>
    <w:r w:rsidRPr="0059172B">
      <w:rPr>
        <w:rFonts w:ascii="Arial" w:hAnsi="Arial" w:cs="Arial"/>
      </w:rPr>
      <w:tab/>
    </w:r>
    <w:r w:rsidRPr="0059172B">
      <w:rPr>
        <w:rFonts w:ascii="Arial" w:hAnsi="Arial" w:cs="Arial"/>
      </w:rPr>
      <w:tab/>
    </w:r>
    <w:r w:rsidR="00850A5F">
      <w:rPr>
        <w:rFonts w:ascii="Arial" w:hAnsi="Arial" w:cs="Arial"/>
      </w:rPr>
      <w:t>EB-2019-0067</w:t>
    </w:r>
    <w:r w:rsidR="001A728D" w:rsidRPr="0059172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848"/>
    <w:multiLevelType w:val="hybridMultilevel"/>
    <w:tmpl w:val="3EC43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D3A41"/>
    <w:multiLevelType w:val="hybridMultilevel"/>
    <w:tmpl w:val="8ACE7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46A1"/>
    <w:multiLevelType w:val="hybridMultilevel"/>
    <w:tmpl w:val="A07402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AF707D"/>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8C4B29"/>
    <w:multiLevelType w:val="hybridMultilevel"/>
    <w:tmpl w:val="9198016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623E1A"/>
    <w:multiLevelType w:val="hybridMultilevel"/>
    <w:tmpl w:val="CCE06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6B5264"/>
    <w:multiLevelType w:val="hybridMultilevel"/>
    <w:tmpl w:val="D8B4E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313A6"/>
    <w:multiLevelType w:val="hybridMultilevel"/>
    <w:tmpl w:val="8A1A9DAA"/>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68679B"/>
    <w:multiLevelType w:val="hybridMultilevel"/>
    <w:tmpl w:val="CA20A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9C42ED"/>
    <w:multiLevelType w:val="hybridMultilevel"/>
    <w:tmpl w:val="4CF6E74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80744A"/>
    <w:multiLevelType w:val="hybridMultilevel"/>
    <w:tmpl w:val="D082A49C"/>
    <w:lvl w:ilvl="0" w:tplc="6B54E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3D62B5"/>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184FE1"/>
    <w:multiLevelType w:val="hybridMultilevel"/>
    <w:tmpl w:val="0C70A09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9"/>
  </w:num>
  <w:num w:numId="3">
    <w:abstractNumId w:val="29"/>
  </w:num>
  <w:num w:numId="4">
    <w:abstractNumId w:val="39"/>
  </w:num>
  <w:num w:numId="5">
    <w:abstractNumId w:val="16"/>
  </w:num>
  <w:num w:numId="6">
    <w:abstractNumId w:val="12"/>
  </w:num>
  <w:num w:numId="7">
    <w:abstractNumId w:val="24"/>
  </w:num>
  <w:num w:numId="8">
    <w:abstractNumId w:val="19"/>
  </w:num>
  <w:num w:numId="9">
    <w:abstractNumId w:val="21"/>
  </w:num>
  <w:num w:numId="10">
    <w:abstractNumId w:val="7"/>
  </w:num>
  <w:num w:numId="11">
    <w:abstractNumId w:val="23"/>
  </w:num>
  <w:num w:numId="12">
    <w:abstractNumId w:val="31"/>
  </w:num>
  <w:num w:numId="13">
    <w:abstractNumId w:val="6"/>
  </w:num>
  <w:num w:numId="14">
    <w:abstractNumId w:val="2"/>
  </w:num>
  <w:num w:numId="15">
    <w:abstractNumId w:val="38"/>
  </w:num>
  <w:num w:numId="16">
    <w:abstractNumId w:val="10"/>
  </w:num>
  <w:num w:numId="17">
    <w:abstractNumId w:val="26"/>
  </w:num>
  <w:num w:numId="18">
    <w:abstractNumId w:val="35"/>
  </w:num>
  <w:num w:numId="19">
    <w:abstractNumId w:val="36"/>
  </w:num>
  <w:num w:numId="20">
    <w:abstractNumId w:val="15"/>
  </w:num>
  <w:num w:numId="21">
    <w:abstractNumId w:val="33"/>
  </w:num>
  <w:num w:numId="22">
    <w:abstractNumId w:val="14"/>
  </w:num>
  <w:num w:numId="23">
    <w:abstractNumId w:val="30"/>
  </w:num>
  <w:num w:numId="24">
    <w:abstractNumId w:val="28"/>
  </w:num>
  <w:num w:numId="25">
    <w:abstractNumId w:val="3"/>
  </w:num>
  <w:num w:numId="26">
    <w:abstractNumId w:val="22"/>
  </w:num>
  <w:num w:numId="27">
    <w:abstractNumId w:val="25"/>
  </w:num>
  <w:num w:numId="28">
    <w:abstractNumId w:val="34"/>
  </w:num>
  <w:num w:numId="29">
    <w:abstractNumId w:val="8"/>
  </w:num>
  <w:num w:numId="30">
    <w:abstractNumId w:val="37"/>
  </w:num>
  <w:num w:numId="31">
    <w:abstractNumId w:val="11"/>
  </w:num>
  <w:num w:numId="32">
    <w:abstractNumId w:val="20"/>
  </w:num>
  <w:num w:numId="33">
    <w:abstractNumId w:val="4"/>
  </w:num>
  <w:num w:numId="34">
    <w:abstractNumId w:val="5"/>
  </w:num>
  <w:num w:numId="35">
    <w:abstractNumId w:val="32"/>
  </w:num>
  <w:num w:numId="36">
    <w:abstractNumId w:val="17"/>
  </w:num>
  <w:num w:numId="37">
    <w:abstractNumId w:val="18"/>
  </w:num>
  <w:num w:numId="38">
    <w:abstractNumId w:val="0"/>
  </w:num>
  <w:num w:numId="39">
    <w:abstractNumId w:val="2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66B7"/>
    <w:rsid w:val="0003073C"/>
    <w:rsid w:val="00035337"/>
    <w:rsid w:val="00054071"/>
    <w:rsid w:val="0006126D"/>
    <w:rsid w:val="00067F57"/>
    <w:rsid w:val="00071BEC"/>
    <w:rsid w:val="00074514"/>
    <w:rsid w:val="000832D4"/>
    <w:rsid w:val="00090160"/>
    <w:rsid w:val="000B3E7E"/>
    <w:rsid w:val="000D223C"/>
    <w:rsid w:val="000E4006"/>
    <w:rsid w:val="000F1E3A"/>
    <w:rsid w:val="001147B3"/>
    <w:rsid w:val="00164E99"/>
    <w:rsid w:val="001820C5"/>
    <w:rsid w:val="00183CC8"/>
    <w:rsid w:val="00187E9B"/>
    <w:rsid w:val="001927C2"/>
    <w:rsid w:val="001A4DCD"/>
    <w:rsid w:val="001A728D"/>
    <w:rsid w:val="001D3B55"/>
    <w:rsid w:val="001E5A62"/>
    <w:rsid w:val="00203092"/>
    <w:rsid w:val="002208C0"/>
    <w:rsid w:val="00224C06"/>
    <w:rsid w:val="0025687C"/>
    <w:rsid w:val="00262C30"/>
    <w:rsid w:val="00274A48"/>
    <w:rsid w:val="00280CA6"/>
    <w:rsid w:val="00287852"/>
    <w:rsid w:val="00291CCC"/>
    <w:rsid w:val="002A6415"/>
    <w:rsid w:val="002B7B7C"/>
    <w:rsid w:val="002C2BF2"/>
    <w:rsid w:val="002C7EF6"/>
    <w:rsid w:val="002F4756"/>
    <w:rsid w:val="00302509"/>
    <w:rsid w:val="003049C5"/>
    <w:rsid w:val="00340C00"/>
    <w:rsid w:val="00365C34"/>
    <w:rsid w:val="003702D1"/>
    <w:rsid w:val="00373FAD"/>
    <w:rsid w:val="003777B5"/>
    <w:rsid w:val="003832E7"/>
    <w:rsid w:val="00394695"/>
    <w:rsid w:val="003A20A0"/>
    <w:rsid w:val="003A58B0"/>
    <w:rsid w:val="003B7CAF"/>
    <w:rsid w:val="003F34A6"/>
    <w:rsid w:val="00400DFC"/>
    <w:rsid w:val="00412DC6"/>
    <w:rsid w:val="004134EF"/>
    <w:rsid w:val="004377B0"/>
    <w:rsid w:val="00472C81"/>
    <w:rsid w:val="00475032"/>
    <w:rsid w:val="004763D3"/>
    <w:rsid w:val="004859EF"/>
    <w:rsid w:val="00487F07"/>
    <w:rsid w:val="004C01DD"/>
    <w:rsid w:val="005164F5"/>
    <w:rsid w:val="0052560F"/>
    <w:rsid w:val="00544BA5"/>
    <w:rsid w:val="005666F2"/>
    <w:rsid w:val="00572064"/>
    <w:rsid w:val="00584369"/>
    <w:rsid w:val="00587A35"/>
    <w:rsid w:val="0059172B"/>
    <w:rsid w:val="005A11B1"/>
    <w:rsid w:val="005A23DB"/>
    <w:rsid w:val="005A5D37"/>
    <w:rsid w:val="005F11B7"/>
    <w:rsid w:val="005F4693"/>
    <w:rsid w:val="006321A3"/>
    <w:rsid w:val="0064279A"/>
    <w:rsid w:val="00651C98"/>
    <w:rsid w:val="006A5D23"/>
    <w:rsid w:val="006D125D"/>
    <w:rsid w:val="006D5202"/>
    <w:rsid w:val="006E3D58"/>
    <w:rsid w:val="006F4FBD"/>
    <w:rsid w:val="00704EE5"/>
    <w:rsid w:val="007066E2"/>
    <w:rsid w:val="00711950"/>
    <w:rsid w:val="00722640"/>
    <w:rsid w:val="0073197E"/>
    <w:rsid w:val="00746080"/>
    <w:rsid w:val="00761F32"/>
    <w:rsid w:val="00772B57"/>
    <w:rsid w:val="00775C21"/>
    <w:rsid w:val="00781D04"/>
    <w:rsid w:val="007C2D45"/>
    <w:rsid w:val="007C761E"/>
    <w:rsid w:val="007F49EB"/>
    <w:rsid w:val="00805FDA"/>
    <w:rsid w:val="00812C1B"/>
    <w:rsid w:val="00835AD0"/>
    <w:rsid w:val="008439A3"/>
    <w:rsid w:val="00850A5F"/>
    <w:rsid w:val="00866EB1"/>
    <w:rsid w:val="008747B3"/>
    <w:rsid w:val="008813C3"/>
    <w:rsid w:val="008926F0"/>
    <w:rsid w:val="008964E8"/>
    <w:rsid w:val="008A48F6"/>
    <w:rsid w:val="008E6045"/>
    <w:rsid w:val="0090113B"/>
    <w:rsid w:val="0093258A"/>
    <w:rsid w:val="0094373C"/>
    <w:rsid w:val="00946DEE"/>
    <w:rsid w:val="00951E2B"/>
    <w:rsid w:val="00952939"/>
    <w:rsid w:val="00961EA0"/>
    <w:rsid w:val="00975348"/>
    <w:rsid w:val="009A5C44"/>
    <w:rsid w:val="009B03AF"/>
    <w:rsid w:val="009B6AB3"/>
    <w:rsid w:val="009C4216"/>
    <w:rsid w:val="009D32B1"/>
    <w:rsid w:val="009D5F4B"/>
    <w:rsid w:val="009E00ED"/>
    <w:rsid w:val="009E626E"/>
    <w:rsid w:val="009E760C"/>
    <w:rsid w:val="009E7CBF"/>
    <w:rsid w:val="00A07077"/>
    <w:rsid w:val="00A30FDE"/>
    <w:rsid w:val="00A50DD0"/>
    <w:rsid w:val="00A516B0"/>
    <w:rsid w:val="00A55F9A"/>
    <w:rsid w:val="00A5620A"/>
    <w:rsid w:val="00A81B35"/>
    <w:rsid w:val="00A9357F"/>
    <w:rsid w:val="00AA06D9"/>
    <w:rsid w:val="00AC2406"/>
    <w:rsid w:val="00AC294A"/>
    <w:rsid w:val="00AC3F80"/>
    <w:rsid w:val="00AD3FCF"/>
    <w:rsid w:val="00B03802"/>
    <w:rsid w:val="00B04BFB"/>
    <w:rsid w:val="00B069AA"/>
    <w:rsid w:val="00B23A36"/>
    <w:rsid w:val="00B25576"/>
    <w:rsid w:val="00B25EF5"/>
    <w:rsid w:val="00B431C8"/>
    <w:rsid w:val="00B50EB2"/>
    <w:rsid w:val="00B6722A"/>
    <w:rsid w:val="00B82D78"/>
    <w:rsid w:val="00B93A4C"/>
    <w:rsid w:val="00BA434C"/>
    <w:rsid w:val="00BD4F65"/>
    <w:rsid w:val="00BD6AB9"/>
    <w:rsid w:val="00C06F9E"/>
    <w:rsid w:val="00C13E6B"/>
    <w:rsid w:val="00C2370B"/>
    <w:rsid w:val="00C624D5"/>
    <w:rsid w:val="00C848A0"/>
    <w:rsid w:val="00C84942"/>
    <w:rsid w:val="00C878C5"/>
    <w:rsid w:val="00C96AEA"/>
    <w:rsid w:val="00CA1DB8"/>
    <w:rsid w:val="00CC0B6D"/>
    <w:rsid w:val="00CC0EF2"/>
    <w:rsid w:val="00CE0AD7"/>
    <w:rsid w:val="00CE1CD3"/>
    <w:rsid w:val="00CE4F01"/>
    <w:rsid w:val="00D3742A"/>
    <w:rsid w:val="00D55546"/>
    <w:rsid w:val="00D6213C"/>
    <w:rsid w:val="00D647C0"/>
    <w:rsid w:val="00D77694"/>
    <w:rsid w:val="00D77B0F"/>
    <w:rsid w:val="00D84222"/>
    <w:rsid w:val="00DB6B52"/>
    <w:rsid w:val="00DC08C2"/>
    <w:rsid w:val="00DE5488"/>
    <w:rsid w:val="00DE75AC"/>
    <w:rsid w:val="00DF36D3"/>
    <w:rsid w:val="00DF5A52"/>
    <w:rsid w:val="00E17C58"/>
    <w:rsid w:val="00E231C2"/>
    <w:rsid w:val="00E429DA"/>
    <w:rsid w:val="00E54ED5"/>
    <w:rsid w:val="00E62C2A"/>
    <w:rsid w:val="00E7518F"/>
    <w:rsid w:val="00E8586E"/>
    <w:rsid w:val="00E91E2F"/>
    <w:rsid w:val="00E96A06"/>
    <w:rsid w:val="00EA0919"/>
    <w:rsid w:val="00EA2EFF"/>
    <w:rsid w:val="00EB5240"/>
    <w:rsid w:val="00EC0B55"/>
    <w:rsid w:val="00EF3304"/>
    <w:rsid w:val="00F034BF"/>
    <w:rsid w:val="00F11C11"/>
    <w:rsid w:val="00F13385"/>
    <w:rsid w:val="00F233A3"/>
    <w:rsid w:val="00F26D30"/>
    <w:rsid w:val="00F57152"/>
    <w:rsid w:val="00F70D92"/>
    <w:rsid w:val="00F7362C"/>
    <w:rsid w:val="00F90249"/>
    <w:rsid w:val="00F92F61"/>
    <w:rsid w:val="00F97C4C"/>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4FD2"/>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8D"/>
  </w:style>
  <w:style w:type="paragraph" w:styleId="NoSpacing">
    <w:name w:val="No Spacing"/>
    <w:uiPriority w:val="1"/>
    <w:qFormat/>
    <w:rsid w:val="001D3B55"/>
    <w:pPr>
      <w:spacing w:after="0" w:line="240" w:lineRule="auto"/>
    </w:pPr>
    <w:rPr>
      <w:lang w:val="en-US"/>
    </w:rPr>
  </w:style>
  <w:style w:type="paragraph" w:styleId="FootnoteText">
    <w:name w:val="footnote text"/>
    <w:basedOn w:val="Normal"/>
    <w:link w:val="FootnoteTextChar"/>
    <w:uiPriority w:val="99"/>
    <w:semiHidden/>
    <w:unhideWhenUsed/>
    <w:rsid w:val="00A55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F9A"/>
    <w:rPr>
      <w:sz w:val="20"/>
      <w:szCs w:val="20"/>
    </w:rPr>
  </w:style>
  <w:style w:type="character" w:styleId="FootnoteReference">
    <w:name w:val="footnote reference"/>
    <w:basedOn w:val="DefaultParagraphFont"/>
    <w:uiPriority w:val="99"/>
    <w:semiHidden/>
    <w:unhideWhenUsed/>
    <w:rsid w:val="00A55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A2A8-EEEC-4095-A680-10EDCBAC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Deanne Kulchyski</cp:lastModifiedBy>
  <cp:revision>17</cp:revision>
  <cp:lastPrinted>2020-01-20T15:15:00Z</cp:lastPrinted>
  <dcterms:created xsi:type="dcterms:W3CDTF">2020-01-20T19:56:00Z</dcterms:created>
  <dcterms:modified xsi:type="dcterms:W3CDTF">2020-01-21T21:43:00Z</dcterms:modified>
</cp:coreProperties>
</file>