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92E61" w14:textId="77777777" w:rsidR="007C6C8F" w:rsidRPr="004D17AB" w:rsidRDefault="007C6C8F" w:rsidP="007C6C8F">
      <w:pPr>
        <w:autoSpaceDE w:val="0"/>
        <w:autoSpaceDN w:val="0"/>
        <w:adjustRightInd w:val="0"/>
        <w:spacing w:after="0" w:line="240" w:lineRule="auto"/>
        <w:jc w:val="right"/>
        <w:rPr>
          <w:rFonts w:cs="Arial"/>
          <w:color w:val="000000"/>
          <w:lang w:val="en-CA"/>
        </w:rPr>
      </w:pPr>
      <w:r>
        <w:rPr>
          <w:rFonts w:cs="Arial"/>
          <w:bCs/>
          <w:color w:val="000000"/>
        </w:rPr>
        <w:t>Wasaga Distribution Inc.</w:t>
      </w:r>
      <w:r w:rsidRPr="004D17AB">
        <w:rPr>
          <w:rFonts w:cs="Arial"/>
          <w:bCs/>
          <w:color w:val="000000"/>
          <w:lang w:val="en-CA"/>
        </w:rPr>
        <w:t xml:space="preserve"> </w:t>
      </w:r>
    </w:p>
    <w:p w14:paraId="5BE4FD81" w14:textId="77777777" w:rsidR="007C6C8F" w:rsidRPr="004D17AB" w:rsidRDefault="007C6C8F" w:rsidP="007C6C8F">
      <w:pPr>
        <w:autoSpaceDE w:val="0"/>
        <w:autoSpaceDN w:val="0"/>
        <w:adjustRightInd w:val="0"/>
        <w:spacing w:after="0" w:line="240" w:lineRule="auto"/>
        <w:jc w:val="right"/>
        <w:rPr>
          <w:rFonts w:cs="Arial"/>
          <w:color w:val="000000"/>
          <w:lang w:val="en-CA"/>
        </w:rPr>
      </w:pPr>
      <w:r w:rsidRPr="004D17AB">
        <w:rPr>
          <w:rFonts w:cs="Arial"/>
          <w:color w:val="000000"/>
          <w:lang w:val="en-CA"/>
        </w:rPr>
        <w:t>OEB Staff Questions</w:t>
      </w:r>
    </w:p>
    <w:p w14:paraId="7ADE1587" w14:textId="77777777" w:rsidR="007C6C8F" w:rsidRDefault="007C6C8F" w:rsidP="007C6C8F">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EB-2019-007</w:t>
      </w:r>
      <w:r w:rsidRPr="004D17AB">
        <w:rPr>
          <w:rFonts w:cs="Arial"/>
        </w:rPr>
        <w:t>0</w:t>
      </w:r>
    </w:p>
    <w:p w14:paraId="34ECC9D0" w14:textId="77777777" w:rsidR="007C6C8F" w:rsidRDefault="007C6C8F">
      <w:pPr>
        <w:rPr>
          <w:b/>
          <w:u w:val="single"/>
        </w:rPr>
      </w:pPr>
    </w:p>
    <w:p w14:paraId="7B070E72" w14:textId="53DFA73B" w:rsidR="007C6C8F" w:rsidRPr="004D17AB" w:rsidRDefault="00027D78" w:rsidP="007C6C8F">
      <w:pPr>
        <w:pStyle w:val="Default"/>
        <w:jc w:val="center"/>
        <w:rPr>
          <w:rFonts w:ascii="Arial" w:hAnsi="Arial" w:cs="Arial"/>
        </w:rPr>
      </w:pPr>
      <w:r>
        <w:rPr>
          <w:rFonts w:ascii="Arial" w:hAnsi="Arial" w:cs="Arial"/>
          <w:b/>
          <w:bCs/>
        </w:rPr>
        <w:t>Wasaga Distribution Inc.</w:t>
      </w:r>
      <w:r w:rsidR="007C6C8F" w:rsidRPr="004D17AB">
        <w:rPr>
          <w:rFonts w:ascii="Arial" w:hAnsi="Arial" w:cs="Arial"/>
          <w:b/>
          <w:bCs/>
        </w:rPr>
        <w:t xml:space="preserve">  </w:t>
      </w:r>
    </w:p>
    <w:p w14:paraId="58C21C1B" w14:textId="145B98DF" w:rsidR="007C6C8F" w:rsidRDefault="007C6C8F" w:rsidP="00027D78">
      <w:pPr>
        <w:jc w:val="center"/>
        <w:rPr>
          <w:b/>
          <w:u w:val="single"/>
        </w:rPr>
      </w:pPr>
      <w:r w:rsidRPr="004D17AB">
        <w:rPr>
          <w:rFonts w:cs="Arial"/>
          <w:b/>
          <w:bCs/>
          <w:sz w:val="24"/>
          <w:szCs w:val="24"/>
        </w:rPr>
        <w:t>EB-2019-00</w:t>
      </w:r>
      <w:r w:rsidR="00027D78">
        <w:rPr>
          <w:rFonts w:cs="Arial"/>
          <w:b/>
          <w:bCs/>
          <w:sz w:val="24"/>
          <w:szCs w:val="24"/>
        </w:rPr>
        <w:t>70</w:t>
      </w:r>
    </w:p>
    <w:p w14:paraId="29BD18D8" w14:textId="77777777" w:rsidR="007C6C8F" w:rsidRDefault="007C6C8F">
      <w:pPr>
        <w:rPr>
          <w:b/>
          <w:u w:val="single"/>
        </w:rPr>
      </w:pPr>
    </w:p>
    <w:p w14:paraId="7490ABB6" w14:textId="696FAEE4" w:rsidR="00F02D7D" w:rsidRPr="005C7C01" w:rsidRDefault="00CD5C5E">
      <w:pPr>
        <w:rPr>
          <w:rFonts w:cs="Arial"/>
          <w:b/>
          <w:sz w:val="24"/>
          <w:szCs w:val="24"/>
          <w:u w:val="single"/>
        </w:rPr>
      </w:pPr>
      <w:r w:rsidRPr="005C7C01">
        <w:rPr>
          <w:rFonts w:cs="Arial"/>
          <w:b/>
          <w:sz w:val="24"/>
          <w:szCs w:val="24"/>
        </w:rPr>
        <w:t>Staff Question-1</w:t>
      </w:r>
    </w:p>
    <w:p w14:paraId="6D18574E" w14:textId="77777777" w:rsidR="00F02D7D" w:rsidRPr="005C7C01" w:rsidRDefault="00F02D7D" w:rsidP="005C7C01">
      <w:pPr>
        <w:rPr>
          <w:rFonts w:cs="Arial"/>
          <w:b/>
          <w:sz w:val="24"/>
          <w:szCs w:val="24"/>
        </w:rPr>
      </w:pPr>
      <w:r w:rsidRPr="005C7C01">
        <w:rPr>
          <w:rFonts w:cs="Arial"/>
          <w:b/>
          <w:sz w:val="24"/>
          <w:szCs w:val="24"/>
        </w:rPr>
        <w:t>Ref: Manager’s Summary, page 16</w:t>
      </w:r>
    </w:p>
    <w:p w14:paraId="59DA44A5" w14:textId="77777777" w:rsidR="00F02D7D" w:rsidRPr="005C7C01" w:rsidRDefault="00F02D7D" w:rsidP="00F02D7D">
      <w:pPr>
        <w:rPr>
          <w:rFonts w:cs="Arial"/>
          <w:sz w:val="24"/>
          <w:szCs w:val="24"/>
        </w:rPr>
      </w:pPr>
      <w:r w:rsidRPr="005C7C01">
        <w:rPr>
          <w:rFonts w:cs="Arial"/>
          <w:sz w:val="24"/>
          <w:szCs w:val="24"/>
        </w:rPr>
        <w:t xml:space="preserve">It states that Wasaga Distribution is confident that after studying the new accounting guidance and reviewing Wasaga Distribution’s 2017 balance that the balances are accurate and complete. The new accounting guidance was effective January 1, 2019 and to be implemented by August 31, 2019. </w:t>
      </w:r>
    </w:p>
    <w:p w14:paraId="25884AC8" w14:textId="77777777" w:rsidR="00F02D7D" w:rsidRPr="005C7C01" w:rsidRDefault="00F02D7D" w:rsidP="00F02D7D">
      <w:pPr>
        <w:pStyle w:val="ListParagraph"/>
        <w:numPr>
          <w:ilvl w:val="0"/>
          <w:numId w:val="1"/>
        </w:numPr>
        <w:rPr>
          <w:rFonts w:cs="Arial"/>
          <w:sz w:val="24"/>
          <w:szCs w:val="24"/>
        </w:rPr>
      </w:pPr>
      <w:r w:rsidRPr="005C7C01">
        <w:rPr>
          <w:rFonts w:cs="Arial"/>
          <w:sz w:val="24"/>
          <w:szCs w:val="24"/>
        </w:rPr>
        <w:t>Please confirm that Wasaga Distribution implemented the accounting guidance by August 31, 2019. If not, please explain when the accounting guidance was implemented.</w:t>
      </w:r>
    </w:p>
    <w:p w14:paraId="78A99027" w14:textId="77777777" w:rsidR="00F02D7D" w:rsidRPr="005C7C01" w:rsidRDefault="00F02D7D" w:rsidP="00F02D7D">
      <w:pPr>
        <w:pStyle w:val="ListParagraph"/>
        <w:numPr>
          <w:ilvl w:val="0"/>
          <w:numId w:val="1"/>
        </w:numPr>
        <w:rPr>
          <w:rFonts w:cs="Arial"/>
          <w:sz w:val="24"/>
          <w:szCs w:val="24"/>
        </w:rPr>
      </w:pPr>
      <w:r w:rsidRPr="005C7C01">
        <w:rPr>
          <w:rFonts w:cs="Arial"/>
          <w:sz w:val="24"/>
          <w:szCs w:val="24"/>
        </w:rPr>
        <w:t>Please confirm that the accounting guidance was implemented retroactive to January 1, 2019. If not</w:t>
      </w:r>
      <w:r w:rsidR="0099556B" w:rsidRPr="005C7C01">
        <w:rPr>
          <w:rFonts w:cs="Arial"/>
          <w:sz w:val="24"/>
          <w:szCs w:val="24"/>
        </w:rPr>
        <w:t>,</w:t>
      </w:r>
      <w:r w:rsidRPr="005C7C01">
        <w:rPr>
          <w:rFonts w:cs="Arial"/>
          <w:sz w:val="24"/>
          <w:szCs w:val="24"/>
        </w:rPr>
        <w:t xml:space="preserve"> please explain when the retroactive implementation will be completed.</w:t>
      </w:r>
    </w:p>
    <w:p w14:paraId="1C0C1C89" w14:textId="77777777" w:rsidR="00F02D7D" w:rsidRPr="005C7C01" w:rsidRDefault="00F02D7D" w:rsidP="00F02D7D">
      <w:pPr>
        <w:pStyle w:val="ListParagraph"/>
        <w:numPr>
          <w:ilvl w:val="0"/>
          <w:numId w:val="1"/>
        </w:numPr>
        <w:rPr>
          <w:rFonts w:cs="Arial"/>
          <w:sz w:val="24"/>
          <w:szCs w:val="24"/>
        </w:rPr>
      </w:pPr>
      <w:r w:rsidRPr="005C7C01">
        <w:rPr>
          <w:rFonts w:cs="Arial"/>
          <w:sz w:val="24"/>
          <w:szCs w:val="24"/>
        </w:rPr>
        <w:t>Please provide further details on the review that was completed, and any summary reports available (e.g. how the review was done).</w:t>
      </w:r>
    </w:p>
    <w:p w14:paraId="17AF6AB2" w14:textId="77777777" w:rsidR="00F02D7D" w:rsidRPr="005C7C01" w:rsidRDefault="00F02D7D" w:rsidP="00F02D7D">
      <w:pPr>
        <w:pStyle w:val="ListParagraph"/>
        <w:numPr>
          <w:ilvl w:val="0"/>
          <w:numId w:val="1"/>
        </w:numPr>
        <w:rPr>
          <w:rFonts w:cs="Arial"/>
          <w:sz w:val="24"/>
          <w:szCs w:val="24"/>
        </w:rPr>
      </w:pPr>
      <w:r w:rsidRPr="005C7C01">
        <w:rPr>
          <w:rFonts w:cs="Arial"/>
          <w:sz w:val="24"/>
          <w:szCs w:val="24"/>
        </w:rPr>
        <w:t xml:space="preserve">Please confirm that there are no systemic issues with the </w:t>
      </w:r>
      <w:r w:rsidR="004D291B" w:rsidRPr="005C7C01">
        <w:rPr>
          <w:rFonts w:cs="Arial"/>
          <w:sz w:val="24"/>
          <w:szCs w:val="24"/>
        </w:rPr>
        <w:t>Wasaga Distribution’s</w:t>
      </w:r>
      <w:r w:rsidRPr="005C7C01">
        <w:rPr>
          <w:rFonts w:cs="Arial"/>
          <w:sz w:val="24"/>
          <w:szCs w:val="24"/>
        </w:rPr>
        <w:t xml:space="preserve"> RPP settlement and related accounting processes noted during the review.</w:t>
      </w:r>
    </w:p>
    <w:p w14:paraId="3F9CE79C" w14:textId="77777777" w:rsidR="00F02D7D" w:rsidRPr="005C7C01" w:rsidRDefault="00F02D7D" w:rsidP="00F02D7D">
      <w:pPr>
        <w:pStyle w:val="ListParagraph"/>
        <w:numPr>
          <w:ilvl w:val="0"/>
          <w:numId w:val="1"/>
        </w:numPr>
        <w:rPr>
          <w:rFonts w:cs="Arial"/>
          <w:sz w:val="24"/>
          <w:szCs w:val="24"/>
        </w:rPr>
      </w:pPr>
      <w:r w:rsidRPr="005C7C01">
        <w:rPr>
          <w:rFonts w:cs="Arial"/>
          <w:sz w:val="24"/>
          <w:szCs w:val="24"/>
        </w:rPr>
        <w:t>If not confirmed, please explain the systemic issues, describe and quantify any adjustments identified and provide an assessment on the materiality of the adjustments.</w:t>
      </w:r>
    </w:p>
    <w:p w14:paraId="016E2750" w14:textId="77777777" w:rsidR="00F02D7D" w:rsidRPr="005C7C01" w:rsidRDefault="00F02D7D" w:rsidP="00F02D7D">
      <w:pPr>
        <w:rPr>
          <w:rFonts w:cs="Arial"/>
          <w:sz w:val="24"/>
          <w:szCs w:val="24"/>
        </w:rPr>
      </w:pPr>
    </w:p>
    <w:p w14:paraId="68F16C69" w14:textId="0C8394F7" w:rsidR="00CD5C5E" w:rsidRPr="005C7C01" w:rsidRDefault="00CD5C5E" w:rsidP="001E4BC3">
      <w:pPr>
        <w:rPr>
          <w:rFonts w:cs="Arial"/>
          <w:b/>
          <w:sz w:val="24"/>
          <w:szCs w:val="24"/>
          <w:u w:val="single"/>
        </w:rPr>
      </w:pPr>
      <w:r w:rsidRPr="005C7C01">
        <w:rPr>
          <w:rFonts w:cs="Arial"/>
          <w:b/>
          <w:sz w:val="24"/>
          <w:szCs w:val="24"/>
        </w:rPr>
        <w:t>Staff Question-2</w:t>
      </w:r>
    </w:p>
    <w:p w14:paraId="79E6E128" w14:textId="6E19A590" w:rsidR="001E4BC3" w:rsidRPr="005C7C01" w:rsidRDefault="001E4BC3" w:rsidP="001E4BC3">
      <w:pPr>
        <w:contextualSpacing/>
        <w:rPr>
          <w:rFonts w:cs="Arial"/>
          <w:b/>
          <w:sz w:val="24"/>
          <w:szCs w:val="24"/>
        </w:rPr>
      </w:pPr>
      <w:r w:rsidRPr="005C7C01">
        <w:rPr>
          <w:rFonts w:cs="Arial"/>
          <w:b/>
          <w:sz w:val="24"/>
          <w:szCs w:val="24"/>
        </w:rPr>
        <w:t>Ref: Manager’s Summary, page 16</w:t>
      </w:r>
    </w:p>
    <w:p w14:paraId="2958A51C" w14:textId="5FEEF7E9" w:rsidR="001E4BC3" w:rsidRPr="005C7C01" w:rsidRDefault="005C7C01" w:rsidP="00A70823">
      <w:pPr>
        <w:rPr>
          <w:rFonts w:cs="Arial"/>
          <w:b/>
          <w:sz w:val="24"/>
          <w:szCs w:val="24"/>
        </w:rPr>
      </w:pPr>
      <w:r>
        <w:rPr>
          <w:rFonts w:cs="Arial"/>
          <w:b/>
          <w:sz w:val="24"/>
          <w:szCs w:val="24"/>
        </w:rPr>
        <w:t xml:space="preserve">        </w:t>
      </w:r>
      <w:r w:rsidR="001E4BC3" w:rsidRPr="005C7C01">
        <w:rPr>
          <w:rFonts w:cs="Arial"/>
          <w:b/>
          <w:sz w:val="24"/>
          <w:szCs w:val="24"/>
        </w:rPr>
        <w:t xml:space="preserve">Appendix 4 and 5, GA Methodology Description </w:t>
      </w:r>
    </w:p>
    <w:p w14:paraId="770A6074" w14:textId="72E50C62" w:rsidR="001E4BC3" w:rsidRPr="005C7C01" w:rsidRDefault="001E4BC3" w:rsidP="001E4BC3">
      <w:pPr>
        <w:contextualSpacing/>
        <w:rPr>
          <w:rFonts w:cs="Arial"/>
          <w:sz w:val="24"/>
          <w:szCs w:val="24"/>
        </w:rPr>
      </w:pPr>
      <w:r w:rsidRPr="005C7C01">
        <w:rPr>
          <w:rFonts w:cs="Arial"/>
          <w:sz w:val="24"/>
          <w:szCs w:val="24"/>
        </w:rPr>
        <w:t xml:space="preserve">In </w:t>
      </w:r>
      <w:r w:rsidR="004D291B" w:rsidRPr="005C7C01">
        <w:rPr>
          <w:rFonts w:cs="Arial"/>
          <w:sz w:val="24"/>
          <w:szCs w:val="24"/>
        </w:rPr>
        <w:t>response to 11</w:t>
      </w:r>
      <w:r w:rsidRPr="005C7C01">
        <w:rPr>
          <w:rFonts w:cs="Arial"/>
          <w:sz w:val="24"/>
          <w:szCs w:val="24"/>
        </w:rPr>
        <w:t xml:space="preserve">a in Appendix 4 and 5 for 2017 and 2018, Wasaga Distribution </w:t>
      </w:r>
      <w:r w:rsidR="004D291B" w:rsidRPr="005C7C01">
        <w:rPr>
          <w:rFonts w:cs="Arial"/>
          <w:sz w:val="24"/>
          <w:szCs w:val="24"/>
        </w:rPr>
        <w:t>indicated it</w:t>
      </w:r>
      <w:r w:rsidRPr="005C7C01">
        <w:rPr>
          <w:rFonts w:cs="Arial"/>
          <w:sz w:val="24"/>
          <w:szCs w:val="24"/>
        </w:rPr>
        <w:t xml:space="preserve"> uses the GA first estimate for RPP settlements. In response to 11d, true-ups are done on a quarterly basis. This approach is different than that described in the new accounting guidance, where GA second estimate is used for RPP settlements and true-ups are done on a monthly basis. Please confirm that Wasaga Distribution have revised these practices to be in line with the new accounting guidance for 2019 balances. </w:t>
      </w:r>
      <w:r w:rsidR="004D291B" w:rsidRPr="005C7C01">
        <w:rPr>
          <w:rFonts w:cs="Arial"/>
          <w:sz w:val="24"/>
          <w:szCs w:val="24"/>
        </w:rPr>
        <w:t>If not, please further discuss, with consideration to the response provided in the above question</w:t>
      </w:r>
      <w:r w:rsidR="005C7C01">
        <w:rPr>
          <w:rFonts w:cs="Arial"/>
          <w:sz w:val="24"/>
          <w:szCs w:val="24"/>
        </w:rPr>
        <w:t xml:space="preserve"> (Staff-1)</w:t>
      </w:r>
      <w:r w:rsidR="004D291B" w:rsidRPr="005C7C01">
        <w:rPr>
          <w:rFonts w:cs="Arial"/>
          <w:sz w:val="24"/>
          <w:szCs w:val="24"/>
        </w:rPr>
        <w:t>.</w:t>
      </w:r>
    </w:p>
    <w:p w14:paraId="64234616" w14:textId="77777777" w:rsidR="001E4BC3" w:rsidRPr="005C7C01" w:rsidRDefault="001E4BC3" w:rsidP="00F02D7D">
      <w:pPr>
        <w:rPr>
          <w:rFonts w:cs="Arial"/>
          <w:b/>
          <w:sz w:val="24"/>
          <w:szCs w:val="24"/>
        </w:rPr>
      </w:pPr>
    </w:p>
    <w:p w14:paraId="41D2E710" w14:textId="275B0D45" w:rsidR="00CD5C5E" w:rsidRPr="005C7C01" w:rsidRDefault="00CD5C5E" w:rsidP="00357C80">
      <w:pPr>
        <w:rPr>
          <w:rFonts w:cs="Arial"/>
          <w:b/>
          <w:sz w:val="24"/>
          <w:szCs w:val="24"/>
          <w:u w:val="single"/>
        </w:rPr>
      </w:pPr>
      <w:r w:rsidRPr="005C7C01">
        <w:rPr>
          <w:rFonts w:cs="Arial"/>
          <w:b/>
          <w:sz w:val="24"/>
          <w:szCs w:val="24"/>
        </w:rPr>
        <w:t>Staff Question-3</w:t>
      </w:r>
    </w:p>
    <w:p w14:paraId="3844B540" w14:textId="2EF68180" w:rsidR="00357C80" w:rsidRPr="005C7C01" w:rsidRDefault="00F02D7D" w:rsidP="00357C80">
      <w:pPr>
        <w:contextualSpacing/>
        <w:rPr>
          <w:rFonts w:cs="Arial"/>
          <w:b/>
          <w:sz w:val="24"/>
          <w:szCs w:val="24"/>
        </w:rPr>
      </w:pPr>
      <w:r w:rsidRPr="005C7C01">
        <w:rPr>
          <w:rFonts w:cs="Arial"/>
          <w:b/>
          <w:sz w:val="24"/>
          <w:szCs w:val="24"/>
        </w:rPr>
        <w:t>Ref: Tab 3, Rate Generator Model</w:t>
      </w:r>
    </w:p>
    <w:p w14:paraId="3EEA2A5F" w14:textId="0D39CA7D" w:rsidR="00357C80" w:rsidRPr="005C7C01" w:rsidRDefault="005C7C01" w:rsidP="00A70823">
      <w:pPr>
        <w:rPr>
          <w:rFonts w:cs="Arial"/>
          <w:b/>
          <w:sz w:val="24"/>
          <w:szCs w:val="24"/>
        </w:rPr>
      </w:pPr>
      <w:r>
        <w:rPr>
          <w:rFonts w:cs="Arial"/>
          <w:b/>
          <w:sz w:val="24"/>
          <w:szCs w:val="24"/>
        </w:rPr>
        <w:t xml:space="preserve">        </w:t>
      </w:r>
      <w:r w:rsidR="00357C80" w:rsidRPr="005C7C01">
        <w:rPr>
          <w:rFonts w:cs="Arial"/>
          <w:b/>
          <w:sz w:val="24"/>
          <w:szCs w:val="24"/>
        </w:rPr>
        <w:t>2018 GA Analysis Workform</w:t>
      </w:r>
    </w:p>
    <w:p w14:paraId="16854132" w14:textId="1E62DBA8" w:rsidR="00357C80" w:rsidRPr="005C7C01" w:rsidRDefault="00F02D7D" w:rsidP="00F02D7D">
      <w:pPr>
        <w:rPr>
          <w:rFonts w:cs="Arial"/>
          <w:sz w:val="24"/>
          <w:szCs w:val="24"/>
        </w:rPr>
      </w:pPr>
      <w:r w:rsidRPr="005C7C01">
        <w:rPr>
          <w:rFonts w:cs="Arial"/>
          <w:sz w:val="24"/>
          <w:szCs w:val="24"/>
        </w:rPr>
        <w:t xml:space="preserve">Wasaga </w:t>
      </w:r>
      <w:r w:rsidR="007D3D80" w:rsidRPr="005C7C01">
        <w:rPr>
          <w:rFonts w:cs="Arial"/>
          <w:sz w:val="24"/>
          <w:szCs w:val="24"/>
        </w:rPr>
        <w:t xml:space="preserve">Distribution </w:t>
      </w:r>
      <w:r w:rsidRPr="005C7C01">
        <w:rPr>
          <w:rFonts w:cs="Arial"/>
          <w:sz w:val="24"/>
          <w:szCs w:val="24"/>
        </w:rPr>
        <w:t xml:space="preserve">last disposed its 2017 balances on an interim basis. </w:t>
      </w:r>
      <w:r w:rsidR="007D3D80" w:rsidRPr="005C7C01">
        <w:rPr>
          <w:rFonts w:cs="Arial"/>
          <w:sz w:val="24"/>
          <w:szCs w:val="24"/>
        </w:rPr>
        <w:t xml:space="preserve">Per the instructions of the DVA Continuity Schedule, the closing 2017 balances should be inputted into the 2017 Adjustments columns (columns AV and BA). The 2018 transactions (column BD) should only reflect 2018 transactions in Wasaga Distribution’s GL (separating out approved dispositions in column BE). </w:t>
      </w:r>
    </w:p>
    <w:p w14:paraId="1122E92B" w14:textId="77777777" w:rsidR="00F02D7D" w:rsidRPr="005C7C01" w:rsidRDefault="007D3D80" w:rsidP="00357C80">
      <w:pPr>
        <w:pStyle w:val="ListParagraph"/>
        <w:numPr>
          <w:ilvl w:val="0"/>
          <w:numId w:val="5"/>
        </w:numPr>
        <w:rPr>
          <w:rFonts w:cs="Arial"/>
          <w:sz w:val="24"/>
          <w:szCs w:val="24"/>
        </w:rPr>
      </w:pPr>
      <w:r w:rsidRPr="005C7C01">
        <w:rPr>
          <w:rFonts w:cs="Arial"/>
          <w:sz w:val="24"/>
          <w:szCs w:val="24"/>
        </w:rPr>
        <w:t xml:space="preserve">Please revise the DVA Continuity Schedule. </w:t>
      </w:r>
    </w:p>
    <w:p w14:paraId="5A724CEF" w14:textId="7D19D17B" w:rsidR="00F02D7D" w:rsidRPr="00A70823" w:rsidRDefault="00357C80" w:rsidP="00A70823">
      <w:pPr>
        <w:pStyle w:val="ListParagraph"/>
        <w:numPr>
          <w:ilvl w:val="0"/>
          <w:numId w:val="5"/>
        </w:numPr>
        <w:rPr>
          <w:rFonts w:cs="Arial"/>
          <w:sz w:val="24"/>
          <w:szCs w:val="24"/>
        </w:rPr>
      </w:pPr>
      <w:r w:rsidRPr="005C7C01">
        <w:rPr>
          <w:rFonts w:cs="Arial"/>
          <w:sz w:val="24"/>
          <w:szCs w:val="24"/>
        </w:rPr>
        <w:t xml:space="preserve">Please ensure that the “net change in principal balance in the GL” in the 2018 GA Analysis Workform agrees to the 2018 transactions in the DVA Continuity Schedule after the revision. </w:t>
      </w:r>
      <w:r w:rsidR="004D291B" w:rsidRPr="005C7C01">
        <w:rPr>
          <w:rFonts w:cs="Arial"/>
          <w:sz w:val="24"/>
          <w:szCs w:val="24"/>
        </w:rPr>
        <w:t>Please revise the 2018 GA Analysis Workform as necessary.</w:t>
      </w:r>
    </w:p>
    <w:p w14:paraId="2DCF7A08" w14:textId="77777777" w:rsidR="007C06F9" w:rsidRDefault="007C06F9" w:rsidP="002B1566">
      <w:pPr>
        <w:rPr>
          <w:rFonts w:cs="Arial"/>
          <w:b/>
          <w:sz w:val="24"/>
          <w:szCs w:val="24"/>
        </w:rPr>
      </w:pPr>
    </w:p>
    <w:p w14:paraId="3137AFFA" w14:textId="789CAE16" w:rsidR="00CD5C5E" w:rsidRPr="00A70823" w:rsidRDefault="00CD5C5E" w:rsidP="002B1566">
      <w:pPr>
        <w:rPr>
          <w:rFonts w:cs="Arial"/>
          <w:b/>
          <w:sz w:val="24"/>
          <w:szCs w:val="24"/>
        </w:rPr>
      </w:pPr>
      <w:r w:rsidRPr="005C7C01">
        <w:rPr>
          <w:rFonts w:cs="Arial"/>
          <w:b/>
          <w:sz w:val="24"/>
          <w:szCs w:val="24"/>
        </w:rPr>
        <w:t>Staff Question-4</w:t>
      </w:r>
    </w:p>
    <w:p w14:paraId="6DFE4C95" w14:textId="6B18CB2F" w:rsidR="002B1566" w:rsidRPr="005C7C01" w:rsidRDefault="002B1566" w:rsidP="00A70823">
      <w:pPr>
        <w:rPr>
          <w:rFonts w:cs="Arial"/>
          <w:b/>
          <w:sz w:val="24"/>
          <w:szCs w:val="24"/>
        </w:rPr>
      </w:pPr>
      <w:r w:rsidRPr="005C7C01">
        <w:rPr>
          <w:rFonts w:cs="Arial"/>
          <w:b/>
          <w:sz w:val="24"/>
          <w:szCs w:val="24"/>
        </w:rPr>
        <w:t>Ref: Tab 3, Rate Generator Model</w:t>
      </w:r>
    </w:p>
    <w:p w14:paraId="4FCCCF36" w14:textId="2E0F615F" w:rsidR="002B1566" w:rsidRPr="005C7C01" w:rsidRDefault="002B1566" w:rsidP="002B1566">
      <w:pPr>
        <w:rPr>
          <w:rFonts w:cs="Arial"/>
          <w:sz w:val="24"/>
          <w:szCs w:val="24"/>
        </w:rPr>
      </w:pPr>
      <w:r w:rsidRPr="005C7C01">
        <w:rPr>
          <w:rFonts w:cs="Arial"/>
          <w:sz w:val="24"/>
          <w:szCs w:val="24"/>
        </w:rPr>
        <w:t>Account 1588 transactions for 2018 appears to be ($228,907)</w:t>
      </w:r>
      <w:r w:rsidR="004D291B" w:rsidRPr="005C7C01">
        <w:rPr>
          <w:rFonts w:cs="Arial"/>
          <w:sz w:val="24"/>
          <w:szCs w:val="24"/>
        </w:rPr>
        <w:t xml:space="preserve"> after removing the opening balance from the transactions shown in the DVA Continuity Schedule</w:t>
      </w:r>
      <w:r w:rsidRPr="005C7C01">
        <w:rPr>
          <w:rFonts w:cs="Arial"/>
          <w:sz w:val="24"/>
          <w:szCs w:val="24"/>
        </w:rPr>
        <w:t>. Typically, large balances are not expected for Account 1588 as it should only hold the difference between actual and approved line losses. Please explain the high 2018 transactions for Account 1588 in consideration of line losses.</w:t>
      </w:r>
    </w:p>
    <w:p w14:paraId="7F3637C9" w14:textId="77777777" w:rsidR="002B1566" w:rsidRPr="005C7C01" w:rsidRDefault="002B1566">
      <w:pPr>
        <w:rPr>
          <w:rFonts w:cs="Arial"/>
          <w:sz w:val="24"/>
          <w:szCs w:val="24"/>
        </w:rPr>
      </w:pPr>
    </w:p>
    <w:p w14:paraId="32F19639" w14:textId="634242ED" w:rsidR="00CD5C5E" w:rsidRPr="005C7C01" w:rsidRDefault="00CD5C5E">
      <w:pPr>
        <w:rPr>
          <w:rFonts w:cs="Arial"/>
          <w:b/>
          <w:sz w:val="24"/>
          <w:szCs w:val="24"/>
          <w:u w:val="single"/>
        </w:rPr>
      </w:pPr>
      <w:r w:rsidRPr="005C7C01">
        <w:rPr>
          <w:rFonts w:cs="Arial"/>
          <w:b/>
          <w:sz w:val="24"/>
          <w:szCs w:val="24"/>
        </w:rPr>
        <w:t>Staff Question-5</w:t>
      </w:r>
    </w:p>
    <w:p w14:paraId="5E070CCF" w14:textId="380F02F7" w:rsidR="007D3D80" w:rsidRPr="005C7C01" w:rsidRDefault="007D3D80">
      <w:pPr>
        <w:rPr>
          <w:rFonts w:cs="Arial"/>
          <w:b/>
          <w:sz w:val="24"/>
          <w:szCs w:val="24"/>
        </w:rPr>
      </w:pPr>
      <w:r w:rsidRPr="005C7C01">
        <w:rPr>
          <w:rFonts w:cs="Arial"/>
          <w:b/>
          <w:sz w:val="24"/>
          <w:szCs w:val="24"/>
        </w:rPr>
        <w:t xml:space="preserve">Ref: Appendix 4 and 5, GA Methodology Description </w:t>
      </w:r>
    </w:p>
    <w:p w14:paraId="4F834587" w14:textId="77777777" w:rsidR="007D3D80" w:rsidRPr="005C7C01" w:rsidRDefault="007D3D80" w:rsidP="007D3D80">
      <w:pPr>
        <w:pStyle w:val="ListParagraph"/>
        <w:numPr>
          <w:ilvl w:val="0"/>
          <w:numId w:val="3"/>
        </w:numPr>
        <w:rPr>
          <w:rFonts w:cs="Arial"/>
          <w:sz w:val="24"/>
          <w:szCs w:val="24"/>
        </w:rPr>
      </w:pPr>
      <w:r w:rsidRPr="005C7C01">
        <w:rPr>
          <w:rFonts w:cs="Arial"/>
          <w:sz w:val="24"/>
          <w:szCs w:val="24"/>
        </w:rPr>
        <w:t>In the 2017 Account 1588 reconciliation, the 2017 balance is ($310,857). This agrees to the 2018 Account 1588 balance in the DVA Continuity Schedule. Please explain what is the correct 2017 Account 1588 balance and revise the evidence as needed.</w:t>
      </w:r>
    </w:p>
    <w:p w14:paraId="7A0F2E32" w14:textId="77777777" w:rsidR="007D3D80" w:rsidRPr="005C7C01" w:rsidRDefault="007D3D80" w:rsidP="007D3D80">
      <w:pPr>
        <w:pStyle w:val="ListParagraph"/>
        <w:numPr>
          <w:ilvl w:val="0"/>
          <w:numId w:val="3"/>
        </w:numPr>
        <w:rPr>
          <w:rFonts w:cs="Arial"/>
          <w:sz w:val="24"/>
          <w:szCs w:val="24"/>
        </w:rPr>
      </w:pPr>
      <w:r w:rsidRPr="005C7C01">
        <w:rPr>
          <w:rFonts w:cs="Arial"/>
          <w:sz w:val="24"/>
          <w:szCs w:val="24"/>
        </w:rPr>
        <w:t xml:space="preserve">In the 2018 Account 1588 </w:t>
      </w:r>
      <w:r w:rsidR="00457029" w:rsidRPr="005C7C01">
        <w:rPr>
          <w:rFonts w:cs="Arial"/>
          <w:sz w:val="24"/>
          <w:szCs w:val="24"/>
        </w:rPr>
        <w:t>reconciliation</w:t>
      </w:r>
      <w:r w:rsidRPr="005C7C01">
        <w:rPr>
          <w:rFonts w:cs="Arial"/>
          <w:sz w:val="24"/>
          <w:szCs w:val="24"/>
        </w:rPr>
        <w:t>, the 2018 balance is ($228,906)</w:t>
      </w:r>
      <w:r w:rsidR="00457029" w:rsidRPr="005C7C01">
        <w:rPr>
          <w:rFonts w:cs="Arial"/>
          <w:sz w:val="24"/>
          <w:szCs w:val="24"/>
        </w:rPr>
        <w:t xml:space="preserve">. Please </w:t>
      </w:r>
      <w:r w:rsidR="004D291B" w:rsidRPr="005C7C01">
        <w:rPr>
          <w:rFonts w:cs="Arial"/>
          <w:sz w:val="24"/>
          <w:szCs w:val="24"/>
        </w:rPr>
        <w:t>confirm that this is the 2018 transactions and provide the</w:t>
      </w:r>
      <w:r w:rsidR="00457029" w:rsidRPr="005C7C01">
        <w:rPr>
          <w:rFonts w:cs="Arial"/>
          <w:sz w:val="24"/>
          <w:szCs w:val="24"/>
        </w:rPr>
        <w:t xml:space="preserve"> Account 1588 2018 balance.</w:t>
      </w:r>
    </w:p>
    <w:p w14:paraId="336C326B" w14:textId="0B89437A" w:rsidR="00365172" w:rsidRDefault="00365172" w:rsidP="00365172">
      <w:pPr>
        <w:rPr>
          <w:rFonts w:cs="Arial"/>
          <w:sz w:val="24"/>
          <w:szCs w:val="24"/>
        </w:rPr>
      </w:pPr>
    </w:p>
    <w:p w14:paraId="2BEE4622" w14:textId="6F0563A2" w:rsidR="007C06F9" w:rsidRDefault="007C06F9" w:rsidP="00365172">
      <w:pPr>
        <w:rPr>
          <w:rFonts w:cs="Arial"/>
          <w:sz w:val="24"/>
          <w:szCs w:val="24"/>
        </w:rPr>
      </w:pPr>
    </w:p>
    <w:p w14:paraId="3CCC4386" w14:textId="77777777" w:rsidR="007C06F9" w:rsidRPr="005C7C01" w:rsidRDefault="007C06F9" w:rsidP="00365172">
      <w:pPr>
        <w:rPr>
          <w:rFonts w:cs="Arial"/>
          <w:sz w:val="24"/>
          <w:szCs w:val="24"/>
        </w:rPr>
      </w:pPr>
    </w:p>
    <w:p w14:paraId="417E61CA" w14:textId="05DAC9EA" w:rsidR="00CD5C5E" w:rsidRPr="005C7C01" w:rsidRDefault="00CD5C5E" w:rsidP="00365172">
      <w:pPr>
        <w:rPr>
          <w:rFonts w:cs="Arial"/>
          <w:b/>
          <w:sz w:val="24"/>
          <w:szCs w:val="24"/>
          <w:u w:val="single"/>
        </w:rPr>
      </w:pPr>
      <w:r w:rsidRPr="005C7C01">
        <w:rPr>
          <w:rFonts w:cs="Arial"/>
          <w:b/>
          <w:sz w:val="24"/>
          <w:szCs w:val="24"/>
        </w:rPr>
        <w:lastRenderedPageBreak/>
        <w:t>Staff Question-6</w:t>
      </w:r>
    </w:p>
    <w:p w14:paraId="58D70F42" w14:textId="000E5924" w:rsidR="00365172" w:rsidRPr="005C7C01" w:rsidRDefault="00365172" w:rsidP="00365172">
      <w:pPr>
        <w:rPr>
          <w:rFonts w:cs="Arial"/>
          <w:b/>
          <w:sz w:val="24"/>
          <w:szCs w:val="24"/>
        </w:rPr>
      </w:pPr>
      <w:r w:rsidRPr="005C7C01">
        <w:rPr>
          <w:rFonts w:cs="Arial"/>
          <w:b/>
          <w:sz w:val="24"/>
          <w:szCs w:val="24"/>
        </w:rPr>
        <w:t xml:space="preserve">Ref: Appendix 4 and 5, GA Methodology Description </w:t>
      </w:r>
    </w:p>
    <w:p w14:paraId="4D712F64" w14:textId="77777777" w:rsidR="00365172" w:rsidRPr="005C7C01" w:rsidRDefault="00365172" w:rsidP="00365172">
      <w:pPr>
        <w:rPr>
          <w:rFonts w:cs="Arial"/>
          <w:sz w:val="24"/>
          <w:szCs w:val="24"/>
        </w:rPr>
      </w:pPr>
      <w:r w:rsidRPr="005C7C01">
        <w:rPr>
          <w:rFonts w:cs="Arial"/>
          <w:sz w:val="24"/>
          <w:szCs w:val="24"/>
        </w:rPr>
        <w:t xml:space="preserve">12b </w:t>
      </w:r>
      <w:r w:rsidR="00F77BE6" w:rsidRPr="005C7C01">
        <w:rPr>
          <w:rFonts w:cs="Arial"/>
          <w:sz w:val="24"/>
          <w:szCs w:val="24"/>
        </w:rPr>
        <w:t xml:space="preserve">for 2017 and 2018 </w:t>
      </w:r>
      <w:r w:rsidRPr="005C7C01">
        <w:rPr>
          <w:rFonts w:cs="Arial"/>
          <w:sz w:val="24"/>
          <w:szCs w:val="24"/>
        </w:rPr>
        <w:t xml:space="preserve">states that Wasaga Distribution does not find it necessary to true-up the GA related expenses because actual volumes from billing data are used to determine the split between RPP and non-RPP when posting GA costs. </w:t>
      </w:r>
    </w:p>
    <w:p w14:paraId="0A33F60F" w14:textId="77777777" w:rsidR="00365172" w:rsidRPr="005C7C01" w:rsidRDefault="00F77BE6" w:rsidP="00365172">
      <w:pPr>
        <w:pStyle w:val="ListParagraph"/>
        <w:numPr>
          <w:ilvl w:val="0"/>
          <w:numId w:val="4"/>
        </w:numPr>
        <w:rPr>
          <w:rFonts w:cs="Arial"/>
          <w:sz w:val="24"/>
          <w:szCs w:val="24"/>
        </w:rPr>
      </w:pPr>
      <w:r w:rsidRPr="005C7C01">
        <w:rPr>
          <w:rFonts w:cs="Arial"/>
          <w:sz w:val="24"/>
          <w:szCs w:val="24"/>
        </w:rPr>
        <w:t xml:space="preserve">Wasaga Distribution bills on a calendar month basis. </w:t>
      </w:r>
      <w:r w:rsidR="00365172" w:rsidRPr="005C7C01">
        <w:rPr>
          <w:rFonts w:cs="Arial"/>
          <w:sz w:val="24"/>
          <w:szCs w:val="24"/>
        </w:rPr>
        <w:t>Please explain the timing of when actual consumption from the billing data is available after the month-end.</w:t>
      </w:r>
    </w:p>
    <w:p w14:paraId="0673520D" w14:textId="77777777" w:rsidR="00365172" w:rsidRPr="005C7C01" w:rsidRDefault="00365172" w:rsidP="00365172">
      <w:pPr>
        <w:pStyle w:val="ListParagraph"/>
        <w:numPr>
          <w:ilvl w:val="0"/>
          <w:numId w:val="4"/>
        </w:numPr>
        <w:rPr>
          <w:rFonts w:cs="Arial"/>
          <w:sz w:val="24"/>
          <w:szCs w:val="24"/>
        </w:rPr>
      </w:pPr>
      <w:r w:rsidRPr="005C7C01">
        <w:rPr>
          <w:rFonts w:cs="Arial"/>
          <w:sz w:val="24"/>
          <w:szCs w:val="24"/>
        </w:rPr>
        <w:t>Please confirm that when Wasaga Distribution receives the IESO invoice for the prior month and proceeds to split charge type 148 between Accounts 1588 and 1589, actual consumption data from the billing system for the prior month is available and is used for the pro-ration.</w:t>
      </w:r>
    </w:p>
    <w:p w14:paraId="111F83D5" w14:textId="77777777" w:rsidR="00365172" w:rsidRPr="005C7C01" w:rsidRDefault="00365172" w:rsidP="00365172">
      <w:pPr>
        <w:pStyle w:val="ListParagraph"/>
        <w:numPr>
          <w:ilvl w:val="0"/>
          <w:numId w:val="4"/>
        </w:numPr>
        <w:rPr>
          <w:rFonts w:cs="Arial"/>
          <w:sz w:val="24"/>
          <w:szCs w:val="24"/>
        </w:rPr>
      </w:pPr>
      <w:r w:rsidRPr="005C7C01">
        <w:rPr>
          <w:rFonts w:cs="Arial"/>
          <w:sz w:val="24"/>
          <w:szCs w:val="24"/>
        </w:rPr>
        <w:t>If actual consumption from the prior month is not available yet, please explain why there is no need for a true-up.</w:t>
      </w:r>
      <w:r w:rsidR="003814AE" w:rsidRPr="005C7C01">
        <w:rPr>
          <w:rFonts w:cs="Arial"/>
          <w:sz w:val="24"/>
          <w:szCs w:val="24"/>
        </w:rPr>
        <w:t xml:space="preserve"> Please quantify true-ups for 2017 and 2018 balances as needed.</w:t>
      </w:r>
    </w:p>
    <w:p w14:paraId="01114452" w14:textId="77777777" w:rsidR="00C66382" w:rsidRPr="005C7C01" w:rsidRDefault="00C66382" w:rsidP="00C66382">
      <w:pPr>
        <w:rPr>
          <w:rFonts w:cs="Arial"/>
          <w:sz w:val="24"/>
          <w:szCs w:val="24"/>
        </w:rPr>
      </w:pPr>
    </w:p>
    <w:p w14:paraId="5F3EEF48" w14:textId="08363F84" w:rsidR="00CD5C5E" w:rsidRPr="005C7C01" w:rsidRDefault="00CD5C5E" w:rsidP="00CD5C5E">
      <w:pPr>
        <w:rPr>
          <w:rFonts w:cs="Arial"/>
          <w:b/>
          <w:sz w:val="24"/>
          <w:szCs w:val="24"/>
          <w:u w:val="single"/>
        </w:rPr>
      </w:pPr>
      <w:r w:rsidRPr="005C7C01">
        <w:rPr>
          <w:rFonts w:cs="Arial"/>
          <w:b/>
          <w:sz w:val="24"/>
          <w:szCs w:val="24"/>
        </w:rPr>
        <w:t>Staff Question-7</w:t>
      </w:r>
    </w:p>
    <w:p w14:paraId="0E76AB46" w14:textId="3580D04E" w:rsidR="00C66382" w:rsidRPr="005C7C01" w:rsidRDefault="00C66382" w:rsidP="00C66382">
      <w:pPr>
        <w:rPr>
          <w:rFonts w:cs="Arial"/>
          <w:b/>
          <w:sz w:val="24"/>
          <w:szCs w:val="24"/>
        </w:rPr>
      </w:pPr>
      <w:r w:rsidRPr="005C7C01">
        <w:rPr>
          <w:rFonts w:cs="Arial"/>
          <w:b/>
          <w:sz w:val="24"/>
          <w:szCs w:val="24"/>
        </w:rPr>
        <w:t>Ref: 2018 GA Analysis Workform</w:t>
      </w:r>
    </w:p>
    <w:p w14:paraId="799559B8" w14:textId="56EB57C2" w:rsidR="00C66382" w:rsidRPr="005C7C01" w:rsidRDefault="00C66382" w:rsidP="00C66382">
      <w:pPr>
        <w:rPr>
          <w:rFonts w:cs="Arial"/>
          <w:sz w:val="24"/>
          <w:szCs w:val="24"/>
        </w:rPr>
      </w:pPr>
      <w:r w:rsidRPr="005C7C01">
        <w:rPr>
          <w:rFonts w:cs="Arial"/>
          <w:sz w:val="24"/>
          <w:szCs w:val="24"/>
        </w:rPr>
        <w:t xml:space="preserve">The loss factor calculated on the GA Analysis Workform is 1.0043. Wasaga Distribution’s loss factor for secondary metered customer &lt;5,000 kWh is 1.0802. There is a 0.0759 difference. Please explain the difference and revise the GA Analysis Workform as needed. </w:t>
      </w:r>
    </w:p>
    <w:p w14:paraId="1D928645" w14:textId="1935C1E9" w:rsidR="00027D78" w:rsidRPr="005C7C01" w:rsidRDefault="00027D78" w:rsidP="00C66382">
      <w:pPr>
        <w:rPr>
          <w:rFonts w:cs="Arial"/>
          <w:sz w:val="24"/>
          <w:szCs w:val="24"/>
        </w:rPr>
      </w:pPr>
    </w:p>
    <w:p w14:paraId="242F554A" w14:textId="44407095" w:rsidR="00CD5C5E" w:rsidRPr="005C7C01" w:rsidRDefault="00CD5C5E" w:rsidP="00CD5C5E">
      <w:pPr>
        <w:rPr>
          <w:rFonts w:cs="Arial"/>
          <w:b/>
          <w:sz w:val="24"/>
          <w:szCs w:val="24"/>
          <w:u w:val="single"/>
        </w:rPr>
      </w:pPr>
      <w:r w:rsidRPr="005C7C01">
        <w:rPr>
          <w:rFonts w:cs="Arial"/>
          <w:b/>
          <w:sz w:val="24"/>
          <w:szCs w:val="24"/>
        </w:rPr>
        <w:t>Staff Question-8</w:t>
      </w:r>
      <w:bookmarkStart w:id="0" w:name="_GoBack"/>
      <w:bookmarkEnd w:id="0"/>
    </w:p>
    <w:p w14:paraId="323C88A4" w14:textId="42974654" w:rsidR="00027D78" w:rsidRPr="005C7C01" w:rsidRDefault="00CD5C5E" w:rsidP="00027D78">
      <w:pPr>
        <w:rPr>
          <w:rFonts w:cs="Arial"/>
          <w:b/>
          <w:sz w:val="24"/>
          <w:szCs w:val="24"/>
        </w:rPr>
      </w:pPr>
      <w:r w:rsidRPr="005C7C01">
        <w:rPr>
          <w:rFonts w:cs="Arial"/>
          <w:b/>
          <w:sz w:val="24"/>
          <w:szCs w:val="24"/>
        </w:rPr>
        <w:t xml:space="preserve">Ref: </w:t>
      </w:r>
      <w:r w:rsidR="00027D78" w:rsidRPr="005C7C01">
        <w:rPr>
          <w:rFonts w:cs="Arial"/>
          <w:b/>
          <w:sz w:val="24"/>
          <w:szCs w:val="24"/>
        </w:rPr>
        <w:t>Section 12, LRAMVA, Page 17</w:t>
      </w:r>
    </w:p>
    <w:p w14:paraId="5752CF7F" w14:textId="2CE78E63" w:rsidR="00027D78" w:rsidRPr="005C7C01" w:rsidRDefault="005C7C01" w:rsidP="00027D78">
      <w:pPr>
        <w:rPr>
          <w:rFonts w:cs="Arial"/>
          <w:sz w:val="24"/>
          <w:szCs w:val="24"/>
        </w:rPr>
      </w:pPr>
      <w:r w:rsidRPr="00A70823">
        <w:rPr>
          <w:rFonts w:cs="Arial"/>
          <w:sz w:val="24"/>
          <w:szCs w:val="24"/>
        </w:rPr>
        <w:t xml:space="preserve">Wasaga Distribution </w:t>
      </w:r>
      <w:r w:rsidR="00027D78" w:rsidRPr="00A70823">
        <w:rPr>
          <w:rFonts w:cs="Arial"/>
          <w:sz w:val="24"/>
          <w:szCs w:val="24"/>
        </w:rPr>
        <w:t>indicates</w:t>
      </w:r>
      <w:r w:rsidR="00027D78" w:rsidRPr="005C7C01">
        <w:rPr>
          <w:rFonts w:cs="Arial"/>
          <w:sz w:val="24"/>
          <w:szCs w:val="24"/>
        </w:rPr>
        <w:t xml:space="preserve"> it has a small principal balance of (</w:t>
      </w:r>
      <w:r w:rsidR="00A70823">
        <w:rPr>
          <w:rFonts w:cs="Arial"/>
          <w:sz w:val="24"/>
          <w:szCs w:val="24"/>
        </w:rPr>
        <w:t>$</w:t>
      </w:r>
      <w:r w:rsidR="00027D78" w:rsidRPr="005C7C01">
        <w:rPr>
          <w:rFonts w:cs="Arial"/>
          <w:sz w:val="24"/>
          <w:szCs w:val="24"/>
        </w:rPr>
        <w:t>2,338.75) and interest balance of (</w:t>
      </w:r>
      <w:r w:rsidR="00A70823">
        <w:rPr>
          <w:rFonts w:cs="Arial"/>
          <w:sz w:val="24"/>
          <w:szCs w:val="24"/>
        </w:rPr>
        <w:t>$</w:t>
      </w:r>
      <w:r w:rsidR="00027D78" w:rsidRPr="005C7C01">
        <w:rPr>
          <w:rFonts w:cs="Arial"/>
          <w:sz w:val="24"/>
          <w:szCs w:val="24"/>
        </w:rPr>
        <w:t xml:space="preserve">31.60) remaining from the previous disposal and that it has incorporated these balances into its current LRAMVA disposition request.  </w:t>
      </w:r>
    </w:p>
    <w:p w14:paraId="1EEF25C3" w14:textId="77777777" w:rsidR="00027D78" w:rsidRPr="005C7C01" w:rsidRDefault="00027D78" w:rsidP="00A70823">
      <w:pPr>
        <w:numPr>
          <w:ilvl w:val="0"/>
          <w:numId w:val="9"/>
        </w:numPr>
        <w:spacing w:after="0"/>
        <w:rPr>
          <w:rFonts w:cs="Arial"/>
          <w:sz w:val="24"/>
          <w:szCs w:val="24"/>
        </w:rPr>
      </w:pPr>
      <w:r w:rsidRPr="005C7C01">
        <w:rPr>
          <w:rFonts w:cs="Arial"/>
          <w:sz w:val="24"/>
          <w:szCs w:val="24"/>
        </w:rPr>
        <w:t>Please clarify if the residual principal balance and interest amount are credit or debit amounts.</w:t>
      </w:r>
    </w:p>
    <w:p w14:paraId="57886F86" w14:textId="4A4E4A39" w:rsidR="00027D78" w:rsidRPr="005C7C01" w:rsidRDefault="00027D78" w:rsidP="00A70823">
      <w:pPr>
        <w:numPr>
          <w:ilvl w:val="0"/>
          <w:numId w:val="9"/>
        </w:numPr>
        <w:spacing w:after="0"/>
        <w:rPr>
          <w:rFonts w:cs="Arial"/>
          <w:sz w:val="24"/>
          <w:szCs w:val="24"/>
        </w:rPr>
      </w:pPr>
      <w:r w:rsidRPr="005C7C01">
        <w:rPr>
          <w:rFonts w:cs="Arial"/>
          <w:sz w:val="24"/>
          <w:szCs w:val="24"/>
        </w:rPr>
        <w:t>Please explain how the residual balance of (</w:t>
      </w:r>
      <w:r w:rsidR="00A70823">
        <w:rPr>
          <w:rFonts w:cs="Arial"/>
          <w:sz w:val="24"/>
          <w:szCs w:val="24"/>
        </w:rPr>
        <w:t>$</w:t>
      </w:r>
      <w:r w:rsidRPr="005C7C01">
        <w:rPr>
          <w:rFonts w:cs="Arial"/>
          <w:sz w:val="24"/>
          <w:szCs w:val="24"/>
        </w:rPr>
        <w:t xml:space="preserve">2,370.35) was derived and show all calculations. </w:t>
      </w:r>
    </w:p>
    <w:p w14:paraId="282B3EAC" w14:textId="388259E1" w:rsidR="00027D78" w:rsidRPr="005C7C01" w:rsidRDefault="00027D78" w:rsidP="00027D78">
      <w:pPr>
        <w:numPr>
          <w:ilvl w:val="0"/>
          <w:numId w:val="9"/>
        </w:numPr>
        <w:rPr>
          <w:rFonts w:cs="Arial"/>
          <w:sz w:val="24"/>
          <w:szCs w:val="24"/>
        </w:rPr>
      </w:pPr>
      <w:r w:rsidRPr="005C7C01">
        <w:rPr>
          <w:rFonts w:cs="Arial"/>
          <w:sz w:val="24"/>
          <w:szCs w:val="24"/>
        </w:rPr>
        <w:t xml:space="preserve">Please discuss if </w:t>
      </w:r>
      <w:r w:rsidR="005C7C01" w:rsidRPr="005C7C01">
        <w:rPr>
          <w:rFonts w:cs="Arial"/>
          <w:sz w:val="24"/>
          <w:szCs w:val="24"/>
        </w:rPr>
        <w:t>W</w:t>
      </w:r>
      <w:r w:rsidR="005C7C01">
        <w:rPr>
          <w:rFonts w:cs="Arial"/>
          <w:sz w:val="24"/>
          <w:szCs w:val="24"/>
        </w:rPr>
        <w:t>asaga Distribution</w:t>
      </w:r>
      <w:r w:rsidR="005C7C01" w:rsidRPr="005C7C01">
        <w:rPr>
          <w:rFonts w:cs="Arial"/>
          <w:sz w:val="24"/>
          <w:szCs w:val="24"/>
        </w:rPr>
        <w:t xml:space="preserve"> </w:t>
      </w:r>
      <w:r w:rsidRPr="005C7C01">
        <w:rPr>
          <w:rFonts w:cs="Arial"/>
          <w:sz w:val="24"/>
          <w:szCs w:val="24"/>
        </w:rPr>
        <w:t xml:space="preserve">has considered disposing of the residual balance in the 1595 (2020) sub-account, considering the residual balance is related to a previous year and should only be cleared once. </w:t>
      </w:r>
    </w:p>
    <w:p w14:paraId="5A6B680E" w14:textId="77777777" w:rsidR="00A70823" w:rsidRDefault="00A70823" w:rsidP="00CD5C5E">
      <w:pPr>
        <w:rPr>
          <w:rFonts w:cs="Arial"/>
          <w:b/>
          <w:sz w:val="24"/>
          <w:szCs w:val="24"/>
        </w:rPr>
      </w:pPr>
    </w:p>
    <w:p w14:paraId="08B572A3" w14:textId="77777777" w:rsidR="00A70823" w:rsidRDefault="00A70823" w:rsidP="00CD5C5E">
      <w:pPr>
        <w:rPr>
          <w:rFonts w:cs="Arial"/>
          <w:b/>
          <w:sz w:val="24"/>
          <w:szCs w:val="24"/>
        </w:rPr>
      </w:pPr>
    </w:p>
    <w:p w14:paraId="17D61CB0" w14:textId="6583B4A1" w:rsidR="00CD5C5E" w:rsidRPr="005C7C01" w:rsidRDefault="00CD5C5E" w:rsidP="00CD5C5E">
      <w:pPr>
        <w:rPr>
          <w:rFonts w:cs="Arial"/>
          <w:b/>
          <w:sz w:val="24"/>
          <w:szCs w:val="24"/>
          <w:u w:val="single"/>
        </w:rPr>
      </w:pPr>
      <w:r w:rsidRPr="005C7C01">
        <w:rPr>
          <w:rFonts w:cs="Arial"/>
          <w:b/>
          <w:sz w:val="24"/>
          <w:szCs w:val="24"/>
        </w:rPr>
        <w:lastRenderedPageBreak/>
        <w:t>Staff Question-9</w:t>
      </w:r>
    </w:p>
    <w:p w14:paraId="6BF17774" w14:textId="5E910467" w:rsidR="00027D78" w:rsidRPr="005C7C01" w:rsidRDefault="00027D78" w:rsidP="00A70823">
      <w:pPr>
        <w:spacing w:after="0"/>
        <w:rPr>
          <w:rFonts w:cs="Arial"/>
          <w:b/>
          <w:sz w:val="24"/>
          <w:szCs w:val="24"/>
        </w:rPr>
      </w:pPr>
      <w:r w:rsidRPr="005C7C01">
        <w:rPr>
          <w:rFonts w:cs="Arial"/>
          <w:b/>
          <w:sz w:val="24"/>
          <w:szCs w:val="24"/>
        </w:rPr>
        <w:t>R</w:t>
      </w:r>
      <w:r w:rsidR="00CD5C5E" w:rsidRPr="005C7C01">
        <w:rPr>
          <w:rFonts w:cs="Arial"/>
          <w:b/>
          <w:sz w:val="24"/>
          <w:szCs w:val="24"/>
        </w:rPr>
        <w:t xml:space="preserve">ef: </w:t>
      </w:r>
      <w:r w:rsidRPr="005C7C01">
        <w:rPr>
          <w:rFonts w:cs="Arial"/>
          <w:b/>
          <w:sz w:val="24"/>
          <w:szCs w:val="24"/>
        </w:rPr>
        <w:t>LRAMVA Workform, Tab 2, Table 2-b and 2-c, 2016 LRAMVA Threshold</w:t>
      </w:r>
    </w:p>
    <w:p w14:paraId="2980837F" w14:textId="53C0335D" w:rsidR="00027D78" w:rsidRPr="005C7C01" w:rsidRDefault="00A70823" w:rsidP="00027D78">
      <w:pPr>
        <w:rPr>
          <w:rFonts w:cs="Arial"/>
          <w:b/>
          <w:sz w:val="24"/>
          <w:szCs w:val="24"/>
        </w:rPr>
      </w:pPr>
      <w:r>
        <w:rPr>
          <w:rFonts w:cs="Arial"/>
          <w:b/>
          <w:sz w:val="24"/>
          <w:szCs w:val="24"/>
        </w:rPr>
        <w:t xml:space="preserve">        </w:t>
      </w:r>
      <w:r w:rsidR="00027D78" w:rsidRPr="005C7C01">
        <w:rPr>
          <w:rFonts w:cs="Arial"/>
          <w:b/>
          <w:sz w:val="24"/>
          <w:szCs w:val="24"/>
        </w:rPr>
        <w:t xml:space="preserve">EB-2015-0107, Settlement Proposal, February 24, 2016, Load Forecast CDM </w:t>
      </w:r>
      <w:r>
        <w:rPr>
          <w:rFonts w:cs="Arial"/>
          <w:b/>
          <w:sz w:val="24"/>
          <w:szCs w:val="24"/>
        </w:rPr>
        <w:t xml:space="preserve">             </w:t>
      </w:r>
      <w:r>
        <w:rPr>
          <w:rFonts w:cs="Arial"/>
          <w:b/>
          <w:sz w:val="24"/>
          <w:szCs w:val="24"/>
        </w:rPr>
        <w:tab/>
      </w:r>
      <w:r w:rsidR="00027D78" w:rsidRPr="005C7C01">
        <w:rPr>
          <w:rFonts w:cs="Arial"/>
          <w:b/>
          <w:sz w:val="24"/>
          <w:szCs w:val="24"/>
        </w:rPr>
        <w:t>Adjustment - Table 18, Page 29</w:t>
      </w:r>
    </w:p>
    <w:p w14:paraId="42415768" w14:textId="7BBED929" w:rsidR="00027D78" w:rsidRPr="005C7C01" w:rsidRDefault="005C7C01" w:rsidP="00027D78">
      <w:pPr>
        <w:rPr>
          <w:rFonts w:cs="Arial"/>
          <w:sz w:val="24"/>
          <w:szCs w:val="24"/>
        </w:rPr>
      </w:pPr>
      <w:r w:rsidRPr="005C7C01">
        <w:rPr>
          <w:rFonts w:cs="Arial"/>
          <w:sz w:val="24"/>
          <w:szCs w:val="24"/>
        </w:rPr>
        <w:t>W</w:t>
      </w:r>
      <w:r>
        <w:rPr>
          <w:rFonts w:cs="Arial"/>
          <w:sz w:val="24"/>
          <w:szCs w:val="24"/>
        </w:rPr>
        <w:t>asaga Distribution</w:t>
      </w:r>
      <w:r w:rsidRPr="005C7C01">
        <w:rPr>
          <w:rFonts w:cs="Arial"/>
          <w:sz w:val="24"/>
          <w:szCs w:val="24"/>
        </w:rPr>
        <w:t xml:space="preserve"> </w:t>
      </w:r>
      <w:r w:rsidR="00027D78" w:rsidRPr="005C7C01">
        <w:rPr>
          <w:rFonts w:cs="Arial"/>
          <w:sz w:val="24"/>
          <w:szCs w:val="24"/>
        </w:rPr>
        <w:t>has included the LRAMVA threshold from its 2016 COS application (EB-2015-0107)</w:t>
      </w:r>
      <w:r>
        <w:rPr>
          <w:rFonts w:cs="Arial"/>
          <w:sz w:val="24"/>
          <w:szCs w:val="24"/>
        </w:rPr>
        <w:t>.</w:t>
      </w:r>
    </w:p>
    <w:p w14:paraId="3C61C763" w14:textId="77777777" w:rsidR="005C7C01" w:rsidRDefault="00027D78" w:rsidP="00A70823">
      <w:pPr>
        <w:numPr>
          <w:ilvl w:val="0"/>
          <w:numId w:val="7"/>
        </w:numPr>
        <w:spacing w:after="0"/>
        <w:rPr>
          <w:rFonts w:cs="Arial"/>
          <w:sz w:val="24"/>
          <w:szCs w:val="24"/>
        </w:rPr>
      </w:pPr>
      <w:r w:rsidRPr="005C7C01">
        <w:rPr>
          <w:rFonts w:cs="Arial"/>
          <w:sz w:val="24"/>
          <w:szCs w:val="24"/>
        </w:rPr>
        <w:t xml:space="preserve">Please reconcile the LRAMVA threshold values included within Tables 2-b and 2-c of the LRAMVA workform filed in this application with Table 18 of the 2016 COS Settlement Proposal. </w:t>
      </w:r>
    </w:p>
    <w:p w14:paraId="5FC31A6E" w14:textId="2F3C6E57" w:rsidR="00027D78" w:rsidRPr="005C7C01" w:rsidRDefault="00027D78" w:rsidP="00027D78">
      <w:pPr>
        <w:numPr>
          <w:ilvl w:val="0"/>
          <w:numId w:val="7"/>
        </w:numPr>
        <w:rPr>
          <w:rFonts w:cs="Arial"/>
          <w:sz w:val="24"/>
          <w:szCs w:val="24"/>
        </w:rPr>
      </w:pPr>
      <w:r w:rsidRPr="005C7C01">
        <w:rPr>
          <w:rFonts w:cs="Arial"/>
          <w:sz w:val="24"/>
          <w:szCs w:val="24"/>
        </w:rPr>
        <w:t xml:space="preserve">Please discuss any variations and the supporting rationale for any differences. </w:t>
      </w:r>
    </w:p>
    <w:p w14:paraId="734B3B6A" w14:textId="2833370A" w:rsidR="00CD5C5E" w:rsidRPr="005C7C01" w:rsidRDefault="00CD5C5E" w:rsidP="00C66382">
      <w:pPr>
        <w:rPr>
          <w:rFonts w:cs="Arial"/>
          <w:b/>
          <w:sz w:val="24"/>
          <w:szCs w:val="24"/>
        </w:rPr>
      </w:pPr>
    </w:p>
    <w:p w14:paraId="08380CF6" w14:textId="34311D38" w:rsidR="00CD5C5E" w:rsidRPr="005C7C01" w:rsidRDefault="00CD5C5E" w:rsidP="00CD5C5E">
      <w:pPr>
        <w:rPr>
          <w:rFonts w:cs="Arial"/>
          <w:b/>
          <w:sz w:val="24"/>
          <w:szCs w:val="24"/>
          <w:u w:val="single"/>
        </w:rPr>
      </w:pPr>
      <w:r w:rsidRPr="005C7C01">
        <w:rPr>
          <w:rFonts w:cs="Arial"/>
          <w:b/>
          <w:sz w:val="24"/>
          <w:szCs w:val="24"/>
        </w:rPr>
        <w:t>Staff Question-</w:t>
      </w:r>
      <w:r w:rsidR="00A70823" w:rsidRPr="005C7C01">
        <w:rPr>
          <w:rFonts w:cs="Arial"/>
          <w:b/>
          <w:sz w:val="24"/>
          <w:szCs w:val="24"/>
        </w:rPr>
        <w:t>1</w:t>
      </w:r>
      <w:r w:rsidR="00A70823">
        <w:rPr>
          <w:rFonts w:cs="Arial"/>
          <w:b/>
          <w:sz w:val="24"/>
          <w:szCs w:val="24"/>
        </w:rPr>
        <w:t>0</w:t>
      </w:r>
    </w:p>
    <w:p w14:paraId="3E5CCE01" w14:textId="5D02EF1E" w:rsidR="00027D78" w:rsidRPr="005C7C01" w:rsidRDefault="00027D78" w:rsidP="00C66382">
      <w:pPr>
        <w:rPr>
          <w:rFonts w:cs="Arial"/>
          <w:b/>
          <w:sz w:val="24"/>
          <w:szCs w:val="24"/>
        </w:rPr>
      </w:pPr>
      <w:r w:rsidRPr="005C7C01">
        <w:rPr>
          <w:rFonts w:cs="Arial"/>
          <w:b/>
          <w:sz w:val="24"/>
          <w:szCs w:val="24"/>
        </w:rPr>
        <w:t>Ref: Rate Generator Model, Tab 20</w:t>
      </w:r>
    </w:p>
    <w:p w14:paraId="62BB72ED" w14:textId="6FBB6E79" w:rsidR="00027D78" w:rsidRPr="005C7C01" w:rsidRDefault="00172D73" w:rsidP="00C66382">
      <w:pPr>
        <w:rPr>
          <w:rFonts w:cs="Arial"/>
          <w:sz w:val="24"/>
          <w:szCs w:val="24"/>
        </w:rPr>
      </w:pPr>
      <w:r w:rsidRPr="005C7C01">
        <w:rPr>
          <w:rFonts w:cs="Arial"/>
          <w:sz w:val="24"/>
          <w:szCs w:val="24"/>
        </w:rPr>
        <w:t>The total bill impact for the General Service 50 to 4,999 KW Service Class is greater than 10%. In addition,</w:t>
      </w:r>
      <w:r w:rsidR="00027D78" w:rsidRPr="005C7C01">
        <w:rPr>
          <w:rFonts w:eastAsia="Calibri" w:cs="Arial"/>
          <w:sz w:val="24"/>
          <w:szCs w:val="24"/>
        </w:rPr>
        <w:t xml:space="preserve"> </w:t>
      </w:r>
      <w:r w:rsidR="00A70823">
        <w:rPr>
          <w:rFonts w:eastAsia="Calibri" w:cs="Arial"/>
          <w:sz w:val="24"/>
          <w:szCs w:val="24"/>
        </w:rPr>
        <w:t>t</w:t>
      </w:r>
      <w:r w:rsidR="00027D78" w:rsidRPr="005C7C01">
        <w:rPr>
          <w:rFonts w:eastAsia="Calibri" w:cs="Arial"/>
          <w:sz w:val="24"/>
          <w:szCs w:val="24"/>
          <w:lang w:val="en-CA"/>
        </w:rPr>
        <w:t>he RTSR rate changes for all rate classes exceed 4% from the previous year. As indicated in Tab 20, an explanation should be provided in the application</w:t>
      </w:r>
      <w:r w:rsidRPr="005C7C01">
        <w:rPr>
          <w:rFonts w:eastAsia="Calibri" w:cs="Arial"/>
          <w:sz w:val="24"/>
          <w:szCs w:val="24"/>
          <w:lang w:val="en-CA"/>
        </w:rPr>
        <w:t xml:space="preserve"> if this is the case</w:t>
      </w:r>
      <w:r w:rsidR="00027D78" w:rsidRPr="005C7C01">
        <w:rPr>
          <w:rFonts w:eastAsia="Calibri" w:cs="Arial"/>
          <w:sz w:val="24"/>
          <w:szCs w:val="24"/>
          <w:lang w:val="en-CA"/>
        </w:rPr>
        <w:t>.</w:t>
      </w:r>
      <w:r w:rsidR="00027D78" w:rsidRPr="005C7C01">
        <w:rPr>
          <w:rFonts w:cs="Arial"/>
          <w:sz w:val="24"/>
          <w:szCs w:val="24"/>
        </w:rPr>
        <w:t xml:space="preserve">  </w:t>
      </w:r>
    </w:p>
    <w:p w14:paraId="1F754DE1" w14:textId="2B579306" w:rsidR="00027D78" w:rsidRPr="005C7C01" w:rsidRDefault="00507415" w:rsidP="00027D78">
      <w:pPr>
        <w:pStyle w:val="ListParagraph"/>
        <w:numPr>
          <w:ilvl w:val="0"/>
          <w:numId w:val="8"/>
        </w:numPr>
        <w:rPr>
          <w:rFonts w:cs="Arial"/>
          <w:sz w:val="24"/>
          <w:szCs w:val="24"/>
        </w:rPr>
      </w:pPr>
      <w:r w:rsidRPr="005C7C01">
        <w:rPr>
          <w:rFonts w:cs="Arial"/>
          <w:sz w:val="24"/>
          <w:szCs w:val="24"/>
        </w:rPr>
        <w:t xml:space="preserve">Please confirm that the bill impacts are correct and, if so, please explain whether Wasaga </w:t>
      </w:r>
      <w:r w:rsidR="00342DC6" w:rsidRPr="005C7C01">
        <w:rPr>
          <w:rFonts w:cs="Arial"/>
          <w:sz w:val="24"/>
          <w:szCs w:val="24"/>
        </w:rPr>
        <w:t>Distribution</w:t>
      </w:r>
      <w:r w:rsidRPr="005C7C01">
        <w:rPr>
          <w:rFonts w:cs="Arial"/>
          <w:sz w:val="24"/>
          <w:szCs w:val="24"/>
        </w:rPr>
        <w:t xml:space="preserve"> </w:t>
      </w:r>
      <w:r w:rsidR="00342DC6" w:rsidRPr="005C7C01">
        <w:rPr>
          <w:rFonts w:cs="Arial"/>
          <w:sz w:val="24"/>
          <w:szCs w:val="24"/>
        </w:rPr>
        <w:t xml:space="preserve">plans to implement a rate mitigation proposal for the GS 50 to 4,999 KW Service Class. </w:t>
      </w:r>
    </w:p>
    <w:p w14:paraId="27532248" w14:textId="77777777" w:rsidR="00342DC6" w:rsidRPr="00342DC6" w:rsidRDefault="00342DC6" w:rsidP="00342DC6">
      <w:pPr>
        <w:pStyle w:val="ListParagraph"/>
        <w:numPr>
          <w:ilvl w:val="0"/>
          <w:numId w:val="8"/>
        </w:numPr>
        <w:spacing w:after="200" w:line="276" w:lineRule="auto"/>
        <w:rPr>
          <w:rFonts w:eastAsia="Calibri" w:cs="Arial"/>
          <w:sz w:val="24"/>
          <w:szCs w:val="24"/>
          <w:lang w:val="en-CA"/>
        </w:rPr>
      </w:pPr>
      <w:r w:rsidRPr="005C7C01">
        <w:rPr>
          <w:rFonts w:eastAsia="Calibri" w:cs="Arial"/>
          <w:sz w:val="24"/>
          <w:szCs w:val="24"/>
          <w:lang w:val="en-CA"/>
        </w:rPr>
        <w:t>Please explain the cause for the RTSR rate increases by rate class, and quantify the reasons for the increase.</w:t>
      </w:r>
    </w:p>
    <w:p w14:paraId="101ED59A" w14:textId="09F53816" w:rsidR="00027D78" w:rsidRPr="00C66382" w:rsidRDefault="00027D78" w:rsidP="00C66382"/>
    <w:sectPr w:rsidR="00027D78" w:rsidRPr="00C6638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BE349" w14:textId="77777777" w:rsidR="00A70823" w:rsidRDefault="00A70823" w:rsidP="00A70823">
      <w:pPr>
        <w:spacing w:after="0" w:line="240" w:lineRule="auto"/>
      </w:pPr>
      <w:r>
        <w:separator/>
      </w:r>
    </w:p>
  </w:endnote>
  <w:endnote w:type="continuationSeparator" w:id="0">
    <w:p w14:paraId="11F7872D" w14:textId="77777777" w:rsidR="00A70823" w:rsidRDefault="00A70823" w:rsidP="00A70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3000051"/>
      <w:docPartObj>
        <w:docPartGallery w:val="Page Numbers (Bottom of Page)"/>
        <w:docPartUnique/>
      </w:docPartObj>
    </w:sdtPr>
    <w:sdtEndPr/>
    <w:sdtContent>
      <w:sdt>
        <w:sdtPr>
          <w:id w:val="-1769616900"/>
          <w:docPartObj>
            <w:docPartGallery w:val="Page Numbers (Top of Page)"/>
            <w:docPartUnique/>
          </w:docPartObj>
        </w:sdtPr>
        <w:sdtEndPr/>
        <w:sdtContent>
          <w:p w14:paraId="0FD31E84" w14:textId="49D76EC1" w:rsidR="00A70823" w:rsidRDefault="00A70823">
            <w:pPr>
              <w:pStyle w:val="Footer"/>
              <w:jc w:val="right"/>
            </w:pPr>
            <w:r w:rsidRPr="00A70823">
              <w:t xml:space="preserve">Page </w:t>
            </w:r>
            <w:r w:rsidRPr="00A70823">
              <w:rPr>
                <w:bCs/>
                <w:sz w:val="24"/>
                <w:szCs w:val="24"/>
              </w:rPr>
              <w:fldChar w:fldCharType="begin"/>
            </w:r>
            <w:r w:rsidRPr="00A70823">
              <w:rPr>
                <w:bCs/>
              </w:rPr>
              <w:instrText xml:space="preserve"> PAGE </w:instrText>
            </w:r>
            <w:r w:rsidRPr="00A70823">
              <w:rPr>
                <w:bCs/>
                <w:sz w:val="24"/>
                <w:szCs w:val="24"/>
              </w:rPr>
              <w:fldChar w:fldCharType="separate"/>
            </w:r>
            <w:r w:rsidR="00962F3E">
              <w:rPr>
                <w:bCs/>
                <w:noProof/>
              </w:rPr>
              <w:t>4</w:t>
            </w:r>
            <w:r w:rsidRPr="00A70823">
              <w:rPr>
                <w:bCs/>
                <w:sz w:val="24"/>
                <w:szCs w:val="24"/>
              </w:rPr>
              <w:fldChar w:fldCharType="end"/>
            </w:r>
            <w:r w:rsidRPr="00A70823">
              <w:t xml:space="preserve"> of </w:t>
            </w:r>
            <w:r w:rsidRPr="00A70823">
              <w:rPr>
                <w:bCs/>
                <w:sz w:val="24"/>
                <w:szCs w:val="24"/>
              </w:rPr>
              <w:fldChar w:fldCharType="begin"/>
            </w:r>
            <w:r w:rsidRPr="00A70823">
              <w:rPr>
                <w:bCs/>
              </w:rPr>
              <w:instrText xml:space="preserve"> NUMPAGES  </w:instrText>
            </w:r>
            <w:r w:rsidRPr="00A70823">
              <w:rPr>
                <w:bCs/>
                <w:sz w:val="24"/>
                <w:szCs w:val="24"/>
              </w:rPr>
              <w:fldChar w:fldCharType="separate"/>
            </w:r>
            <w:r w:rsidR="00962F3E">
              <w:rPr>
                <w:bCs/>
                <w:noProof/>
              </w:rPr>
              <w:t>4</w:t>
            </w:r>
            <w:r w:rsidRPr="00A70823">
              <w:rPr>
                <w:bCs/>
                <w:sz w:val="24"/>
                <w:szCs w:val="24"/>
              </w:rPr>
              <w:fldChar w:fldCharType="end"/>
            </w:r>
          </w:p>
        </w:sdtContent>
      </w:sdt>
    </w:sdtContent>
  </w:sdt>
  <w:p w14:paraId="5FD6E2DE" w14:textId="77777777" w:rsidR="00A70823" w:rsidRDefault="00A70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15BFD" w14:textId="77777777" w:rsidR="00A70823" w:rsidRDefault="00A70823" w:rsidP="00A70823">
      <w:pPr>
        <w:spacing w:after="0" w:line="240" w:lineRule="auto"/>
      </w:pPr>
      <w:r>
        <w:separator/>
      </w:r>
    </w:p>
  </w:footnote>
  <w:footnote w:type="continuationSeparator" w:id="0">
    <w:p w14:paraId="1CCDF13E" w14:textId="77777777" w:rsidR="00A70823" w:rsidRDefault="00A70823" w:rsidP="00A708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21821"/>
    <w:multiLevelType w:val="hybridMultilevel"/>
    <w:tmpl w:val="9D7ADF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200CF"/>
    <w:multiLevelType w:val="hybridMultilevel"/>
    <w:tmpl w:val="452033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E84FEE"/>
    <w:multiLevelType w:val="hybridMultilevel"/>
    <w:tmpl w:val="452033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00757A"/>
    <w:multiLevelType w:val="hybridMultilevel"/>
    <w:tmpl w:val="3AA2DB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34401D"/>
    <w:multiLevelType w:val="hybridMultilevel"/>
    <w:tmpl w:val="B93CD6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F347EC"/>
    <w:multiLevelType w:val="hybridMultilevel"/>
    <w:tmpl w:val="BC86DBFE"/>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4F01060"/>
    <w:multiLevelType w:val="hybridMultilevel"/>
    <w:tmpl w:val="3C98E0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CF5A2C"/>
    <w:multiLevelType w:val="hybridMultilevel"/>
    <w:tmpl w:val="E96A172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9DA28A2"/>
    <w:multiLevelType w:val="hybridMultilevel"/>
    <w:tmpl w:val="4E9055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1"/>
  </w:num>
  <w:num w:numId="5">
    <w:abstractNumId w:val="3"/>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0AF"/>
    <w:rsid w:val="00027D78"/>
    <w:rsid w:val="00172D73"/>
    <w:rsid w:val="001E4BC3"/>
    <w:rsid w:val="002B1566"/>
    <w:rsid w:val="00342DC6"/>
    <w:rsid w:val="00357C80"/>
    <w:rsid w:val="00365172"/>
    <w:rsid w:val="003814AE"/>
    <w:rsid w:val="004334E6"/>
    <w:rsid w:val="00457029"/>
    <w:rsid w:val="004D291B"/>
    <w:rsid w:val="00507415"/>
    <w:rsid w:val="005C7C01"/>
    <w:rsid w:val="006000AF"/>
    <w:rsid w:val="006F3882"/>
    <w:rsid w:val="007C06F9"/>
    <w:rsid w:val="007C6C8F"/>
    <w:rsid w:val="007D3D80"/>
    <w:rsid w:val="00962F3E"/>
    <w:rsid w:val="009765B1"/>
    <w:rsid w:val="0099556B"/>
    <w:rsid w:val="00A70823"/>
    <w:rsid w:val="00C66382"/>
    <w:rsid w:val="00CD5C5E"/>
    <w:rsid w:val="00DE73C5"/>
    <w:rsid w:val="00F02D7D"/>
    <w:rsid w:val="00F73606"/>
    <w:rsid w:val="00F77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72E4E"/>
  <w15:chartTrackingRefBased/>
  <w15:docId w15:val="{A8F7AE55-FDD7-4030-A437-3AF642B57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D7D"/>
    <w:pPr>
      <w:ind w:left="720"/>
      <w:contextualSpacing/>
    </w:pPr>
  </w:style>
  <w:style w:type="character" w:styleId="CommentReference">
    <w:name w:val="annotation reference"/>
    <w:basedOn w:val="DefaultParagraphFont"/>
    <w:uiPriority w:val="99"/>
    <w:semiHidden/>
    <w:unhideWhenUsed/>
    <w:rsid w:val="007D3D80"/>
    <w:rPr>
      <w:sz w:val="16"/>
      <w:szCs w:val="16"/>
    </w:rPr>
  </w:style>
  <w:style w:type="paragraph" w:styleId="CommentText">
    <w:name w:val="annotation text"/>
    <w:basedOn w:val="Normal"/>
    <w:link w:val="CommentTextChar"/>
    <w:uiPriority w:val="99"/>
    <w:semiHidden/>
    <w:unhideWhenUsed/>
    <w:rsid w:val="007D3D80"/>
    <w:pPr>
      <w:spacing w:line="240" w:lineRule="auto"/>
    </w:pPr>
    <w:rPr>
      <w:sz w:val="20"/>
      <w:szCs w:val="20"/>
    </w:rPr>
  </w:style>
  <w:style w:type="character" w:customStyle="1" w:styleId="CommentTextChar">
    <w:name w:val="Comment Text Char"/>
    <w:basedOn w:val="DefaultParagraphFont"/>
    <w:link w:val="CommentText"/>
    <w:uiPriority w:val="99"/>
    <w:semiHidden/>
    <w:rsid w:val="007D3D80"/>
    <w:rPr>
      <w:sz w:val="20"/>
      <w:szCs w:val="20"/>
    </w:rPr>
  </w:style>
  <w:style w:type="paragraph" w:styleId="CommentSubject">
    <w:name w:val="annotation subject"/>
    <w:basedOn w:val="CommentText"/>
    <w:next w:val="CommentText"/>
    <w:link w:val="CommentSubjectChar"/>
    <w:uiPriority w:val="99"/>
    <w:semiHidden/>
    <w:unhideWhenUsed/>
    <w:rsid w:val="007D3D80"/>
    <w:rPr>
      <w:b/>
      <w:bCs/>
    </w:rPr>
  </w:style>
  <w:style w:type="character" w:customStyle="1" w:styleId="CommentSubjectChar">
    <w:name w:val="Comment Subject Char"/>
    <w:basedOn w:val="CommentTextChar"/>
    <w:link w:val="CommentSubject"/>
    <w:uiPriority w:val="99"/>
    <w:semiHidden/>
    <w:rsid w:val="007D3D80"/>
    <w:rPr>
      <w:b/>
      <w:bCs/>
      <w:sz w:val="20"/>
      <w:szCs w:val="20"/>
    </w:rPr>
  </w:style>
  <w:style w:type="paragraph" w:styleId="BalloonText">
    <w:name w:val="Balloon Text"/>
    <w:basedOn w:val="Normal"/>
    <w:link w:val="BalloonTextChar"/>
    <w:uiPriority w:val="99"/>
    <w:semiHidden/>
    <w:unhideWhenUsed/>
    <w:rsid w:val="007D3D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D80"/>
    <w:rPr>
      <w:rFonts w:ascii="Segoe UI" w:hAnsi="Segoe UI" w:cs="Segoe UI"/>
      <w:sz w:val="18"/>
      <w:szCs w:val="18"/>
    </w:rPr>
  </w:style>
  <w:style w:type="paragraph" w:customStyle="1" w:styleId="Default">
    <w:name w:val="Default"/>
    <w:rsid w:val="007C6C8F"/>
    <w:pPr>
      <w:autoSpaceDE w:val="0"/>
      <w:autoSpaceDN w:val="0"/>
      <w:adjustRightInd w:val="0"/>
      <w:spacing w:after="0" w:line="240" w:lineRule="auto"/>
    </w:pPr>
    <w:rPr>
      <w:rFonts w:ascii="Calibri" w:hAnsi="Calibri" w:cs="Calibri"/>
      <w:color w:val="000000"/>
      <w:sz w:val="24"/>
      <w:szCs w:val="24"/>
      <w:lang w:val="en-CA"/>
    </w:rPr>
  </w:style>
  <w:style w:type="paragraph" w:styleId="Header">
    <w:name w:val="header"/>
    <w:basedOn w:val="Normal"/>
    <w:link w:val="HeaderChar"/>
    <w:uiPriority w:val="99"/>
    <w:unhideWhenUsed/>
    <w:rsid w:val="00A708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823"/>
  </w:style>
  <w:style w:type="paragraph" w:styleId="Footer">
    <w:name w:val="footer"/>
    <w:basedOn w:val="Normal"/>
    <w:link w:val="FooterChar"/>
    <w:uiPriority w:val="99"/>
    <w:unhideWhenUsed/>
    <w:rsid w:val="00A708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7B9FB-3414-4317-ABA6-80DA9D874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Kwan</dc:creator>
  <cp:keywords/>
  <dc:description/>
  <cp:lastModifiedBy>Vince Mazzone</cp:lastModifiedBy>
  <cp:revision>4</cp:revision>
  <dcterms:created xsi:type="dcterms:W3CDTF">2020-01-22T19:07:00Z</dcterms:created>
  <dcterms:modified xsi:type="dcterms:W3CDTF">2020-01-22T19:13:00Z</dcterms:modified>
</cp:coreProperties>
</file>