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2E7" w:rsidRPr="003832E7" w:rsidRDefault="008C34FF" w:rsidP="003832E7">
      <w:pPr>
        <w:pStyle w:val="Default"/>
        <w:jc w:val="right"/>
        <w:rPr>
          <w:rFonts w:ascii="Arial" w:hAnsi="Arial" w:cs="Arial"/>
          <w:sz w:val="22"/>
          <w:szCs w:val="22"/>
        </w:rPr>
      </w:pPr>
      <w:r>
        <w:rPr>
          <w:rFonts w:ascii="Arial" w:hAnsi="Arial" w:cs="Arial"/>
          <w:bCs/>
          <w:sz w:val="22"/>
          <w:szCs w:val="22"/>
        </w:rPr>
        <w:t>Wellington North Power Inc.</w:t>
      </w:r>
    </w:p>
    <w:p w:rsidR="00A07077" w:rsidRDefault="008A48F6" w:rsidP="00A07077">
      <w:pPr>
        <w:pStyle w:val="Default"/>
        <w:jc w:val="right"/>
        <w:rPr>
          <w:rFonts w:ascii="Arial" w:hAnsi="Arial" w:cs="Arial"/>
          <w:sz w:val="22"/>
          <w:szCs w:val="22"/>
        </w:rPr>
      </w:pPr>
      <w:r>
        <w:rPr>
          <w:rFonts w:ascii="Arial" w:hAnsi="Arial" w:cs="Arial"/>
          <w:sz w:val="22"/>
          <w:szCs w:val="22"/>
        </w:rPr>
        <w:t>OEB</w:t>
      </w:r>
      <w:r w:rsidR="00A07077">
        <w:rPr>
          <w:rFonts w:ascii="Arial" w:hAnsi="Arial" w:cs="Arial"/>
          <w:sz w:val="22"/>
          <w:szCs w:val="22"/>
        </w:rPr>
        <w:t xml:space="preserve"> Staff </w:t>
      </w:r>
      <w:r w:rsidR="008813C3">
        <w:rPr>
          <w:rFonts w:ascii="Arial" w:hAnsi="Arial" w:cs="Arial"/>
          <w:sz w:val="22"/>
          <w:szCs w:val="22"/>
        </w:rPr>
        <w:t>Questions</w:t>
      </w:r>
    </w:p>
    <w:p w:rsidR="00A07077" w:rsidRDefault="00090160" w:rsidP="00B069AA">
      <w:pPr>
        <w:pStyle w:val="Default"/>
        <w:jc w:val="right"/>
        <w:rPr>
          <w:rFonts w:ascii="Arial" w:hAnsi="Arial" w:cs="Arial"/>
          <w:sz w:val="22"/>
          <w:szCs w:val="22"/>
        </w:rPr>
      </w:pPr>
      <w:r w:rsidRPr="00AF5D5B">
        <w:rPr>
          <w:rFonts w:ascii="Arial" w:hAnsi="Arial" w:cs="Arial"/>
          <w:sz w:val="22"/>
          <w:szCs w:val="22"/>
        </w:rPr>
        <w:t>EB-201</w:t>
      </w:r>
      <w:r w:rsidR="00651C98" w:rsidRPr="00AF5D5B">
        <w:rPr>
          <w:rFonts w:ascii="Arial" w:hAnsi="Arial" w:cs="Arial"/>
          <w:sz w:val="22"/>
          <w:szCs w:val="22"/>
        </w:rPr>
        <w:t>9</w:t>
      </w:r>
      <w:r w:rsidR="009D5F4B" w:rsidRPr="00AF5D5B">
        <w:rPr>
          <w:rFonts w:ascii="Arial" w:hAnsi="Arial" w:cs="Arial"/>
          <w:sz w:val="22"/>
          <w:szCs w:val="22"/>
        </w:rPr>
        <w:t>-0</w:t>
      </w:r>
      <w:r w:rsidR="008C34FF">
        <w:rPr>
          <w:rFonts w:ascii="Arial" w:hAnsi="Arial" w:cs="Arial"/>
          <w:sz w:val="22"/>
          <w:szCs w:val="22"/>
        </w:rPr>
        <w:t>073</w:t>
      </w:r>
    </w:p>
    <w:p w:rsidR="00A07077" w:rsidRDefault="00A07077" w:rsidP="00A07077">
      <w:pPr>
        <w:pStyle w:val="Default"/>
        <w:rPr>
          <w:rFonts w:ascii="Arial" w:hAnsi="Arial" w:cs="Arial"/>
          <w:sz w:val="22"/>
          <w:szCs w:val="22"/>
        </w:rPr>
      </w:pPr>
    </w:p>
    <w:p w:rsidR="00A07077" w:rsidRPr="00A07077" w:rsidRDefault="008C34FF" w:rsidP="00A07077">
      <w:pPr>
        <w:pStyle w:val="Default"/>
        <w:jc w:val="center"/>
        <w:rPr>
          <w:rFonts w:ascii="Arial" w:hAnsi="Arial" w:cs="Arial"/>
          <w:sz w:val="28"/>
          <w:szCs w:val="28"/>
        </w:rPr>
      </w:pPr>
      <w:r>
        <w:rPr>
          <w:rFonts w:ascii="Arial" w:hAnsi="Arial" w:cs="Arial"/>
          <w:b/>
          <w:bCs/>
          <w:sz w:val="28"/>
          <w:szCs w:val="28"/>
        </w:rPr>
        <w:t>Wellington North Power Inc.</w:t>
      </w:r>
    </w:p>
    <w:p w:rsidR="00A07077" w:rsidRDefault="00090160" w:rsidP="00A07077">
      <w:pPr>
        <w:pStyle w:val="Default"/>
        <w:jc w:val="center"/>
        <w:rPr>
          <w:rFonts w:ascii="Arial" w:hAnsi="Arial" w:cs="Arial"/>
          <w:b/>
          <w:bCs/>
          <w:sz w:val="28"/>
          <w:szCs w:val="28"/>
        </w:rPr>
      </w:pPr>
      <w:r>
        <w:rPr>
          <w:rFonts w:ascii="Arial" w:hAnsi="Arial" w:cs="Arial"/>
          <w:b/>
          <w:bCs/>
          <w:sz w:val="28"/>
          <w:szCs w:val="28"/>
        </w:rPr>
        <w:t>EB-201</w:t>
      </w:r>
      <w:r w:rsidR="00651C98">
        <w:rPr>
          <w:rFonts w:ascii="Arial" w:hAnsi="Arial" w:cs="Arial"/>
          <w:b/>
          <w:bCs/>
          <w:sz w:val="28"/>
          <w:szCs w:val="28"/>
        </w:rPr>
        <w:t>9</w:t>
      </w:r>
      <w:r w:rsidR="00B069AA" w:rsidRPr="00AF5D5B">
        <w:rPr>
          <w:rFonts w:ascii="Arial" w:hAnsi="Arial" w:cs="Arial"/>
          <w:b/>
          <w:bCs/>
          <w:sz w:val="28"/>
          <w:szCs w:val="28"/>
        </w:rPr>
        <w:t>-0</w:t>
      </w:r>
      <w:r w:rsidR="008C34FF">
        <w:rPr>
          <w:rFonts w:ascii="Arial" w:hAnsi="Arial" w:cs="Arial"/>
          <w:b/>
          <w:bCs/>
          <w:sz w:val="28"/>
          <w:szCs w:val="28"/>
        </w:rPr>
        <w:t>073</w:t>
      </w:r>
    </w:p>
    <w:p w:rsidR="00A07077" w:rsidRDefault="00A07077" w:rsidP="00A07077">
      <w:pPr>
        <w:rPr>
          <w:rFonts w:ascii="Arial" w:hAnsi="Arial" w:cs="Arial"/>
          <w:b/>
          <w:bCs/>
          <w:sz w:val="28"/>
          <w:szCs w:val="28"/>
        </w:rPr>
      </w:pPr>
    </w:p>
    <w:p w:rsidR="00EC0B55" w:rsidRDefault="00EC0B55" w:rsidP="00302509">
      <w:pPr>
        <w:autoSpaceDE w:val="0"/>
        <w:autoSpaceDN w:val="0"/>
        <w:adjustRightInd w:val="0"/>
        <w:spacing w:after="0" w:line="240" w:lineRule="auto"/>
        <w:rPr>
          <w:rFonts w:ascii="Arial" w:hAnsi="Arial" w:cs="Arial"/>
          <w:b/>
          <w:bCs/>
          <w:color w:val="000000"/>
          <w:sz w:val="24"/>
          <w:szCs w:val="24"/>
        </w:rPr>
      </w:pPr>
    </w:p>
    <w:p w:rsidR="008E6045" w:rsidRDefault="00400DFC" w:rsidP="008E6045">
      <w:pPr>
        <w:rPr>
          <w:rFonts w:ascii="Arial" w:hAnsi="Arial" w:cs="Arial"/>
          <w:b/>
          <w:sz w:val="24"/>
          <w:szCs w:val="24"/>
        </w:rPr>
      </w:pPr>
      <w:r>
        <w:rPr>
          <w:rFonts w:ascii="Arial" w:hAnsi="Arial" w:cs="Arial"/>
          <w:b/>
          <w:sz w:val="24"/>
          <w:szCs w:val="24"/>
        </w:rPr>
        <w:t>Staff Question</w:t>
      </w:r>
      <w:r w:rsidR="008E6045" w:rsidRPr="002D056D">
        <w:rPr>
          <w:rFonts w:ascii="Arial" w:hAnsi="Arial" w:cs="Arial"/>
          <w:b/>
          <w:sz w:val="24"/>
          <w:szCs w:val="24"/>
        </w:rPr>
        <w:t>-1</w:t>
      </w:r>
    </w:p>
    <w:p w:rsidR="008C34FF" w:rsidRDefault="00AF5D5B" w:rsidP="003D7D7B">
      <w:pPr>
        <w:rPr>
          <w:rFonts w:ascii="Arial" w:hAnsi="Arial" w:cs="Arial"/>
          <w:sz w:val="24"/>
          <w:szCs w:val="24"/>
        </w:rPr>
      </w:pPr>
      <w:r>
        <w:rPr>
          <w:rFonts w:ascii="Arial" w:hAnsi="Arial" w:cs="Arial"/>
          <w:b/>
          <w:sz w:val="24"/>
          <w:szCs w:val="24"/>
        </w:rPr>
        <w:t xml:space="preserve">Ref: </w:t>
      </w:r>
      <w:r w:rsidR="008C34FF" w:rsidRPr="00D261BB">
        <w:rPr>
          <w:rFonts w:ascii="Arial" w:hAnsi="Arial" w:cs="Arial"/>
          <w:b/>
          <w:sz w:val="24"/>
          <w:szCs w:val="24"/>
        </w:rPr>
        <w:t>Rate Generator</w:t>
      </w:r>
      <w:r w:rsidR="008C34FF" w:rsidRPr="00CE70DA">
        <w:rPr>
          <w:rFonts w:ascii="Arial" w:hAnsi="Arial" w:cs="Arial"/>
          <w:b/>
          <w:sz w:val="24"/>
          <w:szCs w:val="24"/>
        </w:rPr>
        <w:t xml:space="preserve"> Model, Tab 3 – Continuity Schedule</w:t>
      </w:r>
      <w:r w:rsidR="008C34FF">
        <w:rPr>
          <w:rFonts w:ascii="Arial" w:hAnsi="Arial" w:cs="Arial"/>
          <w:sz w:val="24"/>
          <w:szCs w:val="24"/>
        </w:rPr>
        <w:t xml:space="preserve"> </w:t>
      </w:r>
    </w:p>
    <w:p w:rsidR="00FB1A74" w:rsidRDefault="00FB1A74" w:rsidP="003D7D7B">
      <w:pPr>
        <w:rPr>
          <w:rFonts w:ascii="Arial" w:hAnsi="Arial" w:cs="Arial"/>
          <w:sz w:val="24"/>
          <w:szCs w:val="24"/>
        </w:rPr>
      </w:pPr>
      <w:r>
        <w:rPr>
          <w:noProof/>
          <w:lang w:val="en-US"/>
        </w:rPr>
        <w:drawing>
          <wp:inline distT="0" distB="0" distL="0" distR="0" wp14:anchorId="174F4EE1" wp14:editId="51D28F2A">
            <wp:extent cx="5943600" cy="32632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263265"/>
                    </a:xfrm>
                    <a:prstGeom prst="rect">
                      <a:avLst/>
                    </a:prstGeom>
                  </pic:spPr>
                </pic:pic>
              </a:graphicData>
            </a:graphic>
          </wp:inline>
        </w:drawing>
      </w:r>
    </w:p>
    <w:p w:rsidR="00FB1A74" w:rsidRDefault="00FB1A74" w:rsidP="003D7D7B">
      <w:pPr>
        <w:rPr>
          <w:rFonts w:ascii="Arial" w:hAnsi="Arial" w:cs="Arial"/>
          <w:sz w:val="24"/>
          <w:szCs w:val="24"/>
        </w:rPr>
      </w:pPr>
    </w:p>
    <w:p w:rsidR="00FB1A74" w:rsidRDefault="00FB1A74" w:rsidP="003D7D7B">
      <w:pPr>
        <w:rPr>
          <w:rFonts w:ascii="Arial" w:hAnsi="Arial" w:cs="Arial"/>
          <w:sz w:val="24"/>
          <w:szCs w:val="24"/>
        </w:rPr>
      </w:pPr>
      <w:r>
        <w:rPr>
          <w:rFonts w:ascii="Arial" w:hAnsi="Arial" w:cs="Arial"/>
          <w:sz w:val="24"/>
          <w:szCs w:val="24"/>
        </w:rPr>
        <w:t>OEB staff have updated Tab 3</w:t>
      </w:r>
      <w:r w:rsidR="00CA2D6D">
        <w:rPr>
          <w:rFonts w:ascii="Arial" w:hAnsi="Arial" w:cs="Arial"/>
          <w:sz w:val="24"/>
          <w:szCs w:val="24"/>
        </w:rPr>
        <w:t xml:space="preserve"> – Continuity Schedule to include Accounts 1588, 1589 1595 – 2014 and 1595 – 2016 in the total claim. </w:t>
      </w:r>
      <w:r w:rsidR="003D483B">
        <w:rPr>
          <w:rFonts w:ascii="Arial" w:hAnsi="Arial" w:cs="Arial"/>
          <w:sz w:val="24"/>
          <w:szCs w:val="24"/>
        </w:rPr>
        <w:t>OEB staff notes this changes the debit claim from $35,196 to</w:t>
      </w:r>
      <w:r w:rsidR="008C51F8">
        <w:rPr>
          <w:rFonts w:ascii="Arial" w:hAnsi="Arial" w:cs="Arial"/>
          <w:sz w:val="24"/>
          <w:szCs w:val="24"/>
        </w:rPr>
        <w:t xml:space="preserve"> a debit claim of $77,195, which still does not exceed the threshold test of +/- .0010</w:t>
      </w:r>
      <w:r w:rsidR="003D483B">
        <w:rPr>
          <w:rFonts w:ascii="Arial" w:hAnsi="Arial" w:cs="Arial"/>
          <w:sz w:val="24"/>
          <w:szCs w:val="24"/>
        </w:rPr>
        <w:t xml:space="preserve"> </w:t>
      </w:r>
      <w:r w:rsidR="00CA2D6D">
        <w:rPr>
          <w:rFonts w:ascii="Arial" w:hAnsi="Arial" w:cs="Arial"/>
          <w:sz w:val="24"/>
          <w:szCs w:val="24"/>
        </w:rPr>
        <w:t xml:space="preserve">Please confirm these accounts are all eligible for disposition, if not please explain. </w:t>
      </w:r>
    </w:p>
    <w:p w:rsidR="003D7D7B" w:rsidRDefault="003D7D7B" w:rsidP="003D7D7B">
      <w:pPr>
        <w:rPr>
          <w:rFonts w:ascii="Arial" w:hAnsi="Arial" w:cs="Arial"/>
          <w:sz w:val="24"/>
          <w:szCs w:val="24"/>
        </w:rPr>
      </w:pPr>
    </w:p>
    <w:p w:rsidR="00C82D51" w:rsidRDefault="00C82D51" w:rsidP="003D7D7B">
      <w:pPr>
        <w:rPr>
          <w:rFonts w:ascii="Arial" w:hAnsi="Arial" w:cs="Arial"/>
          <w:b/>
          <w:sz w:val="24"/>
          <w:szCs w:val="24"/>
        </w:rPr>
      </w:pPr>
    </w:p>
    <w:p w:rsidR="00C82D51" w:rsidRDefault="00C82D51" w:rsidP="003D7D7B">
      <w:pPr>
        <w:rPr>
          <w:rFonts w:ascii="Arial" w:hAnsi="Arial" w:cs="Arial"/>
          <w:b/>
          <w:sz w:val="24"/>
          <w:szCs w:val="24"/>
        </w:rPr>
      </w:pPr>
    </w:p>
    <w:p w:rsidR="003D7D7B" w:rsidRDefault="003D7D7B" w:rsidP="003D7D7B">
      <w:pPr>
        <w:rPr>
          <w:rFonts w:ascii="Arial" w:hAnsi="Arial" w:cs="Arial"/>
          <w:b/>
          <w:sz w:val="24"/>
          <w:szCs w:val="24"/>
        </w:rPr>
      </w:pPr>
      <w:r>
        <w:rPr>
          <w:rFonts w:ascii="Arial" w:hAnsi="Arial" w:cs="Arial"/>
          <w:b/>
          <w:sz w:val="24"/>
          <w:szCs w:val="24"/>
        </w:rPr>
        <w:lastRenderedPageBreak/>
        <w:t>Staff Question-2</w:t>
      </w:r>
    </w:p>
    <w:p w:rsidR="003D7D7B" w:rsidRDefault="003D7D7B" w:rsidP="003D7D7B">
      <w:pPr>
        <w:rPr>
          <w:rFonts w:ascii="Arial" w:hAnsi="Arial" w:cs="Arial"/>
          <w:b/>
          <w:sz w:val="24"/>
          <w:szCs w:val="24"/>
        </w:rPr>
      </w:pPr>
      <w:r>
        <w:rPr>
          <w:rFonts w:ascii="Arial" w:hAnsi="Arial" w:cs="Arial"/>
          <w:b/>
          <w:sz w:val="24"/>
          <w:szCs w:val="24"/>
        </w:rPr>
        <w:t xml:space="preserve">Ref: </w:t>
      </w:r>
      <w:r w:rsidR="00DC2BA0">
        <w:rPr>
          <w:rFonts w:ascii="Arial" w:hAnsi="Arial" w:cs="Arial"/>
          <w:b/>
          <w:sz w:val="24"/>
          <w:szCs w:val="24"/>
        </w:rPr>
        <w:t xml:space="preserve"> 1595</w:t>
      </w:r>
      <w:r w:rsidR="00C82D51">
        <w:rPr>
          <w:rFonts w:ascii="Arial" w:hAnsi="Arial" w:cs="Arial"/>
          <w:b/>
          <w:sz w:val="24"/>
          <w:szCs w:val="24"/>
        </w:rPr>
        <w:t xml:space="preserve"> Analysis Workform</w:t>
      </w:r>
    </w:p>
    <w:p w:rsidR="00C82D51" w:rsidRPr="00C82D51" w:rsidRDefault="00C82D51" w:rsidP="003D7D7B">
      <w:pPr>
        <w:rPr>
          <w:rFonts w:ascii="Arial" w:hAnsi="Arial" w:cs="Arial"/>
          <w:sz w:val="24"/>
          <w:szCs w:val="24"/>
        </w:rPr>
      </w:pPr>
      <w:r w:rsidRPr="00C82D51">
        <w:rPr>
          <w:rFonts w:ascii="Arial" w:hAnsi="Arial" w:cs="Arial"/>
          <w:sz w:val="24"/>
          <w:szCs w:val="24"/>
        </w:rPr>
        <w:t>Please complete step 2 and 3 on the 1595 Analysis Workform</w:t>
      </w:r>
      <w:r w:rsidR="0071321D">
        <w:rPr>
          <w:rFonts w:ascii="Arial" w:hAnsi="Arial" w:cs="Arial"/>
          <w:sz w:val="24"/>
          <w:szCs w:val="24"/>
        </w:rPr>
        <w:t xml:space="preserve"> for year 2014</w:t>
      </w:r>
      <w:r w:rsidRPr="00C82D51">
        <w:rPr>
          <w:rFonts w:ascii="Arial" w:hAnsi="Arial" w:cs="Arial"/>
          <w:sz w:val="24"/>
          <w:szCs w:val="24"/>
        </w:rPr>
        <w:t xml:space="preserve">. </w:t>
      </w:r>
    </w:p>
    <w:p w:rsidR="0077135A" w:rsidRPr="009A32B2" w:rsidRDefault="0077135A" w:rsidP="003D7D7B">
      <w:pPr>
        <w:rPr>
          <w:rFonts w:ascii="Arial" w:hAnsi="Arial" w:cs="Arial"/>
          <w:sz w:val="24"/>
          <w:szCs w:val="24"/>
        </w:rPr>
      </w:pPr>
    </w:p>
    <w:p w:rsidR="003D7D7B" w:rsidRPr="009A32B2" w:rsidRDefault="003D7D7B" w:rsidP="003D7D7B">
      <w:pPr>
        <w:rPr>
          <w:rFonts w:ascii="Arial" w:hAnsi="Arial" w:cs="Arial"/>
          <w:b/>
          <w:sz w:val="24"/>
          <w:szCs w:val="24"/>
        </w:rPr>
      </w:pPr>
      <w:r w:rsidRPr="009A32B2">
        <w:rPr>
          <w:rFonts w:ascii="Arial" w:hAnsi="Arial" w:cs="Arial"/>
          <w:b/>
          <w:sz w:val="24"/>
          <w:szCs w:val="24"/>
        </w:rPr>
        <w:t>Staff Question-3</w:t>
      </w:r>
    </w:p>
    <w:p w:rsidR="003D7D7B" w:rsidRPr="009A32B2" w:rsidRDefault="003D7D7B" w:rsidP="00DC2BA0">
      <w:pPr>
        <w:rPr>
          <w:rFonts w:ascii="Arial" w:hAnsi="Arial" w:cs="Arial"/>
          <w:b/>
          <w:sz w:val="24"/>
          <w:szCs w:val="24"/>
        </w:rPr>
      </w:pPr>
      <w:r w:rsidRPr="009A32B2">
        <w:rPr>
          <w:rFonts w:ascii="Arial" w:hAnsi="Arial" w:cs="Arial"/>
          <w:b/>
          <w:sz w:val="24"/>
          <w:szCs w:val="24"/>
        </w:rPr>
        <w:t xml:space="preserve">Ref: </w:t>
      </w:r>
      <w:r w:rsidR="00106C46" w:rsidRPr="009A32B2">
        <w:rPr>
          <w:rFonts w:ascii="Arial" w:hAnsi="Arial" w:cs="Arial"/>
          <w:b/>
          <w:sz w:val="24"/>
          <w:szCs w:val="24"/>
        </w:rPr>
        <w:tab/>
        <w:t xml:space="preserve">GA Analysis </w:t>
      </w:r>
      <w:proofErr w:type="spellStart"/>
      <w:r w:rsidR="00106C46" w:rsidRPr="009A32B2">
        <w:rPr>
          <w:rFonts w:ascii="Arial" w:hAnsi="Arial" w:cs="Arial"/>
          <w:b/>
          <w:sz w:val="24"/>
          <w:szCs w:val="24"/>
        </w:rPr>
        <w:t>Workform</w:t>
      </w:r>
      <w:proofErr w:type="spellEnd"/>
      <w:r w:rsidR="00106C46" w:rsidRPr="009A32B2">
        <w:rPr>
          <w:rFonts w:ascii="Arial" w:hAnsi="Arial" w:cs="Arial"/>
          <w:b/>
          <w:sz w:val="24"/>
          <w:szCs w:val="24"/>
        </w:rPr>
        <w:t xml:space="preserve"> Instructions</w:t>
      </w:r>
    </w:p>
    <w:p w:rsidR="00106C46" w:rsidRPr="009A32B2" w:rsidRDefault="00106C46" w:rsidP="00106C46">
      <w:pPr>
        <w:rPr>
          <w:rFonts w:ascii="Arial" w:hAnsi="Arial" w:cs="Arial"/>
          <w:b/>
          <w:sz w:val="24"/>
          <w:szCs w:val="24"/>
        </w:rPr>
      </w:pPr>
      <w:r w:rsidRPr="009A32B2">
        <w:rPr>
          <w:rFonts w:ascii="Arial" w:hAnsi="Arial" w:cs="Arial"/>
          <w:b/>
          <w:sz w:val="24"/>
          <w:szCs w:val="24"/>
        </w:rPr>
        <w:tab/>
      </w:r>
      <w:r w:rsidRPr="009A32B2">
        <w:rPr>
          <w:rFonts w:ascii="Arial" w:hAnsi="Arial" w:cs="Arial"/>
          <w:b/>
          <w:sz w:val="24"/>
          <w:szCs w:val="24"/>
        </w:rPr>
        <w:t>Rate Generator Model, Tab 3 – Continuity Schedule</w:t>
      </w:r>
    </w:p>
    <w:p w:rsidR="00106C46" w:rsidRPr="009A32B2" w:rsidRDefault="00106C46" w:rsidP="00106C46">
      <w:pPr>
        <w:rPr>
          <w:rFonts w:ascii="Arial" w:hAnsi="Arial" w:cs="Arial"/>
          <w:b/>
          <w:sz w:val="24"/>
          <w:szCs w:val="24"/>
        </w:rPr>
      </w:pPr>
      <w:r w:rsidRPr="009A32B2">
        <w:rPr>
          <w:rFonts w:ascii="Arial" w:hAnsi="Arial" w:cs="Arial"/>
          <w:b/>
          <w:sz w:val="24"/>
          <w:szCs w:val="24"/>
        </w:rPr>
        <w:tab/>
        <w:t xml:space="preserve">GA Analysis </w:t>
      </w:r>
      <w:proofErr w:type="spellStart"/>
      <w:r w:rsidRPr="009A32B2">
        <w:rPr>
          <w:rFonts w:ascii="Arial" w:hAnsi="Arial" w:cs="Arial"/>
          <w:b/>
          <w:sz w:val="24"/>
          <w:szCs w:val="24"/>
        </w:rPr>
        <w:t>Workform</w:t>
      </w:r>
      <w:proofErr w:type="spellEnd"/>
    </w:p>
    <w:p w:rsidR="00106C46" w:rsidRPr="009A32B2" w:rsidRDefault="00106C46" w:rsidP="00106C46">
      <w:pPr>
        <w:rPr>
          <w:rFonts w:ascii="Arial" w:hAnsi="Arial" w:cs="Arial"/>
          <w:sz w:val="24"/>
          <w:szCs w:val="24"/>
        </w:rPr>
      </w:pPr>
      <w:r w:rsidRPr="009A32B2">
        <w:rPr>
          <w:rFonts w:ascii="Arial" w:hAnsi="Arial" w:cs="Arial"/>
          <w:sz w:val="24"/>
          <w:szCs w:val="24"/>
        </w:rPr>
        <w:t xml:space="preserve">The GA Analysis </w:t>
      </w:r>
      <w:proofErr w:type="spellStart"/>
      <w:r w:rsidRPr="009A32B2">
        <w:rPr>
          <w:rFonts w:ascii="Arial" w:hAnsi="Arial" w:cs="Arial"/>
          <w:sz w:val="24"/>
          <w:szCs w:val="24"/>
        </w:rPr>
        <w:t>Workform</w:t>
      </w:r>
      <w:proofErr w:type="spellEnd"/>
      <w:r w:rsidRPr="009A32B2">
        <w:rPr>
          <w:rFonts w:ascii="Arial" w:hAnsi="Arial" w:cs="Arial"/>
          <w:sz w:val="24"/>
          <w:szCs w:val="24"/>
        </w:rPr>
        <w:t xml:space="preserve"> Instructions states that</w:t>
      </w:r>
    </w:p>
    <w:p w:rsidR="00106C46" w:rsidRPr="009A32B2" w:rsidRDefault="00106C46" w:rsidP="00106C46">
      <w:pPr>
        <w:pStyle w:val="ListParagraph"/>
        <w:spacing w:after="0"/>
        <w:ind w:left="1080"/>
        <w:rPr>
          <w:rFonts w:ascii="Arial" w:hAnsi="Arial" w:cs="Arial"/>
          <w:sz w:val="24"/>
          <w:szCs w:val="24"/>
        </w:rPr>
      </w:pPr>
      <w:r w:rsidRPr="009A32B2">
        <w:rPr>
          <w:rFonts w:ascii="Arial" w:eastAsia="Times New Roman" w:hAnsi="Arial" w:cs="Arial"/>
          <w:sz w:val="24"/>
          <w:szCs w:val="24"/>
        </w:rPr>
        <w:t>Input the Net Change in Principal Balance in the GL:</w:t>
      </w:r>
    </w:p>
    <w:p w:rsidR="00106C46" w:rsidRPr="009A32B2" w:rsidRDefault="00106C46" w:rsidP="00106C46">
      <w:pPr>
        <w:pStyle w:val="ListParagraph"/>
        <w:spacing w:after="0"/>
        <w:ind w:left="1080"/>
        <w:rPr>
          <w:rFonts w:ascii="Arial" w:eastAsia="Times New Roman" w:hAnsi="Arial" w:cs="Arial"/>
          <w:sz w:val="24"/>
          <w:szCs w:val="24"/>
        </w:rPr>
      </w:pPr>
    </w:p>
    <w:p w:rsidR="00106C46" w:rsidRPr="009A32B2" w:rsidRDefault="00106C46" w:rsidP="00106C46">
      <w:pPr>
        <w:pStyle w:val="ListParagraph"/>
        <w:spacing w:after="0"/>
        <w:ind w:left="1080"/>
        <w:rPr>
          <w:rFonts w:ascii="Arial" w:eastAsia="Times New Roman" w:hAnsi="Arial" w:cs="Arial"/>
          <w:sz w:val="24"/>
          <w:szCs w:val="24"/>
        </w:rPr>
      </w:pPr>
      <w:r w:rsidRPr="009A32B2">
        <w:rPr>
          <w:rFonts w:ascii="Arial" w:eastAsia="Times New Roman" w:hAnsi="Arial" w:cs="Arial"/>
          <w:sz w:val="24"/>
          <w:szCs w:val="24"/>
        </w:rPr>
        <w:t>This should equal the GA flow-through transactions recorded in Account 1589 for the year. [</w:t>
      </w:r>
      <w:r w:rsidRPr="009A32B2">
        <w:rPr>
          <w:rFonts w:ascii="Arial" w:eastAsia="Times New Roman" w:hAnsi="Arial" w:cs="Arial"/>
          <w:b/>
          <w:i/>
          <w:sz w:val="24"/>
          <w:szCs w:val="24"/>
        </w:rPr>
        <w:t>N.B</w:t>
      </w:r>
      <w:r w:rsidRPr="009A32B2">
        <w:rPr>
          <w:rFonts w:ascii="Arial" w:eastAsia="Times New Roman" w:hAnsi="Arial" w:cs="Arial"/>
          <w:i/>
          <w:sz w:val="24"/>
          <w:szCs w:val="24"/>
        </w:rPr>
        <w:t>.</w:t>
      </w:r>
      <w:r w:rsidRPr="009A32B2">
        <w:rPr>
          <w:rFonts w:ascii="Arial" w:eastAsia="Times New Roman" w:hAnsi="Arial" w:cs="Arial"/>
          <w:sz w:val="24"/>
          <w:szCs w:val="24"/>
        </w:rPr>
        <w:t>: Please do not include dispositions in this number]</w:t>
      </w:r>
    </w:p>
    <w:p w:rsidR="00106C46" w:rsidRPr="009A32B2" w:rsidRDefault="00106C46" w:rsidP="00106C46">
      <w:pPr>
        <w:pStyle w:val="ListParagraph"/>
        <w:spacing w:after="0"/>
        <w:ind w:left="1080"/>
        <w:rPr>
          <w:rFonts w:ascii="Arial" w:eastAsia="Times New Roman" w:hAnsi="Arial" w:cs="Arial"/>
          <w:sz w:val="24"/>
          <w:szCs w:val="24"/>
        </w:rPr>
      </w:pPr>
    </w:p>
    <w:p w:rsidR="009A32B2" w:rsidRPr="009A32B2" w:rsidRDefault="00106C46" w:rsidP="00106C46">
      <w:pPr>
        <w:pStyle w:val="ListParagraph"/>
        <w:spacing w:after="0"/>
        <w:ind w:left="0"/>
        <w:rPr>
          <w:rFonts w:ascii="Arial" w:hAnsi="Arial" w:cs="Arial"/>
          <w:sz w:val="24"/>
          <w:szCs w:val="24"/>
        </w:rPr>
      </w:pPr>
      <w:r w:rsidRPr="009A32B2">
        <w:rPr>
          <w:rFonts w:ascii="Arial" w:eastAsia="Times New Roman" w:hAnsi="Arial" w:cs="Arial"/>
          <w:sz w:val="24"/>
          <w:szCs w:val="24"/>
        </w:rPr>
        <w:t xml:space="preserve">Staff prepares a table below to compare the </w:t>
      </w:r>
      <w:r w:rsidR="0077135A" w:rsidRPr="009A32B2">
        <w:rPr>
          <w:rFonts w:ascii="Arial" w:hAnsi="Arial" w:cs="Arial"/>
          <w:sz w:val="24"/>
          <w:szCs w:val="24"/>
        </w:rPr>
        <w:t>Net chan</w:t>
      </w:r>
      <w:r w:rsidRPr="009A32B2">
        <w:rPr>
          <w:rFonts w:ascii="Arial" w:hAnsi="Arial" w:cs="Arial"/>
          <w:sz w:val="24"/>
          <w:szCs w:val="24"/>
        </w:rPr>
        <w:t xml:space="preserve">ge in Principal balances on the </w:t>
      </w:r>
      <w:r w:rsidR="0077135A" w:rsidRPr="009A32B2">
        <w:rPr>
          <w:rFonts w:ascii="Arial" w:hAnsi="Arial" w:cs="Arial"/>
          <w:sz w:val="24"/>
          <w:szCs w:val="24"/>
        </w:rPr>
        <w:t xml:space="preserve">GA analysis </w:t>
      </w:r>
      <w:proofErr w:type="spellStart"/>
      <w:r w:rsidR="0077135A" w:rsidRPr="009A32B2">
        <w:rPr>
          <w:rFonts w:ascii="Arial" w:hAnsi="Arial" w:cs="Arial"/>
          <w:sz w:val="24"/>
          <w:szCs w:val="24"/>
        </w:rPr>
        <w:t>workform</w:t>
      </w:r>
      <w:proofErr w:type="spellEnd"/>
      <w:r w:rsidR="0077135A" w:rsidRPr="009A32B2">
        <w:rPr>
          <w:rFonts w:ascii="Arial" w:hAnsi="Arial" w:cs="Arial"/>
          <w:sz w:val="24"/>
          <w:szCs w:val="24"/>
        </w:rPr>
        <w:t xml:space="preserve"> </w:t>
      </w:r>
      <w:r w:rsidRPr="009A32B2">
        <w:rPr>
          <w:rFonts w:ascii="Arial" w:hAnsi="Arial" w:cs="Arial"/>
          <w:sz w:val="24"/>
          <w:szCs w:val="24"/>
        </w:rPr>
        <w:t>to the transactions debit</w:t>
      </w:r>
      <w:proofErr w:type="gramStart"/>
      <w:r w:rsidRPr="009A32B2">
        <w:rPr>
          <w:rFonts w:ascii="Arial" w:hAnsi="Arial" w:cs="Arial"/>
          <w:sz w:val="24"/>
          <w:szCs w:val="24"/>
        </w:rPr>
        <w:t>/(</w:t>
      </w:r>
      <w:proofErr w:type="gramEnd"/>
      <w:r w:rsidRPr="009A32B2">
        <w:rPr>
          <w:rFonts w:ascii="Arial" w:hAnsi="Arial" w:cs="Arial"/>
          <w:sz w:val="24"/>
          <w:szCs w:val="24"/>
        </w:rPr>
        <w:t xml:space="preserve">credit) </w:t>
      </w:r>
      <w:r w:rsidR="009A32B2" w:rsidRPr="009A32B2">
        <w:rPr>
          <w:rFonts w:ascii="Arial" w:hAnsi="Arial" w:cs="Arial"/>
          <w:sz w:val="24"/>
          <w:szCs w:val="24"/>
        </w:rPr>
        <w:t>during the year on the DVA continuity schedule of the IRM rate generator model:</w:t>
      </w:r>
    </w:p>
    <w:p w:rsidR="009A32B2" w:rsidRDefault="009A32B2" w:rsidP="00106C46">
      <w:pPr>
        <w:pStyle w:val="ListParagraph"/>
        <w:spacing w:after="0"/>
        <w:ind w:left="0"/>
        <w:rPr>
          <w:rFonts w:ascii="Arial" w:hAnsi="Arial" w:cs="Arial"/>
          <w:sz w:val="24"/>
          <w:szCs w:val="24"/>
          <w:highlight w:val="yellow"/>
        </w:rPr>
      </w:pPr>
    </w:p>
    <w:tbl>
      <w:tblPr>
        <w:tblW w:w="8840" w:type="dxa"/>
        <w:tblLook w:val="04A0" w:firstRow="1" w:lastRow="0" w:firstColumn="1" w:lastColumn="0" w:noHBand="0" w:noVBand="1"/>
      </w:tblPr>
      <w:tblGrid>
        <w:gridCol w:w="3056"/>
        <w:gridCol w:w="1476"/>
        <w:gridCol w:w="1476"/>
        <w:gridCol w:w="1476"/>
        <w:gridCol w:w="1356"/>
      </w:tblGrid>
      <w:tr w:rsidR="009A32B2" w:rsidRPr="009A32B2" w:rsidTr="009A32B2">
        <w:trPr>
          <w:trHeight w:val="288"/>
        </w:trPr>
        <w:tc>
          <w:tcPr>
            <w:tcW w:w="3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rPr>
                <w:rFonts w:ascii="Calibri" w:eastAsia="Times New Roman" w:hAnsi="Calibri" w:cs="Calibri"/>
                <w:color w:val="000000"/>
                <w:lang w:val="en-US"/>
              </w:rPr>
            </w:pPr>
            <w:r w:rsidRPr="009A32B2">
              <w:rPr>
                <w:rFonts w:ascii="Calibri" w:eastAsia="Times New Roman" w:hAnsi="Calibri" w:cs="Calibri"/>
                <w:color w:val="000000"/>
                <w:lang w:val="en-US"/>
              </w:rPr>
              <w:t>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jc w:val="right"/>
              <w:rPr>
                <w:rFonts w:ascii="Arial" w:eastAsia="Times New Roman" w:hAnsi="Arial" w:cs="Arial"/>
                <w:b/>
                <w:bCs/>
                <w:color w:val="000000"/>
                <w:lang w:val="en-US"/>
              </w:rPr>
            </w:pPr>
            <w:r w:rsidRPr="009A32B2">
              <w:rPr>
                <w:rFonts w:ascii="Arial" w:eastAsia="Times New Roman" w:hAnsi="Arial" w:cs="Arial"/>
                <w:b/>
                <w:bCs/>
                <w:color w:val="000000"/>
                <w:lang w:val="en-US"/>
              </w:rPr>
              <w:t>2015</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jc w:val="right"/>
              <w:rPr>
                <w:rFonts w:ascii="Arial" w:eastAsia="Times New Roman" w:hAnsi="Arial" w:cs="Arial"/>
                <w:b/>
                <w:bCs/>
                <w:color w:val="000000"/>
                <w:lang w:val="en-US"/>
              </w:rPr>
            </w:pPr>
            <w:r w:rsidRPr="009A32B2">
              <w:rPr>
                <w:rFonts w:ascii="Arial" w:eastAsia="Times New Roman" w:hAnsi="Arial" w:cs="Arial"/>
                <w:b/>
                <w:bCs/>
                <w:color w:val="000000"/>
                <w:lang w:val="en-US"/>
              </w:rPr>
              <w:t>2016</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jc w:val="right"/>
              <w:rPr>
                <w:rFonts w:ascii="Arial" w:eastAsia="Times New Roman" w:hAnsi="Arial" w:cs="Arial"/>
                <w:b/>
                <w:bCs/>
                <w:color w:val="000000"/>
                <w:lang w:val="en-US"/>
              </w:rPr>
            </w:pPr>
            <w:r w:rsidRPr="009A32B2">
              <w:rPr>
                <w:rFonts w:ascii="Arial" w:eastAsia="Times New Roman" w:hAnsi="Arial" w:cs="Arial"/>
                <w:b/>
                <w:bCs/>
                <w:color w:val="000000"/>
                <w:lang w:val="en-US"/>
              </w:rPr>
              <w:t>2017</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jc w:val="right"/>
              <w:rPr>
                <w:rFonts w:ascii="Arial" w:eastAsia="Times New Roman" w:hAnsi="Arial" w:cs="Arial"/>
                <w:b/>
                <w:bCs/>
                <w:color w:val="000000"/>
                <w:lang w:val="en-US"/>
              </w:rPr>
            </w:pPr>
            <w:r w:rsidRPr="009A32B2">
              <w:rPr>
                <w:rFonts w:ascii="Arial" w:eastAsia="Times New Roman" w:hAnsi="Arial" w:cs="Arial"/>
                <w:b/>
                <w:bCs/>
                <w:color w:val="000000"/>
                <w:lang w:val="en-US"/>
              </w:rPr>
              <w:t>2018</w:t>
            </w:r>
          </w:p>
        </w:tc>
      </w:tr>
      <w:tr w:rsidR="009A32B2" w:rsidRPr="009A32B2" w:rsidTr="009A32B2">
        <w:trPr>
          <w:trHeight w:val="828"/>
        </w:trPr>
        <w:tc>
          <w:tcPr>
            <w:tcW w:w="3056" w:type="dxa"/>
            <w:tcBorders>
              <w:top w:val="nil"/>
              <w:left w:val="single" w:sz="4" w:space="0" w:color="auto"/>
              <w:bottom w:val="single" w:sz="4" w:space="0" w:color="auto"/>
              <w:right w:val="single" w:sz="4" w:space="0" w:color="auto"/>
            </w:tcBorders>
            <w:shd w:val="clear" w:color="auto" w:fill="auto"/>
            <w:vAlign w:val="center"/>
            <w:hideMark/>
          </w:tcPr>
          <w:p w:rsidR="009A32B2" w:rsidRPr="009A32B2" w:rsidRDefault="009A32B2" w:rsidP="009A32B2">
            <w:pPr>
              <w:spacing w:after="0" w:line="240" w:lineRule="auto"/>
              <w:rPr>
                <w:rFonts w:ascii="Arial" w:eastAsia="Times New Roman" w:hAnsi="Arial" w:cs="Arial"/>
                <w:lang w:val="en-US"/>
              </w:rPr>
            </w:pPr>
            <w:r w:rsidRPr="009A32B2">
              <w:rPr>
                <w:rFonts w:ascii="Arial" w:eastAsia="Times New Roman" w:hAnsi="Arial" w:cs="Arial"/>
                <w:lang w:val="en-US"/>
              </w:rPr>
              <w:t>Transaction Debit/(Credit) during the year per the DVA Continuity Schedule</w:t>
            </w:r>
          </w:p>
        </w:tc>
        <w:tc>
          <w:tcPr>
            <w:tcW w:w="1476" w:type="dxa"/>
            <w:tcBorders>
              <w:top w:val="nil"/>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rPr>
                <w:rFonts w:ascii="Arial" w:eastAsia="Times New Roman" w:hAnsi="Arial" w:cs="Arial"/>
                <w:color w:val="000000"/>
                <w:lang w:val="en-US"/>
              </w:rPr>
            </w:pPr>
            <w:r w:rsidRPr="009A32B2">
              <w:rPr>
                <w:rFonts w:ascii="Arial" w:eastAsia="Times New Roman" w:hAnsi="Arial" w:cs="Arial"/>
                <w:color w:val="000000"/>
                <w:lang w:val="en-US"/>
              </w:rPr>
              <w:t xml:space="preserve">         351,521 </w:t>
            </w:r>
          </w:p>
        </w:tc>
        <w:tc>
          <w:tcPr>
            <w:tcW w:w="1476" w:type="dxa"/>
            <w:tcBorders>
              <w:top w:val="nil"/>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rPr>
                <w:rFonts w:ascii="Arial" w:eastAsia="Times New Roman" w:hAnsi="Arial" w:cs="Arial"/>
                <w:color w:val="000000"/>
                <w:lang w:val="en-US"/>
              </w:rPr>
            </w:pPr>
            <w:r w:rsidRPr="009A32B2">
              <w:rPr>
                <w:rFonts w:ascii="Arial" w:eastAsia="Times New Roman" w:hAnsi="Arial" w:cs="Arial"/>
                <w:color w:val="000000"/>
                <w:lang w:val="en-US"/>
              </w:rPr>
              <w:t xml:space="preserve">       (215,229)</w:t>
            </w:r>
          </w:p>
        </w:tc>
        <w:tc>
          <w:tcPr>
            <w:tcW w:w="1476" w:type="dxa"/>
            <w:tcBorders>
              <w:top w:val="nil"/>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rPr>
                <w:rFonts w:ascii="Arial" w:eastAsia="Times New Roman" w:hAnsi="Arial" w:cs="Arial"/>
                <w:color w:val="000000"/>
                <w:lang w:val="en-US"/>
              </w:rPr>
            </w:pPr>
            <w:r w:rsidRPr="009A32B2">
              <w:rPr>
                <w:rFonts w:ascii="Arial" w:eastAsia="Times New Roman" w:hAnsi="Arial" w:cs="Arial"/>
                <w:color w:val="000000"/>
                <w:lang w:val="en-US"/>
              </w:rPr>
              <w:t xml:space="preserve">       (425,982)</w:t>
            </w:r>
          </w:p>
        </w:tc>
        <w:tc>
          <w:tcPr>
            <w:tcW w:w="1356" w:type="dxa"/>
            <w:tcBorders>
              <w:top w:val="nil"/>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rPr>
                <w:rFonts w:ascii="Arial" w:eastAsia="Times New Roman" w:hAnsi="Arial" w:cs="Arial"/>
                <w:color w:val="000000"/>
                <w:lang w:val="en-US"/>
              </w:rPr>
            </w:pPr>
            <w:r w:rsidRPr="009A32B2">
              <w:rPr>
                <w:rFonts w:ascii="Arial" w:eastAsia="Times New Roman" w:hAnsi="Arial" w:cs="Arial"/>
                <w:color w:val="000000"/>
                <w:lang w:val="en-US"/>
              </w:rPr>
              <w:t xml:space="preserve">       (38,476)</w:t>
            </w:r>
          </w:p>
        </w:tc>
      </w:tr>
      <w:tr w:rsidR="009A32B2" w:rsidRPr="009A32B2" w:rsidTr="009A32B2">
        <w:trPr>
          <w:trHeight w:val="828"/>
        </w:trPr>
        <w:tc>
          <w:tcPr>
            <w:tcW w:w="3056" w:type="dxa"/>
            <w:tcBorders>
              <w:top w:val="nil"/>
              <w:left w:val="single" w:sz="4" w:space="0" w:color="auto"/>
              <w:bottom w:val="single" w:sz="4" w:space="0" w:color="auto"/>
              <w:right w:val="single" w:sz="4" w:space="0" w:color="auto"/>
            </w:tcBorders>
            <w:shd w:val="clear" w:color="auto" w:fill="auto"/>
            <w:vAlign w:val="center"/>
            <w:hideMark/>
          </w:tcPr>
          <w:p w:rsidR="009A32B2" w:rsidRPr="009A32B2" w:rsidRDefault="009A32B2" w:rsidP="009A32B2">
            <w:pPr>
              <w:spacing w:after="0" w:line="240" w:lineRule="auto"/>
              <w:rPr>
                <w:rFonts w:ascii="Arial" w:eastAsia="Times New Roman" w:hAnsi="Arial" w:cs="Arial"/>
                <w:lang w:val="en-US"/>
              </w:rPr>
            </w:pPr>
            <w:r w:rsidRPr="009A32B2">
              <w:rPr>
                <w:rFonts w:ascii="Arial" w:eastAsia="Times New Roman" w:hAnsi="Arial" w:cs="Arial"/>
                <w:lang w:val="en-US"/>
              </w:rPr>
              <w:t xml:space="preserve">Net Change in Principal Balance in the GL per the GA Analysis </w:t>
            </w:r>
            <w:proofErr w:type="spellStart"/>
            <w:r w:rsidRPr="009A32B2">
              <w:rPr>
                <w:rFonts w:ascii="Arial" w:eastAsia="Times New Roman" w:hAnsi="Arial" w:cs="Arial"/>
                <w:lang w:val="en-US"/>
              </w:rPr>
              <w:t>Workform</w:t>
            </w:r>
            <w:proofErr w:type="spellEnd"/>
          </w:p>
        </w:tc>
        <w:tc>
          <w:tcPr>
            <w:tcW w:w="1476" w:type="dxa"/>
            <w:tcBorders>
              <w:top w:val="nil"/>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rPr>
                <w:rFonts w:ascii="Arial" w:eastAsia="Times New Roman" w:hAnsi="Arial" w:cs="Arial"/>
                <w:color w:val="000000"/>
                <w:lang w:val="en-US"/>
              </w:rPr>
            </w:pPr>
            <w:r w:rsidRPr="009A32B2">
              <w:rPr>
                <w:rFonts w:ascii="Arial" w:eastAsia="Times New Roman" w:hAnsi="Arial" w:cs="Arial"/>
                <w:color w:val="000000"/>
                <w:lang w:val="en-US"/>
              </w:rPr>
              <w:t xml:space="preserve">         351,521 </w:t>
            </w:r>
          </w:p>
        </w:tc>
        <w:tc>
          <w:tcPr>
            <w:tcW w:w="1476" w:type="dxa"/>
            <w:tcBorders>
              <w:top w:val="nil"/>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rPr>
                <w:rFonts w:ascii="Arial" w:eastAsia="Times New Roman" w:hAnsi="Arial" w:cs="Arial"/>
                <w:color w:val="000000"/>
                <w:lang w:val="en-US"/>
              </w:rPr>
            </w:pPr>
            <w:r w:rsidRPr="009A32B2">
              <w:rPr>
                <w:rFonts w:ascii="Arial" w:eastAsia="Times New Roman" w:hAnsi="Arial" w:cs="Arial"/>
                <w:color w:val="000000"/>
                <w:lang w:val="en-US"/>
              </w:rPr>
              <w:t xml:space="preserve">       (362,650)</w:t>
            </w:r>
          </w:p>
        </w:tc>
        <w:tc>
          <w:tcPr>
            <w:tcW w:w="1476" w:type="dxa"/>
            <w:tcBorders>
              <w:top w:val="nil"/>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rPr>
                <w:rFonts w:ascii="Arial" w:eastAsia="Times New Roman" w:hAnsi="Arial" w:cs="Arial"/>
                <w:color w:val="000000"/>
                <w:lang w:val="en-US"/>
              </w:rPr>
            </w:pPr>
            <w:r w:rsidRPr="009A32B2">
              <w:rPr>
                <w:rFonts w:ascii="Arial" w:eastAsia="Times New Roman" w:hAnsi="Arial" w:cs="Arial"/>
                <w:color w:val="000000"/>
                <w:lang w:val="en-US"/>
              </w:rPr>
              <w:t xml:space="preserve">       (424,982)</w:t>
            </w:r>
          </w:p>
        </w:tc>
        <w:tc>
          <w:tcPr>
            <w:tcW w:w="1356" w:type="dxa"/>
            <w:tcBorders>
              <w:top w:val="nil"/>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rPr>
                <w:rFonts w:ascii="Arial" w:eastAsia="Times New Roman" w:hAnsi="Arial" w:cs="Arial"/>
                <w:color w:val="000000"/>
                <w:lang w:val="en-US"/>
              </w:rPr>
            </w:pPr>
            <w:r w:rsidRPr="009A32B2">
              <w:rPr>
                <w:rFonts w:ascii="Arial" w:eastAsia="Times New Roman" w:hAnsi="Arial" w:cs="Arial"/>
                <w:color w:val="000000"/>
                <w:lang w:val="en-US"/>
              </w:rPr>
              <w:t xml:space="preserve">      203,424 </w:t>
            </w:r>
          </w:p>
        </w:tc>
      </w:tr>
      <w:tr w:rsidR="009A32B2" w:rsidRPr="009A32B2" w:rsidTr="009A32B2">
        <w:trPr>
          <w:trHeight w:val="288"/>
        </w:trPr>
        <w:tc>
          <w:tcPr>
            <w:tcW w:w="3056" w:type="dxa"/>
            <w:tcBorders>
              <w:top w:val="nil"/>
              <w:left w:val="single" w:sz="4" w:space="0" w:color="auto"/>
              <w:bottom w:val="single" w:sz="4" w:space="0" w:color="auto"/>
              <w:right w:val="single" w:sz="4" w:space="0" w:color="auto"/>
            </w:tcBorders>
            <w:shd w:val="clear" w:color="auto" w:fill="auto"/>
            <w:vAlign w:val="center"/>
            <w:hideMark/>
          </w:tcPr>
          <w:p w:rsidR="009A32B2" w:rsidRPr="009A32B2" w:rsidRDefault="009A32B2" w:rsidP="009A32B2">
            <w:pPr>
              <w:spacing w:after="0" w:line="240" w:lineRule="auto"/>
              <w:rPr>
                <w:rFonts w:ascii="Arial" w:eastAsia="Times New Roman" w:hAnsi="Arial" w:cs="Arial"/>
                <w:b/>
                <w:lang w:val="en-US"/>
              </w:rPr>
            </w:pPr>
            <w:r w:rsidRPr="009A32B2">
              <w:rPr>
                <w:rFonts w:ascii="Arial" w:eastAsia="Times New Roman" w:hAnsi="Arial" w:cs="Arial"/>
                <w:b/>
                <w:lang w:val="en-US"/>
              </w:rPr>
              <w:t>Difference</w:t>
            </w:r>
          </w:p>
        </w:tc>
        <w:tc>
          <w:tcPr>
            <w:tcW w:w="1476" w:type="dxa"/>
            <w:tcBorders>
              <w:top w:val="nil"/>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rPr>
                <w:rFonts w:ascii="Arial" w:eastAsia="Times New Roman" w:hAnsi="Arial" w:cs="Arial"/>
                <w:b/>
                <w:color w:val="000000"/>
                <w:lang w:val="en-US"/>
              </w:rPr>
            </w:pPr>
            <w:r w:rsidRPr="009A32B2">
              <w:rPr>
                <w:rFonts w:ascii="Arial" w:eastAsia="Times New Roman" w:hAnsi="Arial" w:cs="Arial"/>
                <w:b/>
                <w:color w:val="000000"/>
                <w:lang w:val="en-US"/>
              </w:rPr>
              <w:t xml:space="preserve">                    0 </w:t>
            </w:r>
          </w:p>
        </w:tc>
        <w:tc>
          <w:tcPr>
            <w:tcW w:w="1476" w:type="dxa"/>
            <w:tcBorders>
              <w:top w:val="nil"/>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rPr>
                <w:rFonts w:ascii="Arial" w:eastAsia="Times New Roman" w:hAnsi="Arial" w:cs="Arial"/>
                <w:b/>
                <w:color w:val="000000"/>
                <w:lang w:val="en-US"/>
              </w:rPr>
            </w:pPr>
            <w:r w:rsidRPr="009A32B2">
              <w:rPr>
                <w:rFonts w:ascii="Arial" w:eastAsia="Times New Roman" w:hAnsi="Arial" w:cs="Arial"/>
                <w:b/>
                <w:color w:val="000000"/>
                <w:lang w:val="en-US"/>
              </w:rPr>
              <w:t xml:space="preserve">         147,421 </w:t>
            </w:r>
          </w:p>
        </w:tc>
        <w:tc>
          <w:tcPr>
            <w:tcW w:w="1476" w:type="dxa"/>
            <w:tcBorders>
              <w:top w:val="nil"/>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rPr>
                <w:rFonts w:ascii="Arial" w:eastAsia="Times New Roman" w:hAnsi="Arial" w:cs="Arial"/>
                <w:b/>
                <w:color w:val="000000"/>
                <w:lang w:val="en-US"/>
              </w:rPr>
            </w:pPr>
            <w:r w:rsidRPr="009A32B2">
              <w:rPr>
                <w:rFonts w:ascii="Arial" w:eastAsia="Times New Roman" w:hAnsi="Arial" w:cs="Arial"/>
                <w:b/>
                <w:color w:val="000000"/>
                <w:lang w:val="en-US"/>
              </w:rPr>
              <w:t xml:space="preserve">           (1,000)</w:t>
            </w:r>
          </w:p>
        </w:tc>
        <w:tc>
          <w:tcPr>
            <w:tcW w:w="1356" w:type="dxa"/>
            <w:tcBorders>
              <w:top w:val="nil"/>
              <w:left w:val="nil"/>
              <w:bottom w:val="single" w:sz="4" w:space="0" w:color="auto"/>
              <w:right w:val="single" w:sz="4" w:space="0" w:color="auto"/>
            </w:tcBorders>
            <w:shd w:val="clear" w:color="auto" w:fill="auto"/>
            <w:noWrap/>
            <w:vAlign w:val="bottom"/>
            <w:hideMark/>
          </w:tcPr>
          <w:p w:rsidR="009A32B2" w:rsidRPr="009A32B2" w:rsidRDefault="009A32B2" w:rsidP="009A32B2">
            <w:pPr>
              <w:spacing w:after="0" w:line="240" w:lineRule="auto"/>
              <w:rPr>
                <w:rFonts w:ascii="Arial" w:eastAsia="Times New Roman" w:hAnsi="Arial" w:cs="Arial"/>
                <w:b/>
                <w:color w:val="000000"/>
                <w:lang w:val="en-US"/>
              </w:rPr>
            </w:pPr>
            <w:r w:rsidRPr="009A32B2">
              <w:rPr>
                <w:rFonts w:ascii="Arial" w:eastAsia="Times New Roman" w:hAnsi="Arial" w:cs="Arial"/>
                <w:b/>
                <w:color w:val="000000"/>
                <w:lang w:val="en-US"/>
              </w:rPr>
              <w:t xml:space="preserve">     (241,900)</w:t>
            </w:r>
          </w:p>
        </w:tc>
      </w:tr>
    </w:tbl>
    <w:p w:rsidR="009A32B2" w:rsidRDefault="009A32B2" w:rsidP="00106C46">
      <w:pPr>
        <w:pStyle w:val="ListParagraph"/>
        <w:spacing w:after="0"/>
        <w:ind w:left="0"/>
        <w:rPr>
          <w:rFonts w:ascii="Arial" w:hAnsi="Arial" w:cs="Arial"/>
          <w:sz w:val="24"/>
          <w:szCs w:val="24"/>
          <w:highlight w:val="yellow"/>
        </w:rPr>
      </w:pPr>
    </w:p>
    <w:p w:rsidR="009A32B2" w:rsidRPr="009A32B2" w:rsidRDefault="009A32B2" w:rsidP="00106C46">
      <w:pPr>
        <w:pStyle w:val="ListParagraph"/>
        <w:spacing w:after="0"/>
        <w:ind w:left="0"/>
        <w:rPr>
          <w:rFonts w:ascii="Arial" w:hAnsi="Arial" w:cs="Arial"/>
          <w:sz w:val="24"/>
          <w:szCs w:val="24"/>
        </w:rPr>
      </w:pPr>
    </w:p>
    <w:p w:rsidR="0077135A" w:rsidRPr="009A32B2" w:rsidRDefault="009A32B2" w:rsidP="009A32B2">
      <w:pPr>
        <w:pStyle w:val="ListParagraph"/>
        <w:numPr>
          <w:ilvl w:val="0"/>
          <w:numId w:val="33"/>
        </w:numPr>
        <w:spacing w:after="0"/>
        <w:rPr>
          <w:rFonts w:ascii="Arial" w:hAnsi="Arial" w:cs="Arial"/>
          <w:sz w:val="24"/>
          <w:szCs w:val="24"/>
        </w:rPr>
      </w:pPr>
      <w:r w:rsidRPr="009A32B2">
        <w:rPr>
          <w:rFonts w:ascii="Arial" w:hAnsi="Arial" w:cs="Arial"/>
          <w:sz w:val="24"/>
          <w:szCs w:val="24"/>
        </w:rPr>
        <w:t>Please explain the differences noted in the table</w:t>
      </w:r>
      <w:r w:rsidR="00CB1813">
        <w:rPr>
          <w:rFonts w:ascii="Arial" w:hAnsi="Arial" w:cs="Arial"/>
          <w:sz w:val="24"/>
          <w:szCs w:val="24"/>
        </w:rPr>
        <w:t xml:space="preserve"> above</w:t>
      </w:r>
      <w:r w:rsidRPr="009A32B2">
        <w:rPr>
          <w:rFonts w:ascii="Arial" w:hAnsi="Arial" w:cs="Arial"/>
          <w:sz w:val="24"/>
          <w:szCs w:val="24"/>
        </w:rPr>
        <w:t xml:space="preserve"> for the years of 2016 to 2018. </w:t>
      </w:r>
    </w:p>
    <w:p w:rsidR="009A32B2" w:rsidRDefault="009A32B2" w:rsidP="009A32B2">
      <w:pPr>
        <w:spacing w:after="0"/>
        <w:rPr>
          <w:rFonts w:ascii="Arial" w:hAnsi="Arial" w:cs="Arial"/>
          <w:sz w:val="24"/>
          <w:szCs w:val="24"/>
          <w:highlight w:val="yellow"/>
        </w:rPr>
      </w:pPr>
    </w:p>
    <w:p w:rsidR="009A32B2" w:rsidRPr="009A32B2" w:rsidRDefault="009A32B2" w:rsidP="009A32B2">
      <w:pPr>
        <w:spacing w:after="0"/>
        <w:rPr>
          <w:rFonts w:ascii="Arial" w:hAnsi="Arial" w:cs="Arial"/>
          <w:sz w:val="24"/>
          <w:szCs w:val="24"/>
          <w:highlight w:val="yellow"/>
        </w:rPr>
      </w:pPr>
    </w:p>
    <w:p w:rsidR="003D7D7B" w:rsidRPr="001B0F50" w:rsidRDefault="003D7D7B" w:rsidP="003D7D7B">
      <w:pPr>
        <w:rPr>
          <w:rFonts w:ascii="Arial" w:hAnsi="Arial" w:cs="Arial"/>
          <w:b/>
          <w:sz w:val="24"/>
          <w:szCs w:val="24"/>
        </w:rPr>
      </w:pPr>
      <w:r w:rsidRPr="001B0F50">
        <w:rPr>
          <w:rFonts w:ascii="Arial" w:hAnsi="Arial" w:cs="Arial"/>
          <w:b/>
          <w:sz w:val="24"/>
          <w:szCs w:val="24"/>
        </w:rPr>
        <w:t>Staff Question-4</w:t>
      </w:r>
    </w:p>
    <w:p w:rsidR="009E6279" w:rsidRDefault="00B566F8" w:rsidP="00DC2BA0">
      <w:pPr>
        <w:rPr>
          <w:rFonts w:ascii="Arial" w:hAnsi="Arial" w:cs="Arial"/>
          <w:b/>
          <w:sz w:val="24"/>
          <w:szCs w:val="24"/>
        </w:rPr>
      </w:pPr>
      <w:r w:rsidRPr="001B0F50">
        <w:rPr>
          <w:rFonts w:ascii="Arial" w:hAnsi="Arial" w:cs="Arial"/>
          <w:b/>
          <w:sz w:val="24"/>
          <w:szCs w:val="24"/>
        </w:rPr>
        <w:t xml:space="preserve">Ref: </w:t>
      </w:r>
      <w:r w:rsidR="009E6279" w:rsidRPr="001B0F50">
        <w:rPr>
          <w:rFonts w:ascii="Arial" w:hAnsi="Arial" w:cs="Arial"/>
          <w:b/>
          <w:sz w:val="24"/>
          <w:szCs w:val="24"/>
        </w:rPr>
        <w:tab/>
      </w:r>
      <w:r w:rsidR="0077135A" w:rsidRPr="001B0F50">
        <w:rPr>
          <w:rFonts w:ascii="Arial" w:hAnsi="Arial" w:cs="Arial"/>
          <w:b/>
          <w:sz w:val="24"/>
          <w:szCs w:val="24"/>
        </w:rPr>
        <w:t xml:space="preserve">GA </w:t>
      </w:r>
      <w:r w:rsidR="009A32B2" w:rsidRPr="001B0F50">
        <w:rPr>
          <w:rFonts w:ascii="Arial" w:hAnsi="Arial" w:cs="Arial"/>
          <w:b/>
          <w:sz w:val="24"/>
          <w:szCs w:val="24"/>
        </w:rPr>
        <w:t xml:space="preserve">Analysis </w:t>
      </w:r>
      <w:proofErr w:type="spellStart"/>
      <w:r w:rsidR="009A32B2" w:rsidRPr="001B0F50">
        <w:rPr>
          <w:rFonts w:ascii="Arial" w:hAnsi="Arial" w:cs="Arial"/>
          <w:b/>
          <w:sz w:val="24"/>
          <w:szCs w:val="24"/>
        </w:rPr>
        <w:t>W</w:t>
      </w:r>
      <w:r w:rsidR="0077135A" w:rsidRPr="001B0F50">
        <w:rPr>
          <w:rFonts w:ascii="Arial" w:hAnsi="Arial" w:cs="Arial"/>
          <w:b/>
          <w:sz w:val="24"/>
          <w:szCs w:val="24"/>
        </w:rPr>
        <w:t>orkform</w:t>
      </w:r>
      <w:proofErr w:type="spellEnd"/>
    </w:p>
    <w:p w:rsidR="00B566F8" w:rsidRDefault="009E6279" w:rsidP="00DC2BA0">
      <w:pPr>
        <w:rPr>
          <w:rFonts w:ascii="Arial" w:hAnsi="Arial" w:cs="Arial"/>
          <w:b/>
          <w:sz w:val="24"/>
          <w:szCs w:val="24"/>
        </w:rPr>
      </w:pPr>
      <w:r>
        <w:rPr>
          <w:rFonts w:ascii="Arial" w:hAnsi="Arial" w:cs="Arial"/>
          <w:b/>
          <w:sz w:val="24"/>
          <w:szCs w:val="24"/>
        </w:rPr>
        <w:lastRenderedPageBreak/>
        <w:tab/>
      </w:r>
      <w:r w:rsidR="0077135A">
        <w:rPr>
          <w:rFonts w:ascii="Arial" w:hAnsi="Arial" w:cs="Arial"/>
          <w:b/>
          <w:sz w:val="24"/>
          <w:szCs w:val="24"/>
        </w:rPr>
        <w:t xml:space="preserve"> </w:t>
      </w:r>
      <w:r w:rsidRPr="009A32B2">
        <w:rPr>
          <w:rFonts w:ascii="Arial" w:hAnsi="Arial" w:cs="Arial"/>
          <w:b/>
          <w:sz w:val="24"/>
          <w:szCs w:val="24"/>
        </w:rPr>
        <w:t>Rate Generator Model, Tab 3 – Continuity Schedule</w:t>
      </w:r>
    </w:p>
    <w:p w:rsidR="0077135A" w:rsidRPr="00CB1813" w:rsidRDefault="00CB1813" w:rsidP="00DC2BA0">
      <w:pPr>
        <w:rPr>
          <w:rFonts w:ascii="Arial" w:hAnsi="Arial" w:cs="Arial"/>
          <w:sz w:val="24"/>
          <w:szCs w:val="24"/>
        </w:rPr>
      </w:pPr>
      <w:r>
        <w:rPr>
          <w:rFonts w:ascii="Arial" w:hAnsi="Arial" w:cs="Arial"/>
          <w:sz w:val="24"/>
          <w:szCs w:val="24"/>
        </w:rPr>
        <w:t xml:space="preserve">Staff summarized one reconciling item – Differences in GA Unbilled, on the GA analysis </w:t>
      </w:r>
      <w:proofErr w:type="spellStart"/>
      <w:r>
        <w:rPr>
          <w:rFonts w:ascii="Arial" w:hAnsi="Arial" w:cs="Arial"/>
          <w:sz w:val="24"/>
          <w:szCs w:val="24"/>
        </w:rPr>
        <w:t>workform</w:t>
      </w:r>
      <w:proofErr w:type="spellEnd"/>
      <w:r>
        <w:rPr>
          <w:rFonts w:ascii="Arial" w:hAnsi="Arial" w:cs="Arial"/>
          <w:sz w:val="24"/>
          <w:szCs w:val="24"/>
        </w:rPr>
        <w:t xml:space="preserve"> as below</w:t>
      </w:r>
      <w:r w:rsidR="009E6279">
        <w:rPr>
          <w:rFonts w:ascii="Arial" w:hAnsi="Arial" w:cs="Arial"/>
          <w:sz w:val="24"/>
          <w:szCs w:val="24"/>
        </w:rPr>
        <w:t xml:space="preserve">: </w:t>
      </w:r>
    </w:p>
    <w:tbl>
      <w:tblPr>
        <w:tblW w:w="9140" w:type="dxa"/>
        <w:tblLayout w:type="fixed"/>
        <w:tblLook w:val="04A0" w:firstRow="1" w:lastRow="0" w:firstColumn="1" w:lastColumn="0" w:noHBand="0" w:noVBand="1"/>
      </w:tblPr>
      <w:tblGrid>
        <w:gridCol w:w="2695"/>
        <w:gridCol w:w="1611"/>
        <w:gridCol w:w="1611"/>
        <w:gridCol w:w="1611"/>
        <w:gridCol w:w="1612"/>
      </w:tblGrid>
      <w:tr w:rsidR="00CB1813" w:rsidRPr="00CB1813" w:rsidTr="00CB1813">
        <w:trPr>
          <w:trHeight w:val="288"/>
        </w:trPr>
        <w:tc>
          <w:tcPr>
            <w:tcW w:w="2695" w:type="dxa"/>
            <w:tcBorders>
              <w:top w:val="single" w:sz="4" w:space="0" w:color="auto"/>
              <w:left w:val="single" w:sz="4" w:space="0" w:color="auto"/>
              <w:bottom w:val="single" w:sz="4" w:space="0" w:color="auto"/>
              <w:right w:val="single" w:sz="4" w:space="0" w:color="auto"/>
            </w:tcBorders>
            <w:shd w:val="clear" w:color="000000" w:fill="EDEDED"/>
            <w:vAlign w:val="bottom"/>
          </w:tcPr>
          <w:p w:rsidR="00CB1813" w:rsidRPr="00CB1813" w:rsidRDefault="009E6279" w:rsidP="009A32B2">
            <w:pPr>
              <w:spacing w:after="0" w:line="240" w:lineRule="auto"/>
              <w:rPr>
                <w:rFonts w:ascii="Arial" w:eastAsia="Times New Roman" w:hAnsi="Arial" w:cs="Arial"/>
                <w:b/>
                <w:color w:val="000000"/>
                <w:lang w:val="en-US"/>
              </w:rPr>
            </w:pPr>
            <w:r>
              <w:rPr>
                <w:rFonts w:ascii="Arial" w:eastAsia="Times New Roman" w:hAnsi="Arial" w:cs="Arial"/>
                <w:b/>
                <w:color w:val="000000"/>
                <w:lang w:val="en-US"/>
              </w:rPr>
              <w:t>$</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CB1813" w:rsidRPr="00CB1813" w:rsidRDefault="00CB1813" w:rsidP="009A32B2">
            <w:pPr>
              <w:spacing w:after="0" w:line="240" w:lineRule="auto"/>
              <w:jc w:val="center"/>
              <w:rPr>
                <w:rFonts w:ascii="Arial" w:eastAsia="Times New Roman" w:hAnsi="Arial" w:cs="Arial"/>
                <w:b/>
                <w:color w:val="000000"/>
                <w:lang w:val="en-US"/>
              </w:rPr>
            </w:pPr>
            <w:r w:rsidRPr="00CB1813">
              <w:rPr>
                <w:rFonts w:ascii="Arial" w:eastAsia="Times New Roman" w:hAnsi="Arial" w:cs="Arial"/>
                <w:b/>
                <w:color w:val="000000"/>
                <w:lang w:val="en-US"/>
              </w:rPr>
              <w:t>2015</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CB1813" w:rsidRPr="00CB1813" w:rsidRDefault="00CB1813" w:rsidP="009A32B2">
            <w:pPr>
              <w:spacing w:after="0" w:line="240" w:lineRule="auto"/>
              <w:jc w:val="center"/>
              <w:rPr>
                <w:rFonts w:ascii="Arial" w:eastAsia="Times New Roman" w:hAnsi="Arial" w:cs="Arial"/>
                <w:b/>
                <w:color w:val="000000"/>
                <w:lang w:val="en-US"/>
              </w:rPr>
            </w:pPr>
            <w:r w:rsidRPr="00CB1813">
              <w:rPr>
                <w:rFonts w:ascii="Arial" w:eastAsia="Times New Roman" w:hAnsi="Arial" w:cs="Arial"/>
                <w:b/>
                <w:color w:val="000000"/>
                <w:lang w:val="en-US"/>
              </w:rPr>
              <w:t>2016</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CB1813" w:rsidRPr="00CB1813" w:rsidRDefault="00CB1813" w:rsidP="009A32B2">
            <w:pPr>
              <w:spacing w:after="0" w:line="240" w:lineRule="auto"/>
              <w:jc w:val="center"/>
              <w:rPr>
                <w:rFonts w:ascii="Arial" w:eastAsia="Times New Roman" w:hAnsi="Arial" w:cs="Arial"/>
                <w:b/>
                <w:color w:val="000000"/>
                <w:lang w:val="en-US"/>
              </w:rPr>
            </w:pPr>
            <w:r w:rsidRPr="00CB1813">
              <w:rPr>
                <w:rFonts w:ascii="Arial" w:eastAsia="Times New Roman" w:hAnsi="Arial" w:cs="Arial"/>
                <w:b/>
                <w:color w:val="000000"/>
                <w:lang w:val="en-US"/>
              </w:rPr>
              <w:t>2017</w:t>
            </w:r>
          </w:p>
        </w:tc>
        <w:tc>
          <w:tcPr>
            <w:tcW w:w="1612" w:type="dxa"/>
            <w:tcBorders>
              <w:top w:val="single" w:sz="4" w:space="0" w:color="auto"/>
              <w:left w:val="nil"/>
              <w:bottom w:val="single" w:sz="4" w:space="0" w:color="auto"/>
              <w:right w:val="single" w:sz="4" w:space="0" w:color="auto"/>
            </w:tcBorders>
            <w:shd w:val="clear" w:color="000000" w:fill="EDEDED"/>
            <w:noWrap/>
            <w:vAlign w:val="bottom"/>
          </w:tcPr>
          <w:p w:rsidR="00CB1813" w:rsidRPr="00CB1813" w:rsidRDefault="00CB1813" w:rsidP="009A32B2">
            <w:pPr>
              <w:spacing w:after="0" w:line="240" w:lineRule="auto"/>
              <w:jc w:val="center"/>
              <w:rPr>
                <w:rFonts w:ascii="Arial" w:eastAsia="Times New Roman" w:hAnsi="Arial" w:cs="Arial"/>
                <w:b/>
                <w:color w:val="000000"/>
                <w:lang w:val="en-US"/>
              </w:rPr>
            </w:pPr>
            <w:r w:rsidRPr="00CB1813">
              <w:rPr>
                <w:rFonts w:ascii="Arial" w:eastAsia="Times New Roman" w:hAnsi="Arial" w:cs="Arial"/>
                <w:b/>
                <w:color w:val="000000"/>
                <w:lang w:val="en-US"/>
              </w:rPr>
              <w:t>2018</w:t>
            </w:r>
          </w:p>
        </w:tc>
      </w:tr>
      <w:tr w:rsidR="009A32B2" w:rsidRPr="009A32B2" w:rsidTr="00CB1813">
        <w:trPr>
          <w:trHeight w:val="288"/>
        </w:trPr>
        <w:tc>
          <w:tcPr>
            <w:tcW w:w="2695" w:type="dxa"/>
            <w:tcBorders>
              <w:top w:val="single" w:sz="4" w:space="0" w:color="auto"/>
              <w:left w:val="single" w:sz="4" w:space="0" w:color="auto"/>
              <w:bottom w:val="single" w:sz="4" w:space="0" w:color="auto"/>
              <w:right w:val="single" w:sz="4" w:space="0" w:color="auto"/>
            </w:tcBorders>
            <w:shd w:val="clear" w:color="000000" w:fill="EDEDED"/>
            <w:vAlign w:val="bottom"/>
            <w:hideMark/>
          </w:tcPr>
          <w:p w:rsidR="009A32B2" w:rsidRPr="009A32B2" w:rsidRDefault="009A32B2" w:rsidP="009A32B2">
            <w:pPr>
              <w:spacing w:after="0" w:line="240" w:lineRule="auto"/>
              <w:rPr>
                <w:rFonts w:ascii="Arial" w:eastAsia="Times New Roman" w:hAnsi="Arial" w:cs="Arial"/>
                <w:color w:val="000000"/>
                <w:lang w:val="en-US"/>
              </w:rPr>
            </w:pPr>
            <w:r w:rsidRPr="009A32B2">
              <w:rPr>
                <w:rFonts w:ascii="Arial" w:eastAsia="Times New Roman" w:hAnsi="Arial" w:cs="Arial"/>
                <w:color w:val="000000"/>
                <w:lang w:val="en-US"/>
              </w:rPr>
              <w:t>Differences in GA Unbilled</w:t>
            </w:r>
            <w:r w:rsidR="009E6279">
              <w:rPr>
                <w:rFonts w:ascii="Arial" w:eastAsia="Times New Roman" w:hAnsi="Arial" w:cs="Arial"/>
                <w:color w:val="000000"/>
                <w:lang w:val="en-US"/>
              </w:rPr>
              <w:t xml:space="preserve"> </w:t>
            </w:r>
          </w:p>
        </w:tc>
        <w:tc>
          <w:tcPr>
            <w:tcW w:w="1611" w:type="dxa"/>
            <w:tcBorders>
              <w:top w:val="single" w:sz="4" w:space="0" w:color="auto"/>
              <w:left w:val="nil"/>
              <w:bottom w:val="single" w:sz="4" w:space="0" w:color="auto"/>
              <w:right w:val="single" w:sz="4" w:space="0" w:color="auto"/>
            </w:tcBorders>
            <w:shd w:val="clear" w:color="000000" w:fill="EDEDED"/>
            <w:noWrap/>
            <w:vAlign w:val="bottom"/>
            <w:hideMark/>
          </w:tcPr>
          <w:p w:rsidR="009A32B2" w:rsidRPr="009A32B2" w:rsidRDefault="00CB1813" w:rsidP="009A32B2">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009A32B2" w:rsidRPr="009A32B2">
              <w:rPr>
                <w:rFonts w:ascii="Arial" w:eastAsia="Times New Roman" w:hAnsi="Arial" w:cs="Arial"/>
                <w:color w:val="000000"/>
                <w:lang w:val="en-US"/>
              </w:rPr>
              <w:t xml:space="preserve">               (221,740) </w:t>
            </w:r>
          </w:p>
        </w:tc>
        <w:tc>
          <w:tcPr>
            <w:tcW w:w="1611" w:type="dxa"/>
            <w:tcBorders>
              <w:top w:val="single" w:sz="4" w:space="0" w:color="auto"/>
              <w:left w:val="nil"/>
              <w:bottom w:val="single" w:sz="4" w:space="0" w:color="auto"/>
              <w:right w:val="single" w:sz="4" w:space="0" w:color="auto"/>
            </w:tcBorders>
            <w:shd w:val="clear" w:color="000000" w:fill="EDEDED"/>
            <w:noWrap/>
            <w:vAlign w:val="bottom"/>
            <w:hideMark/>
          </w:tcPr>
          <w:p w:rsidR="009A32B2" w:rsidRPr="009A32B2" w:rsidRDefault="00CB1813" w:rsidP="009A32B2">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009A32B2" w:rsidRPr="009A32B2">
              <w:rPr>
                <w:rFonts w:ascii="Arial" w:eastAsia="Times New Roman" w:hAnsi="Arial" w:cs="Arial"/>
                <w:color w:val="000000"/>
                <w:lang w:val="en-US"/>
              </w:rPr>
              <w:t xml:space="preserve">58,474 </w:t>
            </w:r>
          </w:p>
        </w:tc>
        <w:tc>
          <w:tcPr>
            <w:tcW w:w="1611" w:type="dxa"/>
            <w:tcBorders>
              <w:top w:val="single" w:sz="4" w:space="0" w:color="auto"/>
              <w:left w:val="nil"/>
              <w:bottom w:val="single" w:sz="4" w:space="0" w:color="auto"/>
              <w:right w:val="single" w:sz="4" w:space="0" w:color="auto"/>
            </w:tcBorders>
            <w:shd w:val="clear" w:color="000000" w:fill="EDEDED"/>
            <w:noWrap/>
            <w:vAlign w:val="bottom"/>
            <w:hideMark/>
          </w:tcPr>
          <w:p w:rsidR="009A32B2" w:rsidRPr="009A32B2" w:rsidRDefault="00CB1813" w:rsidP="009A32B2">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009A32B2" w:rsidRPr="009A32B2">
              <w:rPr>
                <w:rFonts w:ascii="Arial" w:eastAsia="Times New Roman" w:hAnsi="Arial" w:cs="Arial"/>
                <w:color w:val="000000"/>
                <w:lang w:val="en-US"/>
              </w:rPr>
              <w:t xml:space="preserve">405,166 </w:t>
            </w:r>
          </w:p>
        </w:tc>
        <w:tc>
          <w:tcPr>
            <w:tcW w:w="1612" w:type="dxa"/>
            <w:tcBorders>
              <w:top w:val="single" w:sz="4" w:space="0" w:color="auto"/>
              <w:left w:val="nil"/>
              <w:bottom w:val="single" w:sz="4" w:space="0" w:color="auto"/>
              <w:right w:val="single" w:sz="4" w:space="0" w:color="auto"/>
            </w:tcBorders>
            <w:shd w:val="clear" w:color="000000" w:fill="EDEDED"/>
            <w:noWrap/>
            <w:vAlign w:val="bottom"/>
            <w:hideMark/>
          </w:tcPr>
          <w:p w:rsidR="009A32B2" w:rsidRPr="009A32B2" w:rsidRDefault="00CB1813" w:rsidP="009A32B2">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 xml:space="preserve"> </w:t>
            </w:r>
            <w:r w:rsidR="009A32B2" w:rsidRPr="009A32B2">
              <w:rPr>
                <w:rFonts w:ascii="Arial" w:eastAsia="Times New Roman" w:hAnsi="Arial" w:cs="Arial"/>
                <w:color w:val="000000"/>
                <w:lang w:val="en-US"/>
              </w:rPr>
              <w:t xml:space="preserve">(241,900) </w:t>
            </w:r>
          </w:p>
        </w:tc>
      </w:tr>
    </w:tbl>
    <w:p w:rsidR="0077135A" w:rsidRDefault="0077135A" w:rsidP="00DC2BA0">
      <w:pPr>
        <w:rPr>
          <w:rFonts w:ascii="Arial" w:hAnsi="Arial" w:cs="Arial"/>
          <w:sz w:val="24"/>
          <w:szCs w:val="24"/>
        </w:rPr>
      </w:pPr>
    </w:p>
    <w:p w:rsidR="009E6279" w:rsidRDefault="009E6279" w:rsidP="00DC2BA0">
      <w:pPr>
        <w:rPr>
          <w:rFonts w:ascii="Arial" w:hAnsi="Arial" w:cs="Arial"/>
          <w:sz w:val="24"/>
          <w:szCs w:val="24"/>
        </w:rPr>
      </w:pPr>
      <w:r>
        <w:rPr>
          <w:rFonts w:ascii="Arial" w:hAnsi="Arial" w:cs="Arial"/>
          <w:sz w:val="24"/>
          <w:szCs w:val="24"/>
        </w:rPr>
        <w:t xml:space="preserve">Staff notes that the cumulative difference in GA unbilled, calculated as the sum of all differences, is nil. </w:t>
      </w:r>
    </w:p>
    <w:p w:rsidR="009E6279" w:rsidRDefault="009E6279" w:rsidP="00DC2BA0">
      <w:pPr>
        <w:rPr>
          <w:rFonts w:ascii="Arial" w:hAnsi="Arial" w:cs="Arial"/>
          <w:sz w:val="24"/>
          <w:szCs w:val="24"/>
        </w:rPr>
      </w:pPr>
      <w:r>
        <w:rPr>
          <w:rFonts w:ascii="Arial" w:hAnsi="Arial" w:cs="Arial"/>
          <w:sz w:val="24"/>
          <w:szCs w:val="24"/>
        </w:rPr>
        <w:t xml:space="preserve">Staff summarized the principal adjustments during the years of 2015 to 2018 on the DVA continuity schedule of the IRM rate generator model as below: </w:t>
      </w:r>
    </w:p>
    <w:tbl>
      <w:tblPr>
        <w:tblW w:w="9140" w:type="dxa"/>
        <w:tblLayout w:type="fixed"/>
        <w:tblLook w:val="04A0" w:firstRow="1" w:lastRow="0" w:firstColumn="1" w:lastColumn="0" w:noHBand="0" w:noVBand="1"/>
      </w:tblPr>
      <w:tblGrid>
        <w:gridCol w:w="2695"/>
        <w:gridCol w:w="1611"/>
        <w:gridCol w:w="1611"/>
        <w:gridCol w:w="1611"/>
        <w:gridCol w:w="1612"/>
      </w:tblGrid>
      <w:tr w:rsidR="009E6279" w:rsidRPr="00CB1813" w:rsidTr="005C3C8C">
        <w:trPr>
          <w:trHeight w:val="288"/>
        </w:trPr>
        <w:tc>
          <w:tcPr>
            <w:tcW w:w="2695" w:type="dxa"/>
            <w:tcBorders>
              <w:top w:val="single" w:sz="4" w:space="0" w:color="auto"/>
              <w:left w:val="single" w:sz="4" w:space="0" w:color="auto"/>
              <w:bottom w:val="single" w:sz="4" w:space="0" w:color="auto"/>
              <w:right w:val="single" w:sz="4" w:space="0" w:color="auto"/>
            </w:tcBorders>
            <w:shd w:val="clear" w:color="000000" w:fill="EDEDED"/>
            <w:vAlign w:val="bottom"/>
          </w:tcPr>
          <w:p w:rsidR="009E6279" w:rsidRPr="00CB1813" w:rsidRDefault="009E6279" w:rsidP="005C3C8C">
            <w:pPr>
              <w:spacing w:after="0" w:line="240" w:lineRule="auto"/>
              <w:rPr>
                <w:rFonts w:ascii="Arial" w:eastAsia="Times New Roman" w:hAnsi="Arial" w:cs="Arial"/>
                <w:b/>
                <w:color w:val="000000"/>
                <w:lang w:val="en-US"/>
              </w:rPr>
            </w:pPr>
            <w:r>
              <w:rPr>
                <w:rFonts w:ascii="Arial" w:eastAsia="Times New Roman" w:hAnsi="Arial" w:cs="Arial"/>
                <w:b/>
                <w:color w:val="000000"/>
                <w:lang w:val="en-US"/>
              </w:rPr>
              <w:t>$</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9E6279" w:rsidRPr="00CB1813" w:rsidRDefault="009E6279" w:rsidP="005C3C8C">
            <w:pPr>
              <w:spacing w:after="0" w:line="240" w:lineRule="auto"/>
              <w:jc w:val="center"/>
              <w:rPr>
                <w:rFonts w:ascii="Arial" w:eastAsia="Times New Roman" w:hAnsi="Arial" w:cs="Arial"/>
                <w:b/>
                <w:color w:val="000000"/>
                <w:lang w:val="en-US"/>
              </w:rPr>
            </w:pPr>
            <w:r w:rsidRPr="00CB1813">
              <w:rPr>
                <w:rFonts w:ascii="Arial" w:eastAsia="Times New Roman" w:hAnsi="Arial" w:cs="Arial"/>
                <w:b/>
                <w:color w:val="000000"/>
                <w:lang w:val="en-US"/>
              </w:rPr>
              <w:t>2015</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9E6279" w:rsidRPr="00CB1813" w:rsidRDefault="009E6279" w:rsidP="005C3C8C">
            <w:pPr>
              <w:spacing w:after="0" w:line="240" w:lineRule="auto"/>
              <w:jc w:val="center"/>
              <w:rPr>
                <w:rFonts w:ascii="Arial" w:eastAsia="Times New Roman" w:hAnsi="Arial" w:cs="Arial"/>
                <w:b/>
                <w:color w:val="000000"/>
                <w:lang w:val="en-US"/>
              </w:rPr>
            </w:pPr>
            <w:r w:rsidRPr="00CB1813">
              <w:rPr>
                <w:rFonts w:ascii="Arial" w:eastAsia="Times New Roman" w:hAnsi="Arial" w:cs="Arial"/>
                <w:b/>
                <w:color w:val="000000"/>
                <w:lang w:val="en-US"/>
              </w:rPr>
              <w:t>2016</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9E6279" w:rsidRPr="00CB1813" w:rsidRDefault="009E6279" w:rsidP="005C3C8C">
            <w:pPr>
              <w:spacing w:after="0" w:line="240" w:lineRule="auto"/>
              <w:jc w:val="center"/>
              <w:rPr>
                <w:rFonts w:ascii="Arial" w:eastAsia="Times New Roman" w:hAnsi="Arial" w:cs="Arial"/>
                <w:b/>
                <w:color w:val="000000"/>
                <w:lang w:val="en-US"/>
              </w:rPr>
            </w:pPr>
            <w:r w:rsidRPr="00CB1813">
              <w:rPr>
                <w:rFonts w:ascii="Arial" w:eastAsia="Times New Roman" w:hAnsi="Arial" w:cs="Arial"/>
                <w:b/>
                <w:color w:val="000000"/>
                <w:lang w:val="en-US"/>
              </w:rPr>
              <w:t>2017</w:t>
            </w:r>
          </w:p>
        </w:tc>
        <w:tc>
          <w:tcPr>
            <w:tcW w:w="1612" w:type="dxa"/>
            <w:tcBorders>
              <w:top w:val="single" w:sz="4" w:space="0" w:color="auto"/>
              <w:left w:val="nil"/>
              <w:bottom w:val="single" w:sz="4" w:space="0" w:color="auto"/>
              <w:right w:val="single" w:sz="4" w:space="0" w:color="auto"/>
            </w:tcBorders>
            <w:shd w:val="clear" w:color="000000" w:fill="EDEDED"/>
            <w:noWrap/>
            <w:vAlign w:val="bottom"/>
          </w:tcPr>
          <w:p w:rsidR="009E6279" w:rsidRPr="00CB1813" w:rsidRDefault="009E6279" w:rsidP="005C3C8C">
            <w:pPr>
              <w:spacing w:after="0" w:line="240" w:lineRule="auto"/>
              <w:jc w:val="center"/>
              <w:rPr>
                <w:rFonts w:ascii="Arial" w:eastAsia="Times New Roman" w:hAnsi="Arial" w:cs="Arial"/>
                <w:b/>
                <w:color w:val="000000"/>
                <w:lang w:val="en-US"/>
              </w:rPr>
            </w:pPr>
            <w:r w:rsidRPr="00CB1813">
              <w:rPr>
                <w:rFonts w:ascii="Arial" w:eastAsia="Times New Roman" w:hAnsi="Arial" w:cs="Arial"/>
                <w:b/>
                <w:color w:val="000000"/>
                <w:lang w:val="en-US"/>
              </w:rPr>
              <w:t>2018</w:t>
            </w:r>
          </w:p>
        </w:tc>
      </w:tr>
      <w:tr w:rsidR="009E6279" w:rsidRPr="009A32B2" w:rsidTr="009E6279">
        <w:trPr>
          <w:trHeight w:val="288"/>
        </w:trPr>
        <w:tc>
          <w:tcPr>
            <w:tcW w:w="2695" w:type="dxa"/>
            <w:tcBorders>
              <w:top w:val="single" w:sz="4" w:space="0" w:color="auto"/>
              <w:left w:val="single" w:sz="4" w:space="0" w:color="auto"/>
              <w:bottom w:val="single" w:sz="4" w:space="0" w:color="auto"/>
              <w:right w:val="single" w:sz="4" w:space="0" w:color="auto"/>
            </w:tcBorders>
            <w:shd w:val="clear" w:color="000000" w:fill="EDEDED"/>
            <w:vAlign w:val="bottom"/>
            <w:hideMark/>
          </w:tcPr>
          <w:p w:rsidR="009E6279" w:rsidRPr="009A32B2" w:rsidRDefault="009E6279" w:rsidP="005C3C8C">
            <w:pPr>
              <w:spacing w:after="0" w:line="240" w:lineRule="auto"/>
              <w:rPr>
                <w:rFonts w:ascii="Arial" w:eastAsia="Times New Roman" w:hAnsi="Arial" w:cs="Arial"/>
                <w:color w:val="000000"/>
                <w:lang w:val="en-US"/>
              </w:rPr>
            </w:pPr>
            <w:r>
              <w:rPr>
                <w:rFonts w:ascii="Arial" w:eastAsia="Times New Roman" w:hAnsi="Arial" w:cs="Arial"/>
                <w:color w:val="000000"/>
                <w:lang w:val="en-US"/>
              </w:rPr>
              <w:t xml:space="preserve">Principal Adjustments During the year of </w:t>
            </w:r>
          </w:p>
        </w:tc>
        <w:tc>
          <w:tcPr>
            <w:tcW w:w="1611" w:type="dxa"/>
            <w:tcBorders>
              <w:top w:val="single" w:sz="4" w:space="0" w:color="auto"/>
              <w:left w:val="nil"/>
              <w:bottom w:val="single" w:sz="4" w:space="0" w:color="auto"/>
              <w:right w:val="single" w:sz="4" w:space="0" w:color="auto"/>
            </w:tcBorders>
            <w:shd w:val="clear" w:color="000000" w:fill="EDEDED"/>
            <w:noWrap/>
            <w:vAlign w:val="bottom"/>
            <w:hideMark/>
          </w:tcPr>
          <w:p w:rsidR="009E6279" w:rsidRPr="009A32B2" w:rsidRDefault="009E6279" w:rsidP="009E6279">
            <w:pPr>
              <w:jc w:val="center"/>
              <w:rPr>
                <w:rFonts w:ascii="Arial" w:eastAsia="Times New Roman" w:hAnsi="Arial" w:cs="Arial"/>
                <w:color w:val="000000"/>
                <w:lang w:val="en-US"/>
              </w:rPr>
            </w:pPr>
            <w:r w:rsidRPr="003D78CE">
              <w:rPr>
                <w:rFonts w:ascii="Arial" w:hAnsi="Arial" w:cs="Arial"/>
              </w:rPr>
              <w:t>(221,740)</w:t>
            </w:r>
            <w:r>
              <w:rPr>
                <w:rFonts w:ascii="Arial" w:eastAsia="Times New Roman" w:hAnsi="Arial" w:cs="Arial"/>
                <w:color w:val="000000"/>
                <w:lang w:val="en-US"/>
              </w:rPr>
              <w:t xml:space="preserve">             </w:t>
            </w:r>
            <w:r w:rsidRPr="009A32B2">
              <w:rPr>
                <w:rFonts w:ascii="Arial" w:eastAsia="Times New Roman" w:hAnsi="Arial" w:cs="Arial"/>
                <w:color w:val="000000"/>
                <w:lang w:val="en-US"/>
              </w:rPr>
              <w:t xml:space="preserve"> </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9E6279" w:rsidRPr="009A32B2" w:rsidRDefault="009E6279" w:rsidP="009E6279">
            <w:pPr>
              <w:jc w:val="center"/>
              <w:rPr>
                <w:rFonts w:ascii="Arial" w:eastAsia="Times New Roman" w:hAnsi="Arial" w:cs="Arial"/>
                <w:color w:val="000000"/>
                <w:lang w:val="en-US"/>
              </w:rPr>
            </w:pPr>
            <w:r>
              <w:rPr>
                <w:rFonts w:ascii="Arial" w:hAnsi="Arial" w:cs="Arial"/>
              </w:rPr>
              <w:t>58,474</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9E6279" w:rsidRPr="009A32B2" w:rsidRDefault="009E6279" w:rsidP="009E6279">
            <w:pPr>
              <w:jc w:val="center"/>
              <w:rPr>
                <w:rFonts w:ascii="Arial" w:eastAsia="Times New Roman" w:hAnsi="Arial" w:cs="Arial"/>
                <w:color w:val="000000"/>
                <w:lang w:val="en-US"/>
              </w:rPr>
            </w:pPr>
            <w:r>
              <w:rPr>
                <w:rFonts w:ascii="Arial" w:hAnsi="Arial" w:cs="Arial"/>
              </w:rPr>
              <w:t>164,266</w:t>
            </w:r>
          </w:p>
        </w:tc>
        <w:tc>
          <w:tcPr>
            <w:tcW w:w="1612" w:type="dxa"/>
            <w:tcBorders>
              <w:top w:val="single" w:sz="4" w:space="0" w:color="auto"/>
              <w:left w:val="nil"/>
              <w:bottom w:val="single" w:sz="4" w:space="0" w:color="auto"/>
              <w:right w:val="single" w:sz="4" w:space="0" w:color="auto"/>
            </w:tcBorders>
            <w:shd w:val="clear" w:color="000000" w:fill="EDEDED"/>
            <w:noWrap/>
            <w:vAlign w:val="bottom"/>
          </w:tcPr>
          <w:p w:rsidR="009E6279" w:rsidRPr="009A32B2" w:rsidRDefault="003D78CE" w:rsidP="003D78CE">
            <w:pPr>
              <w:jc w:val="center"/>
              <w:rPr>
                <w:rFonts w:ascii="Arial" w:eastAsia="Times New Roman" w:hAnsi="Arial" w:cs="Arial"/>
                <w:color w:val="000000"/>
                <w:lang w:val="en-US"/>
              </w:rPr>
            </w:pPr>
            <w:r>
              <w:rPr>
                <w:rFonts w:ascii="Arial" w:hAnsi="Arial" w:cs="Arial"/>
              </w:rPr>
              <w:t>241,900</w:t>
            </w:r>
          </w:p>
        </w:tc>
      </w:tr>
    </w:tbl>
    <w:p w:rsidR="009E6279" w:rsidRDefault="009E6279" w:rsidP="00DC2BA0">
      <w:pPr>
        <w:rPr>
          <w:rFonts w:ascii="Arial" w:hAnsi="Arial" w:cs="Arial"/>
          <w:sz w:val="24"/>
          <w:szCs w:val="24"/>
        </w:rPr>
      </w:pPr>
    </w:p>
    <w:p w:rsidR="003D78CE" w:rsidRDefault="003D78CE" w:rsidP="00DC2BA0">
      <w:pPr>
        <w:rPr>
          <w:rFonts w:ascii="Arial" w:hAnsi="Arial" w:cs="Arial"/>
          <w:sz w:val="24"/>
          <w:szCs w:val="24"/>
        </w:rPr>
      </w:pPr>
      <w:r>
        <w:rPr>
          <w:rFonts w:ascii="Arial" w:hAnsi="Arial" w:cs="Arial"/>
          <w:sz w:val="24"/>
          <w:szCs w:val="24"/>
        </w:rPr>
        <w:t xml:space="preserve">Staff notes that the sum of the above principal adjustments of 2015 to 2018 as per the continuity schedule is $242,900. </w:t>
      </w:r>
    </w:p>
    <w:p w:rsidR="003D78CE" w:rsidRDefault="003D78CE" w:rsidP="003D78CE">
      <w:pPr>
        <w:pStyle w:val="ListParagraph"/>
        <w:numPr>
          <w:ilvl w:val="0"/>
          <w:numId w:val="34"/>
        </w:numPr>
        <w:rPr>
          <w:rFonts w:ascii="Arial" w:hAnsi="Arial" w:cs="Arial"/>
          <w:sz w:val="24"/>
          <w:szCs w:val="24"/>
        </w:rPr>
      </w:pPr>
      <w:r>
        <w:rPr>
          <w:rFonts w:ascii="Arial" w:hAnsi="Arial" w:cs="Arial"/>
          <w:sz w:val="24"/>
          <w:szCs w:val="24"/>
        </w:rPr>
        <w:t xml:space="preserve">Please confirm whether or not the reconciling item of Differences in GA unbilled on the GA Analysis </w:t>
      </w:r>
      <w:proofErr w:type="spellStart"/>
      <w:r>
        <w:rPr>
          <w:rFonts w:ascii="Arial" w:hAnsi="Arial" w:cs="Arial"/>
          <w:sz w:val="24"/>
          <w:szCs w:val="24"/>
        </w:rPr>
        <w:t>Workform</w:t>
      </w:r>
      <w:proofErr w:type="spellEnd"/>
      <w:r>
        <w:rPr>
          <w:rFonts w:ascii="Arial" w:hAnsi="Arial" w:cs="Arial"/>
          <w:sz w:val="24"/>
          <w:szCs w:val="24"/>
        </w:rPr>
        <w:t xml:space="preserve"> is the only item that should be included in the Principal Adjustments on the DVA continuity schedule? </w:t>
      </w:r>
    </w:p>
    <w:p w:rsidR="003D78CE" w:rsidRDefault="003D78CE" w:rsidP="003D78CE">
      <w:pPr>
        <w:pStyle w:val="ListParagraph"/>
        <w:numPr>
          <w:ilvl w:val="0"/>
          <w:numId w:val="34"/>
        </w:numPr>
        <w:rPr>
          <w:rFonts w:ascii="Arial" w:hAnsi="Arial" w:cs="Arial"/>
          <w:sz w:val="24"/>
          <w:szCs w:val="24"/>
        </w:rPr>
      </w:pPr>
      <w:r>
        <w:rPr>
          <w:rFonts w:ascii="Arial" w:hAnsi="Arial" w:cs="Arial"/>
          <w:sz w:val="24"/>
          <w:szCs w:val="24"/>
        </w:rPr>
        <w:t xml:space="preserve">If a) is confirmed, please </w:t>
      </w:r>
      <w:r w:rsidR="001B0F50">
        <w:rPr>
          <w:rFonts w:ascii="Arial" w:hAnsi="Arial" w:cs="Arial"/>
          <w:sz w:val="24"/>
          <w:szCs w:val="24"/>
        </w:rPr>
        <w:t xml:space="preserve">explain the differences noted between the above two tables for the years of 2017 and 2018. </w:t>
      </w:r>
    </w:p>
    <w:p w:rsidR="001B0F50" w:rsidRDefault="001B0F50" w:rsidP="003D78CE">
      <w:pPr>
        <w:pStyle w:val="ListParagraph"/>
        <w:numPr>
          <w:ilvl w:val="0"/>
          <w:numId w:val="34"/>
        </w:numPr>
        <w:rPr>
          <w:rFonts w:ascii="Arial" w:hAnsi="Arial" w:cs="Arial"/>
          <w:sz w:val="24"/>
          <w:szCs w:val="24"/>
        </w:rPr>
      </w:pPr>
      <w:r>
        <w:rPr>
          <w:rFonts w:ascii="Arial" w:hAnsi="Arial" w:cs="Arial"/>
          <w:sz w:val="24"/>
          <w:szCs w:val="24"/>
        </w:rPr>
        <w:t>If a) is confirmed, please explain why the sum of the principal adjustments during the years of 2015 to 2018 on the DVA continuity schedule (i.e., the sum of the table 2) is not nil.</w:t>
      </w:r>
    </w:p>
    <w:p w:rsidR="001B0F50" w:rsidRDefault="001B0F50" w:rsidP="003D78CE">
      <w:pPr>
        <w:pStyle w:val="ListParagraph"/>
        <w:numPr>
          <w:ilvl w:val="0"/>
          <w:numId w:val="34"/>
        </w:numPr>
        <w:rPr>
          <w:rFonts w:ascii="Arial" w:hAnsi="Arial" w:cs="Arial"/>
          <w:sz w:val="24"/>
          <w:szCs w:val="24"/>
        </w:rPr>
      </w:pPr>
      <w:r>
        <w:rPr>
          <w:rFonts w:ascii="Arial" w:hAnsi="Arial" w:cs="Arial"/>
          <w:sz w:val="24"/>
          <w:szCs w:val="24"/>
        </w:rPr>
        <w:t xml:space="preserve">If a) is not confirmed, please explain which reconciling items on the GA analysis </w:t>
      </w:r>
      <w:proofErr w:type="spellStart"/>
      <w:r>
        <w:rPr>
          <w:rFonts w:ascii="Arial" w:hAnsi="Arial" w:cs="Arial"/>
          <w:sz w:val="24"/>
          <w:szCs w:val="24"/>
        </w:rPr>
        <w:t>workform</w:t>
      </w:r>
      <w:proofErr w:type="spellEnd"/>
      <w:r>
        <w:rPr>
          <w:rFonts w:ascii="Arial" w:hAnsi="Arial" w:cs="Arial"/>
          <w:sz w:val="24"/>
          <w:szCs w:val="24"/>
        </w:rPr>
        <w:t xml:space="preserve"> are included as principal adjustments on the DVA continuity schedule and provide the reasons. </w:t>
      </w:r>
    </w:p>
    <w:p w:rsidR="001B0F50" w:rsidRDefault="001B0F50" w:rsidP="001B0F50">
      <w:pPr>
        <w:pStyle w:val="ListParagraph"/>
        <w:rPr>
          <w:rFonts w:ascii="Arial" w:hAnsi="Arial" w:cs="Arial"/>
          <w:sz w:val="24"/>
          <w:szCs w:val="24"/>
        </w:rPr>
      </w:pPr>
    </w:p>
    <w:p w:rsidR="001B0F50" w:rsidRPr="001B0F50" w:rsidRDefault="001B0F50" w:rsidP="001B0F50">
      <w:pPr>
        <w:pStyle w:val="ListParagraph"/>
        <w:ind w:left="0"/>
        <w:rPr>
          <w:rFonts w:ascii="Arial" w:hAnsi="Arial" w:cs="Arial"/>
          <w:b/>
          <w:sz w:val="24"/>
          <w:szCs w:val="24"/>
        </w:rPr>
      </w:pPr>
      <w:r>
        <w:rPr>
          <w:rFonts w:ascii="Arial" w:hAnsi="Arial" w:cs="Arial"/>
          <w:b/>
          <w:sz w:val="24"/>
          <w:szCs w:val="24"/>
        </w:rPr>
        <w:t>Staff Question-5</w:t>
      </w:r>
    </w:p>
    <w:p w:rsidR="001B0F50" w:rsidRDefault="001B0F50" w:rsidP="001B0F50">
      <w:pPr>
        <w:pStyle w:val="ListParagraph"/>
        <w:ind w:left="0"/>
        <w:rPr>
          <w:rFonts w:ascii="Arial" w:hAnsi="Arial" w:cs="Arial"/>
          <w:b/>
          <w:sz w:val="24"/>
          <w:szCs w:val="24"/>
        </w:rPr>
      </w:pPr>
      <w:r w:rsidRPr="001B0F50">
        <w:rPr>
          <w:rFonts w:ascii="Arial" w:hAnsi="Arial" w:cs="Arial"/>
          <w:b/>
          <w:sz w:val="24"/>
          <w:szCs w:val="24"/>
        </w:rPr>
        <w:t xml:space="preserve">Ref: </w:t>
      </w:r>
      <w:r w:rsidRPr="001B0F50">
        <w:rPr>
          <w:rFonts w:ascii="Arial" w:hAnsi="Arial" w:cs="Arial"/>
          <w:b/>
          <w:sz w:val="24"/>
          <w:szCs w:val="24"/>
        </w:rPr>
        <w:tab/>
        <w:t xml:space="preserve">GA Analysis </w:t>
      </w:r>
      <w:proofErr w:type="spellStart"/>
      <w:r w:rsidRPr="001B0F50">
        <w:rPr>
          <w:rFonts w:ascii="Arial" w:hAnsi="Arial" w:cs="Arial"/>
          <w:b/>
          <w:sz w:val="24"/>
          <w:szCs w:val="24"/>
        </w:rPr>
        <w:t>Workform</w:t>
      </w:r>
      <w:proofErr w:type="spellEnd"/>
    </w:p>
    <w:p w:rsidR="001B0F50" w:rsidRDefault="001B0F50" w:rsidP="001B0F50">
      <w:pPr>
        <w:pStyle w:val="ListParagraph"/>
        <w:ind w:left="0"/>
        <w:rPr>
          <w:rFonts w:ascii="Arial" w:hAnsi="Arial" w:cs="Arial"/>
          <w:b/>
          <w:sz w:val="24"/>
          <w:szCs w:val="24"/>
        </w:rPr>
      </w:pPr>
    </w:p>
    <w:p w:rsidR="001B0F50" w:rsidRPr="001B0F50" w:rsidRDefault="001B0F50" w:rsidP="001B0F50">
      <w:pPr>
        <w:pStyle w:val="ListParagraph"/>
        <w:ind w:left="0"/>
        <w:rPr>
          <w:rFonts w:ascii="Arial" w:hAnsi="Arial" w:cs="Arial"/>
          <w:sz w:val="24"/>
          <w:szCs w:val="24"/>
        </w:rPr>
      </w:pPr>
      <w:r w:rsidRPr="001B0F50">
        <w:rPr>
          <w:rFonts w:ascii="Arial" w:hAnsi="Arial" w:cs="Arial"/>
          <w:sz w:val="24"/>
          <w:szCs w:val="24"/>
        </w:rPr>
        <w:t xml:space="preserve">Staff </w:t>
      </w:r>
      <w:r>
        <w:rPr>
          <w:rFonts w:ascii="Arial" w:hAnsi="Arial" w:cs="Arial"/>
          <w:sz w:val="24"/>
          <w:szCs w:val="24"/>
        </w:rPr>
        <w:t xml:space="preserve">summarized the reconciling items # 6 and #7 on the GA Analysis </w:t>
      </w:r>
      <w:proofErr w:type="spellStart"/>
      <w:r>
        <w:rPr>
          <w:rFonts w:ascii="Arial" w:hAnsi="Arial" w:cs="Arial"/>
          <w:sz w:val="24"/>
          <w:szCs w:val="24"/>
        </w:rPr>
        <w:t>Workforms</w:t>
      </w:r>
      <w:proofErr w:type="spellEnd"/>
      <w:r>
        <w:rPr>
          <w:rFonts w:ascii="Arial" w:hAnsi="Arial" w:cs="Arial"/>
          <w:sz w:val="24"/>
          <w:szCs w:val="24"/>
        </w:rPr>
        <w:t xml:space="preserve"> of 2015 to 2018 as below: </w:t>
      </w:r>
    </w:p>
    <w:p w:rsidR="001B0F50" w:rsidRDefault="001B0F50" w:rsidP="001B0F50">
      <w:pPr>
        <w:pStyle w:val="ListParagraph"/>
        <w:ind w:left="0"/>
        <w:rPr>
          <w:rFonts w:ascii="Arial" w:hAnsi="Arial" w:cs="Arial"/>
          <w:b/>
          <w:sz w:val="24"/>
          <w:szCs w:val="24"/>
        </w:rPr>
      </w:pPr>
    </w:p>
    <w:p w:rsidR="001B0F50" w:rsidRPr="001B0F50" w:rsidRDefault="001B0F50" w:rsidP="001B0F50">
      <w:pPr>
        <w:pStyle w:val="ListParagraph"/>
        <w:ind w:left="0"/>
        <w:rPr>
          <w:rFonts w:ascii="Arial" w:hAnsi="Arial" w:cs="Arial"/>
          <w:b/>
          <w:sz w:val="24"/>
          <w:szCs w:val="24"/>
        </w:rPr>
      </w:pPr>
    </w:p>
    <w:tbl>
      <w:tblPr>
        <w:tblW w:w="9036" w:type="dxa"/>
        <w:tblLayout w:type="fixed"/>
        <w:tblLook w:val="04A0" w:firstRow="1" w:lastRow="0" w:firstColumn="1" w:lastColumn="0" w:noHBand="0" w:noVBand="1"/>
      </w:tblPr>
      <w:tblGrid>
        <w:gridCol w:w="355"/>
        <w:gridCol w:w="2880"/>
        <w:gridCol w:w="1450"/>
        <w:gridCol w:w="1450"/>
        <w:gridCol w:w="1450"/>
        <w:gridCol w:w="1451"/>
      </w:tblGrid>
      <w:tr w:rsidR="001B0F50" w:rsidRPr="001B0F50" w:rsidTr="001B0F50">
        <w:trPr>
          <w:trHeight w:val="440"/>
        </w:trPr>
        <w:tc>
          <w:tcPr>
            <w:tcW w:w="35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B0F50" w:rsidRPr="001B0F50" w:rsidRDefault="001B0F50" w:rsidP="001B0F50">
            <w:pPr>
              <w:spacing w:after="0" w:line="240" w:lineRule="auto"/>
              <w:rPr>
                <w:rFonts w:ascii="Arial" w:eastAsia="Times New Roman" w:hAnsi="Arial" w:cs="Arial"/>
                <w:b/>
                <w:color w:val="000000"/>
                <w:lang w:val="en-US"/>
              </w:rPr>
            </w:pPr>
            <w:r>
              <w:rPr>
                <w:rFonts w:ascii="Arial" w:eastAsia="Times New Roman" w:hAnsi="Arial" w:cs="Arial"/>
                <w:b/>
                <w:color w:val="000000"/>
                <w:lang w:val="en-US"/>
              </w:rPr>
              <w:lastRenderedPageBreak/>
              <w:t>#</w:t>
            </w:r>
          </w:p>
        </w:tc>
        <w:tc>
          <w:tcPr>
            <w:tcW w:w="2880" w:type="dxa"/>
            <w:tcBorders>
              <w:top w:val="single" w:sz="4" w:space="0" w:color="auto"/>
              <w:left w:val="nil"/>
              <w:bottom w:val="single" w:sz="4" w:space="0" w:color="auto"/>
              <w:right w:val="single" w:sz="4" w:space="0" w:color="auto"/>
            </w:tcBorders>
            <w:shd w:val="clear" w:color="000000" w:fill="FFFFFF"/>
            <w:vAlign w:val="bottom"/>
          </w:tcPr>
          <w:p w:rsidR="001B0F50" w:rsidRPr="001B0F50" w:rsidRDefault="001B0F50" w:rsidP="001B0F50">
            <w:pPr>
              <w:spacing w:after="0" w:line="240" w:lineRule="auto"/>
              <w:rPr>
                <w:rFonts w:ascii="Arial" w:eastAsia="Times New Roman" w:hAnsi="Arial" w:cs="Arial"/>
                <w:b/>
                <w:color w:val="000000"/>
                <w:lang w:val="en-US"/>
              </w:rPr>
            </w:pPr>
          </w:p>
        </w:tc>
        <w:tc>
          <w:tcPr>
            <w:tcW w:w="1450" w:type="dxa"/>
            <w:tcBorders>
              <w:top w:val="single" w:sz="4" w:space="0" w:color="auto"/>
              <w:left w:val="nil"/>
              <w:bottom w:val="single" w:sz="4" w:space="0" w:color="auto"/>
              <w:right w:val="single" w:sz="4" w:space="0" w:color="auto"/>
            </w:tcBorders>
            <w:shd w:val="clear" w:color="000000" w:fill="FFFFFF"/>
            <w:noWrap/>
            <w:vAlign w:val="bottom"/>
          </w:tcPr>
          <w:p w:rsidR="001B0F50" w:rsidRPr="001B0F50" w:rsidRDefault="001B0F50" w:rsidP="001B0F50">
            <w:pPr>
              <w:spacing w:after="0" w:line="240" w:lineRule="auto"/>
              <w:jc w:val="center"/>
              <w:rPr>
                <w:rFonts w:ascii="Arial" w:eastAsia="Times New Roman" w:hAnsi="Arial" w:cs="Arial"/>
                <w:b/>
                <w:color w:val="000000"/>
                <w:lang w:val="en-US"/>
              </w:rPr>
            </w:pPr>
            <w:r>
              <w:rPr>
                <w:rFonts w:ascii="Arial" w:eastAsia="Times New Roman" w:hAnsi="Arial" w:cs="Arial"/>
                <w:b/>
                <w:color w:val="000000"/>
                <w:lang w:val="en-US"/>
              </w:rPr>
              <w:t>2015</w:t>
            </w:r>
          </w:p>
        </w:tc>
        <w:tc>
          <w:tcPr>
            <w:tcW w:w="1450" w:type="dxa"/>
            <w:tcBorders>
              <w:top w:val="single" w:sz="4" w:space="0" w:color="auto"/>
              <w:left w:val="nil"/>
              <w:bottom w:val="single" w:sz="4" w:space="0" w:color="auto"/>
              <w:right w:val="single" w:sz="4" w:space="0" w:color="auto"/>
            </w:tcBorders>
            <w:shd w:val="clear" w:color="000000" w:fill="FFFFFF"/>
            <w:noWrap/>
            <w:vAlign w:val="bottom"/>
          </w:tcPr>
          <w:p w:rsidR="001B0F50" w:rsidRPr="001B0F50" w:rsidRDefault="001B0F50" w:rsidP="001B0F50">
            <w:pPr>
              <w:spacing w:after="0" w:line="240" w:lineRule="auto"/>
              <w:jc w:val="center"/>
              <w:rPr>
                <w:rFonts w:ascii="Arial" w:eastAsia="Times New Roman" w:hAnsi="Arial" w:cs="Arial"/>
                <w:b/>
                <w:color w:val="000000"/>
                <w:lang w:val="en-US"/>
              </w:rPr>
            </w:pPr>
            <w:r>
              <w:rPr>
                <w:rFonts w:ascii="Arial" w:eastAsia="Times New Roman" w:hAnsi="Arial" w:cs="Arial"/>
                <w:b/>
                <w:color w:val="000000"/>
                <w:lang w:val="en-US"/>
              </w:rPr>
              <w:t>2016</w:t>
            </w:r>
          </w:p>
        </w:tc>
        <w:tc>
          <w:tcPr>
            <w:tcW w:w="1450" w:type="dxa"/>
            <w:tcBorders>
              <w:top w:val="single" w:sz="4" w:space="0" w:color="auto"/>
              <w:left w:val="nil"/>
              <w:bottom w:val="single" w:sz="4" w:space="0" w:color="auto"/>
              <w:right w:val="single" w:sz="4" w:space="0" w:color="auto"/>
            </w:tcBorders>
            <w:shd w:val="clear" w:color="000000" w:fill="FFFFFF"/>
            <w:noWrap/>
            <w:vAlign w:val="bottom"/>
          </w:tcPr>
          <w:p w:rsidR="001B0F50" w:rsidRPr="001B0F50" w:rsidRDefault="001B0F50" w:rsidP="001B0F50">
            <w:pPr>
              <w:spacing w:after="0" w:line="240" w:lineRule="auto"/>
              <w:jc w:val="center"/>
              <w:rPr>
                <w:rFonts w:ascii="Arial" w:eastAsia="Times New Roman" w:hAnsi="Arial" w:cs="Arial"/>
                <w:b/>
                <w:color w:val="000000"/>
                <w:lang w:val="en-US"/>
              </w:rPr>
            </w:pPr>
            <w:r>
              <w:rPr>
                <w:rFonts w:ascii="Arial" w:eastAsia="Times New Roman" w:hAnsi="Arial" w:cs="Arial"/>
                <w:b/>
                <w:color w:val="000000"/>
                <w:lang w:val="en-US"/>
              </w:rPr>
              <w:t>2017</w:t>
            </w:r>
          </w:p>
        </w:tc>
        <w:tc>
          <w:tcPr>
            <w:tcW w:w="1451" w:type="dxa"/>
            <w:tcBorders>
              <w:top w:val="single" w:sz="4" w:space="0" w:color="auto"/>
              <w:left w:val="nil"/>
              <w:bottom w:val="single" w:sz="4" w:space="0" w:color="auto"/>
              <w:right w:val="single" w:sz="4" w:space="0" w:color="auto"/>
            </w:tcBorders>
            <w:shd w:val="clear" w:color="000000" w:fill="FFFFFF"/>
            <w:noWrap/>
            <w:vAlign w:val="bottom"/>
          </w:tcPr>
          <w:p w:rsidR="001B0F50" w:rsidRPr="001B0F50" w:rsidRDefault="001B0F50" w:rsidP="001B0F50">
            <w:pPr>
              <w:spacing w:after="0" w:line="240" w:lineRule="auto"/>
              <w:jc w:val="center"/>
              <w:rPr>
                <w:rFonts w:ascii="Arial" w:eastAsia="Times New Roman" w:hAnsi="Arial" w:cs="Arial"/>
                <w:b/>
                <w:color w:val="000000"/>
                <w:lang w:val="en-US"/>
              </w:rPr>
            </w:pPr>
            <w:r>
              <w:rPr>
                <w:rFonts w:ascii="Arial" w:eastAsia="Times New Roman" w:hAnsi="Arial" w:cs="Arial"/>
                <w:b/>
                <w:color w:val="000000"/>
                <w:lang w:val="en-US"/>
              </w:rPr>
              <w:t>2018</w:t>
            </w:r>
          </w:p>
        </w:tc>
      </w:tr>
      <w:tr w:rsidR="001B0F50" w:rsidRPr="001B0F50" w:rsidTr="001B0F50">
        <w:trPr>
          <w:trHeight w:val="840"/>
        </w:trPr>
        <w:tc>
          <w:tcPr>
            <w:tcW w:w="3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B0F50" w:rsidRPr="001B0F50" w:rsidRDefault="001B0F50" w:rsidP="001B0F50">
            <w:pPr>
              <w:spacing w:after="0" w:line="240" w:lineRule="auto"/>
              <w:rPr>
                <w:rFonts w:ascii="Arial" w:eastAsia="Times New Roman" w:hAnsi="Arial" w:cs="Arial"/>
                <w:b/>
                <w:color w:val="000000"/>
                <w:lang w:val="en-US"/>
              </w:rPr>
            </w:pPr>
            <w:r w:rsidRPr="001B0F50">
              <w:rPr>
                <w:rFonts w:ascii="Arial" w:eastAsia="Times New Roman" w:hAnsi="Arial" w:cs="Arial"/>
                <w:b/>
                <w:color w:val="000000"/>
                <w:lang w:val="en-US"/>
              </w:rPr>
              <w:t>6</w:t>
            </w:r>
          </w:p>
        </w:tc>
        <w:tc>
          <w:tcPr>
            <w:tcW w:w="2880" w:type="dxa"/>
            <w:tcBorders>
              <w:top w:val="single" w:sz="4" w:space="0" w:color="auto"/>
              <w:left w:val="nil"/>
              <w:bottom w:val="single" w:sz="4" w:space="0" w:color="auto"/>
              <w:right w:val="single" w:sz="4" w:space="0" w:color="auto"/>
            </w:tcBorders>
            <w:shd w:val="clear" w:color="000000" w:fill="FFFFFF"/>
            <w:vAlign w:val="bottom"/>
            <w:hideMark/>
          </w:tcPr>
          <w:p w:rsidR="001B0F50" w:rsidRPr="001B0F50" w:rsidRDefault="001B0F50" w:rsidP="001B0F50">
            <w:pPr>
              <w:spacing w:after="0" w:line="240" w:lineRule="auto"/>
              <w:rPr>
                <w:rFonts w:ascii="Arial" w:eastAsia="Times New Roman" w:hAnsi="Arial" w:cs="Arial"/>
                <w:color w:val="000000"/>
                <w:lang w:val="en-US"/>
              </w:rPr>
            </w:pPr>
            <w:r w:rsidRPr="001B0F50">
              <w:rPr>
                <w:rFonts w:ascii="Arial" w:eastAsia="Times New Roman" w:hAnsi="Arial" w:cs="Arial"/>
                <w:color w:val="000000"/>
                <w:lang w:val="en-US"/>
              </w:rPr>
              <w:t>Differences in GA IESO posted rate and rate charged on IESO invoice</w:t>
            </w:r>
          </w:p>
        </w:tc>
        <w:tc>
          <w:tcPr>
            <w:tcW w:w="1450" w:type="dxa"/>
            <w:tcBorders>
              <w:top w:val="single" w:sz="4" w:space="0" w:color="auto"/>
              <w:left w:val="nil"/>
              <w:bottom w:val="single" w:sz="4" w:space="0" w:color="auto"/>
              <w:right w:val="single" w:sz="4" w:space="0" w:color="auto"/>
            </w:tcBorders>
            <w:shd w:val="clear" w:color="000000" w:fill="FFFFFF"/>
            <w:noWrap/>
            <w:vAlign w:val="bottom"/>
            <w:hideMark/>
          </w:tcPr>
          <w:p w:rsidR="001B0F50" w:rsidRPr="001B0F50" w:rsidRDefault="001B0F50" w:rsidP="001B0F50">
            <w:pPr>
              <w:spacing w:after="0" w:line="240" w:lineRule="auto"/>
              <w:jc w:val="center"/>
              <w:rPr>
                <w:rFonts w:ascii="Arial" w:eastAsia="Times New Roman" w:hAnsi="Arial" w:cs="Arial"/>
                <w:color w:val="000000"/>
                <w:lang w:val="en-US"/>
              </w:rPr>
            </w:pPr>
            <w:r w:rsidRPr="001B0F50">
              <w:rPr>
                <w:rFonts w:ascii="Arial" w:eastAsia="Times New Roman" w:hAnsi="Arial" w:cs="Arial"/>
                <w:color w:val="000000"/>
                <w:lang w:val="en-US"/>
              </w:rPr>
              <w:t>22,735</w:t>
            </w:r>
          </w:p>
        </w:tc>
        <w:tc>
          <w:tcPr>
            <w:tcW w:w="1450" w:type="dxa"/>
            <w:tcBorders>
              <w:top w:val="single" w:sz="4" w:space="0" w:color="auto"/>
              <w:left w:val="nil"/>
              <w:bottom w:val="single" w:sz="4" w:space="0" w:color="auto"/>
              <w:right w:val="single" w:sz="4" w:space="0" w:color="auto"/>
            </w:tcBorders>
            <w:shd w:val="clear" w:color="000000" w:fill="FFFFFF"/>
            <w:noWrap/>
            <w:vAlign w:val="bottom"/>
            <w:hideMark/>
          </w:tcPr>
          <w:p w:rsidR="001B0F50" w:rsidRPr="001B0F50" w:rsidRDefault="001B0F50" w:rsidP="001B0F50">
            <w:pPr>
              <w:spacing w:after="0" w:line="240" w:lineRule="auto"/>
              <w:jc w:val="center"/>
              <w:rPr>
                <w:rFonts w:ascii="Arial" w:eastAsia="Times New Roman" w:hAnsi="Arial" w:cs="Arial"/>
                <w:color w:val="000000"/>
                <w:lang w:val="en-US"/>
              </w:rPr>
            </w:pPr>
            <w:r w:rsidRPr="001B0F50">
              <w:rPr>
                <w:rFonts w:ascii="Arial" w:eastAsia="Times New Roman" w:hAnsi="Arial" w:cs="Arial"/>
                <w:color w:val="000000"/>
                <w:lang w:val="en-US"/>
              </w:rPr>
              <w:t>27,663</w:t>
            </w:r>
          </w:p>
        </w:tc>
        <w:tc>
          <w:tcPr>
            <w:tcW w:w="1450" w:type="dxa"/>
            <w:tcBorders>
              <w:top w:val="single" w:sz="4" w:space="0" w:color="auto"/>
              <w:left w:val="nil"/>
              <w:bottom w:val="single" w:sz="4" w:space="0" w:color="auto"/>
              <w:right w:val="single" w:sz="4" w:space="0" w:color="auto"/>
            </w:tcBorders>
            <w:shd w:val="clear" w:color="000000" w:fill="FFFFFF"/>
            <w:noWrap/>
            <w:vAlign w:val="bottom"/>
            <w:hideMark/>
          </w:tcPr>
          <w:p w:rsidR="001B0F50" w:rsidRPr="001B0F50" w:rsidRDefault="001B0F50" w:rsidP="001B0F50">
            <w:pPr>
              <w:spacing w:after="0" w:line="240" w:lineRule="auto"/>
              <w:jc w:val="center"/>
              <w:rPr>
                <w:rFonts w:ascii="Arial" w:eastAsia="Times New Roman" w:hAnsi="Arial" w:cs="Arial"/>
                <w:color w:val="000000"/>
                <w:lang w:val="en-US"/>
              </w:rPr>
            </w:pPr>
            <w:r w:rsidRPr="001B0F50">
              <w:rPr>
                <w:rFonts w:ascii="Arial" w:eastAsia="Times New Roman" w:hAnsi="Arial" w:cs="Arial"/>
                <w:color w:val="000000"/>
                <w:lang w:val="en-US"/>
              </w:rPr>
              <w:t>40,019</w:t>
            </w:r>
          </w:p>
        </w:tc>
        <w:tc>
          <w:tcPr>
            <w:tcW w:w="1451" w:type="dxa"/>
            <w:tcBorders>
              <w:top w:val="single" w:sz="4" w:space="0" w:color="auto"/>
              <w:left w:val="nil"/>
              <w:bottom w:val="single" w:sz="4" w:space="0" w:color="auto"/>
              <w:right w:val="single" w:sz="4" w:space="0" w:color="auto"/>
            </w:tcBorders>
            <w:shd w:val="clear" w:color="000000" w:fill="FFFFFF"/>
            <w:noWrap/>
            <w:vAlign w:val="bottom"/>
            <w:hideMark/>
          </w:tcPr>
          <w:p w:rsidR="001B0F50" w:rsidRPr="001B0F50" w:rsidRDefault="001B0F50" w:rsidP="001B0F50">
            <w:pPr>
              <w:spacing w:after="0" w:line="240" w:lineRule="auto"/>
              <w:jc w:val="center"/>
              <w:rPr>
                <w:rFonts w:ascii="Arial" w:eastAsia="Times New Roman" w:hAnsi="Arial" w:cs="Arial"/>
                <w:color w:val="000000"/>
                <w:lang w:val="en-US"/>
              </w:rPr>
            </w:pPr>
            <w:r w:rsidRPr="001B0F50">
              <w:rPr>
                <w:rFonts w:ascii="Arial" w:eastAsia="Times New Roman" w:hAnsi="Arial" w:cs="Arial"/>
                <w:color w:val="000000"/>
                <w:lang w:val="en-US"/>
              </w:rPr>
              <w:t>22,638</w:t>
            </w:r>
          </w:p>
        </w:tc>
      </w:tr>
      <w:tr w:rsidR="001B0F50" w:rsidRPr="001B0F50" w:rsidTr="001B0F50">
        <w:trPr>
          <w:trHeight w:val="564"/>
        </w:trPr>
        <w:tc>
          <w:tcPr>
            <w:tcW w:w="355" w:type="dxa"/>
            <w:tcBorders>
              <w:top w:val="nil"/>
              <w:left w:val="single" w:sz="4" w:space="0" w:color="auto"/>
              <w:bottom w:val="single" w:sz="4" w:space="0" w:color="auto"/>
              <w:right w:val="single" w:sz="4" w:space="0" w:color="auto"/>
            </w:tcBorders>
            <w:shd w:val="clear" w:color="000000" w:fill="FFFFFF"/>
            <w:noWrap/>
            <w:vAlign w:val="bottom"/>
            <w:hideMark/>
          </w:tcPr>
          <w:p w:rsidR="001B0F50" w:rsidRPr="001B0F50" w:rsidRDefault="001B0F50" w:rsidP="001B0F50">
            <w:pPr>
              <w:spacing w:after="0" w:line="240" w:lineRule="auto"/>
              <w:rPr>
                <w:rFonts w:ascii="Arial" w:eastAsia="Times New Roman" w:hAnsi="Arial" w:cs="Arial"/>
                <w:b/>
                <w:color w:val="000000"/>
                <w:lang w:val="en-US"/>
              </w:rPr>
            </w:pPr>
            <w:r w:rsidRPr="001B0F50">
              <w:rPr>
                <w:rFonts w:ascii="Arial" w:eastAsia="Times New Roman" w:hAnsi="Arial" w:cs="Arial"/>
                <w:b/>
                <w:color w:val="000000"/>
                <w:lang w:val="en-US"/>
              </w:rPr>
              <w:t>7</w:t>
            </w:r>
          </w:p>
        </w:tc>
        <w:tc>
          <w:tcPr>
            <w:tcW w:w="2880" w:type="dxa"/>
            <w:tcBorders>
              <w:top w:val="nil"/>
              <w:left w:val="nil"/>
              <w:bottom w:val="single" w:sz="4" w:space="0" w:color="auto"/>
              <w:right w:val="single" w:sz="4" w:space="0" w:color="auto"/>
            </w:tcBorders>
            <w:shd w:val="clear" w:color="000000" w:fill="FFFFFF"/>
            <w:vAlign w:val="bottom"/>
            <w:hideMark/>
          </w:tcPr>
          <w:p w:rsidR="001B0F50" w:rsidRPr="001B0F50" w:rsidRDefault="001B0F50" w:rsidP="001B0F50">
            <w:pPr>
              <w:spacing w:after="0" w:line="240" w:lineRule="auto"/>
              <w:rPr>
                <w:rFonts w:ascii="Arial" w:eastAsia="Times New Roman" w:hAnsi="Arial" w:cs="Arial"/>
                <w:color w:val="000000"/>
                <w:lang w:val="en-US"/>
              </w:rPr>
            </w:pPr>
            <w:r w:rsidRPr="001B0F50">
              <w:rPr>
                <w:rFonts w:ascii="Arial" w:eastAsia="Times New Roman" w:hAnsi="Arial" w:cs="Arial"/>
                <w:color w:val="000000"/>
                <w:lang w:val="en-US"/>
              </w:rPr>
              <w:t>Differences in actual system losses and billed TLFs</w:t>
            </w:r>
          </w:p>
        </w:tc>
        <w:tc>
          <w:tcPr>
            <w:tcW w:w="1450" w:type="dxa"/>
            <w:tcBorders>
              <w:top w:val="nil"/>
              <w:left w:val="nil"/>
              <w:bottom w:val="single" w:sz="4" w:space="0" w:color="auto"/>
              <w:right w:val="single" w:sz="4" w:space="0" w:color="auto"/>
            </w:tcBorders>
            <w:shd w:val="clear" w:color="000000" w:fill="FFFFFF"/>
            <w:noWrap/>
            <w:vAlign w:val="bottom"/>
            <w:hideMark/>
          </w:tcPr>
          <w:p w:rsidR="001B0F50" w:rsidRPr="001B0F50" w:rsidRDefault="001B0F50" w:rsidP="001B0F50">
            <w:pPr>
              <w:spacing w:after="0" w:line="240" w:lineRule="auto"/>
              <w:jc w:val="center"/>
              <w:rPr>
                <w:rFonts w:ascii="Arial" w:eastAsia="Times New Roman" w:hAnsi="Arial" w:cs="Arial"/>
                <w:color w:val="000000"/>
                <w:lang w:val="en-US"/>
              </w:rPr>
            </w:pPr>
          </w:p>
        </w:tc>
        <w:tc>
          <w:tcPr>
            <w:tcW w:w="1450" w:type="dxa"/>
            <w:tcBorders>
              <w:top w:val="nil"/>
              <w:left w:val="nil"/>
              <w:bottom w:val="single" w:sz="4" w:space="0" w:color="auto"/>
              <w:right w:val="single" w:sz="4" w:space="0" w:color="auto"/>
            </w:tcBorders>
            <w:shd w:val="clear" w:color="000000" w:fill="FFFFFF"/>
            <w:noWrap/>
            <w:vAlign w:val="bottom"/>
            <w:hideMark/>
          </w:tcPr>
          <w:p w:rsidR="001B0F50" w:rsidRPr="001B0F50" w:rsidRDefault="001B0F50" w:rsidP="001B0F50">
            <w:pPr>
              <w:spacing w:after="0" w:line="240" w:lineRule="auto"/>
              <w:jc w:val="center"/>
              <w:rPr>
                <w:rFonts w:ascii="Arial" w:eastAsia="Times New Roman" w:hAnsi="Arial" w:cs="Arial"/>
                <w:color w:val="000000"/>
                <w:lang w:val="en-US"/>
              </w:rPr>
            </w:pPr>
          </w:p>
        </w:tc>
        <w:tc>
          <w:tcPr>
            <w:tcW w:w="1450" w:type="dxa"/>
            <w:tcBorders>
              <w:top w:val="nil"/>
              <w:left w:val="nil"/>
              <w:bottom w:val="single" w:sz="4" w:space="0" w:color="auto"/>
              <w:right w:val="single" w:sz="4" w:space="0" w:color="auto"/>
            </w:tcBorders>
            <w:shd w:val="clear" w:color="000000" w:fill="FFFFFF"/>
            <w:noWrap/>
            <w:vAlign w:val="bottom"/>
            <w:hideMark/>
          </w:tcPr>
          <w:p w:rsidR="001B0F50" w:rsidRPr="001B0F50" w:rsidRDefault="001B0F50" w:rsidP="001B0F50">
            <w:pPr>
              <w:spacing w:after="0" w:line="240" w:lineRule="auto"/>
              <w:jc w:val="center"/>
              <w:rPr>
                <w:rFonts w:ascii="Arial" w:eastAsia="Times New Roman" w:hAnsi="Arial" w:cs="Arial"/>
                <w:color w:val="000000"/>
                <w:lang w:val="en-US"/>
              </w:rPr>
            </w:pPr>
            <w:r w:rsidRPr="001B0F50">
              <w:rPr>
                <w:rFonts w:ascii="Arial" w:eastAsia="Times New Roman" w:hAnsi="Arial" w:cs="Arial"/>
                <w:color w:val="000000"/>
                <w:lang w:val="en-US"/>
              </w:rPr>
              <w:t>39,319</w:t>
            </w:r>
          </w:p>
        </w:tc>
        <w:tc>
          <w:tcPr>
            <w:tcW w:w="1451" w:type="dxa"/>
            <w:tcBorders>
              <w:top w:val="nil"/>
              <w:left w:val="nil"/>
              <w:bottom w:val="single" w:sz="4" w:space="0" w:color="auto"/>
              <w:right w:val="single" w:sz="4" w:space="0" w:color="auto"/>
            </w:tcBorders>
            <w:shd w:val="clear" w:color="000000" w:fill="FFFFFF"/>
            <w:noWrap/>
            <w:vAlign w:val="bottom"/>
            <w:hideMark/>
          </w:tcPr>
          <w:p w:rsidR="001B0F50" w:rsidRPr="001B0F50" w:rsidRDefault="001B0F50" w:rsidP="001B0F50">
            <w:pPr>
              <w:spacing w:after="0" w:line="240" w:lineRule="auto"/>
              <w:jc w:val="center"/>
              <w:rPr>
                <w:rFonts w:ascii="Arial" w:eastAsia="Times New Roman" w:hAnsi="Arial" w:cs="Arial"/>
                <w:color w:val="000000"/>
                <w:lang w:val="en-US"/>
              </w:rPr>
            </w:pPr>
          </w:p>
        </w:tc>
      </w:tr>
    </w:tbl>
    <w:p w:rsidR="001B0F50" w:rsidRDefault="001B0F50" w:rsidP="001B0F50">
      <w:pPr>
        <w:rPr>
          <w:rFonts w:ascii="Arial" w:hAnsi="Arial" w:cs="Arial"/>
          <w:sz w:val="24"/>
          <w:szCs w:val="24"/>
        </w:rPr>
      </w:pPr>
    </w:p>
    <w:p w:rsidR="00BB6F79" w:rsidRDefault="00BB6F79" w:rsidP="00BB6F79">
      <w:pPr>
        <w:pStyle w:val="ListParagraph"/>
        <w:numPr>
          <w:ilvl w:val="0"/>
          <w:numId w:val="35"/>
        </w:numPr>
        <w:rPr>
          <w:rFonts w:ascii="Arial" w:hAnsi="Arial" w:cs="Arial"/>
          <w:sz w:val="24"/>
          <w:szCs w:val="24"/>
        </w:rPr>
      </w:pPr>
      <w:r>
        <w:rPr>
          <w:rFonts w:ascii="Arial" w:hAnsi="Arial" w:cs="Arial"/>
          <w:sz w:val="24"/>
          <w:szCs w:val="24"/>
        </w:rPr>
        <w:t xml:space="preserve">Please provide the supporting calculations for the reconciling item #6 for the years of 2015 to 2018. </w:t>
      </w:r>
    </w:p>
    <w:p w:rsidR="00BB6F79" w:rsidRDefault="001658E1" w:rsidP="00BB6F79">
      <w:pPr>
        <w:pStyle w:val="ListParagraph"/>
        <w:numPr>
          <w:ilvl w:val="0"/>
          <w:numId w:val="35"/>
        </w:numPr>
        <w:rPr>
          <w:rFonts w:ascii="Arial" w:hAnsi="Arial" w:cs="Arial"/>
          <w:sz w:val="24"/>
          <w:szCs w:val="24"/>
        </w:rPr>
      </w:pPr>
      <w:r>
        <w:rPr>
          <w:rFonts w:ascii="Arial" w:hAnsi="Arial" w:cs="Arial"/>
          <w:sz w:val="24"/>
          <w:szCs w:val="24"/>
        </w:rPr>
        <w:t xml:space="preserve">Please explain why only 2017 has the reconciling item for the line loss difference? </w:t>
      </w:r>
    </w:p>
    <w:p w:rsidR="001658E1" w:rsidRDefault="001658E1" w:rsidP="00BB6F79">
      <w:pPr>
        <w:pStyle w:val="ListParagraph"/>
        <w:numPr>
          <w:ilvl w:val="0"/>
          <w:numId w:val="35"/>
        </w:numPr>
        <w:rPr>
          <w:rFonts w:ascii="Arial" w:hAnsi="Arial" w:cs="Arial"/>
          <w:sz w:val="24"/>
          <w:szCs w:val="24"/>
        </w:rPr>
      </w:pPr>
      <w:r>
        <w:rPr>
          <w:rFonts w:ascii="Arial" w:hAnsi="Arial" w:cs="Arial"/>
          <w:sz w:val="24"/>
          <w:szCs w:val="24"/>
        </w:rPr>
        <w:t xml:space="preserve">Please provide the supporting calculation for the 2017 line loss difference of $39,319. </w:t>
      </w:r>
    </w:p>
    <w:p w:rsidR="001658E1" w:rsidRDefault="001658E1" w:rsidP="001658E1">
      <w:pPr>
        <w:pStyle w:val="ListParagraph"/>
        <w:rPr>
          <w:rFonts w:ascii="Arial" w:hAnsi="Arial" w:cs="Arial"/>
          <w:b/>
          <w:sz w:val="24"/>
          <w:szCs w:val="24"/>
        </w:rPr>
      </w:pPr>
    </w:p>
    <w:p w:rsidR="001658E1" w:rsidRPr="001B0F50" w:rsidRDefault="001658E1" w:rsidP="001658E1">
      <w:pPr>
        <w:pStyle w:val="ListParagraph"/>
        <w:ind w:left="0"/>
        <w:rPr>
          <w:rFonts w:ascii="Arial" w:hAnsi="Arial" w:cs="Arial"/>
          <w:b/>
          <w:sz w:val="24"/>
          <w:szCs w:val="24"/>
        </w:rPr>
      </w:pPr>
      <w:r>
        <w:rPr>
          <w:rFonts w:ascii="Arial" w:hAnsi="Arial" w:cs="Arial"/>
          <w:b/>
          <w:sz w:val="24"/>
          <w:szCs w:val="24"/>
        </w:rPr>
        <w:t>Staff Question-6</w:t>
      </w:r>
    </w:p>
    <w:p w:rsidR="001658E1" w:rsidRDefault="001658E1" w:rsidP="001658E1">
      <w:pPr>
        <w:pStyle w:val="ListParagraph"/>
        <w:ind w:left="0"/>
        <w:rPr>
          <w:rFonts w:ascii="Arial" w:hAnsi="Arial" w:cs="Arial"/>
          <w:b/>
          <w:sz w:val="24"/>
          <w:szCs w:val="24"/>
        </w:rPr>
      </w:pPr>
      <w:r w:rsidRPr="001B0F50">
        <w:rPr>
          <w:rFonts w:ascii="Arial" w:hAnsi="Arial" w:cs="Arial"/>
          <w:b/>
          <w:sz w:val="24"/>
          <w:szCs w:val="24"/>
        </w:rPr>
        <w:t xml:space="preserve">Ref: </w:t>
      </w:r>
      <w:r w:rsidRPr="001B0F50">
        <w:rPr>
          <w:rFonts w:ascii="Arial" w:hAnsi="Arial" w:cs="Arial"/>
          <w:b/>
          <w:sz w:val="24"/>
          <w:szCs w:val="24"/>
        </w:rPr>
        <w:tab/>
      </w:r>
      <w:r w:rsidR="00227E80" w:rsidRPr="009A32B2">
        <w:rPr>
          <w:rFonts w:ascii="Arial" w:hAnsi="Arial" w:cs="Arial"/>
          <w:b/>
          <w:sz w:val="24"/>
          <w:szCs w:val="24"/>
        </w:rPr>
        <w:t>Rate Generator Model, Tab 3 – Continuity Schedule</w:t>
      </w:r>
    </w:p>
    <w:p w:rsidR="0069579D" w:rsidRPr="00227E80" w:rsidRDefault="00227E80" w:rsidP="00C9609E">
      <w:pPr>
        <w:rPr>
          <w:rFonts w:ascii="Arial" w:hAnsi="Arial" w:cs="Arial"/>
          <w:sz w:val="24"/>
          <w:szCs w:val="24"/>
        </w:rPr>
      </w:pPr>
      <w:r>
        <w:rPr>
          <w:rFonts w:ascii="Arial" w:hAnsi="Arial" w:cs="Arial"/>
          <w:sz w:val="24"/>
          <w:szCs w:val="24"/>
        </w:rPr>
        <w:t xml:space="preserve">Staff summarized the principal adjustments during the year on the DVA continuity schedule of the IRM rate generator as follows: </w:t>
      </w:r>
    </w:p>
    <w:tbl>
      <w:tblPr>
        <w:tblW w:w="9140" w:type="dxa"/>
        <w:tblLayout w:type="fixed"/>
        <w:tblLook w:val="04A0" w:firstRow="1" w:lastRow="0" w:firstColumn="1" w:lastColumn="0" w:noHBand="0" w:noVBand="1"/>
      </w:tblPr>
      <w:tblGrid>
        <w:gridCol w:w="2695"/>
        <w:gridCol w:w="1611"/>
        <w:gridCol w:w="1611"/>
        <w:gridCol w:w="1611"/>
        <w:gridCol w:w="1612"/>
      </w:tblGrid>
      <w:tr w:rsidR="00227E80" w:rsidRPr="00CB1813" w:rsidTr="005C3C8C">
        <w:trPr>
          <w:trHeight w:val="288"/>
        </w:trPr>
        <w:tc>
          <w:tcPr>
            <w:tcW w:w="2695" w:type="dxa"/>
            <w:tcBorders>
              <w:top w:val="single" w:sz="4" w:space="0" w:color="auto"/>
              <w:left w:val="single" w:sz="4" w:space="0" w:color="auto"/>
              <w:bottom w:val="single" w:sz="4" w:space="0" w:color="auto"/>
              <w:right w:val="single" w:sz="4" w:space="0" w:color="auto"/>
            </w:tcBorders>
            <w:shd w:val="clear" w:color="000000" w:fill="EDEDED"/>
            <w:vAlign w:val="bottom"/>
          </w:tcPr>
          <w:p w:rsidR="00227E80" w:rsidRPr="00CB1813" w:rsidRDefault="00227E80" w:rsidP="005C3C8C">
            <w:pPr>
              <w:spacing w:after="0" w:line="240" w:lineRule="auto"/>
              <w:rPr>
                <w:rFonts w:ascii="Arial" w:eastAsia="Times New Roman" w:hAnsi="Arial" w:cs="Arial"/>
                <w:b/>
                <w:color w:val="000000"/>
                <w:lang w:val="en-US"/>
              </w:rPr>
            </w:pPr>
            <w:r>
              <w:rPr>
                <w:rFonts w:ascii="Arial" w:eastAsia="Times New Roman" w:hAnsi="Arial" w:cs="Arial"/>
                <w:b/>
                <w:color w:val="000000"/>
                <w:lang w:val="en-US"/>
              </w:rPr>
              <w:t>$</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227E80" w:rsidRPr="00CB1813" w:rsidRDefault="00227E80" w:rsidP="005C3C8C">
            <w:pPr>
              <w:spacing w:after="0" w:line="240" w:lineRule="auto"/>
              <w:jc w:val="center"/>
              <w:rPr>
                <w:rFonts w:ascii="Arial" w:eastAsia="Times New Roman" w:hAnsi="Arial" w:cs="Arial"/>
                <w:b/>
                <w:color w:val="000000"/>
                <w:lang w:val="en-US"/>
              </w:rPr>
            </w:pPr>
            <w:r w:rsidRPr="00CB1813">
              <w:rPr>
                <w:rFonts w:ascii="Arial" w:eastAsia="Times New Roman" w:hAnsi="Arial" w:cs="Arial"/>
                <w:b/>
                <w:color w:val="000000"/>
                <w:lang w:val="en-US"/>
              </w:rPr>
              <w:t>2015</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227E80" w:rsidRPr="00CB1813" w:rsidRDefault="00227E80" w:rsidP="005C3C8C">
            <w:pPr>
              <w:spacing w:after="0" w:line="240" w:lineRule="auto"/>
              <w:jc w:val="center"/>
              <w:rPr>
                <w:rFonts w:ascii="Arial" w:eastAsia="Times New Roman" w:hAnsi="Arial" w:cs="Arial"/>
                <w:b/>
                <w:color w:val="000000"/>
                <w:lang w:val="en-US"/>
              </w:rPr>
            </w:pPr>
            <w:r w:rsidRPr="00CB1813">
              <w:rPr>
                <w:rFonts w:ascii="Arial" w:eastAsia="Times New Roman" w:hAnsi="Arial" w:cs="Arial"/>
                <w:b/>
                <w:color w:val="000000"/>
                <w:lang w:val="en-US"/>
              </w:rPr>
              <w:t>2016</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227E80" w:rsidRPr="00CB1813" w:rsidRDefault="00227E80" w:rsidP="005C3C8C">
            <w:pPr>
              <w:spacing w:after="0" w:line="240" w:lineRule="auto"/>
              <w:jc w:val="center"/>
              <w:rPr>
                <w:rFonts w:ascii="Arial" w:eastAsia="Times New Roman" w:hAnsi="Arial" w:cs="Arial"/>
                <w:b/>
                <w:color w:val="000000"/>
                <w:lang w:val="en-US"/>
              </w:rPr>
            </w:pPr>
            <w:r w:rsidRPr="00CB1813">
              <w:rPr>
                <w:rFonts w:ascii="Arial" w:eastAsia="Times New Roman" w:hAnsi="Arial" w:cs="Arial"/>
                <w:b/>
                <w:color w:val="000000"/>
                <w:lang w:val="en-US"/>
              </w:rPr>
              <w:t>2017</w:t>
            </w:r>
          </w:p>
        </w:tc>
        <w:tc>
          <w:tcPr>
            <w:tcW w:w="1612" w:type="dxa"/>
            <w:tcBorders>
              <w:top w:val="single" w:sz="4" w:space="0" w:color="auto"/>
              <w:left w:val="nil"/>
              <w:bottom w:val="single" w:sz="4" w:space="0" w:color="auto"/>
              <w:right w:val="single" w:sz="4" w:space="0" w:color="auto"/>
            </w:tcBorders>
            <w:shd w:val="clear" w:color="000000" w:fill="EDEDED"/>
            <w:noWrap/>
            <w:vAlign w:val="bottom"/>
          </w:tcPr>
          <w:p w:rsidR="00227E80" w:rsidRPr="00CB1813" w:rsidRDefault="00227E80" w:rsidP="005C3C8C">
            <w:pPr>
              <w:spacing w:after="0" w:line="240" w:lineRule="auto"/>
              <w:jc w:val="center"/>
              <w:rPr>
                <w:rFonts w:ascii="Arial" w:eastAsia="Times New Roman" w:hAnsi="Arial" w:cs="Arial"/>
                <w:b/>
                <w:color w:val="000000"/>
                <w:lang w:val="en-US"/>
              </w:rPr>
            </w:pPr>
            <w:r w:rsidRPr="00CB1813">
              <w:rPr>
                <w:rFonts w:ascii="Arial" w:eastAsia="Times New Roman" w:hAnsi="Arial" w:cs="Arial"/>
                <w:b/>
                <w:color w:val="000000"/>
                <w:lang w:val="en-US"/>
              </w:rPr>
              <w:t>2018</w:t>
            </w:r>
          </w:p>
        </w:tc>
      </w:tr>
      <w:tr w:rsidR="00227E80" w:rsidRPr="009A32B2" w:rsidTr="005C3C8C">
        <w:trPr>
          <w:trHeight w:val="288"/>
        </w:trPr>
        <w:tc>
          <w:tcPr>
            <w:tcW w:w="2695" w:type="dxa"/>
            <w:tcBorders>
              <w:top w:val="single" w:sz="4" w:space="0" w:color="auto"/>
              <w:left w:val="single" w:sz="4" w:space="0" w:color="auto"/>
              <w:bottom w:val="single" w:sz="4" w:space="0" w:color="auto"/>
              <w:right w:val="single" w:sz="4" w:space="0" w:color="auto"/>
            </w:tcBorders>
            <w:shd w:val="clear" w:color="000000" w:fill="EDEDED"/>
            <w:vAlign w:val="bottom"/>
          </w:tcPr>
          <w:p w:rsidR="00227E80" w:rsidRDefault="00227E80" w:rsidP="005C3C8C">
            <w:pPr>
              <w:spacing w:after="0" w:line="240" w:lineRule="auto"/>
              <w:rPr>
                <w:rFonts w:ascii="Arial" w:eastAsia="Times New Roman" w:hAnsi="Arial" w:cs="Arial"/>
                <w:color w:val="000000"/>
                <w:lang w:val="en-US"/>
              </w:rPr>
            </w:pPr>
            <w:r>
              <w:rPr>
                <w:rFonts w:ascii="Arial" w:eastAsia="Times New Roman" w:hAnsi="Arial" w:cs="Arial"/>
                <w:color w:val="000000"/>
                <w:lang w:val="en-US"/>
              </w:rPr>
              <w:t xml:space="preserve">Account 1588 Power – Principal Adjustments during the year of </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227E80" w:rsidRPr="003D78CE" w:rsidRDefault="00227E80" w:rsidP="00227E80">
            <w:pPr>
              <w:jc w:val="center"/>
              <w:rPr>
                <w:rFonts w:ascii="Arial" w:hAnsi="Arial" w:cs="Arial"/>
              </w:rPr>
            </w:pPr>
            <w:r>
              <w:rPr>
                <w:rFonts w:ascii="Arial" w:hAnsi="Arial" w:cs="Arial"/>
              </w:rPr>
              <w:t>182,816</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227E80" w:rsidRDefault="00227E80" w:rsidP="00227E80">
            <w:pPr>
              <w:jc w:val="center"/>
              <w:rPr>
                <w:rFonts w:ascii="Arial" w:hAnsi="Arial" w:cs="Arial"/>
              </w:rPr>
            </w:pPr>
            <w:r>
              <w:rPr>
                <w:rFonts w:ascii="Arial" w:hAnsi="Arial" w:cs="Arial"/>
                <w:color w:val="FF0000"/>
              </w:rPr>
              <w:t>(26,827)</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227E80" w:rsidRDefault="00227E80" w:rsidP="00227E80">
            <w:pPr>
              <w:jc w:val="center"/>
              <w:rPr>
                <w:rFonts w:ascii="Arial" w:hAnsi="Arial" w:cs="Arial"/>
              </w:rPr>
            </w:pPr>
            <w:r>
              <w:rPr>
                <w:rFonts w:ascii="Arial" w:hAnsi="Arial" w:cs="Arial"/>
                <w:color w:val="FF0000"/>
              </w:rPr>
              <w:t>(156,989)</w:t>
            </w:r>
          </w:p>
        </w:tc>
        <w:tc>
          <w:tcPr>
            <w:tcW w:w="1612" w:type="dxa"/>
            <w:tcBorders>
              <w:top w:val="single" w:sz="4" w:space="0" w:color="auto"/>
              <w:left w:val="nil"/>
              <w:bottom w:val="single" w:sz="4" w:space="0" w:color="auto"/>
              <w:right w:val="single" w:sz="4" w:space="0" w:color="auto"/>
            </w:tcBorders>
            <w:shd w:val="clear" w:color="000000" w:fill="EDEDED"/>
            <w:noWrap/>
            <w:vAlign w:val="bottom"/>
          </w:tcPr>
          <w:p w:rsidR="00227E80" w:rsidRDefault="00227E80" w:rsidP="00227E80">
            <w:pPr>
              <w:jc w:val="center"/>
              <w:rPr>
                <w:rFonts w:ascii="Arial" w:hAnsi="Arial" w:cs="Arial"/>
              </w:rPr>
            </w:pPr>
            <w:r>
              <w:rPr>
                <w:rFonts w:ascii="Arial" w:hAnsi="Arial" w:cs="Arial"/>
                <w:color w:val="FF0000"/>
              </w:rPr>
              <w:t>(150,650)</w:t>
            </w:r>
          </w:p>
        </w:tc>
      </w:tr>
      <w:tr w:rsidR="00227E80" w:rsidRPr="009A32B2" w:rsidTr="005C3C8C">
        <w:trPr>
          <w:trHeight w:val="288"/>
        </w:trPr>
        <w:tc>
          <w:tcPr>
            <w:tcW w:w="2695" w:type="dxa"/>
            <w:tcBorders>
              <w:top w:val="single" w:sz="4" w:space="0" w:color="auto"/>
              <w:left w:val="single" w:sz="4" w:space="0" w:color="auto"/>
              <w:bottom w:val="single" w:sz="4" w:space="0" w:color="auto"/>
              <w:right w:val="single" w:sz="4" w:space="0" w:color="auto"/>
            </w:tcBorders>
            <w:shd w:val="clear" w:color="000000" w:fill="EDEDED"/>
            <w:vAlign w:val="bottom"/>
            <w:hideMark/>
          </w:tcPr>
          <w:p w:rsidR="00227E80" w:rsidRPr="009A32B2" w:rsidRDefault="00227E80" w:rsidP="005C3C8C">
            <w:pPr>
              <w:spacing w:after="0" w:line="240" w:lineRule="auto"/>
              <w:rPr>
                <w:rFonts w:ascii="Arial" w:eastAsia="Times New Roman" w:hAnsi="Arial" w:cs="Arial"/>
                <w:color w:val="000000"/>
                <w:lang w:val="en-US"/>
              </w:rPr>
            </w:pPr>
            <w:r>
              <w:rPr>
                <w:rFonts w:ascii="Arial" w:eastAsia="Times New Roman" w:hAnsi="Arial" w:cs="Arial"/>
                <w:color w:val="000000"/>
                <w:lang w:val="en-US"/>
              </w:rPr>
              <w:t xml:space="preserve">Account 1589 GA - </w:t>
            </w:r>
            <w:r>
              <w:rPr>
                <w:rFonts w:ascii="Arial" w:eastAsia="Times New Roman" w:hAnsi="Arial" w:cs="Arial"/>
                <w:color w:val="000000"/>
                <w:lang w:val="en-US"/>
              </w:rPr>
              <w:t>Principa</w:t>
            </w:r>
            <w:r>
              <w:rPr>
                <w:rFonts w:ascii="Arial" w:eastAsia="Times New Roman" w:hAnsi="Arial" w:cs="Arial"/>
                <w:color w:val="000000"/>
                <w:lang w:val="en-US"/>
              </w:rPr>
              <w:t>l Adjustments d</w:t>
            </w:r>
            <w:r>
              <w:rPr>
                <w:rFonts w:ascii="Arial" w:eastAsia="Times New Roman" w:hAnsi="Arial" w:cs="Arial"/>
                <w:color w:val="000000"/>
                <w:lang w:val="en-US"/>
              </w:rPr>
              <w:t xml:space="preserve">uring the year of </w:t>
            </w:r>
          </w:p>
        </w:tc>
        <w:tc>
          <w:tcPr>
            <w:tcW w:w="1611" w:type="dxa"/>
            <w:tcBorders>
              <w:top w:val="single" w:sz="4" w:space="0" w:color="auto"/>
              <w:left w:val="nil"/>
              <w:bottom w:val="single" w:sz="4" w:space="0" w:color="auto"/>
              <w:right w:val="single" w:sz="4" w:space="0" w:color="auto"/>
            </w:tcBorders>
            <w:shd w:val="clear" w:color="000000" w:fill="EDEDED"/>
            <w:noWrap/>
            <w:vAlign w:val="bottom"/>
            <w:hideMark/>
          </w:tcPr>
          <w:p w:rsidR="00227E80" w:rsidRPr="009A32B2" w:rsidRDefault="00227E80" w:rsidP="005C3C8C">
            <w:pPr>
              <w:jc w:val="center"/>
              <w:rPr>
                <w:rFonts w:ascii="Arial" w:eastAsia="Times New Roman" w:hAnsi="Arial" w:cs="Arial"/>
                <w:color w:val="000000"/>
                <w:lang w:val="en-US"/>
              </w:rPr>
            </w:pPr>
            <w:r w:rsidRPr="003D78CE">
              <w:rPr>
                <w:rFonts w:ascii="Arial" w:hAnsi="Arial" w:cs="Arial"/>
              </w:rPr>
              <w:t>(221,740)</w:t>
            </w:r>
            <w:r>
              <w:rPr>
                <w:rFonts w:ascii="Arial" w:eastAsia="Times New Roman" w:hAnsi="Arial" w:cs="Arial"/>
                <w:color w:val="000000"/>
                <w:lang w:val="en-US"/>
              </w:rPr>
              <w:t xml:space="preserve">             </w:t>
            </w:r>
            <w:r w:rsidRPr="009A32B2">
              <w:rPr>
                <w:rFonts w:ascii="Arial" w:eastAsia="Times New Roman" w:hAnsi="Arial" w:cs="Arial"/>
                <w:color w:val="000000"/>
                <w:lang w:val="en-US"/>
              </w:rPr>
              <w:t xml:space="preserve"> </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227E80" w:rsidRPr="009A32B2" w:rsidRDefault="00227E80" w:rsidP="005C3C8C">
            <w:pPr>
              <w:jc w:val="center"/>
              <w:rPr>
                <w:rFonts w:ascii="Arial" w:eastAsia="Times New Roman" w:hAnsi="Arial" w:cs="Arial"/>
                <w:color w:val="000000"/>
                <w:lang w:val="en-US"/>
              </w:rPr>
            </w:pPr>
            <w:r>
              <w:rPr>
                <w:rFonts w:ascii="Arial" w:hAnsi="Arial" w:cs="Arial"/>
              </w:rPr>
              <w:t>58,474</w:t>
            </w:r>
          </w:p>
        </w:tc>
        <w:tc>
          <w:tcPr>
            <w:tcW w:w="1611" w:type="dxa"/>
            <w:tcBorders>
              <w:top w:val="single" w:sz="4" w:space="0" w:color="auto"/>
              <w:left w:val="nil"/>
              <w:bottom w:val="single" w:sz="4" w:space="0" w:color="auto"/>
              <w:right w:val="single" w:sz="4" w:space="0" w:color="auto"/>
            </w:tcBorders>
            <w:shd w:val="clear" w:color="000000" w:fill="EDEDED"/>
            <w:noWrap/>
            <w:vAlign w:val="bottom"/>
          </w:tcPr>
          <w:p w:rsidR="00227E80" w:rsidRPr="009A32B2" w:rsidRDefault="00227E80" w:rsidP="005C3C8C">
            <w:pPr>
              <w:jc w:val="center"/>
              <w:rPr>
                <w:rFonts w:ascii="Arial" w:eastAsia="Times New Roman" w:hAnsi="Arial" w:cs="Arial"/>
                <w:color w:val="000000"/>
                <w:lang w:val="en-US"/>
              </w:rPr>
            </w:pPr>
            <w:r>
              <w:rPr>
                <w:rFonts w:ascii="Arial" w:hAnsi="Arial" w:cs="Arial"/>
              </w:rPr>
              <w:t>164,266</w:t>
            </w:r>
          </w:p>
        </w:tc>
        <w:tc>
          <w:tcPr>
            <w:tcW w:w="1612" w:type="dxa"/>
            <w:tcBorders>
              <w:top w:val="single" w:sz="4" w:space="0" w:color="auto"/>
              <w:left w:val="nil"/>
              <w:bottom w:val="single" w:sz="4" w:space="0" w:color="auto"/>
              <w:right w:val="single" w:sz="4" w:space="0" w:color="auto"/>
            </w:tcBorders>
            <w:shd w:val="clear" w:color="000000" w:fill="EDEDED"/>
            <w:noWrap/>
            <w:vAlign w:val="bottom"/>
          </w:tcPr>
          <w:p w:rsidR="00227E80" w:rsidRPr="009A32B2" w:rsidRDefault="00227E80" w:rsidP="005C3C8C">
            <w:pPr>
              <w:jc w:val="center"/>
              <w:rPr>
                <w:rFonts w:ascii="Arial" w:eastAsia="Times New Roman" w:hAnsi="Arial" w:cs="Arial"/>
                <w:color w:val="000000"/>
                <w:lang w:val="en-US"/>
              </w:rPr>
            </w:pPr>
            <w:r>
              <w:rPr>
                <w:rFonts w:ascii="Arial" w:hAnsi="Arial" w:cs="Arial"/>
              </w:rPr>
              <w:t>241,900</w:t>
            </w:r>
          </w:p>
        </w:tc>
      </w:tr>
    </w:tbl>
    <w:p w:rsidR="0069579D" w:rsidRDefault="0069579D" w:rsidP="00C161E0">
      <w:pPr>
        <w:pStyle w:val="ListParagraph"/>
        <w:rPr>
          <w:rFonts w:ascii="Arial" w:hAnsi="Arial" w:cs="Arial"/>
          <w:b/>
          <w:sz w:val="24"/>
          <w:szCs w:val="24"/>
        </w:rPr>
      </w:pPr>
    </w:p>
    <w:p w:rsidR="00C161E0" w:rsidRDefault="00C161E0" w:rsidP="00C161E0">
      <w:pPr>
        <w:pStyle w:val="ListParagraph"/>
        <w:numPr>
          <w:ilvl w:val="0"/>
          <w:numId w:val="38"/>
        </w:numPr>
        <w:rPr>
          <w:rFonts w:ascii="Arial" w:hAnsi="Arial" w:cs="Arial"/>
          <w:sz w:val="24"/>
          <w:szCs w:val="24"/>
        </w:rPr>
      </w:pPr>
      <w:r>
        <w:rPr>
          <w:rFonts w:ascii="Arial" w:hAnsi="Arial" w:cs="Arial"/>
          <w:sz w:val="24"/>
          <w:szCs w:val="24"/>
        </w:rPr>
        <w:t xml:space="preserve">Please list each principal adjustment in 2015 to 2018 for Account 1588 and explain the nature of these adjustments. </w:t>
      </w:r>
    </w:p>
    <w:p w:rsidR="00C161E0" w:rsidRDefault="00C161E0" w:rsidP="00C161E0">
      <w:pPr>
        <w:pStyle w:val="ListParagraph"/>
        <w:numPr>
          <w:ilvl w:val="0"/>
          <w:numId w:val="38"/>
        </w:numPr>
        <w:rPr>
          <w:rFonts w:ascii="Arial" w:hAnsi="Arial" w:cs="Arial"/>
          <w:sz w:val="24"/>
          <w:szCs w:val="24"/>
        </w:rPr>
      </w:pPr>
      <w:r>
        <w:rPr>
          <w:rFonts w:ascii="Arial" w:hAnsi="Arial" w:cs="Arial"/>
          <w:sz w:val="24"/>
          <w:szCs w:val="24"/>
        </w:rPr>
        <w:t xml:space="preserve">Please explain why the principal adjustments for Account 1588 is not reciprocal of the principal adjustments for Account 1589? </w:t>
      </w:r>
    </w:p>
    <w:p w:rsidR="00C161E0" w:rsidRDefault="00C161E0" w:rsidP="00C161E0">
      <w:pPr>
        <w:pStyle w:val="ListParagraph"/>
        <w:rPr>
          <w:rFonts w:ascii="Arial" w:hAnsi="Arial" w:cs="Arial"/>
          <w:sz w:val="24"/>
          <w:szCs w:val="24"/>
        </w:rPr>
      </w:pPr>
    </w:p>
    <w:p w:rsidR="00C161E0" w:rsidRPr="001B0F50" w:rsidRDefault="00C161E0" w:rsidP="00C161E0">
      <w:pPr>
        <w:pStyle w:val="ListParagraph"/>
        <w:ind w:left="0"/>
        <w:rPr>
          <w:rFonts w:ascii="Arial" w:hAnsi="Arial" w:cs="Arial"/>
          <w:b/>
          <w:sz w:val="24"/>
          <w:szCs w:val="24"/>
        </w:rPr>
      </w:pPr>
      <w:r>
        <w:rPr>
          <w:rFonts w:ascii="Arial" w:hAnsi="Arial" w:cs="Arial"/>
          <w:b/>
          <w:sz w:val="24"/>
          <w:szCs w:val="24"/>
        </w:rPr>
        <w:t>Staff Question-7</w:t>
      </w:r>
    </w:p>
    <w:p w:rsidR="00C161E0" w:rsidRDefault="00C161E0" w:rsidP="00C161E0">
      <w:pPr>
        <w:pStyle w:val="ListParagraph"/>
        <w:ind w:left="0"/>
        <w:rPr>
          <w:rFonts w:ascii="Arial" w:hAnsi="Arial" w:cs="Arial"/>
          <w:sz w:val="24"/>
          <w:szCs w:val="24"/>
        </w:rPr>
      </w:pPr>
      <w:r>
        <w:rPr>
          <w:rFonts w:ascii="Arial" w:hAnsi="Arial" w:cs="Arial"/>
          <w:sz w:val="24"/>
          <w:szCs w:val="24"/>
        </w:rPr>
        <w:t xml:space="preserve">Ref: </w:t>
      </w:r>
      <w:r w:rsidR="001E5695">
        <w:rPr>
          <w:rFonts w:ascii="Arial" w:hAnsi="Arial" w:cs="Arial"/>
          <w:sz w:val="24"/>
          <w:szCs w:val="24"/>
        </w:rPr>
        <w:t>Application, page 26</w:t>
      </w:r>
    </w:p>
    <w:p w:rsidR="001E5695" w:rsidRDefault="001E5695" w:rsidP="00C161E0">
      <w:pPr>
        <w:pStyle w:val="ListParagraph"/>
        <w:ind w:left="0"/>
        <w:rPr>
          <w:rFonts w:ascii="Arial" w:hAnsi="Arial" w:cs="Arial"/>
          <w:sz w:val="24"/>
          <w:szCs w:val="24"/>
        </w:rPr>
      </w:pPr>
    </w:p>
    <w:p w:rsidR="001E5695" w:rsidRDefault="00DD3584" w:rsidP="00C161E0">
      <w:pPr>
        <w:pStyle w:val="ListParagraph"/>
        <w:ind w:left="0"/>
        <w:rPr>
          <w:rFonts w:ascii="Arial" w:hAnsi="Arial" w:cs="Arial"/>
          <w:sz w:val="24"/>
          <w:szCs w:val="24"/>
        </w:rPr>
      </w:pPr>
      <w:r>
        <w:rPr>
          <w:rFonts w:ascii="Arial" w:hAnsi="Arial" w:cs="Arial"/>
          <w:sz w:val="24"/>
          <w:szCs w:val="24"/>
        </w:rPr>
        <w:t>Wellington North Power</w:t>
      </w:r>
      <w:r w:rsidR="001E5695">
        <w:rPr>
          <w:rFonts w:ascii="Arial" w:hAnsi="Arial" w:cs="Arial"/>
          <w:sz w:val="24"/>
          <w:szCs w:val="24"/>
        </w:rPr>
        <w:t xml:space="preserve"> provided the reconciliation for the 2018 reconciliation for Account 1588 as below: </w:t>
      </w:r>
    </w:p>
    <w:p w:rsidR="001E5695" w:rsidRDefault="001E5695" w:rsidP="00C161E0">
      <w:pPr>
        <w:pStyle w:val="ListParagraph"/>
        <w:ind w:left="0"/>
        <w:rPr>
          <w:rFonts w:ascii="Arial" w:hAnsi="Arial" w:cs="Arial"/>
          <w:sz w:val="24"/>
          <w:szCs w:val="24"/>
        </w:rPr>
      </w:pPr>
    </w:p>
    <w:p w:rsidR="001E5695" w:rsidRDefault="001E5695" w:rsidP="00C161E0">
      <w:pPr>
        <w:pStyle w:val="ListParagraph"/>
        <w:ind w:left="0"/>
        <w:rPr>
          <w:rFonts w:ascii="Arial" w:hAnsi="Arial" w:cs="Arial"/>
          <w:sz w:val="24"/>
          <w:szCs w:val="24"/>
        </w:rPr>
      </w:pPr>
      <w:r w:rsidRPr="001E5695">
        <w:rPr>
          <w:rFonts w:ascii="Arial" w:hAnsi="Arial" w:cs="Arial"/>
          <w:noProof/>
          <w:sz w:val="24"/>
          <w:szCs w:val="24"/>
          <w:lang w:val="en-US"/>
        </w:rPr>
        <w:lastRenderedPageBreak/>
        <w:drawing>
          <wp:inline distT="0" distB="0" distL="0" distR="0">
            <wp:extent cx="5943600" cy="515571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155711"/>
                    </a:xfrm>
                    <a:prstGeom prst="rect">
                      <a:avLst/>
                    </a:prstGeom>
                    <a:noFill/>
                    <a:ln>
                      <a:noFill/>
                    </a:ln>
                  </pic:spPr>
                </pic:pic>
              </a:graphicData>
            </a:graphic>
          </wp:inline>
        </w:drawing>
      </w:r>
    </w:p>
    <w:p w:rsidR="001E5695" w:rsidRDefault="001E5695" w:rsidP="00C161E0">
      <w:pPr>
        <w:pStyle w:val="ListParagraph"/>
        <w:ind w:left="0"/>
        <w:rPr>
          <w:rFonts w:ascii="Arial" w:hAnsi="Arial" w:cs="Arial"/>
          <w:sz w:val="24"/>
          <w:szCs w:val="24"/>
        </w:rPr>
      </w:pPr>
    </w:p>
    <w:p w:rsidR="001E5695" w:rsidRDefault="001E5695" w:rsidP="00C161E0">
      <w:pPr>
        <w:pStyle w:val="ListParagraph"/>
        <w:ind w:left="0"/>
        <w:rPr>
          <w:rFonts w:ascii="Arial" w:hAnsi="Arial" w:cs="Arial"/>
          <w:sz w:val="24"/>
          <w:szCs w:val="24"/>
        </w:rPr>
      </w:pPr>
      <w:r>
        <w:rPr>
          <w:rFonts w:ascii="Arial" w:hAnsi="Arial" w:cs="Arial"/>
          <w:sz w:val="24"/>
          <w:szCs w:val="24"/>
        </w:rPr>
        <w:t xml:space="preserve">Staff notes that the $72,586 provided on the first row </w:t>
      </w:r>
      <w:r w:rsidR="00E45643">
        <w:rPr>
          <w:rFonts w:ascii="Arial" w:hAnsi="Arial" w:cs="Arial"/>
          <w:sz w:val="24"/>
          <w:szCs w:val="24"/>
        </w:rPr>
        <w:t>(</w:t>
      </w:r>
      <w:r>
        <w:rPr>
          <w:rFonts w:ascii="Arial" w:hAnsi="Arial" w:cs="Arial"/>
          <w:sz w:val="24"/>
          <w:szCs w:val="24"/>
        </w:rPr>
        <w:t>balance December 31, 2018</w:t>
      </w:r>
      <w:r w:rsidR="00E45643">
        <w:rPr>
          <w:rFonts w:ascii="Arial" w:hAnsi="Arial" w:cs="Arial"/>
          <w:sz w:val="24"/>
          <w:szCs w:val="24"/>
        </w:rPr>
        <w:t>)</w:t>
      </w:r>
      <w:r>
        <w:rPr>
          <w:rFonts w:ascii="Arial" w:hAnsi="Arial" w:cs="Arial"/>
          <w:sz w:val="24"/>
          <w:szCs w:val="24"/>
        </w:rPr>
        <w:t xml:space="preserve"> represents the closing principal balance plus the closing interest balance as at December 31, 2018. In addition, the principal adjustment of </w:t>
      </w:r>
      <w:r w:rsidR="00DD3584">
        <w:rPr>
          <w:rFonts w:ascii="Arial" w:hAnsi="Arial" w:cs="Arial"/>
          <w:sz w:val="24"/>
          <w:szCs w:val="24"/>
        </w:rPr>
        <w:t xml:space="preserve">(150,650) in 2018 and prior year principal adjustments were not listed and reconciled in the table. </w:t>
      </w:r>
    </w:p>
    <w:p w:rsidR="00DD3584" w:rsidRDefault="00DD3584" w:rsidP="00DD3584">
      <w:pPr>
        <w:pStyle w:val="ListParagraph"/>
        <w:rPr>
          <w:rFonts w:ascii="Arial" w:hAnsi="Arial" w:cs="Arial"/>
          <w:sz w:val="24"/>
          <w:szCs w:val="24"/>
        </w:rPr>
      </w:pPr>
    </w:p>
    <w:p w:rsidR="00DD3584" w:rsidRDefault="00DD3584" w:rsidP="00DD3584">
      <w:pPr>
        <w:pStyle w:val="ListParagraph"/>
        <w:numPr>
          <w:ilvl w:val="0"/>
          <w:numId w:val="41"/>
        </w:numPr>
        <w:rPr>
          <w:rFonts w:ascii="Arial" w:hAnsi="Arial" w:cs="Arial"/>
          <w:sz w:val="24"/>
          <w:szCs w:val="24"/>
        </w:rPr>
      </w:pPr>
      <w:r>
        <w:rPr>
          <w:rFonts w:ascii="Arial" w:hAnsi="Arial" w:cs="Arial"/>
          <w:sz w:val="24"/>
          <w:szCs w:val="24"/>
        </w:rPr>
        <w:t xml:space="preserve">Please re-perform the reconciliation for Account 1588 for the years of 2015 to 2018 for the principal balance only </w:t>
      </w:r>
      <w:r w:rsidR="00E45643">
        <w:rPr>
          <w:rFonts w:ascii="Arial" w:hAnsi="Arial" w:cs="Arial"/>
          <w:sz w:val="24"/>
          <w:szCs w:val="24"/>
        </w:rPr>
        <w:t>(the first row of the table is changed to</w:t>
      </w:r>
      <w:r>
        <w:rPr>
          <w:rFonts w:ascii="Arial" w:hAnsi="Arial" w:cs="Arial"/>
          <w:sz w:val="24"/>
          <w:szCs w:val="24"/>
        </w:rPr>
        <w:t xml:space="preserve"> </w:t>
      </w:r>
      <w:r w:rsidR="00E45643">
        <w:rPr>
          <w:rFonts w:ascii="Arial" w:hAnsi="Arial" w:cs="Arial"/>
          <w:sz w:val="24"/>
          <w:szCs w:val="24"/>
        </w:rPr>
        <w:t>the principal balance i</w:t>
      </w:r>
      <w:r>
        <w:rPr>
          <w:rFonts w:ascii="Arial" w:hAnsi="Arial" w:cs="Arial"/>
          <w:sz w:val="24"/>
          <w:szCs w:val="24"/>
        </w:rPr>
        <w:t xml:space="preserve">n the GL </w:t>
      </w:r>
      <w:r w:rsidR="00E45643">
        <w:rPr>
          <w:rFonts w:ascii="Arial" w:hAnsi="Arial" w:cs="Arial"/>
          <w:sz w:val="24"/>
          <w:szCs w:val="24"/>
        </w:rPr>
        <w:t>and the last row in the table is changed to</w:t>
      </w:r>
      <w:r>
        <w:rPr>
          <w:rFonts w:ascii="Arial" w:hAnsi="Arial" w:cs="Arial"/>
          <w:sz w:val="24"/>
          <w:szCs w:val="24"/>
        </w:rPr>
        <w:t xml:space="preserve"> the principal balance on the DVA continuity schedule</w:t>
      </w:r>
      <w:r w:rsidR="00E45643">
        <w:rPr>
          <w:rFonts w:ascii="Arial" w:hAnsi="Arial" w:cs="Arial"/>
          <w:sz w:val="24"/>
          <w:szCs w:val="24"/>
        </w:rPr>
        <w:t xml:space="preserve"> for the year).</w:t>
      </w:r>
      <w:bookmarkStart w:id="0" w:name="_GoBack"/>
      <w:bookmarkEnd w:id="0"/>
      <w:r>
        <w:rPr>
          <w:rFonts w:ascii="Arial" w:hAnsi="Arial" w:cs="Arial"/>
          <w:sz w:val="24"/>
          <w:szCs w:val="24"/>
        </w:rPr>
        <w:t xml:space="preserve"> </w:t>
      </w:r>
    </w:p>
    <w:p w:rsidR="0069579D" w:rsidRDefault="0069579D" w:rsidP="00C9609E">
      <w:pPr>
        <w:rPr>
          <w:rFonts w:ascii="Arial" w:hAnsi="Arial" w:cs="Arial"/>
          <w:b/>
          <w:sz w:val="24"/>
          <w:szCs w:val="24"/>
        </w:rPr>
      </w:pPr>
    </w:p>
    <w:p w:rsidR="00DD3584" w:rsidRDefault="00DD3584" w:rsidP="00C9609E">
      <w:pPr>
        <w:rPr>
          <w:rFonts w:ascii="Arial" w:hAnsi="Arial" w:cs="Arial"/>
          <w:b/>
          <w:sz w:val="24"/>
          <w:szCs w:val="24"/>
        </w:rPr>
      </w:pPr>
    </w:p>
    <w:p w:rsidR="00C9609E" w:rsidRPr="00770DD5" w:rsidRDefault="00C9609E" w:rsidP="00B566F8">
      <w:pPr>
        <w:rPr>
          <w:rFonts w:ascii="Arial" w:hAnsi="Arial" w:cs="Arial"/>
          <w:sz w:val="24"/>
          <w:szCs w:val="24"/>
        </w:rPr>
      </w:pPr>
    </w:p>
    <w:sectPr w:rsidR="00C9609E" w:rsidRPr="00770DD5" w:rsidSect="00EA0919">
      <w:foot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2B2" w:rsidRDefault="009A32B2" w:rsidP="009A32B2">
      <w:pPr>
        <w:spacing w:after="0" w:line="240" w:lineRule="auto"/>
      </w:pPr>
      <w:r>
        <w:separator/>
      </w:r>
    </w:p>
  </w:endnote>
  <w:endnote w:type="continuationSeparator" w:id="0">
    <w:p w:rsidR="009A32B2" w:rsidRDefault="009A32B2" w:rsidP="009A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510640"/>
      <w:docPartObj>
        <w:docPartGallery w:val="Page Numbers (Bottom of Page)"/>
        <w:docPartUnique/>
      </w:docPartObj>
    </w:sdtPr>
    <w:sdtContent>
      <w:sdt>
        <w:sdtPr>
          <w:id w:val="1728636285"/>
          <w:docPartObj>
            <w:docPartGallery w:val="Page Numbers (Top of Page)"/>
            <w:docPartUnique/>
          </w:docPartObj>
        </w:sdtPr>
        <w:sdtContent>
          <w:p w:rsidR="009A32B2" w:rsidRDefault="009A32B2">
            <w:pPr>
              <w:pStyle w:val="Footer"/>
              <w:jc w:val="center"/>
            </w:pPr>
            <w:r>
              <w:t xml:space="preserve">Page </w:t>
            </w:r>
            <w:r>
              <w:rPr>
                <w:b/>
                <w:bCs/>
              </w:rPr>
              <w:fldChar w:fldCharType="begin"/>
            </w:r>
            <w:r>
              <w:rPr>
                <w:b/>
                <w:bCs/>
              </w:rPr>
              <w:instrText xml:space="preserve"> PAGE </w:instrText>
            </w:r>
            <w:r>
              <w:rPr>
                <w:b/>
                <w:bCs/>
              </w:rPr>
              <w:fldChar w:fldCharType="separate"/>
            </w:r>
            <w:r w:rsidR="00E45643">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E45643">
              <w:rPr>
                <w:b/>
                <w:bCs/>
                <w:noProof/>
              </w:rPr>
              <w:t>5</w:t>
            </w:r>
            <w:r>
              <w:rPr>
                <w:b/>
                <w:bCs/>
              </w:rPr>
              <w:fldChar w:fldCharType="end"/>
            </w:r>
          </w:p>
        </w:sdtContent>
      </w:sdt>
    </w:sdtContent>
  </w:sdt>
  <w:p w:rsidR="009A32B2" w:rsidRDefault="009A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2B2" w:rsidRDefault="009A32B2" w:rsidP="009A32B2">
      <w:pPr>
        <w:spacing w:after="0" w:line="240" w:lineRule="auto"/>
      </w:pPr>
      <w:r>
        <w:separator/>
      </w:r>
    </w:p>
  </w:footnote>
  <w:footnote w:type="continuationSeparator" w:id="0">
    <w:p w:rsidR="009A32B2" w:rsidRDefault="009A32B2" w:rsidP="009A3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1E0A97"/>
    <w:multiLevelType w:val="hybridMultilevel"/>
    <w:tmpl w:val="FFD42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E93BCA"/>
    <w:multiLevelType w:val="hybridMultilevel"/>
    <w:tmpl w:val="EFC88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B1F7B45"/>
    <w:multiLevelType w:val="hybridMultilevel"/>
    <w:tmpl w:val="249CB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A261357"/>
    <w:multiLevelType w:val="hybridMultilevel"/>
    <w:tmpl w:val="F5821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DB50F98"/>
    <w:multiLevelType w:val="hybridMultilevel"/>
    <w:tmpl w:val="FFD42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1B2E5D"/>
    <w:multiLevelType w:val="hybridMultilevel"/>
    <w:tmpl w:val="8B8AD744"/>
    <w:lvl w:ilvl="0" w:tplc="39E680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0FE6FD4"/>
    <w:multiLevelType w:val="hybridMultilevel"/>
    <w:tmpl w:val="FFD42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ABA66F5"/>
    <w:multiLevelType w:val="hybridMultilevel"/>
    <w:tmpl w:val="29CAB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E1108F4"/>
    <w:multiLevelType w:val="hybridMultilevel"/>
    <w:tmpl w:val="9B3E3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1E670BC"/>
    <w:multiLevelType w:val="hybridMultilevel"/>
    <w:tmpl w:val="BC34AECC"/>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8F014FF"/>
    <w:multiLevelType w:val="hybridMultilevel"/>
    <w:tmpl w:val="A9CEDD22"/>
    <w:lvl w:ilvl="0" w:tplc="45AA14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EB2CAB"/>
    <w:multiLevelType w:val="hybridMultilevel"/>
    <w:tmpl w:val="AAE837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A7417BB"/>
    <w:multiLevelType w:val="hybridMultilevel"/>
    <w:tmpl w:val="88D4D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6C3CDB"/>
    <w:multiLevelType w:val="hybridMultilevel"/>
    <w:tmpl w:val="96AA6A3E"/>
    <w:lvl w:ilvl="0" w:tplc="64EAD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9"/>
  </w:num>
  <w:num w:numId="4">
    <w:abstractNumId w:val="38"/>
  </w:num>
  <w:num w:numId="5">
    <w:abstractNumId w:val="15"/>
  </w:num>
  <w:num w:numId="6">
    <w:abstractNumId w:val="10"/>
  </w:num>
  <w:num w:numId="7">
    <w:abstractNumId w:val="22"/>
  </w:num>
  <w:num w:numId="8">
    <w:abstractNumId w:val="17"/>
  </w:num>
  <w:num w:numId="9">
    <w:abstractNumId w:val="18"/>
  </w:num>
  <w:num w:numId="10">
    <w:abstractNumId w:val="5"/>
  </w:num>
  <w:num w:numId="11">
    <w:abstractNumId w:val="21"/>
  </w:num>
  <w:num w:numId="12">
    <w:abstractNumId w:val="31"/>
  </w:num>
  <w:num w:numId="13">
    <w:abstractNumId w:val="4"/>
  </w:num>
  <w:num w:numId="14">
    <w:abstractNumId w:val="1"/>
  </w:num>
  <w:num w:numId="15">
    <w:abstractNumId w:val="37"/>
  </w:num>
  <w:num w:numId="16">
    <w:abstractNumId w:val="8"/>
  </w:num>
  <w:num w:numId="17">
    <w:abstractNumId w:val="26"/>
  </w:num>
  <w:num w:numId="18">
    <w:abstractNumId w:val="35"/>
  </w:num>
  <w:num w:numId="19">
    <w:abstractNumId w:val="36"/>
  </w:num>
  <w:num w:numId="20">
    <w:abstractNumId w:val="14"/>
  </w:num>
  <w:num w:numId="21">
    <w:abstractNumId w:val="34"/>
  </w:num>
  <w:num w:numId="22">
    <w:abstractNumId w:val="12"/>
  </w:num>
  <w:num w:numId="23">
    <w:abstractNumId w:val="30"/>
  </w:num>
  <w:num w:numId="24">
    <w:abstractNumId w:val="28"/>
  </w:num>
  <w:num w:numId="25">
    <w:abstractNumId w:val="2"/>
  </w:num>
  <w:num w:numId="26">
    <w:abstractNumId w:val="20"/>
  </w:num>
  <w:num w:numId="27">
    <w:abstractNumId w:val="24"/>
  </w:num>
  <w:num w:numId="28">
    <w:abstractNumId w:val="9"/>
  </w:num>
  <w:num w:numId="29">
    <w:abstractNumId w:val="39"/>
  </w:num>
  <w:num w:numId="30">
    <w:abstractNumId w:val="23"/>
  </w:num>
  <w:num w:numId="31">
    <w:abstractNumId w:val="16"/>
  </w:num>
  <w:num w:numId="32">
    <w:abstractNumId w:val="27"/>
  </w:num>
  <w:num w:numId="33">
    <w:abstractNumId w:val="33"/>
  </w:num>
  <w:num w:numId="34">
    <w:abstractNumId w:val="25"/>
  </w:num>
  <w:num w:numId="35">
    <w:abstractNumId w:val="19"/>
  </w:num>
  <w:num w:numId="36">
    <w:abstractNumId w:val="7"/>
  </w:num>
  <w:num w:numId="37">
    <w:abstractNumId w:val="40"/>
  </w:num>
  <w:num w:numId="38">
    <w:abstractNumId w:val="3"/>
  </w:num>
  <w:num w:numId="39">
    <w:abstractNumId w:val="11"/>
  </w:num>
  <w:num w:numId="40">
    <w:abstractNumId w:val="3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17EA2"/>
    <w:rsid w:val="0003073C"/>
    <w:rsid w:val="00035337"/>
    <w:rsid w:val="00054071"/>
    <w:rsid w:val="0006126D"/>
    <w:rsid w:val="00067F57"/>
    <w:rsid w:val="00071BEC"/>
    <w:rsid w:val="00074514"/>
    <w:rsid w:val="000832D4"/>
    <w:rsid w:val="00090160"/>
    <w:rsid w:val="000B3E7E"/>
    <w:rsid w:val="000D223C"/>
    <w:rsid w:val="000E4006"/>
    <w:rsid w:val="000F1E3A"/>
    <w:rsid w:val="001052C6"/>
    <w:rsid w:val="00106C46"/>
    <w:rsid w:val="00164E99"/>
    <w:rsid w:val="001658E1"/>
    <w:rsid w:val="00183CC8"/>
    <w:rsid w:val="00185729"/>
    <w:rsid w:val="00187E9B"/>
    <w:rsid w:val="00187EA0"/>
    <w:rsid w:val="001927C2"/>
    <w:rsid w:val="001A4DCD"/>
    <w:rsid w:val="001B0F50"/>
    <w:rsid w:val="001E5695"/>
    <w:rsid w:val="00203092"/>
    <w:rsid w:val="002208C0"/>
    <w:rsid w:val="00224C06"/>
    <w:rsid w:val="00227E80"/>
    <w:rsid w:val="0025687C"/>
    <w:rsid w:val="00274A48"/>
    <w:rsid w:val="00291CCC"/>
    <w:rsid w:val="002A6415"/>
    <w:rsid w:val="002B7B7C"/>
    <w:rsid w:val="002C2BF2"/>
    <w:rsid w:val="002C4955"/>
    <w:rsid w:val="002C7EF6"/>
    <w:rsid w:val="002E0921"/>
    <w:rsid w:val="002F4756"/>
    <w:rsid w:val="00302509"/>
    <w:rsid w:val="003049C5"/>
    <w:rsid w:val="00340C00"/>
    <w:rsid w:val="003702D1"/>
    <w:rsid w:val="00373FAD"/>
    <w:rsid w:val="003777B5"/>
    <w:rsid w:val="003832E7"/>
    <w:rsid w:val="003A20A0"/>
    <w:rsid w:val="003A58B0"/>
    <w:rsid w:val="003D483B"/>
    <w:rsid w:val="003D78CE"/>
    <w:rsid w:val="003D7D7B"/>
    <w:rsid w:val="00400DFC"/>
    <w:rsid w:val="00412DC6"/>
    <w:rsid w:val="00422A42"/>
    <w:rsid w:val="004377B0"/>
    <w:rsid w:val="00472C81"/>
    <w:rsid w:val="00475032"/>
    <w:rsid w:val="004859EF"/>
    <w:rsid w:val="004A5DB8"/>
    <w:rsid w:val="0051609C"/>
    <w:rsid w:val="005164F5"/>
    <w:rsid w:val="0052560F"/>
    <w:rsid w:val="005666F2"/>
    <w:rsid w:val="00572064"/>
    <w:rsid w:val="00584369"/>
    <w:rsid w:val="00587A35"/>
    <w:rsid w:val="005F4693"/>
    <w:rsid w:val="006170D3"/>
    <w:rsid w:val="0064279A"/>
    <w:rsid w:val="00651C98"/>
    <w:rsid w:val="00671CD7"/>
    <w:rsid w:val="00673B26"/>
    <w:rsid w:val="0069579D"/>
    <w:rsid w:val="006A5D23"/>
    <w:rsid w:val="006E3D58"/>
    <w:rsid w:val="00704EE5"/>
    <w:rsid w:val="007066E2"/>
    <w:rsid w:val="0071321D"/>
    <w:rsid w:val="007139D2"/>
    <w:rsid w:val="00722640"/>
    <w:rsid w:val="0073197E"/>
    <w:rsid w:val="00746080"/>
    <w:rsid w:val="00770DD5"/>
    <w:rsid w:val="0077135A"/>
    <w:rsid w:val="00772B57"/>
    <w:rsid w:val="00781D04"/>
    <w:rsid w:val="007C2D45"/>
    <w:rsid w:val="007D189D"/>
    <w:rsid w:val="007F49EB"/>
    <w:rsid w:val="00805FDA"/>
    <w:rsid w:val="00812C1B"/>
    <w:rsid w:val="008139DB"/>
    <w:rsid w:val="00835AD0"/>
    <w:rsid w:val="008747B3"/>
    <w:rsid w:val="008813C3"/>
    <w:rsid w:val="008926F0"/>
    <w:rsid w:val="008964E8"/>
    <w:rsid w:val="008A48F6"/>
    <w:rsid w:val="008C34FF"/>
    <w:rsid w:val="008C3525"/>
    <w:rsid w:val="008C51F8"/>
    <w:rsid w:val="008E6045"/>
    <w:rsid w:val="0090113B"/>
    <w:rsid w:val="0093258A"/>
    <w:rsid w:val="0094373C"/>
    <w:rsid w:val="00946DEE"/>
    <w:rsid w:val="00951E2B"/>
    <w:rsid w:val="00952939"/>
    <w:rsid w:val="00961EA0"/>
    <w:rsid w:val="00992ACB"/>
    <w:rsid w:val="009A2AB0"/>
    <w:rsid w:val="009A32B2"/>
    <w:rsid w:val="009A5C44"/>
    <w:rsid w:val="009B03AF"/>
    <w:rsid w:val="009B7B46"/>
    <w:rsid w:val="009C4216"/>
    <w:rsid w:val="009D5F4B"/>
    <w:rsid w:val="009E626E"/>
    <w:rsid w:val="009E6279"/>
    <w:rsid w:val="009E7CBF"/>
    <w:rsid w:val="00A07077"/>
    <w:rsid w:val="00A50DD0"/>
    <w:rsid w:val="00A516B0"/>
    <w:rsid w:val="00A5620A"/>
    <w:rsid w:val="00AA06D9"/>
    <w:rsid w:val="00AC2406"/>
    <w:rsid w:val="00AD3FCF"/>
    <w:rsid w:val="00AF5D5B"/>
    <w:rsid w:val="00B03802"/>
    <w:rsid w:val="00B069AA"/>
    <w:rsid w:val="00B23A36"/>
    <w:rsid w:val="00B25576"/>
    <w:rsid w:val="00B25EF5"/>
    <w:rsid w:val="00B50EB2"/>
    <w:rsid w:val="00B566F8"/>
    <w:rsid w:val="00B6722A"/>
    <w:rsid w:val="00B82D78"/>
    <w:rsid w:val="00BA24A1"/>
    <w:rsid w:val="00BA434C"/>
    <w:rsid w:val="00BA5FA1"/>
    <w:rsid w:val="00BB6F79"/>
    <w:rsid w:val="00BD4F65"/>
    <w:rsid w:val="00C06F9E"/>
    <w:rsid w:val="00C13E6B"/>
    <w:rsid w:val="00C161E0"/>
    <w:rsid w:val="00C2370B"/>
    <w:rsid w:val="00C60404"/>
    <w:rsid w:val="00C624D5"/>
    <w:rsid w:val="00C82D51"/>
    <w:rsid w:val="00C848A0"/>
    <w:rsid w:val="00C878C5"/>
    <w:rsid w:val="00C9609E"/>
    <w:rsid w:val="00C96AEA"/>
    <w:rsid w:val="00CA2D6D"/>
    <w:rsid w:val="00CB1813"/>
    <w:rsid w:val="00CC0B6D"/>
    <w:rsid w:val="00CE1CD3"/>
    <w:rsid w:val="00CE4F01"/>
    <w:rsid w:val="00D55546"/>
    <w:rsid w:val="00D6213C"/>
    <w:rsid w:val="00D647C0"/>
    <w:rsid w:val="00D752D2"/>
    <w:rsid w:val="00D77694"/>
    <w:rsid w:val="00D77B0F"/>
    <w:rsid w:val="00D9145A"/>
    <w:rsid w:val="00DB6B52"/>
    <w:rsid w:val="00DC2BA0"/>
    <w:rsid w:val="00DC316B"/>
    <w:rsid w:val="00DD3584"/>
    <w:rsid w:val="00DE5488"/>
    <w:rsid w:val="00DE75AC"/>
    <w:rsid w:val="00DF5A52"/>
    <w:rsid w:val="00E17C58"/>
    <w:rsid w:val="00E231C2"/>
    <w:rsid w:val="00E429DA"/>
    <w:rsid w:val="00E45643"/>
    <w:rsid w:val="00E476BC"/>
    <w:rsid w:val="00E62C2A"/>
    <w:rsid w:val="00E8586E"/>
    <w:rsid w:val="00E96A06"/>
    <w:rsid w:val="00E97292"/>
    <w:rsid w:val="00EA0919"/>
    <w:rsid w:val="00EB5240"/>
    <w:rsid w:val="00EC0B55"/>
    <w:rsid w:val="00F034BF"/>
    <w:rsid w:val="00F233A3"/>
    <w:rsid w:val="00F26D30"/>
    <w:rsid w:val="00F57152"/>
    <w:rsid w:val="00F57E10"/>
    <w:rsid w:val="00F7362C"/>
    <w:rsid w:val="00F92F61"/>
    <w:rsid w:val="00FB1A74"/>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C8EF"/>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2199">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521819654">
      <w:bodyDiv w:val="1"/>
      <w:marLeft w:val="0"/>
      <w:marRight w:val="0"/>
      <w:marTop w:val="0"/>
      <w:marBottom w:val="0"/>
      <w:divBdr>
        <w:top w:val="none" w:sz="0" w:space="0" w:color="auto"/>
        <w:left w:val="none" w:sz="0" w:space="0" w:color="auto"/>
        <w:bottom w:val="none" w:sz="0" w:space="0" w:color="auto"/>
        <w:right w:val="none" w:sz="0" w:space="0" w:color="auto"/>
      </w:divBdr>
    </w:div>
    <w:div w:id="563032090">
      <w:bodyDiv w:val="1"/>
      <w:marLeft w:val="0"/>
      <w:marRight w:val="0"/>
      <w:marTop w:val="0"/>
      <w:marBottom w:val="0"/>
      <w:divBdr>
        <w:top w:val="none" w:sz="0" w:space="0" w:color="auto"/>
        <w:left w:val="none" w:sz="0" w:space="0" w:color="auto"/>
        <w:bottom w:val="none" w:sz="0" w:space="0" w:color="auto"/>
        <w:right w:val="none" w:sz="0" w:space="0" w:color="auto"/>
      </w:divBdr>
    </w:div>
    <w:div w:id="720439320">
      <w:bodyDiv w:val="1"/>
      <w:marLeft w:val="0"/>
      <w:marRight w:val="0"/>
      <w:marTop w:val="0"/>
      <w:marBottom w:val="0"/>
      <w:divBdr>
        <w:top w:val="none" w:sz="0" w:space="0" w:color="auto"/>
        <w:left w:val="none" w:sz="0" w:space="0" w:color="auto"/>
        <w:bottom w:val="none" w:sz="0" w:space="0" w:color="auto"/>
        <w:right w:val="none" w:sz="0" w:space="0" w:color="auto"/>
      </w:divBdr>
    </w:div>
    <w:div w:id="791359051">
      <w:bodyDiv w:val="1"/>
      <w:marLeft w:val="0"/>
      <w:marRight w:val="0"/>
      <w:marTop w:val="0"/>
      <w:marBottom w:val="0"/>
      <w:divBdr>
        <w:top w:val="none" w:sz="0" w:space="0" w:color="auto"/>
        <w:left w:val="none" w:sz="0" w:space="0" w:color="auto"/>
        <w:bottom w:val="none" w:sz="0" w:space="0" w:color="auto"/>
        <w:right w:val="none" w:sz="0" w:space="0" w:color="auto"/>
      </w:divBdr>
    </w:div>
    <w:div w:id="86140573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229879778">
      <w:bodyDiv w:val="1"/>
      <w:marLeft w:val="0"/>
      <w:marRight w:val="0"/>
      <w:marTop w:val="0"/>
      <w:marBottom w:val="0"/>
      <w:divBdr>
        <w:top w:val="none" w:sz="0" w:space="0" w:color="auto"/>
        <w:left w:val="none" w:sz="0" w:space="0" w:color="auto"/>
        <w:bottom w:val="none" w:sz="0" w:space="0" w:color="auto"/>
        <w:right w:val="none" w:sz="0" w:space="0" w:color="auto"/>
      </w:divBdr>
    </w:div>
    <w:div w:id="1280377680">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883441277">
      <w:bodyDiv w:val="1"/>
      <w:marLeft w:val="0"/>
      <w:marRight w:val="0"/>
      <w:marTop w:val="0"/>
      <w:marBottom w:val="0"/>
      <w:divBdr>
        <w:top w:val="none" w:sz="0" w:space="0" w:color="auto"/>
        <w:left w:val="none" w:sz="0" w:space="0" w:color="auto"/>
        <w:bottom w:val="none" w:sz="0" w:space="0" w:color="auto"/>
        <w:right w:val="none" w:sz="0" w:space="0" w:color="auto"/>
      </w:divBdr>
    </w:div>
    <w:div w:id="1885365188">
      <w:bodyDiv w:val="1"/>
      <w:marLeft w:val="0"/>
      <w:marRight w:val="0"/>
      <w:marTop w:val="0"/>
      <w:marBottom w:val="0"/>
      <w:divBdr>
        <w:top w:val="none" w:sz="0" w:space="0" w:color="auto"/>
        <w:left w:val="none" w:sz="0" w:space="0" w:color="auto"/>
        <w:bottom w:val="none" w:sz="0" w:space="0" w:color="auto"/>
        <w:right w:val="none" w:sz="0" w:space="0" w:color="auto"/>
      </w:divBdr>
    </w:div>
    <w:div w:id="1983651109">
      <w:bodyDiv w:val="1"/>
      <w:marLeft w:val="0"/>
      <w:marRight w:val="0"/>
      <w:marTop w:val="0"/>
      <w:marBottom w:val="0"/>
      <w:divBdr>
        <w:top w:val="none" w:sz="0" w:space="0" w:color="auto"/>
        <w:left w:val="none" w:sz="0" w:space="0" w:color="auto"/>
        <w:bottom w:val="none" w:sz="0" w:space="0" w:color="auto"/>
        <w:right w:val="none" w:sz="0" w:space="0" w:color="auto"/>
      </w:divBdr>
    </w:div>
    <w:div w:id="206598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03AA1-FD4D-4349-9899-D65B93E5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Tina Li</cp:lastModifiedBy>
  <cp:revision>7</cp:revision>
  <cp:lastPrinted>2014-09-29T14:43:00Z</cp:lastPrinted>
  <dcterms:created xsi:type="dcterms:W3CDTF">2020-01-17T21:01:00Z</dcterms:created>
  <dcterms:modified xsi:type="dcterms:W3CDTF">2020-01-20T19:21:00Z</dcterms:modified>
</cp:coreProperties>
</file>