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F9279" w14:textId="77777777" w:rsidR="004D17AB" w:rsidRPr="004D17AB" w:rsidRDefault="004D17AB" w:rsidP="004D17AB">
      <w:pPr>
        <w:autoSpaceDE w:val="0"/>
        <w:autoSpaceDN w:val="0"/>
        <w:adjustRightInd w:val="0"/>
        <w:spacing w:after="0" w:line="240" w:lineRule="auto"/>
        <w:jc w:val="right"/>
        <w:rPr>
          <w:rFonts w:cs="Arial"/>
          <w:color w:val="000000"/>
          <w:lang w:val="en-CA"/>
        </w:rPr>
      </w:pPr>
      <w:r w:rsidRPr="004D17AB">
        <w:rPr>
          <w:rFonts w:cs="Arial"/>
          <w:bCs/>
          <w:color w:val="000000"/>
        </w:rPr>
        <w:t>Hearst Power Distribution Company Limited</w:t>
      </w:r>
      <w:r w:rsidRPr="004D17AB">
        <w:rPr>
          <w:rFonts w:cs="Arial"/>
          <w:bCs/>
          <w:color w:val="000000"/>
          <w:lang w:val="en-CA"/>
        </w:rPr>
        <w:t xml:space="preserve"> </w:t>
      </w:r>
    </w:p>
    <w:p w14:paraId="5FE30C3D" w14:textId="77777777" w:rsidR="004D17AB" w:rsidRPr="004D17AB" w:rsidRDefault="004D17AB" w:rsidP="004D17AB">
      <w:pPr>
        <w:autoSpaceDE w:val="0"/>
        <w:autoSpaceDN w:val="0"/>
        <w:adjustRightInd w:val="0"/>
        <w:spacing w:after="0" w:line="240" w:lineRule="auto"/>
        <w:jc w:val="right"/>
        <w:rPr>
          <w:rFonts w:cs="Arial"/>
          <w:color w:val="000000"/>
          <w:lang w:val="en-CA"/>
        </w:rPr>
      </w:pPr>
      <w:r w:rsidRPr="004D17AB">
        <w:rPr>
          <w:rFonts w:cs="Arial"/>
          <w:color w:val="000000"/>
          <w:lang w:val="en-CA"/>
        </w:rPr>
        <w:t>OEB Staff Questions</w:t>
      </w:r>
    </w:p>
    <w:p w14:paraId="245969A9" w14:textId="77777777" w:rsidR="004D17AB" w:rsidRDefault="004D17AB" w:rsidP="004D17AB">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4D17AB">
        <w:rPr>
          <w:rFonts w:cs="Arial"/>
        </w:rPr>
        <w:t>EB-2019-0040</w:t>
      </w:r>
    </w:p>
    <w:p w14:paraId="153748A5" w14:textId="77777777" w:rsidR="004D17AB" w:rsidRDefault="004D17AB" w:rsidP="004D17AB">
      <w:pPr>
        <w:pStyle w:val="Default"/>
        <w:jc w:val="center"/>
        <w:rPr>
          <w:rFonts w:ascii="Arial" w:hAnsi="Arial" w:cs="Arial"/>
          <w:b/>
          <w:bCs/>
          <w:sz w:val="28"/>
          <w:szCs w:val="28"/>
        </w:rPr>
      </w:pPr>
    </w:p>
    <w:p w14:paraId="04EAAA07" w14:textId="77777777" w:rsidR="004D17AB" w:rsidRPr="004D17AB" w:rsidRDefault="004D17AB" w:rsidP="004D17AB">
      <w:pPr>
        <w:pStyle w:val="Default"/>
        <w:jc w:val="center"/>
        <w:rPr>
          <w:rFonts w:ascii="Arial" w:hAnsi="Arial" w:cs="Arial"/>
        </w:rPr>
      </w:pPr>
      <w:r w:rsidRPr="004D17AB">
        <w:rPr>
          <w:rFonts w:ascii="Arial" w:hAnsi="Arial" w:cs="Arial"/>
          <w:b/>
          <w:bCs/>
        </w:rPr>
        <w:t xml:space="preserve">Hearst Power Distribution Company Limited  </w:t>
      </w:r>
    </w:p>
    <w:p w14:paraId="398977FB" w14:textId="77777777" w:rsidR="004D17AB" w:rsidRDefault="004D17AB" w:rsidP="004D17AB">
      <w:pPr>
        <w:jc w:val="center"/>
        <w:rPr>
          <w:u w:val="single"/>
        </w:rPr>
      </w:pPr>
      <w:r w:rsidRPr="004D17AB">
        <w:rPr>
          <w:rFonts w:cs="Arial"/>
          <w:b/>
          <w:bCs/>
          <w:sz w:val="24"/>
          <w:szCs w:val="24"/>
        </w:rPr>
        <w:t>EB-2019-0040</w:t>
      </w:r>
    </w:p>
    <w:p w14:paraId="69CC9CD1" w14:textId="77777777" w:rsidR="004D17AB" w:rsidRPr="003636BF" w:rsidRDefault="004D17AB" w:rsidP="004D17AB">
      <w:pPr>
        <w:rPr>
          <w:rFonts w:cs="Arial"/>
          <w:b/>
          <w:sz w:val="24"/>
          <w:szCs w:val="24"/>
        </w:rPr>
      </w:pPr>
      <w:r w:rsidRPr="003636BF">
        <w:rPr>
          <w:rFonts w:cs="Arial"/>
          <w:b/>
          <w:sz w:val="24"/>
          <w:szCs w:val="24"/>
        </w:rPr>
        <w:t>Staff Question-1</w:t>
      </w:r>
    </w:p>
    <w:p w14:paraId="69A8E673" w14:textId="77777777" w:rsidR="004D17AB" w:rsidRPr="003636BF" w:rsidRDefault="004D17AB" w:rsidP="004D17AB">
      <w:pPr>
        <w:rPr>
          <w:rFonts w:cs="Arial"/>
          <w:b/>
          <w:sz w:val="24"/>
          <w:szCs w:val="24"/>
        </w:rPr>
      </w:pPr>
      <w:r w:rsidRPr="003636BF">
        <w:rPr>
          <w:rFonts w:cs="Arial"/>
          <w:b/>
          <w:sz w:val="24"/>
          <w:szCs w:val="24"/>
        </w:rPr>
        <w:t>Ref: IRM Model, Tab 1</w:t>
      </w:r>
    </w:p>
    <w:p w14:paraId="0F9DB288" w14:textId="6FC26C82" w:rsidR="008A413D" w:rsidRPr="003636BF" w:rsidRDefault="008A413D" w:rsidP="008A413D">
      <w:pPr>
        <w:rPr>
          <w:rFonts w:cs="Arial"/>
          <w:sz w:val="24"/>
          <w:szCs w:val="24"/>
        </w:rPr>
      </w:pPr>
      <w:r w:rsidRPr="003636BF">
        <w:rPr>
          <w:rFonts w:cs="Arial"/>
          <w:sz w:val="24"/>
          <w:szCs w:val="24"/>
        </w:rPr>
        <w:t>In Tab 1 of the IRM Model (cell F45), Hearst Power indicated this it is fully embedded within Hydro One Networks’ distribution system</w:t>
      </w:r>
      <w:r w:rsidR="00313095">
        <w:rPr>
          <w:rFonts w:cs="Arial"/>
          <w:sz w:val="24"/>
          <w:szCs w:val="24"/>
        </w:rPr>
        <w:t>.</w:t>
      </w:r>
      <w:r w:rsidRPr="003636BF">
        <w:rPr>
          <w:rFonts w:cs="Arial"/>
          <w:sz w:val="24"/>
          <w:szCs w:val="24"/>
        </w:rPr>
        <w:t xml:space="preserve"> Please confirm </w:t>
      </w:r>
      <w:r w:rsidR="00313095">
        <w:rPr>
          <w:rFonts w:cs="Arial"/>
          <w:sz w:val="24"/>
          <w:szCs w:val="24"/>
        </w:rPr>
        <w:t>whether</w:t>
      </w:r>
      <w:r w:rsidRPr="003636BF">
        <w:rPr>
          <w:rFonts w:cs="Arial"/>
          <w:sz w:val="24"/>
          <w:szCs w:val="24"/>
        </w:rPr>
        <w:t xml:space="preserve"> this is correct or </w:t>
      </w:r>
      <w:r w:rsidR="00313095">
        <w:rPr>
          <w:rFonts w:cs="Arial"/>
          <w:sz w:val="24"/>
          <w:szCs w:val="24"/>
        </w:rPr>
        <w:t xml:space="preserve">if </w:t>
      </w:r>
      <w:r w:rsidRPr="003636BF">
        <w:rPr>
          <w:rFonts w:cs="Arial"/>
          <w:sz w:val="24"/>
          <w:szCs w:val="24"/>
        </w:rPr>
        <w:t>Hearst Power is only partially embedded within Hydro One Networks’ distribution system</w:t>
      </w:r>
      <w:r w:rsidR="004B3C39">
        <w:rPr>
          <w:rFonts w:cs="Arial"/>
          <w:sz w:val="24"/>
          <w:szCs w:val="24"/>
        </w:rPr>
        <w:t xml:space="preserve"> as was indicated in Hearst Power’s 2019 rate application</w:t>
      </w:r>
      <w:r w:rsidRPr="003636BF">
        <w:rPr>
          <w:rFonts w:cs="Arial"/>
          <w:sz w:val="24"/>
          <w:szCs w:val="24"/>
        </w:rPr>
        <w:t>.</w:t>
      </w:r>
    </w:p>
    <w:p w14:paraId="2FD6BC56" w14:textId="77777777" w:rsidR="004D17AB" w:rsidRPr="003636BF" w:rsidRDefault="004D17AB">
      <w:pPr>
        <w:rPr>
          <w:rFonts w:cs="Arial"/>
          <w:b/>
          <w:sz w:val="24"/>
          <w:szCs w:val="24"/>
        </w:rPr>
      </w:pPr>
    </w:p>
    <w:p w14:paraId="5B7D8B00" w14:textId="426DDE98" w:rsidR="00EA01C1" w:rsidRPr="003636BF" w:rsidRDefault="00EA01C1" w:rsidP="00EA01C1">
      <w:pPr>
        <w:rPr>
          <w:rFonts w:cs="Arial"/>
          <w:b/>
          <w:sz w:val="24"/>
          <w:szCs w:val="24"/>
        </w:rPr>
      </w:pPr>
      <w:r w:rsidRPr="003636BF">
        <w:rPr>
          <w:rFonts w:cs="Arial"/>
          <w:b/>
          <w:sz w:val="24"/>
          <w:szCs w:val="24"/>
        </w:rPr>
        <w:t>Staff Question-</w:t>
      </w:r>
      <w:r>
        <w:rPr>
          <w:rFonts w:cs="Arial"/>
          <w:b/>
          <w:sz w:val="24"/>
          <w:szCs w:val="24"/>
        </w:rPr>
        <w:t>2</w:t>
      </w:r>
    </w:p>
    <w:p w14:paraId="7A4A5C95" w14:textId="313FFD9C" w:rsidR="00EA01C1" w:rsidRPr="003636BF" w:rsidRDefault="00EA01C1" w:rsidP="00EA01C1">
      <w:pPr>
        <w:rPr>
          <w:rFonts w:cs="Arial"/>
          <w:b/>
          <w:sz w:val="24"/>
          <w:szCs w:val="24"/>
        </w:rPr>
      </w:pPr>
      <w:r w:rsidRPr="003636BF">
        <w:rPr>
          <w:rFonts w:cs="Arial"/>
          <w:b/>
          <w:sz w:val="24"/>
          <w:szCs w:val="24"/>
        </w:rPr>
        <w:t xml:space="preserve">Ref: IRM Model, Tab </w:t>
      </w:r>
      <w:r>
        <w:rPr>
          <w:rFonts w:cs="Arial"/>
          <w:b/>
          <w:sz w:val="24"/>
          <w:szCs w:val="24"/>
        </w:rPr>
        <w:t>6 and Tab 6.1GA</w:t>
      </w:r>
    </w:p>
    <w:p w14:paraId="634DDC8A" w14:textId="53E0CEFE" w:rsidR="00EA01C1" w:rsidRDefault="00EA01C1">
      <w:pPr>
        <w:rPr>
          <w:rFonts w:cs="Arial"/>
          <w:b/>
          <w:sz w:val="24"/>
          <w:szCs w:val="24"/>
        </w:rPr>
      </w:pPr>
      <w:r w:rsidRPr="00EA01C1">
        <w:rPr>
          <w:rFonts w:cs="Arial"/>
          <w:sz w:val="24"/>
          <w:szCs w:val="24"/>
        </w:rPr>
        <w:t>In Tab 6</w:t>
      </w:r>
      <w:r w:rsidR="00B64071">
        <w:rPr>
          <w:rFonts w:cs="Arial"/>
          <w:sz w:val="24"/>
          <w:szCs w:val="24"/>
        </w:rPr>
        <w:t>.1</w:t>
      </w:r>
      <w:r w:rsidRPr="00EA01C1">
        <w:rPr>
          <w:rFonts w:cs="Arial"/>
          <w:sz w:val="24"/>
          <w:szCs w:val="24"/>
        </w:rPr>
        <w:t>GA of the IRM Model, the Non-Metered Consumption for Current Class B Customers in column I shows a negative balance of 3,936,563 kWh</w:t>
      </w:r>
      <w:r>
        <w:rPr>
          <w:rFonts w:cs="Arial"/>
          <w:sz w:val="24"/>
          <w:szCs w:val="24"/>
        </w:rPr>
        <w:t xml:space="preserve"> for the Intermediate Service Class</w:t>
      </w:r>
      <w:r w:rsidRPr="00EA01C1">
        <w:rPr>
          <w:rFonts w:cs="Arial"/>
          <w:sz w:val="24"/>
          <w:szCs w:val="24"/>
        </w:rPr>
        <w:t xml:space="preserve">. Please confirm that this amount is correct by confirming that the </w:t>
      </w:r>
      <w:r>
        <w:rPr>
          <w:rFonts w:cs="Arial"/>
          <w:sz w:val="24"/>
          <w:szCs w:val="24"/>
        </w:rPr>
        <w:t>kWh</w:t>
      </w:r>
      <w:r w:rsidRPr="00EA01C1">
        <w:rPr>
          <w:rFonts w:cs="Arial"/>
          <w:sz w:val="24"/>
          <w:szCs w:val="24"/>
        </w:rPr>
        <w:t xml:space="preserve"> </w:t>
      </w:r>
      <w:r w:rsidRPr="00EA01C1">
        <w:rPr>
          <w:rFonts w:cs="Arial"/>
          <w:sz w:val="24"/>
          <w:szCs w:val="24"/>
        </w:rPr>
        <w:t xml:space="preserve">in columns E and G (that are pulled from </w:t>
      </w:r>
      <w:r>
        <w:rPr>
          <w:rFonts w:cs="Arial"/>
          <w:sz w:val="24"/>
          <w:szCs w:val="24"/>
        </w:rPr>
        <w:t xml:space="preserve">the </w:t>
      </w:r>
      <w:r w:rsidR="00B64071">
        <w:rPr>
          <w:rFonts w:cs="Arial"/>
          <w:sz w:val="24"/>
          <w:szCs w:val="24"/>
        </w:rPr>
        <w:t>dat</w:t>
      </w:r>
      <w:r w:rsidR="00B64071">
        <w:rPr>
          <w:rFonts w:cs="Arial"/>
          <w:sz w:val="24"/>
          <w:szCs w:val="24"/>
        </w:rPr>
        <w:t>a</w:t>
      </w:r>
      <w:r w:rsidR="00B64071">
        <w:rPr>
          <w:rFonts w:cs="Arial"/>
          <w:sz w:val="24"/>
          <w:szCs w:val="24"/>
        </w:rPr>
        <w:t xml:space="preserve"> </w:t>
      </w:r>
      <w:r>
        <w:rPr>
          <w:rFonts w:cs="Arial"/>
          <w:sz w:val="24"/>
          <w:szCs w:val="24"/>
        </w:rPr>
        <w:t>input in</w:t>
      </w:r>
      <w:r w:rsidR="00B64071">
        <w:rPr>
          <w:rFonts w:cs="Arial"/>
          <w:sz w:val="24"/>
          <w:szCs w:val="24"/>
        </w:rPr>
        <w:t>to</w:t>
      </w:r>
      <w:r>
        <w:rPr>
          <w:rFonts w:cs="Arial"/>
          <w:sz w:val="24"/>
          <w:szCs w:val="24"/>
        </w:rPr>
        <w:t xml:space="preserve"> </w:t>
      </w:r>
      <w:r w:rsidRPr="00EA01C1">
        <w:rPr>
          <w:rFonts w:cs="Arial"/>
          <w:sz w:val="24"/>
          <w:szCs w:val="24"/>
        </w:rPr>
        <w:t>Tab 6) are the correct total metered consumption amounts.</w:t>
      </w:r>
    </w:p>
    <w:p w14:paraId="7F50A968" w14:textId="2BD314BC" w:rsidR="00EA01C1" w:rsidRDefault="00EA01C1">
      <w:pPr>
        <w:rPr>
          <w:rFonts w:cs="Arial"/>
          <w:b/>
          <w:sz w:val="24"/>
          <w:szCs w:val="24"/>
        </w:rPr>
      </w:pPr>
      <w:r>
        <w:rPr>
          <w:noProof/>
        </w:rPr>
        <w:drawing>
          <wp:inline distT="0" distB="0" distL="0" distR="0" wp14:anchorId="5BCF3933" wp14:editId="29EBF9C5">
            <wp:extent cx="5943600" cy="1312545"/>
            <wp:effectExtent l="19050" t="19050" r="1905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312545"/>
                    </a:xfrm>
                    <a:prstGeom prst="rect">
                      <a:avLst/>
                    </a:prstGeom>
                    <a:ln>
                      <a:solidFill>
                        <a:schemeClr val="tx1"/>
                      </a:solidFill>
                    </a:ln>
                  </pic:spPr>
                </pic:pic>
              </a:graphicData>
            </a:graphic>
          </wp:inline>
        </w:drawing>
      </w:r>
    </w:p>
    <w:p w14:paraId="795E619F" w14:textId="77777777" w:rsidR="00EA01C1" w:rsidRDefault="00EA01C1">
      <w:pPr>
        <w:rPr>
          <w:rFonts w:cs="Arial"/>
          <w:b/>
          <w:sz w:val="24"/>
          <w:szCs w:val="24"/>
        </w:rPr>
      </w:pPr>
    </w:p>
    <w:p w14:paraId="5C03FA2B" w14:textId="77B72235" w:rsidR="004D17AB" w:rsidRPr="003636BF" w:rsidRDefault="004D17AB">
      <w:pPr>
        <w:rPr>
          <w:rFonts w:cs="Arial"/>
          <w:b/>
          <w:sz w:val="24"/>
          <w:szCs w:val="24"/>
        </w:rPr>
      </w:pPr>
      <w:r w:rsidRPr="003636BF">
        <w:rPr>
          <w:rFonts w:cs="Arial"/>
          <w:b/>
          <w:sz w:val="24"/>
          <w:szCs w:val="24"/>
        </w:rPr>
        <w:t>Staff Question-</w:t>
      </w:r>
      <w:r w:rsidR="00EA01C1">
        <w:rPr>
          <w:rFonts w:cs="Arial"/>
          <w:b/>
          <w:sz w:val="24"/>
          <w:szCs w:val="24"/>
        </w:rPr>
        <w:t>3</w:t>
      </w:r>
    </w:p>
    <w:p w14:paraId="1FA1360A" w14:textId="77777777" w:rsidR="00AF0B19" w:rsidRPr="003636BF" w:rsidRDefault="00AF0B19">
      <w:pPr>
        <w:rPr>
          <w:rFonts w:cs="Arial"/>
          <w:b/>
          <w:sz w:val="24"/>
          <w:szCs w:val="24"/>
        </w:rPr>
      </w:pPr>
      <w:r w:rsidRPr="003636BF">
        <w:rPr>
          <w:rFonts w:cs="Arial"/>
          <w:b/>
          <w:sz w:val="24"/>
          <w:szCs w:val="24"/>
        </w:rPr>
        <w:t>Ref: Manager’s Summary, page 12</w:t>
      </w:r>
    </w:p>
    <w:p w14:paraId="06A2DF20" w14:textId="15D4B29F" w:rsidR="00302002" w:rsidRPr="003636BF" w:rsidRDefault="00302002" w:rsidP="00D969EB">
      <w:pPr>
        <w:rPr>
          <w:rFonts w:cs="Arial"/>
          <w:sz w:val="24"/>
          <w:szCs w:val="24"/>
        </w:rPr>
      </w:pPr>
      <w:r w:rsidRPr="003636BF">
        <w:rPr>
          <w:rFonts w:cs="Arial"/>
          <w:sz w:val="24"/>
          <w:szCs w:val="24"/>
        </w:rPr>
        <w:t xml:space="preserve">Hearst Power </w:t>
      </w:r>
      <w:r w:rsidR="00997606" w:rsidRPr="003636BF">
        <w:rPr>
          <w:rFonts w:cs="Arial"/>
          <w:sz w:val="24"/>
          <w:szCs w:val="24"/>
        </w:rPr>
        <w:t>confirm</w:t>
      </w:r>
      <w:r w:rsidR="00AB3D14">
        <w:rPr>
          <w:rFonts w:cs="Arial"/>
          <w:sz w:val="24"/>
          <w:szCs w:val="24"/>
        </w:rPr>
        <w:t>ed that</w:t>
      </w:r>
      <w:r w:rsidR="00997606" w:rsidRPr="003636BF">
        <w:rPr>
          <w:rFonts w:cs="Arial"/>
          <w:sz w:val="24"/>
          <w:szCs w:val="24"/>
        </w:rPr>
        <w:t xml:space="preserve"> i</w:t>
      </w:r>
      <w:r w:rsidRPr="003636BF">
        <w:rPr>
          <w:rFonts w:cs="Arial"/>
          <w:sz w:val="24"/>
          <w:szCs w:val="24"/>
        </w:rPr>
        <w:t>t complies with the new accounting policies and does not report any adjustments.</w:t>
      </w:r>
      <w:r w:rsidR="006054D3" w:rsidRPr="003636BF">
        <w:rPr>
          <w:rFonts w:cs="Arial"/>
          <w:sz w:val="24"/>
          <w:szCs w:val="24"/>
        </w:rPr>
        <w:t xml:space="preserve"> The new accounting guidance was effective January 1, 2019 and to be implemented by August 31, 2019. </w:t>
      </w:r>
    </w:p>
    <w:p w14:paraId="315678A9" w14:textId="77777777" w:rsidR="00302002" w:rsidRPr="003636BF" w:rsidRDefault="00302002" w:rsidP="00302002">
      <w:pPr>
        <w:pStyle w:val="ListParagraph"/>
        <w:numPr>
          <w:ilvl w:val="0"/>
          <w:numId w:val="1"/>
        </w:numPr>
        <w:rPr>
          <w:rFonts w:cs="Arial"/>
          <w:sz w:val="24"/>
          <w:szCs w:val="24"/>
        </w:rPr>
      </w:pPr>
      <w:r w:rsidRPr="003636BF">
        <w:rPr>
          <w:rFonts w:cs="Arial"/>
          <w:sz w:val="24"/>
          <w:szCs w:val="24"/>
        </w:rPr>
        <w:t>Please confirm that Hearst Power implemented the accounting guidance by August 31, 2019.</w:t>
      </w:r>
      <w:r w:rsidR="00997606" w:rsidRPr="003636BF">
        <w:rPr>
          <w:rFonts w:cs="Arial"/>
          <w:sz w:val="24"/>
          <w:szCs w:val="24"/>
        </w:rPr>
        <w:t xml:space="preserve"> If not, please explain when the accounting guidance was implemented.</w:t>
      </w:r>
    </w:p>
    <w:p w14:paraId="5D5FC169" w14:textId="77777777" w:rsidR="00302002" w:rsidRPr="003636BF" w:rsidRDefault="00302002" w:rsidP="00302002">
      <w:pPr>
        <w:pStyle w:val="ListParagraph"/>
        <w:numPr>
          <w:ilvl w:val="0"/>
          <w:numId w:val="1"/>
        </w:numPr>
        <w:rPr>
          <w:rFonts w:cs="Arial"/>
          <w:sz w:val="24"/>
          <w:szCs w:val="24"/>
        </w:rPr>
      </w:pPr>
      <w:r w:rsidRPr="003636BF">
        <w:rPr>
          <w:rFonts w:cs="Arial"/>
          <w:sz w:val="24"/>
          <w:szCs w:val="24"/>
        </w:rPr>
        <w:lastRenderedPageBreak/>
        <w:t>Please confirm that the accounting guidance was implemented retroactive to January 1, 2019.</w:t>
      </w:r>
      <w:r w:rsidR="00997606" w:rsidRPr="003636BF">
        <w:rPr>
          <w:rFonts w:cs="Arial"/>
          <w:sz w:val="24"/>
          <w:szCs w:val="24"/>
        </w:rPr>
        <w:t xml:space="preserve"> If not please explain when the retroactive implementation will be completed.</w:t>
      </w:r>
    </w:p>
    <w:p w14:paraId="3D8BC711" w14:textId="77777777" w:rsidR="004D17AB" w:rsidRPr="003636BF" w:rsidRDefault="004D17AB" w:rsidP="004D17AB">
      <w:pPr>
        <w:rPr>
          <w:rFonts w:cs="Arial"/>
          <w:b/>
          <w:sz w:val="24"/>
          <w:szCs w:val="24"/>
        </w:rPr>
      </w:pPr>
    </w:p>
    <w:p w14:paraId="36609C8F" w14:textId="4D7AFE9E" w:rsidR="004D17AB" w:rsidRPr="003636BF" w:rsidRDefault="004D17AB" w:rsidP="004D17AB">
      <w:pPr>
        <w:rPr>
          <w:rFonts w:cs="Arial"/>
          <w:b/>
          <w:sz w:val="24"/>
          <w:szCs w:val="24"/>
        </w:rPr>
      </w:pPr>
      <w:r w:rsidRPr="003636BF">
        <w:rPr>
          <w:rFonts w:cs="Arial"/>
          <w:b/>
          <w:sz w:val="24"/>
          <w:szCs w:val="24"/>
        </w:rPr>
        <w:t>Staff Question-</w:t>
      </w:r>
      <w:r w:rsidR="00EA01C1">
        <w:rPr>
          <w:rFonts w:cs="Arial"/>
          <w:b/>
          <w:sz w:val="24"/>
          <w:szCs w:val="24"/>
        </w:rPr>
        <w:t>4</w:t>
      </w:r>
    </w:p>
    <w:p w14:paraId="3362FB6F" w14:textId="77777777" w:rsidR="00B078B9" w:rsidRPr="003636BF" w:rsidRDefault="006054D3" w:rsidP="00B078B9">
      <w:pPr>
        <w:rPr>
          <w:rFonts w:cs="Arial"/>
          <w:b/>
          <w:sz w:val="24"/>
          <w:szCs w:val="24"/>
        </w:rPr>
      </w:pPr>
      <w:r w:rsidRPr="003636BF">
        <w:rPr>
          <w:rFonts w:cs="Arial"/>
          <w:b/>
          <w:sz w:val="24"/>
          <w:szCs w:val="24"/>
        </w:rPr>
        <w:t>Ref: Manager’s Summary, page 12</w:t>
      </w:r>
    </w:p>
    <w:p w14:paraId="775490DC" w14:textId="77777777" w:rsidR="00AF0B19" w:rsidRPr="003636BF" w:rsidRDefault="006054D3">
      <w:pPr>
        <w:rPr>
          <w:rFonts w:cs="Arial"/>
          <w:sz w:val="24"/>
          <w:szCs w:val="24"/>
        </w:rPr>
      </w:pPr>
      <w:r w:rsidRPr="003636BF">
        <w:rPr>
          <w:rFonts w:cs="Arial"/>
          <w:sz w:val="24"/>
          <w:szCs w:val="24"/>
        </w:rPr>
        <w:t xml:space="preserve">Hearst Power indicated that it does not report any adjustments as a result of the new accounting policies. </w:t>
      </w:r>
      <w:r w:rsidRPr="003636BF">
        <w:rPr>
          <w:rFonts w:cs="Arial"/>
          <w:i/>
          <w:sz w:val="24"/>
          <w:szCs w:val="24"/>
        </w:rPr>
        <w:t>Q&amp;A’s for Accounting Guidance on Accounts 1588 and 1589</w:t>
      </w:r>
      <w:r w:rsidRPr="003636BF">
        <w:rPr>
          <w:rFonts w:cs="Arial"/>
          <w:sz w:val="24"/>
          <w:szCs w:val="24"/>
        </w:rPr>
        <w:t xml:space="preserve"> #28 and 29 set out certain </w:t>
      </w:r>
      <w:r w:rsidR="00997606" w:rsidRPr="003636BF">
        <w:rPr>
          <w:rFonts w:cs="Arial"/>
          <w:sz w:val="24"/>
          <w:szCs w:val="24"/>
        </w:rPr>
        <w:t>expectations</w:t>
      </w:r>
      <w:r w:rsidRPr="003636BF">
        <w:rPr>
          <w:rFonts w:cs="Arial"/>
          <w:sz w:val="24"/>
          <w:szCs w:val="24"/>
        </w:rPr>
        <w:t xml:space="preserve"> regarding the review of historical balances not disposed on a final basis.</w:t>
      </w:r>
    </w:p>
    <w:p w14:paraId="02464954" w14:textId="77777777" w:rsidR="00997606" w:rsidRPr="003636BF" w:rsidRDefault="00997606" w:rsidP="006054D3">
      <w:pPr>
        <w:pStyle w:val="ListParagraph"/>
        <w:numPr>
          <w:ilvl w:val="0"/>
          <w:numId w:val="2"/>
        </w:numPr>
        <w:rPr>
          <w:rFonts w:cs="Arial"/>
          <w:sz w:val="24"/>
          <w:szCs w:val="24"/>
        </w:rPr>
      </w:pPr>
      <w:r w:rsidRPr="003636BF">
        <w:rPr>
          <w:rFonts w:cs="Arial"/>
          <w:sz w:val="24"/>
          <w:szCs w:val="24"/>
        </w:rPr>
        <w:t>Please confirm that Hearst Power has reviewed its 2017 balance approved on an interim basis, in the context of the new accounting guidance.</w:t>
      </w:r>
    </w:p>
    <w:p w14:paraId="5D77C34D" w14:textId="77777777" w:rsidR="00997606" w:rsidRPr="003636BF" w:rsidRDefault="00997606" w:rsidP="00997606">
      <w:pPr>
        <w:pStyle w:val="ListParagraph"/>
        <w:numPr>
          <w:ilvl w:val="0"/>
          <w:numId w:val="2"/>
        </w:numPr>
        <w:rPr>
          <w:rFonts w:cs="Arial"/>
          <w:sz w:val="24"/>
          <w:szCs w:val="24"/>
        </w:rPr>
      </w:pPr>
      <w:r w:rsidRPr="003636BF">
        <w:rPr>
          <w:rFonts w:cs="Arial"/>
          <w:sz w:val="24"/>
          <w:szCs w:val="24"/>
        </w:rPr>
        <w:t>Please provide further details on the review that was completed, and any summary reports available (e.g. how the review was done).</w:t>
      </w:r>
    </w:p>
    <w:p w14:paraId="568C4C1F" w14:textId="77777777" w:rsidR="00D941E9" w:rsidRPr="003636BF" w:rsidRDefault="006054D3" w:rsidP="006054D3">
      <w:pPr>
        <w:pStyle w:val="ListParagraph"/>
        <w:numPr>
          <w:ilvl w:val="0"/>
          <w:numId w:val="2"/>
        </w:numPr>
        <w:rPr>
          <w:rFonts w:cs="Arial"/>
          <w:sz w:val="24"/>
          <w:szCs w:val="24"/>
        </w:rPr>
      </w:pPr>
      <w:r w:rsidRPr="003636BF">
        <w:rPr>
          <w:rFonts w:cs="Arial"/>
          <w:sz w:val="24"/>
          <w:szCs w:val="24"/>
        </w:rPr>
        <w:t xml:space="preserve">Please confirm </w:t>
      </w:r>
      <w:bookmarkStart w:id="0" w:name="_GoBack"/>
      <w:bookmarkEnd w:id="0"/>
      <w:r w:rsidRPr="003636BF">
        <w:rPr>
          <w:rFonts w:cs="Arial"/>
          <w:sz w:val="24"/>
          <w:szCs w:val="24"/>
        </w:rPr>
        <w:t>that there are no systemic issues with the Hearst Power’s RPP settlement and</w:t>
      </w:r>
      <w:r w:rsidR="00997606" w:rsidRPr="003636BF">
        <w:rPr>
          <w:rFonts w:cs="Arial"/>
          <w:sz w:val="24"/>
          <w:szCs w:val="24"/>
        </w:rPr>
        <w:t xml:space="preserve"> related accounting processes noted during the review.</w:t>
      </w:r>
    </w:p>
    <w:p w14:paraId="5F51285D" w14:textId="77777777" w:rsidR="006054D3" w:rsidRPr="003636BF" w:rsidRDefault="00D941E9" w:rsidP="006054D3">
      <w:pPr>
        <w:pStyle w:val="ListParagraph"/>
        <w:numPr>
          <w:ilvl w:val="0"/>
          <w:numId w:val="2"/>
        </w:numPr>
        <w:rPr>
          <w:rFonts w:cs="Arial"/>
          <w:sz w:val="24"/>
          <w:szCs w:val="24"/>
        </w:rPr>
      </w:pPr>
      <w:r w:rsidRPr="003636BF">
        <w:rPr>
          <w:rFonts w:cs="Arial"/>
          <w:sz w:val="24"/>
          <w:szCs w:val="24"/>
        </w:rPr>
        <w:t>I</w:t>
      </w:r>
      <w:r w:rsidR="006054D3" w:rsidRPr="003636BF">
        <w:rPr>
          <w:rFonts w:cs="Arial"/>
          <w:sz w:val="24"/>
          <w:szCs w:val="24"/>
        </w:rPr>
        <w:t>f not confirmed</w:t>
      </w:r>
      <w:r w:rsidRPr="003636BF">
        <w:rPr>
          <w:rFonts w:cs="Arial"/>
          <w:sz w:val="24"/>
          <w:szCs w:val="24"/>
        </w:rPr>
        <w:t>,</w:t>
      </w:r>
      <w:r w:rsidR="006054D3" w:rsidRPr="003636BF">
        <w:rPr>
          <w:rFonts w:cs="Arial"/>
          <w:sz w:val="24"/>
          <w:szCs w:val="24"/>
        </w:rPr>
        <w:t xml:space="preserve"> please explain </w:t>
      </w:r>
      <w:r w:rsidRPr="003636BF">
        <w:rPr>
          <w:rFonts w:cs="Arial"/>
          <w:sz w:val="24"/>
          <w:szCs w:val="24"/>
        </w:rPr>
        <w:t>the systemic issues,</w:t>
      </w:r>
      <w:r w:rsidR="006054D3" w:rsidRPr="003636BF">
        <w:rPr>
          <w:rFonts w:cs="Arial"/>
          <w:sz w:val="24"/>
          <w:szCs w:val="24"/>
        </w:rPr>
        <w:t xml:space="preserve"> describe and quantify any adjustments </w:t>
      </w:r>
      <w:r w:rsidRPr="003636BF">
        <w:rPr>
          <w:rFonts w:cs="Arial"/>
          <w:sz w:val="24"/>
          <w:szCs w:val="24"/>
        </w:rPr>
        <w:t xml:space="preserve">identified </w:t>
      </w:r>
      <w:r w:rsidR="006054D3" w:rsidRPr="003636BF">
        <w:rPr>
          <w:rFonts w:cs="Arial"/>
          <w:sz w:val="24"/>
          <w:szCs w:val="24"/>
        </w:rPr>
        <w:t>and provide an assessment on the materiality of the adjustments.</w:t>
      </w:r>
    </w:p>
    <w:p w14:paraId="47864F3A" w14:textId="77777777" w:rsidR="0088763D" w:rsidRPr="003636BF" w:rsidRDefault="0088763D" w:rsidP="0088763D">
      <w:pPr>
        <w:rPr>
          <w:rFonts w:cs="Arial"/>
          <w:sz w:val="24"/>
          <w:szCs w:val="24"/>
        </w:rPr>
      </w:pPr>
    </w:p>
    <w:p w14:paraId="069A3CF0" w14:textId="1BD5392F" w:rsidR="004D17AB" w:rsidRPr="003636BF" w:rsidRDefault="004D17AB" w:rsidP="004D17AB">
      <w:pPr>
        <w:rPr>
          <w:rFonts w:cs="Arial"/>
          <w:b/>
          <w:sz w:val="24"/>
          <w:szCs w:val="24"/>
        </w:rPr>
      </w:pPr>
      <w:r w:rsidRPr="003636BF">
        <w:rPr>
          <w:rFonts w:cs="Arial"/>
          <w:b/>
          <w:sz w:val="24"/>
          <w:szCs w:val="24"/>
        </w:rPr>
        <w:t>Staff Question-</w:t>
      </w:r>
      <w:r w:rsidR="00EA01C1">
        <w:rPr>
          <w:rFonts w:cs="Arial"/>
          <w:b/>
          <w:sz w:val="24"/>
          <w:szCs w:val="24"/>
        </w:rPr>
        <w:t>5</w:t>
      </w:r>
    </w:p>
    <w:p w14:paraId="662086FF" w14:textId="77777777" w:rsidR="0088763D" w:rsidRPr="003636BF" w:rsidRDefault="0088763D" w:rsidP="0088763D">
      <w:pPr>
        <w:rPr>
          <w:rFonts w:cs="Arial"/>
          <w:b/>
          <w:sz w:val="24"/>
          <w:szCs w:val="24"/>
        </w:rPr>
      </w:pPr>
      <w:r w:rsidRPr="003636BF">
        <w:rPr>
          <w:rFonts w:cs="Arial"/>
          <w:b/>
          <w:sz w:val="24"/>
          <w:szCs w:val="24"/>
        </w:rPr>
        <w:t>Ref: Manager’s Summary, page 11</w:t>
      </w:r>
    </w:p>
    <w:p w14:paraId="08E7CD3E" w14:textId="77777777" w:rsidR="006054D3" w:rsidRPr="003636BF" w:rsidRDefault="0088763D">
      <w:pPr>
        <w:rPr>
          <w:rFonts w:cs="Arial"/>
          <w:sz w:val="24"/>
          <w:szCs w:val="24"/>
        </w:rPr>
      </w:pPr>
      <w:r w:rsidRPr="003636BF">
        <w:rPr>
          <w:rFonts w:cs="Arial"/>
          <w:sz w:val="24"/>
          <w:szCs w:val="24"/>
        </w:rPr>
        <w:t xml:space="preserve">Hearst Power is seeking disposition if its 2018 Group 1 accounts. </w:t>
      </w:r>
      <w:r w:rsidRPr="003636BF">
        <w:rPr>
          <w:rFonts w:cs="Arial"/>
          <w:i/>
          <w:sz w:val="24"/>
          <w:szCs w:val="24"/>
        </w:rPr>
        <w:t>Q&amp;A’s for Accounting Guidance on Accounts 1588 and 1589</w:t>
      </w:r>
      <w:r w:rsidRPr="003636BF">
        <w:rPr>
          <w:rFonts w:cs="Arial"/>
          <w:sz w:val="24"/>
          <w:szCs w:val="24"/>
        </w:rPr>
        <w:t xml:space="preserve"> #28 discusses the expectation for final disposition requests.</w:t>
      </w:r>
    </w:p>
    <w:p w14:paraId="3FB96684" w14:textId="77777777" w:rsidR="0088763D" w:rsidRPr="003636BF" w:rsidRDefault="0088763D" w:rsidP="0088763D">
      <w:pPr>
        <w:pStyle w:val="ListParagraph"/>
        <w:numPr>
          <w:ilvl w:val="0"/>
          <w:numId w:val="3"/>
        </w:numPr>
        <w:rPr>
          <w:rFonts w:cs="Arial"/>
          <w:sz w:val="24"/>
          <w:szCs w:val="24"/>
        </w:rPr>
      </w:pPr>
      <w:r w:rsidRPr="003636BF">
        <w:rPr>
          <w:rFonts w:cs="Arial"/>
          <w:sz w:val="24"/>
          <w:szCs w:val="24"/>
        </w:rPr>
        <w:t>Please explain whether Hearst Power is seeking interim or final disposition for the 2018 balances.</w:t>
      </w:r>
    </w:p>
    <w:p w14:paraId="469EA920" w14:textId="77777777" w:rsidR="0088763D" w:rsidRPr="003636BF" w:rsidRDefault="0088763D" w:rsidP="0088763D">
      <w:pPr>
        <w:pStyle w:val="ListParagraph"/>
        <w:numPr>
          <w:ilvl w:val="0"/>
          <w:numId w:val="3"/>
        </w:numPr>
        <w:rPr>
          <w:rFonts w:cs="Arial"/>
          <w:sz w:val="24"/>
          <w:szCs w:val="24"/>
        </w:rPr>
      </w:pPr>
      <w:r w:rsidRPr="003636BF">
        <w:rPr>
          <w:rFonts w:cs="Arial"/>
          <w:sz w:val="24"/>
          <w:szCs w:val="24"/>
        </w:rPr>
        <w:t>Please explain whether Hearst Power is seeking final disposition for its 2017 balances approved on an interim basis in its 2019 rate application.</w:t>
      </w:r>
    </w:p>
    <w:p w14:paraId="4FCAFBED" w14:textId="77777777" w:rsidR="00F86CFB" w:rsidRPr="003636BF" w:rsidRDefault="00F86CFB" w:rsidP="00F86CFB">
      <w:pPr>
        <w:rPr>
          <w:rFonts w:cs="Arial"/>
          <w:sz w:val="24"/>
          <w:szCs w:val="24"/>
        </w:rPr>
      </w:pPr>
    </w:p>
    <w:p w14:paraId="392FA1FE" w14:textId="5DFF751F" w:rsidR="004D17AB" w:rsidRPr="003636BF" w:rsidRDefault="004D17AB" w:rsidP="004D17AB">
      <w:pPr>
        <w:rPr>
          <w:rFonts w:cs="Arial"/>
          <w:b/>
          <w:sz w:val="24"/>
          <w:szCs w:val="24"/>
        </w:rPr>
      </w:pPr>
      <w:r w:rsidRPr="003636BF">
        <w:rPr>
          <w:rFonts w:cs="Arial"/>
          <w:b/>
          <w:sz w:val="24"/>
          <w:szCs w:val="24"/>
        </w:rPr>
        <w:t>Staff Question-</w:t>
      </w:r>
      <w:r w:rsidR="00EA01C1">
        <w:rPr>
          <w:rFonts w:cs="Arial"/>
          <w:b/>
          <w:sz w:val="24"/>
          <w:szCs w:val="24"/>
        </w:rPr>
        <w:t>6</w:t>
      </w:r>
    </w:p>
    <w:p w14:paraId="73666084" w14:textId="77777777" w:rsidR="00F86CFB" w:rsidRPr="003636BF" w:rsidRDefault="00F86CFB" w:rsidP="00F86CFB">
      <w:pPr>
        <w:rPr>
          <w:rFonts w:cs="Arial"/>
          <w:b/>
          <w:sz w:val="24"/>
          <w:szCs w:val="24"/>
        </w:rPr>
      </w:pPr>
      <w:r w:rsidRPr="003636BF">
        <w:rPr>
          <w:rFonts w:cs="Arial"/>
          <w:b/>
          <w:sz w:val="24"/>
          <w:szCs w:val="24"/>
        </w:rPr>
        <w:t>Ref: Manager’s Summary, page 17</w:t>
      </w:r>
    </w:p>
    <w:p w14:paraId="3991A097" w14:textId="77777777" w:rsidR="00F86CFB" w:rsidRPr="003636BF" w:rsidRDefault="00F86CFB" w:rsidP="00F86CFB">
      <w:pPr>
        <w:rPr>
          <w:rFonts w:cs="Arial"/>
          <w:sz w:val="24"/>
          <w:szCs w:val="24"/>
        </w:rPr>
      </w:pPr>
      <w:r w:rsidRPr="003636BF">
        <w:rPr>
          <w:rFonts w:cs="Arial"/>
          <w:sz w:val="24"/>
          <w:szCs w:val="24"/>
        </w:rPr>
        <w:t xml:space="preserve">It states “Global Adjustment revenue, which is billed directly to the non-RPP customers, is posted directly to </w:t>
      </w:r>
      <w:r w:rsidR="00997606" w:rsidRPr="003636BF">
        <w:rPr>
          <w:rFonts w:cs="Arial"/>
          <w:sz w:val="24"/>
          <w:szCs w:val="24"/>
        </w:rPr>
        <w:t xml:space="preserve">account </w:t>
      </w:r>
      <w:r w:rsidRPr="003636BF">
        <w:rPr>
          <w:rFonts w:cs="Arial"/>
          <w:sz w:val="24"/>
          <w:szCs w:val="24"/>
        </w:rPr>
        <w:t xml:space="preserve">4707 – Global Adjustment…”. Please explain why </w:t>
      </w:r>
      <w:r w:rsidR="00997606" w:rsidRPr="003636BF">
        <w:rPr>
          <w:rFonts w:cs="Arial"/>
          <w:sz w:val="24"/>
          <w:szCs w:val="24"/>
        </w:rPr>
        <w:t xml:space="preserve">GA </w:t>
      </w:r>
      <w:r w:rsidRPr="003636BF">
        <w:rPr>
          <w:rFonts w:cs="Arial"/>
          <w:sz w:val="24"/>
          <w:szCs w:val="24"/>
        </w:rPr>
        <w:t>revenues are posted into an expense account and not revenue accounts as per the Accounting Procedures Handbook.</w:t>
      </w:r>
    </w:p>
    <w:p w14:paraId="22CA856B" w14:textId="77777777" w:rsidR="00CC506A" w:rsidRPr="003636BF" w:rsidRDefault="00CC506A" w:rsidP="00F86CFB">
      <w:pPr>
        <w:rPr>
          <w:rFonts w:cs="Arial"/>
          <w:sz w:val="24"/>
          <w:szCs w:val="24"/>
        </w:rPr>
      </w:pPr>
    </w:p>
    <w:p w14:paraId="4E6D1510" w14:textId="2C3D172E" w:rsidR="004D17AB" w:rsidRPr="003636BF" w:rsidRDefault="004D17AB" w:rsidP="004D17AB">
      <w:pPr>
        <w:rPr>
          <w:rFonts w:cs="Arial"/>
          <w:b/>
          <w:sz w:val="24"/>
          <w:szCs w:val="24"/>
        </w:rPr>
      </w:pPr>
      <w:r w:rsidRPr="003636BF">
        <w:rPr>
          <w:rFonts w:cs="Arial"/>
          <w:b/>
          <w:sz w:val="24"/>
          <w:szCs w:val="24"/>
        </w:rPr>
        <w:t>Staff Question-</w:t>
      </w:r>
      <w:r w:rsidR="00EA01C1">
        <w:rPr>
          <w:rFonts w:cs="Arial"/>
          <w:b/>
          <w:sz w:val="24"/>
          <w:szCs w:val="24"/>
        </w:rPr>
        <w:t>7</w:t>
      </w:r>
    </w:p>
    <w:p w14:paraId="49CDF3AF" w14:textId="77777777" w:rsidR="00CC506A" w:rsidRPr="003636BF" w:rsidRDefault="00CC506A" w:rsidP="00F86CFB">
      <w:pPr>
        <w:rPr>
          <w:rFonts w:cs="Arial"/>
          <w:b/>
          <w:sz w:val="24"/>
          <w:szCs w:val="24"/>
        </w:rPr>
      </w:pPr>
      <w:r w:rsidRPr="003636BF">
        <w:rPr>
          <w:rFonts w:cs="Arial"/>
          <w:b/>
          <w:sz w:val="24"/>
          <w:szCs w:val="24"/>
        </w:rPr>
        <w:t>Ref: Manager’s Summary, page 14, 22</w:t>
      </w:r>
    </w:p>
    <w:p w14:paraId="7D0A577D" w14:textId="77777777" w:rsidR="00CC506A" w:rsidRPr="003636BF" w:rsidRDefault="00997606" w:rsidP="00CC506A">
      <w:pPr>
        <w:pStyle w:val="ListParagraph"/>
        <w:numPr>
          <w:ilvl w:val="0"/>
          <w:numId w:val="5"/>
        </w:numPr>
        <w:rPr>
          <w:rFonts w:cs="Arial"/>
          <w:sz w:val="24"/>
          <w:szCs w:val="24"/>
        </w:rPr>
      </w:pPr>
      <w:r w:rsidRPr="003636BF">
        <w:rPr>
          <w:rFonts w:cs="Arial"/>
          <w:sz w:val="24"/>
          <w:szCs w:val="24"/>
        </w:rPr>
        <w:t>Regarding</w:t>
      </w:r>
      <w:r w:rsidR="00CC506A" w:rsidRPr="003636BF">
        <w:rPr>
          <w:rFonts w:cs="Arial"/>
          <w:sz w:val="24"/>
          <w:szCs w:val="24"/>
        </w:rPr>
        <w:t xml:space="preserve"> the second table</w:t>
      </w:r>
      <w:r w:rsidRPr="003636BF">
        <w:rPr>
          <w:rFonts w:cs="Arial"/>
          <w:sz w:val="24"/>
          <w:szCs w:val="24"/>
        </w:rPr>
        <w:t xml:space="preserve"> on page 22, please confirm that this is</w:t>
      </w:r>
      <w:r w:rsidR="00CC506A" w:rsidRPr="003636BF">
        <w:rPr>
          <w:rFonts w:cs="Arial"/>
          <w:sz w:val="24"/>
          <w:szCs w:val="24"/>
        </w:rPr>
        <w:t xml:space="preserve"> for the May true-up, included in the July 4</w:t>
      </w:r>
      <w:r w:rsidR="00CC506A" w:rsidRPr="003636BF">
        <w:rPr>
          <w:rFonts w:cs="Arial"/>
          <w:sz w:val="24"/>
          <w:szCs w:val="24"/>
          <w:vertAlign w:val="superscript"/>
        </w:rPr>
        <w:t>th</w:t>
      </w:r>
      <w:r w:rsidR="00CC506A" w:rsidRPr="003636BF">
        <w:rPr>
          <w:rFonts w:cs="Arial"/>
          <w:sz w:val="24"/>
          <w:szCs w:val="24"/>
        </w:rPr>
        <w:t xml:space="preserve"> submission. If not, please explain what consumption month the true-up is for.</w:t>
      </w:r>
    </w:p>
    <w:p w14:paraId="10CB4B3A" w14:textId="77777777" w:rsidR="00CC506A" w:rsidRPr="003636BF" w:rsidRDefault="00CC506A" w:rsidP="00CC506A">
      <w:pPr>
        <w:pStyle w:val="ListParagraph"/>
        <w:numPr>
          <w:ilvl w:val="0"/>
          <w:numId w:val="5"/>
        </w:numPr>
        <w:rPr>
          <w:rFonts w:cs="Arial"/>
          <w:sz w:val="24"/>
          <w:szCs w:val="24"/>
        </w:rPr>
      </w:pPr>
      <w:r w:rsidRPr="003636BF">
        <w:rPr>
          <w:rFonts w:cs="Arial"/>
          <w:sz w:val="24"/>
          <w:szCs w:val="24"/>
        </w:rPr>
        <w:t xml:space="preserve">The “actual consumption” in the second table for the true-up is the same as the consumption used in the first table for the estimated June consumption. Please explain whether Hearst Power’s process is to use the prior month’s actual consumption (e.g. May) as the current’s month estimated consumption (i.e. June). </w:t>
      </w:r>
    </w:p>
    <w:p w14:paraId="6211AA70" w14:textId="77777777" w:rsidR="00CC506A" w:rsidRPr="003636BF" w:rsidRDefault="00CC506A" w:rsidP="00CC506A">
      <w:pPr>
        <w:pStyle w:val="ListParagraph"/>
        <w:numPr>
          <w:ilvl w:val="1"/>
          <w:numId w:val="5"/>
        </w:numPr>
        <w:rPr>
          <w:rFonts w:cs="Arial"/>
          <w:sz w:val="24"/>
          <w:szCs w:val="24"/>
        </w:rPr>
      </w:pPr>
      <w:r w:rsidRPr="003636BF">
        <w:rPr>
          <w:rFonts w:cs="Arial"/>
          <w:sz w:val="24"/>
          <w:szCs w:val="24"/>
        </w:rPr>
        <w:t>If not, please explain why the consumption is the same for May and June.</w:t>
      </w:r>
    </w:p>
    <w:p w14:paraId="5AC477A2" w14:textId="77777777" w:rsidR="00CC506A" w:rsidRPr="003636BF" w:rsidRDefault="00CC506A" w:rsidP="00CC506A">
      <w:pPr>
        <w:pStyle w:val="ListParagraph"/>
        <w:numPr>
          <w:ilvl w:val="1"/>
          <w:numId w:val="5"/>
        </w:numPr>
        <w:rPr>
          <w:rFonts w:cs="Arial"/>
          <w:sz w:val="24"/>
          <w:szCs w:val="24"/>
        </w:rPr>
      </w:pPr>
      <w:r w:rsidRPr="003636BF">
        <w:rPr>
          <w:rFonts w:cs="Arial"/>
          <w:sz w:val="24"/>
          <w:szCs w:val="24"/>
        </w:rPr>
        <w:t>If yes, please explain how this reconciles with the settlement description on page 14, where Hearst Power uses a top-down approach starting with monthly wholesale metering data, which would be different than the prior month’s actual consumption.</w:t>
      </w:r>
    </w:p>
    <w:p w14:paraId="3E2E5FBD" w14:textId="77777777" w:rsidR="0091719B" w:rsidRPr="003636BF" w:rsidRDefault="0091719B" w:rsidP="0091719B">
      <w:pPr>
        <w:pStyle w:val="ListParagraph"/>
        <w:ind w:left="1440"/>
        <w:rPr>
          <w:rFonts w:cs="Arial"/>
          <w:sz w:val="24"/>
          <w:szCs w:val="24"/>
        </w:rPr>
      </w:pPr>
    </w:p>
    <w:p w14:paraId="141B9FFE" w14:textId="3EAF0F49" w:rsidR="004D17AB" w:rsidRPr="003636BF" w:rsidRDefault="004D17AB" w:rsidP="004D17AB">
      <w:pPr>
        <w:rPr>
          <w:rFonts w:cs="Arial"/>
          <w:b/>
          <w:sz w:val="24"/>
          <w:szCs w:val="24"/>
        </w:rPr>
      </w:pPr>
      <w:r w:rsidRPr="003636BF">
        <w:rPr>
          <w:rFonts w:cs="Arial"/>
          <w:b/>
          <w:sz w:val="24"/>
          <w:szCs w:val="24"/>
        </w:rPr>
        <w:t>Staff Question-</w:t>
      </w:r>
      <w:r w:rsidR="00EA01C1">
        <w:rPr>
          <w:rFonts w:cs="Arial"/>
          <w:b/>
          <w:sz w:val="24"/>
          <w:szCs w:val="24"/>
        </w:rPr>
        <w:t>8</w:t>
      </w:r>
    </w:p>
    <w:p w14:paraId="02D58DF2" w14:textId="77777777" w:rsidR="00014470" w:rsidRPr="003636BF" w:rsidRDefault="00014470" w:rsidP="00F86CFB">
      <w:pPr>
        <w:rPr>
          <w:rFonts w:cs="Arial"/>
          <w:b/>
          <w:sz w:val="24"/>
          <w:szCs w:val="24"/>
        </w:rPr>
      </w:pPr>
      <w:r w:rsidRPr="003636BF">
        <w:rPr>
          <w:rFonts w:cs="Arial"/>
          <w:b/>
          <w:sz w:val="24"/>
          <w:szCs w:val="24"/>
        </w:rPr>
        <w:t>Ref: Manager’s Summary, page 24</w:t>
      </w:r>
    </w:p>
    <w:p w14:paraId="55B33901" w14:textId="77777777" w:rsidR="00997606" w:rsidRPr="003636BF" w:rsidRDefault="00014470" w:rsidP="00F86CFB">
      <w:pPr>
        <w:rPr>
          <w:rFonts w:cs="Arial"/>
          <w:sz w:val="24"/>
          <w:szCs w:val="24"/>
        </w:rPr>
      </w:pPr>
      <w:r w:rsidRPr="003636BF">
        <w:rPr>
          <w:rFonts w:cs="Arial"/>
          <w:sz w:val="24"/>
          <w:szCs w:val="24"/>
        </w:rPr>
        <w:t xml:space="preserve">Under #4d, it states that the data used to determine the volume of RPP and non-RPP comes from the billing system reports and are actuals. </w:t>
      </w:r>
      <w:r w:rsidR="00997606" w:rsidRPr="003636BF">
        <w:rPr>
          <w:rFonts w:cs="Arial"/>
          <w:sz w:val="24"/>
          <w:szCs w:val="24"/>
        </w:rPr>
        <w:t xml:space="preserve">It appears that there is no true-up for the CT 148 split between Accounts 1588 and 1589. </w:t>
      </w:r>
    </w:p>
    <w:p w14:paraId="579ECF21" w14:textId="77777777" w:rsidR="00014470" w:rsidRPr="003636BF" w:rsidRDefault="00997606" w:rsidP="00F86CFB">
      <w:pPr>
        <w:rPr>
          <w:rFonts w:cs="Arial"/>
          <w:sz w:val="24"/>
          <w:szCs w:val="24"/>
        </w:rPr>
      </w:pPr>
      <w:r w:rsidRPr="003636BF">
        <w:rPr>
          <w:rFonts w:cs="Arial"/>
          <w:sz w:val="24"/>
          <w:szCs w:val="24"/>
        </w:rPr>
        <w:t>U</w:t>
      </w:r>
      <w:r w:rsidR="00014470" w:rsidRPr="003636BF">
        <w:rPr>
          <w:rFonts w:cs="Arial"/>
          <w:sz w:val="24"/>
          <w:szCs w:val="24"/>
        </w:rPr>
        <w:t xml:space="preserve">sing </w:t>
      </w:r>
      <w:r w:rsidRPr="003636BF">
        <w:rPr>
          <w:rFonts w:cs="Arial"/>
          <w:sz w:val="24"/>
          <w:szCs w:val="24"/>
        </w:rPr>
        <w:t xml:space="preserve">the </w:t>
      </w:r>
      <w:r w:rsidR="00357300" w:rsidRPr="003636BF">
        <w:rPr>
          <w:rFonts w:cs="Arial"/>
          <w:sz w:val="24"/>
          <w:szCs w:val="24"/>
        </w:rPr>
        <w:t>June submission submitted on July 4</w:t>
      </w:r>
      <w:r w:rsidR="00357300" w:rsidRPr="003636BF">
        <w:rPr>
          <w:rFonts w:cs="Arial"/>
          <w:sz w:val="24"/>
          <w:szCs w:val="24"/>
          <w:vertAlign w:val="superscript"/>
        </w:rPr>
        <w:t>th</w:t>
      </w:r>
      <w:r w:rsidR="00357300" w:rsidRPr="003636BF">
        <w:rPr>
          <w:rFonts w:cs="Arial"/>
          <w:sz w:val="24"/>
          <w:szCs w:val="24"/>
        </w:rPr>
        <w:t xml:space="preserve"> as an example, w</w:t>
      </w:r>
      <w:r w:rsidR="00014470" w:rsidRPr="003636BF">
        <w:rPr>
          <w:rFonts w:cs="Arial"/>
          <w:sz w:val="24"/>
          <w:szCs w:val="24"/>
        </w:rPr>
        <w:t xml:space="preserve">hen Hearst Power </w:t>
      </w:r>
      <w:r w:rsidRPr="003636BF">
        <w:rPr>
          <w:rFonts w:cs="Arial"/>
          <w:sz w:val="24"/>
          <w:szCs w:val="24"/>
        </w:rPr>
        <w:t>files</w:t>
      </w:r>
      <w:r w:rsidR="00357300" w:rsidRPr="003636BF">
        <w:rPr>
          <w:rFonts w:cs="Arial"/>
          <w:sz w:val="24"/>
          <w:szCs w:val="24"/>
        </w:rPr>
        <w:t xml:space="preserve"> its initial submission</w:t>
      </w:r>
      <w:r w:rsidR="00014470" w:rsidRPr="003636BF">
        <w:rPr>
          <w:rFonts w:cs="Arial"/>
          <w:sz w:val="24"/>
          <w:szCs w:val="24"/>
        </w:rPr>
        <w:t>, Hearst Power does not have the billing data for June yet and will not know the June RPP vs. non-RPP consumption spli</w:t>
      </w:r>
      <w:r w:rsidR="00357300" w:rsidRPr="003636BF">
        <w:rPr>
          <w:rFonts w:cs="Arial"/>
          <w:sz w:val="24"/>
          <w:szCs w:val="24"/>
        </w:rPr>
        <w:t xml:space="preserve">t. Therefore, </w:t>
      </w:r>
      <w:r w:rsidR="00014470" w:rsidRPr="003636BF">
        <w:rPr>
          <w:rFonts w:cs="Arial"/>
          <w:sz w:val="24"/>
          <w:szCs w:val="24"/>
        </w:rPr>
        <w:t xml:space="preserve">the GA RPP used in the settlement is an estimated amount and is trued-up in a later month. </w:t>
      </w:r>
    </w:p>
    <w:p w14:paraId="027D07D3" w14:textId="77777777" w:rsidR="00014470" w:rsidRPr="003636BF" w:rsidRDefault="00014470" w:rsidP="00014470">
      <w:pPr>
        <w:pStyle w:val="ListParagraph"/>
        <w:numPr>
          <w:ilvl w:val="0"/>
          <w:numId w:val="6"/>
        </w:numPr>
        <w:rPr>
          <w:rFonts w:cs="Arial"/>
          <w:sz w:val="24"/>
          <w:szCs w:val="24"/>
        </w:rPr>
      </w:pPr>
      <w:r w:rsidRPr="003636BF">
        <w:rPr>
          <w:rFonts w:cs="Arial"/>
          <w:sz w:val="24"/>
          <w:szCs w:val="24"/>
        </w:rPr>
        <w:t>Please explain when Hearst Power receives its IESO and Hydro One invoice</w:t>
      </w:r>
      <w:r w:rsidR="00997606" w:rsidRPr="003636BF">
        <w:rPr>
          <w:rFonts w:cs="Arial"/>
          <w:sz w:val="24"/>
          <w:szCs w:val="24"/>
        </w:rPr>
        <w:t>s</w:t>
      </w:r>
      <w:r w:rsidRPr="003636BF">
        <w:rPr>
          <w:rFonts w:cs="Arial"/>
          <w:sz w:val="24"/>
          <w:szCs w:val="24"/>
        </w:rPr>
        <w:t xml:space="preserve"> for </w:t>
      </w:r>
      <w:r w:rsidR="00997606" w:rsidRPr="003636BF">
        <w:rPr>
          <w:rFonts w:cs="Arial"/>
          <w:sz w:val="24"/>
          <w:szCs w:val="24"/>
        </w:rPr>
        <w:t xml:space="preserve">the </w:t>
      </w:r>
      <w:r w:rsidRPr="003636BF">
        <w:rPr>
          <w:rFonts w:cs="Arial"/>
          <w:sz w:val="24"/>
          <w:szCs w:val="24"/>
        </w:rPr>
        <w:t xml:space="preserve">consumption month of June.  </w:t>
      </w:r>
    </w:p>
    <w:p w14:paraId="11A1CD2C" w14:textId="77777777" w:rsidR="00014470" w:rsidRPr="003636BF" w:rsidRDefault="00357300" w:rsidP="00014470">
      <w:pPr>
        <w:pStyle w:val="ListParagraph"/>
        <w:numPr>
          <w:ilvl w:val="0"/>
          <w:numId w:val="6"/>
        </w:numPr>
        <w:rPr>
          <w:rFonts w:cs="Arial"/>
          <w:sz w:val="24"/>
          <w:szCs w:val="24"/>
        </w:rPr>
      </w:pPr>
      <w:r w:rsidRPr="003636BF">
        <w:rPr>
          <w:rFonts w:cs="Arial"/>
          <w:sz w:val="24"/>
          <w:szCs w:val="24"/>
        </w:rPr>
        <w:t>At the time the invoices are received, p</w:t>
      </w:r>
      <w:r w:rsidR="00014470" w:rsidRPr="003636BF">
        <w:rPr>
          <w:rFonts w:cs="Arial"/>
          <w:sz w:val="24"/>
          <w:szCs w:val="24"/>
        </w:rPr>
        <w:t xml:space="preserve">lease explain whether Hearst Power would have the </w:t>
      </w:r>
      <w:r w:rsidR="00997606" w:rsidRPr="003636BF">
        <w:rPr>
          <w:rFonts w:cs="Arial"/>
          <w:sz w:val="24"/>
          <w:szCs w:val="24"/>
        </w:rPr>
        <w:t xml:space="preserve">actual </w:t>
      </w:r>
      <w:r w:rsidR="00014470" w:rsidRPr="003636BF">
        <w:rPr>
          <w:rFonts w:cs="Arial"/>
          <w:sz w:val="24"/>
          <w:szCs w:val="24"/>
        </w:rPr>
        <w:t>June billing data to determine the RPP and non-RPP consumption split for CT 148.</w:t>
      </w:r>
    </w:p>
    <w:p w14:paraId="0748C836" w14:textId="77777777" w:rsidR="00014470" w:rsidRPr="003636BF" w:rsidRDefault="00357300" w:rsidP="005A1007">
      <w:pPr>
        <w:pStyle w:val="ListParagraph"/>
        <w:numPr>
          <w:ilvl w:val="0"/>
          <w:numId w:val="6"/>
        </w:numPr>
        <w:rPr>
          <w:rFonts w:cs="Arial"/>
          <w:sz w:val="24"/>
          <w:szCs w:val="24"/>
        </w:rPr>
      </w:pPr>
      <w:r w:rsidRPr="003636BF">
        <w:rPr>
          <w:rFonts w:cs="Arial"/>
          <w:sz w:val="24"/>
          <w:szCs w:val="24"/>
        </w:rPr>
        <w:t>If not, please explain what month’s</w:t>
      </w:r>
      <w:r w:rsidR="00997606" w:rsidRPr="003636BF">
        <w:rPr>
          <w:rFonts w:cs="Arial"/>
          <w:sz w:val="24"/>
          <w:szCs w:val="24"/>
        </w:rPr>
        <w:t xml:space="preserve"> actual</w:t>
      </w:r>
      <w:r w:rsidRPr="003636BF">
        <w:rPr>
          <w:rFonts w:cs="Arial"/>
          <w:sz w:val="24"/>
          <w:szCs w:val="24"/>
        </w:rPr>
        <w:t xml:space="preserve"> </w:t>
      </w:r>
      <w:r w:rsidR="00014470" w:rsidRPr="003636BF">
        <w:rPr>
          <w:rFonts w:cs="Arial"/>
          <w:sz w:val="24"/>
          <w:szCs w:val="24"/>
        </w:rPr>
        <w:t xml:space="preserve">RPP and non-RPP </w:t>
      </w:r>
      <w:r w:rsidRPr="003636BF">
        <w:rPr>
          <w:rFonts w:cs="Arial"/>
          <w:sz w:val="24"/>
          <w:szCs w:val="24"/>
        </w:rPr>
        <w:t xml:space="preserve">billed </w:t>
      </w:r>
      <w:r w:rsidR="00014470" w:rsidRPr="003636BF">
        <w:rPr>
          <w:rFonts w:cs="Arial"/>
          <w:sz w:val="24"/>
          <w:szCs w:val="24"/>
        </w:rPr>
        <w:t>consumption spl</w:t>
      </w:r>
      <w:r w:rsidRPr="003636BF">
        <w:rPr>
          <w:rFonts w:cs="Arial"/>
          <w:sz w:val="24"/>
          <w:szCs w:val="24"/>
        </w:rPr>
        <w:t xml:space="preserve">it is used for the June CT 148. </w:t>
      </w:r>
    </w:p>
    <w:p w14:paraId="0E358514" w14:textId="77777777" w:rsidR="00357300" w:rsidRPr="003636BF" w:rsidRDefault="00357300" w:rsidP="005A1007">
      <w:pPr>
        <w:pStyle w:val="ListParagraph"/>
        <w:numPr>
          <w:ilvl w:val="0"/>
          <w:numId w:val="6"/>
        </w:numPr>
        <w:rPr>
          <w:rFonts w:cs="Arial"/>
          <w:sz w:val="24"/>
          <w:szCs w:val="24"/>
        </w:rPr>
      </w:pPr>
      <w:r w:rsidRPr="003636BF">
        <w:rPr>
          <w:rFonts w:cs="Arial"/>
          <w:sz w:val="24"/>
          <w:szCs w:val="24"/>
        </w:rPr>
        <w:t xml:space="preserve">If a prior month’s RPP and non-RPP </w:t>
      </w:r>
      <w:r w:rsidR="00997606" w:rsidRPr="003636BF">
        <w:rPr>
          <w:rFonts w:cs="Arial"/>
          <w:sz w:val="24"/>
          <w:szCs w:val="24"/>
        </w:rPr>
        <w:t xml:space="preserve">actual </w:t>
      </w:r>
      <w:r w:rsidRPr="003636BF">
        <w:rPr>
          <w:rFonts w:cs="Arial"/>
          <w:sz w:val="24"/>
          <w:szCs w:val="24"/>
        </w:rPr>
        <w:t xml:space="preserve">billed consumption split is used, please explain why there is no true-up needed. </w:t>
      </w:r>
    </w:p>
    <w:p w14:paraId="363F125A" w14:textId="77777777" w:rsidR="00357300" w:rsidRPr="003636BF" w:rsidRDefault="00357300" w:rsidP="005A1007">
      <w:pPr>
        <w:pStyle w:val="ListParagraph"/>
        <w:numPr>
          <w:ilvl w:val="0"/>
          <w:numId w:val="6"/>
        </w:numPr>
        <w:rPr>
          <w:rFonts w:cs="Arial"/>
          <w:sz w:val="24"/>
          <w:szCs w:val="24"/>
        </w:rPr>
      </w:pPr>
      <w:r w:rsidRPr="003636BF">
        <w:rPr>
          <w:rFonts w:cs="Arial"/>
          <w:sz w:val="24"/>
          <w:szCs w:val="24"/>
        </w:rPr>
        <w:t xml:space="preserve">If a true-up is needed, please quantify the true-up for the 2018 Account 1588 and Account 1589 balances. </w:t>
      </w:r>
    </w:p>
    <w:p w14:paraId="2CAFE87A" w14:textId="77777777" w:rsidR="00997606" w:rsidRPr="003636BF" w:rsidRDefault="00997606" w:rsidP="00263042">
      <w:pPr>
        <w:rPr>
          <w:rFonts w:cs="Arial"/>
          <w:b/>
          <w:sz w:val="24"/>
          <w:szCs w:val="24"/>
        </w:rPr>
      </w:pPr>
    </w:p>
    <w:p w14:paraId="73766BBB" w14:textId="5CEA399C" w:rsidR="004D17AB" w:rsidRPr="003636BF" w:rsidRDefault="004D17AB" w:rsidP="004D17AB">
      <w:pPr>
        <w:rPr>
          <w:rFonts w:cs="Arial"/>
          <w:b/>
          <w:sz w:val="24"/>
          <w:szCs w:val="24"/>
        </w:rPr>
      </w:pPr>
      <w:r w:rsidRPr="003636BF">
        <w:rPr>
          <w:rFonts w:cs="Arial"/>
          <w:b/>
          <w:sz w:val="24"/>
          <w:szCs w:val="24"/>
        </w:rPr>
        <w:lastRenderedPageBreak/>
        <w:t>Staff Question-</w:t>
      </w:r>
      <w:r w:rsidR="00EA01C1">
        <w:rPr>
          <w:rFonts w:cs="Arial"/>
          <w:b/>
          <w:sz w:val="24"/>
          <w:szCs w:val="24"/>
        </w:rPr>
        <w:t>9</w:t>
      </w:r>
    </w:p>
    <w:p w14:paraId="210FD5DA" w14:textId="77777777" w:rsidR="00263042" w:rsidRPr="003636BF" w:rsidRDefault="00263042" w:rsidP="00263042">
      <w:pPr>
        <w:rPr>
          <w:rFonts w:cs="Arial"/>
          <w:b/>
          <w:sz w:val="24"/>
          <w:szCs w:val="24"/>
        </w:rPr>
      </w:pPr>
      <w:r w:rsidRPr="003636BF">
        <w:rPr>
          <w:rFonts w:cs="Arial"/>
          <w:b/>
          <w:sz w:val="24"/>
          <w:szCs w:val="24"/>
        </w:rPr>
        <w:t>Ref: Manager’s Summary, page 24</w:t>
      </w:r>
    </w:p>
    <w:p w14:paraId="778BDBD7" w14:textId="77777777" w:rsidR="005871D5" w:rsidRPr="003636BF" w:rsidRDefault="005871D5" w:rsidP="00263042">
      <w:pPr>
        <w:rPr>
          <w:rFonts w:cs="Arial"/>
          <w:sz w:val="24"/>
          <w:szCs w:val="24"/>
        </w:rPr>
      </w:pPr>
      <w:r w:rsidRPr="003636BF">
        <w:rPr>
          <w:rFonts w:cs="Arial"/>
          <w:sz w:val="24"/>
          <w:szCs w:val="24"/>
        </w:rPr>
        <w:t xml:space="preserve">From Hearst Power’s 2019 rate application, there is a principal adjustment to Account 1588 of ($55,878) in 2017. </w:t>
      </w:r>
    </w:p>
    <w:p w14:paraId="4B7DCA88" w14:textId="77777777" w:rsidR="00B26A8B" w:rsidRPr="003636BF" w:rsidRDefault="005871D5" w:rsidP="005871D5">
      <w:pPr>
        <w:pStyle w:val="ListParagraph"/>
        <w:numPr>
          <w:ilvl w:val="0"/>
          <w:numId w:val="8"/>
        </w:numPr>
        <w:rPr>
          <w:rFonts w:cs="Arial"/>
          <w:sz w:val="24"/>
          <w:szCs w:val="24"/>
        </w:rPr>
      </w:pPr>
      <w:r w:rsidRPr="003636BF">
        <w:rPr>
          <w:rFonts w:cs="Arial"/>
          <w:sz w:val="24"/>
          <w:szCs w:val="24"/>
        </w:rPr>
        <w:t>Please confirm that of this adjustment</w:t>
      </w:r>
      <w:r w:rsidR="00997606" w:rsidRPr="003636BF">
        <w:rPr>
          <w:rFonts w:cs="Arial"/>
          <w:sz w:val="24"/>
          <w:szCs w:val="24"/>
        </w:rPr>
        <w:t>,</w:t>
      </w:r>
      <w:r w:rsidRPr="003636BF">
        <w:rPr>
          <w:rFonts w:cs="Arial"/>
          <w:sz w:val="24"/>
          <w:szCs w:val="24"/>
        </w:rPr>
        <w:t xml:space="preserve"> ($33,083) was due to a correction to July 2017 and September 2017 consumption, and ($22,794) was due to the December 2017 true-up that was recorded in January 2018. </w:t>
      </w:r>
    </w:p>
    <w:p w14:paraId="33CF8DF6" w14:textId="77777777" w:rsidR="00263042" w:rsidRPr="003636BF" w:rsidRDefault="005871D5" w:rsidP="00B26A8B">
      <w:pPr>
        <w:pStyle w:val="ListParagraph"/>
        <w:numPr>
          <w:ilvl w:val="1"/>
          <w:numId w:val="8"/>
        </w:numPr>
        <w:rPr>
          <w:rFonts w:cs="Arial"/>
          <w:sz w:val="24"/>
          <w:szCs w:val="24"/>
        </w:rPr>
      </w:pPr>
      <w:r w:rsidRPr="003636BF">
        <w:rPr>
          <w:rFonts w:cs="Arial"/>
          <w:sz w:val="24"/>
          <w:szCs w:val="24"/>
        </w:rPr>
        <w:t>If not confirmed, please provide a breakdown of the adjustment.</w:t>
      </w:r>
    </w:p>
    <w:p w14:paraId="3C85E5F1" w14:textId="77777777" w:rsidR="00B26A8B" w:rsidRPr="003636BF" w:rsidRDefault="00B26A8B" w:rsidP="00B26A8B">
      <w:pPr>
        <w:pStyle w:val="ListParagraph"/>
        <w:numPr>
          <w:ilvl w:val="1"/>
          <w:numId w:val="8"/>
        </w:numPr>
        <w:rPr>
          <w:rFonts w:cs="Arial"/>
          <w:sz w:val="24"/>
          <w:szCs w:val="24"/>
        </w:rPr>
      </w:pPr>
      <w:r w:rsidRPr="003636BF">
        <w:rPr>
          <w:rFonts w:cs="Arial"/>
          <w:sz w:val="24"/>
          <w:szCs w:val="24"/>
        </w:rPr>
        <w:t xml:space="preserve">Please confirm that these adjustments were recorded in the 2018 GL. If not, please explain which year </w:t>
      </w:r>
      <w:r w:rsidR="00997606" w:rsidRPr="003636BF">
        <w:rPr>
          <w:rFonts w:cs="Arial"/>
          <w:sz w:val="24"/>
          <w:szCs w:val="24"/>
        </w:rPr>
        <w:t xml:space="preserve">each of </w:t>
      </w:r>
      <w:r w:rsidRPr="003636BF">
        <w:rPr>
          <w:rFonts w:cs="Arial"/>
          <w:sz w:val="24"/>
          <w:szCs w:val="24"/>
        </w:rPr>
        <w:t xml:space="preserve">the adjustments were recorded in. </w:t>
      </w:r>
    </w:p>
    <w:p w14:paraId="77D324A4" w14:textId="77777777" w:rsidR="000B7B44" w:rsidRPr="00043160" w:rsidRDefault="000B7B44" w:rsidP="000B7B44">
      <w:pPr>
        <w:pStyle w:val="ListParagraph"/>
        <w:numPr>
          <w:ilvl w:val="0"/>
          <w:numId w:val="8"/>
        </w:numPr>
        <w:rPr>
          <w:sz w:val="24"/>
          <w:szCs w:val="24"/>
        </w:rPr>
      </w:pPr>
      <w:r w:rsidRPr="00043160">
        <w:rPr>
          <w:sz w:val="24"/>
          <w:szCs w:val="24"/>
        </w:rPr>
        <w:t>In the current DVA Continuity Schedule for 2018 balances, there are no adjustments in the “Principal Adjustments during 2018” column for the reversal. The amount in the “Transactions” column should agree the total amount recorded in the GL for the year, which would include the adjustments recorded in 2018 as referenced in part a above. If the reversal has been included in the “Transactions” column, please separate it into the “Principal Adjustments” column. Otherwise, please explain where the reversal is recorded in the DVA Continuity Schedule.</w:t>
      </w:r>
    </w:p>
    <w:p w14:paraId="7A319C77" w14:textId="77777777" w:rsidR="0017065B" w:rsidRPr="003636BF" w:rsidRDefault="0017065B" w:rsidP="000B7B44">
      <w:pPr>
        <w:pStyle w:val="ListParagraph"/>
        <w:rPr>
          <w:rFonts w:cs="Arial"/>
          <w:sz w:val="24"/>
          <w:szCs w:val="24"/>
        </w:rPr>
      </w:pPr>
    </w:p>
    <w:p w14:paraId="5C4C68DB" w14:textId="77777777" w:rsidR="00B26A8B" w:rsidRDefault="00B26A8B" w:rsidP="00B26A8B">
      <w:pPr>
        <w:pStyle w:val="ListParagraph"/>
      </w:pPr>
    </w:p>
    <w:p w14:paraId="7A5F7B7D" w14:textId="77777777" w:rsidR="00014470" w:rsidRPr="0091719B" w:rsidRDefault="00014470" w:rsidP="00F86CFB"/>
    <w:p w14:paraId="3C1153C3" w14:textId="77777777" w:rsidR="0088763D" w:rsidRPr="006054D3" w:rsidRDefault="0088763D"/>
    <w:sectPr w:rsidR="0088763D" w:rsidRPr="006054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6607D" w14:textId="77777777" w:rsidR="004D17AB" w:rsidRDefault="004D17AB" w:rsidP="004D17AB">
      <w:pPr>
        <w:spacing w:after="0" w:line="240" w:lineRule="auto"/>
      </w:pPr>
      <w:r>
        <w:separator/>
      </w:r>
    </w:p>
  </w:endnote>
  <w:endnote w:type="continuationSeparator" w:id="0">
    <w:p w14:paraId="39DCF428" w14:textId="77777777" w:rsidR="004D17AB" w:rsidRDefault="004D17AB" w:rsidP="004D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980960238"/>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559DB176" w14:textId="76E9EBFF" w:rsidR="004D17AB" w:rsidRPr="004D17AB" w:rsidRDefault="004D17AB" w:rsidP="004D17AB">
            <w:pPr>
              <w:tabs>
                <w:tab w:val="center" w:pos="4680"/>
                <w:tab w:val="right" w:pos="9360"/>
              </w:tabs>
              <w:spacing w:after="0" w:line="240" w:lineRule="auto"/>
              <w:jc w:val="right"/>
              <w:rPr>
                <w:rFonts w:asciiTheme="minorHAnsi" w:hAnsiTheme="minorHAnsi"/>
              </w:rPr>
            </w:pPr>
            <w:r w:rsidRPr="004D17AB">
              <w:rPr>
                <w:rFonts w:asciiTheme="minorHAnsi" w:hAnsiTheme="minorHAnsi"/>
              </w:rPr>
              <w:t xml:space="preserve">Page </w:t>
            </w:r>
            <w:r w:rsidRPr="004D17AB">
              <w:rPr>
                <w:rFonts w:asciiTheme="minorHAnsi" w:hAnsiTheme="minorHAnsi"/>
                <w:bCs/>
                <w:sz w:val="24"/>
                <w:szCs w:val="24"/>
              </w:rPr>
              <w:fldChar w:fldCharType="begin"/>
            </w:r>
            <w:r w:rsidRPr="004D17AB">
              <w:rPr>
                <w:rFonts w:asciiTheme="minorHAnsi" w:hAnsiTheme="minorHAnsi"/>
                <w:bCs/>
              </w:rPr>
              <w:instrText xml:space="preserve"> PAGE </w:instrText>
            </w:r>
            <w:r w:rsidRPr="004D17AB">
              <w:rPr>
                <w:rFonts w:asciiTheme="minorHAnsi" w:hAnsiTheme="minorHAnsi"/>
                <w:bCs/>
                <w:sz w:val="24"/>
                <w:szCs w:val="24"/>
              </w:rPr>
              <w:fldChar w:fldCharType="separate"/>
            </w:r>
            <w:r w:rsidR="00B64071">
              <w:rPr>
                <w:rFonts w:asciiTheme="minorHAnsi" w:hAnsiTheme="minorHAnsi"/>
                <w:bCs/>
                <w:noProof/>
              </w:rPr>
              <w:t>4</w:t>
            </w:r>
            <w:r w:rsidRPr="004D17AB">
              <w:rPr>
                <w:rFonts w:asciiTheme="minorHAnsi" w:hAnsiTheme="minorHAnsi"/>
                <w:bCs/>
                <w:sz w:val="24"/>
                <w:szCs w:val="24"/>
              </w:rPr>
              <w:fldChar w:fldCharType="end"/>
            </w:r>
            <w:r w:rsidRPr="004D17AB">
              <w:rPr>
                <w:rFonts w:asciiTheme="minorHAnsi" w:hAnsiTheme="minorHAnsi"/>
              </w:rPr>
              <w:t xml:space="preserve"> of </w:t>
            </w:r>
            <w:r w:rsidRPr="004D17AB">
              <w:rPr>
                <w:rFonts w:asciiTheme="minorHAnsi" w:hAnsiTheme="minorHAnsi"/>
                <w:bCs/>
                <w:sz w:val="24"/>
                <w:szCs w:val="24"/>
              </w:rPr>
              <w:fldChar w:fldCharType="begin"/>
            </w:r>
            <w:r w:rsidRPr="004D17AB">
              <w:rPr>
                <w:rFonts w:asciiTheme="minorHAnsi" w:hAnsiTheme="minorHAnsi"/>
                <w:bCs/>
              </w:rPr>
              <w:instrText xml:space="preserve"> NUMPAGES  </w:instrText>
            </w:r>
            <w:r w:rsidRPr="004D17AB">
              <w:rPr>
                <w:rFonts w:asciiTheme="minorHAnsi" w:hAnsiTheme="minorHAnsi"/>
                <w:bCs/>
                <w:sz w:val="24"/>
                <w:szCs w:val="24"/>
              </w:rPr>
              <w:fldChar w:fldCharType="separate"/>
            </w:r>
            <w:r w:rsidR="00B64071">
              <w:rPr>
                <w:rFonts w:asciiTheme="minorHAnsi" w:hAnsiTheme="minorHAnsi"/>
                <w:bCs/>
                <w:noProof/>
              </w:rPr>
              <w:t>4</w:t>
            </w:r>
            <w:r w:rsidRPr="004D17AB">
              <w:rPr>
                <w:rFonts w:asciiTheme="minorHAnsi" w:hAnsiTheme="minorHAnsi"/>
                <w:bCs/>
                <w:sz w:val="24"/>
                <w:szCs w:val="24"/>
              </w:rPr>
              <w:fldChar w:fldCharType="end"/>
            </w:r>
          </w:p>
        </w:sdtContent>
      </w:sdt>
    </w:sdtContent>
  </w:sdt>
  <w:p w14:paraId="1DADE24C" w14:textId="77777777" w:rsidR="004D17AB" w:rsidRDefault="004D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F4C7B" w14:textId="77777777" w:rsidR="004D17AB" w:rsidRDefault="004D17AB" w:rsidP="004D17AB">
      <w:pPr>
        <w:spacing w:after="0" w:line="240" w:lineRule="auto"/>
      </w:pPr>
      <w:r>
        <w:separator/>
      </w:r>
    </w:p>
  </w:footnote>
  <w:footnote w:type="continuationSeparator" w:id="0">
    <w:p w14:paraId="236338B0" w14:textId="77777777" w:rsidR="004D17AB" w:rsidRDefault="004D17AB" w:rsidP="004D1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0B5"/>
    <w:multiLevelType w:val="hybridMultilevel"/>
    <w:tmpl w:val="E7E869F6"/>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54524"/>
    <w:multiLevelType w:val="hybridMultilevel"/>
    <w:tmpl w:val="6CEE5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01060"/>
    <w:multiLevelType w:val="hybridMultilevel"/>
    <w:tmpl w:val="3C98E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C6404"/>
    <w:multiLevelType w:val="hybridMultilevel"/>
    <w:tmpl w:val="501EF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F3E4B"/>
    <w:multiLevelType w:val="hybridMultilevel"/>
    <w:tmpl w:val="96886050"/>
    <w:lvl w:ilvl="0" w:tplc="8FCADC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924DF"/>
    <w:multiLevelType w:val="hybridMultilevel"/>
    <w:tmpl w:val="71869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762D1"/>
    <w:multiLevelType w:val="hybridMultilevel"/>
    <w:tmpl w:val="79A4ED88"/>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E5CC5"/>
    <w:multiLevelType w:val="hybridMultilevel"/>
    <w:tmpl w:val="D682F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7"/>
  </w:num>
  <w:num w:numId="6">
    <w:abstractNumId w:val="6"/>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19"/>
    <w:rsid w:val="00014470"/>
    <w:rsid w:val="00043160"/>
    <w:rsid w:val="000B7B44"/>
    <w:rsid w:val="0017065B"/>
    <w:rsid w:val="00263042"/>
    <w:rsid w:val="002F0E29"/>
    <w:rsid w:val="00302002"/>
    <w:rsid w:val="00313095"/>
    <w:rsid w:val="00357300"/>
    <w:rsid w:val="003636BF"/>
    <w:rsid w:val="004B3C39"/>
    <w:rsid w:val="004D17AB"/>
    <w:rsid w:val="00544B74"/>
    <w:rsid w:val="005871D5"/>
    <w:rsid w:val="005C51E0"/>
    <w:rsid w:val="006054D3"/>
    <w:rsid w:val="0088763D"/>
    <w:rsid w:val="008A413D"/>
    <w:rsid w:val="0091719B"/>
    <w:rsid w:val="009931FC"/>
    <w:rsid w:val="00997606"/>
    <w:rsid w:val="00A31516"/>
    <w:rsid w:val="00AB3D14"/>
    <w:rsid w:val="00AF0B19"/>
    <w:rsid w:val="00AF2844"/>
    <w:rsid w:val="00B078B9"/>
    <w:rsid w:val="00B26A8B"/>
    <w:rsid w:val="00B42EB8"/>
    <w:rsid w:val="00B64071"/>
    <w:rsid w:val="00CC506A"/>
    <w:rsid w:val="00D33BA5"/>
    <w:rsid w:val="00D941E9"/>
    <w:rsid w:val="00D969EB"/>
    <w:rsid w:val="00DE73C5"/>
    <w:rsid w:val="00EA01C1"/>
    <w:rsid w:val="00F8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F076"/>
  <w15:chartTrackingRefBased/>
  <w15:docId w15:val="{2EC3C434-8575-4C7C-A4A0-27C17BBA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002"/>
    <w:pPr>
      <w:ind w:left="720"/>
      <w:contextualSpacing/>
    </w:pPr>
  </w:style>
  <w:style w:type="paragraph" w:customStyle="1" w:styleId="Default">
    <w:name w:val="Default"/>
    <w:rsid w:val="004D17AB"/>
    <w:pPr>
      <w:autoSpaceDE w:val="0"/>
      <w:autoSpaceDN w:val="0"/>
      <w:adjustRightInd w:val="0"/>
      <w:spacing w:after="0" w:line="240" w:lineRule="auto"/>
    </w:pPr>
    <w:rPr>
      <w:rFonts w:ascii="Calibri" w:hAnsi="Calibri" w:cs="Calibri"/>
      <w:color w:val="000000"/>
      <w:sz w:val="24"/>
      <w:szCs w:val="24"/>
      <w:lang w:val="en-CA"/>
    </w:rPr>
  </w:style>
  <w:style w:type="paragraph" w:styleId="Header">
    <w:name w:val="header"/>
    <w:basedOn w:val="Normal"/>
    <w:link w:val="HeaderChar"/>
    <w:uiPriority w:val="99"/>
    <w:unhideWhenUsed/>
    <w:rsid w:val="004D1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7AB"/>
  </w:style>
  <w:style w:type="paragraph" w:styleId="Footer">
    <w:name w:val="footer"/>
    <w:basedOn w:val="Normal"/>
    <w:link w:val="FooterChar"/>
    <w:uiPriority w:val="99"/>
    <w:unhideWhenUsed/>
    <w:rsid w:val="004D1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7AB"/>
  </w:style>
  <w:style w:type="character" w:styleId="CommentReference">
    <w:name w:val="annotation reference"/>
    <w:basedOn w:val="DefaultParagraphFont"/>
    <w:uiPriority w:val="99"/>
    <w:semiHidden/>
    <w:unhideWhenUsed/>
    <w:rsid w:val="00AB3D14"/>
    <w:rPr>
      <w:sz w:val="16"/>
      <w:szCs w:val="16"/>
    </w:rPr>
  </w:style>
  <w:style w:type="paragraph" w:styleId="CommentText">
    <w:name w:val="annotation text"/>
    <w:basedOn w:val="Normal"/>
    <w:link w:val="CommentTextChar"/>
    <w:uiPriority w:val="99"/>
    <w:semiHidden/>
    <w:unhideWhenUsed/>
    <w:rsid w:val="00AB3D14"/>
    <w:pPr>
      <w:spacing w:line="240" w:lineRule="auto"/>
    </w:pPr>
    <w:rPr>
      <w:sz w:val="20"/>
      <w:szCs w:val="20"/>
    </w:rPr>
  </w:style>
  <w:style w:type="character" w:customStyle="1" w:styleId="CommentTextChar">
    <w:name w:val="Comment Text Char"/>
    <w:basedOn w:val="DefaultParagraphFont"/>
    <w:link w:val="CommentText"/>
    <w:uiPriority w:val="99"/>
    <w:semiHidden/>
    <w:rsid w:val="00AB3D14"/>
    <w:rPr>
      <w:sz w:val="20"/>
      <w:szCs w:val="20"/>
    </w:rPr>
  </w:style>
  <w:style w:type="paragraph" w:styleId="CommentSubject">
    <w:name w:val="annotation subject"/>
    <w:basedOn w:val="CommentText"/>
    <w:next w:val="CommentText"/>
    <w:link w:val="CommentSubjectChar"/>
    <w:uiPriority w:val="99"/>
    <w:semiHidden/>
    <w:unhideWhenUsed/>
    <w:rsid w:val="00AB3D14"/>
    <w:rPr>
      <w:b/>
      <w:bCs/>
    </w:rPr>
  </w:style>
  <w:style w:type="character" w:customStyle="1" w:styleId="CommentSubjectChar">
    <w:name w:val="Comment Subject Char"/>
    <w:basedOn w:val="CommentTextChar"/>
    <w:link w:val="CommentSubject"/>
    <w:uiPriority w:val="99"/>
    <w:semiHidden/>
    <w:rsid w:val="00AB3D14"/>
    <w:rPr>
      <w:b/>
      <w:bCs/>
      <w:sz w:val="20"/>
      <w:szCs w:val="20"/>
    </w:rPr>
  </w:style>
  <w:style w:type="paragraph" w:styleId="BalloonText">
    <w:name w:val="Balloon Text"/>
    <w:basedOn w:val="Normal"/>
    <w:link w:val="BalloonTextChar"/>
    <w:uiPriority w:val="99"/>
    <w:semiHidden/>
    <w:unhideWhenUsed/>
    <w:rsid w:val="00AB3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Vince Mazzone</cp:lastModifiedBy>
  <cp:revision>3</cp:revision>
  <dcterms:created xsi:type="dcterms:W3CDTF">2020-01-20T14:40:00Z</dcterms:created>
  <dcterms:modified xsi:type="dcterms:W3CDTF">2020-01-20T14:42:00Z</dcterms:modified>
</cp:coreProperties>
</file>