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98B4C" w14:textId="01339718" w:rsidR="003832E7" w:rsidRDefault="0017167A" w:rsidP="003832E7">
      <w:pPr>
        <w:pStyle w:val="Default"/>
        <w:jc w:val="right"/>
        <w:rPr>
          <w:rFonts w:ascii="Arial" w:hAnsi="Arial" w:cs="Arial"/>
          <w:bCs/>
          <w:sz w:val="22"/>
          <w:szCs w:val="22"/>
        </w:rPr>
      </w:pPr>
      <w:r>
        <w:rPr>
          <w:rFonts w:ascii="Arial" w:hAnsi="Arial" w:cs="Arial"/>
          <w:bCs/>
          <w:sz w:val="22"/>
          <w:szCs w:val="22"/>
        </w:rPr>
        <w:t>North Bay Hydro Distribution Limited</w:t>
      </w:r>
    </w:p>
    <w:p w14:paraId="57C1D6D2" w14:textId="6160238A" w:rsidR="00A07077" w:rsidRPr="007678FB" w:rsidRDefault="00696906" w:rsidP="00A07077">
      <w:pPr>
        <w:pStyle w:val="Default"/>
        <w:jc w:val="right"/>
        <w:rPr>
          <w:rFonts w:ascii="Arial" w:hAnsi="Arial" w:cs="Arial"/>
          <w:sz w:val="22"/>
          <w:szCs w:val="22"/>
        </w:rPr>
      </w:pPr>
      <w:r>
        <w:rPr>
          <w:rFonts w:ascii="Arial" w:hAnsi="Arial" w:cs="Arial"/>
          <w:sz w:val="22"/>
          <w:szCs w:val="22"/>
        </w:rPr>
        <w:t>NBHDL Responses</w:t>
      </w:r>
    </w:p>
    <w:p w14:paraId="425B2C00" w14:textId="294D26C5" w:rsidR="00A07077" w:rsidRPr="00B96000" w:rsidRDefault="00090160" w:rsidP="00B069AA">
      <w:pPr>
        <w:pStyle w:val="Default"/>
        <w:jc w:val="right"/>
        <w:rPr>
          <w:rFonts w:ascii="Arial" w:hAnsi="Arial" w:cs="Arial"/>
          <w:sz w:val="22"/>
          <w:szCs w:val="22"/>
        </w:rPr>
      </w:pPr>
      <w:r w:rsidRPr="00B96000">
        <w:rPr>
          <w:rFonts w:ascii="Arial" w:hAnsi="Arial" w:cs="Arial"/>
          <w:sz w:val="22"/>
          <w:szCs w:val="22"/>
        </w:rPr>
        <w:t>EB-201</w:t>
      </w:r>
      <w:r w:rsidR="0017167A">
        <w:rPr>
          <w:rFonts w:ascii="Arial" w:hAnsi="Arial" w:cs="Arial"/>
          <w:sz w:val="22"/>
          <w:szCs w:val="22"/>
        </w:rPr>
        <w:t>9-0057</w:t>
      </w:r>
    </w:p>
    <w:p w14:paraId="3EB3E38D" w14:textId="572405C8" w:rsidR="008E5B40" w:rsidRDefault="006F33B0" w:rsidP="00B069AA">
      <w:pPr>
        <w:pStyle w:val="Default"/>
        <w:jc w:val="right"/>
        <w:rPr>
          <w:rFonts w:ascii="Arial" w:hAnsi="Arial" w:cs="Arial"/>
          <w:sz w:val="22"/>
          <w:szCs w:val="22"/>
        </w:rPr>
      </w:pPr>
      <w:r w:rsidRPr="006F33B0">
        <w:rPr>
          <w:rFonts w:ascii="Arial" w:hAnsi="Arial" w:cs="Arial"/>
          <w:sz w:val="22"/>
          <w:szCs w:val="22"/>
        </w:rPr>
        <w:t xml:space="preserve">January </w:t>
      </w:r>
      <w:r w:rsidR="00696906">
        <w:rPr>
          <w:rFonts w:ascii="Arial" w:hAnsi="Arial" w:cs="Arial"/>
          <w:sz w:val="22"/>
          <w:szCs w:val="22"/>
        </w:rPr>
        <w:t>25</w:t>
      </w:r>
      <w:r w:rsidR="0017167A" w:rsidRPr="006F33B0">
        <w:rPr>
          <w:rFonts w:ascii="Arial" w:hAnsi="Arial" w:cs="Arial"/>
          <w:sz w:val="22"/>
          <w:szCs w:val="22"/>
        </w:rPr>
        <w:t>, 2020</w:t>
      </w:r>
    </w:p>
    <w:p w14:paraId="162D731D" w14:textId="77777777" w:rsidR="00A07077" w:rsidRPr="007678FB" w:rsidRDefault="00A07077" w:rsidP="00A07077">
      <w:pPr>
        <w:pStyle w:val="Default"/>
        <w:rPr>
          <w:rFonts w:ascii="Arial" w:hAnsi="Arial" w:cs="Arial"/>
          <w:sz w:val="22"/>
          <w:szCs w:val="22"/>
        </w:rPr>
      </w:pPr>
    </w:p>
    <w:p w14:paraId="01642B97" w14:textId="5F98D9ED" w:rsidR="0017167A" w:rsidRDefault="0017167A" w:rsidP="007A3D45">
      <w:pPr>
        <w:pStyle w:val="Default"/>
        <w:jc w:val="center"/>
        <w:rPr>
          <w:rFonts w:ascii="Arial" w:hAnsi="Arial" w:cs="Arial"/>
          <w:b/>
          <w:bCs/>
          <w:szCs w:val="28"/>
        </w:rPr>
      </w:pPr>
      <w:r>
        <w:rPr>
          <w:rFonts w:ascii="Arial" w:hAnsi="Arial" w:cs="Arial"/>
          <w:b/>
          <w:bCs/>
          <w:szCs w:val="28"/>
        </w:rPr>
        <w:t>North Bay Hydro Distribution Limited (North Bay Hydro)</w:t>
      </w:r>
    </w:p>
    <w:p w14:paraId="05ED47FF" w14:textId="18CEEE4A" w:rsidR="0017167A" w:rsidRDefault="0017167A" w:rsidP="007A3D45">
      <w:pPr>
        <w:pStyle w:val="Default"/>
        <w:jc w:val="center"/>
        <w:rPr>
          <w:rFonts w:ascii="Arial" w:hAnsi="Arial" w:cs="Arial"/>
          <w:b/>
          <w:bCs/>
          <w:szCs w:val="28"/>
        </w:rPr>
      </w:pPr>
      <w:r>
        <w:rPr>
          <w:rFonts w:ascii="Arial" w:hAnsi="Arial" w:cs="Arial"/>
          <w:b/>
          <w:bCs/>
          <w:szCs w:val="28"/>
        </w:rPr>
        <w:t>OEB Staff Questions</w:t>
      </w:r>
    </w:p>
    <w:p w14:paraId="378958C1" w14:textId="29F9A861" w:rsidR="00A07077" w:rsidRDefault="00090160" w:rsidP="007A3D45">
      <w:pPr>
        <w:pStyle w:val="Default"/>
        <w:jc w:val="center"/>
        <w:rPr>
          <w:rFonts w:ascii="Arial" w:hAnsi="Arial" w:cs="Arial"/>
          <w:b/>
          <w:bCs/>
          <w:szCs w:val="28"/>
        </w:rPr>
      </w:pPr>
      <w:r w:rsidRPr="00D55543">
        <w:rPr>
          <w:rFonts w:ascii="Arial" w:hAnsi="Arial" w:cs="Arial"/>
          <w:b/>
          <w:bCs/>
          <w:szCs w:val="28"/>
        </w:rPr>
        <w:t>EB-201</w:t>
      </w:r>
      <w:r w:rsidR="00AD6BFA">
        <w:rPr>
          <w:rFonts w:ascii="Arial" w:hAnsi="Arial" w:cs="Arial"/>
          <w:b/>
          <w:bCs/>
          <w:szCs w:val="28"/>
        </w:rPr>
        <w:t>9-00</w:t>
      </w:r>
      <w:r w:rsidR="0017167A">
        <w:rPr>
          <w:rFonts w:ascii="Arial" w:hAnsi="Arial" w:cs="Arial"/>
          <w:b/>
          <w:bCs/>
          <w:szCs w:val="28"/>
        </w:rPr>
        <w:t>57</w:t>
      </w:r>
    </w:p>
    <w:p w14:paraId="69BD6B86" w14:textId="6DB8B83A" w:rsidR="007671C8" w:rsidRPr="00D55543" w:rsidRDefault="00696906" w:rsidP="007A3D45">
      <w:pPr>
        <w:pStyle w:val="Default"/>
        <w:jc w:val="center"/>
        <w:rPr>
          <w:rFonts w:ascii="Arial" w:hAnsi="Arial" w:cs="Arial"/>
          <w:b/>
          <w:bCs/>
          <w:szCs w:val="28"/>
        </w:rPr>
      </w:pPr>
      <w:r>
        <w:rPr>
          <w:rFonts w:ascii="Arial" w:hAnsi="Arial" w:cs="Arial"/>
          <w:b/>
          <w:bCs/>
          <w:szCs w:val="28"/>
        </w:rPr>
        <w:t>RESPONSES</w:t>
      </w:r>
    </w:p>
    <w:p w14:paraId="0062ADFA" w14:textId="1D71D195" w:rsidR="00AD6BFA" w:rsidRDefault="00AD6BFA" w:rsidP="007678FB">
      <w:pPr>
        <w:spacing w:after="0" w:line="240" w:lineRule="auto"/>
        <w:rPr>
          <w:rFonts w:ascii="Arial" w:hAnsi="Arial" w:cs="Arial"/>
          <w:b/>
          <w:sz w:val="24"/>
          <w:szCs w:val="24"/>
        </w:rPr>
      </w:pPr>
    </w:p>
    <w:p w14:paraId="67A9CF76" w14:textId="77777777" w:rsidR="00F266E7" w:rsidRPr="00696906" w:rsidRDefault="00F266E7" w:rsidP="007678FB">
      <w:pPr>
        <w:spacing w:after="0" w:line="240" w:lineRule="auto"/>
        <w:rPr>
          <w:rFonts w:ascii="Arial" w:hAnsi="Arial" w:cs="Arial"/>
          <w:b/>
          <w:sz w:val="24"/>
          <w:szCs w:val="24"/>
        </w:rPr>
      </w:pPr>
    </w:p>
    <w:p w14:paraId="7A0C576E" w14:textId="3138A721" w:rsidR="00645F80" w:rsidRPr="00696906" w:rsidRDefault="00645F80" w:rsidP="007678FB">
      <w:pPr>
        <w:spacing w:after="0" w:line="240" w:lineRule="auto"/>
        <w:rPr>
          <w:rFonts w:ascii="Arial" w:hAnsi="Arial" w:cs="Arial"/>
          <w:b/>
          <w:sz w:val="24"/>
          <w:szCs w:val="24"/>
        </w:rPr>
      </w:pPr>
      <w:r w:rsidRPr="00696906">
        <w:rPr>
          <w:rFonts w:ascii="Arial" w:hAnsi="Arial" w:cs="Arial"/>
          <w:b/>
          <w:sz w:val="24"/>
          <w:szCs w:val="24"/>
        </w:rPr>
        <w:t>Staff Question-1</w:t>
      </w:r>
      <w:r w:rsidR="00774DBD" w:rsidRPr="00696906">
        <w:rPr>
          <w:rFonts w:ascii="Arial" w:hAnsi="Arial" w:cs="Arial"/>
          <w:b/>
          <w:sz w:val="24"/>
          <w:szCs w:val="24"/>
        </w:rPr>
        <w:t xml:space="preserve"> </w:t>
      </w:r>
    </w:p>
    <w:p w14:paraId="13F80D70" w14:textId="78F32F6E" w:rsidR="00645F80" w:rsidRPr="00696906" w:rsidRDefault="00645F80" w:rsidP="007678FB">
      <w:pPr>
        <w:spacing w:after="0" w:line="240" w:lineRule="auto"/>
        <w:rPr>
          <w:rFonts w:ascii="Arial" w:hAnsi="Arial" w:cs="Arial"/>
          <w:b/>
          <w:sz w:val="24"/>
          <w:szCs w:val="24"/>
        </w:rPr>
      </w:pPr>
    </w:p>
    <w:p w14:paraId="097BFC16" w14:textId="0440567D" w:rsidR="00645F80" w:rsidRPr="00696906" w:rsidRDefault="00645F80" w:rsidP="00645F80">
      <w:pPr>
        <w:spacing w:after="0"/>
        <w:jc w:val="both"/>
        <w:rPr>
          <w:rFonts w:ascii="Arial" w:hAnsi="Arial" w:cs="Arial"/>
          <w:sz w:val="24"/>
          <w:szCs w:val="24"/>
        </w:rPr>
      </w:pPr>
      <w:r w:rsidRPr="00696906">
        <w:rPr>
          <w:rFonts w:ascii="Arial" w:hAnsi="Arial" w:cs="Arial"/>
          <w:sz w:val="24"/>
          <w:szCs w:val="24"/>
        </w:rPr>
        <w:t xml:space="preserve">OEB staff has updated the input price index (IPI) applicable for 2020 distribution rate application to 2.0% as announced by the OEB on October 31, 2019. The Price Cap Index has </w:t>
      </w:r>
      <w:r w:rsidR="00774DBD" w:rsidRPr="00696906">
        <w:rPr>
          <w:rFonts w:ascii="Arial" w:hAnsi="Arial" w:cs="Arial"/>
          <w:sz w:val="24"/>
          <w:szCs w:val="24"/>
        </w:rPr>
        <w:t xml:space="preserve">been updated accordingly to </w:t>
      </w:r>
      <w:r w:rsidR="00E61953" w:rsidRPr="00696906">
        <w:rPr>
          <w:rFonts w:ascii="Arial" w:hAnsi="Arial" w:cs="Arial"/>
          <w:sz w:val="24"/>
          <w:szCs w:val="24"/>
        </w:rPr>
        <w:t>1.7</w:t>
      </w:r>
      <w:bookmarkStart w:id="0" w:name="_GoBack"/>
      <w:bookmarkEnd w:id="0"/>
      <w:r w:rsidR="00E61953" w:rsidRPr="00696906">
        <w:rPr>
          <w:rFonts w:ascii="Arial" w:hAnsi="Arial" w:cs="Arial"/>
          <w:sz w:val="24"/>
          <w:szCs w:val="24"/>
        </w:rPr>
        <w:t>0</w:t>
      </w:r>
      <w:r w:rsidRPr="00696906">
        <w:rPr>
          <w:rFonts w:ascii="Arial" w:hAnsi="Arial" w:cs="Arial"/>
          <w:sz w:val="24"/>
          <w:szCs w:val="24"/>
        </w:rPr>
        <w:t xml:space="preserve">%. </w:t>
      </w:r>
    </w:p>
    <w:p w14:paraId="74829AE6" w14:textId="77777777" w:rsidR="00645F80" w:rsidRPr="00696906" w:rsidRDefault="00645F80" w:rsidP="00645F80">
      <w:pPr>
        <w:spacing w:after="0"/>
        <w:jc w:val="both"/>
        <w:rPr>
          <w:rFonts w:ascii="Arial" w:hAnsi="Arial" w:cs="Arial"/>
          <w:sz w:val="24"/>
          <w:szCs w:val="24"/>
        </w:rPr>
      </w:pPr>
    </w:p>
    <w:p w14:paraId="517D71A0" w14:textId="1FD3AE91" w:rsidR="00645F80" w:rsidRPr="00696906" w:rsidRDefault="00645F80" w:rsidP="00645F80">
      <w:pPr>
        <w:spacing w:after="0"/>
        <w:jc w:val="both"/>
        <w:rPr>
          <w:rFonts w:ascii="Arial" w:hAnsi="Arial" w:cs="Arial"/>
          <w:sz w:val="24"/>
          <w:szCs w:val="24"/>
        </w:rPr>
      </w:pPr>
      <w:r w:rsidRPr="00696906">
        <w:rPr>
          <w:rFonts w:ascii="Arial" w:hAnsi="Arial" w:cs="Arial"/>
          <w:sz w:val="24"/>
          <w:szCs w:val="24"/>
        </w:rPr>
        <w:t xml:space="preserve">OEB staff has also updated </w:t>
      </w:r>
      <w:r w:rsidR="00774DBD" w:rsidRPr="00696906">
        <w:rPr>
          <w:rFonts w:ascii="Arial" w:hAnsi="Arial" w:cs="Arial"/>
          <w:sz w:val="24"/>
          <w:szCs w:val="24"/>
        </w:rPr>
        <w:t xml:space="preserve">North Bay Hydro’s </w:t>
      </w:r>
      <w:r w:rsidRPr="00696906">
        <w:rPr>
          <w:rFonts w:ascii="Arial" w:hAnsi="Arial" w:cs="Arial"/>
          <w:sz w:val="24"/>
          <w:szCs w:val="24"/>
        </w:rPr>
        <w:t>Rate Generator Model for the most recent TOU pricing (Nov 1) and new Ontario Electricity Rebate (31.8%).</w:t>
      </w:r>
    </w:p>
    <w:p w14:paraId="547CDB91" w14:textId="77777777" w:rsidR="00645F80" w:rsidRPr="00696906" w:rsidRDefault="00645F80" w:rsidP="00645F80">
      <w:pPr>
        <w:spacing w:after="0"/>
        <w:jc w:val="both"/>
        <w:rPr>
          <w:rFonts w:ascii="Arial" w:hAnsi="Arial" w:cs="Arial"/>
          <w:sz w:val="24"/>
          <w:szCs w:val="24"/>
        </w:rPr>
      </w:pPr>
    </w:p>
    <w:p w14:paraId="55003EB6" w14:textId="530F2805" w:rsidR="00645F80" w:rsidRPr="00696906" w:rsidRDefault="00645F80" w:rsidP="00645F80">
      <w:pPr>
        <w:spacing w:after="0"/>
        <w:jc w:val="both"/>
        <w:rPr>
          <w:rFonts w:ascii="Arial" w:hAnsi="Arial" w:cs="Arial"/>
          <w:sz w:val="24"/>
          <w:szCs w:val="24"/>
        </w:rPr>
      </w:pPr>
      <w:r w:rsidRPr="00696906">
        <w:rPr>
          <w:rFonts w:ascii="Arial" w:hAnsi="Arial" w:cs="Arial"/>
          <w:sz w:val="24"/>
          <w:szCs w:val="24"/>
        </w:rPr>
        <w:t xml:space="preserve">Please confirm </w:t>
      </w:r>
      <w:r w:rsidR="00774DBD" w:rsidRPr="00696906">
        <w:rPr>
          <w:rFonts w:ascii="Arial" w:hAnsi="Arial" w:cs="Arial"/>
          <w:sz w:val="24"/>
          <w:szCs w:val="24"/>
        </w:rPr>
        <w:t xml:space="preserve">North Bay Hydro’s </w:t>
      </w:r>
      <w:r w:rsidRPr="00696906">
        <w:rPr>
          <w:rFonts w:ascii="Arial" w:hAnsi="Arial" w:cs="Arial"/>
          <w:sz w:val="24"/>
          <w:szCs w:val="24"/>
        </w:rPr>
        <w:t>acceptance of the updated model provided with these OEB staff</w:t>
      </w:r>
      <w:r w:rsidR="00774DBD" w:rsidRPr="00696906">
        <w:rPr>
          <w:rFonts w:ascii="Arial" w:hAnsi="Arial" w:cs="Arial"/>
          <w:sz w:val="24"/>
          <w:szCs w:val="24"/>
        </w:rPr>
        <w:t xml:space="preserve"> questions</w:t>
      </w:r>
      <w:r w:rsidRPr="00696906">
        <w:rPr>
          <w:rFonts w:ascii="Arial" w:hAnsi="Arial" w:cs="Arial"/>
          <w:sz w:val="24"/>
          <w:szCs w:val="24"/>
        </w:rPr>
        <w:t xml:space="preserve">. </w:t>
      </w:r>
    </w:p>
    <w:p w14:paraId="077F3AFC" w14:textId="37068FFE" w:rsidR="007671C8" w:rsidRPr="00696906" w:rsidRDefault="007671C8" w:rsidP="00645F80">
      <w:pPr>
        <w:spacing w:after="0"/>
        <w:jc w:val="both"/>
        <w:rPr>
          <w:rFonts w:ascii="Arial" w:hAnsi="Arial" w:cs="Arial"/>
          <w:sz w:val="24"/>
          <w:szCs w:val="24"/>
        </w:rPr>
      </w:pPr>
    </w:p>
    <w:p w14:paraId="11CED0D4" w14:textId="5306F7B7" w:rsidR="007671C8" w:rsidRPr="00696906" w:rsidRDefault="007671C8" w:rsidP="00645F80">
      <w:pPr>
        <w:spacing w:after="0"/>
        <w:jc w:val="both"/>
        <w:rPr>
          <w:rFonts w:ascii="Arial" w:hAnsi="Arial" w:cs="Arial"/>
          <w:b/>
          <w:bCs/>
          <w:sz w:val="24"/>
          <w:szCs w:val="24"/>
          <w:u w:val="single"/>
        </w:rPr>
      </w:pPr>
      <w:r w:rsidRPr="00696906">
        <w:rPr>
          <w:rFonts w:ascii="Arial" w:hAnsi="Arial" w:cs="Arial"/>
          <w:b/>
          <w:bCs/>
          <w:sz w:val="24"/>
          <w:szCs w:val="24"/>
          <w:u w:val="single"/>
        </w:rPr>
        <w:t>Response</w:t>
      </w:r>
    </w:p>
    <w:p w14:paraId="4D59F960" w14:textId="0FC0C62C" w:rsidR="007671C8" w:rsidRPr="00696906" w:rsidRDefault="007671C8" w:rsidP="00645F80">
      <w:pPr>
        <w:spacing w:after="0"/>
        <w:jc w:val="both"/>
        <w:rPr>
          <w:rFonts w:ascii="Arial" w:hAnsi="Arial" w:cs="Arial"/>
          <w:b/>
          <w:bCs/>
          <w:sz w:val="24"/>
          <w:szCs w:val="24"/>
          <w:u w:val="single"/>
        </w:rPr>
      </w:pPr>
    </w:p>
    <w:p w14:paraId="717F47D8" w14:textId="1B636A66" w:rsidR="007671C8" w:rsidRPr="00696906" w:rsidRDefault="007671C8" w:rsidP="00645F80">
      <w:pPr>
        <w:spacing w:after="0"/>
        <w:jc w:val="both"/>
        <w:rPr>
          <w:rFonts w:ascii="Arial" w:hAnsi="Arial" w:cs="Arial"/>
          <w:sz w:val="24"/>
          <w:szCs w:val="24"/>
        </w:rPr>
      </w:pPr>
      <w:r w:rsidRPr="00696906">
        <w:rPr>
          <w:rFonts w:ascii="Arial" w:hAnsi="Arial" w:cs="Arial"/>
          <w:sz w:val="24"/>
          <w:szCs w:val="24"/>
        </w:rPr>
        <w:t>NBHDL accepts the updated model (v3).</w:t>
      </w:r>
    </w:p>
    <w:p w14:paraId="7457E8E4" w14:textId="5DC13EC3" w:rsidR="00645F80" w:rsidRPr="00696906" w:rsidRDefault="00645F80" w:rsidP="007678FB">
      <w:pPr>
        <w:spacing w:after="0" w:line="240" w:lineRule="auto"/>
        <w:rPr>
          <w:rFonts w:ascii="Arial" w:hAnsi="Arial" w:cs="Arial"/>
          <w:b/>
          <w:sz w:val="24"/>
          <w:szCs w:val="24"/>
        </w:rPr>
      </w:pPr>
    </w:p>
    <w:p w14:paraId="64B8EDA4" w14:textId="781FBB0D" w:rsidR="007678FB" w:rsidRPr="00696906" w:rsidRDefault="00400DFC" w:rsidP="007678FB">
      <w:pPr>
        <w:spacing w:after="0" w:line="240" w:lineRule="auto"/>
        <w:rPr>
          <w:rFonts w:ascii="Arial" w:hAnsi="Arial" w:cs="Arial"/>
          <w:b/>
          <w:sz w:val="24"/>
          <w:szCs w:val="24"/>
        </w:rPr>
      </w:pPr>
      <w:r w:rsidRPr="00696906">
        <w:rPr>
          <w:rFonts w:ascii="Arial" w:hAnsi="Arial" w:cs="Arial"/>
          <w:b/>
          <w:sz w:val="24"/>
          <w:szCs w:val="24"/>
        </w:rPr>
        <w:t>Staff Question</w:t>
      </w:r>
      <w:r w:rsidR="005B56FA" w:rsidRPr="00696906">
        <w:rPr>
          <w:rFonts w:ascii="Arial" w:hAnsi="Arial" w:cs="Arial"/>
          <w:b/>
          <w:sz w:val="24"/>
          <w:szCs w:val="24"/>
        </w:rPr>
        <w:t>-</w:t>
      </w:r>
      <w:r w:rsidR="00645F80" w:rsidRPr="00696906">
        <w:rPr>
          <w:rFonts w:ascii="Arial" w:hAnsi="Arial" w:cs="Arial"/>
          <w:b/>
          <w:sz w:val="24"/>
          <w:szCs w:val="24"/>
        </w:rPr>
        <w:t>2</w:t>
      </w:r>
    </w:p>
    <w:p w14:paraId="41CEDF5E" w14:textId="779670A9" w:rsidR="002B4629" w:rsidRPr="00696906" w:rsidRDefault="00645F80" w:rsidP="00AD6BFA">
      <w:pPr>
        <w:spacing w:after="0" w:line="240" w:lineRule="auto"/>
        <w:rPr>
          <w:rFonts w:ascii="Arial" w:hAnsi="Arial" w:cs="Arial"/>
          <w:b/>
          <w:sz w:val="24"/>
          <w:szCs w:val="24"/>
        </w:rPr>
      </w:pPr>
      <w:r w:rsidRPr="00696906">
        <w:rPr>
          <w:rFonts w:ascii="Arial" w:hAnsi="Arial" w:cs="Arial"/>
          <w:b/>
          <w:sz w:val="24"/>
          <w:szCs w:val="24"/>
        </w:rPr>
        <w:t>Ref: Rate Generator Model, Tab 11 – RTSR – UTRs &amp; Sub-Tx</w:t>
      </w:r>
    </w:p>
    <w:p w14:paraId="616CF32D" w14:textId="0BE27E22" w:rsidR="00645F80" w:rsidRPr="00696906" w:rsidRDefault="00645F80" w:rsidP="00AD6BFA">
      <w:pPr>
        <w:spacing w:after="0" w:line="240" w:lineRule="auto"/>
        <w:rPr>
          <w:rFonts w:ascii="Arial" w:hAnsi="Arial" w:cs="Arial"/>
          <w:b/>
          <w:sz w:val="24"/>
          <w:szCs w:val="24"/>
        </w:rPr>
      </w:pPr>
    </w:p>
    <w:p w14:paraId="0B0D9C65" w14:textId="4FF58580" w:rsidR="00645F80" w:rsidRPr="00696906" w:rsidRDefault="0094417B" w:rsidP="00645F80">
      <w:pPr>
        <w:spacing w:after="0"/>
        <w:rPr>
          <w:rFonts w:ascii="Arial" w:hAnsi="Arial" w:cs="Arial"/>
          <w:sz w:val="24"/>
          <w:szCs w:val="24"/>
        </w:rPr>
      </w:pPr>
      <w:r w:rsidRPr="00696906">
        <w:rPr>
          <w:rFonts w:ascii="Arial" w:hAnsi="Arial" w:cs="Arial"/>
          <w:sz w:val="24"/>
          <w:szCs w:val="24"/>
        </w:rPr>
        <w:t xml:space="preserve">OEB staff has updated the </w:t>
      </w:r>
      <w:r w:rsidR="00645F80" w:rsidRPr="00696906">
        <w:rPr>
          <w:rFonts w:ascii="Arial" w:hAnsi="Arial" w:cs="Arial"/>
          <w:sz w:val="24"/>
          <w:szCs w:val="24"/>
        </w:rPr>
        <w:t>Rate Generator Model as provided in Staff Question-1 for the 2020 interim UTRs as per the OEB’s Decision and Interim Rate Order in EB-2019-0296</w:t>
      </w:r>
      <w:r w:rsidR="00BF0403" w:rsidRPr="00696906">
        <w:rPr>
          <w:rFonts w:ascii="Arial" w:hAnsi="Arial" w:cs="Arial"/>
          <w:sz w:val="24"/>
          <w:szCs w:val="24"/>
        </w:rPr>
        <w:t xml:space="preserve"> and the 2020 Sub-Transmission Rates as per EB-2019-0043</w:t>
      </w:r>
      <w:r w:rsidR="00645F80" w:rsidRPr="00696906">
        <w:rPr>
          <w:rFonts w:ascii="Arial" w:hAnsi="Arial" w:cs="Arial"/>
          <w:sz w:val="24"/>
          <w:szCs w:val="24"/>
        </w:rPr>
        <w:t>.</w:t>
      </w:r>
      <w:r w:rsidRPr="00696906">
        <w:rPr>
          <w:rFonts w:ascii="Arial" w:hAnsi="Arial" w:cs="Arial"/>
          <w:sz w:val="24"/>
          <w:szCs w:val="24"/>
        </w:rPr>
        <w:t xml:space="preserve"> Please confirm North Bay Hydro’s acceptance of the updated</w:t>
      </w:r>
      <w:r w:rsidR="00750C77" w:rsidRPr="00696906">
        <w:rPr>
          <w:rFonts w:ascii="Arial" w:hAnsi="Arial" w:cs="Arial"/>
          <w:sz w:val="24"/>
          <w:szCs w:val="24"/>
        </w:rPr>
        <w:t xml:space="preserve"> model</w:t>
      </w:r>
      <w:r w:rsidRPr="00696906">
        <w:rPr>
          <w:rFonts w:ascii="Arial" w:hAnsi="Arial" w:cs="Arial"/>
          <w:sz w:val="24"/>
          <w:szCs w:val="24"/>
        </w:rPr>
        <w:t xml:space="preserve">. </w:t>
      </w:r>
    </w:p>
    <w:p w14:paraId="190F4D0E" w14:textId="7B0BC57C" w:rsidR="007671C8" w:rsidRPr="00696906" w:rsidRDefault="007671C8" w:rsidP="00645F80">
      <w:pPr>
        <w:spacing w:after="0"/>
        <w:rPr>
          <w:rFonts w:ascii="Arial" w:hAnsi="Arial" w:cs="Arial"/>
          <w:sz w:val="24"/>
          <w:szCs w:val="24"/>
        </w:rPr>
      </w:pPr>
    </w:p>
    <w:p w14:paraId="7F1DA89D" w14:textId="2FDA8187" w:rsidR="007671C8" w:rsidRPr="00696906" w:rsidRDefault="007671C8" w:rsidP="007671C8">
      <w:pPr>
        <w:spacing w:after="0"/>
        <w:jc w:val="both"/>
        <w:rPr>
          <w:rFonts w:ascii="Arial" w:hAnsi="Arial" w:cs="Arial"/>
          <w:b/>
          <w:bCs/>
          <w:sz w:val="24"/>
          <w:szCs w:val="24"/>
          <w:u w:val="single"/>
        </w:rPr>
      </w:pPr>
      <w:r w:rsidRPr="00696906">
        <w:rPr>
          <w:rFonts w:ascii="Arial" w:hAnsi="Arial" w:cs="Arial"/>
          <w:b/>
          <w:bCs/>
          <w:sz w:val="24"/>
          <w:szCs w:val="24"/>
          <w:u w:val="single"/>
        </w:rPr>
        <w:t>Response</w:t>
      </w:r>
    </w:p>
    <w:p w14:paraId="6CA7E07F" w14:textId="7F5C5AC6" w:rsidR="007671C8" w:rsidRPr="00696906" w:rsidRDefault="007671C8" w:rsidP="007671C8">
      <w:pPr>
        <w:spacing w:after="0"/>
        <w:jc w:val="both"/>
        <w:rPr>
          <w:rFonts w:ascii="Arial" w:hAnsi="Arial" w:cs="Arial"/>
          <w:b/>
          <w:bCs/>
          <w:sz w:val="24"/>
          <w:szCs w:val="24"/>
          <w:u w:val="single"/>
        </w:rPr>
      </w:pPr>
    </w:p>
    <w:p w14:paraId="1FCF3C41" w14:textId="77777777" w:rsidR="007671C8" w:rsidRPr="00696906" w:rsidRDefault="007671C8" w:rsidP="007671C8">
      <w:pPr>
        <w:spacing w:after="0"/>
        <w:jc w:val="both"/>
        <w:rPr>
          <w:rFonts w:ascii="Arial" w:hAnsi="Arial" w:cs="Arial"/>
          <w:sz w:val="24"/>
          <w:szCs w:val="24"/>
        </w:rPr>
      </w:pPr>
      <w:r w:rsidRPr="00696906">
        <w:rPr>
          <w:rFonts w:ascii="Arial" w:hAnsi="Arial" w:cs="Arial"/>
          <w:sz w:val="24"/>
          <w:szCs w:val="24"/>
        </w:rPr>
        <w:t>NBHDL accepts the updated model (v3).</w:t>
      </w:r>
    </w:p>
    <w:p w14:paraId="15135AD7" w14:textId="77777777" w:rsidR="007671C8" w:rsidRPr="00696906" w:rsidRDefault="007671C8" w:rsidP="007671C8">
      <w:pPr>
        <w:spacing w:after="0"/>
        <w:jc w:val="both"/>
        <w:rPr>
          <w:rFonts w:ascii="Arial" w:hAnsi="Arial" w:cs="Arial"/>
          <w:sz w:val="24"/>
          <w:szCs w:val="24"/>
        </w:rPr>
      </w:pPr>
    </w:p>
    <w:p w14:paraId="04EB226D" w14:textId="77777777" w:rsidR="007671C8" w:rsidRPr="00696906" w:rsidRDefault="007671C8" w:rsidP="009B17CE">
      <w:pPr>
        <w:spacing w:after="0" w:line="240" w:lineRule="auto"/>
        <w:rPr>
          <w:rFonts w:ascii="Arial" w:hAnsi="Arial" w:cs="Arial"/>
          <w:b/>
          <w:sz w:val="24"/>
          <w:szCs w:val="24"/>
        </w:rPr>
      </w:pPr>
    </w:p>
    <w:p w14:paraId="17B215AE" w14:textId="77777777" w:rsidR="007671C8" w:rsidRPr="00696906" w:rsidRDefault="007671C8" w:rsidP="009B17CE">
      <w:pPr>
        <w:spacing w:after="0" w:line="240" w:lineRule="auto"/>
        <w:rPr>
          <w:rFonts w:ascii="Arial" w:hAnsi="Arial" w:cs="Arial"/>
          <w:b/>
          <w:sz w:val="24"/>
          <w:szCs w:val="24"/>
        </w:rPr>
      </w:pPr>
    </w:p>
    <w:p w14:paraId="798FD59F" w14:textId="77777777" w:rsidR="007671C8" w:rsidRPr="00696906" w:rsidRDefault="007671C8" w:rsidP="009B17CE">
      <w:pPr>
        <w:spacing w:after="0" w:line="240" w:lineRule="auto"/>
        <w:rPr>
          <w:rFonts w:ascii="Arial" w:hAnsi="Arial" w:cs="Arial"/>
          <w:b/>
          <w:sz w:val="24"/>
          <w:szCs w:val="24"/>
        </w:rPr>
      </w:pPr>
    </w:p>
    <w:p w14:paraId="7D27AD0F" w14:textId="77777777" w:rsidR="007671C8" w:rsidRPr="00696906" w:rsidRDefault="007671C8" w:rsidP="009B17CE">
      <w:pPr>
        <w:spacing w:after="0" w:line="240" w:lineRule="auto"/>
        <w:rPr>
          <w:rFonts w:ascii="Arial" w:hAnsi="Arial" w:cs="Arial"/>
          <w:b/>
          <w:sz w:val="24"/>
          <w:szCs w:val="24"/>
        </w:rPr>
      </w:pPr>
    </w:p>
    <w:p w14:paraId="5417B9EE" w14:textId="77777777" w:rsidR="007671C8" w:rsidRPr="00696906" w:rsidRDefault="007671C8" w:rsidP="009B17CE">
      <w:pPr>
        <w:spacing w:after="0" w:line="240" w:lineRule="auto"/>
        <w:rPr>
          <w:rFonts w:ascii="Arial" w:hAnsi="Arial" w:cs="Arial"/>
          <w:b/>
          <w:sz w:val="24"/>
          <w:szCs w:val="24"/>
        </w:rPr>
      </w:pPr>
    </w:p>
    <w:p w14:paraId="104B35F4" w14:textId="7627132E" w:rsidR="00047D05" w:rsidRPr="00696906" w:rsidRDefault="00774DBD" w:rsidP="009B17CE">
      <w:pPr>
        <w:spacing w:after="0" w:line="240" w:lineRule="auto"/>
        <w:rPr>
          <w:rFonts w:ascii="Arial" w:hAnsi="Arial" w:cs="Arial"/>
          <w:b/>
          <w:sz w:val="24"/>
          <w:szCs w:val="24"/>
        </w:rPr>
      </w:pPr>
      <w:r w:rsidRPr="00696906">
        <w:rPr>
          <w:rFonts w:ascii="Arial" w:hAnsi="Arial" w:cs="Arial"/>
          <w:b/>
          <w:sz w:val="24"/>
          <w:szCs w:val="24"/>
        </w:rPr>
        <w:lastRenderedPageBreak/>
        <w:t>Staff Question-3</w:t>
      </w:r>
    </w:p>
    <w:p w14:paraId="30618BC9" w14:textId="1D4FD056" w:rsidR="00047D05" w:rsidRPr="00696906" w:rsidRDefault="00047D05" w:rsidP="009B17CE">
      <w:pPr>
        <w:spacing w:after="0" w:line="240" w:lineRule="auto"/>
        <w:rPr>
          <w:rFonts w:ascii="Arial" w:hAnsi="Arial" w:cs="Arial"/>
          <w:b/>
          <w:sz w:val="24"/>
          <w:szCs w:val="24"/>
        </w:rPr>
      </w:pPr>
      <w:r w:rsidRPr="00696906">
        <w:rPr>
          <w:rFonts w:ascii="Arial" w:hAnsi="Arial" w:cs="Arial"/>
          <w:b/>
          <w:sz w:val="24"/>
          <w:szCs w:val="24"/>
        </w:rPr>
        <w:t>Ref</w:t>
      </w:r>
      <w:r w:rsidR="00A034CC" w:rsidRPr="00696906">
        <w:rPr>
          <w:rFonts w:ascii="Arial" w:hAnsi="Arial" w:cs="Arial"/>
          <w:b/>
          <w:sz w:val="24"/>
          <w:szCs w:val="24"/>
        </w:rPr>
        <w:t xml:space="preserve"> 1</w:t>
      </w:r>
      <w:r w:rsidRPr="00696906">
        <w:rPr>
          <w:rFonts w:ascii="Arial" w:hAnsi="Arial" w:cs="Arial"/>
          <w:b/>
          <w:sz w:val="24"/>
          <w:szCs w:val="24"/>
        </w:rPr>
        <w:t xml:space="preserve">: </w:t>
      </w:r>
      <w:r w:rsidR="00774DBD" w:rsidRPr="00696906">
        <w:rPr>
          <w:rFonts w:ascii="Arial" w:hAnsi="Arial" w:cs="Arial"/>
          <w:b/>
          <w:sz w:val="24"/>
          <w:szCs w:val="24"/>
        </w:rPr>
        <w:t>EB-2019-0057</w:t>
      </w:r>
      <w:r w:rsidR="001B0536" w:rsidRPr="00696906">
        <w:rPr>
          <w:rFonts w:ascii="Arial" w:hAnsi="Arial" w:cs="Arial"/>
          <w:b/>
          <w:sz w:val="24"/>
          <w:szCs w:val="24"/>
        </w:rPr>
        <w:t xml:space="preserve">, </w:t>
      </w:r>
      <w:r w:rsidRPr="00696906">
        <w:rPr>
          <w:rFonts w:ascii="Arial" w:hAnsi="Arial" w:cs="Arial"/>
          <w:b/>
          <w:sz w:val="24"/>
          <w:szCs w:val="24"/>
        </w:rPr>
        <w:t xml:space="preserve">Application, </w:t>
      </w:r>
      <w:r w:rsidR="00774DBD" w:rsidRPr="00696906">
        <w:rPr>
          <w:rFonts w:ascii="Arial" w:hAnsi="Arial" w:cs="Arial"/>
          <w:b/>
          <w:sz w:val="24"/>
          <w:szCs w:val="24"/>
        </w:rPr>
        <w:t>Pages 12-13</w:t>
      </w:r>
    </w:p>
    <w:p w14:paraId="293C7610" w14:textId="21ABB2A0" w:rsidR="00047D05" w:rsidRPr="00696906" w:rsidRDefault="00047D05" w:rsidP="009B17CE">
      <w:pPr>
        <w:spacing w:after="0" w:line="240" w:lineRule="auto"/>
        <w:rPr>
          <w:rFonts w:ascii="Arial" w:hAnsi="Arial" w:cs="Arial"/>
          <w:b/>
          <w:sz w:val="24"/>
          <w:szCs w:val="24"/>
        </w:rPr>
      </w:pPr>
      <w:r w:rsidRPr="00696906">
        <w:rPr>
          <w:rFonts w:ascii="Arial" w:hAnsi="Arial" w:cs="Arial"/>
          <w:b/>
          <w:sz w:val="24"/>
          <w:szCs w:val="24"/>
        </w:rPr>
        <w:t>Ref</w:t>
      </w:r>
      <w:r w:rsidR="00A034CC" w:rsidRPr="00696906">
        <w:rPr>
          <w:rFonts w:ascii="Arial" w:hAnsi="Arial" w:cs="Arial"/>
          <w:b/>
          <w:sz w:val="24"/>
          <w:szCs w:val="24"/>
        </w:rPr>
        <w:t xml:space="preserve"> 2</w:t>
      </w:r>
      <w:r w:rsidRPr="00696906">
        <w:rPr>
          <w:rFonts w:ascii="Arial" w:hAnsi="Arial" w:cs="Arial"/>
          <w:b/>
          <w:sz w:val="24"/>
          <w:szCs w:val="24"/>
        </w:rPr>
        <w:t>: Rate Generator Model</w:t>
      </w:r>
      <w:r w:rsidR="00774DBD" w:rsidRPr="00696906">
        <w:rPr>
          <w:rFonts w:ascii="Arial" w:hAnsi="Arial" w:cs="Arial"/>
          <w:b/>
          <w:sz w:val="24"/>
          <w:szCs w:val="24"/>
        </w:rPr>
        <w:t xml:space="preserve">, </w:t>
      </w:r>
      <w:r w:rsidRPr="00696906">
        <w:rPr>
          <w:rFonts w:ascii="Arial" w:hAnsi="Arial" w:cs="Arial"/>
          <w:b/>
          <w:sz w:val="24"/>
          <w:szCs w:val="24"/>
        </w:rPr>
        <w:t>Tab</w:t>
      </w:r>
      <w:r w:rsidR="00774DBD" w:rsidRPr="00696906">
        <w:rPr>
          <w:rFonts w:ascii="Arial" w:hAnsi="Arial" w:cs="Arial"/>
          <w:b/>
          <w:sz w:val="24"/>
          <w:szCs w:val="24"/>
        </w:rPr>
        <w:t>s 2</w:t>
      </w:r>
      <w:r w:rsidR="00D266EE" w:rsidRPr="00696906">
        <w:rPr>
          <w:rFonts w:ascii="Arial" w:hAnsi="Arial" w:cs="Arial"/>
          <w:b/>
          <w:sz w:val="24"/>
          <w:szCs w:val="24"/>
        </w:rPr>
        <w:t xml:space="preserve"> –</w:t>
      </w:r>
      <w:r w:rsidR="00774DBD" w:rsidRPr="00696906">
        <w:rPr>
          <w:rFonts w:ascii="Arial" w:hAnsi="Arial" w:cs="Arial"/>
          <w:b/>
          <w:sz w:val="24"/>
          <w:szCs w:val="24"/>
        </w:rPr>
        <w:t xml:space="preserve"> Current Tariff Schedule </w:t>
      </w:r>
      <w:r w:rsidR="00D266EE" w:rsidRPr="00696906">
        <w:rPr>
          <w:rFonts w:ascii="Arial" w:hAnsi="Arial" w:cs="Arial"/>
          <w:b/>
          <w:sz w:val="24"/>
          <w:szCs w:val="24"/>
        </w:rPr>
        <w:t>and</w:t>
      </w:r>
      <w:r w:rsidRPr="00696906">
        <w:rPr>
          <w:rFonts w:ascii="Arial" w:hAnsi="Arial" w:cs="Arial"/>
          <w:b/>
          <w:sz w:val="24"/>
          <w:szCs w:val="24"/>
        </w:rPr>
        <w:t xml:space="preserve"> </w:t>
      </w:r>
      <w:r w:rsidR="00D266EE" w:rsidRPr="00696906">
        <w:rPr>
          <w:rFonts w:ascii="Arial" w:hAnsi="Arial" w:cs="Arial"/>
          <w:b/>
          <w:sz w:val="24"/>
          <w:szCs w:val="24"/>
        </w:rPr>
        <w:t>19 – Final Tariff Schedule</w:t>
      </w:r>
    </w:p>
    <w:p w14:paraId="0F8A07B3" w14:textId="77777777" w:rsidR="00D266EE" w:rsidRPr="00696906" w:rsidRDefault="00D266EE" w:rsidP="006D36EF">
      <w:pPr>
        <w:spacing w:after="0"/>
        <w:rPr>
          <w:rFonts w:ascii="Arial" w:hAnsi="Arial" w:cs="Arial"/>
          <w:sz w:val="24"/>
          <w:szCs w:val="24"/>
        </w:rPr>
      </w:pPr>
    </w:p>
    <w:p w14:paraId="0DDE1763" w14:textId="3986B51A" w:rsidR="00774DBD" w:rsidRPr="00696906" w:rsidRDefault="00843A1D" w:rsidP="006D36EF">
      <w:pPr>
        <w:spacing w:after="0"/>
        <w:rPr>
          <w:rFonts w:ascii="Arial" w:hAnsi="Arial" w:cs="Arial"/>
          <w:sz w:val="24"/>
          <w:szCs w:val="24"/>
        </w:rPr>
      </w:pPr>
      <w:r w:rsidRPr="00696906">
        <w:rPr>
          <w:rFonts w:ascii="Arial" w:hAnsi="Arial" w:cs="Arial"/>
          <w:sz w:val="24"/>
          <w:szCs w:val="24"/>
        </w:rPr>
        <w:t>The a</w:t>
      </w:r>
      <w:r w:rsidR="00774DBD" w:rsidRPr="00696906">
        <w:rPr>
          <w:rFonts w:ascii="Arial" w:hAnsi="Arial" w:cs="Arial"/>
          <w:sz w:val="24"/>
          <w:szCs w:val="24"/>
        </w:rPr>
        <w:t>pplication notes that the IRM Rate Generator Model rounded North Bay Hydro’s Low Voltage rate to four decimal places for the Residential, General Service&lt;50kW and Unmetered Scattered Load rate classes. North Bay Hydro has this rate approved to five decimal places for these classes and proposes to maintain the rate as approved.</w:t>
      </w:r>
    </w:p>
    <w:p w14:paraId="09577C74" w14:textId="77777777" w:rsidR="00D266EE" w:rsidRPr="00696906" w:rsidRDefault="00D266EE" w:rsidP="006D36EF">
      <w:pPr>
        <w:spacing w:after="0"/>
        <w:rPr>
          <w:rFonts w:ascii="Arial" w:hAnsi="Arial" w:cs="Arial"/>
          <w:sz w:val="24"/>
          <w:szCs w:val="24"/>
        </w:rPr>
      </w:pPr>
    </w:p>
    <w:p w14:paraId="056AB061" w14:textId="2D44C0CB" w:rsidR="00D266EE" w:rsidRPr="00696906" w:rsidRDefault="00D266EE" w:rsidP="006D36EF">
      <w:pPr>
        <w:spacing w:after="0"/>
        <w:rPr>
          <w:rFonts w:ascii="Arial" w:hAnsi="Arial" w:cs="Arial"/>
          <w:sz w:val="24"/>
          <w:szCs w:val="24"/>
        </w:rPr>
      </w:pPr>
      <w:r w:rsidRPr="00696906">
        <w:rPr>
          <w:rFonts w:ascii="Arial" w:hAnsi="Arial" w:cs="Arial"/>
          <w:sz w:val="24"/>
          <w:szCs w:val="24"/>
        </w:rPr>
        <w:t>OEB staff has updated the Rate Generator Model for the error noted.</w:t>
      </w:r>
      <w:r w:rsidR="00774DBD" w:rsidRPr="00696906">
        <w:rPr>
          <w:rFonts w:ascii="Arial" w:hAnsi="Arial" w:cs="Arial"/>
          <w:sz w:val="24"/>
          <w:szCs w:val="24"/>
        </w:rPr>
        <w:t xml:space="preserve"> </w:t>
      </w:r>
      <w:r w:rsidRPr="00696906">
        <w:rPr>
          <w:rFonts w:ascii="Arial" w:hAnsi="Arial" w:cs="Arial"/>
          <w:sz w:val="24"/>
          <w:szCs w:val="24"/>
        </w:rPr>
        <w:t xml:space="preserve">Please confirm </w:t>
      </w:r>
      <w:r w:rsidR="00774DBD" w:rsidRPr="00696906">
        <w:rPr>
          <w:rFonts w:ascii="Arial" w:hAnsi="Arial" w:cs="Arial"/>
          <w:sz w:val="24"/>
          <w:szCs w:val="24"/>
        </w:rPr>
        <w:t xml:space="preserve">North Bay Hydro’s </w:t>
      </w:r>
      <w:r w:rsidRPr="00696906">
        <w:rPr>
          <w:rFonts w:ascii="Arial" w:hAnsi="Arial" w:cs="Arial"/>
          <w:sz w:val="24"/>
          <w:szCs w:val="24"/>
        </w:rPr>
        <w:t>acceptance of the updated model.</w:t>
      </w:r>
    </w:p>
    <w:p w14:paraId="41A503B6" w14:textId="728C4065" w:rsidR="007671C8" w:rsidRPr="00696906" w:rsidRDefault="007671C8" w:rsidP="006D36EF">
      <w:pPr>
        <w:spacing w:after="0"/>
        <w:rPr>
          <w:rFonts w:ascii="Arial" w:hAnsi="Arial" w:cs="Arial"/>
          <w:sz w:val="24"/>
          <w:szCs w:val="24"/>
        </w:rPr>
      </w:pPr>
    </w:p>
    <w:p w14:paraId="1361B009" w14:textId="77777777" w:rsidR="007671C8" w:rsidRPr="00696906" w:rsidRDefault="007671C8" w:rsidP="007671C8">
      <w:pPr>
        <w:spacing w:after="0"/>
        <w:jc w:val="both"/>
        <w:rPr>
          <w:rFonts w:ascii="Arial" w:hAnsi="Arial" w:cs="Arial"/>
          <w:b/>
          <w:bCs/>
          <w:sz w:val="24"/>
          <w:szCs w:val="24"/>
          <w:u w:val="single"/>
        </w:rPr>
      </w:pPr>
      <w:r w:rsidRPr="00696906">
        <w:rPr>
          <w:rFonts w:ascii="Arial" w:hAnsi="Arial" w:cs="Arial"/>
          <w:b/>
          <w:bCs/>
          <w:sz w:val="24"/>
          <w:szCs w:val="24"/>
          <w:u w:val="single"/>
        </w:rPr>
        <w:t>Response</w:t>
      </w:r>
    </w:p>
    <w:p w14:paraId="25AB09A3" w14:textId="77777777" w:rsidR="007671C8" w:rsidRPr="00696906" w:rsidRDefault="007671C8" w:rsidP="007671C8">
      <w:pPr>
        <w:spacing w:after="0"/>
        <w:jc w:val="both"/>
        <w:rPr>
          <w:rFonts w:ascii="Arial" w:hAnsi="Arial" w:cs="Arial"/>
          <w:b/>
          <w:bCs/>
          <w:sz w:val="24"/>
          <w:szCs w:val="24"/>
          <w:u w:val="single"/>
        </w:rPr>
      </w:pPr>
    </w:p>
    <w:p w14:paraId="2D9D66D1" w14:textId="77777777" w:rsidR="007671C8" w:rsidRPr="00696906" w:rsidRDefault="007671C8" w:rsidP="007671C8">
      <w:pPr>
        <w:spacing w:after="0"/>
        <w:jc w:val="both"/>
        <w:rPr>
          <w:rFonts w:ascii="Arial" w:hAnsi="Arial" w:cs="Arial"/>
          <w:sz w:val="24"/>
          <w:szCs w:val="24"/>
        </w:rPr>
      </w:pPr>
      <w:r w:rsidRPr="00696906">
        <w:rPr>
          <w:rFonts w:ascii="Arial" w:hAnsi="Arial" w:cs="Arial"/>
          <w:sz w:val="24"/>
          <w:szCs w:val="24"/>
        </w:rPr>
        <w:t>NBHDL accepts the updated model (v3).</w:t>
      </w:r>
    </w:p>
    <w:p w14:paraId="0262EB4C" w14:textId="77777777" w:rsidR="00BF0403" w:rsidRPr="00696906" w:rsidRDefault="00BF0403" w:rsidP="006D36EF">
      <w:pPr>
        <w:spacing w:after="0"/>
        <w:rPr>
          <w:rFonts w:ascii="Arial" w:hAnsi="Arial" w:cs="Arial"/>
          <w:b/>
          <w:sz w:val="24"/>
          <w:szCs w:val="24"/>
        </w:rPr>
      </w:pPr>
    </w:p>
    <w:p w14:paraId="4A70E77F" w14:textId="210CC80A" w:rsidR="00024560" w:rsidRPr="00696906" w:rsidRDefault="00024560" w:rsidP="006D36EF">
      <w:pPr>
        <w:spacing w:after="0"/>
        <w:rPr>
          <w:rFonts w:ascii="Arial" w:hAnsi="Arial" w:cs="Arial"/>
          <w:b/>
          <w:sz w:val="24"/>
          <w:szCs w:val="24"/>
        </w:rPr>
      </w:pPr>
      <w:r w:rsidRPr="00696906">
        <w:rPr>
          <w:rFonts w:ascii="Arial" w:hAnsi="Arial" w:cs="Arial"/>
          <w:b/>
          <w:sz w:val="24"/>
          <w:szCs w:val="24"/>
        </w:rPr>
        <w:t>Staff Question-4</w:t>
      </w:r>
    </w:p>
    <w:p w14:paraId="2FC462E7" w14:textId="27B65389" w:rsidR="00024560" w:rsidRPr="00696906" w:rsidRDefault="00024560" w:rsidP="006D36EF">
      <w:pPr>
        <w:spacing w:after="0"/>
        <w:rPr>
          <w:rFonts w:ascii="Arial" w:hAnsi="Arial" w:cs="Arial"/>
          <w:b/>
          <w:sz w:val="24"/>
          <w:szCs w:val="24"/>
        </w:rPr>
      </w:pPr>
      <w:r w:rsidRPr="00696906">
        <w:rPr>
          <w:rFonts w:ascii="Arial" w:hAnsi="Arial" w:cs="Arial"/>
          <w:b/>
          <w:sz w:val="24"/>
          <w:szCs w:val="24"/>
        </w:rPr>
        <w:t>Ref: Rate Generator Model, Tab 20 – Bill Impacts</w:t>
      </w:r>
    </w:p>
    <w:p w14:paraId="18AF6924" w14:textId="1E0D3C64" w:rsidR="00024560" w:rsidRPr="00696906" w:rsidRDefault="00024560" w:rsidP="006D36EF">
      <w:pPr>
        <w:spacing w:after="0"/>
        <w:rPr>
          <w:rFonts w:ascii="Arial" w:hAnsi="Arial" w:cs="Arial"/>
          <w:b/>
          <w:sz w:val="24"/>
          <w:szCs w:val="24"/>
        </w:rPr>
      </w:pPr>
    </w:p>
    <w:p w14:paraId="7CD29BA5" w14:textId="0A7E2709" w:rsidR="00024560" w:rsidRPr="00696906" w:rsidRDefault="00024560" w:rsidP="006D36EF">
      <w:pPr>
        <w:spacing w:after="0"/>
        <w:rPr>
          <w:rFonts w:ascii="Arial" w:hAnsi="Arial" w:cs="Arial"/>
          <w:sz w:val="24"/>
          <w:szCs w:val="24"/>
        </w:rPr>
      </w:pPr>
      <w:r w:rsidRPr="00696906">
        <w:rPr>
          <w:rFonts w:ascii="Arial" w:hAnsi="Arial" w:cs="Arial"/>
          <w:sz w:val="24"/>
          <w:szCs w:val="24"/>
        </w:rPr>
        <w:t xml:space="preserve">Please populate column M in full on tab 20 of the Rate Generator Model (i.e. Consumption, Demand, or Demand-Interval). OEB staff notes that currently, North Bay Hydro has only selected “Demand” for the applicable rate classes. </w:t>
      </w:r>
    </w:p>
    <w:p w14:paraId="24AC4635" w14:textId="000E331A" w:rsidR="007671C8" w:rsidRPr="00696906" w:rsidRDefault="007671C8" w:rsidP="006D36EF">
      <w:pPr>
        <w:spacing w:after="0"/>
        <w:rPr>
          <w:rFonts w:ascii="Arial" w:hAnsi="Arial" w:cs="Arial"/>
          <w:sz w:val="24"/>
          <w:szCs w:val="24"/>
        </w:rPr>
      </w:pPr>
    </w:p>
    <w:p w14:paraId="6AC4F816" w14:textId="77777777" w:rsidR="007671C8" w:rsidRPr="00696906" w:rsidRDefault="007671C8" w:rsidP="007671C8">
      <w:pPr>
        <w:spacing w:after="0"/>
        <w:jc w:val="both"/>
        <w:rPr>
          <w:rFonts w:ascii="Arial" w:hAnsi="Arial" w:cs="Arial"/>
          <w:b/>
          <w:bCs/>
          <w:sz w:val="24"/>
          <w:szCs w:val="24"/>
          <w:u w:val="single"/>
        </w:rPr>
      </w:pPr>
      <w:r w:rsidRPr="00696906">
        <w:rPr>
          <w:rFonts w:ascii="Arial" w:hAnsi="Arial" w:cs="Arial"/>
          <w:b/>
          <w:bCs/>
          <w:sz w:val="24"/>
          <w:szCs w:val="24"/>
          <w:u w:val="single"/>
        </w:rPr>
        <w:t>Response</w:t>
      </w:r>
    </w:p>
    <w:p w14:paraId="216E5C67" w14:textId="77777777" w:rsidR="007671C8" w:rsidRPr="00696906" w:rsidRDefault="007671C8" w:rsidP="007671C8">
      <w:pPr>
        <w:spacing w:after="0"/>
        <w:jc w:val="both"/>
        <w:rPr>
          <w:rFonts w:ascii="Arial" w:hAnsi="Arial" w:cs="Arial"/>
          <w:b/>
          <w:bCs/>
          <w:sz w:val="24"/>
          <w:szCs w:val="24"/>
          <w:u w:val="single"/>
        </w:rPr>
      </w:pPr>
    </w:p>
    <w:p w14:paraId="19FE167D" w14:textId="75C0986F" w:rsidR="007671C8" w:rsidRPr="00696906" w:rsidRDefault="007671C8" w:rsidP="007671C8">
      <w:pPr>
        <w:spacing w:after="0"/>
        <w:jc w:val="both"/>
        <w:rPr>
          <w:rFonts w:ascii="Arial" w:hAnsi="Arial" w:cs="Arial"/>
          <w:sz w:val="24"/>
          <w:szCs w:val="24"/>
        </w:rPr>
      </w:pPr>
      <w:r w:rsidRPr="00696906">
        <w:rPr>
          <w:rFonts w:ascii="Arial" w:hAnsi="Arial" w:cs="Arial"/>
          <w:sz w:val="24"/>
          <w:szCs w:val="24"/>
        </w:rPr>
        <w:t>NBHDL has updated the model and has included it with this submission (v4).</w:t>
      </w:r>
      <w:r w:rsidR="00C41200" w:rsidRPr="00696906">
        <w:rPr>
          <w:rFonts w:ascii="Arial" w:hAnsi="Arial" w:cs="Arial"/>
          <w:sz w:val="24"/>
          <w:szCs w:val="24"/>
        </w:rPr>
        <w:t xml:space="preserve"> NBHDL would like to advise that in the new Bill impact tab, the model failed to populate RTSR rates for the class 3000-4999 kW (beginning row 246, cells F272 &amp; F273</w:t>
      </w:r>
      <w:r w:rsidR="00696906" w:rsidRPr="00696906">
        <w:rPr>
          <w:rFonts w:ascii="Arial" w:hAnsi="Arial" w:cs="Arial"/>
          <w:sz w:val="24"/>
          <w:szCs w:val="24"/>
        </w:rPr>
        <w:t>, tab 20</w:t>
      </w:r>
      <w:r w:rsidR="00C41200" w:rsidRPr="00696906">
        <w:rPr>
          <w:rFonts w:ascii="Arial" w:hAnsi="Arial" w:cs="Arial"/>
          <w:sz w:val="24"/>
          <w:szCs w:val="24"/>
        </w:rPr>
        <w:t>).</w:t>
      </w:r>
    </w:p>
    <w:p w14:paraId="60691EF8" w14:textId="01AACD34" w:rsidR="00A81F73" w:rsidRPr="00696906" w:rsidRDefault="00A81F73" w:rsidP="002C26C9">
      <w:pPr>
        <w:spacing w:after="0" w:line="240" w:lineRule="auto"/>
        <w:rPr>
          <w:rFonts w:ascii="Arial" w:hAnsi="Arial" w:cs="Arial"/>
          <w:sz w:val="24"/>
          <w:szCs w:val="24"/>
        </w:rPr>
      </w:pPr>
    </w:p>
    <w:p w14:paraId="0174E0E6" w14:textId="161A5454" w:rsidR="008970F1" w:rsidRPr="00696906" w:rsidRDefault="008970F1" w:rsidP="008970F1">
      <w:pPr>
        <w:spacing w:after="0"/>
        <w:rPr>
          <w:rFonts w:ascii="Arial" w:hAnsi="Arial" w:cs="Arial"/>
          <w:b/>
          <w:sz w:val="24"/>
          <w:szCs w:val="24"/>
        </w:rPr>
      </w:pPr>
      <w:r w:rsidRPr="00696906">
        <w:rPr>
          <w:rFonts w:ascii="Arial" w:hAnsi="Arial" w:cs="Arial"/>
          <w:b/>
          <w:sz w:val="24"/>
          <w:szCs w:val="24"/>
        </w:rPr>
        <w:t>Staff Question-5</w:t>
      </w:r>
    </w:p>
    <w:p w14:paraId="0732A08D" w14:textId="04DC0436" w:rsidR="008970F1" w:rsidRPr="00696906" w:rsidRDefault="008970F1" w:rsidP="008970F1">
      <w:pPr>
        <w:spacing w:after="0"/>
        <w:rPr>
          <w:rFonts w:ascii="Arial" w:hAnsi="Arial" w:cs="Arial"/>
          <w:b/>
          <w:sz w:val="24"/>
          <w:szCs w:val="24"/>
        </w:rPr>
      </w:pPr>
      <w:r w:rsidRPr="00696906">
        <w:rPr>
          <w:rFonts w:ascii="Arial" w:hAnsi="Arial" w:cs="Arial"/>
          <w:b/>
          <w:sz w:val="24"/>
          <w:szCs w:val="24"/>
        </w:rPr>
        <w:t>Ref 1:</w:t>
      </w:r>
      <w:r w:rsidRPr="00696906">
        <w:rPr>
          <w:rFonts w:ascii="Arial" w:hAnsi="Arial" w:cs="Arial"/>
          <w:b/>
          <w:sz w:val="24"/>
          <w:szCs w:val="24"/>
        </w:rPr>
        <w:tab/>
        <w:t>EB-2019-0057</w:t>
      </w:r>
      <w:r w:rsidR="006F33B0" w:rsidRPr="00696906">
        <w:rPr>
          <w:rFonts w:ascii="Arial" w:hAnsi="Arial" w:cs="Arial"/>
          <w:b/>
          <w:sz w:val="24"/>
          <w:szCs w:val="24"/>
        </w:rPr>
        <w:t>, Manager’s Summary, P</w:t>
      </w:r>
      <w:r w:rsidRPr="00696906">
        <w:rPr>
          <w:rFonts w:ascii="Arial" w:hAnsi="Arial" w:cs="Arial"/>
          <w:b/>
          <w:sz w:val="24"/>
          <w:szCs w:val="24"/>
        </w:rPr>
        <w:t>age</w:t>
      </w:r>
      <w:r w:rsidR="006F33B0" w:rsidRPr="00696906">
        <w:rPr>
          <w:rFonts w:ascii="Arial" w:hAnsi="Arial" w:cs="Arial"/>
          <w:b/>
          <w:sz w:val="24"/>
          <w:szCs w:val="24"/>
        </w:rPr>
        <w:t>s 9-1</w:t>
      </w:r>
      <w:r w:rsidRPr="00696906">
        <w:rPr>
          <w:rFonts w:ascii="Arial" w:hAnsi="Arial" w:cs="Arial"/>
          <w:b/>
          <w:sz w:val="24"/>
          <w:szCs w:val="24"/>
        </w:rPr>
        <w:t>0</w:t>
      </w:r>
    </w:p>
    <w:p w14:paraId="3C460230" w14:textId="2DDE07D7" w:rsidR="008970F1" w:rsidRPr="00696906" w:rsidRDefault="008970F1" w:rsidP="008970F1">
      <w:pPr>
        <w:spacing w:after="0"/>
        <w:rPr>
          <w:rFonts w:ascii="Arial" w:hAnsi="Arial" w:cs="Arial"/>
          <w:b/>
          <w:sz w:val="24"/>
          <w:szCs w:val="24"/>
        </w:rPr>
      </w:pPr>
      <w:r w:rsidRPr="00696906">
        <w:rPr>
          <w:rFonts w:ascii="Arial" w:hAnsi="Arial" w:cs="Arial"/>
          <w:b/>
          <w:sz w:val="24"/>
          <w:szCs w:val="24"/>
        </w:rPr>
        <w:t>Ref 2: EB-2018-0057, 2019 IRM Decision and Rate Order, March 28, 2019</w:t>
      </w:r>
      <w:r w:rsidR="006F33B0" w:rsidRPr="00696906">
        <w:rPr>
          <w:rFonts w:ascii="Arial" w:hAnsi="Arial" w:cs="Arial"/>
          <w:b/>
          <w:sz w:val="24"/>
          <w:szCs w:val="24"/>
        </w:rPr>
        <w:t>, Page 6-</w:t>
      </w:r>
      <w:r w:rsidRPr="00696906">
        <w:rPr>
          <w:rFonts w:ascii="Arial" w:hAnsi="Arial" w:cs="Arial"/>
          <w:b/>
          <w:sz w:val="24"/>
          <w:szCs w:val="24"/>
        </w:rPr>
        <w:t>7</w:t>
      </w:r>
    </w:p>
    <w:p w14:paraId="0FE83F99" w14:textId="4E7E8F10" w:rsidR="008970F1" w:rsidRPr="00696906" w:rsidRDefault="008970F1" w:rsidP="00750C77">
      <w:pPr>
        <w:spacing w:after="0"/>
        <w:ind w:left="720" w:hanging="720"/>
        <w:rPr>
          <w:rFonts w:ascii="Arial" w:hAnsi="Arial" w:cs="Arial"/>
          <w:sz w:val="24"/>
          <w:szCs w:val="24"/>
        </w:rPr>
      </w:pPr>
      <w:r w:rsidRPr="00696906">
        <w:rPr>
          <w:rFonts w:ascii="Arial" w:hAnsi="Arial" w:cs="Arial"/>
          <w:sz w:val="24"/>
          <w:szCs w:val="24"/>
        </w:rPr>
        <w:tab/>
      </w:r>
      <w:r w:rsidRPr="00696906">
        <w:rPr>
          <w:rFonts w:ascii="Arial" w:hAnsi="Arial" w:cs="Arial"/>
          <w:sz w:val="24"/>
          <w:szCs w:val="24"/>
        </w:rPr>
        <w:tab/>
      </w:r>
    </w:p>
    <w:p w14:paraId="5BDC8841" w14:textId="77777777" w:rsidR="008970F1" w:rsidRPr="00696906" w:rsidRDefault="008970F1" w:rsidP="008970F1">
      <w:pPr>
        <w:spacing w:after="0"/>
        <w:rPr>
          <w:rFonts w:ascii="Arial" w:hAnsi="Arial" w:cs="Arial"/>
          <w:sz w:val="24"/>
          <w:szCs w:val="24"/>
        </w:rPr>
      </w:pPr>
      <w:r w:rsidRPr="00696906">
        <w:rPr>
          <w:rFonts w:ascii="Arial" w:hAnsi="Arial" w:cs="Arial"/>
          <w:sz w:val="24"/>
          <w:szCs w:val="24"/>
        </w:rPr>
        <w:t>At the above noted first reference, North Bay Hydro stated the following, including that it is not seeking disposition of either Account 1588 or Account 1589 in the current proceeding:</w:t>
      </w:r>
    </w:p>
    <w:p w14:paraId="3663FDE1" w14:textId="77777777" w:rsidR="008970F1" w:rsidRPr="00696906" w:rsidRDefault="008970F1" w:rsidP="008970F1">
      <w:pPr>
        <w:spacing w:after="0"/>
        <w:rPr>
          <w:rFonts w:ascii="Arial" w:hAnsi="Arial" w:cs="Arial"/>
          <w:sz w:val="24"/>
          <w:szCs w:val="24"/>
        </w:rPr>
      </w:pPr>
    </w:p>
    <w:p w14:paraId="350F7988" w14:textId="77777777" w:rsidR="008970F1" w:rsidRPr="00696906" w:rsidRDefault="008970F1" w:rsidP="008970F1">
      <w:pPr>
        <w:spacing w:after="0"/>
        <w:ind w:left="720"/>
        <w:rPr>
          <w:rFonts w:ascii="Arial" w:hAnsi="Arial" w:cs="Arial"/>
          <w:sz w:val="24"/>
          <w:szCs w:val="24"/>
        </w:rPr>
      </w:pPr>
      <w:r w:rsidRPr="00696906">
        <w:rPr>
          <w:rFonts w:ascii="Arial" w:hAnsi="Arial" w:cs="Arial"/>
          <w:sz w:val="24"/>
          <w:szCs w:val="24"/>
        </w:rPr>
        <w:t xml:space="preserve">On February 21, 2019, the OEB released a letter entitled </w:t>
      </w:r>
      <w:r w:rsidRPr="00696906">
        <w:rPr>
          <w:rFonts w:ascii="Arial" w:hAnsi="Arial" w:cs="Arial"/>
          <w:i/>
          <w:sz w:val="24"/>
          <w:szCs w:val="24"/>
        </w:rPr>
        <w:t>Accounting guidance related to Accounts 1588 and 1589</w:t>
      </w:r>
      <w:r w:rsidRPr="00696906">
        <w:rPr>
          <w:rFonts w:ascii="Arial" w:hAnsi="Arial" w:cs="Arial"/>
          <w:sz w:val="24"/>
          <w:szCs w:val="24"/>
        </w:rPr>
        <w:t xml:space="preserve">. The direction provided by the OEB staff was a change in practice but not overall theory to NBHDL’s current settlement </w:t>
      </w:r>
      <w:r w:rsidRPr="00696906">
        <w:rPr>
          <w:rFonts w:ascii="Arial" w:hAnsi="Arial" w:cs="Arial"/>
          <w:sz w:val="24"/>
          <w:szCs w:val="24"/>
        </w:rPr>
        <w:lastRenderedPageBreak/>
        <w:t>process. Due to system limitations, NBHDL experienced an unforeseen delay in its implementation of the new standards effective August 31, 2019. NBHDL is working diligently to finalize its internal processes in order to compliant with OEB direction and the balances reported for the 2019 RRR filing will be consistent with the new accounting guidance. At this time, NBHDL is not currently seeking disposition of either 1588 or 1589; NBHDL will provide the OEB with a review of historical balances, results of the review, and any adjustments when it seeks disposition at a future date.</w:t>
      </w:r>
    </w:p>
    <w:p w14:paraId="2DB61340" w14:textId="77777777" w:rsidR="008970F1" w:rsidRPr="00696906" w:rsidRDefault="008970F1" w:rsidP="008970F1">
      <w:pPr>
        <w:spacing w:after="0"/>
        <w:rPr>
          <w:rFonts w:ascii="Arial" w:hAnsi="Arial" w:cs="Arial"/>
          <w:b/>
          <w:sz w:val="24"/>
          <w:szCs w:val="24"/>
        </w:rPr>
      </w:pPr>
    </w:p>
    <w:p w14:paraId="3D0D449C" w14:textId="77777777" w:rsidR="008970F1" w:rsidRPr="00696906" w:rsidRDefault="008970F1" w:rsidP="008970F1">
      <w:pPr>
        <w:spacing w:after="0"/>
        <w:rPr>
          <w:rFonts w:ascii="Arial" w:hAnsi="Arial" w:cs="Arial"/>
          <w:sz w:val="24"/>
          <w:szCs w:val="24"/>
        </w:rPr>
      </w:pPr>
      <w:r w:rsidRPr="00696906">
        <w:rPr>
          <w:rFonts w:ascii="Arial" w:hAnsi="Arial" w:cs="Arial"/>
          <w:sz w:val="24"/>
          <w:szCs w:val="24"/>
        </w:rPr>
        <w:t>At the above noted second reference, the OEB stated the following:</w:t>
      </w:r>
    </w:p>
    <w:p w14:paraId="410DDDA7" w14:textId="77777777" w:rsidR="008970F1" w:rsidRPr="00696906" w:rsidRDefault="008970F1" w:rsidP="008970F1">
      <w:pPr>
        <w:spacing w:after="0"/>
        <w:rPr>
          <w:rFonts w:ascii="Arial" w:hAnsi="Arial" w:cs="Arial"/>
          <w:sz w:val="24"/>
          <w:szCs w:val="24"/>
        </w:rPr>
      </w:pPr>
    </w:p>
    <w:p w14:paraId="4BFD265C" w14:textId="77777777" w:rsidR="008970F1" w:rsidRPr="00696906" w:rsidRDefault="008970F1" w:rsidP="008970F1">
      <w:pPr>
        <w:spacing w:after="0"/>
        <w:ind w:left="720"/>
        <w:rPr>
          <w:rFonts w:ascii="Arial" w:hAnsi="Arial" w:cs="Arial"/>
          <w:sz w:val="24"/>
          <w:szCs w:val="24"/>
        </w:rPr>
      </w:pPr>
      <w:r w:rsidRPr="00696906">
        <w:rPr>
          <w:rFonts w:ascii="Arial" w:hAnsi="Arial" w:cs="Arial"/>
          <w:sz w:val="24"/>
          <w:szCs w:val="24"/>
        </w:rPr>
        <w:t xml:space="preserve">While North Bay Hydro did not seek disposition of its Group 1 account balances, the OEB notes the following shortcomings regarding the information provided in this proceeding. With respect to the GA Analysis </w:t>
      </w:r>
      <w:proofErr w:type="spellStart"/>
      <w:r w:rsidRPr="00696906">
        <w:rPr>
          <w:rFonts w:ascii="Arial" w:hAnsi="Arial" w:cs="Arial"/>
          <w:sz w:val="24"/>
          <w:szCs w:val="24"/>
        </w:rPr>
        <w:t>Workform</w:t>
      </w:r>
      <w:proofErr w:type="spellEnd"/>
      <w:r w:rsidRPr="00696906">
        <w:rPr>
          <w:rFonts w:ascii="Arial" w:hAnsi="Arial" w:cs="Arial"/>
          <w:sz w:val="24"/>
          <w:szCs w:val="24"/>
        </w:rPr>
        <w:t xml:space="preserve"> filed on January 28, 2019, the OEB finds that North Bay Hydro has not adequately explained the nature of the IESO adjustments, which groups of customers they pertained to, and whether there were any outstanding RPP settlement ramifications with the IESO impacting the December 31, 2017 account balances. In the final iteration of the </w:t>
      </w:r>
      <w:proofErr w:type="spellStart"/>
      <w:r w:rsidRPr="00696906">
        <w:rPr>
          <w:rFonts w:ascii="Arial" w:hAnsi="Arial" w:cs="Arial"/>
          <w:sz w:val="24"/>
          <w:szCs w:val="24"/>
        </w:rPr>
        <w:t>Workform</w:t>
      </w:r>
      <w:proofErr w:type="spellEnd"/>
      <w:r w:rsidRPr="00696906">
        <w:rPr>
          <w:rFonts w:ascii="Arial" w:hAnsi="Arial" w:cs="Arial"/>
          <w:sz w:val="24"/>
          <w:szCs w:val="24"/>
        </w:rPr>
        <w:t>, filed February 25, 2019, the reconciling items were removed, also without satisfactory justification in support of their removal.</w:t>
      </w:r>
    </w:p>
    <w:p w14:paraId="49B57754" w14:textId="77777777" w:rsidR="008970F1" w:rsidRPr="00696906" w:rsidRDefault="008970F1" w:rsidP="008970F1">
      <w:pPr>
        <w:spacing w:after="0"/>
        <w:ind w:left="720"/>
        <w:rPr>
          <w:rFonts w:ascii="Arial" w:hAnsi="Arial" w:cs="Arial"/>
          <w:sz w:val="24"/>
          <w:szCs w:val="24"/>
        </w:rPr>
      </w:pPr>
    </w:p>
    <w:p w14:paraId="51AFBE89" w14:textId="77777777" w:rsidR="008970F1" w:rsidRPr="00696906" w:rsidRDefault="008970F1" w:rsidP="008970F1">
      <w:pPr>
        <w:spacing w:after="0"/>
        <w:ind w:left="720"/>
        <w:rPr>
          <w:rFonts w:ascii="Arial" w:hAnsi="Arial" w:cs="Arial"/>
          <w:sz w:val="24"/>
          <w:szCs w:val="24"/>
        </w:rPr>
      </w:pPr>
      <w:r w:rsidRPr="00696906">
        <w:rPr>
          <w:rFonts w:ascii="Arial" w:hAnsi="Arial" w:cs="Arial"/>
          <w:sz w:val="24"/>
          <w:szCs w:val="24"/>
        </w:rPr>
        <w:t xml:space="preserve">The OEB expects North Bay Hydro to utilize the OEB’s recently issued accounting guidance related to Accounts 1588 RSVA Power and 1589 RSVA Global Adjustment and apply this guidance to its 2017 transactions. If North Bay Hydro identifies that material adjustments are required to Accounts 1588 or </w:t>
      </w:r>
      <w:proofErr w:type="gramStart"/>
      <w:r w:rsidRPr="00696906">
        <w:rPr>
          <w:rFonts w:ascii="Arial" w:hAnsi="Arial" w:cs="Arial"/>
          <w:sz w:val="24"/>
          <w:szCs w:val="24"/>
        </w:rPr>
        <w:t>1589  as</w:t>
      </w:r>
      <w:proofErr w:type="gramEnd"/>
      <w:r w:rsidRPr="00696906">
        <w:rPr>
          <w:rFonts w:ascii="Arial" w:hAnsi="Arial" w:cs="Arial"/>
          <w:sz w:val="24"/>
          <w:szCs w:val="24"/>
        </w:rPr>
        <w:t xml:space="preserve"> a result of utilizing the methodology prescribed in the guidance, the OEB expects North Bay Hydro to cite these differences and explain these adjustments in its 2020 IRM application.</w:t>
      </w:r>
    </w:p>
    <w:p w14:paraId="78CBE048" w14:textId="2E2422B9" w:rsidR="008970F1" w:rsidRPr="00696906" w:rsidRDefault="008970F1" w:rsidP="008970F1">
      <w:pPr>
        <w:spacing w:after="0"/>
        <w:rPr>
          <w:rFonts w:ascii="Arial" w:hAnsi="Arial" w:cs="Arial"/>
          <w:b/>
          <w:sz w:val="24"/>
          <w:szCs w:val="24"/>
        </w:rPr>
      </w:pPr>
    </w:p>
    <w:p w14:paraId="255F6790" w14:textId="77777777" w:rsidR="006F33B0" w:rsidRPr="00696906" w:rsidRDefault="008970F1" w:rsidP="006F33B0">
      <w:pPr>
        <w:pStyle w:val="ListParagraph"/>
        <w:numPr>
          <w:ilvl w:val="0"/>
          <w:numId w:val="44"/>
        </w:numPr>
        <w:spacing w:after="0"/>
        <w:rPr>
          <w:rFonts w:ascii="Arial" w:hAnsi="Arial" w:cs="Arial"/>
          <w:sz w:val="24"/>
          <w:szCs w:val="24"/>
        </w:rPr>
      </w:pPr>
      <w:r w:rsidRPr="00696906">
        <w:rPr>
          <w:rFonts w:ascii="Arial" w:hAnsi="Arial" w:cs="Arial"/>
          <w:sz w:val="24"/>
          <w:szCs w:val="24"/>
        </w:rPr>
        <w:t>In addition to what North Bay Hydro described in its Manager’s Summary at the above first noted reference, please confirm that North Bay Hydro is also working towards rectifying the OEB’s concerns noted at the above second noted reference.</w:t>
      </w:r>
    </w:p>
    <w:p w14:paraId="003EBB8C" w14:textId="33382FD0" w:rsidR="008970F1" w:rsidRPr="00696906" w:rsidRDefault="008970F1" w:rsidP="006F33B0">
      <w:pPr>
        <w:pStyle w:val="ListParagraph"/>
        <w:numPr>
          <w:ilvl w:val="0"/>
          <w:numId w:val="44"/>
        </w:numPr>
        <w:spacing w:after="0"/>
        <w:rPr>
          <w:rFonts w:ascii="Arial" w:hAnsi="Arial" w:cs="Arial"/>
          <w:sz w:val="24"/>
          <w:szCs w:val="24"/>
        </w:rPr>
      </w:pPr>
      <w:r w:rsidRPr="00696906">
        <w:rPr>
          <w:rFonts w:ascii="Arial" w:hAnsi="Arial" w:cs="Arial"/>
          <w:sz w:val="24"/>
          <w:szCs w:val="24"/>
        </w:rPr>
        <w:t>If this is not the case, please explain.</w:t>
      </w:r>
    </w:p>
    <w:p w14:paraId="0D8F0BF8" w14:textId="5FA5C6E7" w:rsidR="00D61BB8" w:rsidRPr="00696906" w:rsidRDefault="00D61BB8" w:rsidP="00D61BB8">
      <w:pPr>
        <w:spacing w:after="0"/>
        <w:rPr>
          <w:rFonts w:ascii="Arial" w:hAnsi="Arial" w:cs="Arial"/>
          <w:sz w:val="24"/>
          <w:szCs w:val="24"/>
        </w:rPr>
      </w:pPr>
    </w:p>
    <w:p w14:paraId="402A400B" w14:textId="77777777" w:rsidR="00D61BB8" w:rsidRPr="00696906" w:rsidRDefault="00D61BB8" w:rsidP="00D61BB8">
      <w:pPr>
        <w:spacing w:after="0"/>
        <w:jc w:val="both"/>
        <w:rPr>
          <w:rFonts w:ascii="Arial" w:hAnsi="Arial" w:cs="Arial"/>
          <w:b/>
          <w:bCs/>
          <w:sz w:val="24"/>
          <w:szCs w:val="24"/>
          <w:u w:val="single"/>
        </w:rPr>
      </w:pPr>
      <w:r w:rsidRPr="00696906">
        <w:rPr>
          <w:rFonts w:ascii="Arial" w:hAnsi="Arial" w:cs="Arial"/>
          <w:b/>
          <w:bCs/>
          <w:sz w:val="24"/>
          <w:szCs w:val="24"/>
          <w:u w:val="single"/>
        </w:rPr>
        <w:t>Response</w:t>
      </w:r>
    </w:p>
    <w:p w14:paraId="2FE7B5F2" w14:textId="77777777" w:rsidR="00D61BB8" w:rsidRPr="00696906" w:rsidRDefault="00D61BB8" w:rsidP="00D61BB8">
      <w:pPr>
        <w:spacing w:after="0"/>
        <w:jc w:val="both"/>
        <w:rPr>
          <w:rFonts w:ascii="Arial" w:hAnsi="Arial" w:cs="Arial"/>
          <w:b/>
          <w:bCs/>
          <w:sz w:val="24"/>
          <w:szCs w:val="24"/>
          <w:u w:val="single"/>
        </w:rPr>
      </w:pPr>
    </w:p>
    <w:p w14:paraId="673BD77C" w14:textId="04AEB334" w:rsidR="00D61BB8" w:rsidRPr="00696906" w:rsidRDefault="00D61BB8" w:rsidP="00D61BB8">
      <w:pPr>
        <w:spacing w:after="0"/>
        <w:jc w:val="both"/>
        <w:rPr>
          <w:rFonts w:ascii="Arial" w:hAnsi="Arial" w:cs="Arial"/>
          <w:sz w:val="24"/>
          <w:szCs w:val="24"/>
        </w:rPr>
      </w:pPr>
      <w:r w:rsidRPr="00696906">
        <w:rPr>
          <w:rFonts w:ascii="Arial" w:hAnsi="Arial" w:cs="Arial"/>
          <w:sz w:val="24"/>
          <w:szCs w:val="24"/>
        </w:rPr>
        <w:t xml:space="preserve">NBHDL can confirm that the second noted reference is part of the overall </w:t>
      </w:r>
      <w:r w:rsidR="00696906" w:rsidRPr="00696906">
        <w:rPr>
          <w:rFonts w:ascii="Arial" w:hAnsi="Arial" w:cs="Arial"/>
          <w:sz w:val="24"/>
          <w:szCs w:val="24"/>
        </w:rPr>
        <w:t xml:space="preserve">1588/89 </w:t>
      </w:r>
      <w:r w:rsidRPr="00696906">
        <w:rPr>
          <w:rFonts w:ascii="Arial" w:hAnsi="Arial" w:cs="Arial"/>
          <w:sz w:val="24"/>
          <w:szCs w:val="24"/>
        </w:rPr>
        <w:t>settlement review.</w:t>
      </w:r>
    </w:p>
    <w:p w14:paraId="75CC7916" w14:textId="77777777" w:rsidR="00D61BB8" w:rsidRPr="00696906" w:rsidRDefault="00D61BB8" w:rsidP="00D61BB8">
      <w:pPr>
        <w:spacing w:after="0"/>
        <w:rPr>
          <w:rFonts w:ascii="Arial" w:hAnsi="Arial" w:cs="Arial"/>
          <w:sz w:val="24"/>
          <w:szCs w:val="24"/>
        </w:rPr>
      </w:pPr>
    </w:p>
    <w:p w14:paraId="7DF52CD7" w14:textId="26DC597A" w:rsidR="008970F1" w:rsidRPr="00696906" w:rsidRDefault="008970F1" w:rsidP="008970F1">
      <w:pPr>
        <w:spacing w:after="0"/>
        <w:rPr>
          <w:rFonts w:ascii="Arial" w:hAnsi="Arial" w:cs="Arial"/>
          <w:sz w:val="24"/>
          <w:szCs w:val="24"/>
        </w:rPr>
      </w:pPr>
    </w:p>
    <w:p w14:paraId="41C63B57" w14:textId="15CDF7BC" w:rsidR="008970F1" w:rsidRPr="00696906" w:rsidRDefault="006F33B0" w:rsidP="008970F1">
      <w:pPr>
        <w:spacing w:after="0"/>
        <w:rPr>
          <w:rFonts w:ascii="Arial" w:hAnsi="Arial" w:cs="Arial"/>
          <w:b/>
          <w:sz w:val="24"/>
          <w:szCs w:val="24"/>
        </w:rPr>
      </w:pPr>
      <w:r w:rsidRPr="00696906">
        <w:rPr>
          <w:rFonts w:ascii="Arial" w:hAnsi="Arial" w:cs="Arial"/>
          <w:b/>
          <w:sz w:val="24"/>
          <w:szCs w:val="24"/>
        </w:rPr>
        <w:t>Staff Question-5</w:t>
      </w:r>
    </w:p>
    <w:p w14:paraId="4DA739E1" w14:textId="681BDA91" w:rsidR="008970F1" w:rsidRPr="00696906" w:rsidRDefault="008970F1" w:rsidP="006F33B0">
      <w:pPr>
        <w:spacing w:after="0"/>
        <w:rPr>
          <w:rFonts w:ascii="Arial" w:hAnsi="Arial" w:cs="Arial"/>
          <w:b/>
          <w:sz w:val="24"/>
          <w:szCs w:val="24"/>
        </w:rPr>
      </w:pPr>
      <w:r w:rsidRPr="00696906">
        <w:rPr>
          <w:rFonts w:ascii="Arial" w:hAnsi="Arial" w:cs="Arial"/>
          <w:b/>
          <w:sz w:val="24"/>
          <w:szCs w:val="24"/>
        </w:rPr>
        <w:t>Ref</w:t>
      </w:r>
      <w:r w:rsidR="006F33B0" w:rsidRPr="00696906">
        <w:rPr>
          <w:rFonts w:ascii="Arial" w:hAnsi="Arial" w:cs="Arial"/>
          <w:b/>
          <w:sz w:val="24"/>
          <w:szCs w:val="24"/>
        </w:rPr>
        <w:t xml:space="preserve"> 1:</w:t>
      </w:r>
      <w:r w:rsidR="006F33B0" w:rsidRPr="00696906">
        <w:rPr>
          <w:rFonts w:ascii="Arial" w:hAnsi="Arial" w:cs="Arial"/>
          <w:b/>
          <w:sz w:val="24"/>
          <w:szCs w:val="24"/>
        </w:rPr>
        <w:tab/>
        <w:t>EB-2019-0057, Manager’s Summary, P</w:t>
      </w:r>
      <w:r w:rsidRPr="00696906">
        <w:rPr>
          <w:rFonts w:ascii="Arial" w:hAnsi="Arial" w:cs="Arial"/>
          <w:b/>
          <w:sz w:val="24"/>
          <w:szCs w:val="24"/>
        </w:rPr>
        <w:t>age 9</w:t>
      </w:r>
    </w:p>
    <w:p w14:paraId="236451F8" w14:textId="4A9EB871" w:rsidR="008970F1" w:rsidRPr="00696906" w:rsidRDefault="006F33B0" w:rsidP="008970F1">
      <w:pPr>
        <w:spacing w:after="0"/>
        <w:ind w:left="720" w:hanging="720"/>
        <w:rPr>
          <w:rFonts w:ascii="Arial" w:hAnsi="Arial" w:cs="Arial"/>
          <w:b/>
          <w:sz w:val="24"/>
          <w:szCs w:val="24"/>
        </w:rPr>
      </w:pPr>
      <w:r w:rsidRPr="00696906">
        <w:rPr>
          <w:rFonts w:ascii="Arial" w:hAnsi="Arial" w:cs="Arial"/>
          <w:b/>
          <w:sz w:val="24"/>
          <w:szCs w:val="24"/>
        </w:rPr>
        <w:t xml:space="preserve">Ref 2: </w:t>
      </w:r>
      <w:r w:rsidR="008970F1" w:rsidRPr="00696906">
        <w:rPr>
          <w:rFonts w:ascii="Arial" w:hAnsi="Arial" w:cs="Arial"/>
          <w:b/>
          <w:sz w:val="24"/>
          <w:szCs w:val="24"/>
        </w:rPr>
        <w:t>Chapter 3 of the Filing Requirements for Electricity Distribution Applications Rate Appl</w:t>
      </w:r>
      <w:r w:rsidRPr="00696906">
        <w:rPr>
          <w:rFonts w:ascii="Arial" w:hAnsi="Arial" w:cs="Arial"/>
          <w:b/>
          <w:sz w:val="24"/>
          <w:szCs w:val="24"/>
        </w:rPr>
        <w:t>ications, dated July 12, 2018, P</w:t>
      </w:r>
      <w:r w:rsidR="008970F1" w:rsidRPr="00696906">
        <w:rPr>
          <w:rFonts w:ascii="Arial" w:hAnsi="Arial" w:cs="Arial"/>
          <w:b/>
          <w:sz w:val="24"/>
          <w:szCs w:val="24"/>
        </w:rPr>
        <w:t>age 14</w:t>
      </w:r>
    </w:p>
    <w:p w14:paraId="6F91DB4F" w14:textId="727713D7" w:rsidR="008970F1" w:rsidRPr="00696906" w:rsidRDefault="008970F1" w:rsidP="00750C77">
      <w:pPr>
        <w:spacing w:after="0"/>
        <w:ind w:left="720" w:hanging="720"/>
        <w:rPr>
          <w:rFonts w:ascii="Arial" w:hAnsi="Arial" w:cs="Arial"/>
          <w:sz w:val="24"/>
          <w:szCs w:val="24"/>
        </w:rPr>
      </w:pPr>
    </w:p>
    <w:p w14:paraId="4997599D" w14:textId="77777777" w:rsidR="008970F1" w:rsidRPr="00696906" w:rsidRDefault="008970F1" w:rsidP="008970F1">
      <w:pPr>
        <w:spacing w:after="0"/>
        <w:rPr>
          <w:rFonts w:ascii="Arial" w:hAnsi="Arial" w:cs="Arial"/>
          <w:sz w:val="24"/>
          <w:szCs w:val="24"/>
        </w:rPr>
      </w:pPr>
      <w:r w:rsidRPr="00696906">
        <w:rPr>
          <w:rFonts w:ascii="Arial" w:hAnsi="Arial" w:cs="Arial"/>
          <w:sz w:val="24"/>
          <w:szCs w:val="24"/>
        </w:rPr>
        <w:t>At the above noted first reference, North Bay Hydro stated the following:</w:t>
      </w:r>
    </w:p>
    <w:p w14:paraId="4E55B5E0" w14:textId="77777777" w:rsidR="008970F1" w:rsidRPr="00696906" w:rsidRDefault="008970F1" w:rsidP="008970F1">
      <w:pPr>
        <w:spacing w:after="0"/>
        <w:rPr>
          <w:rFonts w:ascii="Arial" w:hAnsi="Arial" w:cs="Arial"/>
          <w:sz w:val="24"/>
          <w:szCs w:val="24"/>
        </w:rPr>
      </w:pPr>
    </w:p>
    <w:p w14:paraId="492F240C" w14:textId="77777777" w:rsidR="008970F1" w:rsidRPr="00696906" w:rsidRDefault="008970F1" w:rsidP="008970F1">
      <w:pPr>
        <w:spacing w:after="0"/>
        <w:ind w:left="720"/>
        <w:rPr>
          <w:rFonts w:ascii="Arial" w:hAnsi="Arial" w:cs="Arial"/>
          <w:sz w:val="24"/>
          <w:szCs w:val="24"/>
        </w:rPr>
      </w:pPr>
      <w:r w:rsidRPr="00696906">
        <w:rPr>
          <w:rFonts w:ascii="Arial" w:hAnsi="Arial" w:cs="Arial"/>
          <w:sz w:val="24"/>
          <w:szCs w:val="24"/>
        </w:rPr>
        <w:t>In accordance with the Filing Guidelines, the description of NBHDL’s settlement process is only required to be submitted if an aspect of the description has changed since previously filed or has not been previously filed in an application. NBHDL confirms that the settlement process description previously filed in the 2016 IRM (EB-2015-0092), 2017 IRM (EB-2016-0214) and 2018 IRM (EB-2017-0065) applications was not changed during the 2018 fiscal period.</w:t>
      </w:r>
    </w:p>
    <w:p w14:paraId="3086B9C0" w14:textId="77777777" w:rsidR="008970F1" w:rsidRPr="00696906" w:rsidRDefault="008970F1" w:rsidP="008970F1">
      <w:pPr>
        <w:spacing w:after="0"/>
        <w:rPr>
          <w:rFonts w:ascii="Arial" w:hAnsi="Arial" w:cs="Arial"/>
          <w:sz w:val="24"/>
          <w:szCs w:val="24"/>
        </w:rPr>
      </w:pPr>
    </w:p>
    <w:p w14:paraId="3B90C8FA" w14:textId="77777777" w:rsidR="008970F1" w:rsidRPr="00696906" w:rsidRDefault="008970F1" w:rsidP="008970F1">
      <w:pPr>
        <w:spacing w:after="0"/>
        <w:rPr>
          <w:rFonts w:ascii="Arial" w:hAnsi="Arial" w:cs="Arial"/>
          <w:sz w:val="24"/>
          <w:szCs w:val="24"/>
        </w:rPr>
      </w:pPr>
      <w:r w:rsidRPr="00696906">
        <w:rPr>
          <w:rFonts w:ascii="Arial" w:hAnsi="Arial" w:cs="Arial"/>
          <w:sz w:val="24"/>
          <w:szCs w:val="24"/>
        </w:rPr>
        <w:t>At the above noted second reference, the OEB stated the following:</w:t>
      </w:r>
    </w:p>
    <w:p w14:paraId="3C7AEA93" w14:textId="77777777" w:rsidR="008970F1" w:rsidRPr="00696906" w:rsidRDefault="008970F1" w:rsidP="008970F1">
      <w:pPr>
        <w:spacing w:after="0"/>
        <w:rPr>
          <w:rFonts w:ascii="Arial" w:hAnsi="Arial" w:cs="Arial"/>
          <w:sz w:val="24"/>
          <w:szCs w:val="24"/>
        </w:rPr>
      </w:pPr>
    </w:p>
    <w:p w14:paraId="5285D561" w14:textId="77777777" w:rsidR="008970F1" w:rsidRPr="00696906" w:rsidRDefault="008970F1" w:rsidP="008970F1">
      <w:pPr>
        <w:spacing w:after="0"/>
        <w:ind w:left="720"/>
        <w:rPr>
          <w:rFonts w:ascii="Arial" w:hAnsi="Arial" w:cs="Arial"/>
          <w:sz w:val="24"/>
          <w:szCs w:val="24"/>
        </w:rPr>
      </w:pPr>
      <w:r w:rsidRPr="00696906">
        <w:rPr>
          <w:rFonts w:ascii="Arial" w:hAnsi="Arial" w:cs="Arial"/>
          <w:sz w:val="24"/>
          <w:szCs w:val="24"/>
        </w:rPr>
        <w:t>A distributor must support its GA claims with a description of its settlement process with the IESO or host distributor…</w:t>
      </w:r>
    </w:p>
    <w:p w14:paraId="7357CB1E" w14:textId="77777777" w:rsidR="008970F1" w:rsidRPr="00696906" w:rsidRDefault="008970F1" w:rsidP="008970F1">
      <w:pPr>
        <w:spacing w:after="0"/>
        <w:rPr>
          <w:rFonts w:ascii="Arial" w:hAnsi="Arial" w:cs="Arial"/>
          <w:sz w:val="24"/>
          <w:szCs w:val="24"/>
        </w:rPr>
      </w:pPr>
    </w:p>
    <w:p w14:paraId="766E83B5" w14:textId="1B9C043D" w:rsidR="008970F1" w:rsidRPr="00696906" w:rsidRDefault="008970F1" w:rsidP="008970F1">
      <w:pPr>
        <w:spacing w:after="0"/>
        <w:rPr>
          <w:rFonts w:ascii="Arial" w:hAnsi="Arial" w:cs="Arial"/>
          <w:sz w:val="24"/>
          <w:szCs w:val="24"/>
        </w:rPr>
      </w:pPr>
      <w:r w:rsidRPr="00696906">
        <w:rPr>
          <w:rFonts w:ascii="Arial" w:hAnsi="Arial" w:cs="Arial"/>
          <w:sz w:val="24"/>
          <w:szCs w:val="24"/>
        </w:rPr>
        <w:t>OEB staff notes that at the above noted first reference, North Bay Hydro has referenced historical OEB filing requirements that have been super-ceded by the OEB filing requirements at the above noted second reference. The current OEB filing requirements articulate that a description of the applicant’s settlement processes is required.</w:t>
      </w:r>
    </w:p>
    <w:p w14:paraId="47663399" w14:textId="77777777" w:rsidR="006F33B0" w:rsidRPr="00696906" w:rsidRDefault="008970F1" w:rsidP="006F33B0">
      <w:pPr>
        <w:pStyle w:val="ListParagraph"/>
        <w:numPr>
          <w:ilvl w:val="0"/>
          <w:numId w:val="45"/>
        </w:numPr>
        <w:spacing w:after="0"/>
        <w:rPr>
          <w:rFonts w:ascii="Arial" w:hAnsi="Arial" w:cs="Arial"/>
          <w:sz w:val="24"/>
          <w:szCs w:val="24"/>
        </w:rPr>
      </w:pPr>
      <w:r w:rsidRPr="00696906">
        <w:rPr>
          <w:rFonts w:ascii="Arial" w:hAnsi="Arial" w:cs="Arial"/>
          <w:sz w:val="24"/>
          <w:szCs w:val="24"/>
        </w:rPr>
        <w:t>Please confirm that in its future application to clear Account 1588 and Account 1589 balances, North Bay Hydro will include a description of its settlement processes, including how these processes address the new accounting guidance issued by the OEB on February 21, 2019.</w:t>
      </w:r>
    </w:p>
    <w:p w14:paraId="36F60722" w14:textId="4976ED7C" w:rsidR="008970F1" w:rsidRPr="00696906" w:rsidRDefault="008970F1" w:rsidP="008970F1">
      <w:pPr>
        <w:pStyle w:val="ListParagraph"/>
        <w:numPr>
          <w:ilvl w:val="0"/>
          <w:numId w:val="45"/>
        </w:numPr>
        <w:spacing w:after="0"/>
        <w:rPr>
          <w:rFonts w:ascii="Arial" w:hAnsi="Arial" w:cs="Arial"/>
          <w:sz w:val="24"/>
          <w:szCs w:val="24"/>
        </w:rPr>
      </w:pPr>
      <w:r w:rsidRPr="00696906">
        <w:rPr>
          <w:rFonts w:ascii="Arial" w:hAnsi="Arial" w:cs="Arial"/>
          <w:sz w:val="24"/>
          <w:szCs w:val="24"/>
        </w:rPr>
        <w:t>If this is not the case, please explain.</w:t>
      </w:r>
    </w:p>
    <w:p w14:paraId="7281991E" w14:textId="77C53ED4" w:rsidR="00D61BB8" w:rsidRPr="00696906" w:rsidRDefault="00D61BB8" w:rsidP="00D61BB8">
      <w:pPr>
        <w:spacing w:after="0"/>
        <w:rPr>
          <w:rFonts w:ascii="Arial" w:hAnsi="Arial" w:cs="Arial"/>
          <w:sz w:val="24"/>
          <w:szCs w:val="24"/>
        </w:rPr>
      </w:pPr>
    </w:p>
    <w:p w14:paraId="074956FA" w14:textId="77777777" w:rsidR="00D61BB8" w:rsidRPr="00696906" w:rsidRDefault="00D61BB8" w:rsidP="00D61BB8">
      <w:pPr>
        <w:spacing w:after="0"/>
        <w:jc w:val="both"/>
        <w:rPr>
          <w:rFonts w:ascii="Arial" w:hAnsi="Arial" w:cs="Arial"/>
          <w:b/>
          <w:bCs/>
          <w:sz w:val="24"/>
          <w:szCs w:val="24"/>
          <w:u w:val="single"/>
        </w:rPr>
      </w:pPr>
      <w:r w:rsidRPr="00696906">
        <w:rPr>
          <w:rFonts w:ascii="Arial" w:hAnsi="Arial" w:cs="Arial"/>
          <w:b/>
          <w:bCs/>
          <w:sz w:val="24"/>
          <w:szCs w:val="24"/>
          <w:u w:val="single"/>
        </w:rPr>
        <w:t>Response</w:t>
      </w:r>
    </w:p>
    <w:p w14:paraId="239A745D" w14:textId="77777777" w:rsidR="00D61BB8" w:rsidRPr="00696906" w:rsidRDefault="00D61BB8" w:rsidP="00D61BB8">
      <w:pPr>
        <w:spacing w:after="0"/>
        <w:jc w:val="both"/>
        <w:rPr>
          <w:rFonts w:ascii="Arial" w:hAnsi="Arial" w:cs="Arial"/>
          <w:b/>
          <w:bCs/>
          <w:sz w:val="24"/>
          <w:szCs w:val="24"/>
          <w:u w:val="single"/>
        </w:rPr>
      </w:pPr>
    </w:p>
    <w:p w14:paraId="776EC875" w14:textId="154CC81F" w:rsidR="00D61BB8" w:rsidRPr="00696906" w:rsidRDefault="00D61BB8" w:rsidP="00D61BB8">
      <w:pPr>
        <w:spacing w:after="0"/>
        <w:jc w:val="both"/>
        <w:rPr>
          <w:rFonts w:ascii="Arial" w:hAnsi="Arial" w:cs="Arial"/>
          <w:sz w:val="24"/>
          <w:szCs w:val="24"/>
        </w:rPr>
      </w:pPr>
      <w:r w:rsidRPr="00696906">
        <w:rPr>
          <w:rFonts w:ascii="Arial" w:hAnsi="Arial" w:cs="Arial"/>
          <w:sz w:val="24"/>
          <w:szCs w:val="24"/>
        </w:rPr>
        <w:t>NBHDL can confirm in a subsequent future application to seek disposition of accounts 1588 and 1589, it will include a description of its settlement process and how they address the guidance provided by the OEB on February 21, 2019.</w:t>
      </w:r>
    </w:p>
    <w:p w14:paraId="65083796" w14:textId="77777777" w:rsidR="00D61BB8" w:rsidRPr="00696906" w:rsidRDefault="00D61BB8" w:rsidP="00D61BB8">
      <w:pPr>
        <w:spacing w:after="0"/>
        <w:rPr>
          <w:rFonts w:ascii="Arial" w:hAnsi="Arial" w:cs="Arial"/>
          <w:sz w:val="24"/>
          <w:szCs w:val="24"/>
        </w:rPr>
      </w:pPr>
    </w:p>
    <w:p w14:paraId="7AB593B5" w14:textId="77777777" w:rsidR="00D61BB8" w:rsidRPr="00696906" w:rsidRDefault="00D61BB8" w:rsidP="00D61BB8">
      <w:pPr>
        <w:spacing w:after="0"/>
        <w:rPr>
          <w:rFonts w:ascii="Arial" w:hAnsi="Arial" w:cs="Arial"/>
          <w:sz w:val="24"/>
          <w:szCs w:val="24"/>
        </w:rPr>
      </w:pPr>
    </w:p>
    <w:p w14:paraId="177C619F" w14:textId="2770F745" w:rsidR="008970F1" w:rsidRPr="00696906" w:rsidRDefault="006F33B0" w:rsidP="008970F1">
      <w:pPr>
        <w:spacing w:after="0"/>
        <w:rPr>
          <w:rFonts w:ascii="Arial" w:hAnsi="Arial" w:cs="Arial"/>
          <w:b/>
          <w:sz w:val="24"/>
          <w:szCs w:val="24"/>
        </w:rPr>
      </w:pPr>
      <w:r w:rsidRPr="00696906">
        <w:rPr>
          <w:rFonts w:ascii="Arial" w:hAnsi="Arial" w:cs="Arial"/>
          <w:b/>
          <w:sz w:val="24"/>
          <w:szCs w:val="24"/>
        </w:rPr>
        <w:t>Staff Question-6</w:t>
      </w:r>
    </w:p>
    <w:p w14:paraId="0656CD96" w14:textId="7503DC91" w:rsidR="008970F1" w:rsidRPr="00696906" w:rsidRDefault="006F33B0" w:rsidP="006F33B0">
      <w:pPr>
        <w:spacing w:after="0"/>
        <w:rPr>
          <w:rFonts w:ascii="Arial" w:hAnsi="Arial" w:cs="Arial"/>
          <w:b/>
          <w:sz w:val="24"/>
          <w:szCs w:val="24"/>
        </w:rPr>
      </w:pPr>
      <w:r w:rsidRPr="00696906">
        <w:rPr>
          <w:rFonts w:ascii="Arial" w:hAnsi="Arial" w:cs="Arial"/>
          <w:b/>
          <w:sz w:val="24"/>
          <w:szCs w:val="24"/>
        </w:rPr>
        <w:t>Ref 1:</w:t>
      </w:r>
      <w:r w:rsidR="008970F1" w:rsidRPr="00696906">
        <w:rPr>
          <w:rFonts w:ascii="Arial" w:hAnsi="Arial" w:cs="Arial"/>
          <w:b/>
          <w:sz w:val="24"/>
          <w:szCs w:val="24"/>
        </w:rPr>
        <w:t xml:space="preserve"> </w:t>
      </w:r>
      <w:r w:rsidRPr="00696906">
        <w:rPr>
          <w:rFonts w:ascii="Arial" w:hAnsi="Arial" w:cs="Arial"/>
          <w:b/>
          <w:sz w:val="24"/>
          <w:szCs w:val="24"/>
        </w:rPr>
        <w:t>EB-2019-0057, Manager’s Summary, P</w:t>
      </w:r>
      <w:r w:rsidR="008970F1" w:rsidRPr="00696906">
        <w:rPr>
          <w:rFonts w:ascii="Arial" w:hAnsi="Arial" w:cs="Arial"/>
          <w:b/>
          <w:sz w:val="24"/>
          <w:szCs w:val="24"/>
        </w:rPr>
        <w:t>age 9</w:t>
      </w:r>
    </w:p>
    <w:p w14:paraId="4B19AAF0" w14:textId="2466CB53" w:rsidR="008970F1" w:rsidRPr="00696906" w:rsidRDefault="006F33B0" w:rsidP="00750C77">
      <w:pPr>
        <w:spacing w:after="0"/>
        <w:rPr>
          <w:rFonts w:ascii="Arial" w:hAnsi="Arial" w:cs="Arial"/>
          <w:b/>
          <w:sz w:val="24"/>
          <w:szCs w:val="24"/>
        </w:rPr>
      </w:pPr>
      <w:r w:rsidRPr="00696906">
        <w:rPr>
          <w:rFonts w:ascii="Arial" w:hAnsi="Arial" w:cs="Arial"/>
          <w:b/>
          <w:sz w:val="24"/>
          <w:szCs w:val="24"/>
        </w:rPr>
        <w:lastRenderedPageBreak/>
        <w:t xml:space="preserve">Ref 2: </w:t>
      </w:r>
      <w:r w:rsidR="008970F1" w:rsidRPr="00696906">
        <w:rPr>
          <w:rFonts w:ascii="Arial" w:hAnsi="Arial" w:cs="Arial"/>
          <w:b/>
          <w:sz w:val="24"/>
          <w:szCs w:val="24"/>
        </w:rPr>
        <w:t>EB-2018-0057, 2019 IRM Decision a</w:t>
      </w:r>
      <w:r w:rsidRPr="00696906">
        <w:rPr>
          <w:rFonts w:ascii="Arial" w:hAnsi="Arial" w:cs="Arial"/>
          <w:b/>
          <w:sz w:val="24"/>
          <w:szCs w:val="24"/>
        </w:rPr>
        <w:t>nd Rate Order, March 28, 2019, Pages 6-</w:t>
      </w:r>
      <w:r w:rsidR="008970F1" w:rsidRPr="00696906">
        <w:rPr>
          <w:rFonts w:ascii="Arial" w:hAnsi="Arial" w:cs="Arial"/>
          <w:b/>
          <w:sz w:val="24"/>
          <w:szCs w:val="24"/>
        </w:rPr>
        <w:t>7</w:t>
      </w:r>
    </w:p>
    <w:p w14:paraId="32BFA2EA" w14:textId="0C6D7EAD" w:rsidR="008970F1" w:rsidRPr="00696906" w:rsidRDefault="006F33B0" w:rsidP="008970F1">
      <w:pPr>
        <w:spacing w:after="0"/>
        <w:ind w:left="720" w:hanging="720"/>
        <w:rPr>
          <w:rFonts w:ascii="Arial" w:hAnsi="Arial" w:cs="Arial"/>
          <w:b/>
          <w:sz w:val="24"/>
          <w:szCs w:val="24"/>
        </w:rPr>
      </w:pPr>
      <w:r w:rsidRPr="00696906">
        <w:rPr>
          <w:rFonts w:ascii="Arial" w:hAnsi="Arial" w:cs="Arial"/>
          <w:b/>
          <w:sz w:val="24"/>
          <w:szCs w:val="24"/>
        </w:rPr>
        <w:t xml:space="preserve">Ref 3: </w:t>
      </w:r>
      <w:r w:rsidR="008970F1" w:rsidRPr="00696906">
        <w:rPr>
          <w:rFonts w:ascii="Arial" w:hAnsi="Arial" w:cs="Arial"/>
          <w:b/>
          <w:sz w:val="24"/>
          <w:szCs w:val="24"/>
        </w:rPr>
        <w:t xml:space="preserve">Addendum to Filing Requirements </w:t>
      </w:r>
      <w:r w:rsidRPr="00696906">
        <w:rPr>
          <w:rFonts w:ascii="Arial" w:hAnsi="Arial" w:cs="Arial"/>
          <w:b/>
          <w:sz w:val="24"/>
          <w:szCs w:val="24"/>
        </w:rPr>
        <w:t xml:space="preserve">for Electricity Distribution Rate </w:t>
      </w:r>
      <w:r w:rsidR="008970F1" w:rsidRPr="00696906">
        <w:rPr>
          <w:rFonts w:ascii="Arial" w:hAnsi="Arial" w:cs="Arial"/>
          <w:b/>
          <w:sz w:val="24"/>
          <w:szCs w:val="24"/>
        </w:rPr>
        <w:t xml:space="preserve">Applications - 2020 Rate Applications, dated </w:t>
      </w:r>
      <w:r w:rsidRPr="00696906">
        <w:rPr>
          <w:rFonts w:ascii="Arial" w:hAnsi="Arial" w:cs="Arial"/>
          <w:b/>
          <w:sz w:val="24"/>
          <w:szCs w:val="24"/>
        </w:rPr>
        <w:t>July 15, 2019, Pages 12-</w:t>
      </w:r>
      <w:r w:rsidR="008970F1" w:rsidRPr="00696906">
        <w:rPr>
          <w:rFonts w:ascii="Arial" w:hAnsi="Arial" w:cs="Arial"/>
          <w:b/>
          <w:sz w:val="24"/>
          <w:szCs w:val="24"/>
        </w:rPr>
        <w:t>13</w:t>
      </w:r>
    </w:p>
    <w:p w14:paraId="3CBFFDCC" w14:textId="5CB260DB" w:rsidR="008970F1" w:rsidRPr="00696906" w:rsidRDefault="008970F1" w:rsidP="00750C77">
      <w:pPr>
        <w:spacing w:after="0"/>
        <w:ind w:left="720" w:hanging="720"/>
        <w:rPr>
          <w:rFonts w:ascii="Arial" w:hAnsi="Arial" w:cs="Arial"/>
          <w:sz w:val="24"/>
          <w:szCs w:val="24"/>
        </w:rPr>
      </w:pPr>
    </w:p>
    <w:p w14:paraId="2C786283" w14:textId="77777777" w:rsidR="008970F1" w:rsidRPr="00696906" w:rsidRDefault="008970F1" w:rsidP="008970F1">
      <w:pPr>
        <w:spacing w:after="0"/>
        <w:rPr>
          <w:rFonts w:ascii="Arial" w:hAnsi="Arial" w:cs="Arial"/>
          <w:sz w:val="24"/>
          <w:szCs w:val="24"/>
        </w:rPr>
      </w:pPr>
      <w:r w:rsidRPr="00696906">
        <w:rPr>
          <w:rFonts w:ascii="Arial" w:hAnsi="Arial" w:cs="Arial"/>
          <w:sz w:val="24"/>
          <w:szCs w:val="24"/>
        </w:rPr>
        <w:t>At the above noted first reference, North Bay Hydro stated the following:</w:t>
      </w:r>
    </w:p>
    <w:p w14:paraId="2168088B" w14:textId="77777777" w:rsidR="008970F1" w:rsidRPr="00696906" w:rsidRDefault="008970F1" w:rsidP="008970F1">
      <w:pPr>
        <w:spacing w:after="0"/>
        <w:rPr>
          <w:rFonts w:ascii="Arial" w:hAnsi="Arial" w:cs="Arial"/>
          <w:sz w:val="24"/>
          <w:szCs w:val="24"/>
        </w:rPr>
      </w:pPr>
    </w:p>
    <w:p w14:paraId="2F1C84E1" w14:textId="77777777" w:rsidR="008970F1" w:rsidRPr="00696906" w:rsidRDefault="008970F1" w:rsidP="008970F1">
      <w:pPr>
        <w:spacing w:after="0"/>
        <w:ind w:left="720"/>
        <w:rPr>
          <w:rFonts w:ascii="Arial" w:hAnsi="Arial" w:cs="Arial"/>
          <w:sz w:val="24"/>
          <w:szCs w:val="24"/>
        </w:rPr>
      </w:pPr>
      <w:r w:rsidRPr="00696906">
        <w:rPr>
          <w:rFonts w:ascii="Arial" w:hAnsi="Arial" w:cs="Arial"/>
          <w:sz w:val="24"/>
          <w:szCs w:val="24"/>
        </w:rPr>
        <w:t xml:space="preserve">Effective May 23, 2017, per the OEB’s letter titled </w:t>
      </w:r>
      <w:r w:rsidRPr="00696906">
        <w:rPr>
          <w:rFonts w:ascii="Arial" w:hAnsi="Arial" w:cs="Arial"/>
          <w:i/>
          <w:sz w:val="24"/>
          <w:szCs w:val="24"/>
        </w:rPr>
        <w:t>Guidance on Disposition of Accounts 1588 and 1589</w:t>
      </w:r>
      <w:r w:rsidRPr="00696906">
        <w:rPr>
          <w:rFonts w:ascii="Arial" w:hAnsi="Arial" w:cs="Arial"/>
          <w:sz w:val="24"/>
          <w:szCs w:val="24"/>
        </w:rPr>
        <w:t>, applicants must reflect RPP Settlement true-up claims pertaining to the period that is being requested for disposition in the RSVA Power (Account 1588) and RSVA GA (Account 1589) variance accounts. For the 2018 fiscal period, NBHDL incorporated the January 2019 settlement reconciliation (completed Feb 2019) into the standard year-end process. These reconciliations of 2018 billing data were then reflected in the 2018 audited balances through standard accrual accounting. The 2018 true-up reflected in the 2018 balances for accounts 1588 and 1589 were $57,537 and ($292,057) respectively.</w:t>
      </w:r>
    </w:p>
    <w:p w14:paraId="6857B3DF" w14:textId="30628AFB" w:rsidR="008970F1" w:rsidRPr="00696906" w:rsidRDefault="008970F1" w:rsidP="008970F1">
      <w:pPr>
        <w:spacing w:after="0"/>
        <w:rPr>
          <w:rFonts w:ascii="Arial" w:hAnsi="Arial" w:cs="Arial"/>
          <w:sz w:val="24"/>
          <w:szCs w:val="24"/>
        </w:rPr>
      </w:pPr>
    </w:p>
    <w:p w14:paraId="079C5C0A" w14:textId="77777777" w:rsidR="008970F1" w:rsidRPr="00696906" w:rsidRDefault="008970F1" w:rsidP="008970F1">
      <w:pPr>
        <w:spacing w:after="0"/>
        <w:rPr>
          <w:rFonts w:ascii="Arial" w:hAnsi="Arial" w:cs="Arial"/>
          <w:sz w:val="24"/>
          <w:szCs w:val="24"/>
        </w:rPr>
      </w:pPr>
      <w:r w:rsidRPr="00696906">
        <w:rPr>
          <w:rFonts w:ascii="Arial" w:hAnsi="Arial" w:cs="Arial"/>
          <w:sz w:val="24"/>
          <w:szCs w:val="24"/>
        </w:rPr>
        <w:t>At the above noted second reference, the OEB stated the following:</w:t>
      </w:r>
    </w:p>
    <w:p w14:paraId="14839FF0" w14:textId="77777777" w:rsidR="008970F1" w:rsidRPr="00696906" w:rsidRDefault="008970F1" w:rsidP="008970F1">
      <w:pPr>
        <w:spacing w:after="0"/>
        <w:rPr>
          <w:rFonts w:ascii="Arial" w:hAnsi="Arial" w:cs="Arial"/>
          <w:sz w:val="24"/>
          <w:szCs w:val="24"/>
        </w:rPr>
      </w:pPr>
    </w:p>
    <w:p w14:paraId="189B656D" w14:textId="77777777" w:rsidR="008970F1" w:rsidRPr="00696906" w:rsidRDefault="008970F1" w:rsidP="008970F1">
      <w:pPr>
        <w:spacing w:after="0"/>
        <w:ind w:left="720"/>
        <w:rPr>
          <w:rFonts w:ascii="Arial" w:hAnsi="Arial" w:cs="Arial"/>
          <w:sz w:val="24"/>
          <w:szCs w:val="24"/>
        </w:rPr>
      </w:pPr>
      <w:r w:rsidRPr="00696906">
        <w:rPr>
          <w:rFonts w:ascii="Arial" w:hAnsi="Arial" w:cs="Arial"/>
          <w:sz w:val="24"/>
          <w:szCs w:val="24"/>
        </w:rPr>
        <w:t>…The OEB expects North Bay Hydro to utilize the OEB’s recently issued accounting guidance related to Accounts 1588 RSVA Power and 1589 RSVA Global Adjustment and apply this guidance to its 2017 transactions…</w:t>
      </w:r>
    </w:p>
    <w:p w14:paraId="1C8EB2A8" w14:textId="77777777" w:rsidR="008970F1" w:rsidRPr="00696906" w:rsidRDefault="008970F1" w:rsidP="008970F1">
      <w:pPr>
        <w:spacing w:after="0"/>
        <w:rPr>
          <w:rFonts w:ascii="Arial" w:hAnsi="Arial" w:cs="Arial"/>
          <w:sz w:val="24"/>
          <w:szCs w:val="24"/>
        </w:rPr>
      </w:pPr>
    </w:p>
    <w:p w14:paraId="2968A961" w14:textId="77777777" w:rsidR="008970F1" w:rsidRPr="00696906" w:rsidRDefault="008970F1" w:rsidP="008970F1">
      <w:pPr>
        <w:spacing w:after="0"/>
        <w:rPr>
          <w:rFonts w:ascii="Arial" w:hAnsi="Arial" w:cs="Arial"/>
          <w:sz w:val="24"/>
          <w:szCs w:val="24"/>
        </w:rPr>
      </w:pPr>
      <w:r w:rsidRPr="00696906">
        <w:rPr>
          <w:rFonts w:ascii="Arial" w:hAnsi="Arial" w:cs="Arial"/>
          <w:sz w:val="24"/>
          <w:szCs w:val="24"/>
        </w:rPr>
        <w:t>At the above noted third reference, the OEB stated the following regarding the expectations for final disposition requests of commodity pass-through account balances:</w:t>
      </w:r>
    </w:p>
    <w:p w14:paraId="2F36B99E" w14:textId="77777777" w:rsidR="008970F1" w:rsidRPr="00696906" w:rsidRDefault="008970F1" w:rsidP="008970F1">
      <w:pPr>
        <w:spacing w:after="0"/>
        <w:rPr>
          <w:rFonts w:ascii="Arial" w:hAnsi="Arial" w:cs="Arial"/>
          <w:sz w:val="24"/>
          <w:szCs w:val="24"/>
        </w:rPr>
      </w:pPr>
    </w:p>
    <w:p w14:paraId="616493AD" w14:textId="352B85E0" w:rsidR="008970F1" w:rsidRPr="00696906" w:rsidRDefault="008970F1" w:rsidP="006F33B0">
      <w:pPr>
        <w:autoSpaceDE w:val="0"/>
        <w:autoSpaceDN w:val="0"/>
        <w:adjustRightInd w:val="0"/>
        <w:spacing w:after="0"/>
        <w:ind w:left="720"/>
        <w:rPr>
          <w:rFonts w:ascii="Arial" w:hAnsi="Arial" w:cs="Arial"/>
          <w:sz w:val="24"/>
          <w:szCs w:val="24"/>
          <w:lang w:val="en-US"/>
        </w:rPr>
      </w:pPr>
      <w:r w:rsidRPr="00696906">
        <w:rPr>
          <w:rFonts w:ascii="Arial" w:hAnsi="Arial" w:cs="Arial"/>
          <w:sz w:val="24"/>
          <w:szCs w:val="24"/>
          <w:lang w:val="en-US"/>
        </w:rPr>
        <w:t xml:space="preserve">Utilities that did not receive approval for disposition of historical account balances due to concerns noted should apply the accounting guidance to those balances as well as the 2018 balance and adjust the balances as necessary, prior to requesting final disposition. </w:t>
      </w:r>
    </w:p>
    <w:p w14:paraId="384FC4CD" w14:textId="77777777" w:rsidR="00750C77" w:rsidRPr="00696906" w:rsidRDefault="00750C77" w:rsidP="008970F1">
      <w:pPr>
        <w:spacing w:after="0"/>
        <w:rPr>
          <w:rFonts w:ascii="Arial" w:hAnsi="Arial" w:cs="Arial"/>
          <w:sz w:val="24"/>
          <w:szCs w:val="24"/>
        </w:rPr>
      </w:pPr>
    </w:p>
    <w:p w14:paraId="6A824CDB" w14:textId="615295F5" w:rsidR="008970F1" w:rsidRPr="00696906" w:rsidRDefault="008970F1" w:rsidP="008970F1">
      <w:pPr>
        <w:spacing w:after="0"/>
        <w:rPr>
          <w:rFonts w:ascii="Arial" w:hAnsi="Arial" w:cs="Arial"/>
          <w:sz w:val="24"/>
          <w:szCs w:val="24"/>
        </w:rPr>
      </w:pPr>
      <w:r w:rsidRPr="00696906">
        <w:rPr>
          <w:rFonts w:ascii="Arial" w:hAnsi="Arial" w:cs="Arial"/>
          <w:sz w:val="24"/>
          <w:szCs w:val="24"/>
        </w:rPr>
        <w:t>2017 balances were not approved for clearance in North Bay Hydro’s 2019 proceeding</w:t>
      </w:r>
      <w:r w:rsidRPr="00696906">
        <w:rPr>
          <w:rStyle w:val="FootnoteReference"/>
          <w:rFonts w:ascii="Arial" w:hAnsi="Arial" w:cs="Arial"/>
          <w:sz w:val="24"/>
          <w:szCs w:val="24"/>
        </w:rPr>
        <w:footnoteReference w:id="1"/>
      </w:r>
      <w:r w:rsidRPr="00696906">
        <w:rPr>
          <w:rFonts w:ascii="Arial" w:hAnsi="Arial" w:cs="Arial"/>
          <w:sz w:val="24"/>
          <w:szCs w:val="24"/>
        </w:rPr>
        <w:t xml:space="preserve"> as the disposition threshold was not met and concerns were also noted by the OEB.</w:t>
      </w:r>
      <w:r w:rsidRPr="00696906">
        <w:rPr>
          <w:rStyle w:val="FootnoteReference"/>
          <w:rFonts w:ascii="Arial" w:hAnsi="Arial" w:cs="Arial"/>
          <w:sz w:val="24"/>
          <w:szCs w:val="24"/>
        </w:rPr>
        <w:footnoteReference w:id="2"/>
      </w:r>
      <w:r w:rsidRPr="00696906">
        <w:rPr>
          <w:rFonts w:ascii="Arial" w:hAnsi="Arial" w:cs="Arial"/>
          <w:sz w:val="24"/>
          <w:szCs w:val="24"/>
        </w:rPr>
        <w:t xml:space="preserve"> The most recent year in which Accounts 1588 and 1589 balances were approved for disposition on a final basis related to 2016 balances in North Bay Hydro’s 2018 proceeding.</w:t>
      </w:r>
      <w:r w:rsidRPr="00696906">
        <w:rPr>
          <w:rStyle w:val="FootnoteReference"/>
          <w:rFonts w:ascii="Arial" w:hAnsi="Arial" w:cs="Arial"/>
          <w:sz w:val="24"/>
          <w:szCs w:val="24"/>
        </w:rPr>
        <w:footnoteReference w:id="3"/>
      </w:r>
    </w:p>
    <w:p w14:paraId="23CB54D0" w14:textId="77777777" w:rsidR="008970F1" w:rsidRPr="00696906" w:rsidRDefault="008970F1" w:rsidP="008970F1">
      <w:pPr>
        <w:spacing w:after="0"/>
        <w:rPr>
          <w:rFonts w:ascii="Arial" w:hAnsi="Arial" w:cs="Arial"/>
          <w:sz w:val="24"/>
          <w:szCs w:val="24"/>
        </w:rPr>
      </w:pPr>
    </w:p>
    <w:p w14:paraId="485B64E3" w14:textId="3DA61A5D" w:rsidR="008970F1" w:rsidRPr="00696906" w:rsidRDefault="008970F1" w:rsidP="006F33B0">
      <w:pPr>
        <w:pStyle w:val="ListParagraph"/>
        <w:numPr>
          <w:ilvl w:val="0"/>
          <w:numId w:val="46"/>
        </w:numPr>
        <w:spacing w:after="0"/>
        <w:rPr>
          <w:rFonts w:ascii="Arial" w:hAnsi="Arial" w:cs="Arial"/>
          <w:sz w:val="24"/>
          <w:szCs w:val="24"/>
        </w:rPr>
      </w:pPr>
      <w:r w:rsidRPr="00696906">
        <w:rPr>
          <w:rFonts w:ascii="Arial" w:hAnsi="Arial" w:cs="Arial"/>
          <w:sz w:val="24"/>
          <w:szCs w:val="24"/>
        </w:rPr>
        <w:lastRenderedPageBreak/>
        <w:t>Please confirm that as the OEB had concerns with historical account balances, North Bay Hydro will apply the new accounting guidance to 2017, 2018, 2019, and forward balances and adjust the balances as necessary, prior to requesting final disposition in a future application.</w:t>
      </w:r>
    </w:p>
    <w:p w14:paraId="284E381B" w14:textId="0D39939D" w:rsidR="00D61BB8" w:rsidRPr="00696906" w:rsidRDefault="00D61BB8" w:rsidP="00D61BB8">
      <w:pPr>
        <w:spacing w:after="0"/>
        <w:rPr>
          <w:rFonts w:ascii="Arial" w:hAnsi="Arial" w:cs="Arial"/>
          <w:sz w:val="24"/>
          <w:szCs w:val="24"/>
        </w:rPr>
      </w:pPr>
    </w:p>
    <w:p w14:paraId="4FE00607" w14:textId="77777777" w:rsidR="00D61BB8" w:rsidRPr="00696906" w:rsidRDefault="00D61BB8" w:rsidP="00D61BB8">
      <w:pPr>
        <w:spacing w:after="0"/>
        <w:jc w:val="both"/>
        <w:rPr>
          <w:rFonts w:ascii="Arial" w:hAnsi="Arial" w:cs="Arial"/>
          <w:b/>
          <w:bCs/>
          <w:sz w:val="24"/>
          <w:szCs w:val="24"/>
          <w:u w:val="single"/>
        </w:rPr>
      </w:pPr>
      <w:r w:rsidRPr="00696906">
        <w:rPr>
          <w:rFonts w:ascii="Arial" w:hAnsi="Arial" w:cs="Arial"/>
          <w:b/>
          <w:bCs/>
          <w:sz w:val="24"/>
          <w:szCs w:val="24"/>
          <w:u w:val="single"/>
        </w:rPr>
        <w:t>Response</w:t>
      </w:r>
    </w:p>
    <w:p w14:paraId="6054247D" w14:textId="77777777" w:rsidR="00D61BB8" w:rsidRPr="00696906" w:rsidRDefault="00D61BB8" w:rsidP="00D61BB8">
      <w:pPr>
        <w:spacing w:after="0"/>
        <w:jc w:val="both"/>
        <w:rPr>
          <w:rFonts w:ascii="Arial" w:hAnsi="Arial" w:cs="Arial"/>
          <w:b/>
          <w:bCs/>
          <w:sz w:val="24"/>
          <w:szCs w:val="24"/>
          <w:u w:val="single"/>
        </w:rPr>
      </w:pPr>
    </w:p>
    <w:p w14:paraId="1708C979" w14:textId="437C8BB8" w:rsidR="00D61BB8" w:rsidRPr="00696906" w:rsidRDefault="00D61BB8" w:rsidP="00D61BB8">
      <w:pPr>
        <w:spacing w:after="0"/>
        <w:jc w:val="both"/>
        <w:rPr>
          <w:rFonts w:ascii="Arial" w:hAnsi="Arial" w:cs="Arial"/>
          <w:sz w:val="24"/>
          <w:szCs w:val="24"/>
        </w:rPr>
      </w:pPr>
      <w:r w:rsidRPr="00696906">
        <w:rPr>
          <w:rFonts w:ascii="Arial" w:hAnsi="Arial" w:cs="Arial"/>
          <w:sz w:val="24"/>
          <w:szCs w:val="24"/>
        </w:rPr>
        <w:t>NBHDL confirms that at the OEB’s request, it will apply the new accounting guidance to fiscal years 2017, 2018 and 2019 prior to seeking final disposition.</w:t>
      </w:r>
    </w:p>
    <w:p w14:paraId="74E0B24B" w14:textId="77777777" w:rsidR="00D61BB8" w:rsidRPr="00696906" w:rsidRDefault="00D61BB8" w:rsidP="00D61BB8">
      <w:pPr>
        <w:spacing w:after="0"/>
        <w:rPr>
          <w:rFonts w:ascii="Arial" w:hAnsi="Arial" w:cs="Arial"/>
          <w:sz w:val="24"/>
          <w:szCs w:val="24"/>
        </w:rPr>
      </w:pPr>
    </w:p>
    <w:p w14:paraId="55D0BEB0" w14:textId="7073041F" w:rsidR="008970F1" w:rsidRPr="00696906" w:rsidRDefault="008970F1" w:rsidP="008970F1">
      <w:pPr>
        <w:spacing w:after="0"/>
        <w:rPr>
          <w:rFonts w:ascii="Arial" w:hAnsi="Arial" w:cs="Arial"/>
          <w:sz w:val="24"/>
          <w:szCs w:val="24"/>
        </w:rPr>
      </w:pPr>
    </w:p>
    <w:p w14:paraId="44303CEE" w14:textId="0BA42371" w:rsidR="008970F1" w:rsidRPr="00696906" w:rsidRDefault="006F33B0" w:rsidP="008970F1">
      <w:pPr>
        <w:spacing w:after="0"/>
        <w:rPr>
          <w:rFonts w:ascii="Arial" w:hAnsi="Arial" w:cs="Arial"/>
          <w:b/>
          <w:sz w:val="24"/>
          <w:szCs w:val="24"/>
        </w:rPr>
      </w:pPr>
      <w:r w:rsidRPr="00696906">
        <w:rPr>
          <w:rFonts w:ascii="Arial" w:hAnsi="Arial" w:cs="Arial"/>
          <w:b/>
          <w:sz w:val="24"/>
          <w:szCs w:val="24"/>
        </w:rPr>
        <w:t>Staff Question-7</w:t>
      </w:r>
    </w:p>
    <w:p w14:paraId="18D1D347" w14:textId="0F16FD0D" w:rsidR="008970F1" w:rsidRPr="00696906" w:rsidRDefault="008970F1" w:rsidP="006F33B0">
      <w:pPr>
        <w:spacing w:after="0"/>
        <w:rPr>
          <w:rFonts w:ascii="Arial" w:hAnsi="Arial" w:cs="Arial"/>
          <w:b/>
          <w:sz w:val="24"/>
          <w:szCs w:val="24"/>
        </w:rPr>
      </w:pPr>
      <w:r w:rsidRPr="00696906">
        <w:rPr>
          <w:rFonts w:ascii="Arial" w:hAnsi="Arial" w:cs="Arial"/>
          <w:b/>
          <w:sz w:val="24"/>
          <w:szCs w:val="24"/>
        </w:rPr>
        <w:t>Ref</w:t>
      </w:r>
      <w:r w:rsidR="006F33B0" w:rsidRPr="00696906">
        <w:rPr>
          <w:rFonts w:ascii="Arial" w:hAnsi="Arial" w:cs="Arial"/>
          <w:b/>
          <w:sz w:val="24"/>
          <w:szCs w:val="24"/>
        </w:rPr>
        <w:t xml:space="preserve"> 1:</w:t>
      </w:r>
      <w:r w:rsidR="006F33B0" w:rsidRPr="00696906">
        <w:rPr>
          <w:rFonts w:ascii="Arial" w:hAnsi="Arial" w:cs="Arial"/>
          <w:b/>
          <w:sz w:val="24"/>
          <w:szCs w:val="24"/>
        </w:rPr>
        <w:tab/>
      </w:r>
      <w:r w:rsidRPr="00696906">
        <w:rPr>
          <w:rFonts w:ascii="Arial" w:hAnsi="Arial" w:cs="Arial"/>
          <w:b/>
          <w:sz w:val="24"/>
          <w:szCs w:val="24"/>
        </w:rPr>
        <w:t xml:space="preserve">Addendum to Filing Requirements </w:t>
      </w:r>
      <w:r w:rsidR="006F33B0" w:rsidRPr="00696906">
        <w:rPr>
          <w:rFonts w:ascii="Arial" w:hAnsi="Arial" w:cs="Arial"/>
          <w:b/>
          <w:sz w:val="24"/>
          <w:szCs w:val="24"/>
        </w:rPr>
        <w:t>for</w:t>
      </w:r>
      <w:r w:rsidRPr="00696906">
        <w:rPr>
          <w:rFonts w:ascii="Arial" w:hAnsi="Arial" w:cs="Arial"/>
          <w:b/>
          <w:sz w:val="24"/>
          <w:szCs w:val="24"/>
        </w:rPr>
        <w:t xml:space="preserve"> Electricity Distribution Rate Applications - 2020 Rate Appl</w:t>
      </w:r>
      <w:r w:rsidR="006F33B0" w:rsidRPr="00696906">
        <w:rPr>
          <w:rFonts w:ascii="Arial" w:hAnsi="Arial" w:cs="Arial"/>
          <w:b/>
          <w:sz w:val="24"/>
          <w:szCs w:val="24"/>
        </w:rPr>
        <w:t>ications, dated July 15, 2019, P</w:t>
      </w:r>
      <w:r w:rsidRPr="00696906">
        <w:rPr>
          <w:rFonts w:ascii="Arial" w:hAnsi="Arial" w:cs="Arial"/>
          <w:b/>
          <w:sz w:val="24"/>
          <w:szCs w:val="24"/>
        </w:rPr>
        <w:t>age 12</w:t>
      </w:r>
    </w:p>
    <w:p w14:paraId="44A30AC8" w14:textId="6355CCDE" w:rsidR="008970F1" w:rsidRPr="00696906" w:rsidRDefault="006F33B0" w:rsidP="008970F1">
      <w:pPr>
        <w:spacing w:after="0"/>
        <w:ind w:left="720" w:hanging="720"/>
        <w:rPr>
          <w:rFonts w:ascii="Arial" w:hAnsi="Arial" w:cs="Arial"/>
          <w:b/>
          <w:sz w:val="24"/>
          <w:szCs w:val="24"/>
        </w:rPr>
      </w:pPr>
      <w:r w:rsidRPr="00696906">
        <w:rPr>
          <w:rFonts w:ascii="Arial" w:hAnsi="Arial" w:cs="Arial"/>
          <w:b/>
          <w:sz w:val="24"/>
          <w:szCs w:val="24"/>
        </w:rPr>
        <w:t>Ref 2: EB-2019-0057, Manager’s Summary, P</w:t>
      </w:r>
      <w:r w:rsidR="008970F1" w:rsidRPr="00696906">
        <w:rPr>
          <w:rFonts w:ascii="Arial" w:hAnsi="Arial" w:cs="Arial"/>
          <w:b/>
          <w:sz w:val="24"/>
          <w:szCs w:val="24"/>
        </w:rPr>
        <w:t>age</w:t>
      </w:r>
      <w:r w:rsidRPr="00696906">
        <w:rPr>
          <w:rFonts w:ascii="Arial" w:hAnsi="Arial" w:cs="Arial"/>
          <w:b/>
          <w:sz w:val="24"/>
          <w:szCs w:val="24"/>
        </w:rPr>
        <w:t>s 9-1</w:t>
      </w:r>
      <w:r w:rsidR="008970F1" w:rsidRPr="00696906">
        <w:rPr>
          <w:rFonts w:ascii="Arial" w:hAnsi="Arial" w:cs="Arial"/>
          <w:b/>
          <w:sz w:val="24"/>
          <w:szCs w:val="24"/>
        </w:rPr>
        <w:t>0</w:t>
      </w:r>
    </w:p>
    <w:p w14:paraId="79A96CCE" w14:textId="27E13171" w:rsidR="008970F1" w:rsidRPr="00696906" w:rsidRDefault="008970F1" w:rsidP="008970F1">
      <w:pPr>
        <w:spacing w:after="0"/>
        <w:rPr>
          <w:rFonts w:ascii="Arial" w:hAnsi="Arial" w:cs="Arial"/>
          <w:sz w:val="24"/>
          <w:szCs w:val="24"/>
        </w:rPr>
      </w:pPr>
    </w:p>
    <w:p w14:paraId="73C026A6" w14:textId="77777777" w:rsidR="008970F1" w:rsidRPr="00696906" w:rsidRDefault="008970F1" w:rsidP="008970F1">
      <w:pPr>
        <w:spacing w:after="0"/>
        <w:rPr>
          <w:rFonts w:ascii="Arial" w:hAnsi="Arial" w:cs="Arial"/>
          <w:sz w:val="24"/>
          <w:szCs w:val="24"/>
        </w:rPr>
      </w:pPr>
      <w:r w:rsidRPr="00696906">
        <w:rPr>
          <w:rFonts w:ascii="Arial" w:hAnsi="Arial" w:cs="Arial"/>
          <w:sz w:val="24"/>
          <w:szCs w:val="24"/>
        </w:rPr>
        <w:t>At the above noted first reference, the OEB stated the following:</w:t>
      </w:r>
    </w:p>
    <w:p w14:paraId="2D97AC69" w14:textId="77777777" w:rsidR="008970F1" w:rsidRPr="00696906" w:rsidRDefault="008970F1" w:rsidP="008970F1">
      <w:pPr>
        <w:spacing w:after="0"/>
        <w:rPr>
          <w:rFonts w:ascii="Arial" w:hAnsi="Arial" w:cs="Arial"/>
          <w:sz w:val="24"/>
          <w:szCs w:val="24"/>
        </w:rPr>
      </w:pPr>
    </w:p>
    <w:p w14:paraId="2EBE0699" w14:textId="77777777" w:rsidR="008970F1" w:rsidRPr="00696906" w:rsidRDefault="008970F1" w:rsidP="008970F1">
      <w:pPr>
        <w:spacing w:after="0"/>
        <w:ind w:left="720"/>
        <w:rPr>
          <w:rFonts w:ascii="Arial" w:hAnsi="Arial" w:cs="Arial"/>
          <w:sz w:val="24"/>
          <w:szCs w:val="24"/>
        </w:rPr>
      </w:pPr>
      <w:r w:rsidRPr="00696906">
        <w:rPr>
          <w:rFonts w:ascii="Arial" w:hAnsi="Arial" w:cs="Arial"/>
          <w:sz w:val="24"/>
          <w:szCs w:val="24"/>
        </w:rPr>
        <w:t>The accounting guidance is effective January 1, 2019 and is to be implemented by August 31, 2019. Distributors are expected to consider the accounting guidance in the context of historical balances that have yet to be disposed on a final basis (including the 2018 balances that may be requested for disposition in this rate application). In this application, distributors are to provide a status update on the implementation of the new accounting guidance, a review of historical balances, results of the review, and any adjustments made to account balances.</w:t>
      </w:r>
    </w:p>
    <w:p w14:paraId="4B0FD5E0" w14:textId="77777777" w:rsidR="008970F1" w:rsidRPr="00696906" w:rsidRDefault="008970F1" w:rsidP="008970F1">
      <w:pPr>
        <w:spacing w:after="0"/>
        <w:rPr>
          <w:rFonts w:ascii="Arial" w:hAnsi="Arial" w:cs="Arial"/>
          <w:sz w:val="24"/>
          <w:szCs w:val="24"/>
        </w:rPr>
      </w:pPr>
    </w:p>
    <w:p w14:paraId="398CD85A" w14:textId="77777777" w:rsidR="008970F1" w:rsidRPr="00696906" w:rsidRDefault="008970F1" w:rsidP="008970F1">
      <w:pPr>
        <w:spacing w:after="0"/>
        <w:rPr>
          <w:rFonts w:ascii="Arial" w:hAnsi="Arial" w:cs="Arial"/>
          <w:sz w:val="24"/>
          <w:szCs w:val="24"/>
        </w:rPr>
      </w:pPr>
      <w:r w:rsidRPr="00696906">
        <w:rPr>
          <w:rFonts w:ascii="Arial" w:hAnsi="Arial" w:cs="Arial"/>
          <w:sz w:val="24"/>
          <w:szCs w:val="24"/>
        </w:rPr>
        <w:t>At the above noted second reference, North Bay Hydro stated the following:</w:t>
      </w:r>
    </w:p>
    <w:p w14:paraId="6B54D6B3" w14:textId="77777777" w:rsidR="008970F1" w:rsidRPr="00696906" w:rsidRDefault="008970F1" w:rsidP="008970F1">
      <w:pPr>
        <w:spacing w:after="0"/>
        <w:rPr>
          <w:rFonts w:ascii="Arial" w:hAnsi="Arial" w:cs="Arial"/>
          <w:sz w:val="24"/>
          <w:szCs w:val="24"/>
        </w:rPr>
      </w:pPr>
    </w:p>
    <w:p w14:paraId="30BD8159" w14:textId="77777777" w:rsidR="008970F1" w:rsidRPr="00696906" w:rsidRDefault="008970F1" w:rsidP="008970F1">
      <w:pPr>
        <w:spacing w:after="0"/>
        <w:ind w:left="720"/>
        <w:rPr>
          <w:rFonts w:ascii="Arial" w:hAnsi="Arial" w:cs="Arial"/>
          <w:sz w:val="24"/>
          <w:szCs w:val="24"/>
        </w:rPr>
      </w:pPr>
      <w:r w:rsidRPr="00696906">
        <w:rPr>
          <w:rFonts w:ascii="Arial" w:hAnsi="Arial" w:cs="Arial"/>
          <w:sz w:val="24"/>
          <w:szCs w:val="24"/>
        </w:rPr>
        <w:t>…At this time, NBHDL is not currently seeking disposition of either 1588 or 1589; NBHDL will provide the OEB with a review of historical balances, results of the review, and any adjustments when it seeks disposition at a future date.</w:t>
      </w:r>
    </w:p>
    <w:p w14:paraId="0E0C28CF" w14:textId="4DC9B9C7" w:rsidR="008970F1" w:rsidRPr="00696906" w:rsidRDefault="008970F1" w:rsidP="008970F1">
      <w:pPr>
        <w:spacing w:after="0"/>
        <w:rPr>
          <w:rFonts w:ascii="Arial" w:hAnsi="Arial" w:cs="Arial"/>
          <w:sz w:val="24"/>
          <w:szCs w:val="24"/>
        </w:rPr>
      </w:pPr>
    </w:p>
    <w:p w14:paraId="4D85B9DA" w14:textId="77777777" w:rsidR="006F33B0" w:rsidRPr="00696906" w:rsidRDefault="008970F1" w:rsidP="006F33B0">
      <w:pPr>
        <w:pStyle w:val="ListParagraph"/>
        <w:numPr>
          <w:ilvl w:val="0"/>
          <w:numId w:val="47"/>
        </w:numPr>
        <w:spacing w:after="0"/>
        <w:rPr>
          <w:rFonts w:ascii="Arial" w:hAnsi="Arial" w:cs="Arial"/>
          <w:sz w:val="24"/>
          <w:szCs w:val="24"/>
        </w:rPr>
      </w:pPr>
      <w:r w:rsidRPr="00696906">
        <w:rPr>
          <w:rFonts w:ascii="Arial" w:hAnsi="Arial" w:cs="Arial"/>
          <w:sz w:val="24"/>
          <w:szCs w:val="24"/>
        </w:rPr>
        <w:t xml:space="preserve">Please provide a status update. </w:t>
      </w:r>
    </w:p>
    <w:p w14:paraId="4DCCE993" w14:textId="1C08FD38" w:rsidR="008970F1" w:rsidRPr="00696906" w:rsidRDefault="008970F1" w:rsidP="006F33B0">
      <w:pPr>
        <w:pStyle w:val="ListParagraph"/>
        <w:numPr>
          <w:ilvl w:val="0"/>
          <w:numId w:val="47"/>
        </w:numPr>
        <w:spacing w:after="0"/>
        <w:rPr>
          <w:rFonts w:ascii="Arial" w:hAnsi="Arial" w:cs="Arial"/>
          <w:sz w:val="24"/>
          <w:szCs w:val="24"/>
        </w:rPr>
      </w:pPr>
      <w:r w:rsidRPr="00696906">
        <w:rPr>
          <w:rFonts w:ascii="Arial" w:hAnsi="Arial" w:cs="Arial"/>
          <w:sz w:val="24"/>
          <w:szCs w:val="24"/>
          <w:lang w:val="en-US"/>
        </w:rPr>
        <w:t xml:space="preserve">Please state when North Bay Hydro expects the new accounting guidance will be implemented. </w:t>
      </w:r>
    </w:p>
    <w:p w14:paraId="1FE70BFC" w14:textId="5CE3BE2F" w:rsidR="00D61BB8" w:rsidRPr="00696906" w:rsidRDefault="00D61BB8" w:rsidP="00D61BB8">
      <w:pPr>
        <w:spacing w:after="0"/>
        <w:rPr>
          <w:rFonts w:ascii="Arial" w:hAnsi="Arial" w:cs="Arial"/>
          <w:sz w:val="24"/>
          <w:szCs w:val="24"/>
        </w:rPr>
      </w:pPr>
    </w:p>
    <w:p w14:paraId="63BFC87C" w14:textId="77777777" w:rsidR="00696906" w:rsidRPr="00696906" w:rsidRDefault="00696906" w:rsidP="00D61BB8">
      <w:pPr>
        <w:spacing w:after="0"/>
        <w:jc w:val="both"/>
        <w:rPr>
          <w:rFonts w:ascii="Arial" w:hAnsi="Arial" w:cs="Arial"/>
          <w:b/>
          <w:bCs/>
          <w:sz w:val="24"/>
          <w:szCs w:val="24"/>
          <w:u w:val="single"/>
        </w:rPr>
      </w:pPr>
    </w:p>
    <w:p w14:paraId="441DA69D" w14:textId="77777777" w:rsidR="00696906" w:rsidRPr="00696906" w:rsidRDefault="00696906" w:rsidP="00D61BB8">
      <w:pPr>
        <w:spacing w:after="0"/>
        <w:jc w:val="both"/>
        <w:rPr>
          <w:rFonts w:ascii="Arial" w:hAnsi="Arial" w:cs="Arial"/>
          <w:b/>
          <w:bCs/>
          <w:sz w:val="24"/>
          <w:szCs w:val="24"/>
          <w:u w:val="single"/>
        </w:rPr>
      </w:pPr>
    </w:p>
    <w:p w14:paraId="177D4D69" w14:textId="77777777" w:rsidR="00696906" w:rsidRPr="00696906" w:rsidRDefault="00696906" w:rsidP="00D61BB8">
      <w:pPr>
        <w:spacing w:after="0"/>
        <w:jc w:val="both"/>
        <w:rPr>
          <w:rFonts w:ascii="Arial" w:hAnsi="Arial" w:cs="Arial"/>
          <w:b/>
          <w:bCs/>
          <w:sz w:val="24"/>
          <w:szCs w:val="24"/>
          <w:u w:val="single"/>
        </w:rPr>
      </w:pPr>
    </w:p>
    <w:p w14:paraId="4C93C792" w14:textId="408DB59E" w:rsidR="00D61BB8" w:rsidRPr="00696906" w:rsidRDefault="00D61BB8" w:rsidP="00D61BB8">
      <w:pPr>
        <w:spacing w:after="0"/>
        <w:jc w:val="both"/>
        <w:rPr>
          <w:rFonts w:ascii="Arial" w:hAnsi="Arial" w:cs="Arial"/>
          <w:b/>
          <w:bCs/>
          <w:sz w:val="24"/>
          <w:szCs w:val="24"/>
          <w:u w:val="single"/>
        </w:rPr>
      </w:pPr>
      <w:r w:rsidRPr="00696906">
        <w:rPr>
          <w:rFonts w:ascii="Arial" w:hAnsi="Arial" w:cs="Arial"/>
          <w:b/>
          <w:bCs/>
          <w:sz w:val="24"/>
          <w:szCs w:val="24"/>
          <w:u w:val="single"/>
        </w:rPr>
        <w:lastRenderedPageBreak/>
        <w:t>Response</w:t>
      </w:r>
    </w:p>
    <w:p w14:paraId="2803EE5D" w14:textId="5C5C0B7F" w:rsidR="00D61BB8" w:rsidRPr="00696906" w:rsidRDefault="00D61BB8" w:rsidP="00D61BB8">
      <w:pPr>
        <w:spacing w:after="0"/>
        <w:rPr>
          <w:rFonts w:ascii="Arial" w:hAnsi="Arial" w:cs="Arial"/>
          <w:sz w:val="24"/>
          <w:szCs w:val="24"/>
        </w:rPr>
      </w:pPr>
    </w:p>
    <w:p w14:paraId="5231F0B6" w14:textId="3D1D97E0" w:rsidR="00D61BB8" w:rsidRPr="00696906" w:rsidRDefault="0029299F" w:rsidP="00D61BB8">
      <w:pPr>
        <w:spacing w:after="0"/>
        <w:rPr>
          <w:rFonts w:ascii="Arial" w:hAnsi="Arial" w:cs="Arial"/>
          <w:sz w:val="24"/>
          <w:szCs w:val="24"/>
        </w:rPr>
      </w:pPr>
      <w:r w:rsidRPr="00696906">
        <w:rPr>
          <w:rFonts w:ascii="Arial" w:hAnsi="Arial" w:cs="Arial"/>
          <w:sz w:val="24"/>
          <w:szCs w:val="24"/>
        </w:rPr>
        <w:t xml:space="preserve">NBHDL has had the goal of having the new accounting procedures implemented so that the 2019 audited financial statements would carry 1588 and 1589 account balances that were reflective of the new guidance. </w:t>
      </w:r>
      <w:r w:rsidR="00FE3902" w:rsidRPr="00696906">
        <w:rPr>
          <w:rFonts w:ascii="Arial" w:hAnsi="Arial" w:cs="Arial"/>
          <w:sz w:val="24"/>
          <w:szCs w:val="24"/>
        </w:rPr>
        <w:t>At this time, NBHDL is in the final stages of its review and expects the accounting guidance to be in place within the next few months.</w:t>
      </w:r>
    </w:p>
    <w:p w14:paraId="27B5F69B" w14:textId="5B34450B" w:rsidR="008970F1" w:rsidRDefault="008970F1" w:rsidP="002C26C9">
      <w:pPr>
        <w:spacing w:after="0" w:line="240" w:lineRule="auto"/>
        <w:rPr>
          <w:rFonts w:ascii="Arial" w:hAnsi="Arial" w:cs="Arial"/>
          <w:b/>
          <w:sz w:val="24"/>
          <w:szCs w:val="24"/>
          <w:highlight w:val="yellow"/>
        </w:rPr>
      </w:pPr>
    </w:p>
    <w:p w14:paraId="24FCAE90" w14:textId="649A1759" w:rsidR="00C33DAF" w:rsidRDefault="00C33DAF" w:rsidP="002C26C9">
      <w:pPr>
        <w:spacing w:after="0" w:line="240" w:lineRule="auto"/>
        <w:rPr>
          <w:rFonts w:ascii="Arial" w:hAnsi="Arial" w:cs="Arial"/>
          <w:b/>
          <w:sz w:val="24"/>
          <w:szCs w:val="24"/>
          <w:highlight w:val="yellow"/>
        </w:rPr>
      </w:pPr>
    </w:p>
    <w:p w14:paraId="3BD5F5C6" w14:textId="4006767F" w:rsidR="00A81F73" w:rsidRPr="00F266E7" w:rsidRDefault="00A81F73" w:rsidP="002C26C9">
      <w:pPr>
        <w:spacing w:after="0" w:line="240" w:lineRule="auto"/>
        <w:rPr>
          <w:rFonts w:ascii="Arial" w:hAnsi="Arial" w:cs="Arial"/>
          <w:b/>
          <w:sz w:val="24"/>
          <w:szCs w:val="24"/>
        </w:rPr>
      </w:pPr>
      <w:r w:rsidRPr="00F266E7">
        <w:rPr>
          <w:rFonts w:ascii="Arial" w:hAnsi="Arial" w:cs="Arial"/>
          <w:b/>
          <w:sz w:val="24"/>
          <w:szCs w:val="24"/>
        </w:rPr>
        <w:t xml:space="preserve">Staff </w:t>
      </w:r>
      <w:r w:rsidR="006F33B0">
        <w:rPr>
          <w:rFonts w:ascii="Arial" w:hAnsi="Arial" w:cs="Arial"/>
          <w:b/>
          <w:sz w:val="24"/>
          <w:szCs w:val="24"/>
        </w:rPr>
        <w:t>Question-9</w:t>
      </w:r>
    </w:p>
    <w:p w14:paraId="1A427311" w14:textId="0BC92A52" w:rsidR="00A81F73" w:rsidRPr="00F266E7" w:rsidRDefault="008C32FC" w:rsidP="002C26C9">
      <w:pPr>
        <w:spacing w:after="0" w:line="240" w:lineRule="auto"/>
        <w:rPr>
          <w:rFonts w:ascii="Arial" w:hAnsi="Arial" w:cs="Arial"/>
          <w:b/>
          <w:sz w:val="24"/>
          <w:szCs w:val="24"/>
        </w:rPr>
      </w:pPr>
      <w:r>
        <w:rPr>
          <w:rFonts w:ascii="Arial" w:hAnsi="Arial" w:cs="Arial"/>
          <w:b/>
          <w:sz w:val="24"/>
          <w:szCs w:val="24"/>
        </w:rPr>
        <w:t>Ref: Tariff of Rates and Charges</w:t>
      </w:r>
    </w:p>
    <w:p w14:paraId="02450741" w14:textId="77777777" w:rsidR="00A81F73" w:rsidRPr="00F266E7" w:rsidRDefault="00A81F73" w:rsidP="002C26C9">
      <w:pPr>
        <w:spacing w:after="0" w:line="240" w:lineRule="auto"/>
        <w:rPr>
          <w:rFonts w:ascii="Arial" w:hAnsi="Arial" w:cs="Arial"/>
          <w:sz w:val="24"/>
          <w:szCs w:val="24"/>
        </w:rPr>
      </w:pPr>
    </w:p>
    <w:p w14:paraId="3921C17E" w14:textId="77777777" w:rsidR="00F266E7" w:rsidRDefault="00F266E7" w:rsidP="00F266E7">
      <w:pPr>
        <w:spacing w:after="0"/>
        <w:rPr>
          <w:rFonts w:ascii="Arial" w:hAnsi="Arial" w:cs="Arial"/>
          <w:sz w:val="24"/>
          <w:szCs w:val="24"/>
        </w:rPr>
      </w:pPr>
      <w:r w:rsidRPr="00433FAA">
        <w:rPr>
          <w:rFonts w:ascii="Arial" w:hAnsi="Arial" w:cs="Arial"/>
          <w:sz w:val="24"/>
          <w:szCs w:val="24"/>
        </w:rPr>
        <w:t xml:space="preserve">As per </w:t>
      </w:r>
      <w:r>
        <w:rPr>
          <w:rFonts w:ascii="Arial" w:hAnsi="Arial" w:cs="Arial"/>
          <w:sz w:val="24"/>
          <w:szCs w:val="24"/>
        </w:rPr>
        <w:t>the Rate Order in EB-2017-0183</w:t>
      </w:r>
      <w:r w:rsidRPr="00433FAA">
        <w:rPr>
          <w:rFonts w:ascii="Arial" w:hAnsi="Arial" w:cs="Arial"/>
          <w:sz w:val="24"/>
          <w:szCs w:val="24"/>
        </w:rPr>
        <w:t xml:space="preserve">, </w:t>
      </w:r>
      <w:r>
        <w:rPr>
          <w:rFonts w:ascii="Arial" w:hAnsi="Arial" w:cs="Arial"/>
          <w:sz w:val="24"/>
          <w:szCs w:val="24"/>
        </w:rPr>
        <w:t>OEB staff will update the tariff at the decision and rate order stage of this proceeding for the following changes to Non-Payment of Account Service Charges:</w:t>
      </w:r>
    </w:p>
    <w:p w14:paraId="5F08BE29" w14:textId="77777777" w:rsidR="00F266E7" w:rsidRDefault="00F266E7" w:rsidP="00F266E7">
      <w:pPr>
        <w:pStyle w:val="ListParagraph"/>
        <w:numPr>
          <w:ilvl w:val="0"/>
          <w:numId w:val="37"/>
        </w:numPr>
        <w:spacing w:after="0"/>
        <w:rPr>
          <w:rFonts w:ascii="Arial" w:hAnsi="Arial" w:cs="Arial"/>
          <w:sz w:val="24"/>
          <w:szCs w:val="24"/>
        </w:rPr>
      </w:pPr>
      <w:r>
        <w:rPr>
          <w:rFonts w:ascii="Arial" w:hAnsi="Arial" w:cs="Arial"/>
          <w:sz w:val="24"/>
          <w:szCs w:val="24"/>
        </w:rPr>
        <w:t xml:space="preserve">Removal of all “Collection of Account” charges </w:t>
      </w:r>
    </w:p>
    <w:p w14:paraId="6D741E5B" w14:textId="77777777" w:rsidR="00F266E7" w:rsidRDefault="00F266E7" w:rsidP="00F266E7">
      <w:pPr>
        <w:pStyle w:val="ListParagraph"/>
        <w:numPr>
          <w:ilvl w:val="0"/>
          <w:numId w:val="37"/>
        </w:numPr>
        <w:spacing w:after="0"/>
        <w:rPr>
          <w:rFonts w:ascii="Arial" w:hAnsi="Arial" w:cs="Arial"/>
          <w:sz w:val="24"/>
          <w:szCs w:val="24"/>
        </w:rPr>
      </w:pPr>
      <w:r>
        <w:rPr>
          <w:rFonts w:ascii="Arial" w:hAnsi="Arial" w:cs="Arial"/>
          <w:sz w:val="24"/>
          <w:szCs w:val="24"/>
        </w:rPr>
        <w:t>Removal of all “Install/Remove Load Control Device” charges</w:t>
      </w:r>
    </w:p>
    <w:p w14:paraId="1ABD85BE" w14:textId="77777777" w:rsidR="00F266E7" w:rsidRDefault="00F266E7" w:rsidP="00F266E7">
      <w:pPr>
        <w:pStyle w:val="ListParagraph"/>
        <w:numPr>
          <w:ilvl w:val="0"/>
          <w:numId w:val="37"/>
        </w:numPr>
        <w:spacing w:after="0"/>
        <w:rPr>
          <w:rFonts w:ascii="Arial" w:hAnsi="Arial" w:cs="Arial"/>
          <w:sz w:val="24"/>
          <w:szCs w:val="24"/>
        </w:rPr>
      </w:pPr>
      <w:r>
        <w:rPr>
          <w:rFonts w:ascii="Arial" w:hAnsi="Arial" w:cs="Arial"/>
          <w:sz w:val="24"/>
          <w:szCs w:val="24"/>
        </w:rPr>
        <w:t>Change any reference of “Disconnect/Reconnect” to “Reconnection”</w:t>
      </w:r>
    </w:p>
    <w:p w14:paraId="3486EFC6" w14:textId="4F4977F0" w:rsidR="002C26C9" w:rsidRPr="00F266E7" w:rsidRDefault="00F266E7" w:rsidP="00F266E7">
      <w:pPr>
        <w:pStyle w:val="ListParagraph"/>
        <w:numPr>
          <w:ilvl w:val="0"/>
          <w:numId w:val="37"/>
        </w:numPr>
        <w:spacing w:after="0"/>
        <w:rPr>
          <w:rFonts w:ascii="Arial" w:hAnsi="Arial" w:cs="Arial"/>
          <w:sz w:val="24"/>
          <w:szCs w:val="24"/>
        </w:rPr>
      </w:pPr>
      <w:r>
        <w:rPr>
          <w:rFonts w:ascii="Arial" w:hAnsi="Arial" w:cs="Arial"/>
          <w:sz w:val="24"/>
          <w:szCs w:val="24"/>
        </w:rPr>
        <w:t>Alter the “Late Payment – per month” charge to “Late Payment – per month” (effective annual rate 19.56% per annum or 0.04896% compounded daily rate)</w:t>
      </w:r>
    </w:p>
    <w:p w14:paraId="37A9461D" w14:textId="77777777" w:rsidR="00116733" w:rsidRPr="00F266E7" w:rsidRDefault="00116733" w:rsidP="00736C82">
      <w:pPr>
        <w:spacing w:after="0"/>
        <w:rPr>
          <w:rFonts w:ascii="Arial" w:hAnsi="Arial" w:cs="Arial"/>
          <w:sz w:val="24"/>
          <w:szCs w:val="24"/>
        </w:rPr>
      </w:pPr>
    </w:p>
    <w:p w14:paraId="61D2B1C6" w14:textId="27F82271" w:rsidR="00B246EE" w:rsidRDefault="00157F4A" w:rsidP="005C2E1B">
      <w:pPr>
        <w:spacing w:after="0"/>
        <w:rPr>
          <w:rFonts w:ascii="Arial" w:hAnsi="Arial" w:cs="Arial"/>
          <w:sz w:val="24"/>
          <w:szCs w:val="24"/>
        </w:rPr>
      </w:pPr>
      <w:r w:rsidRPr="00F266E7">
        <w:rPr>
          <w:rFonts w:ascii="Arial" w:hAnsi="Arial" w:cs="Arial"/>
          <w:sz w:val="24"/>
          <w:szCs w:val="24"/>
        </w:rPr>
        <w:t xml:space="preserve">Please confirm </w:t>
      </w:r>
      <w:r w:rsidR="00F266E7">
        <w:rPr>
          <w:rFonts w:ascii="Arial" w:hAnsi="Arial" w:cs="Arial"/>
          <w:sz w:val="24"/>
          <w:szCs w:val="24"/>
        </w:rPr>
        <w:t>North Bay Hydro’s</w:t>
      </w:r>
      <w:r w:rsidRPr="00F266E7">
        <w:rPr>
          <w:rFonts w:ascii="Arial" w:hAnsi="Arial" w:cs="Arial"/>
          <w:sz w:val="24"/>
          <w:szCs w:val="24"/>
        </w:rPr>
        <w:t xml:space="preserve"> acceptance of the above.</w:t>
      </w:r>
      <w:r w:rsidRPr="00157F4A">
        <w:rPr>
          <w:rFonts w:ascii="Arial" w:hAnsi="Arial" w:cs="Arial"/>
          <w:sz w:val="24"/>
          <w:szCs w:val="24"/>
        </w:rPr>
        <w:t xml:space="preserve"> </w:t>
      </w:r>
    </w:p>
    <w:p w14:paraId="754E15C6" w14:textId="4FA64D22" w:rsidR="00176895" w:rsidRDefault="00176895" w:rsidP="005C2E1B">
      <w:pPr>
        <w:spacing w:after="0"/>
        <w:rPr>
          <w:rFonts w:ascii="Arial" w:hAnsi="Arial" w:cs="Arial"/>
          <w:sz w:val="24"/>
          <w:szCs w:val="24"/>
        </w:rPr>
      </w:pPr>
    </w:p>
    <w:p w14:paraId="5CBA1670" w14:textId="77777777" w:rsidR="00176895" w:rsidRPr="00696906" w:rsidRDefault="00176895" w:rsidP="00176895">
      <w:pPr>
        <w:spacing w:after="0"/>
        <w:jc w:val="both"/>
        <w:rPr>
          <w:rFonts w:ascii="Arial" w:hAnsi="Arial" w:cs="Arial"/>
          <w:b/>
          <w:bCs/>
          <w:sz w:val="24"/>
          <w:szCs w:val="24"/>
          <w:u w:val="single"/>
        </w:rPr>
      </w:pPr>
      <w:r w:rsidRPr="00696906">
        <w:rPr>
          <w:rFonts w:ascii="Arial" w:hAnsi="Arial" w:cs="Arial"/>
          <w:b/>
          <w:bCs/>
          <w:sz w:val="24"/>
          <w:szCs w:val="24"/>
          <w:u w:val="single"/>
        </w:rPr>
        <w:t>Response</w:t>
      </w:r>
    </w:p>
    <w:p w14:paraId="69FBB727" w14:textId="77777777" w:rsidR="00176895" w:rsidRPr="00696906" w:rsidRDefault="00176895" w:rsidP="00176895">
      <w:pPr>
        <w:spacing w:after="0"/>
        <w:rPr>
          <w:rFonts w:ascii="Arial" w:hAnsi="Arial" w:cs="Arial"/>
          <w:sz w:val="24"/>
          <w:szCs w:val="24"/>
        </w:rPr>
      </w:pPr>
    </w:p>
    <w:p w14:paraId="39E9E319" w14:textId="3C3447F1" w:rsidR="00176895" w:rsidRPr="00696906" w:rsidRDefault="00176895" w:rsidP="00176895">
      <w:pPr>
        <w:spacing w:after="0"/>
        <w:rPr>
          <w:rFonts w:ascii="Arial" w:hAnsi="Arial" w:cs="Arial"/>
          <w:sz w:val="24"/>
          <w:szCs w:val="24"/>
        </w:rPr>
      </w:pPr>
      <w:r w:rsidRPr="00696906">
        <w:rPr>
          <w:rFonts w:ascii="Arial" w:hAnsi="Arial" w:cs="Arial"/>
          <w:sz w:val="24"/>
          <w:szCs w:val="24"/>
        </w:rPr>
        <w:t xml:space="preserve">NBHDL </w:t>
      </w:r>
      <w:r w:rsidRPr="00696906">
        <w:rPr>
          <w:rFonts w:ascii="Arial" w:hAnsi="Arial" w:cs="Arial"/>
          <w:sz w:val="24"/>
          <w:szCs w:val="24"/>
        </w:rPr>
        <w:t>is in acceptance of the above</w:t>
      </w:r>
      <w:r w:rsidR="00696906" w:rsidRPr="00696906">
        <w:rPr>
          <w:rFonts w:ascii="Arial" w:hAnsi="Arial" w:cs="Arial"/>
          <w:sz w:val="24"/>
          <w:szCs w:val="24"/>
        </w:rPr>
        <w:t xml:space="preserve"> rate changes pursuant to the rate order EB-2017-0183.</w:t>
      </w:r>
    </w:p>
    <w:p w14:paraId="15EEE2BB" w14:textId="77777777" w:rsidR="003379D1" w:rsidRDefault="003379D1" w:rsidP="00736C82">
      <w:pPr>
        <w:spacing w:after="0"/>
        <w:rPr>
          <w:rFonts w:ascii="Arial" w:hAnsi="Arial" w:cs="Arial"/>
          <w:sz w:val="24"/>
          <w:szCs w:val="24"/>
          <w:u w:val="single"/>
        </w:rPr>
      </w:pPr>
    </w:p>
    <w:p w14:paraId="087CCB52" w14:textId="77777777" w:rsidR="00E34BD1" w:rsidRPr="00E34BD1" w:rsidRDefault="00E34BD1" w:rsidP="00736C82">
      <w:pPr>
        <w:spacing w:after="0"/>
        <w:rPr>
          <w:rFonts w:ascii="Arial" w:hAnsi="Arial" w:cs="Arial"/>
          <w:sz w:val="24"/>
          <w:szCs w:val="24"/>
          <w:u w:val="single"/>
        </w:rPr>
      </w:pPr>
      <w:r w:rsidRPr="00E34BD1">
        <w:rPr>
          <w:rFonts w:ascii="Arial" w:hAnsi="Arial" w:cs="Arial"/>
          <w:sz w:val="24"/>
          <w:szCs w:val="24"/>
          <w:u w:val="single"/>
        </w:rPr>
        <w:t>LRAMVA</w:t>
      </w:r>
    </w:p>
    <w:p w14:paraId="45BBD5F0" w14:textId="77777777" w:rsidR="004D7D8A" w:rsidRDefault="004D7D8A" w:rsidP="00736C82">
      <w:pPr>
        <w:spacing w:after="0"/>
        <w:rPr>
          <w:rFonts w:ascii="Arial" w:hAnsi="Arial" w:cs="Arial"/>
          <w:sz w:val="24"/>
          <w:szCs w:val="24"/>
        </w:rPr>
      </w:pPr>
    </w:p>
    <w:p w14:paraId="6B1D1F66" w14:textId="777FA641" w:rsidR="00DE0781" w:rsidRPr="004D7D8A" w:rsidRDefault="006F33B0" w:rsidP="00736C82">
      <w:pPr>
        <w:spacing w:after="0"/>
        <w:rPr>
          <w:rFonts w:ascii="Arial" w:hAnsi="Arial" w:cs="Arial"/>
          <w:b/>
          <w:sz w:val="24"/>
          <w:szCs w:val="24"/>
        </w:rPr>
      </w:pPr>
      <w:r>
        <w:rPr>
          <w:rFonts w:ascii="Arial" w:hAnsi="Arial" w:cs="Arial"/>
          <w:b/>
          <w:sz w:val="24"/>
          <w:szCs w:val="24"/>
        </w:rPr>
        <w:t>Staff Question-10</w:t>
      </w:r>
    </w:p>
    <w:p w14:paraId="63F41EA1" w14:textId="45B6001E" w:rsidR="004D7D8A" w:rsidRPr="004D7D8A" w:rsidRDefault="004D7D8A" w:rsidP="004D7D8A">
      <w:pPr>
        <w:spacing w:after="0"/>
        <w:rPr>
          <w:rFonts w:ascii="Arial" w:hAnsi="Arial" w:cs="Arial"/>
          <w:b/>
          <w:sz w:val="24"/>
          <w:szCs w:val="24"/>
          <w:lang w:val="en-US"/>
        </w:rPr>
      </w:pPr>
      <w:r w:rsidRPr="004D7D8A">
        <w:rPr>
          <w:rFonts w:ascii="Arial" w:hAnsi="Arial" w:cs="Arial"/>
          <w:b/>
          <w:sz w:val="24"/>
          <w:szCs w:val="24"/>
          <w:lang w:val="en-US"/>
        </w:rPr>
        <w:t xml:space="preserve">Ref: Appendix G, </w:t>
      </w:r>
      <w:proofErr w:type="spellStart"/>
      <w:r w:rsidRPr="004D7D8A">
        <w:rPr>
          <w:rFonts w:ascii="Arial" w:hAnsi="Arial" w:cs="Arial"/>
          <w:b/>
          <w:sz w:val="24"/>
          <w:szCs w:val="24"/>
          <w:lang w:val="en-US"/>
        </w:rPr>
        <w:t>IndEco</w:t>
      </w:r>
      <w:proofErr w:type="spellEnd"/>
      <w:r w:rsidRPr="004D7D8A">
        <w:rPr>
          <w:rFonts w:ascii="Arial" w:hAnsi="Arial" w:cs="Arial"/>
          <w:b/>
          <w:sz w:val="24"/>
          <w:szCs w:val="24"/>
          <w:lang w:val="en-US"/>
        </w:rPr>
        <w:t xml:space="preserve"> Report, Cogeneration Project, Page 7</w:t>
      </w:r>
    </w:p>
    <w:p w14:paraId="45DE2759" w14:textId="77777777" w:rsidR="004D7D8A" w:rsidRDefault="004D7D8A" w:rsidP="004D7D8A">
      <w:pPr>
        <w:spacing w:after="0"/>
        <w:rPr>
          <w:rFonts w:ascii="Arial" w:hAnsi="Arial" w:cs="Arial"/>
          <w:sz w:val="24"/>
          <w:szCs w:val="24"/>
          <w:lang w:val="en-US"/>
        </w:rPr>
      </w:pPr>
    </w:p>
    <w:p w14:paraId="2747F3F6" w14:textId="002F942B" w:rsidR="004D7D8A" w:rsidRPr="004D7D8A" w:rsidRDefault="004D7D8A" w:rsidP="004D7D8A">
      <w:pPr>
        <w:pStyle w:val="ListParagraph"/>
        <w:numPr>
          <w:ilvl w:val="0"/>
          <w:numId w:val="39"/>
        </w:numPr>
        <w:spacing w:after="0"/>
        <w:rPr>
          <w:rFonts w:ascii="Arial" w:hAnsi="Arial" w:cs="Arial"/>
          <w:sz w:val="24"/>
          <w:szCs w:val="24"/>
          <w:lang w:val="en-US"/>
        </w:rPr>
      </w:pPr>
      <w:r>
        <w:rPr>
          <w:rFonts w:ascii="Arial" w:hAnsi="Arial" w:cs="Arial"/>
          <w:sz w:val="24"/>
          <w:szCs w:val="24"/>
          <w:lang w:val="en-US"/>
        </w:rPr>
        <w:t>In E</w:t>
      </w:r>
      <w:r w:rsidRPr="004D7D8A">
        <w:rPr>
          <w:rFonts w:ascii="Arial" w:hAnsi="Arial" w:cs="Arial"/>
          <w:sz w:val="24"/>
          <w:szCs w:val="24"/>
          <w:lang w:val="en-US"/>
        </w:rPr>
        <w:t>xcel format, please provide the hourly peak data (including the time and date of the peak) for each day in the month between 2016 and 2018 to show the facility peak (</w:t>
      </w:r>
      <w:r w:rsidR="00B372D9">
        <w:rPr>
          <w:rFonts w:ascii="Arial" w:hAnsi="Arial" w:cs="Arial"/>
          <w:sz w:val="24"/>
          <w:szCs w:val="24"/>
          <w:lang w:val="en-US"/>
        </w:rPr>
        <w:t xml:space="preserve">with the cogeneration facility </w:t>
      </w:r>
      <w:r w:rsidRPr="004D7D8A">
        <w:rPr>
          <w:rFonts w:ascii="Arial" w:hAnsi="Arial" w:cs="Arial"/>
          <w:sz w:val="24"/>
          <w:szCs w:val="24"/>
          <w:lang w:val="en-US"/>
        </w:rPr>
        <w:t>not running) and grid peak (with the cogeneration facility running) used for lost revenue calculations in 2016, 2017 and 2018.</w:t>
      </w:r>
    </w:p>
    <w:p w14:paraId="5A81CBE4" w14:textId="4B9E4312" w:rsidR="006F33B0" w:rsidRDefault="004D7D8A" w:rsidP="004D7D8A">
      <w:pPr>
        <w:numPr>
          <w:ilvl w:val="0"/>
          <w:numId w:val="39"/>
        </w:numPr>
        <w:spacing w:after="0"/>
        <w:rPr>
          <w:rFonts w:ascii="Arial" w:hAnsi="Arial" w:cs="Arial"/>
          <w:sz w:val="24"/>
          <w:szCs w:val="24"/>
          <w:lang w:val="en-US"/>
        </w:rPr>
      </w:pPr>
      <w:r w:rsidRPr="004D7D8A">
        <w:rPr>
          <w:rFonts w:ascii="Arial" w:hAnsi="Arial" w:cs="Arial"/>
          <w:sz w:val="24"/>
          <w:szCs w:val="24"/>
          <w:lang w:val="en-US"/>
        </w:rPr>
        <w:t>Please discuss why facility and system peaks do not need to be consistent in order to calculate lost revenue impact.</w:t>
      </w:r>
    </w:p>
    <w:p w14:paraId="117FEACD" w14:textId="52C67891" w:rsidR="002648A9" w:rsidRDefault="002648A9" w:rsidP="002648A9">
      <w:pPr>
        <w:spacing w:after="0"/>
        <w:rPr>
          <w:rFonts w:ascii="Arial" w:hAnsi="Arial" w:cs="Arial"/>
          <w:sz w:val="24"/>
          <w:szCs w:val="24"/>
          <w:lang w:val="en-US"/>
        </w:rPr>
      </w:pPr>
    </w:p>
    <w:p w14:paraId="1504D83A" w14:textId="77777777" w:rsidR="00696906" w:rsidRDefault="00696906" w:rsidP="002648A9">
      <w:pPr>
        <w:spacing w:after="0"/>
        <w:jc w:val="both"/>
        <w:rPr>
          <w:rFonts w:ascii="Arial" w:hAnsi="Arial" w:cs="Arial"/>
          <w:b/>
          <w:bCs/>
          <w:color w:val="FF0000"/>
          <w:sz w:val="24"/>
          <w:szCs w:val="24"/>
          <w:u w:val="single"/>
        </w:rPr>
      </w:pPr>
    </w:p>
    <w:p w14:paraId="0E03BC02" w14:textId="3D0F74E9" w:rsidR="00EE6E16" w:rsidRPr="00696906" w:rsidRDefault="002648A9" w:rsidP="002648A9">
      <w:pPr>
        <w:spacing w:after="0"/>
        <w:jc w:val="both"/>
        <w:rPr>
          <w:rFonts w:ascii="Arial" w:hAnsi="Arial" w:cs="Arial"/>
          <w:b/>
          <w:bCs/>
          <w:sz w:val="24"/>
          <w:szCs w:val="24"/>
          <w:u w:val="single"/>
        </w:rPr>
      </w:pPr>
      <w:r w:rsidRPr="00696906">
        <w:rPr>
          <w:rFonts w:ascii="Arial" w:hAnsi="Arial" w:cs="Arial"/>
          <w:b/>
          <w:bCs/>
          <w:sz w:val="24"/>
          <w:szCs w:val="24"/>
          <w:u w:val="single"/>
        </w:rPr>
        <w:lastRenderedPageBreak/>
        <w:t>Response</w:t>
      </w:r>
    </w:p>
    <w:p w14:paraId="230C416C" w14:textId="507A5C02" w:rsidR="002648A9" w:rsidRDefault="002648A9" w:rsidP="002648A9">
      <w:pPr>
        <w:spacing w:after="0"/>
        <w:rPr>
          <w:rFonts w:ascii="Arial" w:hAnsi="Arial" w:cs="Arial"/>
          <w:sz w:val="24"/>
          <w:szCs w:val="24"/>
          <w:lang w:val="en-US"/>
        </w:rPr>
      </w:pPr>
    </w:p>
    <w:p w14:paraId="4C3E31D3" w14:textId="37C77C62" w:rsidR="002648A9" w:rsidRDefault="00EE6E16" w:rsidP="00EE6E16">
      <w:pPr>
        <w:spacing w:after="0"/>
        <w:rPr>
          <w:rFonts w:ascii="Arial" w:hAnsi="Arial" w:cs="Arial"/>
          <w:sz w:val="24"/>
          <w:szCs w:val="24"/>
          <w:lang w:val="en-US"/>
        </w:rPr>
      </w:pPr>
      <w:r>
        <w:rPr>
          <w:rFonts w:ascii="Arial" w:hAnsi="Arial" w:cs="Arial"/>
          <w:sz w:val="24"/>
          <w:szCs w:val="24"/>
          <w:lang w:val="en-US"/>
        </w:rPr>
        <w:t xml:space="preserve">b) </w:t>
      </w:r>
      <w:r w:rsidRPr="00EE6E16">
        <w:rPr>
          <w:rFonts w:ascii="Arial" w:hAnsi="Arial" w:cs="Arial"/>
          <w:sz w:val="24"/>
          <w:szCs w:val="24"/>
          <w:lang w:val="en-US"/>
        </w:rPr>
        <w:t>Billing is based on the facility peak, not the system peak. As the requested spreadsheet indicates, facility peak may occur over any hour in the day, particularly considering that the facility is a 24/7 operation. For example, in 2016 it was at 13:00 in January, 15:00 in February and midnight in March. As the spreadsheet also demonstrates, the peak for billing purposes is sometimes but not always coincident with the facility peak. This reflects the variations in demand over time, as well as the variation in generation.</w:t>
      </w:r>
    </w:p>
    <w:p w14:paraId="11FABF67" w14:textId="77777777" w:rsidR="00EE6E16" w:rsidRPr="00EE6E16" w:rsidRDefault="00EE6E16" w:rsidP="00EE6E16">
      <w:pPr>
        <w:spacing w:after="0"/>
        <w:rPr>
          <w:rFonts w:ascii="Arial" w:hAnsi="Arial" w:cs="Arial"/>
          <w:sz w:val="24"/>
          <w:szCs w:val="24"/>
          <w:lang w:val="en-US"/>
        </w:rPr>
      </w:pPr>
    </w:p>
    <w:p w14:paraId="664DA702" w14:textId="77777777" w:rsidR="00750C77" w:rsidRPr="00750C77" w:rsidRDefault="00750C77" w:rsidP="00750C77">
      <w:pPr>
        <w:spacing w:after="0"/>
        <w:ind w:left="720"/>
        <w:rPr>
          <w:rFonts w:ascii="Arial" w:hAnsi="Arial" w:cs="Arial"/>
          <w:sz w:val="24"/>
          <w:szCs w:val="24"/>
          <w:lang w:val="en-US"/>
        </w:rPr>
      </w:pPr>
    </w:p>
    <w:p w14:paraId="024940FD" w14:textId="0ADDBAD3" w:rsidR="004D7D8A" w:rsidRDefault="006F33B0" w:rsidP="004D7D8A">
      <w:pPr>
        <w:spacing w:after="0"/>
        <w:rPr>
          <w:rFonts w:ascii="Arial" w:hAnsi="Arial" w:cs="Arial"/>
          <w:b/>
          <w:sz w:val="24"/>
          <w:szCs w:val="24"/>
          <w:lang w:val="en-US"/>
        </w:rPr>
      </w:pPr>
      <w:r>
        <w:rPr>
          <w:rFonts w:ascii="Arial" w:hAnsi="Arial" w:cs="Arial"/>
          <w:b/>
          <w:sz w:val="24"/>
          <w:szCs w:val="24"/>
          <w:lang w:val="en-US"/>
        </w:rPr>
        <w:t>Staff Question-11</w:t>
      </w:r>
    </w:p>
    <w:p w14:paraId="772C525D" w14:textId="7D856A3A" w:rsidR="004D7D8A" w:rsidRPr="004D7D8A" w:rsidRDefault="004D7D8A" w:rsidP="004D7D8A">
      <w:pPr>
        <w:spacing w:after="0"/>
        <w:rPr>
          <w:rFonts w:ascii="Arial" w:hAnsi="Arial" w:cs="Arial"/>
          <w:b/>
          <w:sz w:val="24"/>
          <w:szCs w:val="24"/>
          <w:lang w:val="en-US"/>
        </w:rPr>
      </w:pPr>
      <w:r w:rsidRPr="004D7D8A">
        <w:rPr>
          <w:rFonts w:ascii="Arial" w:hAnsi="Arial" w:cs="Arial"/>
          <w:b/>
          <w:sz w:val="24"/>
          <w:szCs w:val="24"/>
          <w:lang w:val="en-US"/>
        </w:rPr>
        <w:t xml:space="preserve">Ref: Appendix G, </w:t>
      </w:r>
      <w:proofErr w:type="spellStart"/>
      <w:r w:rsidRPr="004D7D8A">
        <w:rPr>
          <w:rFonts w:ascii="Arial" w:hAnsi="Arial" w:cs="Arial"/>
          <w:b/>
          <w:sz w:val="24"/>
          <w:szCs w:val="24"/>
          <w:lang w:val="en-US"/>
        </w:rPr>
        <w:t>IndEco</w:t>
      </w:r>
      <w:proofErr w:type="spellEnd"/>
      <w:r w:rsidRPr="004D7D8A">
        <w:rPr>
          <w:rFonts w:ascii="Arial" w:hAnsi="Arial" w:cs="Arial"/>
          <w:b/>
          <w:sz w:val="24"/>
          <w:szCs w:val="24"/>
          <w:lang w:val="en-US"/>
        </w:rPr>
        <w:t xml:space="preserve"> Report, Load reductions accounted for in the load forecast, Page 8</w:t>
      </w:r>
    </w:p>
    <w:p w14:paraId="7A60A9F3" w14:textId="55CCDDA1" w:rsidR="004D7D8A" w:rsidRPr="004D7D8A" w:rsidRDefault="004D7D8A" w:rsidP="004D7D8A">
      <w:pPr>
        <w:spacing w:after="0"/>
        <w:rPr>
          <w:rFonts w:ascii="Arial" w:hAnsi="Arial" w:cs="Arial"/>
          <w:b/>
          <w:sz w:val="24"/>
          <w:szCs w:val="24"/>
          <w:lang w:val="en-US"/>
        </w:rPr>
      </w:pPr>
      <w:r w:rsidRPr="004D7D8A">
        <w:rPr>
          <w:rFonts w:ascii="Arial" w:hAnsi="Arial" w:cs="Arial"/>
          <w:b/>
          <w:sz w:val="24"/>
          <w:szCs w:val="24"/>
          <w:lang w:val="en-US"/>
        </w:rPr>
        <w:t xml:space="preserve">Ref: LRAMVA </w:t>
      </w:r>
      <w:proofErr w:type="spellStart"/>
      <w:r w:rsidRPr="004D7D8A">
        <w:rPr>
          <w:rFonts w:ascii="Arial" w:hAnsi="Arial" w:cs="Arial"/>
          <w:b/>
          <w:sz w:val="24"/>
          <w:szCs w:val="24"/>
          <w:lang w:val="en-US"/>
        </w:rPr>
        <w:t>Workform</w:t>
      </w:r>
      <w:proofErr w:type="spellEnd"/>
      <w:r w:rsidRPr="004D7D8A">
        <w:rPr>
          <w:rFonts w:ascii="Arial" w:hAnsi="Arial" w:cs="Arial"/>
          <w:b/>
          <w:sz w:val="24"/>
          <w:szCs w:val="24"/>
          <w:lang w:val="en-US"/>
        </w:rPr>
        <w:t>, Tab 2, LRAMVA Threshold, Tables 2-b and 2-c</w:t>
      </w:r>
    </w:p>
    <w:p w14:paraId="2F5F47F9" w14:textId="77777777" w:rsidR="004D7D8A" w:rsidRPr="004D7D8A" w:rsidRDefault="004D7D8A" w:rsidP="004D7D8A">
      <w:pPr>
        <w:spacing w:after="0"/>
        <w:rPr>
          <w:rFonts w:ascii="Arial" w:hAnsi="Arial" w:cs="Arial"/>
          <w:sz w:val="24"/>
          <w:szCs w:val="24"/>
          <w:lang w:val="en-US"/>
        </w:rPr>
      </w:pPr>
    </w:p>
    <w:p w14:paraId="6964CC55" w14:textId="21435B91" w:rsidR="004D7D8A" w:rsidRPr="004D7D8A" w:rsidRDefault="004D7D8A" w:rsidP="004D7D8A">
      <w:pPr>
        <w:pStyle w:val="ListParagraph"/>
        <w:numPr>
          <w:ilvl w:val="0"/>
          <w:numId w:val="38"/>
        </w:numPr>
        <w:spacing w:after="0"/>
        <w:rPr>
          <w:rFonts w:ascii="Arial" w:hAnsi="Arial" w:cs="Arial"/>
          <w:sz w:val="24"/>
          <w:szCs w:val="24"/>
          <w:lang w:val="en-US"/>
        </w:rPr>
      </w:pPr>
      <w:r w:rsidRPr="004D7D8A">
        <w:rPr>
          <w:rFonts w:ascii="Arial" w:hAnsi="Arial" w:cs="Arial"/>
          <w:sz w:val="24"/>
          <w:szCs w:val="24"/>
          <w:lang w:val="en-US"/>
        </w:rPr>
        <w:t>Please confirm that the load forecast that has underpinned rates following the 2015 COS application (EB-2014-0099) is tha</w:t>
      </w:r>
      <w:r w:rsidR="00B372D9">
        <w:rPr>
          <w:rFonts w:ascii="Arial" w:hAnsi="Arial" w:cs="Arial"/>
          <w:sz w:val="24"/>
          <w:szCs w:val="24"/>
          <w:lang w:val="en-US"/>
        </w:rPr>
        <w:t>t which is included within the E</w:t>
      </w:r>
      <w:r w:rsidRPr="004D7D8A">
        <w:rPr>
          <w:rFonts w:ascii="Arial" w:hAnsi="Arial" w:cs="Arial"/>
          <w:sz w:val="24"/>
          <w:szCs w:val="24"/>
          <w:lang w:val="en-US"/>
        </w:rPr>
        <w:t xml:space="preserve">xcel file from the 2015 COS proceeding titled “North Bay 2015 Load Forecast </w:t>
      </w:r>
      <w:proofErr w:type="spellStart"/>
      <w:r w:rsidRPr="004D7D8A">
        <w:rPr>
          <w:rFonts w:ascii="Arial" w:hAnsi="Arial" w:cs="Arial"/>
          <w:sz w:val="24"/>
          <w:szCs w:val="24"/>
          <w:lang w:val="en-US"/>
        </w:rPr>
        <w:t>Model_Settlement</w:t>
      </w:r>
      <w:proofErr w:type="spellEnd"/>
      <w:r w:rsidRPr="004D7D8A">
        <w:rPr>
          <w:rFonts w:ascii="Arial" w:hAnsi="Arial" w:cs="Arial"/>
          <w:sz w:val="24"/>
          <w:szCs w:val="24"/>
          <w:lang w:val="en-US"/>
        </w:rPr>
        <w:t>”.</w:t>
      </w:r>
    </w:p>
    <w:p w14:paraId="5AFFB8DC" w14:textId="77777777" w:rsidR="004D7D8A" w:rsidRPr="004D7D8A" w:rsidRDefault="004D7D8A" w:rsidP="004D7D8A">
      <w:pPr>
        <w:numPr>
          <w:ilvl w:val="0"/>
          <w:numId w:val="38"/>
        </w:numPr>
        <w:spacing w:after="0"/>
        <w:rPr>
          <w:rFonts w:ascii="Arial" w:hAnsi="Arial" w:cs="Arial"/>
          <w:sz w:val="24"/>
          <w:szCs w:val="24"/>
          <w:lang w:val="en-US"/>
        </w:rPr>
      </w:pPr>
      <w:r w:rsidRPr="004D7D8A">
        <w:rPr>
          <w:rFonts w:ascii="Arial" w:hAnsi="Arial" w:cs="Arial"/>
          <w:sz w:val="24"/>
          <w:szCs w:val="24"/>
          <w:lang w:val="en-US"/>
        </w:rPr>
        <w:t>Please confirm that the LRAMVA threshold used to determine the requested lost revenue amounts in this application is consistent with the load forecast value that has been used to determine rates following the 2015 COS proceeding.</w:t>
      </w:r>
    </w:p>
    <w:p w14:paraId="1DCC1030" w14:textId="31E25850" w:rsidR="004D7D8A" w:rsidRDefault="004D7D8A" w:rsidP="00736C82">
      <w:pPr>
        <w:spacing w:after="0"/>
        <w:rPr>
          <w:rFonts w:ascii="Arial" w:hAnsi="Arial" w:cs="Arial"/>
          <w:sz w:val="24"/>
          <w:szCs w:val="24"/>
        </w:rPr>
      </w:pPr>
    </w:p>
    <w:p w14:paraId="0FF8ED7B" w14:textId="77777777" w:rsidR="002648A9" w:rsidRPr="00696906" w:rsidRDefault="002648A9" w:rsidP="002648A9">
      <w:pPr>
        <w:spacing w:after="0"/>
        <w:jc w:val="both"/>
        <w:rPr>
          <w:rFonts w:ascii="Arial" w:hAnsi="Arial" w:cs="Arial"/>
          <w:b/>
          <w:bCs/>
          <w:sz w:val="24"/>
          <w:szCs w:val="24"/>
          <w:u w:val="single"/>
        </w:rPr>
      </w:pPr>
      <w:r w:rsidRPr="00696906">
        <w:rPr>
          <w:rFonts w:ascii="Arial" w:hAnsi="Arial" w:cs="Arial"/>
          <w:b/>
          <w:bCs/>
          <w:sz w:val="24"/>
          <w:szCs w:val="24"/>
          <w:u w:val="single"/>
        </w:rPr>
        <w:t>Response</w:t>
      </w:r>
    </w:p>
    <w:p w14:paraId="5BBB4FEA" w14:textId="77777777" w:rsidR="002648A9" w:rsidRDefault="002648A9" w:rsidP="002648A9">
      <w:pPr>
        <w:spacing w:after="0"/>
        <w:rPr>
          <w:rFonts w:ascii="Arial" w:hAnsi="Arial" w:cs="Arial"/>
          <w:sz w:val="24"/>
          <w:szCs w:val="24"/>
          <w:lang w:val="en-US"/>
        </w:rPr>
      </w:pPr>
    </w:p>
    <w:p w14:paraId="3BF5A1BE" w14:textId="77777777" w:rsidR="002648A9" w:rsidRDefault="002648A9" w:rsidP="002648A9">
      <w:pPr>
        <w:pStyle w:val="ListParagraph"/>
        <w:numPr>
          <w:ilvl w:val="0"/>
          <w:numId w:val="49"/>
        </w:numPr>
        <w:spacing w:after="0"/>
        <w:rPr>
          <w:rFonts w:ascii="Arial" w:hAnsi="Arial" w:cs="Arial"/>
          <w:sz w:val="24"/>
          <w:szCs w:val="24"/>
          <w:lang w:val="en-US"/>
        </w:rPr>
      </w:pPr>
      <w:r>
        <w:rPr>
          <w:rFonts w:ascii="Arial" w:hAnsi="Arial" w:cs="Arial"/>
          <w:sz w:val="24"/>
          <w:szCs w:val="24"/>
          <w:lang w:val="en-US"/>
        </w:rPr>
        <w:t xml:space="preserve">NBHDL confirms that the load forecast that underpinned rates following the 2015 COS application (EB-2014-0099)) is that which is included within the Excel file from the 201 COS </w:t>
      </w:r>
      <w:proofErr w:type="spellStart"/>
      <w:r>
        <w:rPr>
          <w:rFonts w:ascii="Arial" w:hAnsi="Arial" w:cs="Arial"/>
          <w:sz w:val="24"/>
          <w:szCs w:val="24"/>
          <w:lang w:val="en-US"/>
        </w:rPr>
        <w:t>preceeding</w:t>
      </w:r>
      <w:proofErr w:type="spellEnd"/>
      <w:r>
        <w:rPr>
          <w:rFonts w:ascii="Arial" w:hAnsi="Arial" w:cs="Arial"/>
          <w:sz w:val="24"/>
          <w:szCs w:val="24"/>
          <w:lang w:val="en-US"/>
        </w:rPr>
        <w:t xml:space="preserve"> titled “North Bay 2015 Load Forecast Model Settlement”.</w:t>
      </w:r>
    </w:p>
    <w:p w14:paraId="594AD8C7" w14:textId="6D6E8EC5" w:rsidR="002648A9" w:rsidRPr="002648A9" w:rsidRDefault="002648A9" w:rsidP="002648A9">
      <w:pPr>
        <w:pStyle w:val="ListParagraph"/>
        <w:numPr>
          <w:ilvl w:val="0"/>
          <w:numId w:val="49"/>
        </w:numPr>
        <w:spacing w:after="0"/>
        <w:rPr>
          <w:rFonts w:ascii="Arial" w:hAnsi="Arial" w:cs="Arial"/>
          <w:sz w:val="24"/>
          <w:szCs w:val="24"/>
          <w:lang w:val="en-US"/>
        </w:rPr>
      </w:pPr>
      <w:r>
        <w:rPr>
          <w:rFonts w:ascii="Arial" w:hAnsi="Arial" w:cs="Arial"/>
          <w:sz w:val="24"/>
          <w:szCs w:val="24"/>
          <w:lang w:val="en-US"/>
        </w:rPr>
        <w:t>NBHDL confirms that the LRAMVA threshold used</w:t>
      </w:r>
      <w:r w:rsidR="00EE6E16" w:rsidRPr="00EE6E16">
        <w:t xml:space="preserve"> </w:t>
      </w:r>
      <w:r w:rsidR="00EE6E16" w:rsidRPr="00EE6E16">
        <w:rPr>
          <w:rFonts w:ascii="Arial" w:hAnsi="Arial" w:cs="Arial"/>
          <w:sz w:val="24"/>
          <w:szCs w:val="24"/>
          <w:lang w:val="en-US"/>
        </w:rPr>
        <w:t xml:space="preserve">to determine the requested lost revenue amounts in this application is consistent with the load forecast value that has been used to determine rates following the 2015 COS proceeding. The derivation of the LRAMVA threshold is discussed in detail on pp.12-13 of the </w:t>
      </w:r>
      <w:proofErr w:type="spellStart"/>
      <w:r w:rsidR="00EE6E16" w:rsidRPr="00EE6E16">
        <w:rPr>
          <w:rFonts w:ascii="Arial" w:hAnsi="Arial" w:cs="Arial"/>
          <w:sz w:val="24"/>
          <w:szCs w:val="24"/>
          <w:lang w:val="en-US"/>
        </w:rPr>
        <w:t>IndEco</w:t>
      </w:r>
      <w:proofErr w:type="spellEnd"/>
      <w:r w:rsidR="00EE6E16" w:rsidRPr="00EE6E16">
        <w:rPr>
          <w:rFonts w:ascii="Arial" w:hAnsi="Arial" w:cs="Arial"/>
          <w:sz w:val="24"/>
          <w:szCs w:val="24"/>
          <w:lang w:val="en-US"/>
        </w:rPr>
        <w:t xml:space="preserve"> report which is at Appendix G in the application (PDF page 124).</w:t>
      </w:r>
    </w:p>
    <w:p w14:paraId="276B3392" w14:textId="77777777" w:rsidR="002648A9" w:rsidRPr="00750C77" w:rsidRDefault="002648A9" w:rsidP="002648A9">
      <w:pPr>
        <w:spacing w:after="0"/>
        <w:ind w:left="720"/>
        <w:rPr>
          <w:rFonts w:ascii="Arial" w:hAnsi="Arial" w:cs="Arial"/>
          <w:sz w:val="24"/>
          <w:szCs w:val="24"/>
          <w:lang w:val="en-US"/>
        </w:rPr>
      </w:pPr>
    </w:p>
    <w:p w14:paraId="5362CA54" w14:textId="77777777" w:rsidR="002648A9" w:rsidRDefault="002648A9" w:rsidP="00736C82">
      <w:pPr>
        <w:spacing w:after="0"/>
        <w:rPr>
          <w:rFonts w:ascii="Arial" w:hAnsi="Arial" w:cs="Arial"/>
          <w:sz w:val="24"/>
          <w:szCs w:val="24"/>
        </w:rPr>
      </w:pPr>
    </w:p>
    <w:sectPr w:rsidR="002648A9" w:rsidSect="00EA0919">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D04B9" w14:textId="77777777" w:rsidR="009D5DC4" w:rsidRDefault="009D5DC4" w:rsidP="0091388E">
      <w:pPr>
        <w:spacing w:after="0" w:line="240" w:lineRule="auto"/>
      </w:pPr>
      <w:r>
        <w:separator/>
      </w:r>
    </w:p>
  </w:endnote>
  <w:endnote w:type="continuationSeparator" w:id="0">
    <w:p w14:paraId="70C3E6C2" w14:textId="77777777" w:rsidR="009D5DC4" w:rsidRDefault="009D5DC4" w:rsidP="00913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30475"/>
      <w:docPartObj>
        <w:docPartGallery w:val="Page Numbers (Bottom of Page)"/>
        <w:docPartUnique/>
      </w:docPartObj>
    </w:sdtPr>
    <w:sdtEndPr>
      <w:rPr>
        <w:noProof/>
      </w:rPr>
    </w:sdtEndPr>
    <w:sdtContent>
      <w:p w14:paraId="51C2EED2" w14:textId="6A87AB9E" w:rsidR="00C67267" w:rsidRDefault="00C67267">
        <w:pPr>
          <w:pStyle w:val="Footer"/>
          <w:jc w:val="right"/>
        </w:pPr>
        <w:r>
          <w:fldChar w:fldCharType="begin"/>
        </w:r>
        <w:r>
          <w:instrText xml:space="preserve"> PAGE   \* MERGEFORMAT </w:instrText>
        </w:r>
        <w:r>
          <w:fldChar w:fldCharType="separate"/>
        </w:r>
        <w:r w:rsidR="00750C77">
          <w:rPr>
            <w:noProof/>
          </w:rPr>
          <w:t>7</w:t>
        </w:r>
        <w:r>
          <w:rPr>
            <w:noProof/>
          </w:rPr>
          <w:fldChar w:fldCharType="end"/>
        </w:r>
      </w:p>
    </w:sdtContent>
  </w:sdt>
  <w:p w14:paraId="3E50CBBA" w14:textId="77777777" w:rsidR="00C67267" w:rsidRDefault="00C67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8A781" w14:textId="77777777" w:rsidR="009D5DC4" w:rsidRDefault="009D5DC4" w:rsidP="0091388E">
      <w:pPr>
        <w:spacing w:after="0" w:line="240" w:lineRule="auto"/>
      </w:pPr>
      <w:r>
        <w:separator/>
      </w:r>
    </w:p>
  </w:footnote>
  <w:footnote w:type="continuationSeparator" w:id="0">
    <w:p w14:paraId="1E8AC78D" w14:textId="77777777" w:rsidR="009D5DC4" w:rsidRDefault="009D5DC4" w:rsidP="0091388E">
      <w:pPr>
        <w:spacing w:after="0" w:line="240" w:lineRule="auto"/>
      </w:pPr>
      <w:r>
        <w:continuationSeparator/>
      </w:r>
    </w:p>
  </w:footnote>
  <w:footnote w:id="1">
    <w:p w14:paraId="19EAF2FC" w14:textId="77777777" w:rsidR="008970F1" w:rsidRPr="00991B22" w:rsidRDefault="008970F1" w:rsidP="008970F1">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EB-2018-0057</w:t>
      </w:r>
    </w:p>
  </w:footnote>
  <w:footnote w:id="2">
    <w:p w14:paraId="657866A4" w14:textId="77777777" w:rsidR="008970F1" w:rsidRPr="00854B1A" w:rsidRDefault="008970F1" w:rsidP="008970F1">
      <w:pPr>
        <w:pStyle w:val="FootnoteText"/>
        <w:rPr>
          <w:rFonts w:ascii="Arial" w:hAnsi="Arial" w:cs="Arial"/>
          <w:lang w:val="en-US"/>
        </w:rPr>
      </w:pPr>
      <w:r w:rsidRPr="00854B1A">
        <w:rPr>
          <w:rStyle w:val="FootnoteReference"/>
          <w:rFonts w:ascii="Arial" w:hAnsi="Arial" w:cs="Arial"/>
        </w:rPr>
        <w:footnoteRef/>
      </w:r>
      <w:r w:rsidRPr="00854B1A">
        <w:rPr>
          <w:rFonts w:ascii="Arial" w:hAnsi="Arial" w:cs="Arial"/>
        </w:rPr>
        <w:t xml:space="preserve"> EB-2018-0057, 2019 IRM Decision and Rate Order, March 28, 2019, page 6 &amp; 7</w:t>
      </w:r>
    </w:p>
  </w:footnote>
  <w:footnote w:id="3">
    <w:p w14:paraId="57068B27" w14:textId="77777777" w:rsidR="008970F1" w:rsidRPr="00991B22" w:rsidRDefault="008970F1" w:rsidP="008970F1">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EB-2017-0065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1BD"/>
    <w:multiLevelType w:val="hybridMultilevel"/>
    <w:tmpl w:val="D296775A"/>
    <w:lvl w:ilvl="0" w:tplc="844CD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41AAC"/>
    <w:multiLevelType w:val="hybridMultilevel"/>
    <w:tmpl w:val="16DC5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A22"/>
    <w:multiLevelType w:val="hybridMultilevel"/>
    <w:tmpl w:val="AD82E2F6"/>
    <w:lvl w:ilvl="0" w:tplc="E70AED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A46C8"/>
    <w:multiLevelType w:val="hybridMultilevel"/>
    <w:tmpl w:val="58169948"/>
    <w:lvl w:ilvl="0" w:tplc="E0BA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A70AA"/>
    <w:multiLevelType w:val="hybridMultilevel"/>
    <w:tmpl w:val="1F64A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D7F6B"/>
    <w:multiLevelType w:val="hybridMultilevel"/>
    <w:tmpl w:val="7AE6525C"/>
    <w:lvl w:ilvl="0" w:tplc="7F2E8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6445E"/>
    <w:multiLevelType w:val="hybridMultilevel"/>
    <w:tmpl w:val="927AD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701F2"/>
    <w:multiLevelType w:val="hybridMultilevel"/>
    <w:tmpl w:val="265E4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723CE"/>
    <w:multiLevelType w:val="hybridMultilevel"/>
    <w:tmpl w:val="0DE6A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26852"/>
    <w:multiLevelType w:val="hybridMultilevel"/>
    <w:tmpl w:val="A6C8C84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293D90"/>
    <w:multiLevelType w:val="hybridMultilevel"/>
    <w:tmpl w:val="D7F46E80"/>
    <w:lvl w:ilvl="0" w:tplc="3C7239C2">
      <w:numFmt w:val="bullet"/>
      <w:lvlText w:val="-"/>
      <w:lvlJc w:val="left"/>
      <w:pPr>
        <w:ind w:left="1440" w:hanging="720"/>
      </w:pPr>
      <w:rPr>
        <w:rFonts w:ascii="Arial" w:eastAsiaTheme="minorHAnsi" w:hAnsi="Arial"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5A1BE8"/>
    <w:multiLevelType w:val="hybridMultilevel"/>
    <w:tmpl w:val="34FC30C6"/>
    <w:lvl w:ilvl="0" w:tplc="9E14FB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F3F50"/>
    <w:multiLevelType w:val="hybridMultilevel"/>
    <w:tmpl w:val="8980688A"/>
    <w:lvl w:ilvl="0" w:tplc="172C7C9E">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84B98"/>
    <w:multiLevelType w:val="hybridMultilevel"/>
    <w:tmpl w:val="9BCC8F5A"/>
    <w:lvl w:ilvl="0" w:tplc="C92A0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87E35"/>
    <w:multiLevelType w:val="hybridMultilevel"/>
    <w:tmpl w:val="6486D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27366"/>
    <w:multiLevelType w:val="hybridMultilevel"/>
    <w:tmpl w:val="4F9EC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53ABC"/>
    <w:multiLevelType w:val="hybridMultilevel"/>
    <w:tmpl w:val="07DCF008"/>
    <w:lvl w:ilvl="0" w:tplc="C05E49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F4F41"/>
    <w:multiLevelType w:val="hybridMultilevel"/>
    <w:tmpl w:val="75DAA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0645E"/>
    <w:multiLevelType w:val="hybridMultilevel"/>
    <w:tmpl w:val="5CE05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E7748"/>
    <w:multiLevelType w:val="hybridMultilevel"/>
    <w:tmpl w:val="93E42A94"/>
    <w:lvl w:ilvl="0" w:tplc="3758A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83D5B"/>
    <w:multiLevelType w:val="hybridMultilevel"/>
    <w:tmpl w:val="FFD070A6"/>
    <w:lvl w:ilvl="0" w:tplc="F7E8188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F460D"/>
    <w:multiLevelType w:val="hybridMultilevel"/>
    <w:tmpl w:val="EB501818"/>
    <w:lvl w:ilvl="0" w:tplc="BD2231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A1B65"/>
    <w:multiLevelType w:val="hybridMultilevel"/>
    <w:tmpl w:val="FC166F22"/>
    <w:lvl w:ilvl="0" w:tplc="F7F074A8">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C9E4735"/>
    <w:multiLevelType w:val="hybridMultilevel"/>
    <w:tmpl w:val="47669AD8"/>
    <w:lvl w:ilvl="0" w:tplc="B524CE24">
      <w:start w:val="1"/>
      <w:numFmt w:val="decimal"/>
      <w:lvlText w:val="%1)"/>
      <w:lvlJc w:val="left"/>
      <w:pPr>
        <w:ind w:left="1440" w:hanging="72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A6378F"/>
    <w:multiLevelType w:val="hybridMultilevel"/>
    <w:tmpl w:val="C7C20EBA"/>
    <w:lvl w:ilvl="0" w:tplc="798EB58C">
      <w:start w:val="1"/>
      <w:numFmt w:val="lowerLetter"/>
      <w:lvlText w:val="(%1)"/>
      <w:lvlJc w:val="left"/>
      <w:pPr>
        <w:ind w:left="1440" w:hanging="72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E47AC4"/>
    <w:multiLevelType w:val="hybridMultilevel"/>
    <w:tmpl w:val="A2788756"/>
    <w:lvl w:ilvl="0" w:tplc="6EB22388">
      <w:start w:val="1"/>
      <w:numFmt w:val="lowerLetter"/>
      <w:lvlText w:val="(%1)"/>
      <w:lvlJc w:val="left"/>
      <w:pPr>
        <w:ind w:left="720" w:hanging="360"/>
      </w:pPr>
      <w:rPr>
        <w:rFonts w:ascii="Arial" w:eastAsiaTheme="minorHAnsi" w:hAnsi="Arial" w:cs="Arial"/>
      </w:rPr>
    </w:lvl>
    <w:lvl w:ilvl="1" w:tplc="98903C44">
      <w:numFmt w:val="bullet"/>
      <w:lvlText w:val="–"/>
      <w:lvlJc w:val="left"/>
      <w:pPr>
        <w:ind w:left="1440" w:hanging="360"/>
      </w:pPr>
      <w:rPr>
        <w:rFonts w:ascii="Arial" w:eastAsiaTheme="minorHAnsi" w:hAnsi="Arial" w:cs="Arial" w:hint="default"/>
      </w:rPr>
    </w:lvl>
    <w:lvl w:ilvl="2" w:tplc="932C9658">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AE24B8"/>
    <w:multiLevelType w:val="hybridMultilevel"/>
    <w:tmpl w:val="C95C439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5D0B7C"/>
    <w:multiLevelType w:val="hybridMultilevel"/>
    <w:tmpl w:val="A5D2E776"/>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993A74"/>
    <w:multiLevelType w:val="hybridMultilevel"/>
    <w:tmpl w:val="2620E0CE"/>
    <w:lvl w:ilvl="0" w:tplc="98F44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E172A"/>
    <w:multiLevelType w:val="hybridMultilevel"/>
    <w:tmpl w:val="365A8338"/>
    <w:lvl w:ilvl="0" w:tplc="8DB61BE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F6DC8"/>
    <w:multiLevelType w:val="hybridMultilevel"/>
    <w:tmpl w:val="717C1438"/>
    <w:lvl w:ilvl="0" w:tplc="085E6A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A675AF"/>
    <w:multiLevelType w:val="hybridMultilevel"/>
    <w:tmpl w:val="AFC00A0C"/>
    <w:lvl w:ilvl="0" w:tplc="EF74F8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E97C38"/>
    <w:multiLevelType w:val="hybridMultilevel"/>
    <w:tmpl w:val="3C2CC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A53EA7"/>
    <w:multiLevelType w:val="hybridMultilevel"/>
    <w:tmpl w:val="2250C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7B192C"/>
    <w:multiLevelType w:val="hybridMultilevel"/>
    <w:tmpl w:val="F568550A"/>
    <w:lvl w:ilvl="0" w:tplc="8F30A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F13B7"/>
    <w:multiLevelType w:val="hybridMultilevel"/>
    <w:tmpl w:val="AACE3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D3C1D"/>
    <w:multiLevelType w:val="hybridMultilevel"/>
    <w:tmpl w:val="2250C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042EB6"/>
    <w:multiLevelType w:val="hybridMultilevel"/>
    <w:tmpl w:val="949CC27C"/>
    <w:lvl w:ilvl="0" w:tplc="04090011">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76254D"/>
    <w:multiLevelType w:val="hybridMultilevel"/>
    <w:tmpl w:val="A5D2E776"/>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0C18AC"/>
    <w:multiLevelType w:val="hybridMultilevel"/>
    <w:tmpl w:val="1F321D06"/>
    <w:lvl w:ilvl="0" w:tplc="5DCE42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72952"/>
    <w:multiLevelType w:val="hybridMultilevel"/>
    <w:tmpl w:val="B0B23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13817"/>
    <w:multiLevelType w:val="hybridMultilevel"/>
    <w:tmpl w:val="EA9C05B4"/>
    <w:lvl w:ilvl="0" w:tplc="2260269A">
      <w:start w:val="1"/>
      <w:numFmt w:val="lowerLetter"/>
      <w:lvlText w:val="(%1)"/>
      <w:lvlJc w:val="left"/>
      <w:pPr>
        <w:ind w:left="432" w:hanging="360"/>
      </w:pPr>
      <w:rPr>
        <w:rFonts w:ascii="Arial" w:eastAsia="Calibri" w:hAnsi="Arial" w:cs="Arial"/>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2" w15:restartNumberingAfterBreak="0">
    <w:nsid w:val="6E532356"/>
    <w:multiLevelType w:val="hybridMultilevel"/>
    <w:tmpl w:val="7004D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411C23"/>
    <w:multiLevelType w:val="hybridMultilevel"/>
    <w:tmpl w:val="388CC258"/>
    <w:lvl w:ilvl="0" w:tplc="B74427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C54976"/>
    <w:multiLevelType w:val="hybridMultilevel"/>
    <w:tmpl w:val="F35828B4"/>
    <w:lvl w:ilvl="0" w:tplc="FD540F1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530981"/>
    <w:multiLevelType w:val="hybridMultilevel"/>
    <w:tmpl w:val="F4B43042"/>
    <w:lvl w:ilvl="0" w:tplc="AC0CF1F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7C047B"/>
    <w:multiLevelType w:val="hybridMultilevel"/>
    <w:tmpl w:val="77206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24A6B"/>
    <w:multiLevelType w:val="hybridMultilevel"/>
    <w:tmpl w:val="8190E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391335"/>
    <w:multiLevelType w:val="hybridMultilevel"/>
    <w:tmpl w:val="3B08E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28"/>
  </w:num>
  <w:num w:numId="4">
    <w:abstractNumId w:val="5"/>
  </w:num>
  <w:num w:numId="5">
    <w:abstractNumId w:val="21"/>
  </w:num>
  <w:num w:numId="6">
    <w:abstractNumId w:val="45"/>
  </w:num>
  <w:num w:numId="7">
    <w:abstractNumId w:val="20"/>
  </w:num>
  <w:num w:numId="8">
    <w:abstractNumId w:val="41"/>
  </w:num>
  <w:num w:numId="9">
    <w:abstractNumId w:val="44"/>
  </w:num>
  <w:num w:numId="10">
    <w:abstractNumId w:val="42"/>
  </w:num>
  <w:num w:numId="11">
    <w:abstractNumId w:val="1"/>
  </w:num>
  <w:num w:numId="12">
    <w:abstractNumId w:val="48"/>
  </w:num>
  <w:num w:numId="13">
    <w:abstractNumId w:val="35"/>
  </w:num>
  <w:num w:numId="14">
    <w:abstractNumId w:val="17"/>
  </w:num>
  <w:num w:numId="15">
    <w:abstractNumId w:val="12"/>
  </w:num>
  <w:num w:numId="16">
    <w:abstractNumId w:val="25"/>
  </w:num>
  <w:num w:numId="17">
    <w:abstractNumId w:val="23"/>
  </w:num>
  <w:num w:numId="18">
    <w:abstractNumId w:val="47"/>
  </w:num>
  <w:num w:numId="19">
    <w:abstractNumId w:val="40"/>
  </w:num>
  <w:num w:numId="20">
    <w:abstractNumId w:val="16"/>
  </w:num>
  <w:num w:numId="21">
    <w:abstractNumId w:val="15"/>
  </w:num>
  <w:num w:numId="22">
    <w:abstractNumId w:val="7"/>
  </w:num>
  <w:num w:numId="23">
    <w:abstractNumId w:val="8"/>
  </w:num>
  <w:num w:numId="24">
    <w:abstractNumId w:val="31"/>
  </w:num>
  <w:num w:numId="25">
    <w:abstractNumId w:val="4"/>
  </w:num>
  <w:num w:numId="26">
    <w:abstractNumId w:val="43"/>
  </w:num>
  <w:num w:numId="27">
    <w:abstractNumId w:val="24"/>
  </w:num>
  <w:num w:numId="28">
    <w:abstractNumId w:val="0"/>
  </w:num>
  <w:num w:numId="29">
    <w:abstractNumId w:val="30"/>
  </w:num>
  <w:num w:numId="30">
    <w:abstractNumId w:val="9"/>
  </w:num>
  <w:num w:numId="31">
    <w:abstractNumId w:val="10"/>
  </w:num>
  <w:num w:numId="32">
    <w:abstractNumId w:val="37"/>
  </w:num>
  <w:num w:numId="33">
    <w:abstractNumId w:val="27"/>
  </w:num>
  <w:num w:numId="34">
    <w:abstractNumId w:val="26"/>
  </w:num>
  <w:num w:numId="35">
    <w:abstractNumId w:val="38"/>
  </w:num>
  <w:num w:numId="36">
    <w:abstractNumId w:val="3"/>
  </w:num>
  <w:num w:numId="37">
    <w:abstractNumId w:val="14"/>
  </w:num>
  <w:num w:numId="38">
    <w:abstractNumId w:val="29"/>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2"/>
  </w:num>
  <w:num w:numId="42">
    <w:abstractNumId w:val="18"/>
  </w:num>
  <w:num w:numId="43">
    <w:abstractNumId w:val="46"/>
  </w:num>
  <w:num w:numId="44">
    <w:abstractNumId w:val="2"/>
  </w:num>
  <w:num w:numId="45">
    <w:abstractNumId w:val="34"/>
  </w:num>
  <w:num w:numId="46">
    <w:abstractNumId w:val="11"/>
  </w:num>
  <w:num w:numId="47">
    <w:abstractNumId w:val="39"/>
  </w:num>
  <w:num w:numId="48">
    <w:abstractNumId w:val="36"/>
  </w:num>
  <w:num w:numId="49">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3794"/>
    <w:rsid w:val="00024560"/>
    <w:rsid w:val="00027364"/>
    <w:rsid w:val="0003073C"/>
    <w:rsid w:val="00035337"/>
    <w:rsid w:val="00047D05"/>
    <w:rsid w:val="00052210"/>
    <w:rsid w:val="00054071"/>
    <w:rsid w:val="0006126D"/>
    <w:rsid w:val="00067F57"/>
    <w:rsid w:val="00070542"/>
    <w:rsid w:val="00071BEC"/>
    <w:rsid w:val="00074514"/>
    <w:rsid w:val="000832D4"/>
    <w:rsid w:val="00090160"/>
    <w:rsid w:val="000A350D"/>
    <w:rsid w:val="000B3E7E"/>
    <w:rsid w:val="000C7C5D"/>
    <w:rsid w:val="000D223C"/>
    <w:rsid w:val="000D7E8A"/>
    <w:rsid w:val="000D7EC3"/>
    <w:rsid w:val="000E28EB"/>
    <w:rsid w:val="000E4006"/>
    <w:rsid w:val="000F1E3A"/>
    <w:rsid w:val="00100CF4"/>
    <w:rsid w:val="00112EFF"/>
    <w:rsid w:val="001136A2"/>
    <w:rsid w:val="00116733"/>
    <w:rsid w:val="0012374A"/>
    <w:rsid w:val="00147064"/>
    <w:rsid w:val="00157F4A"/>
    <w:rsid w:val="00164E99"/>
    <w:rsid w:val="0017167A"/>
    <w:rsid w:val="00176895"/>
    <w:rsid w:val="0017733C"/>
    <w:rsid w:val="00183CC8"/>
    <w:rsid w:val="00187E9B"/>
    <w:rsid w:val="001927C2"/>
    <w:rsid w:val="001A4DCD"/>
    <w:rsid w:val="001B0536"/>
    <w:rsid w:val="001C148C"/>
    <w:rsid w:val="001F46E9"/>
    <w:rsid w:val="001F560C"/>
    <w:rsid w:val="00203092"/>
    <w:rsid w:val="002208C0"/>
    <w:rsid w:val="00224C06"/>
    <w:rsid w:val="0025687C"/>
    <w:rsid w:val="002648A9"/>
    <w:rsid w:val="0026490C"/>
    <w:rsid w:val="00266927"/>
    <w:rsid w:val="00274A48"/>
    <w:rsid w:val="00291CCC"/>
    <w:rsid w:val="0029299F"/>
    <w:rsid w:val="002A21C0"/>
    <w:rsid w:val="002A6415"/>
    <w:rsid w:val="002B4629"/>
    <w:rsid w:val="002B7B7C"/>
    <w:rsid w:val="002C1918"/>
    <w:rsid w:val="002C26C9"/>
    <w:rsid w:val="002C2BF2"/>
    <w:rsid w:val="002C68B8"/>
    <w:rsid w:val="002C7EF6"/>
    <w:rsid w:val="002F4756"/>
    <w:rsid w:val="00302509"/>
    <w:rsid w:val="003049C5"/>
    <w:rsid w:val="003259CC"/>
    <w:rsid w:val="00335FBB"/>
    <w:rsid w:val="003379D1"/>
    <w:rsid w:val="00340C00"/>
    <w:rsid w:val="003413C3"/>
    <w:rsid w:val="003457C3"/>
    <w:rsid w:val="00347F94"/>
    <w:rsid w:val="00357B19"/>
    <w:rsid w:val="003679CF"/>
    <w:rsid w:val="003702D1"/>
    <w:rsid w:val="00373FAD"/>
    <w:rsid w:val="003777B5"/>
    <w:rsid w:val="00377E24"/>
    <w:rsid w:val="003832E7"/>
    <w:rsid w:val="00385F0A"/>
    <w:rsid w:val="003A20A0"/>
    <w:rsid w:val="003A56D3"/>
    <w:rsid w:val="003A58B0"/>
    <w:rsid w:val="003B6BF8"/>
    <w:rsid w:val="003C2A19"/>
    <w:rsid w:val="003D1590"/>
    <w:rsid w:val="00400DFC"/>
    <w:rsid w:val="00412DC6"/>
    <w:rsid w:val="00421A07"/>
    <w:rsid w:val="00424FB9"/>
    <w:rsid w:val="00433FAA"/>
    <w:rsid w:val="004377B0"/>
    <w:rsid w:val="00443FDF"/>
    <w:rsid w:val="004450AB"/>
    <w:rsid w:val="00451FE4"/>
    <w:rsid w:val="0045331E"/>
    <w:rsid w:val="00472C81"/>
    <w:rsid w:val="00475032"/>
    <w:rsid w:val="004859EF"/>
    <w:rsid w:val="0048635E"/>
    <w:rsid w:val="004B13AB"/>
    <w:rsid w:val="004B59B9"/>
    <w:rsid w:val="004C22E8"/>
    <w:rsid w:val="004D7D8A"/>
    <w:rsid w:val="004E5CF3"/>
    <w:rsid w:val="004F292B"/>
    <w:rsid w:val="005164F5"/>
    <w:rsid w:val="0052560F"/>
    <w:rsid w:val="00541762"/>
    <w:rsid w:val="00556778"/>
    <w:rsid w:val="00556E91"/>
    <w:rsid w:val="005666F2"/>
    <w:rsid w:val="00572064"/>
    <w:rsid w:val="00582C4D"/>
    <w:rsid w:val="00584369"/>
    <w:rsid w:val="00587A35"/>
    <w:rsid w:val="005B56FA"/>
    <w:rsid w:val="005C2E1B"/>
    <w:rsid w:val="005C7984"/>
    <w:rsid w:val="005D215B"/>
    <w:rsid w:val="005F4693"/>
    <w:rsid w:val="00614064"/>
    <w:rsid w:val="00622A5B"/>
    <w:rsid w:val="0064279A"/>
    <w:rsid w:val="00645F80"/>
    <w:rsid w:val="00652B84"/>
    <w:rsid w:val="00696906"/>
    <w:rsid w:val="006A5D23"/>
    <w:rsid w:val="006D36EF"/>
    <w:rsid w:val="006E3D58"/>
    <w:rsid w:val="006F33B0"/>
    <w:rsid w:val="006F7D0F"/>
    <w:rsid w:val="007041E8"/>
    <w:rsid w:val="00704EE5"/>
    <w:rsid w:val="007066E2"/>
    <w:rsid w:val="00722640"/>
    <w:rsid w:val="0073197E"/>
    <w:rsid w:val="00736C82"/>
    <w:rsid w:val="00746080"/>
    <w:rsid w:val="00746F6C"/>
    <w:rsid w:val="00750C77"/>
    <w:rsid w:val="00766FC3"/>
    <w:rsid w:val="007671C8"/>
    <w:rsid w:val="007678FB"/>
    <w:rsid w:val="007705DD"/>
    <w:rsid w:val="00771850"/>
    <w:rsid w:val="00772B57"/>
    <w:rsid w:val="00774DBD"/>
    <w:rsid w:val="00781D04"/>
    <w:rsid w:val="00792E3B"/>
    <w:rsid w:val="007A3D45"/>
    <w:rsid w:val="007B0197"/>
    <w:rsid w:val="007B70C7"/>
    <w:rsid w:val="007C2D45"/>
    <w:rsid w:val="007C3747"/>
    <w:rsid w:val="007D4DA8"/>
    <w:rsid w:val="007D55CA"/>
    <w:rsid w:val="007F49EB"/>
    <w:rsid w:val="00805FDA"/>
    <w:rsid w:val="00812C1B"/>
    <w:rsid w:val="008141CA"/>
    <w:rsid w:val="008357EF"/>
    <w:rsid w:val="00835AD0"/>
    <w:rsid w:val="00843A1D"/>
    <w:rsid w:val="00862C3B"/>
    <w:rsid w:val="008747B3"/>
    <w:rsid w:val="008813C3"/>
    <w:rsid w:val="008926F0"/>
    <w:rsid w:val="008964E8"/>
    <w:rsid w:val="008970F1"/>
    <w:rsid w:val="008A2134"/>
    <w:rsid w:val="008A48F6"/>
    <w:rsid w:val="008C32FC"/>
    <w:rsid w:val="008D1AEA"/>
    <w:rsid w:val="008E5B40"/>
    <w:rsid w:val="008E6045"/>
    <w:rsid w:val="008E6CBA"/>
    <w:rsid w:val="008E772A"/>
    <w:rsid w:val="0090113B"/>
    <w:rsid w:val="0091388E"/>
    <w:rsid w:val="00917B27"/>
    <w:rsid w:val="00927A9A"/>
    <w:rsid w:val="0093258A"/>
    <w:rsid w:val="0094373C"/>
    <w:rsid w:val="0094417B"/>
    <w:rsid w:val="00946DEE"/>
    <w:rsid w:val="00951E2B"/>
    <w:rsid w:val="00952939"/>
    <w:rsid w:val="00953EB6"/>
    <w:rsid w:val="00954332"/>
    <w:rsid w:val="00955C4A"/>
    <w:rsid w:val="00961EA0"/>
    <w:rsid w:val="00964B0B"/>
    <w:rsid w:val="00997F27"/>
    <w:rsid w:val="009A5C44"/>
    <w:rsid w:val="009B03AF"/>
    <w:rsid w:val="009B17CE"/>
    <w:rsid w:val="009C4216"/>
    <w:rsid w:val="009C48DB"/>
    <w:rsid w:val="009C4AA9"/>
    <w:rsid w:val="009D5DC4"/>
    <w:rsid w:val="009D5F4B"/>
    <w:rsid w:val="009D7441"/>
    <w:rsid w:val="009E626E"/>
    <w:rsid w:val="009E7CBF"/>
    <w:rsid w:val="009F1609"/>
    <w:rsid w:val="009F756C"/>
    <w:rsid w:val="00A034CC"/>
    <w:rsid w:val="00A07077"/>
    <w:rsid w:val="00A10860"/>
    <w:rsid w:val="00A1162D"/>
    <w:rsid w:val="00A50DD0"/>
    <w:rsid w:val="00A516B0"/>
    <w:rsid w:val="00A51D18"/>
    <w:rsid w:val="00A55CE8"/>
    <w:rsid w:val="00A5620A"/>
    <w:rsid w:val="00A62828"/>
    <w:rsid w:val="00A81F73"/>
    <w:rsid w:val="00A91710"/>
    <w:rsid w:val="00AA06D9"/>
    <w:rsid w:val="00AA1502"/>
    <w:rsid w:val="00AA2D5E"/>
    <w:rsid w:val="00AA579F"/>
    <w:rsid w:val="00AC2406"/>
    <w:rsid w:val="00AD04B9"/>
    <w:rsid w:val="00AD3FCF"/>
    <w:rsid w:val="00AD6BFA"/>
    <w:rsid w:val="00B03802"/>
    <w:rsid w:val="00B069AA"/>
    <w:rsid w:val="00B07C51"/>
    <w:rsid w:val="00B23A36"/>
    <w:rsid w:val="00B246EE"/>
    <w:rsid w:val="00B25576"/>
    <w:rsid w:val="00B25EF5"/>
    <w:rsid w:val="00B372D9"/>
    <w:rsid w:val="00B37721"/>
    <w:rsid w:val="00B41A96"/>
    <w:rsid w:val="00B50EB2"/>
    <w:rsid w:val="00B631D5"/>
    <w:rsid w:val="00B6722A"/>
    <w:rsid w:val="00B73D0B"/>
    <w:rsid w:val="00B82D78"/>
    <w:rsid w:val="00B96000"/>
    <w:rsid w:val="00BA434C"/>
    <w:rsid w:val="00BD24F4"/>
    <w:rsid w:val="00BD4F65"/>
    <w:rsid w:val="00BF0403"/>
    <w:rsid w:val="00BF23EB"/>
    <w:rsid w:val="00C01E66"/>
    <w:rsid w:val="00C01F4B"/>
    <w:rsid w:val="00C06F9E"/>
    <w:rsid w:val="00C13E6B"/>
    <w:rsid w:val="00C2370B"/>
    <w:rsid w:val="00C320DB"/>
    <w:rsid w:val="00C33DAF"/>
    <w:rsid w:val="00C41200"/>
    <w:rsid w:val="00C465DE"/>
    <w:rsid w:val="00C56C54"/>
    <w:rsid w:val="00C624D5"/>
    <w:rsid w:val="00C67267"/>
    <w:rsid w:val="00C848A0"/>
    <w:rsid w:val="00C878C5"/>
    <w:rsid w:val="00C96AEA"/>
    <w:rsid w:val="00CC0B6D"/>
    <w:rsid w:val="00CD764A"/>
    <w:rsid w:val="00CE1CD3"/>
    <w:rsid w:val="00CE4F01"/>
    <w:rsid w:val="00CE70DA"/>
    <w:rsid w:val="00CF4912"/>
    <w:rsid w:val="00D00027"/>
    <w:rsid w:val="00D261BB"/>
    <w:rsid w:val="00D266EE"/>
    <w:rsid w:val="00D374D9"/>
    <w:rsid w:val="00D46DED"/>
    <w:rsid w:val="00D55543"/>
    <w:rsid w:val="00D55546"/>
    <w:rsid w:val="00D61BB8"/>
    <w:rsid w:val="00D6213C"/>
    <w:rsid w:val="00D647C0"/>
    <w:rsid w:val="00D77694"/>
    <w:rsid w:val="00D77B0F"/>
    <w:rsid w:val="00DB6B52"/>
    <w:rsid w:val="00DC4D92"/>
    <w:rsid w:val="00DE0781"/>
    <w:rsid w:val="00DE1C56"/>
    <w:rsid w:val="00DE5488"/>
    <w:rsid w:val="00DE75AC"/>
    <w:rsid w:val="00DF5A52"/>
    <w:rsid w:val="00E17C58"/>
    <w:rsid w:val="00E231C2"/>
    <w:rsid w:val="00E24542"/>
    <w:rsid w:val="00E27366"/>
    <w:rsid w:val="00E34BD1"/>
    <w:rsid w:val="00E429DA"/>
    <w:rsid w:val="00E55367"/>
    <w:rsid w:val="00E61953"/>
    <w:rsid w:val="00E62AF4"/>
    <w:rsid w:val="00E62C2A"/>
    <w:rsid w:val="00E646DF"/>
    <w:rsid w:val="00E8586E"/>
    <w:rsid w:val="00E86635"/>
    <w:rsid w:val="00E96A06"/>
    <w:rsid w:val="00EA0919"/>
    <w:rsid w:val="00EA11EF"/>
    <w:rsid w:val="00EB5240"/>
    <w:rsid w:val="00EC0B55"/>
    <w:rsid w:val="00ED154C"/>
    <w:rsid w:val="00ED1E35"/>
    <w:rsid w:val="00EE6E16"/>
    <w:rsid w:val="00F034BF"/>
    <w:rsid w:val="00F05C93"/>
    <w:rsid w:val="00F1624A"/>
    <w:rsid w:val="00F233A3"/>
    <w:rsid w:val="00F266E7"/>
    <w:rsid w:val="00F26D30"/>
    <w:rsid w:val="00F348C2"/>
    <w:rsid w:val="00F35689"/>
    <w:rsid w:val="00F57152"/>
    <w:rsid w:val="00F7362C"/>
    <w:rsid w:val="00F756EA"/>
    <w:rsid w:val="00F857E3"/>
    <w:rsid w:val="00F86A59"/>
    <w:rsid w:val="00F92F61"/>
    <w:rsid w:val="00F97B74"/>
    <w:rsid w:val="00FA278C"/>
    <w:rsid w:val="00FA606D"/>
    <w:rsid w:val="00FB0513"/>
    <w:rsid w:val="00FB6F10"/>
    <w:rsid w:val="00FC4CF8"/>
    <w:rsid w:val="00FC5DA7"/>
    <w:rsid w:val="00FD0482"/>
    <w:rsid w:val="00FE3902"/>
    <w:rsid w:val="00FF3F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1267"/>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1388E"/>
    <w:pPr>
      <w:spacing w:after="0" w:line="240" w:lineRule="auto"/>
    </w:pPr>
    <w:rPr>
      <w:sz w:val="20"/>
      <w:szCs w:val="20"/>
    </w:rPr>
  </w:style>
  <w:style w:type="character" w:customStyle="1" w:styleId="FootnoteTextChar">
    <w:name w:val="Footnote Text Char"/>
    <w:basedOn w:val="DefaultParagraphFont"/>
    <w:link w:val="FootnoteText"/>
    <w:rsid w:val="0091388E"/>
    <w:rPr>
      <w:sz w:val="20"/>
      <w:szCs w:val="20"/>
    </w:rPr>
  </w:style>
  <w:style w:type="character" w:styleId="FootnoteReference">
    <w:name w:val="footnote reference"/>
    <w:basedOn w:val="DefaultParagraphFont"/>
    <w:unhideWhenUsed/>
    <w:rsid w:val="0091388E"/>
    <w:rPr>
      <w:vertAlign w:val="superscript"/>
    </w:rPr>
  </w:style>
  <w:style w:type="character" w:styleId="Hyperlink">
    <w:name w:val="Hyperlink"/>
    <w:basedOn w:val="DefaultParagraphFont"/>
    <w:uiPriority w:val="99"/>
    <w:unhideWhenUsed/>
    <w:rsid w:val="0091388E"/>
    <w:rPr>
      <w:color w:val="0000FF" w:themeColor="hyperlink"/>
      <w:u w:val="single"/>
    </w:rPr>
  </w:style>
  <w:style w:type="paragraph" w:styleId="Header">
    <w:name w:val="header"/>
    <w:basedOn w:val="Normal"/>
    <w:link w:val="HeaderChar"/>
    <w:uiPriority w:val="99"/>
    <w:unhideWhenUsed/>
    <w:rsid w:val="0054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381055628">
      <w:bodyDiv w:val="1"/>
      <w:marLeft w:val="0"/>
      <w:marRight w:val="0"/>
      <w:marTop w:val="0"/>
      <w:marBottom w:val="0"/>
      <w:divBdr>
        <w:top w:val="none" w:sz="0" w:space="0" w:color="auto"/>
        <w:left w:val="none" w:sz="0" w:space="0" w:color="auto"/>
        <w:bottom w:val="none" w:sz="0" w:space="0" w:color="auto"/>
        <w:right w:val="none" w:sz="0" w:space="0" w:color="auto"/>
      </w:divBdr>
    </w:div>
    <w:div w:id="763913343">
      <w:bodyDiv w:val="1"/>
      <w:marLeft w:val="0"/>
      <w:marRight w:val="0"/>
      <w:marTop w:val="0"/>
      <w:marBottom w:val="0"/>
      <w:divBdr>
        <w:top w:val="none" w:sz="0" w:space="0" w:color="auto"/>
        <w:left w:val="none" w:sz="0" w:space="0" w:color="auto"/>
        <w:bottom w:val="none" w:sz="0" w:space="0" w:color="auto"/>
        <w:right w:val="none" w:sz="0" w:space="0" w:color="auto"/>
      </w:divBdr>
    </w:div>
    <w:div w:id="848953673">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69831037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30592-46B2-4329-B2CF-43C7F4CA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abramoma</dc:creator>
  <cp:lastModifiedBy>Micheal Roth</cp:lastModifiedBy>
  <cp:revision>22</cp:revision>
  <cp:lastPrinted>2014-09-29T14:43:00Z</cp:lastPrinted>
  <dcterms:created xsi:type="dcterms:W3CDTF">2019-12-18T16:09:00Z</dcterms:created>
  <dcterms:modified xsi:type="dcterms:W3CDTF">2020-01-28T14:19:00Z</dcterms:modified>
</cp:coreProperties>
</file>