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A6D90" w14:textId="77777777" w:rsidR="005A539A"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Appendix A</w:t>
      </w:r>
      <w:r w:rsidR="005A539A">
        <w:rPr>
          <w:rFonts w:ascii="Arial" w:eastAsia="Times New Roman" w:hAnsi="Arial" w:cs="Arial"/>
          <w:b/>
          <w:sz w:val="24"/>
          <w:szCs w:val="24"/>
        </w:rPr>
        <w:t xml:space="preserve"> </w:t>
      </w:r>
    </w:p>
    <w:p w14:paraId="50EA086D" w14:textId="77777777"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14:paraId="3D5212A4" w14:textId="77777777"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14:paraId="10A1FDA4" w14:textId="77777777" w:rsidR="00CF0A8B" w:rsidRPr="00CF0A8B" w:rsidRDefault="00CF0A8B" w:rsidP="001B699F">
      <w:pPr>
        <w:spacing w:after="0" w:line="276" w:lineRule="auto"/>
        <w:rPr>
          <w:rFonts w:ascii="Arial" w:eastAsia="Times New Roman" w:hAnsi="Arial" w:cs="Arial"/>
          <w:i/>
          <w:sz w:val="24"/>
          <w:szCs w:val="24"/>
        </w:rPr>
      </w:pPr>
    </w:p>
    <w:p w14:paraId="318C2ACF" w14:textId="77777777" w:rsidR="004C4A06" w:rsidRDefault="004C4A06"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Please complete the Table below</w:t>
      </w:r>
      <w:r w:rsidR="0033205D">
        <w:rPr>
          <w:rFonts w:ascii="Arial" w:eastAsia="Times New Roman" w:hAnsi="Arial" w:cs="Arial"/>
          <w:sz w:val="24"/>
          <w:szCs w:val="24"/>
        </w:rPr>
        <w:t xml:space="preserve"> for </w:t>
      </w:r>
      <w:r w:rsidR="00216893">
        <w:rPr>
          <w:rFonts w:ascii="Arial" w:eastAsia="Times New Roman" w:hAnsi="Arial" w:cs="Arial"/>
          <w:sz w:val="24"/>
          <w:szCs w:val="24"/>
        </w:rPr>
        <w:t xml:space="preserve">principal adjustments on the DVA Continuity Schedule for </w:t>
      </w:r>
      <w:r w:rsidR="0033205D">
        <w:rPr>
          <w:rFonts w:ascii="Arial" w:eastAsia="Times New Roman" w:hAnsi="Arial" w:cs="Arial"/>
          <w:sz w:val="24"/>
          <w:szCs w:val="24"/>
        </w:rPr>
        <w:t>Account 1588</w:t>
      </w:r>
      <w:r>
        <w:rPr>
          <w:rFonts w:ascii="Arial" w:eastAsia="Times New Roman" w:hAnsi="Arial" w:cs="Arial"/>
          <w:sz w:val="24"/>
          <w:szCs w:val="24"/>
        </w:rPr>
        <w:t>:</w:t>
      </w:r>
    </w:p>
    <w:p w14:paraId="695323CF" w14:textId="77777777" w:rsidR="004C4A06" w:rsidRDefault="004C4A06" w:rsidP="003F450A">
      <w:pPr>
        <w:pStyle w:val="ListParagraph"/>
        <w:spacing w:after="0" w:line="276" w:lineRule="auto"/>
        <w:rPr>
          <w:rFonts w:ascii="Arial" w:eastAsia="Times New Roman" w:hAnsi="Arial" w:cs="Arial"/>
          <w:sz w:val="24"/>
          <w:szCs w:val="24"/>
        </w:rPr>
      </w:pPr>
    </w:p>
    <w:tbl>
      <w:tblPr>
        <w:tblW w:w="9840" w:type="dxa"/>
        <w:tblLook w:val="04A0" w:firstRow="1" w:lastRow="0" w:firstColumn="1" w:lastColumn="0" w:noHBand="0" w:noVBand="1"/>
      </w:tblPr>
      <w:tblGrid>
        <w:gridCol w:w="6120"/>
        <w:gridCol w:w="1940"/>
        <w:gridCol w:w="1780"/>
      </w:tblGrid>
      <w:tr w:rsidR="0045412A" w:rsidRPr="0045412A" w14:paraId="1AFC6E84" w14:textId="77777777" w:rsidTr="003F450A">
        <w:trPr>
          <w:trHeight w:val="288"/>
        </w:trPr>
        <w:tc>
          <w:tcPr>
            <w:tcW w:w="6120" w:type="dxa"/>
            <w:tcBorders>
              <w:top w:val="nil"/>
              <w:left w:val="nil"/>
              <w:bottom w:val="nil"/>
              <w:right w:val="nil"/>
            </w:tcBorders>
            <w:shd w:val="clear" w:color="auto" w:fill="auto"/>
            <w:vAlign w:val="bottom"/>
            <w:hideMark/>
          </w:tcPr>
          <w:p w14:paraId="3591A985" w14:textId="77777777" w:rsidR="0045412A" w:rsidRPr="0045412A" w:rsidRDefault="0045412A" w:rsidP="0045412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1588 - 2018</w:t>
            </w:r>
          </w:p>
        </w:tc>
        <w:tc>
          <w:tcPr>
            <w:tcW w:w="1940" w:type="dxa"/>
            <w:tcBorders>
              <w:top w:val="nil"/>
              <w:left w:val="nil"/>
              <w:bottom w:val="nil"/>
              <w:right w:val="nil"/>
            </w:tcBorders>
            <w:shd w:val="clear" w:color="auto" w:fill="auto"/>
            <w:vAlign w:val="bottom"/>
            <w:hideMark/>
          </w:tcPr>
          <w:p w14:paraId="30212DAE" w14:textId="77777777" w:rsidR="0045412A" w:rsidRPr="0045412A" w:rsidRDefault="0045412A" w:rsidP="0045412A">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14:paraId="03E2484D" w14:textId="77777777" w:rsidR="0045412A" w:rsidRPr="0045412A" w:rsidRDefault="0045412A" w:rsidP="0045412A">
            <w:pPr>
              <w:spacing w:after="0" w:line="240" w:lineRule="auto"/>
              <w:jc w:val="center"/>
              <w:rPr>
                <w:rFonts w:ascii="Times New Roman" w:eastAsia="Times New Roman" w:hAnsi="Times New Roman" w:cs="Times New Roman"/>
                <w:sz w:val="20"/>
                <w:szCs w:val="20"/>
              </w:rPr>
            </w:pPr>
          </w:p>
        </w:tc>
      </w:tr>
      <w:tr w:rsidR="0045412A" w:rsidRPr="0045412A" w14:paraId="071A3250" w14:textId="77777777" w:rsidTr="003F450A">
        <w:trPr>
          <w:trHeight w:val="288"/>
        </w:trPr>
        <w:tc>
          <w:tcPr>
            <w:tcW w:w="6120" w:type="dxa"/>
            <w:tcBorders>
              <w:top w:val="nil"/>
              <w:left w:val="nil"/>
              <w:bottom w:val="nil"/>
              <w:right w:val="nil"/>
            </w:tcBorders>
            <w:shd w:val="clear" w:color="auto" w:fill="auto"/>
            <w:vAlign w:val="bottom"/>
            <w:hideMark/>
          </w:tcPr>
          <w:p w14:paraId="61288ECD" w14:textId="77777777" w:rsidR="0045412A" w:rsidRPr="0045412A" w:rsidRDefault="0045412A" w:rsidP="0045412A">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14:paraId="6BFB27EF" w14:textId="77777777" w:rsidR="0045412A" w:rsidRPr="0045412A" w:rsidRDefault="0045412A" w:rsidP="0045412A">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14:paraId="1D37F762" w14:textId="77777777" w:rsidR="0045412A" w:rsidRPr="0045412A" w:rsidRDefault="0045412A" w:rsidP="0045412A">
            <w:pPr>
              <w:spacing w:after="0" w:line="240" w:lineRule="auto"/>
              <w:rPr>
                <w:rFonts w:ascii="Times New Roman" w:eastAsia="Times New Roman" w:hAnsi="Times New Roman" w:cs="Times New Roman"/>
                <w:sz w:val="20"/>
                <w:szCs w:val="20"/>
              </w:rPr>
            </w:pPr>
          </w:p>
        </w:tc>
      </w:tr>
      <w:tr w:rsidR="0045412A" w:rsidRPr="0045412A" w14:paraId="18E40EA8" w14:textId="77777777" w:rsidTr="003F450A">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1308D406" w14:textId="77777777" w:rsidR="0045412A" w:rsidRPr="0045412A" w:rsidRDefault="0045412A" w:rsidP="0045412A">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A9D0E" w14:textId="77777777" w:rsidR="0045412A" w:rsidRPr="0045412A" w:rsidRDefault="0045412A" w:rsidP="0045412A">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808BE" w14:textId="77777777" w:rsidR="0045412A" w:rsidRPr="003F450A" w:rsidRDefault="0045412A" w:rsidP="008A5869">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45412A" w:rsidRPr="0045412A" w14:paraId="01C6FA35" w14:textId="77777777"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0E43" w14:textId="77777777"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Balance December 31, 2018</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E1E6" w14:textId="19DCE863"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484,163</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6E53249" w14:textId="32F55F81" w:rsidR="0045412A" w:rsidRPr="0045412A" w:rsidRDefault="0045412A" w:rsidP="001D5B85">
            <w:pPr>
              <w:spacing w:after="0" w:line="240" w:lineRule="auto"/>
              <w:jc w:val="center"/>
              <w:rPr>
                <w:rFonts w:ascii="Calibri" w:eastAsia="Times New Roman" w:hAnsi="Calibri" w:cs="Calibri"/>
                <w:color w:val="000000"/>
              </w:rPr>
            </w:pPr>
          </w:p>
        </w:tc>
      </w:tr>
      <w:tr w:rsidR="00A860E1" w:rsidRPr="0045412A" w14:paraId="538A9895" w14:textId="77777777" w:rsidTr="00AE161B">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7502" w14:textId="77777777" w:rsidR="00A860E1" w:rsidRPr="0045412A" w:rsidRDefault="00A860E1" w:rsidP="00A860E1">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45412A" w:rsidRPr="0045412A" w14:paraId="376E5F88" w14:textId="77777777"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C6838" w14:textId="77777777"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6E8E4" w14:textId="34AC3ADA"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1D50" w14:textId="0A5D94B5" w:rsidR="0045412A" w:rsidRPr="0045412A" w:rsidRDefault="00B746E2" w:rsidP="00B746E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45412A" w:rsidRPr="0045412A" w14:paraId="35C684B1" w14:textId="77777777"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3AA3E" w14:textId="77777777"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6CB17" w14:textId="0181270E"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9FE88" w14:textId="0542A41C" w:rsidR="0045412A" w:rsidRPr="0045412A" w:rsidRDefault="00B746E2" w:rsidP="00B746E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45412A" w:rsidRPr="0045412A" w14:paraId="45AADF1B" w14:textId="77777777"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D599D" w14:textId="77777777"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39150" w14:textId="7874CBDC"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A6329" w14:textId="33BDC237" w:rsidR="0045412A" w:rsidRPr="0045412A" w:rsidRDefault="00B746E2" w:rsidP="00B746E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45412A" w:rsidRPr="0045412A" w14:paraId="2D877FBF" w14:textId="77777777"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DE606" w14:textId="77777777" w:rsidR="0045412A" w:rsidRPr="003F450A" w:rsidRDefault="0045412A" w:rsidP="003F450A">
            <w:pPr>
              <w:pStyle w:val="ListParagraph"/>
              <w:numPr>
                <w:ilvl w:val="0"/>
                <w:numId w:val="37"/>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AE5E81" w14:textId="6A78E758"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6C4B0A" w14:textId="06557087" w:rsidR="0045412A" w:rsidRPr="0045412A" w:rsidRDefault="00B746E2" w:rsidP="00B746E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45412A" w:rsidRPr="0045412A" w14:paraId="72AAD8B6" w14:textId="77777777"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C964E" w14:textId="77777777" w:rsidR="0045412A" w:rsidRPr="0045412A" w:rsidRDefault="0045412A" w:rsidP="003F450A">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F18F6" w14:textId="0E404BCE"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4D5B0D" w14:textId="2B486E4C" w:rsidR="0045412A" w:rsidRPr="0045412A" w:rsidRDefault="0045412A" w:rsidP="00B746E2">
            <w:pPr>
              <w:spacing w:after="0" w:line="240" w:lineRule="auto"/>
              <w:jc w:val="center"/>
              <w:rPr>
                <w:rFonts w:ascii="Calibri" w:eastAsia="Times New Roman" w:hAnsi="Calibri" w:cs="Calibri"/>
                <w:color w:val="000000"/>
              </w:rPr>
            </w:pPr>
          </w:p>
        </w:tc>
      </w:tr>
      <w:tr w:rsidR="0045412A" w:rsidRPr="0045412A" w14:paraId="3A48873D" w14:textId="77777777" w:rsidTr="003F450A">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1F48B9E7" w14:textId="77777777" w:rsidR="0045412A" w:rsidRPr="0045412A" w:rsidRDefault="0045412A" w:rsidP="0045412A">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44108917" w14:textId="77777777" w:rsidR="0045412A" w:rsidRPr="0045412A" w:rsidRDefault="0045412A" w:rsidP="00B746E2">
            <w:pPr>
              <w:spacing w:after="0" w:line="240" w:lineRule="auto"/>
              <w:jc w:val="center"/>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14:paraId="49681DB5" w14:textId="77777777" w:rsidR="0045412A" w:rsidRPr="0045412A" w:rsidRDefault="0045412A" w:rsidP="0045412A">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A860E1" w:rsidRPr="0045412A" w14:paraId="3DA2F370" w14:textId="77777777" w:rsidTr="00CC7F8F">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0AE0" w14:textId="77777777" w:rsidR="00A860E1" w:rsidRPr="0045412A" w:rsidRDefault="00A860E1" w:rsidP="00A860E1">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45412A" w:rsidRPr="0045412A" w14:paraId="0F01D2AB" w14:textId="77777777"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F524" w14:textId="77777777"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63DAB" w14:textId="07940CB1"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678AFEB" w14:textId="342AABAD" w:rsidR="0045412A"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45412A" w:rsidRPr="0045412A" w14:paraId="4C5301D7" w14:textId="77777777"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AD2E" w14:textId="77777777"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FAD5A" w14:textId="340F3C5F"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51A4843" w14:textId="77CF40BB" w:rsidR="0045412A"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45412A" w:rsidRPr="0045412A" w14:paraId="3413A955" w14:textId="77777777" w:rsidTr="003F450A">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A643B" w14:textId="77777777"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FE15" w14:textId="1498697C"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-258,268</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0172C85" w14:textId="63013BEA" w:rsidR="0045412A"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45412A" w:rsidRPr="0045412A" w14:paraId="2C793D20" w14:textId="77777777" w:rsidTr="003F450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3F280" w14:textId="77777777" w:rsidR="0045412A" w:rsidRPr="003F450A" w:rsidRDefault="0045412A"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w:t>
            </w:r>
            <w:r w:rsidR="008E5BF1" w:rsidRPr="003F450A">
              <w:rPr>
                <w:rFonts w:ascii="Calibri" w:eastAsia="Times New Roman" w:hAnsi="Calibri" w:cs="Calibri"/>
                <w:color w:val="000000"/>
              </w:rPr>
              <w:t>R</w:t>
            </w:r>
            <w:r w:rsidRPr="003F450A">
              <w:rPr>
                <w:rFonts w:ascii="Calibri" w:eastAsia="Times New Roman" w:hAnsi="Calibri" w:cs="Calibri"/>
                <w:color w:val="000000"/>
              </w:rPr>
              <w:t>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036C" w14:textId="45E55CD1"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C0F27DE" w14:textId="41A01632" w:rsidR="0045412A"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8E5BF1" w:rsidRPr="0045412A" w14:paraId="1C5FC8F1" w14:textId="77777777" w:rsidTr="003F450A">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422AC76C" w14:textId="77777777" w:rsidR="008E5BF1" w:rsidRPr="003F450A" w:rsidRDefault="008E5BF1" w:rsidP="003F450A">
            <w:pPr>
              <w:pStyle w:val="ListParagraph"/>
              <w:numPr>
                <w:ilvl w:val="0"/>
                <w:numId w:val="37"/>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1490E" w14:textId="7EB9CB9F" w:rsidR="008E5BF1"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43CCA196" w14:textId="035D4640" w:rsidR="008E5BF1"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45412A" w:rsidRPr="0045412A" w14:paraId="3E892EC4" w14:textId="77777777"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8A0A" w14:textId="77777777"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855DB" w14:textId="3BE72477"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-258,268</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42A38D" w14:textId="0562E80D" w:rsidR="0045412A"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45412A" w:rsidRPr="0045412A" w14:paraId="07D59987" w14:textId="77777777" w:rsidTr="003F450A">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3E72D" w14:textId="77777777"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8783F" w14:textId="2C3D3D95"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-258,268</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009ECFE" w14:textId="5AB6FF14" w:rsidR="0045412A" w:rsidRPr="0045412A" w:rsidRDefault="00B746E2" w:rsidP="002F7EE5">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45412A" w:rsidRPr="0045412A" w14:paraId="2C294162" w14:textId="77777777" w:rsidTr="003F450A">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F8DEF" w14:textId="77777777" w:rsidR="0045412A" w:rsidRPr="0045412A" w:rsidRDefault="0045412A" w:rsidP="0045412A">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 xml:space="preserve">Bal. For </w:t>
            </w:r>
            <w:r w:rsidR="008E5BF1" w:rsidRPr="0045412A">
              <w:rPr>
                <w:rFonts w:ascii="Calibri" w:eastAsia="Times New Roman" w:hAnsi="Calibri" w:cs="Calibri"/>
                <w:b/>
                <w:bCs/>
                <w:color w:val="000000"/>
              </w:rPr>
              <w:t>Disposition</w:t>
            </w:r>
            <w:r w:rsidRPr="0045412A">
              <w:rPr>
                <w:rFonts w:ascii="Calibri" w:eastAsia="Times New Roman" w:hAnsi="Calibri" w:cs="Calibri"/>
                <w:b/>
                <w:bCs/>
                <w:color w:val="000000"/>
              </w:rPr>
              <w:t xml:space="preserve">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E503" w14:textId="09651FC2" w:rsidR="0045412A" w:rsidRPr="0045412A" w:rsidRDefault="00B746E2" w:rsidP="00B746E2">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742,431</w:t>
            </w:r>
            <w:bookmarkStart w:id="0" w:name="_GoBack"/>
            <w:bookmarkEnd w:id="0"/>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2F2801B" w14:textId="41D521FA" w:rsidR="0045412A" w:rsidRPr="0045412A" w:rsidRDefault="0045412A" w:rsidP="001D5B85">
            <w:pPr>
              <w:spacing w:after="0" w:line="240" w:lineRule="auto"/>
              <w:jc w:val="center"/>
              <w:rPr>
                <w:rFonts w:ascii="Calibri" w:eastAsia="Times New Roman" w:hAnsi="Calibri" w:cs="Calibri"/>
                <w:color w:val="000000"/>
              </w:rPr>
            </w:pPr>
          </w:p>
        </w:tc>
      </w:tr>
      <w:tr w:rsidR="0045412A" w:rsidRPr="0045412A" w14:paraId="241FE310" w14:textId="77777777" w:rsidTr="005231C3">
        <w:trPr>
          <w:trHeight w:val="300"/>
        </w:trPr>
        <w:tc>
          <w:tcPr>
            <w:tcW w:w="6120" w:type="dxa"/>
            <w:tcBorders>
              <w:top w:val="single" w:sz="4" w:space="0" w:color="auto"/>
              <w:left w:val="nil"/>
              <w:bottom w:val="single" w:sz="4" w:space="0" w:color="auto"/>
              <w:right w:val="nil"/>
            </w:tcBorders>
            <w:shd w:val="clear" w:color="auto" w:fill="auto"/>
            <w:noWrap/>
            <w:vAlign w:val="bottom"/>
            <w:hideMark/>
          </w:tcPr>
          <w:p w14:paraId="45BE2193" w14:textId="77777777" w:rsidR="0045412A" w:rsidRPr="0045412A" w:rsidRDefault="0045412A" w:rsidP="0045412A">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2A1ACE22" w14:textId="77777777" w:rsidR="0045412A" w:rsidRPr="0045412A" w:rsidRDefault="0045412A" w:rsidP="0045412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auto" w:fill="auto"/>
            <w:noWrap/>
            <w:vAlign w:val="bottom"/>
            <w:hideMark/>
          </w:tcPr>
          <w:p w14:paraId="6162BE00" w14:textId="77777777" w:rsidR="0045412A" w:rsidRPr="0045412A" w:rsidRDefault="0045412A" w:rsidP="0045412A">
            <w:pPr>
              <w:spacing w:after="0" w:line="240" w:lineRule="auto"/>
              <w:rPr>
                <w:rFonts w:ascii="Times New Roman" w:eastAsia="Times New Roman" w:hAnsi="Times New Roman" w:cs="Times New Roman"/>
                <w:sz w:val="20"/>
                <w:szCs w:val="20"/>
              </w:rPr>
            </w:pPr>
          </w:p>
        </w:tc>
      </w:tr>
      <w:tr w:rsidR="005231C3" w:rsidRPr="0045412A" w14:paraId="624B3B9B" w14:textId="77777777" w:rsidTr="003F450A">
        <w:trPr>
          <w:trHeight w:val="300"/>
        </w:trPr>
        <w:tc>
          <w:tcPr>
            <w:tcW w:w="6120" w:type="dxa"/>
            <w:tcBorders>
              <w:top w:val="single" w:sz="4" w:space="0" w:color="auto"/>
              <w:left w:val="nil"/>
              <w:bottom w:val="nil"/>
              <w:right w:val="nil"/>
            </w:tcBorders>
            <w:shd w:val="clear" w:color="auto" w:fill="auto"/>
            <w:noWrap/>
            <w:vAlign w:val="bottom"/>
          </w:tcPr>
          <w:p w14:paraId="190F4497" w14:textId="77777777" w:rsidR="005231C3" w:rsidRPr="0045412A" w:rsidRDefault="005231C3" w:rsidP="0045412A">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tcPr>
          <w:p w14:paraId="79C704F5" w14:textId="77777777" w:rsidR="005231C3" w:rsidRPr="0045412A" w:rsidRDefault="005231C3" w:rsidP="0045412A">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tcPr>
          <w:p w14:paraId="63161C5E" w14:textId="77777777" w:rsidR="005231C3" w:rsidRPr="0045412A" w:rsidRDefault="005231C3" w:rsidP="0045412A">
            <w:pPr>
              <w:spacing w:after="0" w:line="240" w:lineRule="auto"/>
              <w:rPr>
                <w:rFonts w:ascii="Times New Roman" w:eastAsia="Times New Roman" w:hAnsi="Times New Roman" w:cs="Times New Roman"/>
                <w:sz w:val="20"/>
                <w:szCs w:val="20"/>
              </w:rPr>
            </w:pPr>
          </w:p>
        </w:tc>
      </w:tr>
    </w:tbl>
    <w:p w14:paraId="7656A737" w14:textId="4FC140A1" w:rsidR="0033205D" w:rsidRDefault="0033205D" w:rsidP="003F450A">
      <w:pPr>
        <w:pStyle w:val="ListParagraph"/>
        <w:spacing w:after="0" w:line="276" w:lineRule="auto"/>
        <w:rPr>
          <w:rFonts w:ascii="Arial" w:eastAsia="Times New Roman" w:hAnsi="Arial" w:cs="Arial"/>
          <w:sz w:val="24"/>
          <w:szCs w:val="24"/>
        </w:rPr>
      </w:pPr>
    </w:p>
    <w:tbl>
      <w:tblPr>
        <w:tblW w:w="9840" w:type="dxa"/>
        <w:tblLook w:val="04A0" w:firstRow="1" w:lastRow="0" w:firstColumn="1" w:lastColumn="0" w:noHBand="0" w:noVBand="1"/>
      </w:tblPr>
      <w:tblGrid>
        <w:gridCol w:w="6120"/>
        <w:gridCol w:w="1940"/>
        <w:gridCol w:w="1780"/>
      </w:tblGrid>
      <w:tr w:rsidR="005231C3" w:rsidRPr="0045412A" w14:paraId="5C82A8A8" w14:textId="77777777" w:rsidTr="00D77EAC">
        <w:trPr>
          <w:trHeight w:val="288"/>
        </w:trPr>
        <w:tc>
          <w:tcPr>
            <w:tcW w:w="6120" w:type="dxa"/>
            <w:tcBorders>
              <w:top w:val="nil"/>
              <w:left w:val="nil"/>
              <w:bottom w:val="nil"/>
              <w:right w:val="nil"/>
            </w:tcBorders>
            <w:shd w:val="clear" w:color="auto" w:fill="auto"/>
            <w:vAlign w:val="bottom"/>
            <w:hideMark/>
          </w:tcPr>
          <w:p w14:paraId="27739E4C" w14:textId="4F2B8EA2" w:rsidR="005231C3" w:rsidRPr="0045412A" w:rsidRDefault="005231C3" w:rsidP="00D77EAC">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w:t>
            </w:r>
            <w:r>
              <w:rPr>
                <w:rFonts w:ascii="Calibri" w:eastAsia="Times New Roman" w:hAnsi="Calibri" w:cs="Calibri"/>
                <w:b/>
                <w:bCs/>
                <w:color w:val="000000"/>
              </w:rPr>
              <w:t>7</w:t>
            </w:r>
          </w:p>
        </w:tc>
        <w:tc>
          <w:tcPr>
            <w:tcW w:w="1940" w:type="dxa"/>
            <w:tcBorders>
              <w:top w:val="nil"/>
              <w:left w:val="nil"/>
              <w:bottom w:val="nil"/>
              <w:right w:val="nil"/>
            </w:tcBorders>
            <w:shd w:val="clear" w:color="auto" w:fill="auto"/>
            <w:vAlign w:val="bottom"/>
            <w:hideMark/>
          </w:tcPr>
          <w:p w14:paraId="198C8DDF" w14:textId="77777777" w:rsidR="005231C3" w:rsidRPr="0045412A" w:rsidRDefault="005231C3" w:rsidP="00D77EAC">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14:paraId="402B69B2"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p>
        </w:tc>
      </w:tr>
      <w:tr w:rsidR="005231C3" w:rsidRPr="0045412A" w14:paraId="06C341FF" w14:textId="77777777" w:rsidTr="00D77EAC">
        <w:trPr>
          <w:trHeight w:val="288"/>
        </w:trPr>
        <w:tc>
          <w:tcPr>
            <w:tcW w:w="6120" w:type="dxa"/>
            <w:tcBorders>
              <w:top w:val="nil"/>
              <w:left w:val="nil"/>
              <w:bottom w:val="nil"/>
              <w:right w:val="nil"/>
            </w:tcBorders>
            <w:shd w:val="clear" w:color="auto" w:fill="auto"/>
            <w:vAlign w:val="bottom"/>
            <w:hideMark/>
          </w:tcPr>
          <w:p w14:paraId="1B8D0A74" w14:textId="77777777" w:rsidR="005231C3" w:rsidRPr="0045412A" w:rsidRDefault="005231C3" w:rsidP="00D77EAC">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14:paraId="0CD6BA51"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14:paraId="24B6756B" w14:textId="77777777" w:rsidR="005231C3" w:rsidRPr="0045412A" w:rsidRDefault="005231C3" w:rsidP="00D77EAC">
            <w:pPr>
              <w:spacing w:after="0" w:line="240" w:lineRule="auto"/>
              <w:rPr>
                <w:rFonts w:ascii="Times New Roman" w:eastAsia="Times New Roman" w:hAnsi="Times New Roman" w:cs="Times New Roman"/>
                <w:sz w:val="20"/>
                <w:szCs w:val="20"/>
              </w:rPr>
            </w:pPr>
          </w:p>
        </w:tc>
      </w:tr>
      <w:tr w:rsidR="005231C3" w:rsidRPr="003F450A" w14:paraId="7DFC5C3C" w14:textId="77777777" w:rsidTr="00D77EAC">
        <w:trPr>
          <w:trHeight w:val="1500"/>
        </w:trPr>
        <w:tc>
          <w:tcPr>
            <w:tcW w:w="6120" w:type="dxa"/>
            <w:tcBorders>
              <w:top w:val="nil"/>
              <w:left w:val="nil"/>
              <w:bottom w:val="single" w:sz="4" w:space="0" w:color="auto"/>
              <w:right w:val="single" w:sz="4" w:space="0" w:color="auto"/>
            </w:tcBorders>
            <w:shd w:val="clear" w:color="auto" w:fill="auto"/>
            <w:vAlign w:val="bottom"/>
            <w:hideMark/>
          </w:tcPr>
          <w:p w14:paraId="0BC788FD"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11FA" w14:textId="77777777" w:rsidR="005231C3" w:rsidRPr="0045412A" w:rsidRDefault="005231C3" w:rsidP="00D77EAC">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162EA" w14:textId="77777777" w:rsidR="005231C3" w:rsidRPr="003F450A" w:rsidRDefault="005231C3" w:rsidP="00D77EAC">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5231C3" w:rsidRPr="0045412A" w14:paraId="5D6D64EE" w14:textId="77777777" w:rsidTr="00D77EAC">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B5C19" w14:textId="40C7EF4E" w:rsidR="005231C3" w:rsidRPr="0045412A" w:rsidRDefault="005231C3" w:rsidP="00D77EAC">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Balance December 31, 201</w:t>
            </w:r>
            <w:r>
              <w:rPr>
                <w:rFonts w:ascii="Calibri" w:eastAsia="Times New Roman" w:hAnsi="Calibri" w:cs="Calibri"/>
                <w:b/>
                <w:bCs/>
                <w:color w:val="000000"/>
              </w:rPr>
              <w:t>7</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91BB4" w14:textId="18E0FF79"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76,545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2687C17" w14:textId="77777777" w:rsidR="005231C3" w:rsidRPr="0045412A" w:rsidRDefault="005231C3" w:rsidP="00D77EAC">
            <w:pPr>
              <w:spacing w:after="0" w:line="240" w:lineRule="auto"/>
              <w:jc w:val="center"/>
              <w:rPr>
                <w:rFonts w:ascii="Calibri" w:eastAsia="Times New Roman" w:hAnsi="Calibri" w:cs="Calibri"/>
                <w:color w:val="000000"/>
              </w:rPr>
            </w:pPr>
          </w:p>
        </w:tc>
      </w:tr>
      <w:tr w:rsidR="005231C3" w:rsidRPr="0045412A" w14:paraId="6CDC078B" w14:textId="77777777" w:rsidTr="00D77EAC">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5F1DA" w14:textId="77777777" w:rsidR="005231C3" w:rsidRPr="0045412A" w:rsidRDefault="005231C3" w:rsidP="00D77EAC">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5231C3" w:rsidRPr="0045412A" w14:paraId="6577B32A" w14:textId="77777777" w:rsidTr="00D77EA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A470C" w14:textId="12360932" w:rsidR="005231C3" w:rsidRPr="003F450A" w:rsidRDefault="005231C3" w:rsidP="005231C3">
            <w:pPr>
              <w:pStyle w:val="ListParagraph"/>
              <w:numPr>
                <w:ilvl w:val="0"/>
                <w:numId w:val="39"/>
              </w:numPr>
              <w:spacing w:after="0" w:line="240" w:lineRule="auto"/>
              <w:ind w:hanging="322"/>
              <w:rPr>
                <w:rFonts w:ascii="Calibri" w:eastAsia="Times New Roman" w:hAnsi="Calibri" w:cs="Calibri"/>
                <w:color w:val="000000"/>
              </w:rPr>
            </w:pPr>
            <w:r>
              <w:rPr>
                <w:rFonts w:ascii="Calibri" w:eastAsia="Times New Roman" w:hAnsi="Calibri" w:cs="Calibri"/>
                <w:color w:val="000000"/>
              </w:rPr>
              <w:t xml:space="preserve">   </w:t>
            </w: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47266"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58121"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5231C3" w:rsidRPr="0045412A" w14:paraId="132688B3" w14:textId="77777777" w:rsidTr="00D77EA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14CD7" w14:textId="77777777" w:rsidR="005231C3" w:rsidRPr="003F450A" w:rsidRDefault="005231C3" w:rsidP="005231C3">
            <w:pPr>
              <w:pStyle w:val="ListParagraph"/>
              <w:numPr>
                <w:ilvl w:val="0"/>
                <w:numId w:val="3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B43D"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863B9"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5231C3" w:rsidRPr="0045412A" w14:paraId="3486B1DB" w14:textId="77777777" w:rsidTr="00D77EA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7025C" w14:textId="77777777" w:rsidR="005231C3" w:rsidRPr="003F450A" w:rsidRDefault="005231C3" w:rsidP="005231C3">
            <w:pPr>
              <w:pStyle w:val="ListParagraph"/>
              <w:numPr>
                <w:ilvl w:val="0"/>
                <w:numId w:val="3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25A43"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AA2F"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5231C3" w:rsidRPr="0045412A" w14:paraId="3CB1DDE3" w14:textId="77777777" w:rsidTr="00D77EAC">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1DDE0" w14:textId="77777777" w:rsidR="005231C3" w:rsidRPr="003F450A" w:rsidRDefault="005231C3" w:rsidP="005231C3">
            <w:pPr>
              <w:pStyle w:val="ListParagraph"/>
              <w:numPr>
                <w:ilvl w:val="0"/>
                <w:numId w:val="39"/>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89A081"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F75AA"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5231C3" w:rsidRPr="0045412A" w14:paraId="2794C05E" w14:textId="77777777" w:rsidTr="00D77EAC">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A3339" w14:textId="77777777" w:rsidR="005231C3" w:rsidRPr="0045412A" w:rsidRDefault="005231C3" w:rsidP="00D77EAC">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BB872"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CFC3BB" w14:textId="77777777" w:rsidR="005231C3" w:rsidRPr="0045412A" w:rsidRDefault="005231C3" w:rsidP="00D77EAC">
            <w:pPr>
              <w:spacing w:after="0" w:line="240" w:lineRule="auto"/>
              <w:jc w:val="center"/>
              <w:rPr>
                <w:rFonts w:ascii="Calibri" w:eastAsia="Times New Roman" w:hAnsi="Calibri" w:cs="Calibri"/>
                <w:color w:val="000000"/>
              </w:rPr>
            </w:pPr>
          </w:p>
        </w:tc>
      </w:tr>
      <w:tr w:rsidR="005231C3" w:rsidRPr="0045412A" w14:paraId="65BF2FC7" w14:textId="77777777" w:rsidTr="00D77EAC">
        <w:trPr>
          <w:trHeight w:val="288"/>
        </w:trPr>
        <w:tc>
          <w:tcPr>
            <w:tcW w:w="6120" w:type="dxa"/>
            <w:tcBorders>
              <w:top w:val="single" w:sz="4" w:space="0" w:color="auto"/>
              <w:left w:val="nil"/>
              <w:bottom w:val="single" w:sz="4" w:space="0" w:color="auto"/>
              <w:right w:val="nil"/>
            </w:tcBorders>
            <w:shd w:val="clear" w:color="auto" w:fill="auto"/>
            <w:noWrap/>
            <w:vAlign w:val="bottom"/>
            <w:hideMark/>
          </w:tcPr>
          <w:p w14:paraId="10A48B20" w14:textId="77777777" w:rsidR="005231C3" w:rsidRPr="0045412A" w:rsidRDefault="005231C3" w:rsidP="00D77EAC">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14:paraId="137A0E37" w14:textId="77777777" w:rsidR="005231C3" w:rsidRPr="0045412A" w:rsidRDefault="005231C3" w:rsidP="00D77EAC">
            <w:pPr>
              <w:spacing w:after="0" w:line="240" w:lineRule="auto"/>
              <w:jc w:val="center"/>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14:paraId="4C800150" w14:textId="77777777" w:rsidR="005231C3" w:rsidRPr="0045412A" w:rsidRDefault="005231C3" w:rsidP="00D77EAC">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5231C3" w:rsidRPr="0045412A" w14:paraId="6D7E1842" w14:textId="77777777" w:rsidTr="00D77EAC">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8DDB3" w14:textId="77777777" w:rsidR="005231C3" w:rsidRPr="0045412A" w:rsidRDefault="005231C3" w:rsidP="00D77EAC">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5231C3" w:rsidRPr="0045412A" w14:paraId="04178B9C" w14:textId="77777777" w:rsidTr="00D77EA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7C1D" w14:textId="268AD2DA" w:rsidR="005231C3" w:rsidRPr="003F450A" w:rsidRDefault="005231C3" w:rsidP="005231C3">
            <w:pPr>
              <w:pStyle w:val="ListParagraph"/>
              <w:numPr>
                <w:ilvl w:val="0"/>
                <w:numId w:val="3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w:t>
            </w:r>
            <w:r>
              <w:rPr>
                <w:rFonts w:ascii="Calibri" w:eastAsia="Times New Roman" w:hAnsi="Calibri" w:cs="Calibri"/>
                <w:color w:val="000000"/>
              </w:rPr>
              <w:t>7</w:t>
            </w:r>
            <w:r w:rsidRPr="003F450A">
              <w:rPr>
                <w:rFonts w:ascii="Calibri" w:eastAsia="Times New Roman" w:hAnsi="Calibri" w:cs="Calibri"/>
                <w:color w:val="000000"/>
              </w:rPr>
              <w:t xml:space="preserve">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719CF"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615F9A9"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2DA7D43F" w14:textId="77777777" w:rsidTr="00D77EA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9087" w14:textId="2764A037" w:rsidR="005231C3" w:rsidRPr="003F450A" w:rsidRDefault="005231C3" w:rsidP="005231C3">
            <w:pPr>
              <w:pStyle w:val="ListParagraph"/>
              <w:numPr>
                <w:ilvl w:val="0"/>
                <w:numId w:val="3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w:t>
            </w:r>
            <w:r>
              <w:rPr>
                <w:rFonts w:ascii="Calibri" w:eastAsia="Times New Roman" w:hAnsi="Calibri" w:cs="Calibri"/>
                <w:color w:val="000000"/>
              </w:rPr>
              <w:t>7</w:t>
            </w:r>
            <w:r w:rsidRPr="003F450A">
              <w:rPr>
                <w:rFonts w:ascii="Calibri" w:eastAsia="Times New Roman" w:hAnsi="Calibri" w:cs="Calibri"/>
                <w:color w:val="000000"/>
              </w:rPr>
              <w:t xml:space="preserve"> consumption recorded in 201</w:t>
            </w:r>
            <w:r>
              <w:rPr>
                <w:rFonts w:ascii="Calibri" w:eastAsia="Times New Roman" w:hAnsi="Calibri" w:cs="Calibri"/>
                <w:color w:val="000000"/>
              </w:rPr>
              <w:t>8</w:t>
            </w:r>
            <w:r w:rsidRPr="003F450A">
              <w:rPr>
                <w:rFonts w:ascii="Calibri" w:eastAsia="Times New Roman" w:hAnsi="Calibri" w:cs="Calibri"/>
                <w:color w:val="000000"/>
              </w:rPr>
              <w:t xml:space="preserv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F01" w14:textId="1373322C" w:rsidR="005231C3" w:rsidRPr="0045412A" w:rsidRDefault="00477096"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CFA98A"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5F0F5536" w14:textId="77777777" w:rsidTr="00D77EAC">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648CF" w14:textId="283F490B" w:rsidR="005231C3" w:rsidRPr="003F450A" w:rsidRDefault="005231C3" w:rsidP="005231C3">
            <w:pPr>
              <w:pStyle w:val="ListParagraph"/>
              <w:numPr>
                <w:ilvl w:val="0"/>
                <w:numId w:val="3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w:t>
            </w:r>
            <w:r>
              <w:rPr>
                <w:rFonts w:ascii="Calibri" w:eastAsia="Times New Roman" w:hAnsi="Calibri" w:cs="Calibri"/>
                <w:color w:val="000000"/>
              </w:rPr>
              <w:t>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F176" w14:textId="0BA284EC"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873018D"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7669ABE3" w14:textId="77777777" w:rsidTr="00D77EAC">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4F465" w14:textId="5FA3FA21" w:rsidR="005231C3" w:rsidRPr="003F450A" w:rsidRDefault="005231C3" w:rsidP="005231C3">
            <w:pPr>
              <w:pStyle w:val="ListParagraph"/>
              <w:numPr>
                <w:ilvl w:val="0"/>
                <w:numId w:val="3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allocation of CT 148 based on actual 201</w:t>
            </w:r>
            <w:r>
              <w:rPr>
                <w:rFonts w:ascii="Calibri" w:eastAsia="Times New Roman" w:hAnsi="Calibri" w:cs="Calibri"/>
                <w:color w:val="000000"/>
              </w:rPr>
              <w:t>7</w:t>
            </w:r>
            <w:r w:rsidRPr="003F450A">
              <w:rPr>
                <w:rFonts w:ascii="Calibri" w:eastAsia="Times New Roman" w:hAnsi="Calibri" w:cs="Calibri"/>
                <w:color w:val="000000"/>
              </w:rPr>
              <w:t xml:space="preserve">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0C997"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228C36"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02930CB1" w14:textId="77777777" w:rsidTr="00D77EAC">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4EF40D1D" w14:textId="77777777" w:rsidR="005231C3" w:rsidRPr="003F450A" w:rsidRDefault="005231C3" w:rsidP="005231C3">
            <w:pPr>
              <w:pStyle w:val="ListParagraph"/>
              <w:numPr>
                <w:ilvl w:val="0"/>
                <w:numId w:val="39"/>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7EFE0" w14:textId="45587336" w:rsidR="005231C3" w:rsidRPr="0045412A" w:rsidRDefault="005231C3" w:rsidP="00D77EAC">
            <w:pPr>
              <w:spacing w:after="0" w:line="240" w:lineRule="auto"/>
              <w:jc w:val="center"/>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5CAA0BC9"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1BA68630" w14:textId="77777777" w:rsidTr="00D77EAC">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A0A4" w14:textId="437DEF86" w:rsidR="005231C3" w:rsidRPr="0045412A" w:rsidRDefault="005231C3" w:rsidP="00D77EAC">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w:t>
            </w:r>
            <w:r>
              <w:rPr>
                <w:rFonts w:ascii="Calibri" w:eastAsia="Times New Roman" w:hAnsi="Calibri" w:cs="Calibri"/>
                <w:b/>
                <w:bCs/>
                <w:color w:val="000000"/>
              </w:rPr>
              <w:t>7</w:t>
            </w:r>
            <w:r w:rsidRPr="0045412A">
              <w:rPr>
                <w:rFonts w:ascii="Calibri" w:eastAsia="Times New Roman" w:hAnsi="Calibri" w:cs="Calibri"/>
                <w:b/>
                <w:bCs/>
                <w:color w:val="000000"/>
              </w:rPr>
              <w:t xml:space="preserve">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9237" w14:textId="1BCA7BCE"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3E32244"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249A0DDC" w14:textId="77777777" w:rsidTr="00D77EAC">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6A019" w14:textId="1F381A17" w:rsidR="005231C3" w:rsidRPr="0045412A" w:rsidRDefault="005231C3" w:rsidP="00D77EAC">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w:t>
            </w:r>
            <w:r>
              <w:rPr>
                <w:rFonts w:ascii="Calibri" w:eastAsia="Times New Roman" w:hAnsi="Calibri" w:cs="Calibri"/>
                <w:b/>
                <w:bCs/>
                <w:color w:val="000000"/>
              </w:rPr>
              <w:t>7</w:t>
            </w:r>
            <w:r w:rsidRPr="0045412A">
              <w:rPr>
                <w:rFonts w:ascii="Calibri" w:eastAsia="Times New Roman" w:hAnsi="Calibri" w:cs="Calibri"/>
                <w:b/>
                <w:bCs/>
                <w:color w:val="000000"/>
              </w:rPr>
              <w:t xml:space="preserve">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8D5EC" w14:textId="0FEE8ECD"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A63755C" w14:textId="77777777"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5231C3" w:rsidRPr="0045412A" w14:paraId="3AC75325" w14:textId="77777777" w:rsidTr="00D77EAC">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276AE" w14:textId="77777777" w:rsidR="005231C3" w:rsidRPr="0045412A" w:rsidRDefault="005231C3" w:rsidP="00D77EAC">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Bal. For Disposition - 1588 (should match Total Claim column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FCF2B" w14:textId="7ECC22DC" w:rsidR="005231C3" w:rsidRPr="0045412A" w:rsidRDefault="005231C3" w:rsidP="00D77EAC">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00477096">
              <w:rPr>
                <w:rFonts w:ascii="Calibri" w:eastAsia="Times New Roman" w:hAnsi="Calibri" w:cs="Calibri"/>
                <w:color w:val="000000"/>
              </w:rPr>
              <w:t>-76,545</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9B9C49" w14:textId="77777777" w:rsidR="005231C3" w:rsidRPr="0045412A" w:rsidRDefault="005231C3" w:rsidP="00D77EAC">
            <w:pPr>
              <w:spacing w:after="0" w:line="240" w:lineRule="auto"/>
              <w:jc w:val="center"/>
              <w:rPr>
                <w:rFonts w:ascii="Calibri" w:eastAsia="Times New Roman" w:hAnsi="Calibri" w:cs="Calibri"/>
                <w:color w:val="000000"/>
              </w:rPr>
            </w:pPr>
          </w:p>
        </w:tc>
      </w:tr>
    </w:tbl>
    <w:p w14:paraId="43D95035" w14:textId="02E6D46E" w:rsidR="005231C3" w:rsidRDefault="005231C3" w:rsidP="005231C3">
      <w:pPr>
        <w:pStyle w:val="ListParagraph"/>
        <w:spacing w:after="0" w:line="276" w:lineRule="auto"/>
        <w:ind w:left="360"/>
        <w:jc w:val="both"/>
        <w:rPr>
          <w:rFonts w:ascii="Arial" w:eastAsia="Times New Roman" w:hAnsi="Arial" w:cs="Arial"/>
          <w:sz w:val="24"/>
          <w:szCs w:val="24"/>
        </w:rPr>
      </w:pPr>
    </w:p>
    <w:p w14:paraId="6C7024E6" w14:textId="25447A74" w:rsidR="005231C3" w:rsidRDefault="005231C3" w:rsidP="003F450A">
      <w:pPr>
        <w:pStyle w:val="ListParagraph"/>
        <w:spacing w:after="0" w:line="276" w:lineRule="auto"/>
        <w:rPr>
          <w:rFonts w:ascii="Arial" w:eastAsia="Times New Roman" w:hAnsi="Arial" w:cs="Arial"/>
          <w:sz w:val="24"/>
          <w:szCs w:val="24"/>
        </w:rPr>
      </w:pPr>
    </w:p>
    <w:p w14:paraId="4F1A781A" w14:textId="7B0EE35A" w:rsidR="005231C3" w:rsidRDefault="005231C3" w:rsidP="003F450A">
      <w:pPr>
        <w:pStyle w:val="ListParagraph"/>
        <w:spacing w:after="0" w:line="276" w:lineRule="auto"/>
        <w:rPr>
          <w:rFonts w:ascii="Arial" w:eastAsia="Times New Roman" w:hAnsi="Arial" w:cs="Arial"/>
          <w:sz w:val="24"/>
          <w:szCs w:val="24"/>
        </w:rPr>
      </w:pPr>
    </w:p>
    <w:p w14:paraId="0534FA1F" w14:textId="5C6C25A4" w:rsidR="005231C3" w:rsidRDefault="005231C3" w:rsidP="003F450A">
      <w:pPr>
        <w:pStyle w:val="ListParagraph"/>
        <w:spacing w:after="0" w:line="276" w:lineRule="auto"/>
        <w:rPr>
          <w:rFonts w:ascii="Arial" w:eastAsia="Times New Roman" w:hAnsi="Arial" w:cs="Arial"/>
          <w:sz w:val="24"/>
          <w:szCs w:val="24"/>
        </w:rPr>
      </w:pPr>
    </w:p>
    <w:p w14:paraId="3BECEF20" w14:textId="0B9E83B5" w:rsidR="005231C3" w:rsidRDefault="005231C3" w:rsidP="003F450A">
      <w:pPr>
        <w:pStyle w:val="ListParagraph"/>
        <w:spacing w:after="0" w:line="276" w:lineRule="auto"/>
        <w:rPr>
          <w:rFonts w:ascii="Arial" w:eastAsia="Times New Roman" w:hAnsi="Arial" w:cs="Arial"/>
          <w:sz w:val="24"/>
          <w:szCs w:val="24"/>
        </w:rPr>
      </w:pPr>
    </w:p>
    <w:p w14:paraId="5B2F6B81" w14:textId="453C08E8" w:rsidR="005231C3" w:rsidRDefault="005231C3" w:rsidP="003F450A">
      <w:pPr>
        <w:pStyle w:val="ListParagraph"/>
        <w:spacing w:after="0" w:line="276" w:lineRule="auto"/>
        <w:rPr>
          <w:rFonts w:ascii="Arial" w:eastAsia="Times New Roman" w:hAnsi="Arial" w:cs="Arial"/>
          <w:sz w:val="24"/>
          <w:szCs w:val="24"/>
        </w:rPr>
      </w:pPr>
    </w:p>
    <w:p w14:paraId="2B2E8C57" w14:textId="33CABA33" w:rsidR="005231C3" w:rsidRDefault="005231C3" w:rsidP="003F450A">
      <w:pPr>
        <w:pStyle w:val="ListParagraph"/>
        <w:spacing w:after="0" w:line="276" w:lineRule="auto"/>
        <w:rPr>
          <w:rFonts w:ascii="Arial" w:eastAsia="Times New Roman" w:hAnsi="Arial" w:cs="Arial"/>
          <w:sz w:val="24"/>
          <w:szCs w:val="24"/>
        </w:rPr>
      </w:pPr>
    </w:p>
    <w:p w14:paraId="03561325" w14:textId="1829130A" w:rsidR="005231C3" w:rsidRDefault="005231C3" w:rsidP="003F450A">
      <w:pPr>
        <w:pStyle w:val="ListParagraph"/>
        <w:spacing w:after="0" w:line="276" w:lineRule="auto"/>
        <w:rPr>
          <w:rFonts w:ascii="Arial" w:eastAsia="Times New Roman" w:hAnsi="Arial" w:cs="Arial"/>
          <w:sz w:val="24"/>
          <w:szCs w:val="24"/>
        </w:rPr>
      </w:pPr>
    </w:p>
    <w:p w14:paraId="7ACC1AA1" w14:textId="032694F1" w:rsidR="005231C3" w:rsidRDefault="005231C3" w:rsidP="003F450A">
      <w:pPr>
        <w:pStyle w:val="ListParagraph"/>
        <w:spacing w:after="0" w:line="276" w:lineRule="auto"/>
        <w:rPr>
          <w:rFonts w:ascii="Arial" w:eastAsia="Times New Roman" w:hAnsi="Arial" w:cs="Arial"/>
          <w:sz w:val="24"/>
          <w:szCs w:val="24"/>
        </w:rPr>
      </w:pPr>
    </w:p>
    <w:p w14:paraId="7A2C9E2A" w14:textId="1CBCAF71" w:rsidR="005231C3" w:rsidRDefault="005231C3" w:rsidP="003F450A">
      <w:pPr>
        <w:pStyle w:val="ListParagraph"/>
        <w:spacing w:after="0" w:line="276" w:lineRule="auto"/>
        <w:rPr>
          <w:rFonts w:ascii="Arial" w:eastAsia="Times New Roman" w:hAnsi="Arial" w:cs="Arial"/>
          <w:sz w:val="24"/>
          <w:szCs w:val="24"/>
        </w:rPr>
      </w:pPr>
    </w:p>
    <w:p w14:paraId="0DA3481D" w14:textId="4C122DA4" w:rsidR="005231C3" w:rsidRDefault="005231C3" w:rsidP="003F450A">
      <w:pPr>
        <w:pStyle w:val="ListParagraph"/>
        <w:spacing w:after="0" w:line="276" w:lineRule="auto"/>
        <w:rPr>
          <w:rFonts w:ascii="Arial" w:eastAsia="Times New Roman" w:hAnsi="Arial" w:cs="Arial"/>
          <w:sz w:val="24"/>
          <w:szCs w:val="24"/>
        </w:rPr>
      </w:pPr>
    </w:p>
    <w:p w14:paraId="706DD3C0" w14:textId="77777777" w:rsidR="005231C3" w:rsidRDefault="005231C3" w:rsidP="003F450A">
      <w:pPr>
        <w:pStyle w:val="ListParagraph"/>
        <w:spacing w:after="0" w:line="276" w:lineRule="auto"/>
        <w:rPr>
          <w:rFonts w:ascii="Arial" w:eastAsia="Times New Roman" w:hAnsi="Arial" w:cs="Arial"/>
          <w:sz w:val="24"/>
          <w:szCs w:val="24"/>
        </w:rPr>
      </w:pPr>
    </w:p>
    <w:p w14:paraId="19748DE1" w14:textId="77777777" w:rsidR="005231C3" w:rsidRDefault="005231C3" w:rsidP="003F450A">
      <w:pPr>
        <w:pStyle w:val="ListParagraph"/>
        <w:spacing w:after="0" w:line="276" w:lineRule="auto"/>
        <w:rPr>
          <w:rFonts w:ascii="Arial" w:eastAsia="Times New Roman" w:hAnsi="Arial" w:cs="Arial"/>
          <w:sz w:val="24"/>
          <w:szCs w:val="24"/>
        </w:rPr>
      </w:pPr>
    </w:p>
    <w:sectPr w:rsidR="005231C3" w:rsidSect="00CD3323">
      <w:headerReference w:type="default" r:id="rId8"/>
      <w:footerReference w:type="default" r:id="rId9"/>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4E41" w14:textId="77777777" w:rsidR="00871839" w:rsidRDefault="00871839" w:rsidP="00FB1EDF">
      <w:pPr>
        <w:spacing w:after="0" w:line="240" w:lineRule="auto"/>
      </w:pPr>
      <w:r>
        <w:separator/>
      </w:r>
    </w:p>
  </w:endnote>
  <w:endnote w:type="continuationSeparator" w:id="0">
    <w:p w14:paraId="5279EF6A" w14:textId="77777777" w:rsidR="00871839" w:rsidRDefault="00871839"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545821"/>
      <w:docPartObj>
        <w:docPartGallery w:val="Page Numbers (Bottom of Page)"/>
        <w:docPartUnique/>
      </w:docPartObj>
    </w:sdtPr>
    <w:sdtEndPr>
      <w:rPr>
        <w:noProof/>
      </w:rPr>
    </w:sdtEndPr>
    <w:sdtContent>
      <w:p w14:paraId="587DE91A" w14:textId="77777777" w:rsidR="00B01993" w:rsidRDefault="00B01993">
        <w:pPr>
          <w:pStyle w:val="Footer"/>
          <w:jc w:val="center"/>
        </w:pPr>
        <w:r>
          <w:fldChar w:fldCharType="begin"/>
        </w:r>
        <w:r>
          <w:instrText xml:space="preserve"> PAGE   \* MERGEFORMAT </w:instrText>
        </w:r>
        <w:r>
          <w:fldChar w:fldCharType="separate"/>
        </w:r>
        <w:r w:rsidR="00F27D1C">
          <w:rPr>
            <w:noProof/>
          </w:rPr>
          <w:t>- 3 -</w:t>
        </w:r>
        <w:r>
          <w:rPr>
            <w:noProof/>
          </w:rPr>
          <w:fldChar w:fldCharType="end"/>
        </w:r>
      </w:p>
    </w:sdtContent>
  </w:sdt>
  <w:p w14:paraId="71647464" w14:textId="77777777" w:rsidR="00B01993" w:rsidRDefault="001907F4">
    <w:pPr>
      <w:pStyle w:val="Footer"/>
    </w:pPr>
    <w:r>
      <w:t>July 15</w:t>
    </w:r>
    <w:r w:rsidR="00B01993">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B4D9" w14:textId="77777777" w:rsidR="00871839" w:rsidRDefault="00871839" w:rsidP="00FB1EDF">
      <w:pPr>
        <w:spacing w:after="0" w:line="240" w:lineRule="auto"/>
      </w:pPr>
      <w:r>
        <w:separator/>
      </w:r>
    </w:p>
  </w:footnote>
  <w:footnote w:type="continuationSeparator" w:id="0">
    <w:p w14:paraId="66E0E493" w14:textId="77777777" w:rsidR="00871839" w:rsidRDefault="00871839" w:rsidP="00FB1EDF">
      <w:pPr>
        <w:spacing w:after="0" w:line="240" w:lineRule="auto"/>
      </w:pPr>
      <w:r>
        <w:continuationSeparator/>
      </w:r>
    </w:p>
  </w:footnote>
  <w:footnote w:id="1">
    <w:p w14:paraId="4A2F6BC4" w14:textId="77777777" w:rsidR="00B01993" w:rsidRPr="00CF0A8B" w:rsidRDefault="00B01993"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In all references in the questions relating to amounts booked to accounts 1588 and 1589, amounts are not booked directly to accounts USoA 1588 and 1589 relating to power purchase transactions, but are rather booked to the cost of power USoA 4705 Power Purchased, and 4707, Charges – Global Adjustment, respectively. However, accounts 1588 and 1589 are impacted the same way as account 4705 and 4707 are for cost of power transactions.</w:t>
      </w:r>
    </w:p>
    <w:p w14:paraId="18462D06" w14:textId="77777777" w:rsidR="00B01993" w:rsidRDefault="00B019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2671" w14:textId="77777777" w:rsidR="00B01993" w:rsidRDefault="00B01993"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rPr>
      <mc:AlternateContent>
        <mc:Choice Requires="wps">
          <w:drawing>
            <wp:anchor distT="0" distB="0" distL="118745" distR="118745" simplePos="0" relativeHeight="251659264" behindDoc="1" locked="0" layoutInCell="1" allowOverlap="0" wp14:anchorId="54C1747E" wp14:editId="1C9ED786">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D65DE5" w14:textId="77777777" w:rsidR="00B01993" w:rsidRPr="005456CD" w:rsidRDefault="00B01993"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1E9591"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01993" w:rsidRPr="005456CD" w:rsidRDefault="00B01993"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rPr>
      <w:drawing>
        <wp:inline distT="0" distB="0" distL="0" distR="0" wp14:anchorId="14BEE9AD" wp14:editId="7B175BF3">
          <wp:extent cx="1841792" cy="537845"/>
          <wp:effectExtent l="0" t="0" r="6350" b="0"/>
          <wp:docPr id="1" name="Picture 1"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14:paraId="73AE935E" w14:textId="77777777" w:rsidR="00B01993" w:rsidRDefault="00B01993" w:rsidP="005456CD">
    <w:pPr>
      <w:pStyle w:val="Header"/>
      <w:tabs>
        <w:tab w:val="clear" w:pos="9360"/>
        <w:tab w:val="right" w:pos="9630"/>
      </w:tabs>
      <w:ind w:right="-30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5121CB"/>
    <w:multiLevelType w:val="hybridMultilevel"/>
    <w:tmpl w:val="634AAC2A"/>
    <w:lvl w:ilvl="0" w:tplc="38E0798A">
      <w:start w:val="9"/>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16936"/>
    <w:multiLevelType w:val="hybridMultilevel"/>
    <w:tmpl w:val="0450C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635E5"/>
    <w:multiLevelType w:val="hybridMultilevel"/>
    <w:tmpl w:val="BA921F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314A25"/>
    <w:multiLevelType w:val="hybridMultilevel"/>
    <w:tmpl w:val="45BA6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24BFE"/>
    <w:multiLevelType w:val="hybridMultilevel"/>
    <w:tmpl w:val="CE228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AB45F7"/>
    <w:multiLevelType w:val="hybridMultilevel"/>
    <w:tmpl w:val="CA887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723051"/>
    <w:multiLevelType w:val="hybridMultilevel"/>
    <w:tmpl w:val="33800D7A"/>
    <w:lvl w:ilvl="0" w:tplc="B990496E">
      <w:start w:val="201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FD1432"/>
    <w:multiLevelType w:val="hybridMultilevel"/>
    <w:tmpl w:val="D8CE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363B7"/>
    <w:multiLevelType w:val="hybridMultilevel"/>
    <w:tmpl w:val="DDBC1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C5FE3"/>
    <w:multiLevelType w:val="hybridMultilevel"/>
    <w:tmpl w:val="88A2402A"/>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0218C4"/>
    <w:multiLevelType w:val="hybridMultilevel"/>
    <w:tmpl w:val="8FBA7C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A50C0D"/>
    <w:multiLevelType w:val="hybridMultilevel"/>
    <w:tmpl w:val="BDC004E8"/>
    <w:lvl w:ilvl="0" w:tplc="B990496E">
      <w:start w:val="2016"/>
      <w:numFmt w:val="bullet"/>
      <w:lvlText w:val="•"/>
      <w:lvlJc w:val="left"/>
      <w:pPr>
        <w:ind w:left="434" w:hanging="360"/>
      </w:pPr>
      <w:rPr>
        <w:rFonts w:ascii="Arial" w:eastAsia="Times New Roman" w:hAnsi="Arial" w:cs="Arial" w:hint="default"/>
      </w:rPr>
    </w:lvl>
    <w:lvl w:ilvl="1" w:tplc="04090003">
      <w:start w:val="1"/>
      <w:numFmt w:val="bullet"/>
      <w:lvlText w:val="o"/>
      <w:lvlJc w:val="left"/>
      <w:pPr>
        <w:ind w:left="1154" w:hanging="360"/>
      </w:pPr>
      <w:rPr>
        <w:rFonts w:ascii="Courier New" w:hAnsi="Courier New" w:cs="Courier New" w:hint="default"/>
      </w:rPr>
    </w:lvl>
    <w:lvl w:ilvl="2" w:tplc="B990496E">
      <w:start w:val="2016"/>
      <w:numFmt w:val="bullet"/>
      <w:lvlText w:val="•"/>
      <w:lvlJc w:val="left"/>
      <w:pPr>
        <w:ind w:left="1874" w:hanging="360"/>
      </w:pPr>
      <w:rPr>
        <w:rFonts w:ascii="Arial" w:eastAsia="Times New Roman" w:hAnsi="Arial" w:cs="Arial" w:hint="default"/>
      </w:rPr>
    </w:lvl>
    <w:lvl w:ilvl="3" w:tplc="0409000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3"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987C38"/>
    <w:multiLevelType w:val="hybridMultilevel"/>
    <w:tmpl w:val="A39E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E3057"/>
    <w:multiLevelType w:val="hybridMultilevel"/>
    <w:tmpl w:val="891C5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9A3C4C"/>
    <w:multiLevelType w:val="hybridMultilevel"/>
    <w:tmpl w:val="8A46361A"/>
    <w:lvl w:ilvl="0" w:tplc="B990496E">
      <w:start w:val="2016"/>
      <w:numFmt w:val="bullet"/>
      <w:lvlText w:val="•"/>
      <w:lvlJc w:val="left"/>
      <w:pPr>
        <w:ind w:left="1080" w:hanging="360"/>
      </w:pPr>
      <w:rPr>
        <w:rFonts w:ascii="Arial" w:eastAsia="Times New Roman" w:hAnsi="Arial" w:cs="Aria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5832D9"/>
    <w:multiLevelType w:val="hybridMultilevel"/>
    <w:tmpl w:val="D8D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4B0DFC"/>
    <w:multiLevelType w:val="hybridMultilevel"/>
    <w:tmpl w:val="75969F04"/>
    <w:lvl w:ilvl="0" w:tplc="2CA4F4A4">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06884"/>
    <w:multiLevelType w:val="hybridMultilevel"/>
    <w:tmpl w:val="D8B8CA94"/>
    <w:lvl w:ilvl="0" w:tplc="B990496E">
      <w:start w:val="2016"/>
      <w:numFmt w:val="bullet"/>
      <w:lvlText w:val="•"/>
      <w:lvlJc w:val="left"/>
      <w:pPr>
        <w:ind w:left="434" w:hanging="360"/>
      </w:pPr>
      <w:rPr>
        <w:rFonts w:ascii="Arial" w:eastAsia="Times New Roman" w:hAnsi="Arial" w:cs="Arial" w:hint="default"/>
      </w:rPr>
    </w:lvl>
    <w:lvl w:ilvl="1" w:tplc="04090003">
      <w:start w:val="1"/>
      <w:numFmt w:val="bullet"/>
      <w:lvlText w:val="o"/>
      <w:lvlJc w:val="left"/>
      <w:pPr>
        <w:ind w:left="1154" w:hanging="360"/>
      </w:pPr>
      <w:rPr>
        <w:rFonts w:ascii="Courier New" w:hAnsi="Courier New" w:cs="Courier New" w:hint="default"/>
      </w:rPr>
    </w:lvl>
    <w:lvl w:ilvl="2" w:tplc="04090001">
      <w:start w:val="1"/>
      <w:numFmt w:val="bullet"/>
      <w:lvlText w:val=""/>
      <w:lvlJc w:val="left"/>
      <w:pPr>
        <w:ind w:left="1874" w:hanging="360"/>
      </w:pPr>
      <w:rPr>
        <w:rFonts w:ascii="Symbol" w:hAnsi="Symbol"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34" w15:restartNumberingAfterBreak="0">
    <w:nsid w:val="7BD26F92"/>
    <w:multiLevelType w:val="hybridMultilevel"/>
    <w:tmpl w:val="F3EA0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6C2A78"/>
    <w:multiLevelType w:val="hybridMultilevel"/>
    <w:tmpl w:val="CDEC6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BA4EE6"/>
    <w:multiLevelType w:val="hybridMultilevel"/>
    <w:tmpl w:val="29FC1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1"/>
  </w:num>
  <w:num w:numId="4">
    <w:abstractNumId w:val="0"/>
  </w:num>
  <w:num w:numId="5">
    <w:abstractNumId w:val="35"/>
  </w:num>
  <w:num w:numId="6">
    <w:abstractNumId w:val="31"/>
  </w:num>
  <w:num w:numId="7">
    <w:abstractNumId w:val="32"/>
  </w:num>
  <w:num w:numId="8">
    <w:abstractNumId w:val="4"/>
  </w:num>
  <w:num w:numId="9">
    <w:abstractNumId w:val="1"/>
  </w:num>
  <w:num w:numId="10">
    <w:abstractNumId w:val="33"/>
  </w:num>
  <w:num w:numId="11">
    <w:abstractNumId w:val="28"/>
  </w:num>
  <w:num w:numId="12">
    <w:abstractNumId w:val="7"/>
  </w:num>
  <w:num w:numId="13">
    <w:abstractNumId w:val="17"/>
  </w:num>
  <w:num w:numId="14">
    <w:abstractNumId w:val="13"/>
  </w:num>
  <w:num w:numId="15">
    <w:abstractNumId w:val="15"/>
  </w:num>
  <w:num w:numId="16">
    <w:abstractNumId w:val="18"/>
  </w:num>
  <w:num w:numId="17">
    <w:abstractNumId w:val="36"/>
  </w:num>
  <w:num w:numId="18">
    <w:abstractNumId w:val="24"/>
  </w:num>
  <w:num w:numId="19">
    <w:abstractNumId w:val="3"/>
  </w:num>
  <w:num w:numId="20">
    <w:abstractNumId w:val="29"/>
  </w:num>
  <w:num w:numId="21">
    <w:abstractNumId w:val="19"/>
  </w:num>
  <w:num w:numId="22">
    <w:abstractNumId w:val="23"/>
  </w:num>
  <w:num w:numId="23">
    <w:abstractNumId w:val="26"/>
  </w:num>
  <w:num w:numId="24">
    <w:abstractNumId w:val="38"/>
  </w:num>
  <w:num w:numId="25">
    <w:abstractNumId w:val="2"/>
  </w:num>
  <w:num w:numId="26">
    <w:abstractNumId w:val="5"/>
  </w:num>
  <w:num w:numId="27">
    <w:abstractNumId w:val="10"/>
  </w:num>
  <w:num w:numId="28">
    <w:abstractNumId w:val="12"/>
  </w:num>
  <w:num w:numId="29">
    <w:abstractNumId w:val="37"/>
  </w:num>
  <w:num w:numId="30">
    <w:abstractNumId w:val="22"/>
  </w:num>
  <w:num w:numId="31">
    <w:abstractNumId w:val="6"/>
  </w:num>
  <w:num w:numId="32">
    <w:abstractNumId w:val="21"/>
  </w:num>
  <w:num w:numId="33">
    <w:abstractNumId w:val="34"/>
  </w:num>
  <w:num w:numId="34">
    <w:abstractNumId w:val="8"/>
  </w:num>
  <w:num w:numId="35">
    <w:abstractNumId w:val="27"/>
  </w:num>
  <w:num w:numId="36">
    <w:abstractNumId w:val="30"/>
  </w:num>
  <w:num w:numId="37">
    <w:abstractNumId w:val="16"/>
  </w:num>
  <w:num w:numId="38">
    <w:abstractNumId w:val="14"/>
  </w:num>
  <w:num w:numId="3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DF"/>
    <w:rsid w:val="0000233E"/>
    <w:rsid w:val="000306EA"/>
    <w:rsid w:val="00030926"/>
    <w:rsid w:val="0006442D"/>
    <w:rsid w:val="00073734"/>
    <w:rsid w:val="0008407E"/>
    <w:rsid w:val="00090D35"/>
    <w:rsid w:val="000C1B5A"/>
    <w:rsid w:val="000F1FA6"/>
    <w:rsid w:val="000F4CBF"/>
    <w:rsid w:val="00114C8C"/>
    <w:rsid w:val="0011626B"/>
    <w:rsid w:val="00152EE3"/>
    <w:rsid w:val="001907F4"/>
    <w:rsid w:val="001A2777"/>
    <w:rsid w:val="001B699F"/>
    <w:rsid w:val="001B6B60"/>
    <w:rsid w:val="001C3862"/>
    <w:rsid w:val="001C667F"/>
    <w:rsid w:val="001D3F0F"/>
    <w:rsid w:val="001D5B85"/>
    <w:rsid w:val="001E3FF0"/>
    <w:rsid w:val="001F7E13"/>
    <w:rsid w:val="00202194"/>
    <w:rsid w:val="002112C8"/>
    <w:rsid w:val="00211EB2"/>
    <w:rsid w:val="00216893"/>
    <w:rsid w:val="0023632F"/>
    <w:rsid w:val="00246022"/>
    <w:rsid w:val="002651E6"/>
    <w:rsid w:val="0026559C"/>
    <w:rsid w:val="00266953"/>
    <w:rsid w:val="00271F50"/>
    <w:rsid w:val="002749FC"/>
    <w:rsid w:val="00276481"/>
    <w:rsid w:val="002867FC"/>
    <w:rsid w:val="00292776"/>
    <w:rsid w:val="00293665"/>
    <w:rsid w:val="002A2870"/>
    <w:rsid w:val="002A3B55"/>
    <w:rsid w:val="002A51FD"/>
    <w:rsid w:val="002A6944"/>
    <w:rsid w:val="002A7B3A"/>
    <w:rsid w:val="002C1702"/>
    <w:rsid w:val="002D1AEC"/>
    <w:rsid w:val="002D6097"/>
    <w:rsid w:val="002F25DB"/>
    <w:rsid w:val="002F7EE5"/>
    <w:rsid w:val="00310B54"/>
    <w:rsid w:val="00314304"/>
    <w:rsid w:val="00325817"/>
    <w:rsid w:val="00327BF7"/>
    <w:rsid w:val="0033205D"/>
    <w:rsid w:val="00333867"/>
    <w:rsid w:val="00347ED2"/>
    <w:rsid w:val="0035377E"/>
    <w:rsid w:val="0036499B"/>
    <w:rsid w:val="0037069F"/>
    <w:rsid w:val="00376E6E"/>
    <w:rsid w:val="0039570B"/>
    <w:rsid w:val="00396EAB"/>
    <w:rsid w:val="003B782E"/>
    <w:rsid w:val="003C03E1"/>
    <w:rsid w:val="003F006A"/>
    <w:rsid w:val="003F450A"/>
    <w:rsid w:val="0040026A"/>
    <w:rsid w:val="00405880"/>
    <w:rsid w:val="00421DF5"/>
    <w:rsid w:val="00444539"/>
    <w:rsid w:val="004511EA"/>
    <w:rsid w:val="0045412A"/>
    <w:rsid w:val="00477096"/>
    <w:rsid w:val="004A201E"/>
    <w:rsid w:val="004B4ED4"/>
    <w:rsid w:val="004C1548"/>
    <w:rsid w:val="004C4A06"/>
    <w:rsid w:val="004D6721"/>
    <w:rsid w:val="004D7863"/>
    <w:rsid w:val="004E085B"/>
    <w:rsid w:val="004E0B59"/>
    <w:rsid w:val="004F6549"/>
    <w:rsid w:val="00507BCB"/>
    <w:rsid w:val="005231C3"/>
    <w:rsid w:val="00541FF6"/>
    <w:rsid w:val="00543367"/>
    <w:rsid w:val="005456CD"/>
    <w:rsid w:val="00550838"/>
    <w:rsid w:val="00557597"/>
    <w:rsid w:val="005705A7"/>
    <w:rsid w:val="00581014"/>
    <w:rsid w:val="005930BC"/>
    <w:rsid w:val="005A539A"/>
    <w:rsid w:val="005B3F63"/>
    <w:rsid w:val="005C3530"/>
    <w:rsid w:val="005C5C30"/>
    <w:rsid w:val="005E2329"/>
    <w:rsid w:val="005F2202"/>
    <w:rsid w:val="005F6E91"/>
    <w:rsid w:val="0060473C"/>
    <w:rsid w:val="00626313"/>
    <w:rsid w:val="006517EE"/>
    <w:rsid w:val="00663F6F"/>
    <w:rsid w:val="00672B15"/>
    <w:rsid w:val="00672DA9"/>
    <w:rsid w:val="00673822"/>
    <w:rsid w:val="00692A13"/>
    <w:rsid w:val="006D70F3"/>
    <w:rsid w:val="006E4BA8"/>
    <w:rsid w:val="006F0C27"/>
    <w:rsid w:val="006F7AE9"/>
    <w:rsid w:val="00720F6F"/>
    <w:rsid w:val="007438AA"/>
    <w:rsid w:val="00750AEC"/>
    <w:rsid w:val="00765A71"/>
    <w:rsid w:val="00770282"/>
    <w:rsid w:val="00772AB6"/>
    <w:rsid w:val="00793CAF"/>
    <w:rsid w:val="007A430A"/>
    <w:rsid w:val="007B60EB"/>
    <w:rsid w:val="007E08D0"/>
    <w:rsid w:val="007E47B5"/>
    <w:rsid w:val="007E605A"/>
    <w:rsid w:val="007F6A11"/>
    <w:rsid w:val="0080470B"/>
    <w:rsid w:val="00824039"/>
    <w:rsid w:val="00824A1B"/>
    <w:rsid w:val="00826AFB"/>
    <w:rsid w:val="00833ACC"/>
    <w:rsid w:val="00836730"/>
    <w:rsid w:val="00836DA3"/>
    <w:rsid w:val="0084493C"/>
    <w:rsid w:val="00871839"/>
    <w:rsid w:val="00884379"/>
    <w:rsid w:val="008A5869"/>
    <w:rsid w:val="008C00DC"/>
    <w:rsid w:val="008C5180"/>
    <w:rsid w:val="008E1DBC"/>
    <w:rsid w:val="008E5BF1"/>
    <w:rsid w:val="008F3984"/>
    <w:rsid w:val="008F3AD5"/>
    <w:rsid w:val="008F5ED8"/>
    <w:rsid w:val="00913173"/>
    <w:rsid w:val="00940EFA"/>
    <w:rsid w:val="00944E1E"/>
    <w:rsid w:val="009567D1"/>
    <w:rsid w:val="009612D2"/>
    <w:rsid w:val="00964D5F"/>
    <w:rsid w:val="00984E8D"/>
    <w:rsid w:val="009A65B2"/>
    <w:rsid w:val="009B1C17"/>
    <w:rsid w:val="009C2D09"/>
    <w:rsid w:val="009C7A95"/>
    <w:rsid w:val="009E514A"/>
    <w:rsid w:val="009F2692"/>
    <w:rsid w:val="009F503B"/>
    <w:rsid w:val="00A235E0"/>
    <w:rsid w:val="00A2493C"/>
    <w:rsid w:val="00A30887"/>
    <w:rsid w:val="00A439ED"/>
    <w:rsid w:val="00A518BE"/>
    <w:rsid w:val="00A64342"/>
    <w:rsid w:val="00A72E28"/>
    <w:rsid w:val="00A731F4"/>
    <w:rsid w:val="00A80A88"/>
    <w:rsid w:val="00A83C63"/>
    <w:rsid w:val="00A860E1"/>
    <w:rsid w:val="00AB0C10"/>
    <w:rsid w:val="00AB4246"/>
    <w:rsid w:val="00AB5B4F"/>
    <w:rsid w:val="00AC10D8"/>
    <w:rsid w:val="00AD1336"/>
    <w:rsid w:val="00B01993"/>
    <w:rsid w:val="00B2433F"/>
    <w:rsid w:val="00B33C67"/>
    <w:rsid w:val="00B57122"/>
    <w:rsid w:val="00B746E2"/>
    <w:rsid w:val="00B759FC"/>
    <w:rsid w:val="00B96E3C"/>
    <w:rsid w:val="00BB490C"/>
    <w:rsid w:val="00BD3E2A"/>
    <w:rsid w:val="00BD560C"/>
    <w:rsid w:val="00BE05F6"/>
    <w:rsid w:val="00BE1799"/>
    <w:rsid w:val="00BE461F"/>
    <w:rsid w:val="00BF62EA"/>
    <w:rsid w:val="00C02631"/>
    <w:rsid w:val="00C14E2A"/>
    <w:rsid w:val="00C21A49"/>
    <w:rsid w:val="00C34327"/>
    <w:rsid w:val="00C4500B"/>
    <w:rsid w:val="00C55824"/>
    <w:rsid w:val="00C572AF"/>
    <w:rsid w:val="00C60F56"/>
    <w:rsid w:val="00C760B1"/>
    <w:rsid w:val="00CA3F28"/>
    <w:rsid w:val="00CC4F9F"/>
    <w:rsid w:val="00CD1581"/>
    <w:rsid w:val="00CD3323"/>
    <w:rsid w:val="00CD355D"/>
    <w:rsid w:val="00CF0A8B"/>
    <w:rsid w:val="00D2748F"/>
    <w:rsid w:val="00D37D63"/>
    <w:rsid w:val="00D44D3A"/>
    <w:rsid w:val="00D47152"/>
    <w:rsid w:val="00D53929"/>
    <w:rsid w:val="00D91953"/>
    <w:rsid w:val="00DC0975"/>
    <w:rsid w:val="00E045FA"/>
    <w:rsid w:val="00E75A80"/>
    <w:rsid w:val="00E76559"/>
    <w:rsid w:val="00E82C05"/>
    <w:rsid w:val="00EA40B8"/>
    <w:rsid w:val="00EA613B"/>
    <w:rsid w:val="00EC2783"/>
    <w:rsid w:val="00ED1D67"/>
    <w:rsid w:val="00EF651D"/>
    <w:rsid w:val="00F13C09"/>
    <w:rsid w:val="00F27D1C"/>
    <w:rsid w:val="00F303D6"/>
    <w:rsid w:val="00F52EFB"/>
    <w:rsid w:val="00F56332"/>
    <w:rsid w:val="00F746F3"/>
    <w:rsid w:val="00F81E3A"/>
    <w:rsid w:val="00F92686"/>
    <w:rsid w:val="00F95226"/>
    <w:rsid w:val="00F96BD9"/>
    <w:rsid w:val="00FA7A12"/>
    <w:rsid w:val="00FB1EDF"/>
    <w:rsid w:val="00FC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9D93A5"/>
  <w15:chartTrackingRefBased/>
  <w15:docId w15:val="{13E370C3-125D-481A-B1E2-989F94BD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 w:type="table" w:styleId="TableGrid">
    <w:name w:val="Table Grid"/>
    <w:basedOn w:val="TableNormal"/>
    <w:uiPriority w:val="39"/>
    <w:rsid w:val="00AB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798838192">
          <w:marLeft w:val="360"/>
          <w:marRight w:val="0"/>
          <w:marTop w:val="2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sChild>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80378872">
          <w:marLeft w:val="374"/>
          <w:marRight w:val="0"/>
          <w:marTop w:val="200"/>
          <w:marBottom w:val="0"/>
          <w:divBdr>
            <w:top w:val="none" w:sz="0" w:space="0" w:color="auto"/>
            <w:left w:val="none" w:sz="0" w:space="0" w:color="auto"/>
            <w:bottom w:val="none" w:sz="0" w:space="0" w:color="auto"/>
            <w:right w:val="none" w:sz="0" w:space="0" w:color="auto"/>
          </w:divBdr>
        </w:div>
        <w:div w:id="305429547">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275063543">
          <w:marLeft w:val="1080"/>
          <w:marRight w:val="0"/>
          <w:marTop w:val="100"/>
          <w:marBottom w:val="0"/>
          <w:divBdr>
            <w:top w:val="none" w:sz="0" w:space="0" w:color="auto"/>
            <w:left w:val="none" w:sz="0" w:space="0" w:color="auto"/>
            <w:bottom w:val="none" w:sz="0" w:space="0" w:color="auto"/>
            <w:right w:val="none" w:sz="0" w:space="0" w:color="auto"/>
          </w:divBdr>
        </w:div>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671831504">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1031762401">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sChild>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5174767">
          <w:marLeft w:val="374"/>
          <w:marRight w:val="0"/>
          <w:marTop w:val="2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925770385">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sChild>
    </w:div>
    <w:div w:id="1752577208">
      <w:bodyDiv w:val="1"/>
      <w:marLeft w:val="0"/>
      <w:marRight w:val="0"/>
      <w:marTop w:val="0"/>
      <w:marBottom w:val="0"/>
      <w:divBdr>
        <w:top w:val="none" w:sz="0" w:space="0" w:color="auto"/>
        <w:left w:val="none" w:sz="0" w:space="0" w:color="auto"/>
        <w:bottom w:val="none" w:sz="0" w:space="0" w:color="auto"/>
        <w:right w:val="none" w:sz="0" w:space="0" w:color="auto"/>
      </w:divBdr>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053625816">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26DCD-887D-42BE-AF15-58849DD6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June Colman</dc:creator>
  <cp:keywords/>
  <dc:description/>
  <cp:lastModifiedBy>Jennifer Dionne</cp:lastModifiedBy>
  <cp:revision>9</cp:revision>
  <cp:lastPrinted>2020-01-27T22:13:00Z</cp:lastPrinted>
  <dcterms:created xsi:type="dcterms:W3CDTF">2020-01-20T22:38:00Z</dcterms:created>
  <dcterms:modified xsi:type="dcterms:W3CDTF">2020-01-29T16:13:00Z</dcterms:modified>
</cp:coreProperties>
</file>