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9C6C6" w14:textId="77777777" w:rsidR="009E0873" w:rsidRPr="00C84594" w:rsidRDefault="00ED7966" w:rsidP="00C84594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84594">
        <w:rPr>
          <w:rFonts w:ascii="Arial" w:hAnsi="Arial" w:cs="Arial"/>
          <w:b/>
          <w:sz w:val="24"/>
          <w:szCs w:val="24"/>
        </w:rPr>
        <w:t>Elexicon</w:t>
      </w:r>
      <w:proofErr w:type="spellEnd"/>
      <w:r w:rsidRPr="00C84594">
        <w:rPr>
          <w:rFonts w:ascii="Arial" w:hAnsi="Arial" w:cs="Arial"/>
          <w:b/>
          <w:sz w:val="24"/>
          <w:szCs w:val="24"/>
        </w:rPr>
        <w:t xml:space="preserve"> Energy – </w:t>
      </w:r>
      <w:proofErr w:type="spellStart"/>
      <w:r w:rsidRPr="00C84594">
        <w:rPr>
          <w:rFonts w:ascii="Arial" w:hAnsi="Arial" w:cs="Arial"/>
          <w:b/>
          <w:sz w:val="24"/>
          <w:szCs w:val="24"/>
        </w:rPr>
        <w:t>Veridian</w:t>
      </w:r>
      <w:proofErr w:type="spellEnd"/>
      <w:r w:rsidRPr="00C84594">
        <w:rPr>
          <w:rFonts w:ascii="Arial" w:hAnsi="Arial" w:cs="Arial"/>
          <w:b/>
          <w:sz w:val="24"/>
          <w:szCs w:val="24"/>
        </w:rPr>
        <w:t xml:space="preserve"> Rate Zone</w:t>
      </w:r>
    </w:p>
    <w:p w14:paraId="2D6B610A" w14:textId="77777777" w:rsidR="00ED7966" w:rsidRPr="00C84594" w:rsidRDefault="00ED7966" w:rsidP="00C84594">
      <w:pPr>
        <w:jc w:val="center"/>
        <w:rPr>
          <w:rFonts w:ascii="Arial" w:hAnsi="Arial" w:cs="Arial"/>
          <w:b/>
          <w:sz w:val="24"/>
          <w:szCs w:val="24"/>
        </w:rPr>
      </w:pPr>
      <w:r w:rsidRPr="00C84594">
        <w:rPr>
          <w:rFonts w:ascii="Arial" w:hAnsi="Arial" w:cs="Arial"/>
          <w:b/>
          <w:sz w:val="24"/>
          <w:szCs w:val="24"/>
        </w:rPr>
        <w:t>EB-2019-0252</w:t>
      </w:r>
    </w:p>
    <w:p w14:paraId="0B767E93" w14:textId="77777777" w:rsidR="00ED7966" w:rsidRPr="00C84594" w:rsidRDefault="00ED7966" w:rsidP="00C84594">
      <w:pPr>
        <w:jc w:val="center"/>
        <w:rPr>
          <w:rFonts w:ascii="Arial" w:hAnsi="Arial" w:cs="Arial"/>
          <w:b/>
          <w:sz w:val="24"/>
          <w:szCs w:val="24"/>
        </w:rPr>
      </w:pPr>
      <w:r w:rsidRPr="00C84594">
        <w:rPr>
          <w:rFonts w:ascii="Arial" w:hAnsi="Arial" w:cs="Arial"/>
          <w:b/>
          <w:sz w:val="24"/>
          <w:szCs w:val="24"/>
        </w:rPr>
        <w:t>Follow-up Questions</w:t>
      </w:r>
    </w:p>
    <w:p w14:paraId="5BE27AE2" w14:textId="77777777" w:rsidR="00ED7966" w:rsidRPr="0044536D" w:rsidRDefault="00ED7966">
      <w:pPr>
        <w:rPr>
          <w:rFonts w:ascii="Arial" w:hAnsi="Arial" w:cs="Arial"/>
          <w:b/>
          <w:sz w:val="24"/>
          <w:szCs w:val="24"/>
        </w:rPr>
      </w:pPr>
    </w:p>
    <w:p w14:paraId="1A9113C2" w14:textId="77777777" w:rsidR="00ED7966" w:rsidRPr="0044536D" w:rsidRDefault="00ED7966">
      <w:pPr>
        <w:rPr>
          <w:rFonts w:ascii="Arial" w:hAnsi="Arial" w:cs="Arial"/>
          <w:b/>
          <w:sz w:val="24"/>
          <w:szCs w:val="24"/>
        </w:rPr>
      </w:pPr>
      <w:r w:rsidRPr="0044536D">
        <w:rPr>
          <w:rFonts w:ascii="Arial" w:hAnsi="Arial" w:cs="Arial"/>
          <w:b/>
          <w:sz w:val="24"/>
          <w:szCs w:val="24"/>
        </w:rPr>
        <w:t>Staff-</w:t>
      </w:r>
      <w:r w:rsidR="00667571" w:rsidRPr="0044536D">
        <w:rPr>
          <w:rFonts w:ascii="Arial" w:hAnsi="Arial" w:cs="Arial"/>
          <w:b/>
          <w:sz w:val="24"/>
          <w:szCs w:val="24"/>
        </w:rPr>
        <w:t>18</w:t>
      </w:r>
    </w:p>
    <w:p w14:paraId="4AAFC348" w14:textId="77777777" w:rsidR="00667571" w:rsidRPr="00C84594" w:rsidRDefault="00667571">
      <w:pPr>
        <w:rPr>
          <w:rFonts w:ascii="Arial" w:hAnsi="Arial" w:cs="Arial"/>
          <w:sz w:val="24"/>
          <w:szCs w:val="24"/>
        </w:rPr>
      </w:pPr>
      <w:r w:rsidRPr="00C84594">
        <w:rPr>
          <w:rFonts w:ascii="Arial" w:hAnsi="Arial" w:cs="Arial"/>
          <w:sz w:val="24"/>
          <w:szCs w:val="24"/>
        </w:rPr>
        <w:t>Ref:</w:t>
      </w:r>
      <w:r w:rsidRPr="00C84594">
        <w:rPr>
          <w:rFonts w:ascii="Arial" w:hAnsi="Arial" w:cs="Arial"/>
          <w:sz w:val="24"/>
          <w:szCs w:val="24"/>
        </w:rPr>
        <w:tab/>
        <w:t xml:space="preserve">Application, p. 19 </w:t>
      </w:r>
    </w:p>
    <w:p w14:paraId="53E377C6" w14:textId="26A0CE4F" w:rsidR="00C84594" w:rsidRPr="00C84594" w:rsidRDefault="00C84594" w:rsidP="00C84594">
      <w:pPr>
        <w:rPr>
          <w:rFonts w:ascii="Arial" w:hAnsi="Arial" w:cs="Arial"/>
          <w:sz w:val="24"/>
          <w:szCs w:val="24"/>
          <w:u w:val="single"/>
        </w:rPr>
      </w:pPr>
      <w:r w:rsidRPr="00C84594">
        <w:rPr>
          <w:rFonts w:ascii="Arial" w:hAnsi="Arial" w:cs="Arial"/>
          <w:sz w:val="24"/>
          <w:szCs w:val="24"/>
          <w:u w:val="single"/>
        </w:rPr>
        <w:t>Preamble:</w:t>
      </w:r>
    </w:p>
    <w:p w14:paraId="5876BFDE" w14:textId="77777777" w:rsidR="00667571" w:rsidRPr="00C84594" w:rsidRDefault="00667571">
      <w:pPr>
        <w:rPr>
          <w:rFonts w:ascii="Arial" w:hAnsi="Arial" w:cs="Arial"/>
          <w:sz w:val="24"/>
          <w:szCs w:val="24"/>
        </w:rPr>
      </w:pPr>
      <w:proofErr w:type="spellStart"/>
      <w:r w:rsidRPr="00C84594">
        <w:rPr>
          <w:rFonts w:ascii="Arial" w:hAnsi="Arial" w:cs="Arial"/>
          <w:sz w:val="24"/>
          <w:szCs w:val="24"/>
        </w:rPr>
        <w:t>Elexicon</w:t>
      </w:r>
      <w:proofErr w:type="spellEnd"/>
      <w:r w:rsidRPr="00C84594">
        <w:rPr>
          <w:rFonts w:ascii="Arial" w:hAnsi="Arial" w:cs="Arial"/>
          <w:sz w:val="24"/>
          <w:szCs w:val="24"/>
        </w:rPr>
        <w:t xml:space="preserve"> Energy noted that the increase in its RTSRs of 5-9% for all classes reflect the increase in UTRs effective July 1, 2019. With the update in 2020 UTRs effective </w:t>
      </w:r>
      <w:r w:rsidR="009C6027" w:rsidRPr="00C84594">
        <w:rPr>
          <w:rFonts w:ascii="Arial" w:hAnsi="Arial" w:cs="Arial"/>
          <w:sz w:val="24"/>
          <w:szCs w:val="24"/>
        </w:rPr>
        <w:t>December 17, 2019 (EB-2019-0043), it resulted in RTSR increases of 9-12% across all rate class.</w:t>
      </w:r>
    </w:p>
    <w:p w14:paraId="5EAB98CA" w14:textId="77777777" w:rsidR="00C84594" w:rsidRPr="00C84594" w:rsidRDefault="00C84594">
      <w:pPr>
        <w:rPr>
          <w:rFonts w:ascii="Arial" w:hAnsi="Arial" w:cs="Arial"/>
          <w:sz w:val="24"/>
          <w:szCs w:val="24"/>
          <w:u w:val="single"/>
        </w:rPr>
      </w:pPr>
      <w:r w:rsidRPr="00C84594">
        <w:rPr>
          <w:rFonts w:ascii="Arial" w:hAnsi="Arial" w:cs="Arial"/>
          <w:sz w:val="24"/>
          <w:szCs w:val="24"/>
          <w:u w:val="single"/>
        </w:rPr>
        <w:t>Questions:</w:t>
      </w:r>
    </w:p>
    <w:p w14:paraId="781161DC" w14:textId="77777777" w:rsidR="003D7015" w:rsidRDefault="001D30B6" w:rsidP="003D70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4594">
        <w:rPr>
          <w:rFonts w:ascii="Arial" w:hAnsi="Arial" w:cs="Arial"/>
          <w:sz w:val="24"/>
          <w:szCs w:val="24"/>
        </w:rPr>
        <w:t xml:space="preserve">In addition to the price increase in UTRs that impact the increase in RTSRs, please discuss whether </w:t>
      </w:r>
      <w:proofErr w:type="spellStart"/>
      <w:r w:rsidRPr="00C84594">
        <w:rPr>
          <w:rFonts w:ascii="Arial" w:hAnsi="Arial" w:cs="Arial"/>
          <w:sz w:val="24"/>
          <w:szCs w:val="24"/>
        </w:rPr>
        <w:t>Elexicon</w:t>
      </w:r>
      <w:proofErr w:type="spellEnd"/>
      <w:r w:rsidRPr="00C84594">
        <w:rPr>
          <w:rFonts w:ascii="Arial" w:hAnsi="Arial" w:cs="Arial"/>
          <w:sz w:val="24"/>
          <w:szCs w:val="24"/>
        </w:rPr>
        <w:t xml:space="preserve"> E</w:t>
      </w:r>
      <w:r w:rsidR="003D7015" w:rsidRPr="00C84594">
        <w:rPr>
          <w:rFonts w:ascii="Arial" w:hAnsi="Arial" w:cs="Arial"/>
          <w:sz w:val="24"/>
          <w:szCs w:val="24"/>
        </w:rPr>
        <w:t xml:space="preserve">nergy prepared any analysis to determine whether there are additional factors </w:t>
      </w:r>
      <w:r w:rsidR="003442E0" w:rsidRPr="00C84594">
        <w:rPr>
          <w:rFonts w:ascii="Arial" w:hAnsi="Arial" w:cs="Arial"/>
          <w:sz w:val="24"/>
          <w:szCs w:val="24"/>
        </w:rPr>
        <w:t xml:space="preserve">that may be of relevance </w:t>
      </w:r>
      <w:r w:rsidR="003D7015" w:rsidRPr="00C84594">
        <w:rPr>
          <w:rFonts w:ascii="Arial" w:hAnsi="Arial" w:cs="Arial"/>
          <w:sz w:val="24"/>
          <w:szCs w:val="24"/>
        </w:rPr>
        <w:t>causing the increases.  If yes, please discuss your findings.</w:t>
      </w:r>
    </w:p>
    <w:p w14:paraId="4DE42504" w14:textId="77777777" w:rsidR="0044536D" w:rsidRPr="00C84594" w:rsidRDefault="0044536D" w:rsidP="0044536D">
      <w:pPr>
        <w:pStyle w:val="ListParagraph"/>
        <w:rPr>
          <w:rFonts w:ascii="Arial" w:hAnsi="Arial" w:cs="Arial"/>
          <w:sz w:val="24"/>
          <w:szCs w:val="24"/>
        </w:rPr>
      </w:pPr>
    </w:p>
    <w:p w14:paraId="446CDA1A" w14:textId="77777777" w:rsidR="009C6027" w:rsidRPr="00C84594" w:rsidRDefault="003D7015" w:rsidP="003D70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4594">
        <w:rPr>
          <w:rFonts w:ascii="Arial" w:hAnsi="Arial" w:cs="Arial"/>
          <w:sz w:val="24"/>
          <w:szCs w:val="24"/>
        </w:rPr>
        <w:t xml:space="preserve">Please discuss whether </w:t>
      </w:r>
      <w:proofErr w:type="spellStart"/>
      <w:r w:rsidRPr="00C84594">
        <w:rPr>
          <w:rFonts w:ascii="Arial" w:hAnsi="Arial" w:cs="Arial"/>
          <w:sz w:val="24"/>
          <w:szCs w:val="24"/>
        </w:rPr>
        <w:t>Elexicon</w:t>
      </w:r>
      <w:proofErr w:type="spellEnd"/>
      <w:r w:rsidRPr="00C84594">
        <w:rPr>
          <w:rFonts w:ascii="Arial" w:hAnsi="Arial" w:cs="Arial"/>
          <w:sz w:val="24"/>
          <w:szCs w:val="24"/>
        </w:rPr>
        <w:t xml:space="preserve"> Energy has examined </w:t>
      </w:r>
      <w:r w:rsidR="00EA5AFF" w:rsidRPr="00C84594">
        <w:rPr>
          <w:rFonts w:ascii="Arial" w:hAnsi="Arial" w:cs="Arial"/>
          <w:sz w:val="24"/>
          <w:szCs w:val="24"/>
        </w:rPr>
        <w:t xml:space="preserve">the </w:t>
      </w:r>
      <w:r w:rsidRPr="00C84594">
        <w:rPr>
          <w:rFonts w:ascii="Arial" w:hAnsi="Arial" w:cs="Arial"/>
          <w:sz w:val="24"/>
          <w:szCs w:val="24"/>
        </w:rPr>
        <w:t>changes in historical wholesale demand relative to retail demand</w:t>
      </w:r>
      <w:r w:rsidR="00EA5AFF" w:rsidRPr="00C84594">
        <w:rPr>
          <w:rFonts w:ascii="Arial" w:hAnsi="Arial" w:cs="Arial"/>
          <w:sz w:val="24"/>
          <w:szCs w:val="24"/>
        </w:rPr>
        <w:t>, and whether this may cause increases to</w:t>
      </w:r>
      <w:r w:rsidRPr="00C84594">
        <w:rPr>
          <w:rFonts w:ascii="Arial" w:hAnsi="Arial" w:cs="Arial"/>
          <w:sz w:val="24"/>
          <w:szCs w:val="24"/>
        </w:rPr>
        <w:t xml:space="preserve"> </w:t>
      </w:r>
      <w:r w:rsidR="00DF6D7F" w:rsidRPr="00C84594">
        <w:rPr>
          <w:rFonts w:ascii="Arial" w:hAnsi="Arial" w:cs="Arial"/>
          <w:sz w:val="24"/>
          <w:szCs w:val="24"/>
        </w:rPr>
        <w:t xml:space="preserve">the </w:t>
      </w:r>
      <w:r w:rsidRPr="00C84594">
        <w:rPr>
          <w:rFonts w:ascii="Arial" w:hAnsi="Arial" w:cs="Arial"/>
          <w:sz w:val="24"/>
          <w:szCs w:val="24"/>
        </w:rPr>
        <w:t xml:space="preserve">RTSRs.  </w:t>
      </w:r>
    </w:p>
    <w:p w14:paraId="1EF7F482" w14:textId="77777777" w:rsidR="003D7015" w:rsidRPr="00C84594" w:rsidRDefault="003D7015" w:rsidP="003D7015">
      <w:pPr>
        <w:rPr>
          <w:rFonts w:ascii="Arial" w:hAnsi="Arial" w:cs="Arial"/>
          <w:sz w:val="24"/>
          <w:szCs w:val="24"/>
        </w:rPr>
      </w:pPr>
    </w:p>
    <w:p w14:paraId="296BE9A2" w14:textId="77777777" w:rsidR="002F66E4" w:rsidRPr="00DE049C" w:rsidRDefault="002F66E4" w:rsidP="002F66E4">
      <w:pPr>
        <w:rPr>
          <w:rFonts w:ascii="Arial" w:hAnsi="Arial" w:cs="Arial"/>
          <w:b/>
          <w:sz w:val="24"/>
          <w:szCs w:val="24"/>
        </w:rPr>
      </w:pPr>
      <w:r w:rsidRPr="00DE049C">
        <w:rPr>
          <w:rFonts w:ascii="Arial" w:hAnsi="Arial" w:cs="Arial"/>
          <w:b/>
          <w:sz w:val="24"/>
          <w:szCs w:val="24"/>
        </w:rPr>
        <w:t>Staff-</w:t>
      </w:r>
      <w:r w:rsidR="0044536D" w:rsidRPr="00DE049C">
        <w:rPr>
          <w:rFonts w:ascii="Arial" w:hAnsi="Arial" w:cs="Arial"/>
          <w:b/>
          <w:sz w:val="24"/>
          <w:szCs w:val="24"/>
        </w:rPr>
        <w:t>19</w:t>
      </w:r>
    </w:p>
    <w:p w14:paraId="2BEEAD7E" w14:textId="77777777" w:rsidR="003442E0" w:rsidRPr="00C84594" w:rsidRDefault="002F66E4" w:rsidP="003D7015">
      <w:pPr>
        <w:rPr>
          <w:rFonts w:ascii="Arial" w:hAnsi="Arial" w:cs="Arial"/>
          <w:sz w:val="24"/>
          <w:szCs w:val="24"/>
        </w:rPr>
      </w:pPr>
      <w:r w:rsidRPr="00C84594">
        <w:rPr>
          <w:rFonts w:ascii="Arial" w:hAnsi="Arial" w:cs="Arial"/>
          <w:sz w:val="24"/>
          <w:szCs w:val="24"/>
        </w:rPr>
        <w:t>Ref:</w:t>
      </w:r>
      <w:r w:rsidRPr="00C84594">
        <w:rPr>
          <w:rFonts w:ascii="Arial" w:hAnsi="Arial" w:cs="Arial"/>
          <w:sz w:val="24"/>
          <w:szCs w:val="24"/>
        </w:rPr>
        <w:tab/>
        <w:t>Clarification on Staff-11 c</w:t>
      </w:r>
      <w:r w:rsidR="003442E0" w:rsidRPr="00C84594">
        <w:rPr>
          <w:rFonts w:ascii="Arial" w:hAnsi="Arial" w:cs="Arial"/>
          <w:sz w:val="24"/>
          <w:szCs w:val="24"/>
        </w:rPr>
        <w:t>, f</w:t>
      </w:r>
    </w:p>
    <w:p w14:paraId="7E8272BE" w14:textId="0217643A" w:rsidR="00C84594" w:rsidRPr="00C84594" w:rsidRDefault="00C84594" w:rsidP="003D7015">
      <w:pPr>
        <w:rPr>
          <w:rFonts w:ascii="Arial" w:hAnsi="Arial" w:cs="Arial"/>
          <w:sz w:val="24"/>
          <w:szCs w:val="24"/>
          <w:u w:val="single"/>
        </w:rPr>
      </w:pPr>
      <w:r w:rsidRPr="00C84594">
        <w:rPr>
          <w:rFonts w:ascii="Arial" w:hAnsi="Arial" w:cs="Arial"/>
          <w:sz w:val="24"/>
          <w:szCs w:val="24"/>
          <w:u w:val="single"/>
        </w:rPr>
        <w:t>Preamble:</w:t>
      </w:r>
    </w:p>
    <w:p w14:paraId="6D78D729" w14:textId="77777777" w:rsidR="003442E0" w:rsidRPr="00C84594" w:rsidRDefault="003442E0" w:rsidP="003D7015">
      <w:pPr>
        <w:rPr>
          <w:rFonts w:ascii="Arial" w:hAnsi="Arial" w:cs="Arial"/>
          <w:sz w:val="24"/>
          <w:szCs w:val="24"/>
        </w:rPr>
      </w:pPr>
      <w:r w:rsidRPr="00C84594">
        <w:rPr>
          <w:rFonts w:ascii="Arial" w:hAnsi="Arial" w:cs="Arial"/>
          <w:sz w:val="24"/>
          <w:szCs w:val="24"/>
        </w:rPr>
        <w:t>In response to Staff’s question</w:t>
      </w:r>
      <w:r w:rsidR="00FB025B">
        <w:rPr>
          <w:rFonts w:ascii="Arial" w:hAnsi="Arial" w:cs="Arial"/>
          <w:sz w:val="24"/>
          <w:szCs w:val="24"/>
        </w:rPr>
        <w:t>s</w:t>
      </w:r>
      <w:r w:rsidRPr="00C845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4594">
        <w:rPr>
          <w:rFonts w:ascii="Arial" w:hAnsi="Arial" w:cs="Arial"/>
          <w:sz w:val="24"/>
          <w:szCs w:val="24"/>
        </w:rPr>
        <w:t>Elexicon</w:t>
      </w:r>
      <w:proofErr w:type="spellEnd"/>
      <w:r w:rsidRPr="00C84594">
        <w:rPr>
          <w:rFonts w:ascii="Arial" w:hAnsi="Arial" w:cs="Arial"/>
          <w:sz w:val="24"/>
          <w:szCs w:val="24"/>
        </w:rPr>
        <w:t xml:space="preserve"> Energy </w:t>
      </w:r>
      <w:r w:rsidR="00FB025B">
        <w:rPr>
          <w:rFonts w:ascii="Arial" w:hAnsi="Arial" w:cs="Arial"/>
          <w:sz w:val="24"/>
          <w:szCs w:val="24"/>
        </w:rPr>
        <w:t>provided the following</w:t>
      </w:r>
      <w:r w:rsidRPr="00C84594">
        <w:rPr>
          <w:rFonts w:ascii="Arial" w:hAnsi="Arial" w:cs="Arial"/>
          <w:sz w:val="24"/>
          <w:szCs w:val="24"/>
        </w:rPr>
        <w:t>:</w:t>
      </w:r>
    </w:p>
    <w:p w14:paraId="4FE32EB6" w14:textId="77777777" w:rsidR="003442E0" w:rsidRPr="00C84594" w:rsidRDefault="003442E0" w:rsidP="003442E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4594">
        <w:rPr>
          <w:rFonts w:ascii="Arial" w:hAnsi="Arial" w:cs="Arial"/>
          <w:sz w:val="24"/>
          <w:szCs w:val="24"/>
        </w:rPr>
        <w:t xml:space="preserve">The methodology used to forecast collection notices in 2019 is not consistent with the methodology from the 2014 COS; and therefore the volumes associated with reduced revenue are much lower than prior years. </w:t>
      </w:r>
    </w:p>
    <w:p w14:paraId="5983EED5" w14:textId="77777777" w:rsidR="003442E0" w:rsidRPr="00C84594" w:rsidRDefault="003442E0" w:rsidP="003442E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4594">
        <w:rPr>
          <w:rFonts w:ascii="Arial" w:hAnsi="Arial" w:cs="Arial"/>
          <w:sz w:val="24"/>
          <w:szCs w:val="24"/>
        </w:rPr>
        <w:t xml:space="preserve">There are continued collection efforts, but they only represent a subset of total number of collections (disconnection) notices issued and do not reflect the volume of additional or replacement collection activities/notices implemented during the winter moratorium. </w:t>
      </w:r>
    </w:p>
    <w:p w14:paraId="356E3EBE" w14:textId="77777777" w:rsidR="00FB025B" w:rsidRDefault="00FB025B" w:rsidP="003E07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B025B">
        <w:rPr>
          <w:rFonts w:ascii="Arial" w:hAnsi="Arial" w:cs="Arial"/>
          <w:sz w:val="24"/>
          <w:szCs w:val="24"/>
        </w:rPr>
        <w:t>Table G-2 show</w:t>
      </w:r>
      <w:r>
        <w:rPr>
          <w:rFonts w:ascii="Arial" w:hAnsi="Arial" w:cs="Arial"/>
          <w:sz w:val="24"/>
          <w:szCs w:val="24"/>
        </w:rPr>
        <w:t>s</w:t>
      </w:r>
      <w:r w:rsidRPr="00FB025B">
        <w:rPr>
          <w:rFonts w:ascii="Arial" w:hAnsi="Arial" w:cs="Arial"/>
          <w:sz w:val="24"/>
          <w:szCs w:val="24"/>
        </w:rPr>
        <w:t xml:space="preserve"> an initial forecast of 3,729 based on actual notices </w:t>
      </w:r>
      <w:r w:rsidR="001C29E4">
        <w:rPr>
          <w:rFonts w:ascii="Arial" w:hAnsi="Arial" w:cs="Arial"/>
          <w:sz w:val="24"/>
          <w:szCs w:val="24"/>
        </w:rPr>
        <w:t>that were charged</w:t>
      </w:r>
      <w:r w:rsidRPr="00FB025B">
        <w:rPr>
          <w:rFonts w:ascii="Arial" w:hAnsi="Arial" w:cs="Arial"/>
          <w:sz w:val="24"/>
          <w:szCs w:val="24"/>
        </w:rPr>
        <w:t xml:space="preserve"> from January to June 2019.  </w:t>
      </w:r>
    </w:p>
    <w:p w14:paraId="6169BEF0" w14:textId="77777777" w:rsidR="00DE049C" w:rsidRPr="00FB025B" w:rsidRDefault="00CF2979" w:rsidP="003E07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FB025B">
        <w:rPr>
          <w:rFonts w:ascii="Arial" w:hAnsi="Arial" w:cs="Arial"/>
          <w:sz w:val="24"/>
          <w:szCs w:val="24"/>
        </w:rPr>
        <w:lastRenderedPageBreak/>
        <w:t>Elexicon</w:t>
      </w:r>
      <w:proofErr w:type="spellEnd"/>
      <w:r w:rsidRPr="00FB025B">
        <w:rPr>
          <w:rFonts w:ascii="Arial" w:hAnsi="Arial" w:cs="Arial"/>
          <w:sz w:val="24"/>
          <w:szCs w:val="24"/>
        </w:rPr>
        <w:t xml:space="preserve"> Energy provided an actual figure of 12,000 disconnection notices issued total.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49C" w:rsidRPr="00FB025B">
        <w:rPr>
          <w:rFonts w:ascii="Arial" w:hAnsi="Arial" w:cs="Arial"/>
          <w:sz w:val="24"/>
          <w:szCs w:val="24"/>
        </w:rPr>
        <w:t>Elexicon</w:t>
      </w:r>
      <w:proofErr w:type="spellEnd"/>
      <w:r w:rsidR="00DE049C" w:rsidRPr="00FB025B">
        <w:rPr>
          <w:rFonts w:ascii="Arial" w:hAnsi="Arial" w:cs="Arial"/>
          <w:sz w:val="24"/>
          <w:szCs w:val="24"/>
        </w:rPr>
        <w:t xml:space="preserve"> Energy noted that it will issue additional volumes of reminder notices to be compliant with the DSC effective March 1, 2020.</w:t>
      </w:r>
    </w:p>
    <w:p w14:paraId="30CED4B4" w14:textId="77777777" w:rsidR="00C84594" w:rsidRPr="00C84594" w:rsidRDefault="00C84594" w:rsidP="00C84594">
      <w:pPr>
        <w:rPr>
          <w:rFonts w:ascii="Arial" w:hAnsi="Arial" w:cs="Arial"/>
          <w:sz w:val="24"/>
          <w:szCs w:val="24"/>
        </w:rPr>
      </w:pPr>
    </w:p>
    <w:p w14:paraId="09C2DD3A" w14:textId="77777777" w:rsidR="003442E0" w:rsidRPr="00C84594" w:rsidRDefault="00C84594" w:rsidP="003D7015">
      <w:pPr>
        <w:rPr>
          <w:rFonts w:ascii="Arial" w:hAnsi="Arial" w:cs="Arial"/>
          <w:sz w:val="24"/>
          <w:szCs w:val="24"/>
          <w:u w:val="single"/>
        </w:rPr>
      </w:pPr>
      <w:r w:rsidRPr="00C84594">
        <w:rPr>
          <w:rFonts w:ascii="Arial" w:hAnsi="Arial" w:cs="Arial"/>
          <w:sz w:val="24"/>
          <w:szCs w:val="24"/>
          <w:u w:val="single"/>
        </w:rPr>
        <w:t>Questions:</w:t>
      </w:r>
    </w:p>
    <w:p w14:paraId="13ADB9C3" w14:textId="77777777" w:rsidR="005145AE" w:rsidRDefault="006D2726" w:rsidP="0092196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that </w:t>
      </w:r>
      <w:proofErr w:type="spellStart"/>
      <w:r>
        <w:rPr>
          <w:rFonts w:ascii="Arial" w:hAnsi="Arial" w:cs="Arial"/>
          <w:sz w:val="24"/>
          <w:szCs w:val="24"/>
        </w:rPr>
        <w:t>Elexicon</w:t>
      </w:r>
      <w:proofErr w:type="spellEnd"/>
      <w:r>
        <w:rPr>
          <w:rFonts w:ascii="Arial" w:hAnsi="Arial" w:cs="Arial"/>
          <w:sz w:val="24"/>
          <w:szCs w:val="24"/>
        </w:rPr>
        <w:t xml:space="preserve"> Energy intends on disposing of $1,301,854</w:t>
      </w:r>
      <w:r w:rsidR="00FD2386">
        <w:rPr>
          <w:rFonts w:ascii="Arial" w:hAnsi="Arial" w:cs="Arial"/>
          <w:sz w:val="24"/>
          <w:szCs w:val="24"/>
        </w:rPr>
        <w:t xml:space="preserve"> as lost revenues through Account 1508 for 2019 </w:t>
      </w:r>
      <w:r>
        <w:rPr>
          <w:rFonts w:ascii="Arial" w:hAnsi="Arial" w:cs="Arial"/>
          <w:sz w:val="24"/>
          <w:szCs w:val="24"/>
        </w:rPr>
        <w:t>(i.e. $1,143,711 and $111,857) as part of a future IRM application</w:t>
      </w:r>
      <w:r w:rsidR="00FD2386">
        <w:rPr>
          <w:rFonts w:ascii="Arial" w:hAnsi="Arial" w:cs="Arial"/>
          <w:sz w:val="24"/>
          <w:szCs w:val="24"/>
        </w:rPr>
        <w:t xml:space="preserve"> or a stand-alone application. </w:t>
      </w:r>
    </w:p>
    <w:p w14:paraId="0ABC3074" w14:textId="77777777" w:rsidR="005145AE" w:rsidRDefault="005145AE" w:rsidP="005145AE">
      <w:pPr>
        <w:pStyle w:val="ListParagraph"/>
        <w:rPr>
          <w:rFonts w:ascii="Arial" w:hAnsi="Arial" w:cs="Arial"/>
          <w:sz w:val="24"/>
          <w:szCs w:val="24"/>
        </w:rPr>
      </w:pPr>
    </w:p>
    <w:p w14:paraId="709B97F9" w14:textId="7355900D" w:rsidR="005145AE" w:rsidRDefault="005145AE" w:rsidP="005145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that $1,143,711 will be recorded annually in 2020-2029 as actual collection of account revenues are zero. </w:t>
      </w:r>
    </w:p>
    <w:p w14:paraId="1C221063" w14:textId="77777777" w:rsidR="005145AE" w:rsidRDefault="005145AE" w:rsidP="005145AE">
      <w:pPr>
        <w:pStyle w:val="ListParagrap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1DB7337" w14:textId="36F5466F" w:rsidR="005145AE" w:rsidRDefault="006D2726" w:rsidP="0092196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the </w:t>
      </w:r>
      <w:r w:rsidR="005145AE">
        <w:rPr>
          <w:rFonts w:ascii="Arial" w:hAnsi="Arial" w:cs="Arial"/>
          <w:sz w:val="24"/>
          <w:szCs w:val="24"/>
        </w:rPr>
        <w:t xml:space="preserve">prudence of account balances is reviewed when disposed, and as </w:t>
      </w:r>
      <w:r w:rsidR="00F154B8">
        <w:rPr>
          <w:rFonts w:ascii="Arial" w:hAnsi="Arial" w:cs="Arial"/>
          <w:sz w:val="24"/>
          <w:szCs w:val="24"/>
        </w:rPr>
        <w:t>G</w:t>
      </w:r>
      <w:r w:rsidR="005145AE">
        <w:rPr>
          <w:rFonts w:ascii="Arial" w:hAnsi="Arial" w:cs="Arial"/>
          <w:sz w:val="24"/>
          <w:szCs w:val="24"/>
        </w:rPr>
        <w:t xml:space="preserve">roup 2 account disposition is normally not included in an IRM application, please </w:t>
      </w:r>
      <w:r w:rsidR="00BA66B5">
        <w:rPr>
          <w:rFonts w:ascii="Arial" w:hAnsi="Arial" w:cs="Arial"/>
          <w:sz w:val="24"/>
          <w:szCs w:val="24"/>
        </w:rPr>
        <w:t xml:space="preserve">clarify </w:t>
      </w:r>
      <w:r w:rsidR="005145AE">
        <w:rPr>
          <w:rFonts w:ascii="Arial" w:hAnsi="Arial" w:cs="Arial"/>
          <w:sz w:val="24"/>
          <w:szCs w:val="24"/>
        </w:rPr>
        <w:t xml:space="preserve">whether </w:t>
      </w:r>
      <w:proofErr w:type="spellStart"/>
      <w:r w:rsidR="00E9223D">
        <w:rPr>
          <w:rFonts w:ascii="Arial" w:hAnsi="Arial" w:cs="Arial"/>
          <w:sz w:val="24"/>
          <w:szCs w:val="24"/>
        </w:rPr>
        <w:t>Elexicon</w:t>
      </w:r>
      <w:proofErr w:type="spellEnd"/>
      <w:r w:rsidR="00E9223D">
        <w:rPr>
          <w:rFonts w:ascii="Arial" w:hAnsi="Arial" w:cs="Arial"/>
          <w:sz w:val="24"/>
          <w:szCs w:val="24"/>
        </w:rPr>
        <w:t xml:space="preserve"> Energy pr</w:t>
      </w:r>
      <w:r w:rsidR="004C5E23">
        <w:rPr>
          <w:rFonts w:ascii="Arial" w:hAnsi="Arial" w:cs="Arial"/>
          <w:sz w:val="24"/>
          <w:szCs w:val="24"/>
        </w:rPr>
        <w:t>efers</w:t>
      </w:r>
      <w:r w:rsidR="005145AE">
        <w:rPr>
          <w:rFonts w:ascii="Arial" w:hAnsi="Arial" w:cs="Arial"/>
          <w:sz w:val="24"/>
          <w:szCs w:val="24"/>
        </w:rPr>
        <w:t xml:space="preserve"> to dispose of the account balances during an IRM</w:t>
      </w:r>
      <w:r w:rsidR="00E9223D">
        <w:rPr>
          <w:rFonts w:ascii="Arial" w:hAnsi="Arial" w:cs="Arial"/>
          <w:sz w:val="24"/>
          <w:szCs w:val="24"/>
        </w:rPr>
        <w:t xml:space="preserve"> (over a stand-alone application)</w:t>
      </w:r>
      <w:r w:rsidR="007524E2">
        <w:rPr>
          <w:rFonts w:ascii="Arial" w:hAnsi="Arial" w:cs="Arial"/>
          <w:sz w:val="24"/>
          <w:szCs w:val="24"/>
        </w:rPr>
        <w:t xml:space="preserve"> or is maintaining the option to do both (as noted in the Draft Accounting Order)</w:t>
      </w:r>
      <w:r w:rsidR="00E9223D">
        <w:rPr>
          <w:rFonts w:ascii="Arial" w:hAnsi="Arial" w:cs="Arial"/>
          <w:sz w:val="24"/>
          <w:szCs w:val="24"/>
        </w:rPr>
        <w:t xml:space="preserve">. </w:t>
      </w:r>
    </w:p>
    <w:p w14:paraId="3ADFE93C" w14:textId="77777777" w:rsidR="005145AE" w:rsidRPr="005145AE" w:rsidRDefault="005145AE" w:rsidP="005145AE">
      <w:pPr>
        <w:pStyle w:val="ListParagraph"/>
        <w:rPr>
          <w:rFonts w:ascii="Arial" w:hAnsi="Arial" w:cs="Arial"/>
          <w:sz w:val="24"/>
          <w:szCs w:val="24"/>
        </w:rPr>
      </w:pPr>
    </w:p>
    <w:p w14:paraId="3B037DFC" w14:textId="503C9419" w:rsidR="005145AE" w:rsidRPr="004C5E23" w:rsidRDefault="005145AE" w:rsidP="004C5E2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C5E23">
        <w:rPr>
          <w:rFonts w:ascii="Arial" w:hAnsi="Arial" w:cs="Arial"/>
          <w:sz w:val="24"/>
          <w:szCs w:val="24"/>
        </w:rPr>
        <w:t xml:space="preserve">If annual disposition of Account 1508 is </w:t>
      </w:r>
      <w:r w:rsidR="00C13846">
        <w:rPr>
          <w:rFonts w:ascii="Arial" w:hAnsi="Arial" w:cs="Arial"/>
          <w:sz w:val="24"/>
          <w:szCs w:val="24"/>
        </w:rPr>
        <w:t xml:space="preserve">not approved </w:t>
      </w:r>
      <w:r w:rsidR="00E9223D" w:rsidRPr="004C5E23">
        <w:rPr>
          <w:rFonts w:ascii="Arial" w:hAnsi="Arial" w:cs="Arial"/>
          <w:sz w:val="24"/>
          <w:szCs w:val="24"/>
        </w:rPr>
        <w:t>by the OEB through an IRM application</w:t>
      </w:r>
      <w:r w:rsidRPr="004C5E23">
        <w:rPr>
          <w:rFonts w:ascii="Arial" w:hAnsi="Arial" w:cs="Arial"/>
          <w:sz w:val="24"/>
          <w:szCs w:val="24"/>
        </w:rPr>
        <w:t xml:space="preserve">, </w:t>
      </w:r>
      <w:r w:rsidR="00356464">
        <w:rPr>
          <w:rFonts w:ascii="Arial" w:hAnsi="Arial" w:cs="Arial"/>
          <w:sz w:val="24"/>
          <w:szCs w:val="24"/>
        </w:rPr>
        <w:t>please discuss whether</w:t>
      </w:r>
      <w:r w:rsidRPr="004C5E23">
        <w:rPr>
          <w:rFonts w:ascii="Arial" w:hAnsi="Arial" w:cs="Arial"/>
          <w:sz w:val="24"/>
          <w:szCs w:val="24"/>
        </w:rPr>
        <w:t xml:space="preserve"> applying for disposition of these account balances through a stand-alone application </w:t>
      </w:r>
      <w:r w:rsidR="00356464">
        <w:rPr>
          <w:rFonts w:ascii="Arial" w:hAnsi="Arial" w:cs="Arial"/>
          <w:sz w:val="24"/>
          <w:szCs w:val="24"/>
        </w:rPr>
        <w:t xml:space="preserve">is </w:t>
      </w:r>
      <w:r w:rsidRPr="004C5E23">
        <w:rPr>
          <w:rFonts w:ascii="Arial" w:hAnsi="Arial" w:cs="Arial"/>
          <w:sz w:val="24"/>
          <w:szCs w:val="24"/>
        </w:rPr>
        <w:t xml:space="preserve">the </w:t>
      </w:r>
      <w:r w:rsidR="00356464">
        <w:rPr>
          <w:rFonts w:ascii="Arial" w:hAnsi="Arial" w:cs="Arial"/>
          <w:sz w:val="24"/>
          <w:szCs w:val="24"/>
        </w:rPr>
        <w:t>next preferred option.</w:t>
      </w:r>
      <w:r w:rsidR="00932E01">
        <w:rPr>
          <w:rFonts w:ascii="Arial" w:hAnsi="Arial" w:cs="Arial"/>
          <w:sz w:val="24"/>
          <w:szCs w:val="24"/>
        </w:rPr>
        <w:t xml:space="preserve"> Please </w:t>
      </w:r>
      <w:r w:rsidR="00521359">
        <w:rPr>
          <w:rFonts w:ascii="Arial" w:hAnsi="Arial" w:cs="Arial"/>
          <w:sz w:val="24"/>
          <w:szCs w:val="24"/>
        </w:rPr>
        <w:t>clarify why</w:t>
      </w:r>
      <w:r w:rsidR="0093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E01">
        <w:rPr>
          <w:rFonts w:ascii="Arial" w:hAnsi="Arial" w:cs="Arial"/>
          <w:sz w:val="24"/>
          <w:szCs w:val="24"/>
        </w:rPr>
        <w:t>Elexicon</w:t>
      </w:r>
      <w:proofErr w:type="spellEnd"/>
      <w:r w:rsidR="00932E01">
        <w:rPr>
          <w:rFonts w:ascii="Arial" w:hAnsi="Arial" w:cs="Arial"/>
          <w:sz w:val="24"/>
          <w:szCs w:val="24"/>
        </w:rPr>
        <w:t xml:space="preserve"> Energy believes it is appropriate to retain both options in the Draft Accounting Order.</w:t>
      </w:r>
    </w:p>
    <w:p w14:paraId="10050890" w14:textId="77777777" w:rsidR="005145AE" w:rsidRDefault="005145AE" w:rsidP="005145A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C2631E3" w14:textId="77777777" w:rsidR="00CF2979" w:rsidRPr="004C5E23" w:rsidRDefault="006D2726" w:rsidP="004C5E2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C5E23">
        <w:rPr>
          <w:rFonts w:ascii="Arial" w:hAnsi="Arial" w:cs="Arial"/>
          <w:sz w:val="24"/>
          <w:szCs w:val="24"/>
        </w:rPr>
        <w:t xml:space="preserve">Please </w:t>
      </w:r>
      <w:r w:rsidR="00180E36">
        <w:rPr>
          <w:rFonts w:ascii="Arial" w:hAnsi="Arial" w:cs="Arial"/>
          <w:sz w:val="24"/>
          <w:szCs w:val="24"/>
        </w:rPr>
        <w:t xml:space="preserve">discuss </w:t>
      </w:r>
      <w:r w:rsidRPr="004C5E23">
        <w:rPr>
          <w:rFonts w:ascii="Arial" w:hAnsi="Arial" w:cs="Arial"/>
          <w:sz w:val="24"/>
          <w:szCs w:val="24"/>
        </w:rPr>
        <w:t xml:space="preserve">the expected </w:t>
      </w:r>
      <w:r w:rsidR="00CB6EAA">
        <w:rPr>
          <w:rFonts w:ascii="Arial" w:hAnsi="Arial" w:cs="Arial"/>
          <w:sz w:val="24"/>
          <w:szCs w:val="24"/>
        </w:rPr>
        <w:t xml:space="preserve">year-over-year </w:t>
      </w:r>
      <w:r w:rsidR="002727E7">
        <w:rPr>
          <w:rFonts w:ascii="Arial" w:hAnsi="Arial" w:cs="Arial"/>
          <w:sz w:val="24"/>
          <w:szCs w:val="24"/>
        </w:rPr>
        <w:t>bill impact</w:t>
      </w:r>
      <w:r w:rsidRPr="004C5E23">
        <w:rPr>
          <w:rFonts w:ascii="Arial" w:hAnsi="Arial" w:cs="Arial"/>
          <w:sz w:val="24"/>
          <w:szCs w:val="24"/>
        </w:rPr>
        <w:t xml:space="preserve"> of incorporating this amount for annual disposition</w:t>
      </w:r>
      <w:r w:rsidR="00CB6EAA">
        <w:rPr>
          <w:rFonts w:ascii="Arial" w:hAnsi="Arial" w:cs="Arial"/>
          <w:sz w:val="24"/>
          <w:szCs w:val="24"/>
        </w:rPr>
        <w:t>,</w:t>
      </w:r>
      <w:r w:rsidRPr="004C5E23">
        <w:rPr>
          <w:rFonts w:ascii="Arial" w:hAnsi="Arial" w:cs="Arial"/>
          <w:sz w:val="24"/>
          <w:szCs w:val="24"/>
        </w:rPr>
        <w:t xml:space="preserve"> </w:t>
      </w:r>
      <w:r w:rsidR="002727E7">
        <w:rPr>
          <w:rFonts w:ascii="Arial" w:hAnsi="Arial" w:cs="Arial"/>
          <w:sz w:val="24"/>
          <w:szCs w:val="24"/>
        </w:rPr>
        <w:t>as part of an IRM application</w:t>
      </w:r>
      <w:r w:rsidR="00180E36">
        <w:rPr>
          <w:rFonts w:ascii="Arial" w:hAnsi="Arial" w:cs="Arial"/>
          <w:sz w:val="24"/>
          <w:szCs w:val="24"/>
        </w:rPr>
        <w:t xml:space="preserve"> versus</w:t>
      </w:r>
      <w:r w:rsidR="002727E7">
        <w:rPr>
          <w:rFonts w:ascii="Arial" w:hAnsi="Arial" w:cs="Arial"/>
          <w:sz w:val="24"/>
          <w:szCs w:val="24"/>
        </w:rPr>
        <w:t xml:space="preserve"> a stand-alone application</w:t>
      </w:r>
      <w:r w:rsidR="00CB6EAA">
        <w:rPr>
          <w:rFonts w:ascii="Arial" w:hAnsi="Arial" w:cs="Arial"/>
          <w:sz w:val="24"/>
          <w:szCs w:val="24"/>
        </w:rPr>
        <w:t>.</w:t>
      </w:r>
    </w:p>
    <w:p w14:paraId="5054A66F" w14:textId="77777777" w:rsidR="005145AE" w:rsidRDefault="005145AE" w:rsidP="005145AE">
      <w:pPr>
        <w:pStyle w:val="ListParagraph"/>
        <w:rPr>
          <w:rFonts w:ascii="Arial" w:hAnsi="Arial" w:cs="Arial"/>
          <w:sz w:val="24"/>
          <w:szCs w:val="24"/>
        </w:rPr>
      </w:pPr>
    </w:p>
    <w:p w14:paraId="5A81C96A" w14:textId="6565813E" w:rsidR="00CF2979" w:rsidRDefault="00CF2979" w:rsidP="005145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145AE">
        <w:rPr>
          <w:rFonts w:ascii="Arial" w:hAnsi="Arial" w:cs="Arial"/>
          <w:sz w:val="24"/>
          <w:szCs w:val="24"/>
        </w:rPr>
        <w:t>Given the requirement to issue additional volumes of reminder notices, effective March 1, 2020</w:t>
      </w:r>
      <w:r w:rsidR="00597250">
        <w:rPr>
          <w:rFonts w:ascii="Arial" w:hAnsi="Arial" w:cs="Arial"/>
          <w:sz w:val="24"/>
          <w:szCs w:val="24"/>
        </w:rPr>
        <w:t xml:space="preserve"> (i.e. response to Staff-11 c, ii)</w:t>
      </w:r>
      <w:r w:rsidRPr="005145AE">
        <w:rPr>
          <w:rFonts w:ascii="Arial" w:hAnsi="Arial" w:cs="Arial"/>
          <w:sz w:val="24"/>
          <w:szCs w:val="24"/>
        </w:rPr>
        <w:t xml:space="preserve">, please indicate whether there </w:t>
      </w:r>
      <w:r w:rsidR="00921966" w:rsidRPr="005145AE">
        <w:rPr>
          <w:rFonts w:ascii="Arial" w:hAnsi="Arial" w:cs="Arial"/>
          <w:sz w:val="24"/>
          <w:szCs w:val="24"/>
        </w:rPr>
        <w:t>are</w:t>
      </w:r>
      <w:r w:rsidRPr="005145AE">
        <w:rPr>
          <w:rFonts w:ascii="Arial" w:hAnsi="Arial" w:cs="Arial"/>
          <w:sz w:val="24"/>
          <w:szCs w:val="24"/>
        </w:rPr>
        <w:t xml:space="preserve"> any possible changes to its </w:t>
      </w:r>
      <w:r w:rsidR="00921966" w:rsidRPr="005145AE">
        <w:rPr>
          <w:rFonts w:ascii="Arial" w:hAnsi="Arial" w:cs="Arial"/>
          <w:sz w:val="24"/>
          <w:szCs w:val="24"/>
        </w:rPr>
        <w:t>collection account practices to limit co</w:t>
      </w:r>
      <w:r w:rsidR="00185E67">
        <w:rPr>
          <w:rFonts w:ascii="Arial" w:hAnsi="Arial" w:cs="Arial"/>
          <w:sz w:val="24"/>
          <w:szCs w:val="24"/>
        </w:rPr>
        <w:t xml:space="preserve">llection cost activities (as it is noted that </w:t>
      </w:r>
      <w:r w:rsidR="00921966" w:rsidRPr="005145AE">
        <w:rPr>
          <w:rFonts w:ascii="Arial" w:hAnsi="Arial" w:cs="Arial"/>
          <w:sz w:val="24"/>
          <w:szCs w:val="24"/>
        </w:rPr>
        <w:t xml:space="preserve"> cost savings</w:t>
      </w:r>
      <w:r w:rsidR="00185E67">
        <w:rPr>
          <w:rFonts w:ascii="Arial" w:hAnsi="Arial" w:cs="Arial"/>
          <w:sz w:val="24"/>
          <w:szCs w:val="24"/>
        </w:rPr>
        <w:t xml:space="preserve"> are</w:t>
      </w:r>
      <w:r w:rsidR="00921966" w:rsidRPr="005145AE">
        <w:rPr>
          <w:rFonts w:ascii="Arial" w:hAnsi="Arial" w:cs="Arial"/>
          <w:sz w:val="24"/>
          <w:szCs w:val="24"/>
        </w:rPr>
        <w:t xml:space="preserve"> already</w:t>
      </w:r>
      <w:r w:rsidR="00185E67">
        <w:rPr>
          <w:rFonts w:ascii="Arial" w:hAnsi="Arial" w:cs="Arial"/>
          <w:sz w:val="24"/>
          <w:szCs w:val="24"/>
        </w:rPr>
        <w:t xml:space="preserve"> hard to achieve</w:t>
      </w:r>
      <w:r w:rsidR="00921966" w:rsidRPr="005145AE">
        <w:rPr>
          <w:rFonts w:ascii="Arial" w:hAnsi="Arial" w:cs="Arial"/>
          <w:sz w:val="24"/>
          <w:szCs w:val="24"/>
        </w:rPr>
        <w:t>)</w:t>
      </w:r>
      <w:r w:rsidRPr="005145AE">
        <w:rPr>
          <w:rFonts w:ascii="Arial" w:hAnsi="Arial" w:cs="Arial"/>
          <w:sz w:val="24"/>
          <w:szCs w:val="24"/>
        </w:rPr>
        <w:t xml:space="preserve">. </w:t>
      </w:r>
    </w:p>
    <w:p w14:paraId="4498D74C" w14:textId="77777777" w:rsidR="00E83A6C" w:rsidRPr="00DE049C" w:rsidRDefault="00E83A6C" w:rsidP="00E83A6C">
      <w:pPr>
        <w:rPr>
          <w:rFonts w:ascii="Arial" w:hAnsi="Arial" w:cs="Arial"/>
          <w:b/>
          <w:sz w:val="24"/>
          <w:szCs w:val="24"/>
        </w:rPr>
      </w:pPr>
    </w:p>
    <w:p w14:paraId="09B81DF0" w14:textId="4135992B" w:rsidR="008F3859" w:rsidRDefault="008F3859" w:rsidP="008F3859">
      <w:pPr>
        <w:rPr>
          <w:rFonts w:ascii="Arial" w:hAnsi="Arial" w:cs="Arial"/>
          <w:b/>
          <w:sz w:val="24"/>
          <w:szCs w:val="24"/>
        </w:rPr>
      </w:pPr>
      <w:r w:rsidRPr="00DE049C">
        <w:rPr>
          <w:rFonts w:ascii="Arial" w:hAnsi="Arial" w:cs="Arial"/>
          <w:b/>
          <w:sz w:val="24"/>
          <w:szCs w:val="24"/>
        </w:rPr>
        <w:t>Staff</w:t>
      </w:r>
      <w:r w:rsidR="00597250">
        <w:rPr>
          <w:rFonts w:ascii="Arial" w:hAnsi="Arial" w:cs="Arial"/>
          <w:b/>
          <w:sz w:val="24"/>
          <w:szCs w:val="24"/>
        </w:rPr>
        <w:t>-</w:t>
      </w:r>
      <w:r w:rsidR="002E329F">
        <w:rPr>
          <w:rFonts w:ascii="Arial" w:hAnsi="Arial" w:cs="Arial"/>
          <w:b/>
          <w:sz w:val="24"/>
          <w:szCs w:val="24"/>
        </w:rPr>
        <w:t>20</w:t>
      </w:r>
    </w:p>
    <w:p w14:paraId="25B23E49" w14:textId="53D88487" w:rsidR="008F3859" w:rsidRPr="008F3859" w:rsidRDefault="008F3859" w:rsidP="008F3859">
      <w:pPr>
        <w:rPr>
          <w:rFonts w:ascii="Arial" w:hAnsi="Arial" w:cs="Arial"/>
          <w:sz w:val="24"/>
          <w:szCs w:val="24"/>
        </w:rPr>
      </w:pPr>
      <w:r w:rsidRPr="008F3859">
        <w:rPr>
          <w:rFonts w:ascii="Arial" w:hAnsi="Arial" w:cs="Arial"/>
          <w:sz w:val="24"/>
          <w:szCs w:val="24"/>
        </w:rPr>
        <w:t>Ref:</w:t>
      </w:r>
      <w:r w:rsidRPr="008F38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2020 IRM Rate Generator (January 15, 2020) - attachment</w:t>
      </w:r>
    </w:p>
    <w:p w14:paraId="5EDD6FCA" w14:textId="6E20FFCD" w:rsidR="0035638D" w:rsidRPr="00DC5E19" w:rsidRDefault="0035638D" w:rsidP="00921966">
      <w:pPr>
        <w:rPr>
          <w:rFonts w:ascii="Arial" w:hAnsi="Arial" w:cs="Arial"/>
          <w:sz w:val="24"/>
          <w:szCs w:val="24"/>
          <w:u w:val="single"/>
        </w:rPr>
      </w:pPr>
      <w:r w:rsidRPr="00DC5E19">
        <w:rPr>
          <w:rFonts w:ascii="Arial" w:hAnsi="Arial" w:cs="Arial"/>
          <w:sz w:val="24"/>
          <w:szCs w:val="24"/>
          <w:u w:val="single"/>
        </w:rPr>
        <w:t>Preamble:</w:t>
      </w:r>
    </w:p>
    <w:p w14:paraId="368858E6" w14:textId="3DFE4658" w:rsidR="00921966" w:rsidRDefault="008F3859" w:rsidP="00921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made the following updates to the 2020 IRM application:</w:t>
      </w:r>
    </w:p>
    <w:p w14:paraId="41E345FE" w14:textId="77777777" w:rsidR="008F3859" w:rsidRPr="008F3859" w:rsidRDefault="008F3859" w:rsidP="008F385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3859">
        <w:rPr>
          <w:rFonts w:ascii="Arial" w:hAnsi="Arial" w:cs="Arial"/>
          <w:sz w:val="24"/>
          <w:szCs w:val="24"/>
        </w:rPr>
        <w:t>RTSRs – updated with the 2020 UTRs and Hydro One Sub-transmission rates</w:t>
      </w:r>
    </w:p>
    <w:p w14:paraId="4700EC5A" w14:textId="77777777" w:rsidR="008F3859" w:rsidRPr="008F3859" w:rsidRDefault="008F3859" w:rsidP="008F385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3859">
        <w:rPr>
          <w:rFonts w:ascii="Arial" w:hAnsi="Arial" w:cs="Arial"/>
          <w:sz w:val="24"/>
          <w:szCs w:val="24"/>
        </w:rPr>
        <w:lastRenderedPageBreak/>
        <w:t>Price Cap Inflation factor – updated with the most current 2% value</w:t>
      </w:r>
    </w:p>
    <w:p w14:paraId="097812B0" w14:textId="77777777" w:rsidR="008F3859" w:rsidRPr="008F3859" w:rsidRDefault="008F3859" w:rsidP="008F385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3859">
        <w:rPr>
          <w:rFonts w:ascii="Arial" w:hAnsi="Arial" w:cs="Arial"/>
          <w:sz w:val="24"/>
          <w:szCs w:val="24"/>
        </w:rPr>
        <w:t>RPP TOU price – updated with Nov 1, 2019 TOU rates</w:t>
      </w:r>
    </w:p>
    <w:p w14:paraId="72B618B8" w14:textId="03025BD4" w:rsidR="008F3859" w:rsidRDefault="008F3859" w:rsidP="00921966">
      <w:pPr>
        <w:rPr>
          <w:rFonts w:ascii="Arial" w:hAnsi="Arial" w:cs="Arial"/>
          <w:sz w:val="24"/>
          <w:szCs w:val="24"/>
        </w:rPr>
      </w:pPr>
    </w:p>
    <w:p w14:paraId="0C898D57" w14:textId="731241B1" w:rsidR="0035638D" w:rsidRPr="00DC5E19" w:rsidRDefault="0035638D" w:rsidP="00921966">
      <w:pPr>
        <w:rPr>
          <w:rFonts w:ascii="Arial" w:hAnsi="Arial" w:cs="Arial"/>
          <w:sz w:val="24"/>
          <w:szCs w:val="24"/>
          <w:u w:val="single"/>
        </w:rPr>
      </w:pPr>
      <w:r w:rsidRPr="00DC5E19">
        <w:rPr>
          <w:rFonts w:ascii="Arial" w:hAnsi="Arial" w:cs="Arial"/>
          <w:sz w:val="24"/>
          <w:szCs w:val="24"/>
          <w:u w:val="single"/>
        </w:rPr>
        <w:t>Question:</w:t>
      </w:r>
    </w:p>
    <w:p w14:paraId="488E1339" w14:textId="4F3355F9" w:rsidR="008F3859" w:rsidRDefault="008F3859" w:rsidP="008F385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3859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confirm that </w:t>
      </w:r>
      <w:proofErr w:type="spellStart"/>
      <w:r>
        <w:rPr>
          <w:rFonts w:ascii="Arial" w:hAnsi="Arial" w:cs="Arial"/>
          <w:sz w:val="24"/>
          <w:szCs w:val="24"/>
        </w:rPr>
        <w:t>Elexicon</w:t>
      </w:r>
      <w:proofErr w:type="spellEnd"/>
      <w:r>
        <w:rPr>
          <w:rFonts w:ascii="Arial" w:hAnsi="Arial" w:cs="Arial"/>
          <w:sz w:val="24"/>
          <w:szCs w:val="24"/>
        </w:rPr>
        <w:t xml:space="preserve"> Energy is in agreement with the following updates in the rate generator, and that the customer bill impacts are correct.</w:t>
      </w:r>
    </w:p>
    <w:p w14:paraId="7F760D64" w14:textId="547F3FF1" w:rsidR="008F3859" w:rsidRDefault="008F3859" w:rsidP="008F3859">
      <w:pPr>
        <w:rPr>
          <w:rFonts w:ascii="Arial" w:hAnsi="Arial" w:cs="Arial"/>
          <w:sz w:val="24"/>
          <w:szCs w:val="24"/>
        </w:rPr>
      </w:pPr>
    </w:p>
    <w:p w14:paraId="0F1710AC" w14:textId="4041CB7B" w:rsidR="000D60C3" w:rsidRPr="00F10B9B" w:rsidRDefault="000D60C3" w:rsidP="000D60C3">
      <w:pPr>
        <w:pStyle w:val="Heading2"/>
      </w:pPr>
      <w:r w:rsidRPr="00F10B9B">
        <w:t>Staf</w:t>
      </w:r>
      <w:r w:rsidRPr="003F7942">
        <w:t>f-</w:t>
      </w:r>
      <w:r w:rsidR="002E329F" w:rsidRPr="00DC5E19">
        <w:t>21</w:t>
      </w:r>
    </w:p>
    <w:p w14:paraId="02E73D60" w14:textId="77777777" w:rsidR="000D60C3" w:rsidRPr="00F10B9B" w:rsidRDefault="000D60C3" w:rsidP="000D60C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C2A49C3" w14:textId="77777777" w:rsidR="000D60C3" w:rsidRDefault="000D60C3" w:rsidP="000D60C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0B9B">
        <w:rPr>
          <w:rFonts w:ascii="Arial" w:hAnsi="Arial" w:cs="Arial"/>
          <w:sz w:val="24"/>
          <w:szCs w:val="24"/>
        </w:rPr>
        <w:t>Ref:</w:t>
      </w:r>
      <w:r w:rsidRPr="00F10B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(1) Staff-5</w:t>
      </w:r>
    </w:p>
    <w:p w14:paraId="7D5CBF64" w14:textId="77777777" w:rsidR="000D60C3" w:rsidRDefault="000D60C3" w:rsidP="000D60C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(2) EB-2018-0072, Staff-2</w:t>
      </w:r>
    </w:p>
    <w:p w14:paraId="6A275257" w14:textId="77777777" w:rsidR="000D60C3" w:rsidRPr="00F10B9B" w:rsidRDefault="000D60C3" w:rsidP="000D60C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8ECCEB" w14:textId="77777777" w:rsidR="000D60C3" w:rsidRPr="00051B5F" w:rsidRDefault="000D60C3" w:rsidP="000D60C3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051B5F">
        <w:rPr>
          <w:rFonts w:ascii="Arial" w:hAnsi="Arial" w:cs="Arial"/>
          <w:sz w:val="24"/>
          <w:szCs w:val="24"/>
          <w:u w:val="single"/>
        </w:rPr>
        <w:t>Preamble:</w:t>
      </w:r>
    </w:p>
    <w:p w14:paraId="5E5809C4" w14:textId="77777777" w:rsidR="000D60C3" w:rsidRPr="00F10B9B" w:rsidRDefault="000D60C3" w:rsidP="000D60C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7B9F75" w14:textId="77777777" w:rsidR="000D60C3" w:rsidRDefault="000D60C3" w:rsidP="000D6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above noted first reference, </w:t>
      </w:r>
      <w:proofErr w:type="spellStart"/>
      <w:r>
        <w:rPr>
          <w:rFonts w:ascii="Arial" w:hAnsi="Arial" w:cs="Arial"/>
          <w:sz w:val="24"/>
          <w:szCs w:val="24"/>
        </w:rPr>
        <w:t>Elexicon</w:t>
      </w:r>
      <w:proofErr w:type="spellEnd"/>
      <w:r>
        <w:rPr>
          <w:rFonts w:ascii="Arial" w:hAnsi="Arial" w:cs="Arial"/>
          <w:sz w:val="24"/>
          <w:szCs w:val="24"/>
        </w:rPr>
        <w:t xml:space="preserve"> Energy provided a breakdown of the Account 1588 2017 transactions and principal adjustments.</w:t>
      </w:r>
    </w:p>
    <w:p w14:paraId="0BA14F75" w14:textId="77777777" w:rsidR="000D60C3" w:rsidRDefault="000D60C3" w:rsidP="000D6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above noted second reference, </w:t>
      </w:r>
      <w:proofErr w:type="spellStart"/>
      <w:r>
        <w:rPr>
          <w:rFonts w:ascii="Arial" w:hAnsi="Arial" w:cs="Arial"/>
          <w:sz w:val="24"/>
          <w:szCs w:val="24"/>
        </w:rPr>
        <w:t>Elexicon</w:t>
      </w:r>
      <w:proofErr w:type="spellEnd"/>
      <w:r>
        <w:rPr>
          <w:rFonts w:ascii="Arial" w:hAnsi="Arial" w:cs="Arial"/>
          <w:sz w:val="24"/>
          <w:szCs w:val="24"/>
        </w:rPr>
        <w:t xml:space="preserve"> Energy provided an explanation of the Account 1588 2017 amounts. </w:t>
      </w:r>
      <w:proofErr w:type="spellStart"/>
      <w:r>
        <w:rPr>
          <w:rFonts w:ascii="Arial" w:hAnsi="Arial" w:cs="Arial"/>
          <w:sz w:val="24"/>
          <w:szCs w:val="24"/>
        </w:rPr>
        <w:t>Elexicon</w:t>
      </w:r>
      <w:proofErr w:type="spellEnd"/>
      <w:r>
        <w:rPr>
          <w:rFonts w:ascii="Arial" w:hAnsi="Arial" w:cs="Arial"/>
          <w:sz w:val="24"/>
          <w:szCs w:val="24"/>
        </w:rPr>
        <w:t xml:space="preserve"> Energy included numbers in the above noted second reference that were not included in the above noted first reference.</w:t>
      </w:r>
    </w:p>
    <w:p w14:paraId="4671EA09" w14:textId="05344F56" w:rsidR="000D60C3" w:rsidRPr="00B35A23" w:rsidRDefault="000D60C3" w:rsidP="000D60C3">
      <w:pPr>
        <w:rPr>
          <w:rFonts w:ascii="Arial" w:hAnsi="Arial" w:cs="Arial"/>
          <w:sz w:val="24"/>
          <w:szCs w:val="24"/>
          <w:u w:val="single"/>
        </w:rPr>
      </w:pPr>
      <w:r w:rsidRPr="00B35A23">
        <w:rPr>
          <w:rFonts w:ascii="Arial" w:hAnsi="Arial" w:cs="Arial"/>
          <w:sz w:val="24"/>
          <w:szCs w:val="24"/>
          <w:u w:val="single"/>
        </w:rPr>
        <w:t>Question</w:t>
      </w:r>
      <w:r w:rsidR="00056662">
        <w:rPr>
          <w:rFonts w:ascii="Arial" w:hAnsi="Arial" w:cs="Arial"/>
          <w:sz w:val="24"/>
          <w:szCs w:val="24"/>
          <w:u w:val="single"/>
        </w:rPr>
        <w:t>s</w:t>
      </w:r>
      <w:r w:rsidRPr="00B35A23">
        <w:rPr>
          <w:rFonts w:ascii="Arial" w:hAnsi="Arial" w:cs="Arial"/>
          <w:sz w:val="24"/>
          <w:szCs w:val="24"/>
          <w:u w:val="single"/>
        </w:rPr>
        <w:t>:</w:t>
      </w:r>
    </w:p>
    <w:p w14:paraId="1B2C2D65" w14:textId="77777777" w:rsidR="000D60C3" w:rsidRDefault="000D60C3" w:rsidP="000D60C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reconcile the table provided at the above noted first reference to the explanation and numbers provided at the above noted second reference. </w:t>
      </w:r>
    </w:p>
    <w:p w14:paraId="08D6322B" w14:textId="77777777" w:rsidR="000D60C3" w:rsidRDefault="000D60C3" w:rsidP="000D60C3">
      <w:pPr>
        <w:pStyle w:val="ListParagraph"/>
        <w:rPr>
          <w:rFonts w:ascii="Arial" w:hAnsi="Arial" w:cs="Arial"/>
          <w:sz w:val="24"/>
          <w:szCs w:val="24"/>
        </w:rPr>
      </w:pPr>
    </w:p>
    <w:p w14:paraId="1C4F511F" w14:textId="77777777" w:rsidR="000D60C3" w:rsidRDefault="000D60C3" w:rsidP="000D60C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performing this reconciliation, if any further adjustments are required to any of the 2017 and 2018 Account 1588 and Account 1589 balances in this proceeding, please explain.</w:t>
      </w:r>
    </w:p>
    <w:p w14:paraId="30C4F5D1" w14:textId="77777777" w:rsidR="000D60C3" w:rsidRPr="008F3859" w:rsidRDefault="000D60C3" w:rsidP="008F3859">
      <w:pPr>
        <w:rPr>
          <w:rFonts w:ascii="Arial" w:hAnsi="Arial" w:cs="Arial"/>
          <w:sz w:val="24"/>
          <w:szCs w:val="24"/>
        </w:rPr>
      </w:pPr>
    </w:p>
    <w:sectPr w:rsidR="000D60C3" w:rsidRPr="008F385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352FB" w14:textId="77777777" w:rsidR="003F7942" w:rsidRDefault="003F7942" w:rsidP="003F7942">
      <w:pPr>
        <w:spacing w:after="0" w:line="240" w:lineRule="auto"/>
      </w:pPr>
      <w:r>
        <w:separator/>
      </w:r>
    </w:p>
  </w:endnote>
  <w:endnote w:type="continuationSeparator" w:id="0">
    <w:p w14:paraId="4DE3774F" w14:textId="77777777" w:rsidR="003F7942" w:rsidRDefault="003F7942" w:rsidP="003F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7377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E8CD62" w14:textId="1349B9CB" w:rsidR="003F7942" w:rsidRDefault="003F79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66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66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8ACCF7" w14:textId="77777777" w:rsidR="003F7942" w:rsidRDefault="003F7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16888" w14:textId="77777777" w:rsidR="003F7942" w:rsidRDefault="003F7942" w:rsidP="003F7942">
      <w:pPr>
        <w:spacing w:after="0" w:line="240" w:lineRule="auto"/>
      </w:pPr>
      <w:r>
        <w:separator/>
      </w:r>
    </w:p>
  </w:footnote>
  <w:footnote w:type="continuationSeparator" w:id="0">
    <w:p w14:paraId="15883E31" w14:textId="77777777" w:rsidR="003F7942" w:rsidRDefault="003F7942" w:rsidP="003F7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0E4"/>
    <w:multiLevelType w:val="hybridMultilevel"/>
    <w:tmpl w:val="2AE618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5EB3"/>
    <w:multiLevelType w:val="hybridMultilevel"/>
    <w:tmpl w:val="BDEEF4D4"/>
    <w:lvl w:ilvl="0" w:tplc="A0A669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84FFE"/>
    <w:multiLevelType w:val="hybridMultilevel"/>
    <w:tmpl w:val="1834C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1FEA"/>
    <w:multiLevelType w:val="hybridMultilevel"/>
    <w:tmpl w:val="99607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A1823"/>
    <w:multiLevelType w:val="hybridMultilevel"/>
    <w:tmpl w:val="6FD4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7C3F"/>
    <w:multiLevelType w:val="hybridMultilevel"/>
    <w:tmpl w:val="EE026804"/>
    <w:lvl w:ilvl="0" w:tplc="AC3CEB0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F0525"/>
    <w:multiLevelType w:val="hybridMultilevel"/>
    <w:tmpl w:val="F5B48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67CF6"/>
    <w:multiLevelType w:val="hybridMultilevel"/>
    <w:tmpl w:val="D87C9F90"/>
    <w:lvl w:ilvl="0" w:tplc="DF845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94CEA"/>
    <w:multiLevelType w:val="hybridMultilevel"/>
    <w:tmpl w:val="E02A5040"/>
    <w:lvl w:ilvl="0" w:tplc="4326834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66"/>
    <w:rsid w:val="0005193D"/>
    <w:rsid w:val="00056662"/>
    <w:rsid w:val="000D60C3"/>
    <w:rsid w:val="000F08E0"/>
    <w:rsid w:val="00180E36"/>
    <w:rsid w:val="00185E67"/>
    <w:rsid w:val="001C29E4"/>
    <w:rsid w:val="001D30B6"/>
    <w:rsid w:val="002727E7"/>
    <w:rsid w:val="002E329F"/>
    <w:rsid w:val="002F66E4"/>
    <w:rsid w:val="003442E0"/>
    <w:rsid w:val="0035638D"/>
    <w:rsid w:val="00356464"/>
    <w:rsid w:val="003D7015"/>
    <w:rsid w:val="003F31CA"/>
    <w:rsid w:val="003F7942"/>
    <w:rsid w:val="0044536D"/>
    <w:rsid w:val="004B4FAE"/>
    <w:rsid w:val="004C5E23"/>
    <w:rsid w:val="005145AE"/>
    <w:rsid w:val="00521359"/>
    <w:rsid w:val="00544390"/>
    <w:rsid w:val="00597250"/>
    <w:rsid w:val="005B1134"/>
    <w:rsid w:val="00657BC6"/>
    <w:rsid w:val="00667571"/>
    <w:rsid w:val="006A34E4"/>
    <w:rsid w:val="006B161D"/>
    <w:rsid w:val="006D2726"/>
    <w:rsid w:val="00726C81"/>
    <w:rsid w:val="00742BF8"/>
    <w:rsid w:val="0074674C"/>
    <w:rsid w:val="007524E2"/>
    <w:rsid w:val="007A4756"/>
    <w:rsid w:val="007C52FD"/>
    <w:rsid w:val="00832C61"/>
    <w:rsid w:val="00875712"/>
    <w:rsid w:val="008A153D"/>
    <w:rsid w:val="008C668C"/>
    <w:rsid w:val="008C7BC4"/>
    <w:rsid w:val="008F3859"/>
    <w:rsid w:val="00921966"/>
    <w:rsid w:val="00932E01"/>
    <w:rsid w:val="0095416E"/>
    <w:rsid w:val="009C6027"/>
    <w:rsid w:val="009E0873"/>
    <w:rsid w:val="00B45510"/>
    <w:rsid w:val="00BA52A5"/>
    <w:rsid w:val="00BA66B5"/>
    <w:rsid w:val="00BF6387"/>
    <w:rsid w:val="00C11628"/>
    <w:rsid w:val="00C13846"/>
    <w:rsid w:val="00C84594"/>
    <w:rsid w:val="00CB6EAA"/>
    <w:rsid w:val="00CF2979"/>
    <w:rsid w:val="00D200F1"/>
    <w:rsid w:val="00D3204E"/>
    <w:rsid w:val="00DC5E19"/>
    <w:rsid w:val="00DE049C"/>
    <w:rsid w:val="00DF6D7F"/>
    <w:rsid w:val="00E83A6C"/>
    <w:rsid w:val="00E9223D"/>
    <w:rsid w:val="00EA5AFF"/>
    <w:rsid w:val="00ED7966"/>
    <w:rsid w:val="00EF0609"/>
    <w:rsid w:val="00F023E5"/>
    <w:rsid w:val="00F154B8"/>
    <w:rsid w:val="00FB025B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6041"/>
  <w15:chartTrackingRefBased/>
  <w15:docId w15:val="{4C6363A2-43AF-467A-A00F-ED2A27A7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0C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0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6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D60C3"/>
    <w:rPr>
      <w:rFonts w:ascii="Arial" w:eastAsiaTheme="majorEastAsia" w:hAnsi="Arial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3F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942"/>
  </w:style>
  <w:style w:type="paragraph" w:styleId="Footer">
    <w:name w:val="footer"/>
    <w:basedOn w:val="Normal"/>
    <w:link w:val="FooterChar"/>
    <w:uiPriority w:val="99"/>
    <w:unhideWhenUsed/>
    <w:rsid w:val="003F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1470-F8C5-4536-8734-04AB2A1E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But</dc:creator>
  <cp:keywords/>
  <dc:description/>
  <cp:lastModifiedBy>Judy But</cp:lastModifiedBy>
  <cp:revision>3</cp:revision>
  <dcterms:created xsi:type="dcterms:W3CDTF">2020-01-31T22:19:00Z</dcterms:created>
  <dcterms:modified xsi:type="dcterms:W3CDTF">2020-01-31T22:22:00Z</dcterms:modified>
</cp:coreProperties>
</file>