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9C9E0" w14:textId="58BACFD8" w:rsidR="00554F15" w:rsidRPr="00554F15" w:rsidRDefault="003A1731" w:rsidP="00D045A1">
      <w:pPr>
        <w:spacing w:beforeLines="200" w:before="480" w:afterLines="200" w:after="480" w:line="264" w:lineRule="auto"/>
        <w:contextualSpacing/>
        <w:jc w:val="center"/>
        <w:rPr>
          <w:rFonts w:ascii="Arial" w:hAnsi="Arial" w:cs="Arial"/>
          <w:b/>
          <w:bCs/>
          <w:sz w:val="28"/>
          <w:szCs w:val="24"/>
        </w:rPr>
      </w:pPr>
      <w:r>
        <w:rPr>
          <w:rFonts w:ascii="Arial" w:hAnsi="Arial" w:cs="Arial"/>
          <w:b/>
          <w:bCs/>
          <w:sz w:val="28"/>
          <w:szCs w:val="24"/>
        </w:rPr>
        <w:t xml:space="preserve"> </w:t>
      </w:r>
      <w:r w:rsidR="002F0837">
        <w:rPr>
          <w:rFonts w:ascii="Arial" w:hAnsi="Arial" w:cs="Arial"/>
          <w:b/>
          <w:bCs/>
          <w:sz w:val="28"/>
          <w:szCs w:val="24"/>
        </w:rPr>
        <w:t xml:space="preserve">Synergy North Responses to </w:t>
      </w:r>
      <w:r w:rsidR="00554F15">
        <w:rPr>
          <w:rFonts w:ascii="Arial" w:hAnsi="Arial" w:cs="Arial"/>
          <w:b/>
          <w:bCs/>
          <w:sz w:val="28"/>
          <w:szCs w:val="24"/>
        </w:rPr>
        <w:t>OEB Staff Questions</w:t>
      </w:r>
    </w:p>
    <w:p w14:paraId="50828438" w14:textId="77777777" w:rsidR="00554F15" w:rsidRPr="00554F15" w:rsidRDefault="00554F15" w:rsidP="00D045A1">
      <w:pPr>
        <w:spacing w:beforeLines="200" w:before="480" w:afterLines="200" w:after="480" w:line="264" w:lineRule="auto"/>
        <w:contextualSpacing/>
        <w:jc w:val="center"/>
        <w:rPr>
          <w:rFonts w:ascii="Arial" w:hAnsi="Arial" w:cs="Arial"/>
          <w:b/>
          <w:bCs/>
          <w:sz w:val="28"/>
          <w:szCs w:val="24"/>
        </w:rPr>
      </w:pPr>
      <w:bookmarkStart w:id="0" w:name="App_Name_2"/>
      <w:bookmarkEnd w:id="0"/>
      <w:r w:rsidRPr="00554F15">
        <w:rPr>
          <w:rFonts w:ascii="Arial" w:hAnsi="Arial" w:cs="Arial"/>
          <w:b/>
          <w:bCs/>
          <w:sz w:val="28"/>
          <w:szCs w:val="24"/>
        </w:rPr>
        <w:t>2020 Electricity Distribution Rates Application</w:t>
      </w:r>
    </w:p>
    <w:p w14:paraId="3A173D46" w14:textId="77777777" w:rsidR="00554F15" w:rsidRPr="00554F15" w:rsidRDefault="00554F15" w:rsidP="00D045A1">
      <w:pPr>
        <w:spacing w:beforeLines="200" w:before="480" w:afterLines="200" w:after="480" w:line="264" w:lineRule="auto"/>
        <w:contextualSpacing/>
        <w:jc w:val="center"/>
        <w:rPr>
          <w:rFonts w:ascii="Arial" w:hAnsi="Arial" w:cs="Arial"/>
          <w:b/>
          <w:bCs/>
          <w:sz w:val="28"/>
          <w:szCs w:val="24"/>
        </w:rPr>
      </w:pPr>
      <w:bookmarkStart w:id="1" w:name="LDC_LName_2"/>
      <w:bookmarkEnd w:id="1"/>
      <w:r>
        <w:rPr>
          <w:rFonts w:ascii="Arial" w:hAnsi="Arial" w:cs="Arial"/>
          <w:b/>
          <w:bCs/>
          <w:sz w:val="28"/>
          <w:szCs w:val="24"/>
        </w:rPr>
        <w:t>Synergy North Corporation</w:t>
      </w:r>
      <w:r w:rsidRPr="00554F15">
        <w:rPr>
          <w:rFonts w:ascii="Arial" w:hAnsi="Arial" w:cs="Arial"/>
          <w:b/>
          <w:bCs/>
          <w:sz w:val="28"/>
          <w:szCs w:val="24"/>
        </w:rPr>
        <w:t xml:space="preserve"> (</w:t>
      </w:r>
      <w:bookmarkStart w:id="2" w:name="LDC_SName_4"/>
      <w:bookmarkEnd w:id="2"/>
      <w:r>
        <w:rPr>
          <w:rFonts w:ascii="Arial" w:hAnsi="Arial" w:cs="Arial"/>
          <w:b/>
          <w:bCs/>
          <w:sz w:val="28"/>
          <w:szCs w:val="24"/>
        </w:rPr>
        <w:t>Synergy North</w:t>
      </w:r>
      <w:r w:rsidRPr="00554F15">
        <w:rPr>
          <w:rFonts w:ascii="Arial" w:hAnsi="Arial" w:cs="Arial"/>
          <w:b/>
          <w:bCs/>
          <w:sz w:val="28"/>
          <w:szCs w:val="24"/>
        </w:rPr>
        <w:t>)</w:t>
      </w:r>
    </w:p>
    <w:p w14:paraId="2896739C" w14:textId="77777777" w:rsidR="00554F15" w:rsidRPr="00554F15" w:rsidRDefault="00554F15" w:rsidP="00D045A1">
      <w:pPr>
        <w:spacing w:beforeLines="200" w:before="480" w:afterLines="200" w:after="480" w:line="264" w:lineRule="auto"/>
        <w:contextualSpacing/>
        <w:jc w:val="center"/>
        <w:rPr>
          <w:rFonts w:ascii="Arial" w:hAnsi="Arial" w:cs="Arial"/>
          <w:b/>
          <w:bCs/>
          <w:sz w:val="28"/>
          <w:szCs w:val="24"/>
        </w:rPr>
      </w:pPr>
      <w:bookmarkStart w:id="3" w:name="Case_Num_2"/>
      <w:bookmarkEnd w:id="3"/>
      <w:r w:rsidRPr="00554F15">
        <w:rPr>
          <w:rFonts w:ascii="Arial" w:hAnsi="Arial" w:cs="Arial"/>
          <w:b/>
          <w:bCs/>
          <w:sz w:val="28"/>
          <w:szCs w:val="24"/>
        </w:rPr>
        <w:t>EB-201</w:t>
      </w:r>
      <w:r>
        <w:rPr>
          <w:rFonts w:ascii="Arial" w:hAnsi="Arial" w:cs="Arial"/>
          <w:b/>
          <w:bCs/>
          <w:sz w:val="28"/>
          <w:szCs w:val="24"/>
        </w:rPr>
        <w:t>9-0068</w:t>
      </w:r>
    </w:p>
    <w:p w14:paraId="2EDDDE98" w14:textId="3FEAD310" w:rsidR="00554F15" w:rsidRDefault="002F0837" w:rsidP="00D045A1">
      <w:pPr>
        <w:spacing w:beforeLines="200" w:before="480" w:afterLines="200" w:after="480" w:line="264" w:lineRule="auto"/>
        <w:contextualSpacing/>
        <w:jc w:val="center"/>
        <w:rPr>
          <w:rFonts w:ascii="Arial" w:hAnsi="Arial" w:cs="Arial"/>
          <w:b/>
          <w:bCs/>
          <w:sz w:val="28"/>
          <w:szCs w:val="24"/>
        </w:rPr>
      </w:pPr>
      <w:r>
        <w:rPr>
          <w:rFonts w:ascii="Arial" w:hAnsi="Arial" w:cs="Arial"/>
          <w:b/>
          <w:bCs/>
          <w:sz w:val="28"/>
          <w:szCs w:val="24"/>
        </w:rPr>
        <w:t>January 16, 2020</w:t>
      </w:r>
    </w:p>
    <w:p w14:paraId="2EAFDF16" w14:textId="77777777" w:rsidR="00C607FE" w:rsidRPr="00554F15" w:rsidRDefault="00C607FE" w:rsidP="00D045A1">
      <w:pPr>
        <w:spacing w:beforeLines="200" w:before="480" w:afterLines="200" w:after="480" w:line="264" w:lineRule="auto"/>
        <w:contextualSpacing/>
        <w:jc w:val="center"/>
        <w:rPr>
          <w:rFonts w:ascii="Arial" w:hAnsi="Arial" w:cs="Arial"/>
          <w:b/>
          <w:bCs/>
          <w:sz w:val="24"/>
          <w:szCs w:val="24"/>
        </w:rPr>
      </w:pPr>
      <w:bookmarkStart w:id="4" w:name="_GoBack"/>
      <w:bookmarkEnd w:id="4"/>
    </w:p>
    <w:p w14:paraId="10B14C88" w14:textId="77777777" w:rsidR="00554F15" w:rsidRDefault="00554F15" w:rsidP="00D045A1">
      <w:pPr>
        <w:spacing w:beforeLines="200" w:before="480" w:afterLines="200" w:after="480" w:line="264" w:lineRule="auto"/>
        <w:contextualSpacing/>
        <w:rPr>
          <w:rFonts w:ascii="Arial" w:hAnsi="Arial" w:cs="Arial"/>
          <w:b/>
          <w:sz w:val="24"/>
          <w:szCs w:val="24"/>
        </w:rPr>
      </w:pPr>
    </w:p>
    <w:p w14:paraId="7CD1B2AD" w14:textId="77777777" w:rsidR="00E4213E" w:rsidRDefault="00E4213E"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Staff Question</w:t>
      </w:r>
      <w:r w:rsidR="00655474">
        <w:rPr>
          <w:rFonts w:ascii="Arial" w:hAnsi="Arial" w:cs="Arial"/>
          <w:b/>
          <w:sz w:val="24"/>
          <w:szCs w:val="24"/>
        </w:rPr>
        <w:t xml:space="preserve"> </w:t>
      </w:r>
      <w:r>
        <w:rPr>
          <w:rFonts w:ascii="Arial" w:hAnsi="Arial" w:cs="Arial"/>
          <w:b/>
          <w:sz w:val="24"/>
          <w:szCs w:val="24"/>
        </w:rPr>
        <w:t>-</w:t>
      </w:r>
      <w:r w:rsidR="00655474">
        <w:rPr>
          <w:rFonts w:ascii="Arial" w:hAnsi="Arial" w:cs="Arial"/>
          <w:b/>
          <w:sz w:val="24"/>
          <w:szCs w:val="24"/>
        </w:rPr>
        <w:t xml:space="preserve"> 1</w:t>
      </w:r>
    </w:p>
    <w:p w14:paraId="13C09CAC" w14:textId="77777777" w:rsidR="00E4213E" w:rsidRDefault="00E4213E"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Pr>
          <w:rFonts w:ascii="Arial" w:hAnsi="Arial" w:cs="Arial"/>
          <w:b/>
          <w:sz w:val="24"/>
          <w:szCs w:val="24"/>
        </w:rPr>
        <w:t xml:space="preserve"> Model, Tab 16 - 19 – GDP-IPI, Regulatory Charges and Final Tariff – Thunder Bay and Kenora </w:t>
      </w:r>
      <w:r w:rsidR="00D27AFF">
        <w:rPr>
          <w:rFonts w:ascii="Arial" w:hAnsi="Arial" w:cs="Arial"/>
          <w:b/>
          <w:sz w:val="24"/>
          <w:szCs w:val="24"/>
        </w:rPr>
        <w:t>Rate Z</w:t>
      </w:r>
      <w:r>
        <w:rPr>
          <w:rFonts w:ascii="Arial" w:hAnsi="Arial" w:cs="Arial"/>
          <w:b/>
          <w:sz w:val="24"/>
          <w:szCs w:val="24"/>
        </w:rPr>
        <w:t>ones</w:t>
      </w:r>
    </w:p>
    <w:p w14:paraId="5F4735D8" w14:textId="77777777" w:rsidR="00E4213E" w:rsidRDefault="00E4213E" w:rsidP="00D045A1">
      <w:pPr>
        <w:spacing w:beforeLines="200" w:before="480" w:afterLines="200" w:after="480" w:line="264" w:lineRule="auto"/>
        <w:contextualSpacing/>
        <w:rPr>
          <w:rFonts w:ascii="Arial" w:hAnsi="Arial" w:cs="Arial"/>
          <w:sz w:val="24"/>
          <w:szCs w:val="24"/>
        </w:rPr>
      </w:pPr>
    </w:p>
    <w:p w14:paraId="49E9849F" w14:textId="21C9A6DF" w:rsidR="00E670E1" w:rsidRDefault="00E4213E" w:rsidP="00E670E1">
      <w:pPr>
        <w:spacing w:after="0" w:line="264" w:lineRule="auto"/>
        <w:contextualSpacing/>
        <w:rPr>
          <w:rFonts w:ascii="Arial" w:hAnsi="Arial" w:cs="Arial"/>
          <w:sz w:val="24"/>
          <w:szCs w:val="24"/>
        </w:rPr>
      </w:pPr>
      <w:r>
        <w:rPr>
          <w:rFonts w:ascii="Arial" w:hAnsi="Arial" w:cs="Arial"/>
          <w:sz w:val="24"/>
          <w:szCs w:val="24"/>
        </w:rPr>
        <w:t xml:space="preserve">OEB staff has made the following updates to the Rate Generator Model for the Thunder Bay </w:t>
      </w:r>
      <w:r w:rsidR="007C612A">
        <w:rPr>
          <w:rFonts w:ascii="Arial" w:hAnsi="Arial" w:cs="Arial"/>
          <w:sz w:val="24"/>
          <w:szCs w:val="24"/>
        </w:rPr>
        <w:t>Rate Zone</w:t>
      </w:r>
      <w:r>
        <w:rPr>
          <w:rFonts w:ascii="Arial" w:hAnsi="Arial" w:cs="Arial"/>
          <w:sz w:val="24"/>
          <w:szCs w:val="24"/>
        </w:rPr>
        <w:t xml:space="preserve"> as well as the Kenora </w:t>
      </w:r>
      <w:r w:rsidR="007C612A">
        <w:rPr>
          <w:rFonts w:ascii="Arial" w:hAnsi="Arial" w:cs="Arial"/>
          <w:sz w:val="24"/>
          <w:szCs w:val="24"/>
        </w:rPr>
        <w:t>Rate Zone</w:t>
      </w:r>
      <w:r>
        <w:rPr>
          <w:rFonts w:ascii="Arial" w:hAnsi="Arial" w:cs="Arial"/>
          <w:sz w:val="24"/>
          <w:szCs w:val="24"/>
        </w:rPr>
        <w:t>:</w:t>
      </w:r>
    </w:p>
    <w:p w14:paraId="1E91A9D8" w14:textId="77777777" w:rsidR="00E670E1" w:rsidRDefault="00E670E1" w:rsidP="00E670E1">
      <w:pPr>
        <w:spacing w:after="0" w:line="264" w:lineRule="auto"/>
        <w:contextualSpacing/>
        <w:rPr>
          <w:rFonts w:ascii="Arial" w:hAnsi="Arial" w:cs="Arial"/>
          <w:sz w:val="24"/>
          <w:szCs w:val="24"/>
        </w:rPr>
      </w:pPr>
    </w:p>
    <w:p w14:paraId="552D9464" w14:textId="77777777" w:rsidR="00E4213E" w:rsidRPr="00E670E1" w:rsidRDefault="00E4213E" w:rsidP="00E670E1">
      <w:pPr>
        <w:pStyle w:val="ListParagraph"/>
        <w:numPr>
          <w:ilvl w:val="0"/>
          <w:numId w:val="1"/>
        </w:numPr>
        <w:spacing w:after="0" w:line="264" w:lineRule="auto"/>
        <w:rPr>
          <w:rFonts w:ascii="Arial" w:hAnsi="Arial" w:cs="Arial"/>
          <w:sz w:val="24"/>
          <w:szCs w:val="24"/>
        </w:rPr>
      </w:pPr>
      <w:r w:rsidRPr="00E670E1">
        <w:rPr>
          <w:rFonts w:ascii="Arial" w:hAnsi="Arial" w:cs="Arial"/>
          <w:sz w:val="24"/>
          <w:szCs w:val="24"/>
        </w:rPr>
        <w:t>Tab 16 – Updated Price Escalator 2%</w:t>
      </w:r>
    </w:p>
    <w:p w14:paraId="50A2A0C3" w14:textId="77777777" w:rsidR="00E4213E" w:rsidRDefault="00E4213E" w:rsidP="00E670E1">
      <w:pPr>
        <w:pStyle w:val="ListParagraph"/>
        <w:numPr>
          <w:ilvl w:val="0"/>
          <w:numId w:val="1"/>
        </w:numPr>
        <w:spacing w:after="0" w:line="264" w:lineRule="auto"/>
        <w:rPr>
          <w:rFonts w:ascii="Arial" w:hAnsi="Arial" w:cs="Arial"/>
          <w:sz w:val="24"/>
          <w:szCs w:val="24"/>
        </w:rPr>
      </w:pPr>
      <w:r>
        <w:rPr>
          <w:rFonts w:ascii="Arial" w:hAnsi="Arial" w:cs="Arial"/>
          <w:sz w:val="24"/>
          <w:szCs w:val="24"/>
        </w:rPr>
        <w:t>Tab 17 – Updated I</w:t>
      </w:r>
      <w:r w:rsidRPr="009178C6">
        <w:rPr>
          <w:rFonts w:ascii="Arial" w:hAnsi="Arial" w:cs="Arial"/>
          <w:sz w:val="24"/>
          <w:szCs w:val="24"/>
        </w:rPr>
        <w:t>nflation factor</w:t>
      </w:r>
      <w:r>
        <w:rPr>
          <w:rFonts w:ascii="Arial" w:hAnsi="Arial" w:cs="Arial"/>
          <w:sz w:val="24"/>
          <w:szCs w:val="24"/>
        </w:rPr>
        <w:t xml:space="preserve"> of 2%</w:t>
      </w:r>
      <w:r w:rsidRPr="009178C6">
        <w:rPr>
          <w:rFonts w:ascii="Arial" w:hAnsi="Arial" w:cs="Arial"/>
          <w:sz w:val="24"/>
          <w:szCs w:val="24"/>
        </w:rPr>
        <w:t xml:space="preserve"> for the Retail S</w:t>
      </w:r>
      <w:r>
        <w:rPr>
          <w:rFonts w:ascii="Arial" w:hAnsi="Arial" w:cs="Arial"/>
          <w:sz w:val="24"/>
          <w:szCs w:val="24"/>
        </w:rPr>
        <w:t>ervice Charges and</w:t>
      </w:r>
      <w:r w:rsidRPr="009178C6">
        <w:rPr>
          <w:rFonts w:ascii="Arial" w:hAnsi="Arial" w:cs="Arial"/>
          <w:sz w:val="24"/>
          <w:szCs w:val="24"/>
        </w:rPr>
        <w:t xml:space="preserve"> the Wireline Pole Attachment charge</w:t>
      </w:r>
    </w:p>
    <w:p w14:paraId="09FE29EA" w14:textId="77777777" w:rsidR="00E4213E" w:rsidRDefault="00E4213E" w:rsidP="00E670E1">
      <w:pPr>
        <w:pStyle w:val="ListParagraph"/>
        <w:numPr>
          <w:ilvl w:val="0"/>
          <w:numId w:val="1"/>
        </w:numPr>
        <w:spacing w:after="0" w:line="264" w:lineRule="auto"/>
        <w:rPr>
          <w:rFonts w:ascii="Arial" w:hAnsi="Arial" w:cs="Arial"/>
          <w:sz w:val="24"/>
          <w:szCs w:val="24"/>
        </w:rPr>
      </w:pPr>
      <w:r>
        <w:rPr>
          <w:rFonts w:ascii="Arial" w:hAnsi="Arial" w:cs="Arial"/>
          <w:sz w:val="24"/>
          <w:szCs w:val="24"/>
        </w:rPr>
        <w:t>Tab 17 – RPP data</w:t>
      </w:r>
      <w:r w:rsidRPr="009178C6">
        <w:rPr>
          <w:rFonts w:ascii="Arial" w:hAnsi="Arial" w:cs="Arial"/>
          <w:sz w:val="24"/>
          <w:szCs w:val="24"/>
        </w:rPr>
        <w:t xml:space="preserve"> as of November 1, 2019</w:t>
      </w:r>
    </w:p>
    <w:p w14:paraId="769ABE03" w14:textId="77777777" w:rsidR="00E4213E" w:rsidRDefault="00E4213E" w:rsidP="00E670E1">
      <w:pPr>
        <w:pStyle w:val="ListParagraph"/>
        <w:numPr>
          <w:ilvl w:val="0"/>
          <w:numId w:val="1"/>
        </w:numPr>
        <w:spacing w:after="0" w:line="264" w:lineRule="auto"/>
        <w:rPr>
          <w:rFonts w:ascii="Arial" w:hAnsi="Arial" w:cs="Arial"/>
          <w:sz w:val="24"/>
          <w:szCs w:val="24"/>
        </w:rPr>
      </w:pPr>
      <w:r>
        <w:rPr>
          <w:rFonts w:ascii="Arial" w:hAnsi="Arial" w:cs="Arial"/>
          <w:sz w:val="24"/>
          <w:szCs w:val="24"/>
        </w:rPr>
        <w:t xml:space="preserve">Tab 3 – Cell BV25 WMS – CBR Sub-Account total $(47,254). </w:t>
      </w:r>
    </w:p>
    <w:p w14:paraId="29786849" w14:textId="77777777" w:rsidR="00E670E1" w:rsidRPr="009178C6" w:rsidRDefault="00E670E1" w:rsidP="00E670E1">
      <w:pPr>
        <w:pStyle w:val="ListParagraph"/>
        <w:spacing w:after="0" w:line="264" w:lineRule="auto"/>
        <w:ind w:left="780"/>
        <w:rPr>
          <w:rFonts w:ascii="Arial" w:hAnsi="Arial" w:cs="Arial"/>
          <w:sz w:val="24"/>
          <w:szCs w:val="24"/>
        </w:rPr>
      </w:pPr>
    </w:p>
    <w:p w14:paraId="0B458147" w14:textId="77777777" w:rsidR="00E4213E" w:rsidRDefault="00E4213E" w:rsidP="00E670E1">
      <w:pPr>
        <w:spacing w:after="0" w:line="264" w:lineRule="auto"/>
        <w:contextualSpacing/>
        <w:rPr>
          <w:rFonts w:ascii="Arial" w:hAnsi="Arial" w:cs="Arial"/>
          <w:sz w:val="24"/>
          <w:szCs w:val="24"/>
        </w:rPr>
      </w:pPr>
      <w:r>
        <w:rPr>
          <w:rFonts w:ascii="Arial" w:hAnsi="Arial" w:cs="Arial"/>
          <w:sz w:val="24"/>
          <w:szCs w:val="24"/>
        </w:rPr>
        <w:t>Please confirm Synergy North’s acceptance of the revised models.</w:t>
      </w:r>
    </w:p>
    <w:p w14:paraId="047D4295" w14:textId="77777777" w:rsidR="00554F15" w:rsidRDefault="00554F15" w:rsidP="00D045A1">
      <w:pPr>
        <w:spacing w:beforeLines="200" w:before="480" w:afterLines="200" w:after="480" w:line="264" w:lineRule="auto"/>
        <w:contextualSpacing/>
        <w:rPr>
          <w:rFonts w:ascii="Arial" w:hAnsi="Arial" w:cs="Arial"/>
          <w:b/>
          <w:sz w:val="24"/>
          <w:szCs w:val="24"/>
        </w:rPr>
      </w:pPr>
    </w:p>
    <w:p w14:paraId="54701409" w14:textId="77777777" w:rsidR="005F28F7" w:rsidRPr="005F28F7" w:rsidRDefault="005F28F7" w:rsidP="00D045A1">
      <w:pPr>
        <w:spacing w:beforeLines="200" w:before="480" w:afterLines="200" w:after="480" w:line="264" w:lineRule="auto"/>
        <w:contextualSpacing/>
        <w:rPr>
          <w:rFonts w:ascii="Arial" w:hAnsi="Arial" w:cs="Arial"/>
          <w:b/>
          <w:sz w:val="24"/>
          <w:szCs w:val="24"/>
          <w:u w:val="single"/>
        </w:rPr>
      </w:pPr>
    </w:p>
    <w:p w14:paraId="6ABD892A" w14:textId="77777777" w:rsidR="005F28F7" w:rsidRPr="005F28F7" w:rsidRDefault="005F28F7" w:rsidP="005F28F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0443FFAE" w14:textId="77777777" w:rsidR="005F28F7" w:rsidRPr="005F28F7" w:rsidRDefault="005F28F7" w:rsidP="005F28F7">
      <w:pPr>
        <w:spacing w:after="0" w:line="264" w:lineRule="auto"/>
        <w:contextualSpacing/>
        <w:rPr>
          <w:rFonts w:ascii="Arial" w:hAnsi="Arial" w:cs="Arial"/>
          <w:sz w:val="24"/>
          <w:szCs w:val="24"/>
        </w:rPr>
      </w:pPr>
    </w:p>
    <w:p w14:paraId="07D9F004" w14:textId="0B47A1C4" w:rsidR="005F28F7" w:rsidRDefault="005F28F7" w:rsidP="00141669">
      <w:pPr>
        <w:spacing w:after="0" w:line="264" w:lineRule="auto"/>
        <w:contextualSpacing/>
        <w:rPr>
          <w:rFonts w:ascii="Arial" w:hAnsi="Arial" w:cs="Arial"/>
          <w:b/>
          <w:sz w:val="24"/>
          <w:szCs w:val="24"/>
        </w:rPr>
      </w:pPr>
      <w:r w:rsidRPr="005F28F7">
        <w:rPr>
          <w:rFonts w:ascii="Arial" w:hAnsi="Arial" w:cs="Arial"/>
          <w:sz w:val="24"/>
          <w:szCs w:val="24"/>
        </w:rPr>
        <w:t>Synergy North confirms it accepts the revised models</w:t>
      </w:r>
      <w:r w:rsidR="00301DBA">
        <w:rPr>
          <w:rFonts w:ascii="Arial" w:hAnsi="Arial" w:cs="Arial"/>
          <w:sz w:val="24"/>
          <w:szCs w:val="24"/>
        </w:rPr>
        <w:t xml:space="preserve"> for </w:t>
      </w:r>
      <w:r w:rsidR="000612F1">
        <w:rPr>
          <w:rFonts w:ascii="Arial" w:hAnsi="Arial" w:cs="Arial"/>
          <w:sz w:val="24"/>
          <w:szCs w:val="24"/>
        </w:rPr>
        <w:t xml:space="preserve">the </w:t>
      </w:r>
      <w:r w:rsidR="00301DBA">
        <w:rPr>
          <w:rFonts w:ascii="Arial" w:hAnsi="Arial" w:cs="Arial"/>
          <w:sz w:val="24"/>
          <w:szCs w:val="24"/>
        </w:rPr>
        <w:t>adjustment</w:t>
      </w:r>
      <w:r w:rsidR="000612F1">
        <w:rPr>
          <w:rFonts w:ascii="Arial" w:hAnsi="Arial" w:cs="Arial"/>
          <w:sz w:val="24"/>
          <w:szCs w:val="24"/>
        </w:rPr>
        <w:t>s</w:t>
      </w:r>
      <w:r w:rsidR="003A1731">
        <w:rPr>
          <w:rFonts w:ascii="Arial" w:hAnsi="Arial" w:cs="Arial"/>
          <w:sz w:val="24"/>
          <w:szCs w:val="24"/>
        </w:rPr>
        <w:t xml:space="preserve"> </w:t>
      </w:r>
      <w:r w:rsidR="00CF1E2A">
        <w:rPr>
          <w:rFonts w:ascii="Arial" w:hAnsi="Arial" w:cs="Arial"/>
          <w:sz w:val="24"/>
          <w:szCs w:val="24"/>
        </w:rPr>
        <w:t>as above</w:t>
      </w:r>
      <w:r w:rsidR="00301DBA">
        <w:rPr>
          <w:rFonts w:ascii="Arial" w:hAnsi="Arial" w:cs="Arial"/>
          <w:sz w:val="24"/>
          <w:szCs w:val="24"/>
        </w:rPr>
        <w:t>.</w:t>
      </w:r>
    </w:p>
    <w:p w14:paraId="4ED9907C" w14:textId="77777777" w:rsidR="005F28F7" w:rsidRDefault="005F28F7">
      <w:pPr>
        <w:spacing w:after="160" w:line="259" w:lineRule="auto"/>
        <w:rPr>
          <w:rFonts w:ascii="Arial" w:hAnsi="Arial" w:cs="Arial"/>
          <w:b/>
          <w:sz w:val="24"/>
          <w:szCs w:val="24"/>
        </w:rPr>
      </w:pPr>
      <w:r>
        <w:rPr>
          <w:rFonts w:ascii="Arial" w:hAnsi="Arial" w:cs="Arial"/>
          <w:b/>
          <w:sz w:val="24"/>
          <w:szCs w:val="24"/>
        </w:rPr>
        <w:br w:type="page"/>
      </w:r>
    </w:p>
    <w:p w14:paraId="0B88C662" w14:textId="77777777" w:rsidR="000733DE" w:rsidRDefault="000733DE" w:rsidP="00D045A1">
      <w:pPr>
        <w:spacing w:beforeLines="200" w:before="480" w:afterLines="200" w:after="480" w:line="264" w:lineRule="auto"/>
        <w:contextualSpacing/>
        <w:rPr>
          <w:rFonts w:ascii="Arial" w:hAnsi="Arial" w:cs="Arial"/>
          <w:b/>
          <w:sz w:val="24"/>
          <w:szCs w:val="24"/>
        </w:rPr>
      </w:pPr>
    </w:p>
    <w:p w14:paraId="192F4F35" w14:textId="77777777" w:rsidR="00554F15" w:rsidRDefault="00554F15"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Staff Question</w:t>
      </w:r>
      <w:r w:rsidR="00655474">
        <w:rPr>
          <w:rFonts w:ascii="Arial" w:hAnsi="Arial" w:cs="Arial"/>
          <w:b/>
          <w:sz w:val="24"/>
          <w:szCs w:val="24"/>
        </w:rPr>
        <w:t xml:space="preserve"> </w:t>
      </w:r>
      <w:r>
        <w:rPr>
          <w:rFonts w:ascii="Arial" w:hAnsi="Arial" w:cs="Arial"/>
          <w:b/>
          <w:sz w:val="24"/>
          <w:szCs w:val="24"/>
        </w:rPr>
        <w:t>-</w:t>
      </w:r>
      <w:r w:rsidR="00655474">
        <w:rPr>
          <w:rFonts w:ascii="Arial" w:hAnsi="Arial" w:cs="Arial"/>
          <w:b/>
          <w:sz w:val="24"/>
          <w:szCs w:val="24"/>
        </w:rPr>
        <w:t xml:space="preserve"> 2</w:t>
      </w:r>
    </w:p>
    <w:p w14:paraId="46FE612C" w14:textId="77777777" w:rsidR="00554F15" w:rsidRDefault="00554F15"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Pr="00CE70DA">
        <w:rPr>
          <w:rFonts w:ascii="Arial" w:hAnsi="Arial" w:cs="Arial"/>
          <w:b/>
          <w:sz w:val="24"/>
          <w:szCs w:val="24"/>
        </w:rPr>
        <w:t xml:space="preserve"> Model, Tab 3 – Continuity Schedule</w:t>
      </w:r>
      <w:r w:rsidR="00E4213E">
        <w:rPr>
          <w:rFonts w:ascii="Arial" w:hAnsi="Arial" w:cs="Arial"/>
          <w:b/>
          <w:sz w:val="24"/>
          <w:szCs w:val="24"/>
        </w:rPr>
        <w:t xml:space="preserve"> – </w:t>
      </w:r>
      <w:r w:rsidR="00E4213E" w:rsidRPr="00AB2F69">
        <w:rPr>
          <w:rFonts w:ascii="Arial" w:hAnsi="Arial" w:cs="Arial"/>
          <w:b/>
          <w:sz w:val="24"/>
          <w:szCs w:val="24"/>
        </w:rPr>
        <w:t>Thunder Bay Rate Zone</w:t>
      </w:r>
    </w:p>
    <w:p w14:paraId="27E2A250" w14:textId="77777777" w:rsidR="008135B3" w:rsidRDefault="008135B3" w:rsidP="00D045A1">
      <w:pPr>
        <w:spacing w:beforeLines="200" w:before="480" w:afterLines="200" w:after="480" w:line="264" w:lineRule="auto"/>
        <w:contextualSpacing/>
        <w:rPr>
          <w:rFonts w:ascii="Arial" w:hAnsi="Arial" w:cs="Arial"/>
          <w:b/>
          <w:sz w:val="24"/>
          <w:szCs w:val="24"/>
        </w:rPr>
      </w:pPr>
    </w:p>
    <w:p w14:paraId="3C799BEC" w14:textId="77777777" w:rsidR="00554F15" w:rsidRPr="00B566F8" w:rsidRDefault="00554F15" w:rsidP="00D045A1">
      <w:pPr>
        <w:spacing w:beforeLines="200" w:before="480" w:afterLines="200" w:after="480" w:line="264" w:lineRule="auto"/>
        <w:contextualSpacing/>
        <w:rPr>
          <w:rFonts w:ascii="Arial" w:hAnsi="Arial" w:cs="Arial"/>
          <w:sz w:val="24"/>
          <w:szCs w:val="24"/>
        </w:rPr>
      </w:pPr>
      <w:r w:rsidRPr="00B566F8">
        <w:rPr>
          <w:rFonts w:ascii="Arial" w:hAnsi="Arial" w:cs="Arial"/>
          <w:sz w:val="24"/>
          <w:szCs w:val="24"/>
        </w:rPr>
        <w:t xml:space="preserve">OEB staff notes that there was a formula error in the IRM Rate Generator Model posted on the OEB’s webpage. </w:t>
      </w:r>
    </w:p>
    <w:p w14:paraId="205F83CE" w14:textId="77777777" w:rsidR="00554F15" w:rsidRPr="00B566F8" w:rsidRDefault="00554F15" w:rsidP="00D045A1">
      <w:pPr>
        <w:spacing w:beforeLines="200" w:before="480" w:afterLines="200" w:after="480" w:line="264" w:lineRule="auto"/>
        <w:contextualSpacing/>
        <w:rPr>
          <w:rFonts w:ascii="Arial" w:hAnsi="Arial" w:cs="Arial"/>
          <w:sz w:val="24"/>
          <w:szCs w:val="24"/>
        </w:rPr>
      </w:pPr>
    </w:p>
    <w:p w14:paraId="0B502BDD" w14:textId="77777777" w:rsidR="00554F15" w:rsidRPr="00B566F8" w:rsidRDefault="00554F15" w:rsidP="00D045A1">
      <w:pPr>
        <w:spacing w:beforeLines="200" w:before="480" w:afterLines="200" w:after="480" w:line="264" w:lineRule="auto"/>
        <w:contextualSpacing/>
        <w:rPr>
          <w:rFonts w:ascii="Arial" w:hAnsi="Arial" w:cs="Arial"/>
          <w:sz w:val="24"/>
          <w:szCs w:val="24"/>
        </w:rPr>
      </w:pPr>
      <w:r w:rsidRPr="00B566F8">
        <w:rPr>
          <w:rFonts w:ascii="Arial" w:hAnsi="Arial" w:cs="Arial"/>
          <w:sz w:val="24"/>
          <w:szCs w:val="24"/>
        </w:rPr>
        <w:t>On tab 3 the formula for cell BM41 is =</w:t>
      </w:r>
      <w:proofErr w:type="gramStart"/>
      <w:r w:rsidRPr="00B566F8">
        <w:rPr>
          <w:rFonts w:ascii="Arial" w:hAnsi="Arial" w:cs="Arial"/>
          <w:sz w:val="24"/>
          <w:szCs w:val="24"/>
        </w:rPr>
        <w:t>Sum(</w:t>
      </w:r>
      <w:proofErr w:type="gramEnd"/>
      <w:r w:rsidRPr="00B566F8">
        <w:rPr>
          <w:rFonts w:ascii="Arial" w:hAnsi="Arial" w:cs="Arial"/>
          <w:sz w:val="24"/>
          <w:szCs w:val="24"/>
        </w:rPr>
        <w:t>BM39,BM40) - BM37. The last portion of the formula (i.e. –</w:t>
      </w:r>
      <w:r>
        <w:rPr>
          <w:rFonts w:ascii="Arial" w:hAnsi="Arial" w:cs="Arial"/>
          <w:sz w:val="24"/>
          <w:szCs w:val="24"/>
        </w:rPr>
        <w:t xml:space="preserve"> </w:t>
      </w:r>
      <w:r w:rsidRPr="00B566F8">
        <w:rPr>
          <w:rFonts w:ascii="Arial" w:hAnsi="Arial" w:cs="Arial"/>
          <w:sz w:val="24"/>
          <w:szCs w:val="24"/>
        </w:rPr>
        <w:t xml:space="preserve">BM37) is an error. </w:t>
      </w:r>
    </w:p>
    <w:p w14:paraId="1DAF6F57" w14:textId="77777777" w:rsidR="00554F15" w:rsidRPr="00B566F8" w:rsidRDefault="00554F15" w:rsidP="00D045A1">
      <w:pPr>
        <w:spacing w:beforeLines="200" w:before="480" w:afterLines="200" w:after="480" w:line="264" w:lineRule="auto"/>
        <w:contextualSpacing/>
        <w:rPr>
          <w:rFonts w:ascii="Arial" w:hAnsi="Arial" w:cs="Arial"/>
          <w:sz w:val="24"/>
          <w:szCs w:val="24"/>
        </w:rPr>
      </w:pPr>
    </w:p>
    <w:p w14:paraId="6E4F1CF7" w14:textId="77777777" w:rsidR="00554F15" w:rsidRPr="00B566F8" w:rsidRDefault="00554F15" w:rsidP="00D045A1">
      <w:pPr>
        <w:spacing w:beforeLines="200" w:before="480" w:afterLines="200" w:after="480" w:line="264" w:lineRule="auto"/>
        <w:contextualSpacing/>
        <w:rPr>
          <w:rFonts w:ascii="Arial" w:hAnsi="Arial" w:cs="Arial"/>
          <w:sz w:val="24"/>
          <w:szCs w:val="24"/>
        </w:rPr>
      </w:pPr>
      <w:r w:rsidRPr="00B566F8">
        <w:rPr>
          <w:rFonts w:ascii="Arial" w:hAnsi="Arial" w:cs="Arial"/>
          <w:sz w:val="24"/>
          <w:szCs w:val="24"/>
        </w:rPr>
        <w:t xml:space="preserve">OEB staff has made the necessary correction to the Rate Generator Model and provided it along with these questions. </w:t>
      </w:r>
    </w:p>
    <w:p w14:paraId="6C17310E" w14:textId="77777777" w:rsidR="00554F15" w:rsidRPr="00B566F8" w:rsidRDefault="00554F15" w:rsidP="00D045A1">
      <w:pPr>
        <w:spacing w:beforeLines="200" w:before="480" w:afterLines="200" w:after="480" w:line="264" w:lineRule="auto"/>
        <w:contextualSpacing/>
        <w:rPr>
          <w:rFonts w:ascii="Arial" w:hAnsi="Arial" w:cs="Arial"/>
          <w:sz w:val="24"/>
          <w:szCs w:val="24"/>
        </w:rPr>
      </w:pPr>
    </w:p>
    <w:p w14:paraId="50C1D3B5" w14:textId="77777777" w:rsidR="00554F15" w:rsidRDefault="00554F15" w:rsidP="00D045A1">
      <w:pPr>
        <w:spacing w:beforeLines="200" w:before="480" w:afterLines="200" w:after="480" w:line="264" w:lineRule="auto"/>
        <w:contextualSpacing/>
        <w:rPr>
          <w:rFonts w:ascii="Arial" w:hAnsi="Arial" w:cs="Arial"/>
          <w:sz w:val="24"/>
          <w:szCs w:val="24"/>
        </w:rPr>
      </w:pPr>
      <w:r>
        <w:rPr>
          <w:rFonts w:ascii="Arial" w:hAnsi="Arial" w:cs="Arial"/>
          <w:sz w:val="24"/>
          <w:szCs w:val="24"/>
        </w:rPr>
        <w:t>Please confirm Synergy North</w:t>
      </w:r>
      <w:r w:rsidRPr="00B566F8">
        <w:rPr>
          <w:rFonts w:ascii="Arial" w:hAnsi="Arial" w:cs="Arial"/>
          <w:sz w:val="24"/>
          <w:szCs w:val="24"/>
        </w:rPr>
        <w:t>’s acceptance of the revised model.</w:t>
      </w:r>
    </w:p>
    <w:p w14:paraId="36E396B4" w14:textId="77777777" w:rsidR="000C7F8E" w:rsidRDefault="000C7F8E" w:rsidP="00D045A1">
      <w:pPr>
        <w:spacing w:beforeLines="200" w:before="480" w:afterLines="200" w:after="480" w:line="264" w:lineRule="auto"/>
        <w:contextualSpacing/>
      </w:pPr>
    </w:p>
    <w:p w14:paraId="541949F6" w14:textId="77777777" w:rsidR="000733DE" w:rsidRDefault="000733DE" w:rsidP="00D045A1">
      <w:pPr>
        <w:spacing w:beforeLines="200" w:before="480" w:afterLines="200" w:after="480" w:line="264" w:lineRule="auto"/>
        <w:contextualSpacing/>
      </w:pPr>
    </w:p>
    <w:p w14:paraId="693742A6" w14:textId="77777777" w:rsidR="005F28F7" w:rsidRPr="005F28F7" w:rsidRDefault="005F28F7" w:rsidP="005F28F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0804C3CF" w14:textId="77777777" w:rsidR="005F28F7" w:rsidRPr="005F28F7" w:rsidRDefault="005F28F7" w:rsidP="005F28F7">
      <w:pPr>
        <w:spacing w:after="0" w:line="264" w:lineRule="auto"/>
        <w:contextualSpacing/>
        <w:rPr>
          <w:rFonts w:ascii="Arial" w:hAnsi="Arial" w:cs="Arial"/>
          <w:sz w:val="24"/>
          <w:szCs w:val="24"/>
        </w:rPr>
      </w:pPr>
    </w:p>
    <w:p w14:paraId="39D88616" w14:textId="68046DEF" w:rsidR="005F28F7" w:rsidRPr="005F28F7" w:rsidRDefault="005F28F7" w:rsidP="005F28F7">
      <w:pPr>
        <w:spacing w:after="0" w:line="264" w:lineRule="auto"/>
        <w:contextualSpacing/>
        <w:rPr>
          <w:rFonts w:ascii="Arial" w:hAnsi="Arial" w:cs="Arial"/>
          <w:sz w:val="24"/>
          <w:szCs w:val="24"/>
        </w:rPr>
      </w:pPr>
      <w:r w:rsidRPr="005F28F7">
        <w:rPr>
          <w:rFonts w:ascii="Arial" w:hAnsi="Arial" w:cs="Arial"/>
          <w:sz w:val="24"/>
          <w:szCs w:val="24"/>
        </w:rPr>
        <w:t xml:space="preserve">Synergy North confirms it accepts the </w:t>
      </w:r>
      <w:r w:rsidR="009A10CB">
        <w:rPr>
          <w:rFonts w:ascii="Arial" w:hAnsi="Arial" w:cs="Arial"/>
          <w:sz w:val="24"/>
          <w:szCs w:val="24"/>
        </w:rPr>
        <w:t>B</w:t>
      </w:r>
      <w:r w:rsidR="00301DBA">
        <w:rPr>
          <w:rFonts w:ascii="Arial" w:hAnsi="Arial" w:cs="Arial"/>
          <w:sz w:val="24"/>
          <w:szCs w:val="24"/>
        </w:rPr>
        <w:t xml:space="preserve">oard </w:t>
      </w:r>
      <w:r w:rsidR="009A10CB">
        <w:rPr>
          <w:rFonts w:ascii="Arial" w:hAnsi="Arial" w:cs="Arial"/>
          <w:sz w:val="24"/>
          <w:szCs w:val="24"/>
        </w:rPr>
        <w:t>S</w:t>
      </w:r>
      <w:r w:rsidR="00301DBA">
        <w:rPr>
          <w:rFonts w:ascii="Arial" w:hAnsi="Arial" w:cs="Arial"/>
          <w:sz w:val="24"/>
          <w:szCs w:val="24"/>
        </w:rPr>
        <w:t xml:space="preserve">taff </w:t>
      </w:r>
      <w:r w:rsidRPr="005F28F7">
        <w:rPr>
          <w:rFonts w:ascii="Arial" w:hAnsi="Arial" w:cs="Arial"/>
          <w:sz w:val="24"/>
          <w:szCs w:val="24"/>
        </w:rPr>
        <w:t>revised models.</w:t>
      </w:r>
    </w:p>
    <w:p w14:paraId="429CC213" w14:textId="77777777" w:rsidR="005F28F7" w:rsidRDefault="005F28F7" w:rsidP="00D045A1">
      <w:pPr>
        <w:spacing w:beforeLines="200" w:before="480" w:afterLines="200" w:after="480" w:line="264" w:lineRule="auto"/>
        <w:contextualSpacing/>
      </w:pPr>
    </w:p>
    <w:p w14:paraId="12CE22B4" w14:textId="77777777" w:rsidR="005F28F7" w:rsidRDefault="005F28F7">
      <w:pPr>
        <w:spacing w:after="160" w:line="259" w:lineRule="auto"/>
      </w:pPr>
      <w:r>
        <w:br w:type="page"/>
      </w:r>
    </w:p>
    <w:p w14:paraId="09161807" w14:textId="77777777" w:rsidR="00554F15"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- 3</w:t>
      </w:r>
    </w:p>
    <w:p w14:paraId="2FA486B5" w14:textId="77777777" w:rsidR="00E4213E" w:rsidRDefault="00E4213E" w:rsidP="00D045A1">
      <w:pPr>
        <w:spacing w:beforeLines="200" w:before="480" w:afterLines="200" w:after="480" w:line="264" w:lineRule="auto"/>
        <w:contextualSpacing/>
        <w:rPr>
          <w:rFonts w:ascii="Arial" w:hAnsi="Arial" w:cs="Arial"/>
          <w:b/>
          <w:sz w:val="24"/>
          <w:szCs w:val="24"/>
        </w:rPr>
      </w:pPr>
      <w:r w:rsidRPr="00E4213E">
        <w:rPr>
          <w:rFonts w:ascii="Arial" w:hAnsi="Arial" w:cs="Arial"/>
          <w:b/>
          <w:sz w:val="24"/>
          <w:szCs w:val="24"/>
        </w:rPr>
        <w:t>Ref: GA Analysis Workform – GA 2018</w:t>
      </w:r>
      <w:r>
        <w:rPr>
          <w:rFonts w:ascii="Arial" w:hAnsi="Arial" w:cs="Arial"/>
          <w:b/>
          <w:sz w:val="24"/>
          <w:szCs w:val="24"/>
        </w:rPr>
        <w:t xml:space="preserve"> – </w:t>
      </w:r>
      <w:r w:rsidRPr="00AB2F69">
        <w:rPr>
          <w:rFonts w:ascii="Arial" w:hAnsi="Arial" w:cs="Arial"/>
          <w:b/>
          <w:sz w:val="24"/>
          <w:szCs w:val="24"/>
        </w:rPr>
        <w:t>Kenora Rate Zone</w:t>
      </w:r>
    </w:p>
    <w:p w14:paraId="55D09024" w14:textId="77777777" w:rsidR="008135B3" w:rsidRPr="00E4213E" w:rsidRDefault="008135B3" w:rsidP="00D045A1">
      <w:pPr>
        <w:spacing w:beforeLines="200" w:before="480" w:afterLines="200" w:after="480" w:line="264" w:lineRule="auto"/>
        <w:contextualSpacing/>
        <w:rPr>
          <w:rFonts w:ascii="Arial" w:hAnsi="Arial" w:cs="Arial"/>
          <w:b/>
          <w:sz w:val="24"/>
          <w:szCs w:val="24"/>
        </w:rPr>
      </w:pPr>
    </w:p>
    <w:p w14:paraId="3D368C5F" w14:textId="47C74479" w:rsidR="002D5327" w:rsidRDefault="002D5327" w:rsidP="00D045A1">
      <w:pPr>
        <w:spacing w:beforeLines="200" w:before="480" w:afterLines="200" w:after="480" w:line="264" w:lineRule="auto"/>
        <w:contextualSpacing/>
        <w:rPr>
          <w:rFonts w:ascii="Arial" w:hAnsi="Arial" w:cs="Arial"/>
          <w:sz w:val="24"/>
          <w:szCs w:val="24"/>
        </w:rPr>
      </w:pPr>
      <w:r w:rsidRPr="002D5327">
        <w:rPr>
          <w:rFonts w:ascii="Arial" w:hAnsi="Arial" w:cs="Arial"/>
          <w:sz w:val="24"/>
          <w:szCs w:val="24"/>
        </w:rPr>
        <w:t>As per Synergy North’s request in section 3.1.3 of the Manger’s Summary, OEB staff updated consumption data in the GA model for the Kenora Rate Zone as follows:</w:t>
      </w:r>
    </w:p>
    <w:p w14:paraId="429AA5D5" w14:textId="77777777" w:rsidR="00CF1E2A" w:rsidRPr="002D5327" w:rsidRDefault="00CF1E2A" w:rsidP="00D045A1">
      <w:pPr>
        <w:spacing w:beforeLines="200" w:before="480" w:afterLines="200" w:after="480" w:line="264" w:lineRule="auto"/>
        <w:contextualSpacing/>
        <w:rPr>
          <w:rFonts w:ascii="Arial" w:hAnsi="Arial" w:cs="Arial"/>
          <w:sz w:val="24"/>
          <w:szCs w:val="24"/>
        </w:rPr>
      </w:pPr>
    </w:p>
    <w:p w14:paraId="70B3E370" w14:textId="77777777" w:rsidR="002D5327" w:rsidRPr="002D5327" w:rsidRDefault="002D5327" w:rsidP="00D045A1">
      <w:pPr>
        <w:spacing w:beforeLines="200" w:before="480" w:afterLines="200" w:after="480" w:line="264" w:lineRule="auto"/>
        <w:contextualSpacing/>
        <w:rPr>
          <w:rFonts w:ascii="Arial" w:hAnsi="Arial" w:cs="Arial"/>
          <w:sz w:val="24"/>
          <w:szCs w:val="24"/>
        </w:rPr>
      </w:pPr>
      <w:r w:rsidRPr="002D5327">
        <w:rPr>
          <w:rFonts w:ascii="Arial" w:hAnsi="Arial" w:cs="Arial"/>
          <w:noProof/>
          <w:sz w:val="24"/>
          <w:szCs w:val="24"/>
          <w:lang w:val="en-US"/>
        </w:rPr>
        <w:drawing>
          <wp:inline distT="0" distB="0" distL="0" distR="0" wp14:anchorId="1E5CB0DA" wp14:editId="1A4092BA">
            <wp:extent cx="6937273"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8608" cy="1011300"/>
                    </a:xfrm>
                    <a:prstGeom prst="rect">
                      <a:avLst/>
                    </a:prstGeom>
                    <a:noFill/>
                    <a:ln>
                      <a:noFill/>
                    </a:ln>
                  </pic:spPr>
                </pic:pic>
              </a:graphicData>
            </a:graphic>
          </wp:inline>
        </w:drawing>
      </w:r>
    </w:p>
    <w:p w14:paraId="2FB12C97" w14:textId="77777777" w:rsidR="00CF1E2A" w:rsidRDefault="00CF1E2A" w:rsidP="00D045A1">
      <w:pPr>
        <w:spacing w:beforeLines="200" w:before="480" w:afterLines="200" w:after="480" w:line="264" w:lineRule="auto"/>
        <w:contextualSpacing/>
        <w:rPr>
          <w:rFonts w:ascii="Arial" w:hAnsi="Arial" w:cs="Arial"/>
          <w:sz w:val="24"/>
          <w:szCs w:val="24"/>
        </w:rPr>
      </w:pPr>
    </w:p>
    <w:p w14:paraId="4029321A" w14:textId="41D8A7FB" w:rsidR="00554F15" w:rsidRDefault="002D5327" w:rsidP="00D045A1">
      <w:pPr>
        <w:spacing w:beforeLines="200" w:before="480" w:afterLines="200" w:after="480" w:line="264" w:lineRule="auto"/>
        <w:contextualSpacing/>
        <w:rPr>
          <w:rFonts w:ascii="Arial" w:hAnsi="Arial" w:cs="Arial"/>
          <w:sz w:val="24"/>
          <w:szCs w:val="24"/>
        </w:rPr>
      </w:pPr>
      <w:r>
        <w:rPr>
          <w:rFonts w:ascii="Arial" w:hAnsi="Arial" w:cs="Arial"/>
          <w:sz w:val="24"/>
          <w:szCs w:val="24"/>
        </w:rPr>
        <w:t>Please confirm the accuracy of the data and update cell C21 on tab GA 2018.</w:t>
      </w:r>
    </w:p>
    <w:p w14:paraId="0773F760" w14:textId="77777777" w:rsidR="002D5327" w:rsidRDefault="002D5327" w:rsidP="00D045A1">
      <w:pPr>
        <w:spacing w:beforeLines="200" w:before="480" w:afterLines="200" w:after="480" w:line="264" w:lineRule="auto"/>
        <w:contextualSpacing/>
        <w:rPr>
          <w:rFonts w:ascii="Arial" w:hAnsi="Arial" w:cs="Arial"/>
          <w:b/>
          <w:sz w:val="24"/>
          <w:szCs w:val="24"/>
        </w:rPr>
      </w:pPr>
    </w:p>
    <w:p w14:paraId="06E5CEE2" w14:textId="77777777" w:rsidR="005F28F7" w:rsidRDefault="005F28F7" w:rsidP="00D045A1">
      <w:pPr>
        <w:spacing w:beforeLines="200" w:before="480" w:afterLines="200" w:after="480" w:line="264" w:lineRule="auto"/>
        <w:contextualSpacing/>
        <w:rPr>
          <w:rFonts w:ascii="Arial" w:hAnsi="Arial" w:cs="Arial"/>
          <w:b/>
          <w:sz w:val="24"/>
          <w:szCs w:val="24"/>
        </w:rPr>
      </w:pPr>
    </w:p>
    <w:p w14:paraId="393E5FA3" w14:textId="77777777" w:rsidR="005F28F7" w:rsidRPr="005F28F7" w:rsidRDefault="005F28F7" w:rsidP="005F28F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28E7B826" w14:textId="77777777" w:rsidR="005F28F7" w:rsidRPr="005F28F7" w:rsidRDefault="005F28F7" w:rsidP="005F28F7">
      <w:pPr>
        <w:spacing w:after="0" w:line="264" w:lineRule="auto"/>
        <w:contextualSpacing/>
        <w:rPr>
          <w:rFonts w:ascii="Arial" w:hAnsi="Arial" w:cs="Arial"/>
          <w:sz w:val="24"/>
          <w:szCs w:val="24"/>
        </w:rPr>
      </w:pPr>
    </w:p>
    <w:p w14:paraId="5C904BAA" w14:textId="4EF81EA0" w:rsidR="005F28F7" w:rsidRDefault="005F28F7" w:rsidP="005F28F7">
      <w:pPr>
        <w:spacing w:after="0" w:line="264" w:lineRule="auto"/>
        <w:contextualSpacing/>
        <w:rPr>
          <w:rFonts w:ascii="Arial" w:hAnsi="Arial" w:cs="Arial"/>
          <w:sz w:val="24"/>
          <w:szCs w:val="24"/>
        </w:rPr>
      </w:pPr>
      <w:r w:rsidRPr="005F28F7">
        <w:rPr>
          <w:rFonts w:ascii="Arial" w:hAnsi="Arial" w:cs="Arial"/>
          <w:sz w:val="24"/>
          <w:szCs w:val="24"/>
        </w:rPr>
        <w:t xml:space="preserve">Synergy North confirms </w:t>
      </w:r>
      <w:r w:rsidR="00472C7F">
        <w:rPr>
          <w:rFonts w:ascii="Arial" w:hAnsi="Arial" w:cs="Arial"/>
          <w:sz w:val="24"/>
          <w:szCs w:val="24"/>
        </w:rPr>
        <w:t xml:space="preserve">the accuracy of the data and update cell C21 on </w:t>
      </w:r>
      <w:r w:rsidR="00CF1E2A">
        <w:rPr>
          <w:rFonts w:ascii="Arial" w:hAnsi="Arial" w:cs="Arial"/>
          <w:sz w:val="24"/>
          <w:szCs w:val="24"/>
        </w:rPr>
        <w:t>T</w:t>
      </w:r>
      <w:r w:rsidR="00472C7F">
        <w:rPr>
          <w:rFonts w:ascii="Arial" w:hAnsi="Arial" w:cs="Arial"/>
          <w:sz w:val="24"/>
          <w:szCs w:val="24"/>
        </w:rPr>
        <w:t>ab GA 2018.</w:t>
      </w:r>
    </w:p>
    <w:p w14:paraId="4B49042B" w14:textId="77777777" w:rsidR="00CF1E2A" w:rsidRPr="005F28F7" w:rsidRDefault="00CF1E2A" w:rsidP="005F28F7">
      <w:pPr>
        <w:spacing w:after="0" w:line="264" w:lineRule="auto"/>
        <w:contextualSpacing/>
        <w:rPr>
          <w:rFonts w:ascii="Arial" w:hAnsi="Arial" w:cs="Arial"/>
          <w:sz w:val="24"/>
          <w:szCs w:val="24"/>
        </w:rPr>
      </w:pPr>
    </w:p>
    <w:p w14:paraId="26B3AC00" w14:textId="316C6306" w:rsidR="005F28F7" w:rsidRDefault="005F28F7" w:rsidP="00E024D3">
      <w:pPr>
        <w:spacing w:after="160" w:line="259" w:lineRule="auto"/>
        <w:jc w:val="center"/>
        <w:rPr>
          <w:rFonts w:ascii="Arial" w:hAnsi="Arial" w:cs="Arial"/>
          <w:b/>
          <w:sz w:val="24"/>
          <w:szCs w:val="24"/>
        </w:rPr>
      </w:pPr>
    </w:p>
    <w:p w14:paraId="727746CB" w14:textId="126519A5" w:rsidR="005F2A9C" w:rsidRDefault="005F2A9C">
      <w:pPr>
        <w:spacing w:after="160" w:line="259" w:lineRule="auto"/>
        <w:rPr>
          <w:rFonts w:ascii="Arial" w:hAnsi="Arial" w:cs="Arial"/>
          <w:b/>
          <w:sz w:val="24"/>
          <w:szCs w:val="24"/>
        </w:rPr>
      </w:pPr>
      <w:r>
        <w:rPr>
          <w:rFonts w:ascii="Arial" w:hAnsi="Arial" w:cs="Arial"/>
          <w:b/>
          <w:sz w:val="24"/>
          <w:szCs w:val="24"/>
        </w:rPr>
        <w:br w:type="page"/>
      </w:r>
    </w:p>
    <w:p w14:paraId="4B959141" w14:textId="77777777" w:rsidR="005F2A9C" w:rsidRDefault="005F2A9C">
      <w:pPr>
        <w:spacing w:after="160" w:line="259" w:lineRule="auto"/>
        <w:rPr>
          <w:rFonts w:ascii="Arial" w:hAnsi="Arial" w:cs="Arial"/>
          <w:b/>
          <w:sz w:val="24"/>
          <w:szCs w:val="24"/>
        </w:rPr>
      </w:pPr>
    </w:p>
    <w:p w14:paraId="55DA3D69" w14:textId="77777777" w:rsidR="00E4213E"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 xml:space="preserve">Staff Question - 4 </w:t>
      </w:r>
    </w:p>
    <w:p w14:paraId="3072D4F0" w14:textId="77777777" w:rsidR="00E4213E" w:rsidRDefault="00E4213E"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Pr>
          <w:rFonts w:ascii="Arial" w:hAnsi="Arial" w:cs="Arial"/>
          <w:b/>
          <w:sz w:val="24"/>
          <w:szCs w:val="24"/>
        </w:rPr>
        <w:t xml:space="preserve"> Model, Tab 4 – Billing Det. for Def-Var – </w:t>
      </w:r>
      <w:r w:rsidRPr="00402500">
        <w:rPr>
          <w:rFonts w:ascii="Arial" w:hAnsi="Arial" w:cs="Arial"/>
          <w:b/>
          <w:sz w:val="24"/>
          <w:szCs w:val="24"/>
        </w:rPr>
        <w:t>Kenora Rate Zone</w:t>
      </w:r>
      <w:r>
        <w:rPr>
          <w:noProof/>
          <w:lang w:val="en-US"/>
        </w:rPr>
        <w:drawing>
          <wp:inline distT="0" distB="0" distL="0" distR="0" wp14:anchorId="6C819024" wp14:editId="4183A745">
            <wp:extent cx="5499398" cy="24400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9153" cy="2470980"/>
                    </a:xfrm>
                    <a:prstGeom prst="rect">
                      <a:avLst/>
                    </a:prstGeom>
                  </pic:spPr>
                </pic:pic>
              </a:graphicData>
            </a:graphic>
          </wp:inline>
        </w:drawing>
      </w:r>
    </w:p>
    <w:p w14:paraId="405FD554" w14:textId="77777777" w:rsidR="00E4213E" w:rsidRDefault="00E4213E" w:rsidP="00D045A1">
      <w:pPr>
        <w:spacing w:beforeLines="200" w:before="480" w:afterLines="200" w:after="480" w:line="264" w:lineRule="auto"/>
        <w:contextualSpacing/>
        <w:rPr>
          <w:rFonts w:ascii="Arial" w:hAnsi="Arial" w:cs="Arial"/>
          <w:sz w:val="24"/>
          <w:szCs w:val="24"/>
        </w:rPr>
      </w:pPr>
      <w:r>
        <w:rPr>
          <w:rFonts w:ascii="Arial" w:hAnsi="Arial" w:cs="Arial"/>
          <w:sz w:val="24"/>
          <w:szCs w:val="24"/>
        </w:rPr>
        <w:t>Please state that</w:t>
      </w:r>
      <w:r w:rsidRPr="00E476BC">
        <w:rPr>
          <w:rFonts w:ascii="Arial" w:hAnsi="Arial" w:cs="Arial"/>
          <w:sz w:val="24"/>
          <w:szCs w:val="24"/>
        </w:rPr>
        <w:t xml:space="preserve"> </w:t>
      </w:r>
      <w:r>
        <w:rPr>
          <w:rFonts w:ascii="Arial" w:hAnsi="Arial" w:cs="Arial"/>
          <w:sz w:val="24"/>
          <w:szCs w:val="24"/>
        </w:rPr>
        <w:t>Synergy North</w:t>
      </w:r>
      <w:r w:rsidRPr="00E476BC">
        <w:rPr>
          <w:rFonts w:ascii="Arial" w:hAnsi="Arial" w:cs="Arial"/>
          <w:sz w:val="24"/>
          <w:szCs w:val="24"/>
        </w:rPr>
        <w:t xml:space="preserve"> has confirmed the accuracy of the data on Tab 4 – Billing Det. for Def-Var. </w:t>
      </w:r>
      <w:r>
        <w:rPr>
          <w:rFonts w:ascii="Arial" w:hAnsi="Arial" w:cs="Arial"/>
          <w:sz w:val="24"/>
          <w:szCs w:val="24"/>
        </w:rPr>
        <w:t xml:space="preserve">Once confirmed please update Tab 4. </w:t>
      </w:r>
    </w:p>
    <w:p w14:paraId="3787BEB3" w14:textId="77777777" w:rsidR="009016CF" w:rsidRDefault="009016CF" w:rsidP="00D045A1">
      <w:pPr>
        <w:spacing w:beforeLines="200" w:before="480" w:afterLines="200" w:after="480" w:line="264" w:lineRule="auto"/>
        <w:contextualSpacing/>
        <w:rPr>
          <w:rFonts w:ascii="Arial" w:hAnsi="Arial" w:cs="Arial"/>
          <w:sz w:val="24"/>
          <w:szCs w:val="24"/>
        </w:rPr>
      </w:pPr>
    </w:p>
    <w:p w14:paraId="6DABA1EE" w14:textId="77777777" w:rsidR="002C1E87" w:rsidRDefault="002C1E87" w:rsidP="00D045A1">
      <w:pPr>
        <w:spacing w:beforeLines="200" w:before="480" w:afterLines="200" w:after="480" w:line="264" w:lineRule="auto"/>
        <w:contextualSpacing/>
        <w:rPr>
          <w:rFonts w:ascii="Arial" w:hAnsi="Arial" w:cs="Arial"/>
          <w:sz w:val="24"/>
          <w:szCs w:val="24"/>
        </w:rPr>
      </w:pPr>
    </w:p>
    <w:p w14:paraId="6C701D8C"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242A67E4" w14:textId="77777777" w:rsidR="002C1E87" w:rsidRPr="005F28F7" w:rsidRDefault="002C1E87" w:rsidP="002C1E87">
      <w:pPr>
        <w:spacing w:after="0" w:line="264" w:lineRule="auto"/>
        <w:contextualSpacing/>
        <w:rPr>
          <w:rFonts w:ascii="Arial" w:hAnsi="Arial" w:cs="Arial"/>
          <w:sz w:val="24"/>
          <w:szCs w:val="24"/>
        </w:rPr>
      </w:pPr>
    </w:p>
    <w:p w14:paraId="09E05C30" w14:textId="77777777" w:rsidR="002C1E87" w:rsidRPr="005F28F7" w:rsidRDefault="002C1E87" w:rsidP="002C1E87">
      <w:pPr>
        <w:spacing w:after="0" w:line="264" w:lineRule="auto"/>
        <w:contextualSpacing/>
        <w:rPr>
          <w:rFonts w:ascii="Arial" w:hAnsi="Arial" w:cs="Arial"/>
          <w:sz w:val="24"/>
          <w:szCs w:val="24"/>
        </w:rPr>
      </w:pPr>
      <w:r w:rsidRPr="005F28F7">
        <w:rPr>
          <w:rFonts w:ascii="Arial" w:hAnsi="Arial" w:cs="Arial"/>
          <w:sz w:val="24"/>
          <w:szCs w:val="24"/>
        </w:rPr>
        <w:t xml:space="preserve">Synergy North confirms it accepts the </w:t>
      </w:r>
      <w:r w:rsidR="00D1477D">
        <w:rPr>
          <w:rFonts w:ascii="Arial" w:hAnsi="Arial" w:cs="Arial"/>
          <w:sz w:val="24"/>
          <w:szCs w:val="24"/>
        </w:rPr>
        <w:t xml:space="preserve">accuracy of the data on Tab </w:t>
      </w:r>
      <w:proofErr w:type="gramStart"/>
      <w:r w:rsidR="00D1477D">
        <w:rPr>
          <w:rFonts w:ascii="Arial" w:hAnsi="Arial" w:cs="Arial"/>
          <w:sz w:val="24"/>
          <w:szCs w:val="24"/>
        </w:rPr>
        <w:t>4  Billing</w:t>
      </w:r>
      <w:proofErr w:type="gramEnd"/>
      <w:r w:rsidR="00D1477D">
        <w:rPr>
          <w:rFonts w:ascii="Arial" w:hAnsi="Arial" w:cs="Arial"/>
          <w:sz w:val="24"/>
          <w:szCs w:val="24"/>
        </w:rPr>
        <w:t xml:space="preserve"> Det. For Def</w:t>
      </w:r>
      <w:r w:rsidR="00B0103C">
        <w:rPr>
          <w:rFonts w:ascii="Arial" w:hAnsi="Arial" w:cs="Arial"/>
          <w:sz w:val="24"/>
          <w:szCs w:val="24"/>
        </w:rPr>
        <w:t>- Var</w:t>
      </w:r>
      <w:r w:rsidRPr="005F28F7">
        <w:rPr>
          <w:rFonts w:ascii="Arial" w:hAnsi="Arial" w:cs="Arial"/>
          <w:sz w:val="24"/>
          <w:szCs w:val="24"/>
        </w:rPr>
        <w:t xml:space="preserve"> model.</w:t>
      </w:r>
    </w:p>
    <w:p w14:paraId="7F3D666A" w14:textId="77777777" w:rsidR="002C1E87" w:rsidRDefault="002C1E87" w:rsidP="002C1E87">
      <w:pPr>
        <w:spacing w:after="160" w:line="259" w:lineRule="auto"/>
        <w:rPr>
          <w:rFonts w:ascii="Arial" w:hAnsi="Arial" w:cs="Arial"/>
          <w:b/>
          <w:sz w:val="24"/>
          <w:szCs w:val="24"/>
        </w:rPr>
      </w:pPr>
      <w:r>
        <w:rPr>
          <w:rFonts w:ascii="Arial" w:hAnsi="Arial" w:cs="Arial"/>
          <w:b/>
          <w:sz w:val="24"/>
          <w:szCs w:val="24"/>
        </w:rPr>
        <w:br w:type="page"/>
      </w:r>
    </w:p>
    <w:p w14:paraId="718EED8F" w14:textId="77777777" w:rsidR="000733DE" w:rsidRDefault="000733DE" w:rsidP="00D045A1">
      <w:pPr>
        <w:spacing w:beforeLines="200" w:before="480" w:afterLines="200" w:after="480" w:line="264" w:lineRule="auto"/>
        <w:contextualSpacing/>
        <w:rPr>
          <w:rFonts w:ascii="Arial" w:hAnsi="Arial" w:cs="Arial"/>
          <w:sz w:val="24"/>
          <w:szCs w:val="24"/>
        </w:rPr>
      </w:pPr>
    </w:p>
    <w:p w14:paraId="133C8D4C" w14:textId="77777777" w:rsidR="009016CF"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Staff Question - 5</w:t>
      </w:r>
    </w:p>
    <w:p w14:paraId="15056A50"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IRM Rate Generator Model</w:t>
      </w:r>
      <w:r w:rsidRPr="00402500">
        <w:rPr>
          <w:rFonts w:ascii="Arial" w:hAnsi="Arial" w:cs="Arial"/>
          <w:b/>
          <w:sz w:val="24"/>
          <w:szCs w:val="24"/>
          <w:lang w:val="en-US"/>
        </w:rPr>
        <w:t>, Tab 3</w:t>
      </w:r>
    </w:p>
    <w:p w14:paraId="0BCC4067"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35CF71E1" w14:textId="18717854" w:rsidR="00D045A1" w:rsidRP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The Kenora </w:t>
      </w:r>
      <w:r w:rsidR="007C612A">
        <w:rPr>
          <w:rFonts w:ascii="Arial" w:hAnsi="Arial" w:cs="Arial"/>
          <w:sz w:val="24"/>
          <w:szCs w:val="24"/>
          <w:lang w:val="en-US"/>
        </w:rPr>
        <w:t>Rate Zone</w:t>
      </w:r>
      <w:r w:rsidRPr="00D045A1">
        <w:rPr>
          <w:rFonts w:ascii="Arial" w:hAnsi="Arial" w:cs="Arial"/>
          <w:sz w:val="24"/>
          <w:szCs w:val="24"/>
          <w:lang w:val="en-US"/>
        </w:rPr>
        <w:t xml:space="preserve"> last disposed 2016 balances. Please revise the DVA Continuity Schedule to start from 2017. </w:t>
      </w:r>
    </w:p>
    <w:p w14:paraId="7250A2FF" w14:textId="77777777" w:rsidR="00D045A1" w:rsidRDefault="00D045A1" w:rsidP="00D045A1">
      <w:pPr>
        <w:spacing w:beforeLines="200" w:before="480" w:afterLines="200" w:after="480" w:line="264" w:lineRule="auto"/>
        <w:contextualSpacing/>
        <w:rPr>
          <w:rFonts w:ascii="Arial" w:hAnsi="Arial" w:cs="Arial"/>
          <w:b/>
          <w:sz w:val="24"/>
          <w:szCs w:val="24"/>
          <w:lang w:val="en-US"/>
        </w:rPr>
      </w:pPr>
    </w:p>
    <w:p w14:paraId="1A89FDCF" w14:textId="77777777" w:rsidR="000733DE" w:rsidRDefault="000733DE" w:rsidP="00D045A1">
      <w:pPr>
        <w:spacing w:beforeLines="200" w:before="480" w:afterLines="200" w:after="480" w:line="264" w:lineRule="auto"/>
        <w:contextualSpacing/>
        <w:rPr>
          <w:rFonts w:ascii="Arial" w:hAnsi="Arial" w:cs="Arial"/>
          <w:b/>
          <w:sz w:val="24"/>
          <w:szCs w:val="24"/>
          <w:lang w:val="en-US"/>
        </w:rPr>
      </w:pPr>
    </w:p>
    <w:p w14:paraId="3ADABAB4"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74395052" w14:textId="77777777" w:rsidR="002C1E87" w:rsidRPr="005F28F7" w:rsidRDefault="002C1E87" w:rsidP="002C1E87">
      <w:pPr>
        <w:spacing w:after="0" w:line="264" w:lineRule="auto"/>
        <w:contextualSpacing/>
        <w:rPr>
          <w:rFonts w:ascii="Arial" w:hAnsi="Arial" w:cs="Arial"/>
          <w:sz w:val="24"/>
          <w:szCs w:val="24"/>
        </w:rPr>
      </w:pPr>
    </w:p>
    <w:p w14:paraId="75E92FC6" w14:textId="44A28213" w:rsidR="002C1E87" w:rsidRDefault="002C1E87" w:rsidP="00886E33">
      <w:pPr>
        <w:spacing w:after="0" w:line="264" w:lineRule="auto"/>
        <w:contextualSpacing/>
        <w:rPr>
          <w:rFonts w:ascii="Arial" w:hAnsi="Arial" w:cs="Arial"/>
          <w:sz w:val="24"/>
          <w:szCs w:val="24"/>
        </w:rPr>
      </w:pPr>
      <w:r w:rsidRPr="005F28F7">
        <w:rPr>
          <w:rFonts w:ascii="Arial" w:hAnsi="Arial" w:cs="Arial"/>
          <w:sz w:val="24"/>
          <w:szCs w:val="24"/>
        </w:rPr>
        <w:t xml:space="preserve">Synergy North confirms it </w:t>
      </w:r>
      <w:r w:rsidR="00947198">
        <w:rPr>
          <w:rFonts w:ascii="Arial" w:hAnsi="Arial" w:cs="Arial"/>
          <w:sz w:val="24"/>
          <w:szCs w:val="24"/>
        </w:rPr>
        <w:t xml:space="preserve">has revised the </w:t>
      </w:r>
      <w:r w:rsidR="00E8228B">
        <w:rPr>
          <w:rFonts w:ascii="Arial" w:hAnsi="Arial" w:cs="Arial"/>
          <w:sz w:val="24"/>
          <w:szCs w:val="24"/>
        </w:rPr>
        <w:t xml:space="preserve">Kenora </w:t>
      </w:r>
      <w:r w:rsidR="00947198">
        <w:rPr>
          <w:rFonts w:ascii="Arial" w:hAnsi="Arial" w:cs="Arial"/>
          <w:sz w:val="24"/>
          <w:szCs w:val="24"/>
        </w:rPr>
        <w:t xml:space="preserve">model to start from 2017.  </w:t>
      </w:r>
    </w:p>
    <w:p w14:paraId="55FDF5CA" w14:textId="0ACB331B" w:rsidR="00941643" w:rsidRDefault="00941643">
      <w:pPr>
        <w:spacing w:after="160" w:line="259" w:lineRule="auto"/>
        <w:rPr>
          <w:rFonts w:ascii="Arial" w:hAnsi="Arial" w:cs="Arial"/>
          <w:sz w:val="24"/>
          <w:szCs w:val="24"/>
        </w:rPr>
      </w:pPr>
      <w:r>
        <w:rPr>
          <w:rFonts w:ascii="Arial" w:hAnsi="Arial" w:cs="Arial"/>
          <w:sz w:val="24"/>
          <w:szCs w:val="24"/>
        </w:rPr>
        <w:br w:type="page"/>
      </w:r>
    </w:p>
    <w:p w14:paraId="30745BCA" w14:textId="77777777" w:rsidR="00941643" w:rsidRDefault="00941643" w:rsidP="00886E33">
      <w:pPr>
        <w:spacing w:after="0" w:line="264" w:lineRule="auto"/>
        <w:contextualSpacing/>
        <w:rPr>
          <w:rFonts w:ascii="Arial" w:hAnsi="Arial" w:cs="Arial"/>
          <w:b/>
          <w:sz w:val="24"/>
          <w:szCs w:val="24"/>
        </w:rPr>
      </w:pPr>
    </w:p>
    <w:p w14:paraId="0DDAC50E" w14:textId="7777777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Staff Question - 6</w:t>
      </w:r>
    </w:p>
    <w:p w14:paraId="1CC662F6"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Manager’s Summary, page 15</w:t>
      </w:r>
    </w:p>
    <w:p w14:paraId="01CF25AD"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02E51B11" w14:textId="35B91E7C" w:rsid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Synergy North is requesting disposition of its Group 1 accounts for both the Thunder Bay and Kenora </w:t>
      </w:r>
      <w:r w:rsidR="007C612A">
        <w:rPr>
          <w:rFonts w:ascii="Arial" w:hAnsi="Arial" w:cs="Arial"/>
          <w:sz w:val="24"/>
          <w:szCs w:val="24"/>
          <w:lang w:val="en-US"/>
        </w:rPr>
        <w:t>Rate Zone</w:t>
      </w:r>
      <w:r w:rsidRPr="00D045A1">
        <w:rPr>
          <w:rFonts w:ascii="Arial" w:hAnsi="Arial" w:cs="Arial"/>
          <w:sz w:val="24"/>
          <w:szCs w:val="24"/>
          <w:lang w:val="en-US"/>
        </w:rPr>
        <w:t xml:space="preserve">s. Please explain whether </w:t>
      </w:r>
    </w:p>
    <w:p w14:paraId="2A4C1E04" w14:textId="77777777" w:rsidR="008135B3" w:rsidRPr="00D045A1" w:rsidRDefault="008135B3" w:rsidP="00D045A1">
      <w:pPr>
        <w:spacing w:beforeLines="200" w:before="480" w:afterLines="200" w:after="480" w:line="264" w:lineRule="auto"/>
        <w:contextualSpacing/>
        <w:rPr>
          <w:rFonts w:ascii="Arial" w:hAnsi="Arial" w:cs="Arial"/>
          <w:sz w:val="24"/>
          <w:szCs w:val="24"/>
          <w:lang w:val="en-US"/>
        </w:rPr>
      </w:pPr>
    </w:p>
    <w:p w14:paraId="45284AD4" w14:textId="5B91B874" w:rsidR="00D045A1" w:rsidRPr="00D045A1" w:rsidRDefault="00D045A1" w:rsidP="00D045A1">
      <w:pPr>
        <w:numPr>
          <w:ilvl w:val="0"/>
          <w:numId w:val="4"/>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Final disposition is requested for the 2017 balances approved on an interim basis for the Thunder Bay </w:t>
      </w:r>
      <w:r w:rsidR="007C612A">
        <w:rPr>
          <w:rFonts w:ascii="Arial" w:hAnsi="Arial" w:cs="Arial"/>
          <w:sz w:val="24"/>
          <w:szCs w:val="24"/>
          <w:lang w:val="en-US"/>
        </w:rPr>
        <w:t>Rate Zone</w:t>
      </w:r>
      <w:r w:rsidRPr="00D045A1">
        <w:rPr>
          <w:rFonts w:ascii="Arial" w:hAnsi="Arial" w:cs="Arial"/>
          <w:sz w:val="24"/>
          <w:szCs w:val="24"/>
          <w:lang w:val="en-US"/>
        </w:rPr>
        <w:t>.</w:t>
      </w:r>
    </w:p>
    <w:p w14:paraId="35CB6EDF" w14:textId="37984EAC" w:rsidR="00D045A1" w:rsidRPr="00D045A1" w:rsidRDefault="00D045A1" w:rsidP="00D045A1">
      <w:pPr>
        <w:numPr>
          <w:ilvl w:val="0"/>
          <w:numId w:val="4"/>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Interim or final disposition is requested for the 2018 balances for the Thunder Bay </w:t>
      </w:r>
      <w:r w:rsidR="007C612A">
        <w:rPr>
          <w:rFonts w:ascii="Arial" w:hAnsi="Arial" w:cs="Arial"/>
          <w:sz w:val="24"/>
          <w:szCs w:val="24"/>
          <w:lang w:val="en-US"/>
        </w:rPr>
        <w:t>Rate Zone</w:t>
      </w:r>
      <w:r w:rsidRPr="00D045A1">
        <w:rPr>
          <w:rFonts w:ascii="Arial" w:hAnsi="Arial" w:cs="Arial"/>
          <w:sz w:val="24"/>
          <w:szCs w:val="24"/>
          <w:lang w:val="en-US"/>
        </w:rPr>
        <w:t>.</w:t>
      </w:r>
    </w:p>
    <w:p w14:paraId="58694244" w14:textId="7AD3B353" w:rsidR="000C7F8E" w:rsidRDefault="00D045A1" w:rsidP="00D045A1">
      <w:pPr>
        <w:numPr>
          <w:ilvl w:val="0"/>
          <w:numId w:val="4"/>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Interim or final disposition is requested for the 2018 balances for the Kenora </w:t>
      </w:r>
      <w:r w:rsidR="007C612A">
        <w:rPr>
          <w:rFonts w:ascii="Arial" w:hAnsi="Arial" w:cs="Arial"/>
          <w:sz w:val="24"/>
          <w:szCs w:val="24"/>
          <w:lang w:val="en-US"/>
        </w:rPr>
        <w:t>Rate Zone</w:t>
      </w:r>
      <w:r w:rsidRPr="00D045A1">
        <w:rPr>
          <w:rFonts w:ascii="Arial" w:hAnsi="Arial" w:cs="Arial"/>
          <w:sz w:val="24"/>
          <w:szCs w:val="24"/>
          <w:lang w:val="en-US"/>
        </w:rPr>
        <w:t>.</w:t>
      </w:r>
    </w:p>
    <w:p w14:paraId="59202210" w14:textId="77777777" w:rsidR="00D045A1" w:rsidRDefault="00D045A1" w:rsidP="00D045A1">
      <w:pPr>
        <w:spacing w:beforeLines="200" w:before="480" w:afterLines="200" w:after="480" w:line="264" w:lineRule="auto"/>
        <w:contextualSpacing/>
        <w:rPr>
          <w:rFonts w:ascii="Arial" w:hAnsi="Arial" w:cs="Arial"/>
          <w:sz w:val="24"/>
          <w:szCs w:val="24"/>
          <w:lang w:val="en-US"/>
        </w:rPr>
      </w:pPr>
    </w:p>
    <w:p w14:paraId="40C7A737"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4666B5EF" w14:textId="77777777" w:rsidR="002C1E87" w:rsidRPr="005F28F7" w:rsidRDefault="002C1E87" w:rsidP="002C1E87">
      <w:pPr>
        <w:spacing w:after="0" w:line="264" w:lineRule="auto"/>
        <w:contextualSpacing/>
        <w:rPr>
          <w:rFonts w:ascii="Arial" w:hAnsi="Arial" w:cs="Arial"/>
          <w:sz w:val="24"/>
          <w:szCs w:val="24"/>
        </w:rPr>
      </w:pPr>
    </w:p>
    <w:p w14:paraId="6D5E5A34" w14:textId="2BE6DF00" w:rsidR="002C1E87" w:rsidRDefault="002C1E87" w:rsidP="002C1E87">
      <w:pPr>
        <w:spacing w:after="0" w:line="264" w:lineRule="auto"/>
        <w:contextualSpacing/>
        <w:rPr>
          <w:rFonts w:ascii="Arial" w:hAnsi="Arial" w:cs="Arial"/>
          <w:sz w:val="24"/>
          <w:szCs w:val="24"/>
        </w:rPr>
      </w:pPr>
    </w:p>
    <w:p w14:paraId="5305CCF4" w14:textId="4EEAFDF5" w:rsidR="00295B73" w:rsidRDefault="00295B73" w:rsidP="00295B73">
      <w:pPr>
        <w:pStyle w:val="ListParagraph"/>
        <w:numPr>
          <w:ilvl w:val="0"/>
          <w:numId w:val="11"/>
        </w:numPr>
        <w:spacing w:after="0" w:line="264" w:lineRule="auto"/>
        <w:rPr>
          <w:rFonts w:ascii="Arial" w:hAnsi="Arial" w:cs="Arial"/>
          <w:sz w:val="24"/>
          <w:szCs w:val="24"/>
        </w:rPr>
      </w:pPr>
      <w:r>
        <w:rPr>
          <w:rFonts w:ascii="Arial" w:hAnsi="Arial" w:cs="Arial"/>
          <w:sz w:val="24"/>
          <w:szCs w:val="24"/>
        </w:rPr>
        <w:t xml:space="preserve">Synergy North is requesting </w:t>
      </w:r>
      <w:r w:rsidR="005142D2">
        <w:rPr>
          <w:rFonts w:ascii="Arial" w:hAnsi="Arial" w:cs="Arial"/>
          <w:sz w:val="24"/>
          <w:szCs w:val="24"/>
        </w:rPr>
        <w:t xml:space="preserve">Final Disposition for </w:t>
      </w:r>
      <w:r w:rsidR="00B8361B">
        <w:rPr>
          <w:rFonts w:ascii="Arial" w:hAnsi="Arial" w:cs="Arial"/>
          <w:sz w:val="24"/>
          <w:szCs w:val="24"/>
        </w:rPr>
        <w:t>the 2017 balances approved on an interim basis for Thunder Bay Rate Zone.</w:t>
      </w:r>
    </w:p>
    <w:p w14:paraId="281D8456" w14:textId="1262D9B6" w:rsidR="00B8361B" w:rsidRDefault="005F66DC" w:rsidP="00295B73">
      <w:pPr>
        <w:pStyle w:val="ListParagraph"/>
        <w:numPr>
          <w:ilvl w:val="0"/>
          <w:numId w:val="11"/>
        </w:numPr>
        <w:spacing w:after="0" w:line="264" w:lineRule="auto"/>
        <w:rPr>
          <w:rFonts w:ascii="Arial" w:hAnsi="Arial" w:cs="Arial"/>
          <w:sz w:val="24"/>
          <w:szCs w:val="24"/>
        </w:rPr>
      </w:pPr>
      <w:r>
        <w:rPr>
          <w:rFonts w:ascii="Arial" w:hAnsi="Arial" w:cs="Arial"/>
          <w:sz w:val="24"/>
          <w:szCs w:val="24"/>
        </w:rPr>
        <w:t xml:space="preserve">Synergy North is requesting Final Disposition for the 2018 </w:t>
      </w:r>
      <w:r w:rsidR="00A65813">
        <w:rPr>
          <w:rFonts w:ascii="Arial" w:hAnsi="Arial" w:cs="Arial"/>
          <w:sz w:val="24"/>
          <w:szCs w:val="24"/>
        </w:rPr>
        <w:t xml:space="preserve">Group 1 Account </w:t>
      </w:r>
      <w:r>
        <w:rPr>
          <w:rFonts w:ascii="Arial" w:hAnsi="Arial" w:cs="Arial"/>
          <w:sz w:val="24"/>
          <w:szCs w:val="24"/>
        </w:rPr>
        <w:t xml:space="preserve">balances </w:t>
      </w:r>
      <w:r w:rsidR="00A65813">
        <w:rPr>
          <w:rFonts w:ascii="Arial" w:hAnsi="Arial" w:cs="Arial"/>
          <w:sz w:val="24"/>
          <w:szCs w:val="24"/>
        </w:rPr>
        <w:t xml:space="preserve">(excluding Account 1595) </w:t>
      </w:r>
      <w:r>
        <w:rPr>
          <w:rFonts w:ascii="Arial" w:hAnsi="Arial" w:cs="Arial"/>
          <w:sz w:val="24"/>
          <w:szCs w:val="24"/>
        </w:rPr>
        <w:t xml:space="preserve">for the Thunder Bay Rate Zone. </w:t>
      </w:r>
    </w:p>
    <w:p w14:paraId="7982EE1F" w14:textId="6617A020" w:rsidR="005F66DC" w:rsidRPr="00295B73" w:rsidRDefault="005F66DC" w:rsidP="00295B73">
      <w:pPr>
        <w:pStyle w:val="ListParagraph"/>
        <w:numPr>
          <w:ilvl w:val="0"/>
          <w:numId w:val="11"/>
        </w:numPr>
        <w:spacing w:after="0" w:line="264" w:lineRule="auto"/>
        <w:rPr>
          <w:rFonts w:ascii="Arial" w:hAnsi="Arial" w:cs="Arial"/>
          <w:sz w:val="24"/>
          <w:szCs w:val="24"/>
        </w:rPr>
      </w:pPr>
      <w:r>
        <w:rPr>
          <w:rFonts w:ascii="Arial" w:hAnsi="Arial" w:cs="Arial"/>
          <w:sz w:val="24"/>
          <w:szCs w:val="24"/>
        </w:rPr>
        <w:t>Synergy North is requesting Final Disposition for the 2018</w:t>
      </w:r>
      <w:r w:rsidR="00A65813">
        <w:rPr>
          <w:rFonts w:ascii="Arial" w:hAnsi="Arial" w:cs="Arial"/>
          <w:sz w:val="24"/>
          <w:szCs w:val="24"/>
        </w:rPr>
        <w:t xml:space="preserve"> Group 1 Account balances (excluding Account 1595)</w:t>
      </w:r>
      <w:r>
        <w:rPr>
          <w:rFonts w:ascii="Arial" w:hAnsi="Arial" w:cs="Arial"/>
          <w:sz w:val="24"/>
          <w:szCs w:val="24"/>
        </w:rPr>
        <w:t xml:space="preserve"> for the Kenora Rate Zone. </w:t>
      </w:r>
    </w:p>
    <w:p w14:paraId="57B76890" w14:textId="77777777" w:rsidR="002C1E87" w:rsidRDefault="002C1E87" w:rsidP="002C1E87">
      <w:pPr>
        <w:spacing w:after="160" w:line="259" w:lineRule="auto"/>
        <w:rPr>
          <w:rFonts w:ascii="Arial" w:hAnsi="Arial" w:cs="Arial"/>
          <w:b/>
          <w:sz w:val="24"/>
          <w:szCs w:val="24"/>
        </w:rPr>
      </w:pPr>
      <w:r>
        <w:rPr>
          <w:rFonts w:ascii="Arial" w:hAnsi="Arial" w:cs="Arial"/>
          <w:b/>
          <w:sz w:val="24"/>
          <w:szCs w:val="24"/>
        </w:rPr>
        <w:br w:type="page"/>
      </w:r>
    </w:p>
    <w:p w14:paraId="323336E7" w14:textId="77777777" w:rsidR="000733DE" w:rsidRDefault="000733DE" w:rsidP="00D045A1">
      <w:pPr>
        <w:spacing w:beforeLines="200" w:before="480" w:afterLines="200" w:after="480" w:line="264" w:lineRule="auto"/>
        <w:contextualSpacing/>
        <w:rPr>
          <w:rFonts w:ascii="Arial" w:hAnsi="Arial" w:cs="Arial"/>
          <w:sz w:val="24"/>
          <w:szCs w:val="24"/>
          <w:lang w:val="en-US"/>
        </w:rPr>
      </w:pPr>
    </w:p>
    <w:p w14:paraId="71CE068B" w14:textId="7777777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t>Staff Question - 7</w:t>
      </w:r>
    </w:p>
    <w:p w14:paraId="07DDFF68"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 xml:space="preserve">Ref: </w:t>
      </w:r>
      <w:r w:rsidRPr="00402500">
        <w:rPr>
          <w:rFonts w:ascii="Arial" w:hAnsi="Arial" w:cs="Arial"/>
          <w:b/>
          <w:sz w:val="24"/>
          <w:szCs w:val="24"/>
          <w:lang w:val="en-US"/>
        </w:rPr>
        <w:t>Manager’s</w:t>
      </w:r>
      <w:r w:rsidRPr="00D045A1">
        <w:rPr>
          <w:rFonts w:ascii="Arial" w:hAnsi="Arial" w:cs="Arial"/>
          <w:b/>
          <w:sz w:val="24"/>
          <w:szCs w:val="24"/>
          <w:lang w:val="en-US"/>
        </w:rPr>
        <w:t xml:space="preserve"> </w:t>
      </w:r>
      <w:r w:rsidRPr="00141669">
        <w:rPr>
          <w:rFonts w:ascii="Arial" w:hAnsi="Arial" w:cs="Arial"/>
          <w:b/>
          <w:sz w:val="24"/>
          <w:szCs w:val="24"/>
          <w:lang w:val="en-US"/>
        </w:rPr>
        <w:t>Summary</w:t>
      </w:r>
      <w:r w:rsidRPr="00D045A1">
        <w:rPr>
          <w:rFonts w:ascii="Arial" w:hAnsi="Arial" w:cs="Arial"/>
          <w:b/>
          <w:sz w:val="24"/>
          <w:szCs w:val="24"/>
          <w:lang w:val="en-US"/>
        </w:rPr>
        <w:t>, page 15</w:t>
      </w:r>
    </w:p>
    <w:p w14:paraId="6A9BE476"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79987F18"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Per the OEB’s Q&amp;A’s for Accounting Guidance on Accounts 1588 and 1589, dated February 21, 2019, answer #19 states: </w:t>
      </w:r>
    </w:p>
    <w:p w14:paraId="6A50C210"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p>
    <w:p w14:paraId="3731D3E1"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Utilities that did not receive approval for disposition of historical account balances due to concerns noted in the decision of their rate application should apply the accounting guidance to those balances as well as the 2018 balance and adjust the balances as necessary, prior to requesting final disposition.</w:t>
      </w:r>
    </w:p>
    <w:p w14:paraId="0D9A2014"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p>
    <w:p w14:paraId="6CCD61BA"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Please explain whether the new accounting guidance was applied to the 2017 and 2018 balance as per the Q&amp;A’s. If not, please explain if and when it will be applied. </w:t>
      </w:r>
    </w:p>
    <w:p w14:paraId="1E2AFAD5" w14:textId="77777777" w:rsidR="00D045A1" w:rsidRDefault="00D045A1" w:rsidP="00D045A1">
      <w:pPr>
        <w:spacing w:beforeLines="200" w:before="480" w:afterLines="200" w:after="480" w:line="264" w:lineRule="auto"/>
        <w:contextualSpacing/>
        <w:rPr>
          <w:rFonts w:ascii="Arial" w:hAnsi="Arial" w:cs="Arial"/>
          <w:b/>
          <w:sz w:val="24"/>
          <w:szCs w:val="24"/>
          <w:lang w:val="en-US"/>
        </w:rPr>
      </w:pPr>
    </w:p>
    <w:p w14:paraId="71E58455"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0D12B19C" w14:textId="77777777" w:rsidR="002C1E87" w:rsidRPr="005F28F7" w:rsidRDefault="002C1E87" w:rsidP="002C1E87">
      <w:pPr>
        <w:spacing w:after="0" w:line="264" w:lineRule="auto"/>
        <w:contextualSpacing/>
        <w:rPr>
          <w:rFonts w:ascii="Arial" w:hAnsi="Arial" w:cs="Arial"/>
          <w:sz w:val="24"/>
          <w:szCs w:val="24"/>
        </w:rPr>
      </w:pPr>
    </w:p>
    <w:p w14:paraId="4D8F3773" w14:textId="037FCAA7" w:rsidR="00CA7EA9" w:rsidRDefault="002C1E87" w:rsidP="002C1E87">
      <w:pPr>
        <w:spacing w:after="0" w:line="264" w:lineRule="auto"/>
        <w:contextualSpacing/>
        <w:rPr>
          <w:rFonts w:ascii="Arial" w:hAnsi="Arial" w:cs="Arial"/>
          <w:sz w:val="24"/>
          <w:szCs w:val="24"/>
        </w:rPr>
      </w:pPr>
      <w:r w:rsidRPr="005F28F7">
        <w:rPr>
          <w:rFonts w:ascii="Arial" w:hAnsi="Arial" w:cs="Arial"/>
          <w:sz w:val="24"/>
          <w:szCs w:val="24"/>
        </w:rPr>
        <w:t>Synergy North</w:t>
      </w:r>
      <w:r w:rsidR="00CA7EA9">
        <w:rPr>
          <w:rFonts w:ascii="Arial" w:hAnsi="Arial" w:cs="Arial"/>
          <w:sz w:val="24"/>
          <w:szCs w:val="24"/>
        </w:rPr>
        <w:t xml:space="preserve"> believes that OEB staff intended to refer to #28 section (2) of the Q&amp;A issued July 11</w:t>
      </w:r>
      <w:r w:rsidR="00CA7EA9" w:rsidRPr="00CA7EA9">
        <w:rPr>
          <w:rFonts w:ascii="Arial" w:hAnsi="Arial" w:cs="Arial"/>
          <w:sz w:val="24"/>
          <w:szCs w:val="24"/>
          <w:vertAlign w:val="superscript"/>
        </w:rPr>
        <w:t>th</w:t>
      </w:r>
      <w:proofErr w:type="gramStart"/>
      <w:r w:rsidR="00CA7EA9">
        <w:rPr>
          <w:rFonts w:ascii="Arial" w:hAnsi="Arial" w:cs="Arial"/>
          <w:sz w:val="24"/>
          <w:szCs w:val="24"/>
        </w:rPr>
        <w:t xml:space="preserve"> 2019</w:t>
      </w:r>
      <w:proofErr w:type="gramEnd"/>
      <w:r w:rsidR="00CA7EA9">
        <w:rPr>
          <w:rFonts w:ascii="Arial" w:hAnsi="Arial" w:cs="Arial"/>
          <w:sz w:val="24"/>
          <w:szCs w:val="24"/>
        </w:rPr>
        <w:t xml:space="preserve">. </w:t>
      </w:r>
    </w:p>
    <w:p w14:paraId="588E0C2F" w14:textId="77777777" w:rsidR="00CA7EA9" w:rsidRDefault="00CA7EA9" w:rsidP="002C1E87">
      <w:pPr>
        <w:spacing w:after="0" w:line="264" w:lineRule="auto"/>
        <w:contextualSpacing/>
        <w:rPr>
          <w:rFonts w:ascii="Arial" w:hAnsi="Arial" w:cs="Arial"/>
          <w:sz w:val="24"/>
          <w:szCs w:val="24"/>
        </w:rPr>
      </w:pPr>
    </w:p>
    <w:p w14:paraId="2134638C" w14:textId="35B6EDD0" w:rsidR="002C1E87" w:rsidRPr="005F28F7" w:rsidRDefault="00CA7EA9" w:rsidP="002C1E87">
      <w:pPr>
        <w:spacing w:after="0" w:line="264" w:lineRule="auto"/>
        <w:contextualSpacing/>
        <w:rPr>
          <w:rFonts w:ascii="Arial" w:hAnsi="Arial" w:cs="Arial"/>
          <w:sz w:val="24"/>
          <w:szCs w:val="24"/>
        </w:rPr>
      </w:pPr>
      <w:r>
        <w:rPr>
          <w:rFonts w:ascii="Arial" w:hAnsi="Arial" w:cs="Arial"/>
          <w:sz w:val="24"/>
          <w:szCs w:val="24"/>
        </w:rPr>
        <w:t>Synergy North</w:t>
      </w:r>
      <w:r w:rsidR="002C1E87" w:rsidRPr="005F28F7">
        <w:rPr>
          <w:rFonts w:ascii="Arial" w:hAnsi="Arial" w:cs="Arial"/>
          <w:sz w:val="24"/>
          <w:szCs w:val="24"/>
        </w:rPr>
        <w:t xml:space="preserve"> confirms </w:t>
      </w:r>
      <w:r w:rsidR="005142D2">
        <w:rPr>
          <w:rFonts w:ascii="Arial" w:hAnsi="Arial" w:cs="Arial"/>
          <w:sz w:val="24"/>
          <w:szCs w:val="24"/>
        </w:rPr>
        <w:t xml:space="preserve">that the new accounting guidance was applied to the 2017 and 2018 balance as per the Q&amp;As for both Kenora and Thunder Bay Rate Zones. </w:t>
      </w:r>
    </w:p>
    <w:p w14:paraId="71DBBC56" w14:textId="77777777" w:rsidR="002C1E87" w:rsidRDefault="002C1E87" w:rsidP="002C1E87">
      <w:pPr>
        <w:spacing w:after="160" w:line="259" w:lineRule="auto"/>
        <w:rPr>
          <w:rFonts w:ascii="Arial" w:hAnsi="Arial" w:cs="Arial"/>
          <w:b/>
          <w:sz w:val="24"/>
          <w:szCs w:val="24"/>
        </w:rPr>
      </w:pPr>
      <w:r>
        <w:rPr>
          <w:rFonts w:ascii="Arial" w:hAnsi="Arial" w:cs="Arial"/>
          <w:b/>
          <w:sz w:val="24"/>
          <w:szCs w:val="24"/>
        </w:rPr>
        <w:br w:type="page"/>
      </w:r>
    </w:p>
    <w:p w14:paraId="6AFC1146" w14:textId="77777777" w:rsidR="002F703B" w:rsidRPr="00D045A1" w:rsidRDefault="002F703B" w:rsidP="002F703B">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 xml:space="preserve">Staff Question – 8 </w:t>
      </w:r>
    </w:p>
    <w:p w14:paraId="632F8C5C" w14:textId="77777777" w:rsidR="002F703B" w:rsidRDefault="002F703B" w:rsidP="002F703B">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Manager’s Summary, pages 19-20</w:t>
      </w:r>
    </w:p>
    <w:p w14:paraId="32288ED9" w14:textId="77777777" w:rsidR="002F703B" w:rsidRPr="00D045A1" w:rsidRDefault="002F703B" w:rsidP="002F703B">
      <w:pPr>
        <w:spacing w:beforeLines="200" w:before="480" w:afterLines="200" w:after="480" w:line="264" w:lineRule="auto"/>
        <w:contextualSpacing/>
        <w:rPr>
          <w:rFonts w:ascii="Arial" w:hAnsi="Arial" w:cs="Arial"/>
          <w:b/>
          <w:sz w:val="24"/>
          <w:szCs w:val="24"/>
          <w:lang w:val="en-US"/>
        </w:rPr>
      </w:pPr>
    </w:p>
    <w:p w14:paraId="58FCE41C" w14:textId="00936430" w:rsidR="002F703B" w:rsidRDefault="002F703B" w:rsidP="002F703B">
      <w:p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An internal review was performed for the 2017 and 2018 account 1588 and 1589 balances for the Kenora </w:t>
      </w:r>
      <w:r w:rsidR="007C612A">
        <w:rPr>
          <w:rFonts w:ascii="Arial" w:hAnsi="Arial" w:cs="Arial"/>
          <w:sz w:val="24"/>
          <w:szCs w:val="24"/>
          <w:lang w:val="en-US"/>
        </w:rPr>
        <w:t>Rate Zone</w:t>
      </w:r>
      <w:r w:rsidRPr="00D045A1">
        <w:rPr>
          <w:rFonts w:ascii="Arial" w:hAnsi="Arial" w:cs="Arial"/>
          <w:sz w:val="24"/>
          <w:szCs w:val="24"/>
          <w:lang w:val="en-US"/>
        </w:rPr>
        <w:t xml:space="preserve">. </w:t>
      </w:r>
    </w:p>
    <w:p w14:paraId="2A9E3A16" w14:textId="77201B19" w:rsidR="002F703B" w:rsidRPr="00FD4C09" w:rsidRDefault="002F703B" w:rsidP="00FD4C09">
      <w:pPr>
        <w:pStyle w:val="ListParagraph"/>
        <w:numPr>
          <w:ilvl w:val="0"/>
          <w:numId w:val="5"/>
        </w:numPr>
        <w:spacing w:beforeLines="200" w:before="480" w:afterLines="200" w:after="480" w:line="264" w:lineRule="auto"/>
        <w:jc w:val="both"/>
        <w:rPr>
          <w:rFonts w:ascii="Arial" w:hAnsi="Arial" w:cs="Arial"/>
          <w:sz w:val="24"/>
          <w:szCs w:val="24"/>
          <w:lang w:val="en-US"/>
        </w:rPr>
      </w:pPr>
      <w:r w:rsidRPr="00FD4C09">
        <w:rPr>
          <w:rFonts w:ascii="Arial" w:hAnsi="Arial" w:cs="Arial"/>
          <w:sz w:val="24"/>
          <w:szCs w:val="24"/>
          <w:lang w:val="en-US"/>
        </w:rPr>
        <w:t xml:space="preserve">Prior to 2017, there was no true-up mechanism in place for the RPP portion of the monthly IESO claim. </w:t>
      </w:r>
    </w:p>
    <w:p w14:paraId="13272627" w14:textId="77777777" w:rsidR="002F703B" w:rsidRDefault="002F703B" w:rsidP="002F703B">
      <w:pPr>
        <w:numPr>
          <w:ilvl w:val="1"/>
          <w:numId w:val="5"/>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Please explain when the true-up mechanism for the RPP portion of the monthly IESO claim was implemented.</w:t>
      </w:r>
    </w:p>
    <w:p w14:paraId="5FEF5692" w14:textId="77777777" w:rsidR="002F703B" w:rsidRDefault="002F703B" w:rsidP="002F703B">
      <w:pPr>
        <w:spacing w:beforeLines="200" w:before="480" w:afterLines="200" w:after="480" w:line="264" w:lineRule="auto"/>
        <w:contextualSpacing/>
        <w:jc w:val="both"/>
        <w:rPr>
          <w:rFonts w:ascii="Arial" w:hAnsi="Arial" w:cs="Arial"/>
          <w:sz w:val="24"/>
          <w:szCs w:val="24"/>
          <w:lang w:val="en-US"/>
        </w:rPr>
      </w:pPr>
    </w:p>
    <w:p w14:paraId="7BD905EA" w14:textId="77777777" w:rsidR="002F703B" w:rsidRDefault="002F703B" w:rsidP="002F703B">
      <w:pPr>
        <w:numPr>
          <w:ilvl w:val="1"/>
          <w:numId w:val="5"/>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Synergy North stated the GA portion of the RPP settlement claim was performed correctly. Please confirm that there were different processes in determining the RPP consumption for the GA portion and the RPP-HOEP portion of the claim. In particular, the consumption related to the GA portion of the claim was based on calendar </w:t>
      </w:r>
      <w:proofErr w:type="gramStart"/>
      <w:r w:rsidRPr="00D045A1">
        <w:rPr>
          <w:rFonts w:ascii="Arial" w:hAnsi="Arial" w:cs="Arial"/>
          <w:sz w:val="24"/>
          <w:szCs w:val="24"/>
          <w:lang w:val="en-US"/>
        </w:rPr>
        <w:t>month</w:t>
      </w:r>
      <w:proofErr w:type="gramEnd"/>
      <w:r w:rsidRPr="00D045A1">
        <w:rPr>
          <w:rFonts w:ascii="Arial" w:hAnsi="Arial" w:cs="Arial"/>
          <w:sz w:val="24"/>
          <w:szCs w:val="24"/>
          <w:lang w:val="en-US"/>
        </w:rPr>
        <w:t xml:space="preserve"> but the consumption related to the RPP-HOEP portion of the claim was based on billed consumption for the month. </w:t>
      </w:r>
    </w:p>
    <w:p w14:paraId="4FC4CAE8" w14:textId="77777777" w:rsidR="002F703B" w:rsidRDefault="002F703B" w:rsidP="002F703B">
      <w:pPr>
        <w:spacing w:beforeLines="200" w:before="480" w:afterLines="200" w:after="480" w:line="264" w:lineRule="auto"/>
        <w:contextualSpacing/>
        <w:jc w:val="both"/>
        <w:rPr>
          <w:rFonts w:ascii="Arial" w:hAnsi="Arial" w:cs="Arial"/>
          <w:sz w:val="24"/>
          <w:szCs w:val="24"/>
          <w:lang w:val="en-US"/>
        </w:rPr>
      </w:pPr>
    </w:p>
    <w:p w14:paraId="4BA90B82" w14:textId="77777777" w:rsidR="002F703B" w:rsidRDefault="002F703B" w:rsidP="002F703B">
      <w:pPr>
        <w:spacing w:beforeLines="200" w:before="480" w:afterLines="200" w:after="480" w:line="264" w:lineRule="auto"/>
        <w:contextualSpacing/>
        <w:jc w:val="both"/>
        <w:rPr>
          <w:rFonts w:ascii="Arial" w:hAnsi="Arial" w:cs="Arial"/>
          <w:sz w:val="24"/>
          <w:szCs w:val="24"/>
          <w:lang w:val="en-US"/>
        </w:rPr>
      </w:pPr>
    </w:p>
    <w:p w14:paraId="2F2B6347" w14:textId="77777777" w:rsidR="002F703B" w:rsidRDefault="002F703B" w:rsidP="002F703B">
      <w:pPr>
        <w:numPr>
          <w:ilvl w:val="0"/>
          <w:numId w:val="5"/>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An adjustment for 2017 of $105,089 was identified. Please provide the analysis performed and any summary reports available. </w:t>
      </w:r>
    </w:p>
    <w:p w14:paraId="2E8C6799" w14:textId="77777777" w:rsidR="002F703B" w:rsidRDefault="002F703B" w:rsidP="002F703B">
      <w:pPr>
        <w:spacing w:beforeLines="200" w:before="480" w:afterLines="200" w:after="480" w:line="264" w:lineRule="auto"/>
        <w:contextualSpacing/>
        <w:jc w:val="both"/>
        <w:rPr>
          <w:rFonts w:ascii="Arial" w:hAnsi="Arial" w:cs="Arial"/>
          <w:sz w:val="24"/>
          <w:szCs w:val="24"/>
          <w:lang w:val="en-US"/>
        </w:rPr>
      </w:pPr>
    </w:p>
    <w:p w14:paraId="5B6F1306" w14:textId="77777777" w:rsidR="002F703B" w:rsidRDefault="002F703B" w:rsidP="002F703B">
      <w:pPr>
        <w:numPr>
          <w:ilvl w:val="0"/>
          <w:numId w:val="5"/>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It states that the adjustment amount was settled with the IESO and recorded in the GL in 2018. If the adjustment is related to unbilled consumption, please explain why this isn’t just a timing cut-off issue that would be captured in the next RPP settlement. Please explain why an actual adjustment is needed. </w:t>
      </w:r>
    </w:p>
    <w:p w14:paraId="4F39C118" w14:textId="77777777" w:rsidR="002F703B" w:rsidRDefault="002F703B" w:rsidP="002F703B">
      <w:pPr>
        <w:pStyle w:val="ListParagraph"/>
        <w:numPr>
          <w:ilvl w:val="0"/>
          <w:numId w:val="5"/>
        </w:numPr>
        <w:spacing w:beforeLines="200" w:before="480" w:afterLines="200" w:after="480" w:line="264" w:lineRule="auto"/>
        <w:jc w:val="both"/>
        <w:rPr>
          <w:rFonts w:ascii="Arial" w:hAnsi="Arial" w:cs="Arial"/>
          <w:sz w:val="24"/>
          <w:szCs w:val="24"/>
          <w:lang w:val="en-US"/>
        </w:rPr>
      </w:pPr>
      <w:r w:rsidRPr="007D12E3">
        <w:rPr>
          <w:rFonts w:ascii="Arial" w:hAnsi="Arial" w:cs="Arial"/>
          <w:sz w:val="24"/>
          <w:szCs w:val="24"/>
          <w:lang w:val="en-US"/>
        </w:rPr>
        <w:t xml:space="preserve">Please explain why there was no similar adjustment identified for 2018. </w:t>
      </w:r>
    </w:p>
    <w:p w14:paraId="37DA52C0" w14:textId="77777777" w:rsidR="002F703B" w:rsidRDefault="002F703B" w:rsidP="002F703B">
      <w:pPr>
        <w:numPr>
          <w:ilvl w:val="0"/>
          <w:numId w:val="5"/>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On page 20, it states that there were no estimations used for claims for either revenue or the cost of that commodity as this information was based on billed data. However, page 20 also states that a review of the new accounting guidance determined that RPP pricing of the RPP settlement claims required a true-up and claim from the IESO for 2017. These two statements appear to contradict. Please explain why the RPP pricing required true up if RPP revenues and HOEP was based on actuals billed. </w:t>
      </w:r>
    </w:p>
    <w:p w14:paraId="08414E3B" w14:textId="77777777" w:rsidR="0072613B" w:rsidRDefault="0072613B">
      <w:pPr>
        <w:spacing w:after="160" w:line="259" w:lineRule="auto"/>
        <w:rPr>
          <w:rFonts w:ascii="Arial" w:hAnsi="Arial" w:cs="Arial"/>
          <w:b/>
          <w:i/>
          <w:sz w:val="24"/>
          <w:szCs w:val="24"/>
          <w:u w:val="single"/>
        </w:rPr>
      </w:pPr>
      <w:r>
        <w:rPr>
          <w:rFonts w:ascii="Arial" w:hAnsi="Arial" w:cs="Arial"/>
          <w:b/>
          <w:i/>
          <w:sz w:val="24"/>
          <w:szCs w:val="24"/>
          <w:u w:val="single"/>
        </w:rPr>
        <w:br w:type="page"/>
      </w:r>
    </w:p>
    <w:p w14:paraId="5542EDB0" w14:textId="21C49190" w:rsidR="002F703B" w:rsidRPr="009A10CB" w:rsidRDefault="002F703B" w:rsidP="009A10CB">
      <w:pPr>
        <w:spacing w:after="0" w:line="264" w:lineRule="auto"/>
        <w:contextualSpacing/>
        <w:rPr>
          <w:rFonts w:ascii="Arial" w:hAnsi="Arial" w:cs="Arial"/>
          <w:b/>
          <w:sz w:val="24"/>
          <w:szCs w:val="24"/>
          <w:u w:val="single"/>
        </w:rPr>
      </w:pPr>
      <w:r w:rsidRPr="009A10CB">
        <w:rPr>
          <w:rFonts w:ascii="Arial" w:hAnsi="Arial" w:cs="Arial"/>
          <w:b/>
          <w:sz w:val="24"/>
          <w:szCs w:val="24"/>
          <w:u w:val="single"/>
        </w:rPr>
        <w:lastRenderedPageBreak/>
        <w:t>S</w:t>
      </w:r>
      <w:r w:rsidR="009A10CB">
        <w:rPr>
          <w:rFonts w:ascii="Arial" w:hAnsi="Arial" w:cs="Arial"/>
          <w:b/>
          <w:sz w:val="24"/>
          <w:szCs w:val="24"/>
          <w:u w:val="single"/>
        </w:rPr>
        <w:t>ynergy</w:t>
      </w:r>
      <w:r w:rsidRPr="009A10CB">
        <w:rPr>
          <w:rFonts w:ascii="Arial" w:hAnsi="Arial" w:cs="Arial"/>
          <w:b/>
          <w:sz w:val="24"/>
          <w:szCs w:val="24"/>
          <w:u w:val="single"/>
        </w:rPr>
        <w:t xml:space="preserve"> N</w:t>
      </w:r>
      <w:r w:rsidR="009A10CB">
        <w:rPr>
          <w:rFonts w:ascii="Arial" w:hAnsi="Arial" w:cs="Arial"/>
          <w:b/>
          <w:sz w:val="24"/>
          <w:szCs w:val="24"/>
          <w:u w:val="single"/>
        </w:rPr>
        <w:t>orth</w:t>
      </w:r>
      <w:r w:rsidRPr="009A10CB">
        <w:rPr>
          <w:rFonts w:ascii="Arial" w:hAnsi="Arial" w:cs="Arial"/>
          <w:b/>
          <w:sz w:val="24"/>
          <w:szCs w:val="24"/>
          <w:u w:val="single"/>
        </w:rPr>
        <w:t xml:space="preserve"> Response:</w:t>
      </w:r>
    </w:p>
    <w:p w14:paraId="03A5546E" w14:textId="77777777" w:rsidR="002F703B" w:rsidRPr="009A10CB" w:rsidRDefault="002F703B" w:rsidP="009A10CB">
      <w:pPr>
        <w:spacing w:after="0" w:line="264" w:lineRule="auto"/>
        <w:contextualSpacing/>
        <w:rPr>
          <w:rFonts w:ascii="Arial" w:hAnsi="Arial" w:cs="Arial"/>
          <w:b/>
          <w:sz w:val="24"/>
          <w:szCs w:val="24"/>
          <w:u w:val="single"/>
        </w:rPr>
      </w:pPr>
    </w:p>
    <w:p w14:paraId="78A4AB1E" w14:textId="77777777" w:rsidR="002F703B" w:rsidRPr="002F703B" w:rsidRDefault="002F703B" w:rsidP="002F703B">
      <w:pPr>
        <w:spacing w:beforeLines="200" w:before="480" w:afterLines="200" w:after="480" w:line="264" w:lineRule="auto"/>
        <w:contextualSpacing/>
        <w:jc w:val="both"/>
        <w:rPr>
          <w:rFonts w:ascii="Arial" w:hAnsi="Arial" w:cs="Arial"/>
          <w:sz w:val="24"/>
          <w:szCs w:val="24"/>
          <w:lang w:val="en-US"/>
        </w:rPr>
      </w:pPr>
      <w:r w:rsidRPr="002F703B">
        <w:rPr>
          <w:rFonts w:ascii="Arial" w:hAnsi="Arial" w:cs="Arial"/>
          <w:sz w:val="24"/>
          <w:szCs w:val="24"/>
          <w:lang w:val="en-US"/>
        </w:rPr>
        <w:t xml:space="preserve">8 </w:t>
      </w:r>
      <w:proofErr w:type="gramStart"/>
      <w:r w:rsidRPr="002F703B">
        <w:rPr>
          <w:rFonts w:ascii="Arial" w:hAnsi="Arial" w:cs="Arial"/>
          <w:sz w:val="24"/>
          <w:szCs w:val="24"/>
          <w:lang w:val="en-US"/>
        </w:rPr>
        <w:t>a)</w:t>
      </w:r>
      <w:proofErr w:type="spellStart"/>
      <w:r w:rsidRPr="002F703B">
        <w:rPr>
          <w:rFonts w:ascii="Arial" w:hAnsi="Arial" w:cs="Arial"/>
          <w:sz w:val="24"/>
          <w:szCs w:val="24"/>
          <w:lang w:val="en-US"/>
        </w:rPr>
        <w:t>i</w:t>
      </w:r>
      <w:proofErr w:type="spellEnd"/>
      <w:r w:rsidRPr="002F703B">
        <w:rPr>
          <w:rFonts w:ascii="Arial" w:hAnsi="Arial" w:cs="Arial"/>
          <w:sz w:val="24"/>
          <w:szCs w:val="24"/>
          <w:lang w:val="en-US"/>
        </w:rPr>
        <w:t>.</w:t>
      </w:r>
      <w:proofErr w:type="gramEnd"/>
      <w:r w:rsidRPr="002F703B">
        <w:rPr>
          <w:rFonts w:ascii="Arial" w:hAnsi="Arial" w:cs="Arial"/>
          <w:sz w:val="24"/>
          <w:szCs w:val="24"/>
          <w:lang w:val="en-US"/>
        </w:rPr>
        <w:t xml:space="preserve">  Beginning with the 2017 year, following the OEB’s Accounting Guidance, Kenora Hydro reviewed the process for Account 1588. </w:t>
      </w:r>
    </w:p>
    <w:p w14:paraId="60458FB6" w14:textId="77777777" w:rsidR="002F703B" w:rsidRPr="002F703B" w:rsidRDefault="002F703B" w:rsidP="002F703B">
      <w:pPr>
        <w:spacing w:beforeLines="200" w:before="480" w:afterLines="200" w:after="480" w:line="264" w:lineRule="auto"/>
        <w:contextualSpacing/>
        <w:jc w:val="both"/>
        <w:rPr>
          <w:rFonts w:ascii="Arial" w:hAnsi="Arial" w:cs="Arial"/>
          <w:sz w:val="24"/>
          <w:szCs w:val="24"/>
          <w:lang w:val="en-US"/>
        </w:rPr>
      </w:pPr>
    </w:p>
    <w:p w14:paraId="67A73605" w14:textId="219885F5" w:rsidR="002F703B" w:rsidRPr="002F703B" w:rsidRDefault="002F703B" w:rsidP="002F703B">
      <w:pPr>
        <w:spacing w:beforeLines="200" w:before="480" w:afterLines="200" w:after="480" w:line="264" w:lineRule="auto"/>
        <w:contextualSpacing/>
        <w:jc w:val="both"/>
        <w:rPr>
          <w:rFonts w:ascii="Arial" w:hAnsi="Arial" w:cs="Arial"/>
          <w:sz w:val="24"/>
          <w:szCs w:val="24"/>
          <w:lang w:val="en-US"/>
        </w:rPr>
      </w:pPr>
      <w:r w:rsidRPr="002F703B">
        <w:rPr>
          <w:rFonts w:ascii="Arial" w:hAnsi="Arial" w:cs="Arial"/>
          <w:sz w:val="24"/>
          <w:szCs w:val="24"/>
          <w:lang w:val="en-US"/>
        </w:rPr>
        <w:t>The annual process for recording the RPP-HOEP portion of the monthly IESO claim into the correct year end (referred to as a true-up</w:t>
      </w:r>
      <w:r w:rsidR="00E914A3">
        <w:rPr>
          <w:rFonts w:ascii="Arial" w:hAnsi="Arial" w:cs="Arial"/>
          <w:sz w:val="24"/>
          <w:szCs w:val="24"/>
          <w:lang w:val="en-US"/>
        </w:rPr>
        <w:t xml:space="preserve"> of the annual IESO claims</w:t>
      </w:r>
      <w:r w:rsidRPr="002F703B">
        <w:rPr>
          <w:rFonts w:ascii="Arial" w:hAnsi="Arial" w:cs="Arial"/>
          <w:sz w:val="24"/>
          <w:szCs w:val="24"/>
          <w:lang w:val="en-US"/>
        </w:rPr>
        <w:t xml:space="preserve">) was implemented beginning with the </w:t>
      </w:r>
      <w:proofErr w:type="gramStart"/>
      <w:r w:rsidRPr="002F703B">
        <w:rPr>
          <w:rFonts w:ascii="Arial" w:hAnsi="Arial" w:cs="Arial"/>
          <w:sz w:val="24"/>
          <w:szCs w:val="24"/>
          <w:lang w:val="en-US"/>
        </w:rPr>
        <w:t>2017 year</w:t>
      </w:r>
      <w:proofErr w:type="gramEnd"/>
      <w:r w:rsidRPr="002F703B">
        <w:rPr>
          <w:rFonts w:ascii="Arial" w:hAnsi="Arial" w:cs="Arial"/>
          <w:sz w:val="24"/>
          <w:szCs w:val="24"/>
          <w:lang w:val="en-US"/>
        </w:rPr>
        <w:t xml:space="preserve"> end.  Calculations were done and recorded in the </w:t>
      </w:r>
      <w:r w:rsidR="00330B47">
        <w:rPr>
          <w:rFonts w:ascii="Arial" w:hAnsi="Arial" w:cs="Arial"/>
          <w:sz w:val="24"/>
          <w:szCs w:val="24"/>
          <w:lang w:val="en-US"/>
        </w:rPr>
        <w:t xml:space="preserve">general ledger </w:t>
      </w:r>
      <w:r w:rsidRPr="002F703B">
        <w:rPr>
          <w:rFonts w:ascii="Arial" w:hAnsi="Arial" w:cs="Arial"/>
          <w:sz w:val="24"/>
          <w:szCs w:val="24"/>
          <w:lang w:val="en-US"/>
        </w:rPr>
        <w:t xml:space="preserve">for the 2017 and 2018 years, at the end of 2018.   </w:t>
      </w:r>
    </w:p>
    <w:p w14:paraId="14D05627" w14:textId="77777777" w:rsidR="002F703B" w:rsidRPr="002F703B" w:rsidRDefault="002F703B" w:rsidP="002F703B">
      <w:pPr>
        <w:spacing w:beforeLines="200" w:before="480" w:afterLines="200" w:after="480" w:line="264" w:lineRule="auto"/>
        <w:jc w:val="both"/>
        <w:rPr>
          <w:rFonts w:ascii="Arial" w:hAnsi="Arial" w:cs="Arial"/>
          <w:sz w:val="24"/>
          <w:szCs w:val="24"/>
          <w:lang w:val="en-US"/>
        </w:rPr>
      </w:pPr>
    </w:p>
    <w:p w14:paraId="1785E512" w14:textId="5749FB3D" w:rsidR="002F703B" w:rsidRPr="002F703B" w:rsidRDefault="002F703B" w:rsidP="002F703B">
      <w:p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8 a) ii.  The monthly processes used for calculating GA and RPP-HOEP claims with the IESO were the same, claims were both based on the same monthly billed data.  The difference in process related to the methods used for the true-up</w:t>
      </w:r>
      <w:r w:rsidR="00E914A3">
        <w:rPr>
          <w:rFonts w:ascii="Arial" w:hAnsi="Arial" w:cs="Arial"/>
          <w:sz w:val="24"/>
          <w:szCs w:val="24"/>
          <w:lang w:val="en-US"/>
        </w:rPr>
        <w:t>s</w:t>
      </w:r>
      <w:r w:rsidRPr="002F703B">
        <w:rPr>
          <w:rFonts w:ascii="Arial" w:hAnsi="Arial" w:cs="Arial"/>
          <w:sz w:val="24"/>
          <w:szCs w:val="24"/>
          <w:lang w:val="en-US"/>
        </w:rPr>
        <w:t xml:space="preserve">.   </w:t>
      </w:r>
    </w:p>
    <w:p w14:paraId="06B1A149" w14:textId="77777777" w:rsidR="002F703B" w:rsidRPr="002F703B" w:rsidRDefault="002F703B" w:rsidP="002F703B">
      <w:pPr>
        <w:pStyle w:val="ListParagraph"/>
        <w:numPr>
          <w:ilvl w:val="0"/>
          <w:numId w:val="20"/>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The GA claim was trued-up monthly, claims submitted to the IESO on a quarterly basis:</w:t>
      </w:r>
    </w:p>
    <w:p w14:paraId="67851468" w14:textId="7C5C2241" w:rsidR="002F703B" w:rsidRPr="002F703B" w:rsidRDefault="002F703B" w:rsidP="002F703B">
      <w:pPr>
        <w:pStyle w:val="ListParagraph"/>
        <w:numPr>
          <w:ilvl w:val="2"/>
          <w:numId w:val="20"/>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 xml:space="preserve">A billing query captured calendar month consumption adjusted for </w:t>
      </w:r>
      <w:r w:rsidR="00B75CBA">
        <w:rPr>
          <w:rFonts w:ascii="Arial" w:hAnsi="Arial" w:cs="Arial"/>
          <w:sz w:val="24"/>
          <w:szCs w:val="24"/>
          <w:lang w:val="en-US"/>
        </w:rPr>
        <w:t xml:space="preserve">monthly </w:t>
      </w:r>
      <w:r w:rsidRPr="002F703B">
        <w:rPr>
          <w:rFonts w:ascii="Arial" w:hAnsi="Arial" w:cs="Arial"/>
          <w:sz w:val="24"/>
          <w:szCs w:val="24"/>
          <w:lang w:val="en-US"/>
        </w:rPr>
        <w:t>unbilled impact</w:t>
      </w:r>
      <w:r w:rsidR="00B75CBA">
        <w:rPr>
          <w:rFonts w:ascii="Arial" w:hAnsi="Arial" w:cs="Arial"/>
          <w:sz w:val="24"/>
          <w:szCs w:val="24"/>
          <w:lang w:val="en-US"/>
        </w:rPr>
        <w:t>s</w:t>
      </w:r>
      <w:r w:rsidRPr="002F703B">
        <w:rPr>
          <w:rFonts w:ascii="Arial" w:hAnsi="Arial" w:cs="Arial"/>
          <w:sz w:val="24"/>
          <w:szCs w:val="24"/>
          <w:lang w:val="en-US"/>
        </w:rPr>
        <w:t xml:space="preserve">.  The difference between the original GA filing kWh based on billed consumption, and the query results for </w:t>
      </w:r>
      <w:r w:rsidR="00596CFC">
        <w:rPr>
          <w:rFonts w:ascii="Arial" w:hAnsi="Arial" w:cs="Arial"/>
          <w:sz w:val="24"/>
          <w:szCs w:val="24"/>
          <w:lang w:val="en-US"/>
        </w:rPr>
        <w:t xml:space="preserve">adjusted </w:t>
      </w:r>
      <w:r w:rsidRPr="002F703B">
        <w:rPr>
          <w:rFonts w:ascii="Arial" w:hAnsi="Arial" w:cs="Arial"/>
          <w:sz w:val="24"/>
          <w:szCs w:val="24"/>
          <w:lang w:val="en-US"/>
        </w:rPr>
        <w:t>calendar month consumption, is one component of the GA true-up.</w:t>
      </w:r>
    </w:p>
    <w:p w14:paraId="776CBE08" w14:textId="77777777" w:rsidR="002F703B" w:rsidRPr="002F703B" w:rsidRDefault="002F703B" w:rsidP="002F703B">
      <w:pPr>
        <w:pStyle w:val="ListParagraph"/>
        <w:numPr>
          <w:ilvl w:val="2"/>
          <w:numId w:val="20"/>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The differences between the estimated GA rate used in monthly filings, versus the actual GA charged to LDC for that month, is the other component to the true-up for GA.</w:t>
      </w:r>
    </w:p>
    <w:p w14:paraId="21C33A76" w14:textId="77777777" w:rsidR="002F703B" w:rsidRPr="002F703B" w:rsidRDefault="002F703B" w:rsidP="002F703B">
      <w:pPr>
        <w:pStyle w:val="ListParagraph"/>
        <w:numPr>
          <w:ilvl w:val="2"/>
          <w:numId w:val="20"/>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The resulting calculation of calendar month kWh and actual GA rate, compared to original billed kWh and estimated GA rate used for filing, was claimed/paid quarterly with the IESO.</w:t>
      </w:r>
    </w:p>
    <w:p w14:paraId="59A67697" w14:textId="77777777" w:rsidR="002F703B" w:rsidRPr="002F703B" w:rsidRDefault="002F703B" w:rsidP="002F703B">
      <w:pPr>
        <w:pStyle w:val="ListParagraph"/>
        <w:spacing w:beforeLines="200" w:before="480" w:afterLines="200" w:after="480" w:line="264" w:lineRule="auto"/>
        <w:ind w:left="1440"/>
        <w:jc w:val="both"/>
        <w:rPr>
          <w:rFonts w:ascii="Arial" w:hAnsi="Arial" w:cs="Arial"/>
          <w:sz w:val="24"/>
          <w:szCs w:val="24"/>
          <w:lang w:val="en-US"/>
        </w:rPr>
      </w:pPr>
      <w:r w:rsidRPr="002F703B">
        <w:rPr>
          <w:rFonts w:ascii="Arial" w:hAnsi="Arial" w:cs="Arial"/>
          <w:sz w:val="24"/>
          <w:szCs w:val="24"/>
          <w:lang w:val="en-US"/>
        </w:rPr>
        <w:t xml:space="preserve">  </w:t>
      </w:r>
    </w:p>
    <w:p w14:paraId="622061C2" w14:textId="5432A1FD" w:rsidR="002F703B" w:rsidRDefault="002F703B" w:rsidP="002F703B">
      <w:pPr>
        <w:pStyle w:val="ListParagraph"/>
        <w:numPr>
          <w:ilvl w:val="0"/>
          <w:numId w:val="20"/>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 xml:space="preserve">The procedure in place for Kenora Hydro’s RPP-HOEP process did not require the same true-up </w:t>
      </w:r>
      <w:r w:rsidR="00E914A3">
        <w:rPr>
          <w:rFonts w:ascii="Arial" w:hAnsi="Arial" w:cs="Arial"/>
          <w:sz w:val="24"/>
          <w:szCs w:val="24"/>
          <w:lang w:val="en-US"/>
        </w:rPr>
        <w:t xml:space="preserve">procedure </w:t>
      </w:r>
      <w:r w:rsidRPr="002F703B">
        <w:rPr>
          <w:rFonts w:ascii="Arial" w:hAnsi="Arial" w:cs="Arial"/>
          <w:sz w:val="24"/>
          <w:szCs w:val="24"/>
          <w:lang w:val="en-US"/>
        </w:rPr>
        <w:t>as the GA</w:t>
      </w:r>
      <w:r w:rsidR="00E914A3">
        <w:rPr>
          <w:rFonts w:ascii="Arial" w:hAnsi="Arial" w:cs="Arial"/>
          <w:sz w:val="24"/>
          <w:szCs w:val="24"/>
          <w:lang w:val="en-US"/>
        </w:rPr>
        <w:t xml:space="preserve">. </w:t>
      </w:r>
      <w:r w:rsidR="00330B47">
        <w:rPr>
          <w:rFonts w:ascii="Arial" w:hAnsi="Arial" w:cs="Arial"/>
          <w:sz w:val="24"/>
          <w:szCs w:val="24"/>
          <w:lang w:val="en-US"/>
        </w:rPr>
        <w:t>The RPP-HOEP procedure r</w:t>
      </w:r>
      <w:r w:rsidRPr="002F703B">
        <w:rPr>
          <w:rFonts w:ascii="Arial" w:hAnsi="Arial" w:cs="Arial"/>
          <w:sz w:val="24"/>
          <w:szCs w:val="24"/>
          <w:lang w:val="en-US"/>
        </w:rPr>
        <w:t xml:space="preserve">equired the use of unbilled </w:t>
      </w:r>
      <w:r w:rsidR="00E914A3">
        <w:rPr>
          <w:rFonts w:ascii="Arial" w:hAnsi="Arial" w:cs="Arial"/>
          <w:sz w:val="24"/>
          <w:szCs w:val="24"/>
          <w:lang w:val="en-US"/>
        </w:rPr>
        <w:t xml:space="preserve">revenue </w:t>
      </w:r>
      <w:r w:rsidRPr="002F703B">
        <w:rPr>
          <w:rFonts w:ascii="Arial" w:hAnsi="Arial" w:cs="Arial"/>
          <w:sz w:val="24"/>
          <w:szCs w:val="24"/>
          <w:lang w:val="en-US"/>
        </w:rPr>
        <w:t>data and allocati</w:t>
      </w:r>
      <w:r w:rsidR="00E914A3">
        <w:rPr>
          <w:rFonts w:ascii="Arial" w:hAnsi="Arial" w:cs="Arial"/>
          <w:sz w:val="24"/>
          <w:szCs w:val="24"/>
          <w:lang w:val="en-US"/>
        </w:rPr>
        <w:t>ng</w:t>
      </w:r>
      <w:r w:rsidRPr="002F703B">
        <w:rPr>
          <w:rFonts w:ascii="Arial" w:hAnsi="Arial" w:cs="Arial"/>
          <w:sz w:val="24"/>
          <w:szCs w:val="24"/>
          <w:lang w:val="en-US"/>
        </w:rPr>
        <w:t xml:space="preserve"> the RPP-HOEP claims into the correct year.</w:t>
      </w:r>
      <w:r w:rsidR="00330B47">
        <w:rPr>
          <w:rFonts w:ascii="Arial" w:hAnsi="Arial" w:cs="Arial"/>
          <w:sz w:val="24"/>
          <w:szCs w:val="24"/>
          <w:lang w:val="en-US"/>
        </w:rPr>
        <w:t xml:space="preserve">  This was done from actual kWh and HOEP as provided by the unbilled revenue process.</w:t>
      </w:r>
      <w:r w:rsidRPr="002F703B">
        <w:rPr>
          <w:rFonts w:ascii="Arial" w:hAnsi="Arial" w:cs="Arial"/>
          <w:sz w:val="24"/>
          <w:szCs w:val="24"/>
          <w:lang w:val="en-US"/>
        </w:rPr>
        <w:t xml:space="preserve">  </w:t>
      </w:r>
    </w:p>
    <w:p w14:paraId="29C2697A" w14:textId="52CCCAFE" w:rsidR="002F703B" w:rsidRPr="002F703B" w:rsidRDefault="002F703B" w:rsidP="002F703B">
      <w:p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 xml:space="preserve">8 </w:t>
      </w:r>
      <w:proofErr w:type="gramStart"/>
      <w:r w:rsidRPr="002F703B">
        <w:rPr>
          <w:rFonts w:ascii="Arial" w:hAnsi="Arial" w:cs="Arial"/>
          <w:sz w:val="24"/>
          <w:szCs w:val="24"/>
          <w:lang w:val="en-US"/>
        </w:rPr>
        <w:t>b)  Actual</w:t>
      </w:r>
      <w:proofErr w:type="gramEnd"/>
      <w:r w:rsidRPr="002F703B">
        <w:rPr>
          <w:rFonts w:ascii="Arial" w:hAnsi="Arial" w:cs="Arial"/>
          <w:sz w:val="24"/>
          <w:szCs w:val="24"/>
          <w:lang w:val="en-US"/>
        </w:rPr>
        <w:t xml:space="preserve"> RPP </w:t>
      </w:r>
      <w:r w:rsidR="00596CFC">
        <w:rPr>
          <w:rFonts w:ascii="Arial" w:hAnsi="Arial" w:cs="Arial"/>
          <w:sz w:val="24"/>
          <w:szCs w:val="24"/>
          <w:lang w:val="en-US"/>
        </w:rPr>
        <w:t>-</w:t>
      </w:r>
      <w:r w:rsidRPr="002F703B">
        <w:rPr>
          <w:rFonts w:ascii="Arial" w:hAnsi="Arial" w:cs="Arial"/>
          <w:sz w:val="24"/>
          <w:szCs w:val="24"/>
          <w:lang w:val="en-US"/>
        </w:rPr>
        <w:t xml:space="preserve"> HOEP for the year was determined using the following approach:</w:t>
      </w:r>
    </w:p>
    <w:p w14:paraId="375F34B5" w14:textId="2180DDC1" w:rsidR="002F703B" w:rsidRPr="002F703B" w:rsidRDefault="004D0CC2" w:rsidP="002F703B">
      <w:pPr>
        <w:pStyle w:val="ListParagraph"/>
        <w:numPr>
          <w:ilvl w:val="0"/>
          <w:numId w:val="21"/>
        </w:numPr>
        <w:spacing w:beforeLines="200" w:before="480" w:afterLines="200" w:after="480" w:line="264" w:lineRule="auto"/>
        <w:jc w:val="both"/>
        <w:rPr>
          <w:rFonts w:ascii="Arial" w:hAnsi="Arial" w:cs="Arial"/>
          <w:sz w:val="24"/>
          <w:szCs w:val="24"/>
          <w:lang w:val="en-US"/>
        </w:rPr>
      </w:pPr>
      <w:r>
        <w:rPr>
          <w:rFonts w:ascii="Arial" w:hAnsi="Arial" w:cs="Arial"/>
          <w:sz w:val="24"/>
          <w:szCs w:val="24"/>
          <w:lang w:val="en-US"/>
        </w:rPr>
        <w:t xml:space="preserve">Monthly </w:t>
      </w:r>
      <w:r w:rsidR="00596CFC">
        <w:rPr>
          <w:rFonts w:ascii="Arial" w:hAnsi="Arial" w:cs="Arial"/>
          <w:sz w:val="24"/>
          <w:szCs w:val="24"/>
          <w:lang w:val="en-US"/>
        </w:rPr>
        <w:t xml:space="preserve">IESO </w:t>
      </w:r>
      <w:r>
        <w:rPr>
          <w:rFonts w:ascii="Arial" w:hAnsi="Arial" w:cs="Arial"/>
          <w:sz w:val="24"/>
          <w:szCs w:val="24"/>
          <w:lang w:val="en-US"/>
        </w:rPr>
        <w:t xml:space="preserve">claims based on actual </w:t>
      </w:r>
      <w:r w:rsidR="00596CFC">
        <w:rPr>
          <w:rFonts w:ascii="Arial" w:hAnsi="Arial" w:cs="Arial"/>
          <w:sz w:val="24"/>
          <w:szCs w:val="24"/>
          <w:lang w:val="en-US"/>
        </w:rPr>
        <w:t xml:space="preserve">monthly billed </w:t>
      </w:r>
      <w:r>
        <w:rPr>
          <w:rFonts w:ascii="Arial" w:hAnsi="Arial" w:cs="Arial"/>
          <w:sz w:val="24"/>
          <w:szCs w:val="24"/>
          <w:lang w:val="en-US"/>
        </w:rPr>
        <w:t>RPP – HOEP.</w:t>
      </w:r>
    </w:p>
    <w:p w14:paraId="5A75D234" w14:textId="77777777" w:rsidR="002F703B" w:rsidRPr="002F703B" w:rsidRDefault="002F703B" w:rsidP="002F703B">
      <w:pPr>
        <w:pStyle w:val="ListParagraph"/>
        <w:numPr>
          <w:ilvl w:val="0"/>
          <w:numId w:val="21"/>
        </w:num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 xml:space="preserve">Unbilled RPP – HOEP are tracked in the year end unbilled revenue working paper, used to accumulate billings post year end and split the revenue to the correct year </w:t>
      </w:r>
      <w:r w:rsidRPr="002F703B">
        <w:rPr>
          <w:rFonts w:ascii="Arial" w:hAnsi="Arial" w:cs="Arial"/>
          <w:sz w:val="24"/>
          <w:szCs w:val="24"/>
          <w:lang w:val="en-US"/>
        </w:rPr>
        <w:lastRenderedPageBreak/>
        <w:t xml:space="preserve">based on meter read dates for each billing cycle.  Revenue (and HOEP associated) was allocated as a percent by days in the year, so if a cycle had one day of a </w:t>
      </w:r>
      <w:proofErr w:type="gramStart"/>
      <w:r w:rsidRPr="002F703B">
        <w:rPr>
          <w:rFonts w:ascii="Arial" w:hAnsi="Arial" w:cs="Arial"/>
          <w:sz w:val="24"/>
          <w:szCs w:val="24"/>
          <w:lang w:val="en-US"/>
        </w:rPr>
        <w:t>thirty day</w:t>
      </w:r>
      <w:proofErr w:type="gramEnd"/>
      <w:r w:rsidRPr="002F703B">
        <w:rPr>
          <w:rFonts w:ascii="Arial" w:hAnsi="Arial" w:cs="Arial"/>
          <w:sz w:val="24"/>
          <w:szCs w:val="24"/>
          <w:lang w:val="en-US"/>
        </w:rPr>
        <w:t xml:space="preserve"> read belonging to 2017, the cycle was prorated to have 1/30 of each revenue line moved to 2017.  </w:t>
      </w:r>
    </w:p>
    <w:p w14:paraId="3391E1D6" w14:textId="77777777" w:rsidR="002F703B" w:rsidRDefault="002F703B" w:rsidP="002F703B">
      <w:pPr>
        <w:spacing w:beforeLines="200" w:before="480" w:afterLines="200" w:after="480" w:line="264" w:lineRule="auto"/>
        <w:rPr>
          <w:rFonts w:ascii="Arial" w:hAnsi="Arial" w:cs="Arial"/>
          <w:i/>
          <w:sz w:val="24"/>
          <w:szCs w:val="24"/>
          <w:lang w:val="en-US"/>
        </w:rPr>
      </w:pPr>
      <w:r w:rsidRPr="004C74B7">
        <w:rPr>
          <w:noProof/>
        </w:rPr>
        <w:drawing>
          <wp:inline distT="0" distB="0" distL="0" distR="0" wp14:anchorId="7147EC13" wp14:editId="6F388DE9">
            <wp:extent cx="5943600" cy="16052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605206"/>
                    </a:xfrm>
                    <a:prstGeom prst="rect">
                      <a:avLst/>
                    </a:prstGeom>
                    <a:noFill/>
                    <a:ln>
                      <a:noFill/>
                    </a:ln>
                  </pic:spPr>
                </pic:pic>
              </a:graphicData>
            </a:graphic>
          </wp:inline>
        </w:drawing>
      </w:r>
    </w:p>
    <w:p w14:paraId="52146AD6" w14:textId="77777777" w:rsidR="002F703B" w:rsidRPr="002F703B" w:rsidRDefault="002F703B" w:rsidP="002F703B">
      <w:pPr>
        <w:spacing w:beforeLines="200" w:before="480" w:afterLines="200" w:after="480" w:line="264" w:lineRule="auto"/>
        <w:contextualSpacing/>
        <w:jc w:val="both"/>
        <w:rPr>
          <w:rFonts w:ascii="Arial" w:hAnsi="Arial" w:cs="Arial"/>
          <w:sz w:val="24"/>
          <w:szCs w:val="24"/>
          <w:lang w:val="en-US"/>
        </w:rPr>
      </w:pPr>
    </w:p>
    <w:p w14:paraId="745364D0" w14:textId="2A1C5DA4" w:rsidR="002F703B" w:rsidRPr="002F703B" w:rsidRDefault="002F703B" w:rsidP="002F703B">
      <w:pPr>
        <w:spacing w:beforeLines="200" w:before="480" w:afterLines="200" w:after="480" w:line="264" w:lineRule="auto"/>
        <w:jc w:val="both"/>
        <w:rPr>
          <w:rFonts w:ascii="Arial" w:hAnsi="Arial" w:cs="Arial"/>
          <w:sz w:val="24"/>
          <w:szCs w:val="24"/>
          <w:lang w:val="en-US"/>
        </w:rPr>
      </w:pPr>
      <w:r w:rsidRPr="002F703B">
        <w:rPr>
          <w:rFonts w:ascii="Arial" w:hAnsi="Arial" w:cs="Arial"/>
          <w:sz w:val="24"/>
          <w:szCs w:val="24"/>
          <w:lang w:val="en-US"/>
        </w:rPr>
        <w:t xml:space="preserve">8 c) The 2017 unbilled revenue adjustment for the RPP-HOEP of $105,089 was not posted in the </w:t>
      </w:r>
      <w:r w:rsidR="00330B47">
        <w:rPr>
          <w:rFonts w:ascii="Arial" w:hAnsi="Arial" w:cs="Arial"/>
          <w:sz w:val="24"/>
          <w:szCs w:val="24"/>
          <w:lang w:val="en-US"/>
        </w:rPr>
        <w:t>general ledger</w:t>
      </w:r>
      <w:r w:rsidRPr="002F703B">
        <w:rPr>
          <w:rFonts w:ascii="Arial" w:hAnsi="Arial" w:cs="Arial"/>
          <w:sz w:val="24"/>
          <w:szCs w:val="24"/>
          <w:lang w:val="en-US"/>
        </w:rPr>
        <w:t xml:space="preserve"> to a balance sheet account to recover from the IESO, it erroneously flowed through the income statement and to Account 1588. </w:t>
      </w:r>
    </w:p>
    <w:p w14:paraId="3E4F6DEF" w14:textId="3B504E1D" w:rsidR="002F703B" w:rsidRPr="002F703B" w:rsidRDefault="002F703B" w:rsidP="002F703B">
      <w:pPr>
        <w:spacing w:beforeLines="200" w:before="480" w:afterLines="200" w:after="480" w:line="264" w:lineRule="auto"/>
        <w:contextualSpacing/>
        <w:jc w:val="both"/>
        <w:rPr>
          <w:rFonts w:ascii="Arial" w:hAnsi="Arial" w:cs="Arial"/>
          <w:sz w:val="24"/>
          <w:szCs w:val="24"/>
        </w:rPr>
      </w:pPr>
      <w:r w:rsidRPr="002F703B">
        <w:rPr>
          <w:rFonts w:ascii="Arial" w:hAnsi="Arial" w:cs="Arial"/>
          <w:sz w:val="24"/>
          <w:szCs w:val="24"/>
          <w:lang w:val="en-US"/>
        </w:rPr>
        <w:t xml:space="preserve">The </w:t>
      </w:r>
      <w:r w:rsidR="00330B47">
        <w:rPr>
          <w:rFonts w:ascii="Arial" w:hAnsi="Arial" w:cs="Arial"/>
          <w:sz w:val="24"/>
          <w:szCs w:val="24"/>
          <w:lang w:val="en-US"/>
        </w:rPr>
        <w:t xml:space="preserve">total payable </w:t>
      </w:r>
      <w:r w:rsidRPr="002F703B">
        <w:rPr>
          <w:rFonts w:ascii="Arial" w:hAnsi="Arial" w:cs="Arial"/>
          <w:sz w:val="24"/>
          <w:szCs w:val="24"/>
          <w:lang w:val="en-US"/>
        </w:rPr>
        <w:t>to the IESO for the</w:t>
      </w:r>
      <w:r w:rsidR="00764C6A">
        <w:rPr>
          <w:rFonts w:ascii="Arial" w:hAnsi="Arial" w:cs="Arial"/>
          <w:sz w:val="24"/>
          <w:szCs w:val="24"/>
          <w:lang w:val="en-US"/>
        </w:rPr>
        <w:t xml:space="preserve"> calendar</w:t>
      </w:r>
      <w:r w:rsidRPr="002F703B">
        <w:rPr>
          <w:rFonts w:ascii="Arial" w:hAnsi="Arial" w:cs="Arial"/>
          <w:sz w:val="24"/>
          <w:szCs w:val="24"/>
          <w:lang w:val="en-US"/>
        </w:rPr>
        <w:t xml:space="preserve"> year 2017 should have been $4,769,579, while actuals paid to the IESO were $4,874,668. There would have been an excess Debit of $105,089 posted to account 1588 in the </w:t>
      </w:r>
      <w:r w:rsidR="00330B47">
        <w:rPr>
          <w:rFonts w:ascii="Arial" w:hAnsi="Arial" w:cs="Arial"/>
          <w:sz w:val="24"/>
          <w:szCs w:val="24"/>
          <w:lang w:val="en-US"/>
        </w:rPr>
        <w:t>general ledger</w:t>
      </w:r>
      <w:r w:rsidRPr="002F703B">
        <w:rPr>
          <w:rFonts w:ascii="Arial" w:hAnsi="Arial" w:cs="Arial"/>
          <w:sz w:val="24"/>
          <w:szCs w:val="24"/>
          <w:lang w:val="en-US"/>
        </w:rPr>
        <w:t xml:space="preserve">, representing the receivable from the IESO.  If a correcting entry is not done in the </w:t>
      </w:r>
      <w:r w:rsidR="00330B47">
        <w:rPr>
          <w:rFonts w:ascii="Arial" w:hAnsi="Arial" w:cs="Arial"/>
          <w:sz w:val="24"/>
          <w:szCs w:val="24"/>
          <w:lang w:val="en-US"/>
        </w:rPr>
        <w:t>general ledger</w:t>
      </w:r>
      <w:r w:rsidRPr="002F703B">
        <w:rPr>
          <w:rFonts w:ascii="Arial" w:hAnsi="Arial" w:cs="Arial"/>
          <w:sz w:val="24"/>
          <w:szCs w:val="24"/>
          <w:lang w:val="en-US"/>
        </w:rPr>
        <w:t>, the amount would remain embedded in account 1588, and will never be claimed as a</w:t>
      </w:r>
      <w:r w:rsidR="00330B47">
        <w:rPr>
          <w:rFonts w:ascii="Arial" w:hAnsi="Arial" w:cs="Arial"/>
          <w:sz w:val="24"/>
          <w:szCs w:val="24"/>
          <w:lang w:val="en-US"/>
        </w:rPr>
        <w:t xml:space="preserve"> receivable</w:t>
      </w:r>
      <w:r w:rsidRPr="002F703B">
        <w:rPr>
          <w:rFonts w:ascii="Arial" w:hAnsi="Arial" w:cs="Arial"/>
          <w:sz w:val="24"/>
          <w:szCs w:val="24"/>
          <w:lang w:val="en-US"/>
        </w:rPr>
        <w:t xml:space="preserve"> from the IESO.  </w:t>
      </w:r>
    </w:p>
    <w:p w14:paraId="083932BC" w14:textId="77777777" w:rsidR="002F703B" w:rsidRPr="002F703B" w:rsidRDefault="002F703B" w:rsidP="002F703B">
      <w:pPr>
        <w:spacing w:beforeLines="200" w:before="480" w:afterLines="200" w:after="480" w:line="264" w:lineRule="auto"/>
        <w:contextualSpacing/>
        <w:jc w:val="both"/>
        <w:rPr>
          <w:rFonts w:ascii="Arial" w:hAnsi="Arial" w:cs="Arial"/>
          <w:sz w:val="24"/>
          <w:szCs w:val="24"/>
          <w:lang w:val="en-US"/>
        </w:rPr>
      </w:pPr>
    </w:p>
    <w:p w14:paraId="418FD118" w14:textId="3972865F" w:rsidR="002F703B" w:rsidRPr="002F703B" w:rsidRDefault="002F703B" w:rsidP="002F703B">
      <w:pPr>
        <w:spacing w:beforeLines="200" w:before="480" w:afterLines="200" w:after="480" w:line="264" w:lineRule="auto"/>
        <w:jc w:val="both"/>
        <w:rPr>
          <w:rFonts w:ascii="Arial" w:hAnsi="Arial" w:cs="Arial"/>
          <w:sz w:val="24"/>
          <w:szCs w:val="24"/>
        </w:rPr>
      </w:pPr>
      <w:r w:rsidRPr="002F703B">
        <w:rPr>
          <w:rFonts w:ascii="Arial" w:hAnsi="Arial" w:cs="Arial"/>
          <w:sz w:val="24"/>
          <w:szCs w:val="24"/>
        </w:rPr>
        <w:t>8 d</w:t>
      </w:r>
      <w:proofErr w:type="gramStart"/>
      <w:r w:rsidRPr="002F703B">
        <w:rPr>
          <w:rFonts w:ascii="Arial" w:hAnsi="Arial" w:cs="Arial"/>
          <w:sz w:val="24"/>
          <w:szCs w:val="24"/>
        </w:rPr>
        <w:t>)  There</w:t>
      </w:r>
      <w:proofErr w:type="gramEnd"/>
      <w:r w:rsidRPr="002F703B">
        <w:rPr>
          <w:rFonts w:ascii="Arial" w:hAnsi="Arial" w:cs="Arial"/>
          <w:sz w:val="24"/>
          <w:szCs w:val="24"/>
        </w:rPr>
        <w:t xml:space="preserve"> is no adjustment specifically noted for 2018 as the required reallocation</w:t>
      </w:r>
      <w:r w:rsidR="005652D6">
        <w:rPr>
          <w:rFonts w:ascii="Arial" w:hAnsi="Arial" w:cs="Arial"/>
          <w:sz w:val="24"/>
          <w:szCs w:val="24"/>
        </w:rPr>
        <w:t xml:space="preserve"> of claim into the correct year</w:t>
      </w:r>
      <w:r w:rsidRPr="002F703B">
        <w:rPr>
          <w:rFonts w:ascii="Arial" w:hAnsi="Arial" w:cs="Arial"/>
          <w:sz w:val="24"/>
          <w:szCs w:val="24"/>
        </w:rPr>
        <w:t xml:space="preserve"> for RPP – HOEP </w:t>
      </w:r>
      <w:r w:rsidR="005652D6">
        <w:rPr>
          <w:rFonts w:ascii="Arial" w:hAnsi="Arial" w:cs="Arial"/>
          <w:sz w:val="24"/>
          <w:szCs w:val="24"/>
        </w:rPr>
        <w:t>(</w:t>
      </w:r>
      <w:r w:rsidRPr="002F703B">
        <w:rPr>
          <w:rFonts w:ascii="Arial" w:hAnsi="Arial" w:cs="Arial"/>
          <w:sz w:val="24"/>
          <w:szCs w:val="24"/>
        </w:rPr>
        <w:t>as a result of the unbilled revenue calculation</w:t>
      </w:r>
      <w:r w:rsidR="005652D6">
        <w:rPr>
          <w:rFonts w:ascii="Arial" w:hAnsi="Arial" w:cs="Arial"/>
          <w:sz w:val="24"/>
          <w:szCs w:val="24"/>
        </w:rPr>
        <w:t>)</w:t>
      </w:r>
      <w:r w:rsidRPr="002F703B">
        <w:rPr>
          <w:rFonts w:ascii="Arial" w:hAnsi="Arial" w:cs="Arial"/>
          <w:sz w:val="24"/>
          <w:szCs w:val="24"/>
        </w:rPr>
        <w:t xml:space="preserve"> was correctly recorded in the Due to/from IESO </w:t>
      </w:r>
      <w:r w:rsidR="00141669">
        <w:rPr>
          <w:rFonts w:ascii="Arial" w:hAnsi="Arial" w:cs="Arial"/>
          <w:sz w:val="24"/>
          <w:szCs w:val="24"/>
        </w:rPr>
        <w:t>B</w:t>
      </w:r>
      <w:r w:rsidRPr="002F703B">
        <w:rPr>
          <w:rFonts w:ascii="Arial" w:hAnsi="Arial" w:cs="Arial"/>
          <w:sz w:val="24"/>
          <w:szCs w:val="24"/>
        </w:rPr>
        <w:t xml:space="preserve">alance </w:t>
      </w:r>
      <w:r w:rsidR="00141669">
        <w:rPr>
          <w:rFonts w:ascii="Arial" w:hAnsi="Arial" w:cs="Arial"/>
          <w:sz w:val="24"/>
          <w:szCs w:val="24"/>
        </w:rPr>
        <w:t>S</w:t>
      </w:r>
      <w:r w:rsidRPr="002F703B">
        <w:rPr>
          <w:rFonts w:ascii="Arial" w:hAnsi="Arial" w:cs="Arial"/>
          <w:sz w:val="24"/>
          <w:szCs w:val="24"/>
        </w:rPr>
        <w:t xml:space="preserve">heet account.  It was not erroneously posted to Account 1588 as it was in 2017. </w:t>
      </w:r>
    </w:p>
    <w:p w14:paraId="7DAD87BA" w14:textId="78B655B4" w:rsidR="002F703B" w:rsidRPr="002F703B" w:rsidRDefault="0060627D" w:rsidP="002F703B">
      <w:pPr>
        <w:spacing w:beforeLines="200" w:before="480" w:afterLines="200" w:after="480" w:line="264" w:lineRule="auto"/>
        <w:jc w:val="both"/>
        <w:rPr>
          <w:rFonts w:ascii="Arial" w:hAnsi="Arial" w:cs="Arial"/>
          <w:sz w:val="24"/>
          <w:szCs w:val="24"/>
          <w:lang w:val="en-US"/>
        </w:rPr>
      </w:pPr>
      <w:r>
        <w:rPr>
          <w:rFonts w:ascii="Arial" w:hAnsi="Arial" w:cs="Arial"/>
          <w:sz w:val="24"/>
          <w:szCs w:val="24"/>
          <w:lang w:val="en-US"/>
        </w:rPr>
        <w:t>8</w:t>
      </w:r>
      <w:r w:rsidR="002F703B" w:rsidRPr="002F703B">
        <w:rPr>
          <w:rFonts w:ascii="Arial" w:hAnsi="Arial" w:cs="Arial"/>
          <w:sz w:val="24"/>
          <w:szCs w:val="24"/>
          <w:lang w:val="en-US"/>
        </w:rPr>
        <w:t xml:space="preserve"> </w:t>
      </w:r>
      <w:proofErr w:type="gramStart"/>
      <w:r w:rsidR="002F703B" w:rsidRPr="002F703B">
        <w:rPr>
          <w:rFonts w:ascii="Arial" w:hAnsi="Arial" w:cs="Arial"/>
          <w:sz w:val="24"/>
          <w:szCs w:val="24"/>
          <w:lang w:val="en-US"/>
        </w:rPr>
        <w:t>e)  The</w:t>
      </w:r>
      <w:proofErr w:type="gramEnd"/>
      <w:r w:rsidR="002F703B" w:rsidRPr="002F703B">
        <w:rPr>
          <w:rFonts w:ascii="Arial" w:hAnsi="Arial" w:cs="Arial"/>
          <w:sz w:val="24"/>
          <w:szCs w:val="24"/>
          <w:lang w:val="en-US"/>
        </w:rPr>
        <w:t xml:space="preserve"> statement on Page 20 is </w:t>
      </w:r>
      <w:r w:rsidR="00764C6A">
        <w:rPr>
          <w:rFonts w:ascii="Arial" w:hAnsi="Arial" w:cs="Arial"/>
          <w:sz w:val="24"/>
          <w:szCs w:val="24"/>
          <w:lang w:val="en-US"/>
        </w:rPr>
        <w:t>correct</w:t>
      </w:r>
      <w:r w:rsidR="002F703B" w:rsidRPr="002F703B">
        <w:rPr>
          <w:rFonts w:ascii="Arial" w:hAnsi="Arial" w:cs="Arial"/>
          <w:sz w:val="24"/>
          <w:szCs w:val="24"/>
          <w:lang w:val="en-US"/>
        </w:rPr>
        <w:t xml:space="preserve">, there were no estimations for the RPP kWh or HOEP performed in the monthly claims to the IESO for RPP-HOEP, as they were filed using actual billed data. </w:t>
      </w:r>
    </w:p>
    <w:p w14:paraId="053CE42F" w14:textId="77777777" w:rsidR="002F703B" w:rsidRPr="00FD4C09" w:rsidRDefault="002F703B" w:rsidP="00FD4C09">
      <w:pPr>
        <w:pStyle w:val="ListParagraph"/>
        <w:numPr>
          <w:ilvl w:val="0"/>
          <w:numId w:val="23"/>
        </w:numPr>
        <w:spacing w:beforeLines="200" w:before="480" w:afterLines="200" w:after="480" w:line="264" w:lineRule="auto"/>
        <w:jc w:val="both"/>
        <w:rPr>
          <w:rFonts w:ascii="Arial" w:hAnsi="Arial" w:cs="Arial"/>
          <w:sz w:val="24"/>
          <w:szCs w:val="24"/>
          <w:lang w:val="en-US"/>
        </w:rPr>
      </w:pPr>
      <w:r w:rsidRPr="00FD4C09">
        <w:rPr>
          <w:rFonts w:ascii="Arial" w:hAnsi="Arial" w:cs="Arial"/>
          <w:sz w:val="24"/>
          <w:szCs w:val="24"/>
          <w:lang w:val="en-US"/>
        </w:rPr>
        <w:t xml:space="preserve">Actual billed revenue minus actual billed HOEP was claimed each month based on the revenue reports.   </w:t>
      </w:r>
    </w:p>
    <w:p w14:paraId="49663239" w14:textId="66E01F40" w:rsidR="00F013CC" w:rsidRPr="004D0CC2" w:rsidRDefault="004D0CC2" w:rsidP="004D0CC2">
      <w:pPr>
        <w:pStyle w:val="ListParagraph"/>
        <w:numPr>
          <w:ilvl w:val="0"/>
          <w:numId w:val="23"/>
        </w:numPr>
        <w:spacing w:beforeLines="200" w:before="480" w:afterLines="200" w:after="480" w:line="259" w:lineRule="auto"/>
        <w:jc w:val="both"/>
        <w:rPr>
          <w:rFonts w:ascii="Arial" w:hAnsi="Arial" w:cs="Arial"/>
          <w:b/>
          <w:sz w:val="24"/>
          <w:szCs w:val="24"/>
          <w:lang w:val="en-US"/>
        </w:rPr>
      </w:pPr>
      <w:proofErr w:type="spellStart"/>
      <w:r>
        <w:rPr>
          <w:rFonts w:ascii="Arial" w:hAnsi="Arial" w:cs="Arial"/>
          <w:sz w:val="24"/>
          <w:szCs w:val="24"/>
          <w:lang w:val="en-US"/>
        </w:rPr>
        <w:t>Year end</w:t>
      </w:r>
      <w:proofErr w:type="spellEnd"/>
      <w:r w:rsidR="002F703B" w:rsidRPr="004D0CC2">
        <w:rPr>
          <w:rFonts w:ascii="Arial" w:hAnsi="Arial" w:cs="Arial"/>
          <w:sz w:val="24"/>
          <w:szCs w:val="24"/>
          <w:lang w:val="en-US"/>
        </w:rPr>
        <w:t xml:space="preserve"> entries </w:t>
      </w:r>
      <w:r>
        <w:rPr>
          <w:rFonts w:ascii="Arial" w:hAnsi="Arial" w:cs="Arial"/>
          <w:sz w:val="24"/>
          <w:szCs w:val="24"/>
          <w:lang w:val="en-US"/>
        </w:rPr>
        <w:t xml:space="preserve">to </w:t>
      </w:r>
      <w:r w:rsidRPr="004D0CC2">
        <w:rPr>
          <w:rFonts w:ascii="Arial" w:hAnsi="Arial" w:cs="Arial"/>
          <w:sz w:val="24"/>
          <w:szCs w:val="24"/>
          <w:lang w:val="en-US"/>
        </w:rPr>
        <w:t xml:space="preserve">adjust </w:t>
      </w:r>
      <w:r w:rsidR="002F703B" w:rsidRPr="004D0CC2">
        <w:rPr>
          <w:rFonts w:ascii="Arial" w:hAnsi="Arial" w:cs="Arial"/>
          <w:sz w:val="24"/>
          <w:szCs w:val="24"/>
          <w:lang w:val="en-US"/>
        </w:rPr>
        <w:t xml:space="preserve">for unbilled </w:t>
      </w:r>
      <w:r w:rsidRPr="004D0CC2">
        <w:rPr>
          <w:rFonts w:ascii="Arial" w:hAnsi="Arial" w:cs="Arial"/>
          <w:sz w:val="24"/>
          <w:szCs w:val="24"/>
          <w:lang w:val="en-US"/>
        </w:rPr>
        <w:t>impact</w:t>
      </w:r>
      <w:r>
        <w:rPr>
          <w:rFonts w:ascii="Arial" w:hAnsi="Arial" w:cs="Arial"/>
          <w:sz w:val="24"/>
          <w:szCs w:val="24"/>
          <w:lang w:val="en-US"/>
        </w:rPr>
        <w:t>s</w:t>
      </w:r>
      <w:r w:rsidRPr="004D0CC2">
        <w:rPr>
          <w:rFonts w:ascii="Arial" w:hAnsi="Arial" w:cs="Arial"/>
          <w:sz w:val="24"/>
          <w:szCs w:val="24"/>
          <w:lang w:val="en-US"/>
        </w:rPr>
        <w:t xml:space="preserve"> on the </w:t>
      </w:r>
      <w:r w:rsidR="002F703B" w:rsidRPr="004D0CC2">
        <w:rPr>
          <w:rFonts w:ascii="Arial" w:hAnsi="Arial" w:cs="Arial"/>
          <w:sz w:val="24"/>
          <w:szCs w:val="24"/>
          <w:lang w:val="en-US"/>
        </w:rPr>
        <w:t>RPP-HOEP</w:t>
      </w:r>
      <w:r>
        <w:rPr>
          <w:rFonts w:ascii="Arial" w:hAnsi="Arial" w:cs="Arial"/>
          <w:sz w:val="24"/>
          <w:szCs w:val="24"/>
          <w:lang w:val="en-US"/>
        </w:rPr>
        <w:t xml:space="preserve"> were calculated using actual billing data</w:t>
      </w:r>
      <w:r w:rsidRPr="004D0CC2">
        <w:rPr>
          <w:rFonts w:ascii="Arial" w:hAnsi="Arial" w:cs="Arial"/>
          <w:sz w:val="24"/>
          <w:szCs w:val="24"/>
          <w:lang w:val="en-US"/>
        </w:rPr>
        <w:t>.</w:t>
      </w:r>
      <w:r>
        <w:rPr>
          <w:rFonts w:ascii="Arial" w:hAnsi="Arial" w:cs="Arial"/>
          <w:sz w:val="24"/>
          <w:szCs w:val="24"/>
          <w:lang w:val="en-US"/>
        </w:rPr>
        <w:t xml:space="preserve">    </w:t>
      </w:r>
      <w:r w:rsidRPr="004D0CC2">
        <w:rPr>
          <w:rFonts w:ascii="Arial" w:hAnsi="Arial" w:cs="Arial"/>
          <w:sz w:val="24"/>
          <w:szCs w:val="24"/>
          <w:lang w:val="en-US"/>
        </w:rPr>
        <w:t xml:space="preserve">  </w:t>
      </w:r>
      <w:r w:rsidR="00F013CC" w:rsidRPr="004D0CC2">
        <w:rPr>
          <w:rFonts w:ascii="Arial" w:hAnsi="Arial" w:cs="Arial"/>
          <w:b/>
          <w:sz w:val="24"/>
          <w:szCs w:val="24"/>
          <w:lang w:val="en-US"/>
        </w:rPr>
        <w:br w:type="page"/>
      </w:r>
    </w:p>
    <w:p w14:paraId="3D966953" w14:textId="15466A3C"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- 9</w:t>
      </w:r>
    </w:p>
    <w:p w14:paraId="4E537476" w14:textId="77777777" w:rsidR="00D045A1" w:rsidRP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Manager’s Summary, page 24</w:t>
      </w:r>
    </w:p>
    <w:p w14:paraId="72A7AE80"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GA Analysis Workform, Appendix A</w:t>
      </w:r>
    </w:p>
    <w:p w14:paraId="25DE6A53"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60A1B583" w14:textId="77777777" w:rsid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Regarding RPP settlement true ups</w:t>
      </w:r>
    </w:p>
    <w:p w14:paraId="36BD47BE" w14:textId="77777777" w:rsidR="008135B3" w:rsidRPr="00D045A1" w:rsidRDefault="008135B3" w:rsidP="00D045A1">
      <w:pPr>
        <w:spacing w:beforeLines="200" w:before="480" w:afterLines="200" w:after="480" w:line="264" w:lineRule="auto"/>
        <w:contextualSpacing/>
        <w:rPr>
          <w:rFonts w:ascii="Arial" w:hAnsi="Arial" w:cs="Arial"/>
          <w:sz w:val="24"/>
          <w:szCs w:val="24"/>
          <w:lang w:val="en-US"/>
        </w:rPr>
      </w:pPr>
    </w:p>
    <w:p w14:paraId="1676261C" w14:textId="77777777" w:rsidR="00D045A1" w:rsidRPr="00D045A1" w:rsidRDefault="00D045A1" w:rsidP="00D045A1">
      <w:pPr>
        <w:numPr>
          <w:ilvl w:val="0"/>
          <w:numId w:val="2"/>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There seems to be inconsistencies in what the RPP kWh is trued up to:</w:t>
      </w:r>
    </w:p>
    <w:p w14:paraId="4DA0AABB"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p>
    <w:p w14:paraId="27C2A85E" w14:textId="37CAD4E1" w:rsidR="00D045A1" w:rsidRDefault="00D045A1" w:rsidP="00D045A1">
      <w:pPr>
        <w:numPr>
          <w:ilvl w:val="1"/>
          <w:numId w:val="8"/>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Page 24 under “Process for providing consumption estimates to IESO” seems to indicate that Synergy North changed its process for determining RPP-HOEP portion of the RPP settlement claim from being based on billed consumption to that described on page 24 (total kWh sold for the month – Non-RPP kWh for the month). </w:t>
      </w:r>
    </w:p>
    <w:p w14:paraId="7B558790" w14:textId="29667201" w:rsidR="00054897" w:rsidRPr="00D045A1" w:rsidRDefault="00054897" w:rsidP="00054897">
      <w:pPr>
        <w:spacing w:beforeLines="200" w:before="480" w:afterLines="200" w:after="480" w:line="264" w:lineRule="auto"/>
        <w:ind w:left="720"/>
        <w:contextualSpacing/>
        <w:rPr>
          <w:rFonts w:ascii="Arial" w:hAnsi="Arial" w:cs="Arial"/>
          <w:sz w:val="24"/>
          <w:szCs w:val="24"/>
          <w:lang w:val="en-US"/>
        </w:rPr>
      </w:pPr>
    </w:p>
    <w:p w14:paraId="71C1EF38" w14:textId="591BCE9F" w:rsidR="00D045A1" w:rsidRDefault="00D045A1" w:rsidP="00D045A1">
      <w:pPr>
        <w:numPr>
          <w:ilvl w:val="1"/>
          <w:numId w:val="8"/>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Page 24 under “Process for providing consumption estimates to IESO” states that the true-up process uses the monthly non-RPP billed consumption with losses, as reported in the GA Analysis </w:t>
      </w:r>
      <w:proofErr w:type="spellStart"/>
      <w:r w:rsidRPr="00D045A1">
        <w:rPr>
          <w:rFonts w:ascii="Arial" w:hAnsi="Arial" w:cs="Arial"/>
          <w:sz w:val="24"/>
          <w:szCs w:val="24"/>
          <w:lang w:val="en-US"/>
        </w:rPr>
        <w:t>Workform</w:t>
      </w:r>
      <w:proofErr w:type="spellEnd"/>
      <w:r w:rsidRPr="00D045A1">
        <w:rPr>
          <w:rFonts w:ascii="Arial" w:hAnsi="Arial" w:cs="Arial"/>
          <w:sz w:val="24"/>
          <w:szCs w:val="24"/>
          <w:lang w:val="en-US"/>
        </w:rPr>
        <w:t xml:space="preserve">. </w:t>
      </w:r>
    </w:p>
    <w:p w14:paraId="1AD29583" w14:textId="77777777" w:rsidR="00E7166C" w:rsidRPr="00D045A1" w:rsidRDefault="00E7166C" w:rsidP="00E7166C">
      <w:pPr>
        <w:spacing w:beforeLines="200" w:before="480" w:afterLines="200" w:after="480" w:line="264" w:lineRule="auto"/>
        <w:contextualSpacing/>
        <w:rPr>
          <w:rFonts w:ascii="Arial" w:hAnsi="Arial" w:cs="Arial"/>
          <w:sz w:val="24"/>
          <w:szCs w:val="24"/>
          <w:lang w:val="en-US"/>
        </w:rPr>
      </w:pPr>
    </w:p>
    <w:p w14:paraId="380325B7" w14:textId="77777777" w:rsidR="00D045A1" w:rsidRDefault="00D045A1" w:rsidP="00D045A1">
      <w:pPr>
        <w:numPr>
          <w:ilvl w:val="1"/>
          <w:numId w:val="8"/>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The GA Analysis Workform, Appendix A #2, indicates that the RPP settlement is trued up to the billed amount of RPP kWh and TOU and tiered pricing amounts, with the corresponding weighted average HOEP.</w:t>
      </w:r>
    </w:p>
    <w:p w14:paraId="6BCAA662" w14:textId="77777777" w:rsidR="008135B3" w:rsidRPr="00D045A1" w:rsidRDefault="008135B3" w:rsidP="008135B3">
      <w:pPr>
        <w:spacing w:beforeLines="200" w:before="480" w:afterLines="200" w:after="480" w:line="264" w:lineRule="auto"/>
        <w:ind w:left="1440"/>
        <w:contextualSpacing/>
        <w:rPr>
          <w:rFonts w:ascii="Arial" w:hAnsi="Arial" w:cs="Arial"/>
          <w:sz w:val="24"/>
          <w:szCs w:val="24"/>
          <w:lang w:val="en-US"/>
        </w:rPr>
      </w:pPr>
    </w:p>
    <w:p w14:paraId="585DF3B0" w14:textId="7EA7842F" w:rsid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Please clarify what RPP consumption is being trued up to. If it is not billed RPP kWh for the month plus unbilled RPP kWh for the remainder of the month to derive total calendar month RPP consumption, please explain why calendar month consumption is not used. </w:t>
      </w:r>
    </w:p>
    <w:p w14:paraId="7B86F6F5" w14:textId="77777777" w:rsidR="00F024F8" w:rsidRPr="00D045A1" w:rsidRDefault="00F024F8" w:rsidP="00D045A1">
      <w:pPr>
        <w:spacing w:beforeLines="200" w:before="480" w:afterLines="200" w:after="480" w:line="264" w:lineRule="auto"/>
        <w:contextualSpacing/>
        <w:rPr>
          <w:rFonts w:ascii="Arial" w:hAnsi="Arial" w:cs="Arial"/>
          <w:sz w:val="24"/>
          <w:szCs w:val="24"/>
          <w:lang w:val="en-US"/>
        </w:rPr>
      </w:pPr>
    </w:p>
    <w:p w14:paraId="275A8AF8" w14:textId="77777777" w:rsidR="00D045A1" w:rsidRPr="00D045A1" w:rsidRDefault="00D045A1" w:rsidP="00D045A1">
      <w:pPr>
        <w:numPr>
          <w:ilvl w:val="0"/>
          <w:numId w:val="2"/>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If there was a process change in determining RPP consumption as per ai above, please explain when this change was implemented.</w:t>
      </w:r>
    </w:p>
    <w:p w14:paraId="57921260" w14:textId="6C424E27" w:rsidR="00D045A1" w:rsidRPr="00D045A1" w:rsidRDefault="00D045A1" w:rsidP="00D045A1">
      <w:pPr>
        <w:numPr>
          <w:ilvl w:val="0"/>
          <w:numId w:val="2"/>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If </w:t>
      </w:r>
      <w:proofErr w:type="gramStart"/>
      <w:r w:rsidRPr="00D045A1">
        <w:rPr>
          <w:rFonts w:ascii="Arial" w:hAnsi="Arial" w:cs="Arial"/>
          <w:sz w:val="24"/>
          <w:szCs w:val="24"/>
          <w:lang w:val="en-US"/>
        </w:rPr>
        <w:t>a</w:t>
      </w:r>
      <w:proofErr w:type="gramEnd"/>
      <w:r w:rsidR="00301DBA">
        <w:rPr>
          <w:rFonts w:ascii="Arial" w:hAnsi="Arial" w:cs="Arial"/>
          <w:sz w:val="24"/>
          <w:szCs w:val="24"/>
          <w:lang w:val="en-US"/>
        </w:rPr>
        <w:t xml:space="preserve"> </w:t>
      </w:r>
      <w:r w:rsidRPr="00D045A1">
        <w:rPr>
          <w:rFonts w:ascii="Arial" w:hAnsi="Arial" w:cs="Arial"/>
          <w:sz w:val="24"/>
          <w:szCs w:val="24"/>
          <w:lang w:val="en-US"/>
        </w:rPr>
        <w:t>ii above is accurate, please explain why non-RPP consumption is used in the RPP settlement true-up.</w:t>
      </w:r>
    </w:p>
    <w:p w14:paraId="19D7D541" w14:textId="77777777" w:rsidR="00D045A1" w:rsidRDefault="00D045A1" w:rsidP="00D045A1">
      <w:pPr>
        <w:spacing w:beforeLines="200" w:before="480" w:afterLines="200" w:after="480" w:line="264" w:lineRule="auto"/>
        <w:contextualSpacing/>
        <w:rPr>
          <w:rFonts w:ascii="Arial" w:hAnsi="Arial" w:cs="Arial"/>
          <w:sz w:val="24"/>
          <w:szCs w:val="24"/>
          <w:lang w:val="en-US"/>
        </w:rPr>
      </w:pPr>
    </w:p>
    <w:p w14:paraId="3A8401B6" w14:textId="77777777" w:rsidR="00BA4BD3" w:rsidRDefault="00BA4BD3" w:rsidP="002C1E87">
      <w:pPr>
        <w:spacing w:after="0" w:line="264" w:lineRule="auto"/>
        <w:contextualSpacing/>
        <w:rPr>
          <w:rFonts w:ascii="Arial" w:hAnsi="Arial" w:cs="Arial"/>
          <w:b/>
          <w:sz w:val="24"/>
          <w:szCs w:val="24"/>
          <w:u w:val="single"/>
        </w:rPr>
      </w:pPr>
    </w:p>
    <w:p w14:paraId="081CD311" w14:textId="1783E8BB"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54D9EC58" w14:textId="77777777" w:rsidR="002C1E87" w:rsidRPr="005F28F7" w:rsidRDefault="002C1E87" w:rsidP="002C1E87">
      <w:pPr>
        <w:spacing w:after="0" w:line="264" w:lineRule="auto"/>
        <w:contextualSpacing/>
        <w:rPr>
          <w:rFonts w:ascii="Arial" w:hAnsi="Arial" w:cs="Arial"/>
          <w:sz w:val="24"/>
          <w:szCs w:val="24"/>
        </w:rPr>
      </w:pPr>
    </w:p>
    <w:p w14:paraId="474CDC83" w14:textId="403449ED" w:rsidR="002C1E87" w:rsidRDefault="002C1E87" w:rsidP="00BA4BD3">
      <w:pPr>
        <w:pStyle w:val="ListParagraph"/>
        <w:numPr>
          <w:ilvl w:val="0"/>
          <w:numId w:val="13"/>
        </w:numPr>
        <w:spacing w:after="0" w:line="264" w:lineRule="auto"/>
        <w:rPr>
          <w:rFonts w:ascii="Arial" w:hAnsi="Arial" w:cs="Arial"/>
          <w:sz w:val="24"/>
          <w:szCs w:val="24"/>
        </w:rPr>
      </w:pPr>
      <w:r w:rsidRPr="00BA4BD3">
        <w:rPr>
          <w:rFonts w:ascii="Arial" w:hAnsi="Arial" w:cs="Arial"/>
          <w:sz w:val="24"/>
          <w:szCs w:val="24"/>
        </w:rPr>
        <w:t xml:space="preserve">Synergy North </w:t>
      </w:r>
      <w:r w:rsidR="00054897">
        <w:rPr>
          <w:rFonts w:ascii="Arial" w:hAnsi="Arial" w:cs="Arial"/>
          <w:sz w:val="24"/>
          <w:szCs w:val="24"/>
        </w:rPr>
        <w:t xml:space="preserve">RPP consumption is being trued up to calendar month RPP consumption. </w:t>
      </w:r>
      <w:r w:rsidR="00F024F8">
        <w:rPr>
          <w:rFonts w:ascii="Arial" w:hAnsi="Arial" w:cs="Arial"/>
          <w:sz w:val="24"/>
          <w:szCs w:val="24"/>
        </w:rPr>
        <w:t xml:space="preserve"> </w:t>
      </w:r>
      <w:r w:rsidR="00E7166C">
        <w:rPr>
          <w:rFonts w:ascii="Arial" w:hAnsi="Arial" w:cs="Arial"/>
          <w:sz w:val="24"/>
          <w:szCs w:val="24"/>
        </w:rPr>
        <w:t>There are no inconsistencies or changes in the 3 references quoted above</w:t>
      </w:r>
      <w:r w:rsidR="00301DBA">
        <w:rPr>
          <w:rFonts w:ascii="Arial" w:hAnsi="Arial" w:cs="Arial"/>
          <w:sz w:val="24"/>
          <w:szCs w:val="24"/>
        </w:rPr>
        <w:t>.</w:t>
      </w:r>
      <w:r w:rsidR="00E7166C">
        <w:rPr>
          <w:rFonts w:ascii="Arial" w:hAnsi="Arial" w:cs="Arial"/>
          <w:sz w:val="24"/>
          <w:szCs w:val="24"/>
        </w:rPr>
        <w:t xml:space="preserve"> </w:t>
      </w:r>
    </w:p>
    <w:p w14:paraId="7D864F7D" w14:textId="503EDA4A" w:rsidR="00BA4BD3" w:rsidRDefault="00BA4BD3" w:rsidP="00BA4BD3">
      <w:pPr>
        <w:spacing w:after="0" w:line="264" w:lineRule="auto"/>
        <w:rPr>
          <w:rFonts w:ascii="Arial" w:hAnsi="Arial" w:cs="Arial"/>
          <w:sz w:val="24"/>
          <w:szCs w:val="24"/>
        </w:rPr>
      </w:pPr>
    </w:p>
    <w:p w14:paraId="164928F2" w14:textId="71133FFD" w:rsidR="00BA4BD3" w:rsidRDefault="00BA4BD3" w:rsidP="00BA4BD3">
      <w:pPr>
        <w:pStyle w:val="ListParagraph"/>
        <w:numPr>
          <w:ilvl w:val="0"/>
          <w:numId w:val="13"/>
        </w:numPr>
        <w:spacing w:after="0" w:line="264" w:lineRule="auto"/>
        <w:rPr>
          <w:rFonts w:ascii="Arial" w:hAnsi="Arial" w:cs="Arial"/>
          <w:sz w:val="24"/>
          <w:szCs w:val="24"/>
        </w:rPr>
      </w:pPr>
      <w:r>
        <w:rPr>
          <w:rFonts w:ascii="Arial" w:hAnsi="Arial" w:cs="Arial"/>
          <w:sz w:val="24"/>
          <w:szCs w:val="24"/>
        </w:rPr>
        <w:t>Synergy North confirms that there has not been a process change in determining RPP Consumption.</w:t>
      </w:r>
    </w:p>
    <w:p w14:paraId="06DAE6AB" w14:textId="77777777" w:rsidR="00BA4BD3" w:rsidRPr="00BA4BD3" w:rsidRDefault="00BA4BD3" w:rsidP="00BA4BD3">
      <w:pPr>
        <w:pStyle w:val="ListParagraph"/>
        <w:rPr>
          <w:rFonts w:ascii="Arial" w:hAnsi="Arial" w:cs="Arial"/>
          <w:sz w:val="24"/>
          <w:szCs w:val="24"/>
        </w:rPr>
      </w:pPr>
    </w:p>
    <w:p w14:paraId="7E526E0C" w14:textId="626BD974" w:rsidR="006A6550" w:rsidRDefault="00497A2A" w:rsidP="00BA4BD3">
      <w:pPr>
        <w:pStyle w:val="ListParagraph"/>
        <w:numPr>
          <w:ilvl w:val="0"/>
          <w:numId w:val="13"/>
        </w:numPr>
        <w:spacing w:after="0" w:line="264" w:lineRule="auto"/>
        <w:rPr>
          <w:rFonts w:ascii="Arial" w:hAnsi="Arial" w:cs="Arial"/>
          <w:sz w:val="24"/>
          <w:szCs w:val="24"/>
        </w:rPr>
      </w:pPr>
      <w:r>
        <w:rPr>
          <w:rFonts w:ascii="Arial" w:hAnsi="Arial" w:cs="Arial"/>
          <w:sz w:val="24"/>
          <w:szCs w:val="24"/>
        </w:rPr>
        <w:lastRenderedPageBreak/>
        <w:t xml:space="preserve">Synergy North </w:t>
      </w:r>
      <w:r w:rsidR="005B324A">
        <w:rPr>
          <w:rFonts w:ascii="Arial" w:hAnsi="Arial" w:cs="Arial"/>
          <w:sz w:val="24"/>
          <w:szCs w:val="24"/>
        </w:rPr>
        <w:t>directs</w:t>
      </w:r>
      <w:r>
        <w:rPr>
          <w:rFonts w:ascii="Arial" w:hAnsi="Arial" w:cs="Arial"/>
          <w:sz w:val="24"/>
          <w:szCs w:val="24"/>
        </w:rPr>
        <w:t xml:space="preserve"> </w:t>
      </w:r>
      <w:r w:rsidR="009A10CB">
        <w:rPr>
          <w:rFonts w:ascii="Arial" w:hAnsi="Arial" w:cs="Arial"/>
          <w:sz w:val="24"/>
          <w:szCs w:val="24"/>
        </w:rPr>
        <w:t>B</w:t>
      </w:r>
      <w:r>
        <w:rPr>
          <w:rFonts w:ascii="Arial" w:hAnsi="Arial" w:cs="Arial"/>
          <w:sz w:val="24"/>
          <w:szCs w:val="24"/>
        </w:rPr>
        <w:t xml:space="preserve">oard </w:t>
      </w:r>
      <w:r w:rsidR="009A10CB">
        <w:rPr>
          <w:rFonts w:ascii="Arial" w:hAnsi="Arial" w:cs="Arial"/>
          <w:sz w:val="24"/>
          <w:szCs w:val="24"/>
        </w:rPr>
        <w:t>S</w:t>
      </w:r>
      <w:r>
        <w:rPr>
          <w:rFonts w:ascii="Arial" w:hAnsi="Arial" w:cs="Arial"/>
          <w:sz w:val="24"/>
          <w:szCs w:val="24"/>
        </w:rPr>
        <w:t xml:space="preserve">taff to the paragraph </w:t>
      </w:r>
      <w:r w:rsidR="00F166BD">
        <w:rPr>
          <w:rFonts w:ascii="Arial" w:hAnsi="Arial" w:cs="Arial"/>
          <w:sz w:val="24"/>
          <w:szCs w:val="24"/>
        </w:rPr>
        <w:t xml:space="preserve">on page </w:t>
      </w:r>
      <w:proofErr w:type="gramStart"/>
      <w:r w:rsidR="00F166BD">
        <w:rPr>
          <w:rFonts w:ascii="Arial" w:hAnsi="Arial" w:cs="Arial"/>
          <w:sz w:val="24"/>
          <w:szCs w:val="24"/>
        </w:rPr>
        <w:t xml:space="preserve">24, </w:t>
      </w:r>
      <w:r>
        <w:rPr>
          <w:rFonts w:ascii="Arial" w:hAnsi="Arial" w:cs="Arial"/>
          <w:sz w:val="24"/>
          <w:szCs w:val="24"/>
        </w:rPr>
        <w:t xml:space="preserve"> which</w:t>
      </w:r>
      <w:proofErr w:type="gramEnd"/>
      <w:r>
        <w:rPr>
          <w:rFonts w:ascii="Arial" w:hAnsi="Arial" w:cs="Arial"/>
          <w:sz w:val="24"/>
          <w:szCs w:val="24"/>
        </w:rPr>
        <w:t xml:space="preserve"> is “Describe the True-Up process to reconcile estimates of RPP and Non-RPP consumption, once actuals are known”.   </w:t>
      </w:r>
    </w:p>
    <w:p w14:paraId="3B54C2B6" w14:textId="77777777" w:rsidR="006A6550" w:rsidRPr="006A6550" w:rsidRDefault="006A6550" w:rsidP="006A6550">
      <w:pPr>
        <w:pStyle w:val="ListParagraph"/>
        <w:rPr>
          <w:rFonts w:ascii="Arial" w:hAnsi="Arial" w:cs="Arial"/>
          <w:sz w:val="24"/>
          <w:szCs w:val="24"/>
        </w:rPr>
      </w:pPr>
    </w:p>
    <w:p w14:paraId="69BB8A67" w14:textId="160E5774" w:rsidR="00301DBA" w:rsidRDefault="00497A2A" w:rsidP="006A6550">
      <w:pPr>
        <w:pStyle w:val="ListParagraph"/>
        <w:spacing w:after="0" w:line="264" w:lineRule="auto"/>
        <w:rPr>
          <w:rFonts w:ascii="Arial" w:hAnsi="Arial" w:cs="Arial"/>
          <w:sz w:val="24"/>
          <w:szCs w:val="24"/>
        </w:rPr>
      </w:pPr>
      <w:r>
        <w:rPr>
          <w:rFonts w:ascii="Arial" w:hAnsi="Arial" w:cs="Arial"/>
          <w:sz w:val="24"/>
          <w:szCs w:val="24"/>
        </w:rPr>
        <w:t>The formula</w:t>
      </w:r>
      <w:r w:rsidR="00301DBA">
        <w:rPr>
          <w:rFonts w:ascii="Arial" w:hAnsi="Arial" w:cs="Arial"/>
          <w:sz w:val="24"/>
          <w:szCs w:val="24"/>
        </w:rPr>
        <w:t xml:space="preserve"> and relationship for </w:t>
      </w:r>
      <w:r w:rsidR="00CF1E2A">
        <w:rPr>
          <w:rFonts w:ascii="Arial" w:hAnsi="Arial" w:cs="Arial"/>
          <w:sz w:val="24"/>
          <w:szCs w:val="24"/>
        </w:rPr>
        <w:t xml:space="preserve">the RPP-HOEP </w:t>
      </w:r>
      <w:r w:rsidR="00301DBA">
        <w:rPr>
          <w:rFonts w:ascii="Arial" w:hAnsi="Arial" w:cs="Arial"/>
          <w:sz w:val="24"/>
          <w:szCs w:val="24"/>
        </w:rPr>
        <w:t>true up</w:t>
      </w:r>
      <w:r>
        <w:rPr>
          <w:rFonts w:ascii="Arial" w:hAnsi="Arial" w:cs="Arial"/>
          <w:sz w:val="24"/>
          <w:szCs w:val="24"/>
        </w:rPr>
        <w:t xml:space="preserve"> </w:t>
      </w:r>
      <w:r w:rsidR="00301DBA">
        <w:rPr>
          <w:rFonts w:ascii="Arial" w:hAnsi="Arial" w:cs="Arial"/>
          <w:sz w:val="24"/>
          <w:szCs w:val="24"/>
        </w:rPr>
        <w:t>is</w:t>
      </w:r>
      <w:r>
        <w:rPr>
          <w:rFonts w:ascii="Arial" w:hAnsi="Arial" w:cs="Arial"/>
          <w:sz w:val="24"/>
          <w:szCs w:val="24"/>
        </w:rPr>
        <w:t xml:space="preserve"> summarized as</w:t>
      </w:r>
      <w:r w:rsidR="00301DBA">
        <w:rPr>
          <w:rFonts w:ascii="Arial" w:hAnsi="Arial" w:cs="Arial"/>
          <w:sz w:val="24"/>
          <w:szCs w:val="24"/>
        </w:rPr>
        <w:t>:</w:t>
      </w:r>
      <w:r>
        <w:rPr>
          <w:rFonts w:ascii="Arial" w:hAnsi="Arial" w:cs="Arial"/>
          <w:sz w:val="24"/>
          <w:szCs w:val="24"/>
        </w:rPr>
        <w:t xml:space="preserve"> </w:t>
      </w:r>
    </w:p>
    <w:p w14:paraId="0A8AB8A9" w14:textId="6F443BF8" w:rsidR="00BA4BD3" w:rsidRPr="00BA4BD3" w:rsidRDefault="00497A2A" w:rsidP="006A6550">
      <w:pPr>
        <w:pStyle w:val="ListParagraph"/>
        <w:spacing w:after="0" w:line="264" w:lineRule="auto"/>
        <w:rPr>
          <w:rFonts w:ascii="Arial" w:hAnsi="Arial" w:cs="Arial"/>
          <w:sz w:val="24"/>
          <w:szCs w:val="24"/>
        </w:rPr>
      </w:pPr>
      <w:r>
        <w:rPr>
          <w:rFonts w:ascii="Arial" w:hAnsi="Arial" w:cs="Arial"/>
          <w:sz w:val="24"/>
          <w:szCs w:val="24"/>
        </w:rPr>
        <w:t xml:space="preserve">Total kWh Purchased Monthly </w:t>
      </w:r>
      <w:r w:rsidR="00301DBA">
        <w:rPr>
          <w:rFonts w:ascii="Arial" w:hAnsi="Arial" w:cs="Arial"/>
          <w:sz w:val="24"/>
          <w:szCs w:val="24"/>
        </w:rPr>
        <w:t>(</w:t>
      </w:r>
      <w:proofErr w:type="gramStart"/>
      <w:r>
        <w:rPr>
          <w:rFonts w:ascii="Arial" w:hAnsi="Arial" w:cs="Arial"/>
          <w:sz w:val="24"/>
          <w:szCs w:val="24"/>
        </w:rPr>
        <w:t>=</w:t>
      </w:r>
      <w:r w:rsidR="00301DBA">
        <w:rPr>
          <w:rFonts w:ascii="Arial" w:hAnsi="Arial" w:cs="Arial"/>
          <w:sz w:val="24"/>
          <w:szCs w:val="24"/>
        </w:rPr>
        <w:t>)</w:t>
      </w:r>
      <w:r>
        <w:rPr>
          <w:rFonts w:ascii="Arial" w:hAnsi="Arial" w:cs="Arial"/>
          <w:sz w:val="24"/>
          <w:szCs w:val="24"/>
        </w:rPr>
        <w:t xml:space="preserve">  RPP</w:t>
      </w:r>
      <w:proofErr w:type="gramEnd"/>
      <w:r>
        <w:rPr>
          <w:rFonts w:ascii="Arial" w:hAnsi="Arial" w:cs="Arial"/>
          <w:sz w:val="24"/>
          <w:szCs w:val="24"/>
        </w:rPr>
        <w:t xml:space="preserve"> Consumption </w:t>
      </w:r>
      <w:r w:rsidR="00301DBA">
        <w:rPr>
          <w:rFonts w:ascii="Arial" w:hAnsi="Arial" w:cs="Arial"/>
          <w:sz w:val="24"/>
          <w:szCs w:val="24"/>
        </w:rPr>
        <w:t>(</w:t>
      </w:r>
      <w:r>
        <w:rPr>
          <w:rFonts w:ascii="Arial" w:hAnsi="Arial" w:cs="Arial"/>
          <w:sz w:val="24"/>
          <w:szCs w:val="24"/>
        </w:rPr>
        <w:t>+</w:t>
      </w:r>
      <w:r w:rsidR="00301DBA">
        <w:rPr>
          <w:rFonts w:ascii="Arial" w:hAnsi="Arial" w:cs="Arial"/>
          <w:sz w:val="24"/>
          <w:szCs w:val="24"/>
        </w:rPr>
        <w:t>)</w:t>
      </w:r>
      <w:r>
        <w:rPr>
          <w:rFonts w:ascii="Arial" w:hAnsi="Arial" w:cs="Arial"/>
          <w:sz w:val="24"/>
          <w:szCs w:val="24"/>
        </w:rPr>
        <w:t xml:space="preserve"> Non RPP Consumption</w:t>
      </w:r>
      <w:r w:rsidR="00F166BD">
        <w:rPr>
          <w:rFonts w:ascii="Arial" w:hAnsi="Arial" w:cs="Arial"/>
          <w:sz w:val="24"/>
          <w:szCs w:val="24"/>
        </w:rPr>
        <w:t xml:space="preserve">.  RPP consumption is derived from removing the Non-RPP consumption from the total kWh purchased.  </w:t>
      </w:r>
    </w:p>
    <w:p w14:paraId="4C0025E9" w14:textId="77777777" w:rsidR="005B324A" w:rsidRDefault="005B324A" w:rsidP="002C1E87">
      <w:pPr>
        <w:spacing w:after="160" w:line="259"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p w14:paraId="5D299F9D" w14:textId="77777777" w:rsidR="00402500" w:rsidRDefault="00402500" w:rsidP="00D045A1">
      <w:pPr>
        <w:spacing w:beforeLines="200" w:before="480" w:afterLines="200" w:after="480" w:line="264" w:lineRule="auto"/>
        <w:contextualSpacing/>
        <w:rPr>
          <w:rFonts w:ascii="Arial" w:hAnsi="Arial" w:cs="Arial"/>
          <w:b/>
          <w:sz w:val="24"/>
          <w:szCs w:val="24"/>
        </w:rPr>
      </w:pPr>
    </w:p>
    <w:p w14:paraId="62848E34" w14:textId="77777777" w:rsidR="00402500" w:rsidRDefault="00402500">
      <w:pPr>
        <w:spacing w:after="160" w:line="259" w:lineRule="auto"/>
        <w:rPr>
          <w:rFonts w:ascii="Arial" w:hAnsi="Arial" w:cs="Arial"/>
          <w:b/>
          <w:sz w:val="24"/>
          <w:szCs w:val="24"/>
        </w:rPr>
      </w:pPr>
      <w:r>
        <w:rPr>
          <w:rFonts w:ascii="Arial" w:hAnsi="Arial" w:cs="Arial"/>
          <w:b/>
          <w:sz w:val="24"/>
          <w:szCs w:val="24"/>
        </w:rPr>
        <w:br w:type="page"/>
      </w:r>
    </w:p>
    <w:p w14:paraId="24EE0446" w14:textId="20DD3D4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 xml:space="preserve">Staff Question - 10 </w:t>
      </w:r>
    </w:p>
    <w:p w14:paraId="5A26BE14" w14:textId="77777777" w:rsidR="00D045A1" w:rsidRP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 xml:space="preserve">Ref: Manager’s Summary, page 25 </w:t>
      </w:r>
    </w:p>
    <w:p w14:paraId="1B56FE81"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GA Workform Appendix A</w:t>
      </w:r>
    </w:p>
    <w:p w14:paraId="736E4A4A"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6924F842" w14:textId="77777777" w:rsid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Regarding the new accounting guidance,</w:t>
      </w:r>
    </w:p>
    <w:p w14:paraId="4A54F416" w14:textId="77777777" w:rsidR="008135B3" w:rsidRPr="00D045A1" w:rsidRDefault="008135B3" w:rsidP="00D045A1">
      <w:pPr>
        <w:spacing w:beforeLines="200" w:before="480" w:afterLines="200" w:after="480" w:line="264" w:lineRule="auto"/>
        <w:contextualSpacing/>
        <w:rPr>
          <w:rFonts w:ascii="Arial" w:hAnsi="Arial" w:cs="Arial"/>
          <w:sz w:val="24"/>
          <w:szCs w:val="24"/>
          <w:lang w:val="en-US"/>
        </w:rPr>
      </w:pPr>
    </w:p>
    <w:p w14:paraId="36E5C005" w14:textId="55033397" w:rsidR="00E7166C" w:rsidRPr="00E7166C" w:rsidRDefault="00D045A1" w:rsidP="00E7166C">
      <w:pPr>
        <w:numPr>
          <w:ilvl w:val="0"/>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Please confirm that Synergy North implemented the new accounting guidance by August 31, 2019.</w:t>
      </w:r>
    </w:p>
    <w:p w14:paraId="7759D6CC" w14:textId="77777777" w:rsidR="00D045A1" w:rsidRPr="00D045A1" w:rsidRDefault="00D045A1" w:rsidP="00D045A1">
      <w:pPr>
        <w:numPr>
          <w:ilvl w:val="0"/>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Please confirm that Synergy North implemented the new accounting guidance retroactive to January 1, 2019.</w:t>
      </w:r>
    </w:p>
    <w:p w14:paraId="4C924299" w14:textId="77777777" w:rsidR="00D045A1" w:rsidRPr="00D045A1" w:rsidRDefault="00D045A1" w:rsidP="00D045A1">
      <w:pPr>
        <w:numPr>
          <w:ilvl w:val="0"/>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It states that Synergy North confirms it has been following the guidance and truing up its settlement claims on a quarterly basis. The new accounting guidance trues up RPP settlements on a monthly basis. Please explain why Synergy North is not performing monthly true ups. Please explain whether Synergy North plans to implement monthly true ups.</w:t>
      </w:r>
    </w:p>
    <w:p w14:paraId="2211D667" w14:textId="42A62ACA" w:rsidR="00D045A1" w:rsidRPr="00D045A1" w:rsidRDefault="00D045A1" w:rsidP="00D045A1">
      <w:pPr>
        <w:numPr>
          <w:ilvl w:val="0"/>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Distributors are expected to consider the accounting guidance in the context of their historical balances that were approved on an interim basis. A review was done for the </w:t>
      </w:r>
      <w:r w:rsidRPr="00402500">
        <w:rPr>
          <w:rFonts w:ascii="Arial" w:hAnsi="Arial" w:cs="Arial"/>
          <w:sz w:val="24"/>
          <w:szCs w:val="24"/>
          <w:lang w:val="en-US"/>
        </w:rPr>
        <w:t xml:space="preserve">Kenora </w:t>
      </w:r>
      <w:r w:rsidR="007C612A">
        <w:rPr>
          <w:rFonts w:ascii="Arial" w:hAnsi="Arial" w:cs="Arial"/>
          <w:sz w:val="24"/>
          <w:szCs w:val="24"/>
          <w:lang w:val="en-US"/>
        </w:rPr>
        <w:t>Rate Zone</w:t>
      </w:r>
      <w:r w:rsidRPr="00D045A1">
        <w:rPr>
          <w:rFonts w:ascii="Arial" w:hAnsi="Arial" w:cs="Arial"/>
          <w:sz w:val="24"/>
          <w:szCs w:val="24"/>
          <w:lang w:val="en-US"/>
        </w:rPr>
        <w:t xml:space="preserve">. Please explain whether this review has been completed for the </w:t>
      </w:r>
      <w:r w:rsidRPr="00402500">
        <w:rPr>
          <w:rFonts w:ascii="Arial" w:hAnsi="Arial" w:cs="Arial"/>
          <w:sz w:val="24"/>
          <w:szCs w:val="24"/>
          <w:lang w:val="en-US"/>
        </w:rPr>
        <w:t xml:space="preserve">Thunder Bay </w:t>
      </w:r>
      <w:r w:rsidR="007C612A">
        <w:rPr>
          <w:rFonts w:ascii="Arial" w:hAnsi="Arial" w:cs="Arial"/>
          <w:sz w:val="24"/>
          <w:szCs w:val="24"/>
          <w:lang w:val="en-US"/>
        </w:rPr>
        <w:t>Rate Zone</w:t>
      </w:r>
      <w:r w:rsidRPr="00D045A1">
        <w:rPr>
          <w:rFonts w:ascii="Arial" w:hAnsi="Arial" w:cs="Arial"/>
          <w:sz w:val="24"/>
          <w:szCs w:val="24"/>
          <w:lang w:val="en-US"/>
        </w:rPr>
        <w:t xml:space="preserve"> for the 2017 balance approved on an interim basis and the 2018 balance requested for disposition in this application. </w:t>
      </w:r>
    </w:p>
    <w:p w14:paraId="215AF9B2" w14:textId="77777777" w:rsidR="00D045A1" w:rsidRPr="00D045A1" w:rsidRDefault="00D045A1" w:rsidP="00D045A1">
      <w:pPr>
        <w:numPr>
          <w:ilvl w:val="1"/>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If yes, please discuss the results of the review. </w:t>
      </w:r>
    </w:p>
    <w:p w14:paraId="3A29F80F" w14:textId="77777777" w:rsidR="000C7F8E" w:rsidRPr="00D045A1" w:rsidRDefault="00D045A1" w:rsidP="00D045A1">
      <w:pPr>
        <w:numPr>
          <w:ilvl w:val="1"/>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If no, please explain when the review will be completed.</w:t>
      </w:r>
    </w:p>
    <w:p w14:paraId="771E1B7B" w14:textId="3709626F" w:rsidR="000C7F8E" w:rsidRPr="00D045A1" w:rsidRDefault="00D045A1" w:rsidP="00D045A1">
      <w:pPr>
        <w:numPr>
          <w:ilvl w:val="1"/>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If the review has been completed, please indicate whether there were systemic issues related to the Thunder Bay </w:t>
      </w:r>
      <w:r w:rsidR="007C612A">
        <w:rPr>
          <w:rFonts w:ascii="Arial" w:hAnsi="Arial" w:cs="Arial"/>
          <w:sz w:val="24"/>
          <w:szCs w:val="24"/>
          <w:lang w:val="en-US"/>
        </w:rPr>
        <w:t>Rate Zone</w:t>
      </w:r>
      <w:r w:rsidRPr="00D045A1">
        <w:rPr>
          <w:rFonts w:ascii="Arial" w:hAnsi="Arial" w:cs="Arial"/>
          <w:sz w:val="24"/>
          <w:szCs w:val="24"/>
          <w:lang w:val="en-US"/>
        </w:rPr>
        <w:t xml:space="preserve">’s RPP settlement and related accounting processes. </w:t>
      </w:r>
    </w:p>
    <w:p w14:paraId="59113B30" w14:textId="77777777" w:rsidR="00D045A1" w:rsidRPr="00D045A1" w:rsidRDefault="00D045A1" w:rsidP="00D045A1">
      <w:pPr>
        <w:numPr>
          <w:ilvl w:val="1"/>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Please also discuss and quantify any adjustments required.</w:t>
      </w:r>
    </w:p>
    <w:p w14:paraId="051883DF" w14:textId="77777777" w:rsidR="00D045A1" w:rsidRPr="00D045A1" w:rsidRDefault="00D045A1" w:rsidP="00D045A1">
      <w:pPr>
        <w:numPr>
          <w:ilvl w:val="0"/>
          <w:numId w:val="3"/>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In the GA Analysis Workform Appendix A #1, Synergy North used approach B for all years where variances are proposed for disposition. Please confirm that Synergy North now uses approach A, in accordance with the new accounting guidance. If not, please explain why Synergy North does not use approach A and explain whether Synergy North plans to revise its approach to A.</w:t>
      </w:r>
    </w:p>
    <w:p w14:paraId="1887B6EA" w14:textId="77777777" w:rsidR="00D045A1" w:rsidRDefault="00D045A1" w:rsidP="00D045A1">
      <w:pPr>
        <w:spacing w:beforeLines="200" w:before="480" w:afterLines="200" w:after="480" w:line="264" w:lineRule="auto"/>
        <w:contextualSpacing/>
        <w:rPr>
          <w:rFonts w:ascii="Arial" w:hAnsi="Arial" w:cs="Arial"/>
          <w:sz w:val="24"/>
          <w:szCs w:val="24"/>
          <w:lang w:val="en-US"/>
        </w:rPr>
      </w:pPr>
    </w:p>
    <w:p w14:paraId="2980EBA0"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51DC30F1" w14:textId="77777777" w:rsidR="002C1E87" w:rsidRPr="005F28F7" w:rsidRDefault="002C1E87" w:rsidP="002C1E87">
      <w:pPr>
        <w:spacing w:after="0" w:line="264" w:lineRule="auto"/>
        <w:contextualSpacing/>
        <w:rPr>
          <w:rFonts w:ascii="Arial" w:hAnsi="Arial" w:cs="Arial"/>
          <w:sz w:val="24"/>
          <w:szCs w:val="24"/>
        </w:rPr>
      </w:pPr>
    </w:p>
    <w:p w14:paraId="17CA1304" w14:textId="180E1572" w:rsidR="00D5419A" w:rsidRDefault="00D5419A" w:rsidP="00D5419A">
      <w:pPr>
        <w:pStyle w:val="ListParagraph"/>
        <w:numPr>
          <w:ilvl w:val="0"/>
          <w:numId w:val="12"/>
        </w:numPr>
        <w:spacing w:after="0" w:line="264" w:lineRule="auto"/>
        <w:rPr>
          <w:rFonts w:ascii="Arial" w:hAnsi="Arial" w:cs="Arial"/>
          <w:sz w:val="24"/>
          <w:szCs w:val="24"/>
        </w:rPr>
      </w:pPr>
      <w:r>
        <w:rPr>
          <w:rFonts w:ascii="Arial" w:hAnsi="Arial" w:cs="Arial"/>
          <w:sz w:val="24"/>
          <w:szCs w:val="24"/>
        </w:rPr>
        <w:t>Synergy North confirm</w:t>
      </w:r>
      <w:r w:rsidR="00E7166C">
        <w:rPr>
          <w:rFonts w:ascii="Arial" w:hAnsi="Arial" w:cs="Arial"/>
          <w:sz w:val="24"/>
          <w:szCs w:val="24"/>
        </w:rPr>
        <w:t>s</w:t>
      </w:r>
      <w:r>
        <w:rPr>
          <w:rFonts w:ascii="Arial" w:hAnsi="Arial" w:cs="Arial"/>
          <w:sz w:val="24"/>
          <w:szCs w:val="24"/>
        </w:rPr>
        <w:t xml:space="preserve"> it ha</w:t>
      </w:r>
      <w:r w:rsidR="00E7166C">
        <w:rPr>
          <w:rFonts w:ascii="Arial" w:hAnsi="Arial" w:cs="Arial"/>
          <w:sz w:val="24"/>
          <w:szCs w:val="24"/>
        </w:rPr>
        <w:t>s</w:t>
      </w:r>
      <w:r>
        <w:rPr>
          <w:rFonts w:ascii="Arial" w:hAnsi="Arial" w:cs="Arial"/>
          <w:sz w:val="24"/>
          <w:szCs w:val="24"/>
        </w:rPr>
        <w:t xml:space="preserve"> implemented the new accounting guidance by August 31, 2019.</w:t>
      </w:r>
    </w:p>
    <w:p w14:paraId="074E62E6" w14:textId="657BFA6B" w:rsidR="002C1E87" w:rsidRDefault="002C1E87" w:rsidP="00D5419A">
      <w:pPr>
        <w:pStyle w:val="ListParagraph"/>
        <w:numPr>
          <w:ilvl w:val="0"/>
          <w:numId w:val="12"/>
        </w:numPr>
        <w:spacing w:after="0" w:line="264" w:lineRule="auto"/>
        <w:rPr>
          <w:rFonts w:ascii="Arial" w:hAnsi="Arial" w:cs="Arial"/>
          <w:sz w:val="24"/>
          <w:szCs w:val="24"/>
        </w:rPr>
      </w:pPr>
      <w:r w:rsidRPr="00D5419A">
        <w:rPr>
          <w:rFonts w:ascii="Arial" w:hAnsi="Arial" w:cs="Arial"/>
          <w:sz w:val="24"/>
          <w:szCs w:val="24"/>
        </w:rPr>
        <w:t xml:space="preserve">Synergy North confirms it </w:t>
      </w:r>
      <w:r w:rsidR="00D5419A">
        <w:rPr>
          <w:rFonts w:ascii="Arial" w:hAnsi="Arial" w:cs="Arial"/>
          <w:sz w:val="24"/>
          <w:szCs w:val="24"/>
        </w:rPr>
        <w:t>has implement</w:t>
      </w:r>
      <w:r w:rsidR="00E7166C">
        <w:rPr>
          <w:rFonts w:ascii="Arial" w:hAnsi="Arial" w:cs="Arial"/>
          <w:sz w:val="24"/>
          <w:szCs w:val="24"/>
        </w:rPr>
        <w:t>ed</w:t>
      </w:r>
      <w:r w:rsidR="00D5419A">
        <w:rPr>
          <w:rFonts w:ascii="Arial" w:hAnsi="Arial" w:cs="Arial"/>
          <w:sz w:val="24"/>
          <w:szCs w:val="24"/>
        </w:rPr>
        <w:t xml:space="preserve"> the new accounting guidance retroactive to January 1</w:t>
      </w:r>
      <w:r w:rsidR="00827BE5">
        <w:rPr>
          <w:rFonts w:ascii="Arial" w:hAnsi="Arial" w:cs="Arial"/>
          <w:sz w:val="24"/>
          <w:szCs w:val="24"/>
        </w:rPr>
        <w:t>,</w:t>
      </w:r>
      <w:r w:rsidR="00D5419A">
        <w:rPr>
          <w:rFonts w:ascii="Arial" w:hAnsi="Arial" w:cs="Arial"/>
          <w:sz w:val="24"/>
          <w:szCs w:val="24"/>
        </w:rPr>
        <w:t xml:space="preserve"> 2019.</w:t>
      </w:r>
    </w:p>
    <w:p w14:paraId="7E5F214A" w14:textId="09CA1FA7" w:rsidR="00D5419A" w:rsidRDefault="00D5419A" w:rsidP="00D5419A">
      <w:pPr>
        <w:pStyle w:val="ListParagraph"/>
        <w:numPr>
          <w:ilvl w:val="0"/>
          <w:numId w:val="12"/>
        </w:numPr>
        <w:spacing w:after="0" w:line="264" w:lineRule="auto"/>
        <w:rPr>
          <w:rFonts w:ascii="Arial" w:hAnsi="Arial" w:cs="Arial"/>
          <w:sz w:val="24"/>
          <w:szCs w:val="24"/>
        </w:rPr>
      </w:pPr>
      <w:r>
        <w:rPr>
          <w:rFonts w:ascii="Arial" w:hAnsi="Arial" w:cs="Arial"/>
          <w:sz w:val="24"/>
          <w:szCs w:val="24"/>
        </w:rPr>
        <w:t>Synergy North</w:t>
      </w:r>
      <w:r w:rsidR="00D619E2">
        <w:rPr>
          <w:rFonts w:ascii="Arial" w:hAnsi="Arial" w:cs="Arial"/>
          <w:sz w:val="24"/>
          <w:szCs w:val="24"/>
        </w:rPr>
        <w:t>,</w:t>
      </w:r>
      <w:r>
        <w:rPr>
          <w:rFonts w:ascii="Arial" w:hAnsi="Arial" w:cs="Arial"/>
          <w:sz w:val="24"/>
          <w:szCs w:val="24"/>
        </w:rPr>
        <w:t xml:space="preserve"> in its process</w:t>
      </w:r>
      <w:r w:rsidR="00D619E2">
        <w:rPr>
          <w:rFonts w:ascii="Arial" w:hAnsi="Arial" w:cs="Arial"/>
          <w:sz w:val="24"/>
          <w:szCs w:val="24"/>
        </w:rPr>
        <w:t>,</w:t>
      </w:r>
      <w:r>
        <w:rPr>
          <w:rFonts w:ascii="Arial" w:hAnsi="Arial" w:cs="Arial"/>
          <w:sz w:val="24"/>
          <w:szCs w:val="24"/>
        </w:rPr>
        <w:t xml:space="preserve"> trues up </w:t>
      </w:r>
      <w:r w:rsidR="00D619E2">
        <w:rPr>
          <w:rFonts w:ascii="Arial" w:hAnsi="Arial" w:cs="Arial"/>
          <w:sz w:val="24"/>
          <w:szCs w:val="24"/>
        </w:rPr>
        <w:t>IESO</w:t>
      </w:r>
      <w:r>
        <w:rPr>
          <w:rFonts w:ascii="Arial" w:hAnsi="Arial" w:cs="Arial"/>
          <w:sz w:val="24"/>
          <w:szCs w:val="24"/>
        </w:rPr>
        <w:t xml:space="preserve"> settlement claims on a monthly basis to actuals.   To clarify</w:t>
      </w:r>
      <w:r w:rsidR="00D619E2">
        <w:rPr>
          <w:rFonts w:ascii="Arial" w:hAnsi="Arial" w:cs="Arial"/>
          <w:sz w:val="24"/>
          <w:szCs w:val="24"/>
        </w:rPr>
        <w:t xml:space="preserve">, </w:t>
      </w:r>
      <w:r>
        <w:rPr>
          <w:rFonts w:ascii="Arial" w:hAnsi="Arial" w:cs="Arial"/>
          <w:sz w:val="24"/>
          <w:szCs w:val="24"/>
        </w:rPr>
        <w:t xml:space="preserve">Synergy North does not make the </w:t>
      </w:r>
      <w:r w:rsidR="00D619E2">
        <w:rPr>
          <w:rFonts w:ascii="Arial" w:hAnsi="Arial" w:cs="Arial"/>
          <w:sz w:val="24"/>
          <w:szCs w:val="24"/>
        </w:rPr>
        <w:t xml:space="preserve">true-up </w:t>
      </w:r>
      <w:r>
        <w:rPr>
          <w:rFonts w:ascii="Arial" w:hAnsi="Arial" w:cs="Arial"/>
          <w:sz w:val="24"/>
          <w:szCs w:val="24"/>
        </w:rPr>
        <w:t xml:space="preserve">settlement request with the IESO until its quarterly financial data has been reviewed and </w:t>
      </w:r>
      <w:r>
        <w:rPr>
          <w:rFonts w:ascii="Arial" w:hAnsi="Arial" w:cs="Arial"/>
          <w:sz w:val="24"/>
          <w:szCs w:val="24"/>
        </w:rPr>
        <w:lastRenderedPageBreak/>
        <w:t>approved. True</w:t>
      </w:r>
      <w:r w:rsidR="00764C6A">
        <w:rPr>
          <w:rFonts w:ascii="Arial" w:hAnsi="Arial" w:cs="Arial"/>
          <w:sz w:val="24"/>
          <w:szCs w:val="24"/>
        </w:rPr>
        <w:t>-</w:t>
      </w:r>
      <w:r>
        <w:rPr>
          <w:rFonts w:ascii="Arial" w:hAnsi="Arial" w:cs="Arial"/>
          <w:sz w:val="24"/>
          <w:szCs w:val="24"/>
        </w:rPr>
        <w:t>Up Analysis is done on a monthly basis in the supporting schedule documentation</w:t>
      </w:r>
      <w:r w:rsidR="00D619E2">
        <w:rPr>
          <w:rFonts w:ascii="Arial" w:hAnsi="Arial" w:cs="Arial"/>
          <w:sz w:val="24"/>
          <w:szCs w:val="24"/>
        </w:rPr>
        <w:t>, claims are submitted to the IESO quarterly</w:t>
      </w:r>
      <w:r>
        <w:rPr>
          <w:rFonts w:ascii="Arial" w:hAnsi="Arial" w:cs="Arial"/>
          <w:sz w:val="24"/>
          <w:szCs w:val="24"/>
        </w:rPr>
        <w:t xml:space="preserve">. </w:t>
      </w:r>
    </w:p>
    <w:p w14:paraId="272CEA8F" w14:textId="77777777" w:rsidR="00880A35" w:rsidRPr="00880A35" w:rsidRDefault="00B51CBE" w:rsidP="002C1E87">
      <w:pPr>
        <w:pStyle w:val="ListParagraph"/>
        <w:numPr>
          <w:ilvl w:val="0"/>
          <w:numId w:val="12"/>
        </w:numPr>
        <w:spacing w:after="160" w:line="259" w:lineRule="auto"/>
        <w:rPr>
          <w:rFonts w:ascii="Arial" w:hAnsi="Arial" w:cs="Arial"/>
          <w:b/>
          <w:sz w:val="24"/>
          <w:szCs w:val="24"/>
        </w:rPr>
      </w:pPr>
      <w:r w:rsidRPr="00880A35">
        <w:rPr>
          <w:rFonts w:ascii="Arial" w:hAnsi="Arial" w:cs="Arial"/>
          <w:sz w:val="24"/>
          <w:szCs w:val="24"/>
        </w:rPr>
        <w:t xml:space="preserve">Yes, </w:t>
      </w:r>
      <w:r w:rsidR="00D5419A" w:rsidRPr="00880A35">
        <w:rPr>
          <w:rFonts w:ascii="Arial" w:hAnsi="Arial" w:cs="Arial"/>
          <w:sz w:val="24"/>
          <w:szCs w:val="24"/>
        </w:rPr>
        <w:t>Synergy North</w:t>
      </w:r>
      <w:r w:rsidR="00E7166C" w:rsidRPr="00880A35">
        <w:rPr>
          <w:rFonts w:ascii="Arial" w:hAnsi="Arial" w:cs="Arial"/>
          <w:sz w:val="24"/>
          <w:szCs w:val="24"/>
        </w:rPr>
        <w:t xml:space="preserve"> has reviewed </w:t>
      </w:r>
      <w:r w:rsidRPr="00880A35">
        <w:rPr>
          <w:rFonts w:ascii="Arial" w:hAnsi="Arial" w:cs="Arial"/>
          <w:sz w:val="24"/>
          <w:szCs w:val="24"/>
        </w:rPr>
        <w:t xml:space="preserve">both Kenora and Thunder Bay </w:t>
      </w:r>
      <w:r w:rsidR="007C612A" w:rsidRPr="00880A35">
        <w:rPr>
          <w:rFonts w:ascii="Arial" w:hAnsi="Arial" w:cs="Arial"/>
          <w:sz w:val="24"/>
          <w:szCs w:val="24"/>
        </w:rPr>
        <w:t>Rate Zone</w:t>
      </w:r>
      <w:r w:rsidRPr="00880A35">
        <w:rPr>
          <w:rFonts w:ascii="Arial" w:hAnsi="Arial" w:cs="Arial"/>
          <w:sz w:val="24"/>
          <w:szCs w:val="24"/>
        </w:rPr>
        <w:t xml:space="preserve">s. Additionally, Kenora </w:t>
      </w:r>
      <w:r w:rsidR="007C612A" w:rsidRPr="00880A35">
        <w:rPr>
          <w:rFonts w:ascii="Arial" w:hAnsi="Arial" w:cs="Arial"/>
          <w:sz w:val="24"/>
          <w:szCs w:val="24"/>
        </w:rPr>
        <w:t>Rate Zone</w:t>
      </w:r>
      <w:r w:rsidRPr="00880A35">
        <w:rPr>
          <w:rFonts w:ascii="Arial" w:hAnsi="Arial" w:cs="Arial"/>
          <w:sz w:val="24"/>
          <w:szCs w:val="24"/>
        </w:rPr>
        <w:t xml:space="preserve"> has agreed to do so in its 2019 IRM EB-2018-0046.   The review has been completed and there were no systemic issues related to Thunder Bay </w:t>
      </w:r>
      <w:r w:rsidR="007C612A" w:rsidRPr="00880A35">
        <w:rPr>
          <w:rFonts w:ascii="Arial" w:hAnsi="Arial" w:cs="Arial"/>
          <w:sz w:val="24"/>
          <w:szCs w:val="24"/>
        </w:rPr>
        <w:t>Rate Zone</w:t>
      </w:r>
      <w:r w:rsidRPr="00880A35">
        <w:rPr>
          <w:rFonts w:ascii="Arial" w:hAnsi="Arial" w:cs="Arial"/>
          <w:sz w:val="24"/>
          <w:szCs w:val="24"/>
        </w:rPr>
        <w:t xml:space="preserve">’s RPP settlement and related accounting processes.  </w:t>
      </w:r>
      <w:proofErr w:type="gramStart"/>
      <w:r w:rsidRPr="00880A35">
        <w:rPr>
          <w:rFonts w:ascii="Arial" w:hAnsi="Arial" w:cs="Arial"/>
          <w:sz w:val="24"/>
          <w:szCs w:val="24"/>
        </w:rPr>
        <w:t>Therefore</w:t>
      </w:r>
      <w:proofErr w:type="gramEnd"/>
      <w:r w:rsidRPr="00880A35">
        <w:rPr>
          <w:rFonts w:ascii="Arial" w:hAnsi="Arial" w:cs="Arial"/>
          <w:sz w:val="24"/>
          <w:szCs w:val="24"/>
        </w:rPr>
        <w:t xml:space="preserve"> no adjustments were required</w:t>
      </w:r>
      <w:r w:rsidR="00D619E2" w:rsidRPr="00880A35">
        <w:rPr>
          <w:rFonts w:ascii="Arial" w:hAnsi="Arial" w:cs="Arial"/>
          <w:sz w:val="24"/>
          <w:szCs w:val="24"/>
        </w:rPr>
        <w:t xml:space="preserve"> to the Thunder Bay </w:t>
      </w:r>
      <w:r w:rsidR="007C612A" w:rsidRPr="00880A35">
        <w:rPr>
          <w:rFonts w:ascii="Arial" w:hAnsi="Arial" w:cs="Arial"/>
          <w:sz w:val="24"/>
          <w:szCs w:val="24"/>
        </w:rPr>
        <w:t>Rate Zone</w:t>
      </w:r>
      <w:r w:rsidRPr="00880A35">
        <w:rPr>
          <w:rFonts w:ascii="Arial" w:hAnsi="Arial" w:cs="Arial"/>
          <w:sz w:val="24"/>
          <w:szCs w:val="24"/>
        </w:rPr>
        <w:t xml:space="preserve">. </w:t>
      </w:r>
      <w:bookmarkStart w:id="5" w:name="_Hlk29544588"/>
    </w:p>
    <w:p w14:paraId="0B37E24F" w14:textId="10945FD3" w:rsidR="00B51CBE" w:rsidRPr="00880A35" w:rsidRDefault="00B51CBE" w:rsidP="002C1E87">
      <w:pPr>
        <w:pStyle w:val="ListParagraph"/>
        <w:numPr>
          <w:ilvl w:val="0"/>
          <w:numId w:val="12"/>
        </w:numPr>
        <w:spacing w:after="160" w:line="259" w:lineRule="auto"/>
        <w:rPr>
          <w:rFonts w:ascii="Arial" w:hAnsi="Arial" w:cs="Arial"/>
          <w:b/>
          <w:sz w:val="24"/>
          <w:szCs w:val="24"/>
        </w:rPr>
      </w:pPr>
      <w:r w:rsidRPr="00880A35">
        <w:rPr>
          <w:rFonts w:ascii="Arial" w:hAnsi="Arial" w:cs="Arial"/>
          <w:sz w:val="24"/>
          <w:szCs w:val="24"/>
        </w:rPr>
        <w:t xml:space="preserve">Synergy North </w:t>
      </w:r>
      <w:r w:rsidR="00BC6B04" w:rsidRPr="00880A35">
        <w:rPr>
          <w:rFonts w:ascii="Arial" w:hAnsi="Arial" w:cs="Arial"/>
          <w:sz w:val="24"/>
          <w:szCs w:val="24"/>
        </w:rPr>
        <w:t>confirms</w:t>
      </w:r>
      <w:r w:rsidR="00AA7DD0" w:rsidRPr="00880A35">
        <w:rPr>
          <w:rFonts w:ascii="Arial" w:hAnsi="Arial" w:cs="Arial"/>
          <w:sz w:val="24"/>
          <w:szCs w:val="24"/>
        </w:rPr>
        <w:t xml:space="preserve"> that </w:t>
      </w:r>
      <w:r w:rsidR="00684DF8" w:rsidRPr="00880A35">
        <w:rPr>
          <w:rFonts w:ascii="Arial" w:hAnsi="Arial" w:cs="Arial"/>
          <w:sz w:val="24"/>
          <w:szCs w:val="24"/>
        </w:rPr>
        <w:t>as a re</w:t>
      </w:r>
      <w:r w:rsidR="006E5008" w:rsidRPr="00880A35">
        <w:rPr>
          <w:rFonts w:ascii="Arial" w:hAnsi="Arial" w:cs="Arial"/>
          <w:sz w:val="24"/>
          <w:szCs w:val="24"/>
        </w:rPr>
        <w:t>s</w:t>
      </w:r>
      <w:r w:rsidR="00684DF8" w:rsidRPr="00880A35">
        <w:rPr>
          <w:rFonts w:ascii="Arial" w:hAnsi="Arial" w:cs="Arial"/>
          <w:sz w:val="24"/>
          <w:szCs w:val="24"/>
        </w:rPr>
        <w:t>ult of its review process, no adjustments are required to adopt approach (A)</w:t>
      </w:r>
      <w:r w:rsidR="00542A1E" w:rsidRPr="00880A35">
        <w:rPr>
          <w:rFonts w:ascii="Arial" w:hAnsi="Arial" w:cs="Arial"/>
          <w:sz w:val="24"/>
          <w:szCs w:val="24"/>
        </w:rPr>
        <w:t>.  Synergy North confirm</w:t>
      </w:r>
      <w:r w:rsidR="00684DF8" w:rsidRPr="00880A35">
        <w:rPr>
          <w:rFonts w:ascii="Arial" w:hAnsi="Arial" w:cs="Arial"/>
          <w:sz w:val="24"/>
          <w:szCs w:val="24"/>
        </w:rPr>
        <w:t>s</w:t>
      </w:r>
      <w:r w:rsidR="00BC6B04" w:rsidRPr="00880A35">
        <w:rPr>
          <w:rFonts w:ascii="Arial" w:hAnsi="Arial" w:cs="Arial"/>
          <w:sz w:val="24"/>
          <w:szCs w:val="24"/>
        </w:rPr>
        <w:t xml:space="preserve"> that it </w:t>
      </w:r>
      <w:r w:rsidR="00684DF8" w:rsidRPr="00880A35">
        <w:rPr>
          <w:rFonts w:ascii="Arial" w:hAnsi="Arial" w:cs="Arial"/>
          <w:sz w:val="24"/>
          <w:szCs w:val="24"/>
        </w:rPr>
        <w:t xml:space="preserve">is </w:t>
      </w:r>
      <w:proofErr w:type="gramStart"/>
      <w:r w:rsidR="00684DF8" w:rsidRPr="00880A35">
        <w:rPr>
          <w:rFonts w:ascii="Arial" w:hAnsi="Arial" w:cs="Arial"/>
          <w:sz w:val="24"/>
          <w:szCs w:val="24"/>
        </w:rPr>
        <w:t xml:space="preserve">using </w:t>
      </w:r>
      <w:r w:rsidR="00BC6B04" w:rsidRPr="00880A35">
        <w:rPr>
          <w:rFonts w:ascii="Arial" w:hAnsi="Arial" w:cs="Arial"/>
          <w:sz w:val="24"/>
          <w:szCs w:val="24"/>
        </w:rPr>
        <w:t xml:space="preserve"> approach</w:t>
      </w:r>
      <w:proofErr w:type="gramEnd"/>
      <w:r w:rsidR="00542A1E" w:rsidRPr="00880A35">
        <w:rPr>
          <w:rFonts w:ascii="Arial" w:hAnsi="Arial" w:cs="Arial"/>
          <w:sz w:val="24"/>
          <w:szCs w:val="24"/>
        </w:rPr>
        <w:t xml:space="preserve"> (A)</w:t>
      </w:r>
      <w:r w:rsidR="00BC6B04" w:rsidRPr="00880A35">
        <w:rPr>
          <w:rFonts w:ascii="Arial" w:hAnsi="Arial" w:cs="Arial"/>
          <w:sz w:val="24"/>
          <w:szCs w:val="24"/>
        </w:rPr>
        <w:t xml:space="preserve"> in the </w:t>
      </w:r>
      <w:r w:rsidR="00C244A5" w:rsidRPr="00880A35">
        <w:rPr>
          <w:rFonts w:ascii="Arial" w:hAnsi="Arial" w:cs="Arial"/>
          <w:sz w:val="24"/>
          <w:szCs w:val="24"/>
        </w:rPr>
        <w:t xml:space="preserve">board’s </w:t>
      </w:r>
      <w:r w:rsidR="00BC6B04" w:rsidRPr="00880A35">
        <w:rPr>
          <w:rFonts w:ascii="Arial" w:hAnsi="Arial" w:cs="Arial"/>
          <w:sz w:val="24"/>
          <w:szCs w:val="24"/>
        </w:rPr>
        <w:t>1588 &amp; 1589 accounting guidance</w:t>
      </w:r>
      <w:r w:rsidR="00D91F16" w:rsidRPr="00880A35">
        <w:rPr>
          <w:rFonts w:ascii="Arial" w:hAnsi="Arial" w:cs="Arial"/>
          <w:sz w:val="24"/>
          <w:szCs w:val="24"/>
        </w:rPr>
        <w:t xml:space="preserve"> related to Commodity Pass Through Accounts</w:t>
      </w:r>
      <w:r w:rsidR="00BC6B04" w:rsidRPr="00880A35">
        <w:rPr>
          <w:rFonts w:ascii="Arial" w:hAnsi="Arial" w:cs="Arial"/>
          <w:sz w:val="24"/>
          <w:szCs w:val="24"/>
        </w:rPr>
        <w:t xml:space="preserve"> Journal Entry #6 and Tables 15 &amp; 19. </w:t>
      </w:r>
    </w:p>
    <w:bookmarkEnd w:id="5"/>
    <w:p w14:paraId="6534C0C2" w14:textId="79F1964F" w:rsidR="002C1E87" w:rsidRDefault="002C1E87" w:rsidP="002C1E87">
      <w:pPr>
        <w:spacing w:after="160" w:line="259" w:lineRule="auto"/>
        <w:rPr>
          <w:rFonts w:ascii="Arial" w:hAnsi="Arial" w:cs="Arial"/>
          <w:b/>
          <w:sz w:val="24"/>
          <w:szCs w:val="24"/>
        </w:rPr>
      </w:pPr>
      <w:r>
        <w:rPr>
          <w:rFonts w:ascii="Arial" w:hAnsi="Arial" w:cs="Arial"/>
          <w:b/>
          <w:sz w:val="24"/>
          <w:szCs w:val="24"/>
        </w:rPr>
        <w:br w:type="page"/>
      </w:r>
    </w:p>
    <w:p w14:paraId="13BD7934" w14:textId="7777777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- 11</w:t>
      </w:r>
    </w:p>
    <w:p w14:paraId="66DF6E32"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Manager’s Summary</w:t>
      </w:r>
      <w:r w:rsidRPr="00987CDA">
        <w:rPr>
          <w:rFonts w:ascii="Arial" w:hAnsi="Arial" w:cs="Arial"/>
          <w:b/>
          <w:sz w:val="24"/>
          <w:szCs w:val="24"/>
          <w:lang w:val="en-US"/>
        </w:rPr>
        <w:t>, page 20</w:t>
      </w:r>
    </w:p>
    <w:p w14:paraId="249357BF"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4399FD39" w14:textId="77777777" w:rsidR="00D045A1" w:rsidRP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It states that there were no changes to the GA claim process required for Kenora on merger with Synergy North. The processes are the same for both utilities. </w:t>
      </w:r>
    </w:p>
    <w:p w14:paraId="05944E73" w14:textId="4BEB965A" w:rsidR="00D045A1" w:rsidRPr="00D045A1" w:rsidRDefault="00D045A1" w:rsidP="00D045A1">
      <w:pPr>
        <w:numPr>
          <w:ilvl w:val="0"/>
          <w:numId w:val="6"/>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Please explain whether the RPP-HOEP portion of the settlement claim for both </w:t>
      </w:r>
      <w:r w:rsidR="007C612A">
        <w:rPr>
          <w:rFonts w:ascii="Arial" w:hAnsi="Arial" w:cs="Arial"/>
          <w:sz w:val="24"/>
          <w:szCs w:val="24"/>
          <w:lang w:val="en-US"/>
        </w:rPr>
        <w:t>Rate Zone</w:t>
      </w:r>
      <w:r w:rsidRPr="00D045A1">
        <w:rPr>
          <w:rFonts w:ascii="Arial" w:hAnsi="Arial" w:cs="Arial"/>
          <w:sz w:val="24"/>
          <w:szCs w:val="24"/>
          <w:lang w:val="en-US"/>
        </w:rPr>
        <w:t xml:space="preserve">s are the same. </w:t>
      </w:r>
    </w:p>
    <w:p w14:paraId="259243FB" w14:textId="77777777" w:rsidR="00D045A1" w:rsidRPr="00D045A1" w:rsidRDefault="00D045A1" w:rsidP="00D045A1">
      <w:pPr>
        <w:numPr>
          <w:ilvl w:val="0"/>
          <w:numId w:val="6"/>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Please explain </w:t>
      </w:r>
    </w:p>
    <w:p w14:paraId="7746C27B" w14:textId="29847D7F" w:rsidR="00D045A1" w:rsidRPr="00987CDA" w:rsidRDefault="00D045A1" w:rsidP="00D045A1">
      <w:pPr>
        <w:numPr>
          <w:ilvl w:val="0"/>
          <w:numId w:val="6"/>
        </w:numPr>
        <w:spacing w:beforeLines="200" w:before="480" w:afterLines="200" w:after="480" w:line="264" w:lineRule="auto"/>
        <w:contextualSpacing/>
        <w:rPr>
          <w:rFonts w:ascii="Arial" w:hAnsi="Arial" w:cs="Arial"/>
          <w:sz w:val="24"/>
          <w:szCs w:val="24"/>
          <w:lang w:val="en-US"/>
        </w:rPr>
      </w:pPr>
      <w:r w:rsidRPr="00987CDA">
        <w:rPr>
          <w:rFonts w:ascii="Arial" w:hAnsi="Arial" w:cs="Arial"/>
          <w:sz w:val="24"/>
          <w:szCs w:val="24"/>
          <w:lang w:val="en-US"/>
        </w:rPr>
        <w:t xml:space="preserve">An adjustment was needed for unbilled revenues for the Kenora </w:t>
      </w:r>
      <w:r w:rsidR="007C612A">
        <w:rPr>
          <w:rFonts w:ascii="Arial" w:hAnsi="Arial" w:cs="Arial"/>
          <w:sz w:val="24"/>
          <w:szCs w:val="24"/>
          <w:lang w:val="en-US"/>
        </w:rPr>
        <w:t>Rate Zone</w:t>
      </w:r>
      <w:r w:rsidRPr="00987CDA">
        <w:rPr>
          <w:rFonts w:ascii="Arial" w:hAnsi="Arial" w:cs="Arial"/>
          <w:sz w:val="24"/>
          <w:szCs w:val="24"/>
          <w:lang w:val="en-US"/>
        </w:rPr>
        <w:t xml:space="preserve">. Please discuss whether the same issue applied to the Thunder Bay </w:t>
      </w:r>
      <w:r w:rsidR="007C612A">
        <w:rPr>
          <w:rFonts w:ascii="Arial" w:hAnsi="Arial" w:cs="Arial"/>
          <w:sz w:val="24"/>
          <w:szCs w:val="24"/>
          <w:lang w:val="en-US"/>
        </w:rPr>
        <w:t>Rate Zone</w:t>
      </w:r>
      <w:r w:rsidRPr="00987CDA">
        <w:rPr>
          <w:rFonts w:ascii="Arial" w:hAnsi="Arial" w:cs="Arial"/>
          <w:sz w:val="24"/>
          <w:szCs w:val="24"/>
          <w:lang w:val="en-US"/>
        </w:rPr>
        <w:t xml:space="preserve">. If not, please discuss Thunder Bay </w:t>
      </w:r>
      <w:r w:rsidR="007C612A">
        <w:rPr>
          <w:rFonts w:ascii="Arial" w:hAnsi="Arial" w:cs="Arial"/>
          <w:sz w:val="24"/>
          <w:szCs w:val="24"/>
          <w:lang w:val="en-US"/>
        </w:rPr>
        <w:t>Rate Zone</w:t>
      </w:r>
      <w:r w:rsidRPr="00987CDA">
        <w:rPr>
          <w:rFonts w:ascii="Arial" w:hAnsi="Arial" w:cs="Arial"/>
          <w:sz w:val="24"/>
          <w:szCs w:val="24"/>
          <w:lang w:val="en-US"/>
        </w:rPr>
        <w:t xml:space="preserve">’s RPP settlement process and how it differed from Kenora </w:t>
      </w:r>
      <w:r w:rsidR="007C612A">
        <w:rPr>
          <w:rFonts w:ascii="Arial" w:hAnsi="Arial" w:cs="Arial"/>
          <w:sz w:val="24"/>
          <w:szCs w:val="24"/>
          <w:lang w:val="en-US"/>
        </w:rPr>
        <w:t>Rate Zone</w:t>
      </w:r>
      <w:r w:rsidRPr="00987CDA">
        <w:rPr>
          <w:rFonts w:ascii="Arial" w:hAnsi="Arial" w:cs="Arial"/>
          <w:sz w:val="24"/>
          <w:szCs w:val="24"/>
          <w:lang w:val="en-US"/>
        </w:rPr>
        <w:t xml:space="preserve">’s processes. </w:t>
      </w:r>
    </w:p>
    <w:p w14:paraId="0BC46C4F" w14:textId="77777777" w:rsidR="00F4339E" w:rsidRDefault="00F4339E" w:rsidP="00F4339E">
      <w:pPr>
        <w:spacing w:after="0" w:line="264" w:lineRule="auto"/>
        <w:rPr>
          <w:rFonts w:ascii="Arial" w:hAnsi="Arial" w:cs="Arial"/>
          <w:b/>
          <w:sz w:val="24"/>
          <w:szCs w:val="24"/>
          <w:u w:val="single"/>
        </w:rPr>
      </w:pPr>
    </w:p>
    <w:p w14:paraId="709FE1C4" w14:textId="097BBFA9" w:rsidR="002C1E87" w:rsidRDefault="002C1E87" w:rsidP="00F4339E">
      <w:pPr>
        <w:spacing w:after="0" w:line="264" w:lineRule="auto"/>
        <w:rPr>
          <w:rFonts w:ascii="Arial" w:hAnsi="Arial" w:cs="Arial"/>
          <w:b/>
          <w:sz w:val="24"/>
          <w:szCs w:val="24"/>
          <w:u w:val="single"/>
        </w:rPr>
      </w:pPr>
      <w:r w:rsidRPr="00F4339E">
        <w:rPr>
          <w:rFonts w:ascii="Arial" w:hAnsi="Arial" w:cs="Arial"/>
          <w:b/>
          <w:sz w:val="24"/>
          <w:szCs w:val="24"/>
          <w:u w:val="single"/>
        </w:rPr>
        <w:t>Synergy North Response:</w:t>
      </w:r>
    </w:p>
    <w:p w14:paraId="6B746945" w14:textId="77777777" w:rsidR="00F4339E" w:rsidRPr="00F4339E" w:rsidRDefault="00F4339E" w:rsidP="00F4339E">
      <w:pPr>
        <w:spacing w:after="0" w:line="264" w:lineRule="auto"/>
        <w:rPr>
          <w:rFonts w:ascii="Arial" w:hAnsi="Arial" w:cs="Arial"/>
          <w:b/>
          <w:sz w:val="24"/>
          <w:szCs w:val="24"/>
          <w:u w:val="single"/>
        </w:rPr>
      </w:pPr>
    </w:p>
    <w:p w14:paraId="40A50A6C" w14:textId="0B43F1C4" w:rsidR="002C1E87" w:rsidRPr="002C1E87" w:rsidRDefault="00FE115C" w:rsidP="0053560A">
      <w:pPr>
        <w:pStyle w:val="ListParagraph"/>
        <w:numPr>
          <w:ilvl w:val="0"/>
          <w:numId w:val="14"/>
        </w:numPr>
        <w:spacing w:after="0" w:line="264" w:lineRule="auto"/>
        <w:rPr>
          <w:rFonts w:ascii="Arial" w:hAnsi="Arial" w:cs="Arial"/>
          <w:sz w:val="24"/>
          <w:szCs w:val="24"/>
        </w:rPr>
      </w:pPr>
      <w:r>
        <w:rPr>
          <w:rFonts w:ascii="Arial" w:hAnsi="Arial" w:cs="Arial"/>
          <w:sz w:val="24"/>
          <w:szCs w:val="24"/>
        </w:rPr>
        <w:t xml:space="preserve">Synergy North maintains separate </w:t>
      </w:r>
      <w:r w:rsidR="007C612A">
        <w:rPr>
          <w:rFonts w:ascii="Arial" w:hAnsi="Arial" w:cs="Arial"/>
          <w:sz w:val="24"/>
          <w:szCs w:val="24"/>
        </w:rPr>
        <w:t>Rate Zone</w:t>
      </w:r>
      <w:r>
        <w:rPr>
          <w:rFonts w:ascii="Arial" w:hAnsi="Arial" w:cs="Arial"/>
          <w:sz w:val="24"/>
          <w:szCs w:val="24"/>
        </w:rPr>
        <w:t xml:space="preserve">s for its Kenora and Thunder Bay districts.  Synergy North is also invoiced and settles separately for both </w:t>
      </w:r>
      <w:r w:rsidR="007C612A">
        <w:rPr>
          <w:rFonts w:ascii="Arial" w:hAnsi="Arial" w:cs="Arial"/>
          <w:sz w:val="24"/>
          <w:szCs w:val="24"/>
        </w:rPr>
        <w:t>Rate Zone</w:t>
      </w:r>
      <w:r>
        <w:rPr>
          <w:rFonts w:ascii="Arial" w:hAnsi="Arial" w:cs="Arial"/>
          <w:sz w:val="24"/>
          <w:szCs w:val="24"/>
        </w:rPr>
        <w:t xml:space="preserve">s.  This will be maintained until the time of rebasing. </w:t>
      </w:r>
      <w:proofErr w:type="gramStart"/>
      <w:r>
        <w:rPr>
          <w:rFonts w:ascii="Arial" w:hAnsi="Arial" w:cs="Arial"/>
          <w:sz w:val="24"/>
          <w:szCs w:val="24"/>
        </w:rPr>
        <w:t>Therefore</w:t>
      </w:r>
      <w:proofErr w:type="gramEnd"/>
      <w:r>
        <w:rPr>
          <w:rFonts w:ascii="Arial" w:hAnsi="Arial" w:cs="Arial"/>
          <w:sz w:val="24"/>
          <w:szCs w:val="24"/>
        </w:rPr>
        <w:t xml:space="preserve"> the RPP-HOEP portions </w:t>
      </w:r>
      <w:r w:rsidR="006B079F">
        <w:rPr>
          <w:rFonts w:ascii="Arial" w:hAnsi="Arial" w:cs="Arial"/>
          <w:sz w:val="24"/>
          <w:szCs w:val="24"/>
        </w:rPr>
        <w:t xml:space="preserve">of the settlement claim are specific to the </w:t>
      </w:r>
      <w:r w:rsidR="007C612A">
        <w:rPr>
          <w:rFonts w:ascii="Arial" w:hAnsi="Arial" w:cs="Arial"/>
          <w:sz w:val="24"/>
          <w:szCs w:val="24"/>
        </w:rPr>
        <w:t>Rate Zone</w:t>
      </w:r>
      <w:r w:rsidR="006B079F">
        <w:rPr>
          <w:rFonts w:ascii="Arial" w:hAnsi="Arial" w:cs="Arial"/>
          <w:sz w:val="24"/>
          <w:szCs w:val="24"/>
        </w:rPr>
        <w:t xml:space="preserve"> it is directly related to. </w:t>
      </w:r>
      <w:r w:rsidR="00CF1E2A">
        <w:rPr>
          <w:rFonts w:ascii="Arial" w:hAnsi="Arial" w:cs="Arial"/>
          <w:sz w:val="24"/>
          <w:szCs w:val="24"/>
        </w:rPr>
        <w:t xml:space="preserve"> The calculations for settlement claims are the same for both zones.</w:t>
      </w:r>
    </w:p>
    <w:p w14:paraId="168DB292" w14:textId="07FC0C6A" w:rsidR="002C1E87" w:rsidRDefault="006B079F" w:rsidP="0053560A">
      <w:pPr>
        <w:pStyle w:val="ListParagraph"/>
        <w:numPr>
          <w:ilvl w:val="0"/>
          <w:numId w:val="14"/>
        </w:numPr>
        <w:spacing w:after="0" w:line="264" w:lineRule="auto"/>
        <w:rPr>
          <w:rFonts w:ascii="Arial" w:hAnsi="Arial" w:cs="Arial"/>
          <w:sz w:val="24"/>
          <w:szCs w:val="24"/>
        </w:rPr>
      </w:pPr>
      <w:r>
        <w:rPr>
          <w:rFonts w:ascii="Arial" w:hAnsi="Arial" w:cs="Arial"/>
          <w:sz w:val="24"/>
          <w:szCs w:val="24"/>
        </w:rPr>
        <w:t>Synergy North</w:t>
      </w:r>
      <w:r w:rsidR="003C271B">
        <w:rPr>
          <w:rFonts w:ascii="Arial" w:hAnsi="Arial" w:cs="Arial"/>
          <w:sz w:val="24"/>
          <w:szCs w:val="24"/>
        </w:rPr>
        <w:t xml:space="preserve"> uses the same process</w:t>
      </w:r>
      <w:r w:rsidR="00CF1E2A">
        <w:rPr>
          <w:rFonts w:ascii="Arial" w:hAnsi="Arial" w:cs="Arial"/>
          <w:sz w:val="24"/>
          <w:szCs w:val="24"/>
        </w:rPr>
        <w:t xml:space="preserve"> for settlement claims for both zones</w:t>
      </w:r>
      <w:r w:rsidR="003C271B">
        <w:rPr>
          <w:rFonts w:ascii="Arial" w:hAnsi="Arial" w:cs="Arial"/>
          <w:sz w:val="24"/>
          <w:szCs w:val="24"/>
        </w:rPr>
        <w:t>, however</w:t>
      </w:r>
      <w:r>
        <w:rPr>
          <w:rFonts w:ascii="Arial" w:hAnsi="Arial" w:cs="Arial"/>
          <w:sz w:val="24"/>
          <w:szCs w:val="24"/>
        </w:rPr>
        <w:t xml:space="preserve"> has not combined the GA Claim process for Kenora and Thunder Bay </w:t>
      </w:r>
      <w:proofErr w:type="gramStart"/>
      <w:r w:rsidR="00CF1E2A">
        <w:rPr>
          <w:rFonts w:ascii="Arial" w:hAnsi="Arial" w:cs="Arial"/>
          <w:sz w:val="24"/>
          <w:szCs w:val="24"/>
        </w:rPr>
        <w:t xml:space="preserve">zones, </w:t>
      </w:r>
      <w:r>
        <w:rPr>
          <w:rFonts w:ascii="Arial" w:hAnsi="Arial" w:cs="Arial"/>
          <w:sz w:val="24"/>
          <w:szCs w:val="24"/>
        </w:rPr>
        <w:t>and</w:t>
      </w:r>
      <w:proofErr w:type="gramEnd"/>
      <w:r>
        <w:rPr>
          <w:rFonts w:ascii="Arial" w:hAnsi="Arial" w:cs="Arial"/>
          <w:sz w:val="24"/>
          <w:szCs w:val="24"/>
        </w:rPr>
        <w:t xml:space="preserve"> maintains two </w:t>
      </w:r>
      <w:r w:rsidR="003C271B">
        <w:rPr>
          <w:rFonts w:ascii="Arial" w:hAnsi="Arial" w:cs="Arial"/>
          <w:sz w:val="24"/>
          <w:szCs w:val="24"/>
        </w:rPr>
        <w:t>filings whic</w:t>
      </w:r>
      <w:r>
        <w:rPr>
          <w:rFonts w:ascii="Arial" w:hAnsi="Arial" w:cs="Arial"/>
          <w:sz w:val="24"/>
          <w:szCs w:val="24"/>
        </w:rPr>
        <w:t xml:space="preserve">h are </w:t>
      </w:r>
      <w:r w:rsidR="007C612A">
        <w:rPr>
          <w:rFonts w:ascii="Arial" w:hAnsi="Arial" w:cs="Arial"/>
          <w:sz w:val="24"/>
          <w:szCs w:val="24"/>
        </w:rPr>
        <w:t>Rate Zone</w:t>
      </w:r>
      <w:r>
        <w:rPr>
          <w:rFonts w:ascii="Arial" w:hAnsi="Arial" w:cs="Arial"/>
          <w:sz w:val="24"/>
          <w:szCs w:val="24"/>
        </w:rPr>
        <w:t xml:space="preserve"> specific. </w:t>
      </w:r>
    </w:p>
    <w:p w14:paraId="50157119" w14:textId="7F0152E6" w:rsidR="006B079F" w:rsidRPr="002C1E87" w:rsidRDefault="00CD13D7" w:rsidP="0053560A">
      <w:pPr>
        <w:pStyle w:val="ListParagraph"/>
        <w:numPr>
          <w:ilvl w:val="0"/>
          <w:numId w:val="14"/>
        </w:numPr>
        <w:spacing w:after="0" w:line="264" w:lineRule="auto"/>
        <w:rPr>
          <w:rFonts w:ascii="Arial" w:hAnsi="Arial" w:cs="Arial"/>
          <w:sz w:val="24"/>
          <w:szCs w:val="24"/>
        </w:rPr>
      </w:pPr>
      <w:r>
        <w:rPr>
          <w:rFonts w:ascii="Arial" w:hAnsi="Arial" w:cs="Arial"/>
          <w:sz w:val="24"/>
          <w:szCs w:val="24"/>
        </w:rPr>
        <w:t>Synergy North</w:t>
      </w:r>
      <w:r w:rsidR="003E2C52">
        <w:rPr>
          <w:rFonts w:ascii="Arial" w:hAnsi="Arial" w:cs="Arial"/>
          <w:sz w:val="24"/>
          <w:szCs w:val="24"/>
        </w:rPr>
        <w:t xml:space="preserve"> did not require any adjustment to unbilled revenues for Thunder Bay </w:t>
      </w:r>
      <w:r w:rsidR="007C612A">
        <w:rPr>
          <w:rFonts w:ascii="Arial" w:hAnsi="Arial" w:cs="Arial"/>
          <w:sz w:val="24"/>
          <w:szCs w:val="24"/>
        </w:rPr>
        <w:t>Rate Zone</w:t>
      </w:r>
      <w:r w:rsidR="003E2C52">
        <w:rPr>
          <w:rFonts w:ascii="Arial" w:hAnsi="Arial" w:cs="Arial"/>
          <w:sz w:val="24"/>
          <w:szCs w:val="24"/>
        </w:rPr>
        <w:t xml:space="preserve">.  </w:t>
      </w:r>
      <w:r w:rsidR="00827BE5">
        <w:rPr>
          <w:rFonts w:ascii="Arial" w:hAnsi="Arial" w:cs="Arial"/>
          <w:sz w:val="24"/>
          <w:szCs w:val="24"/>
        </w:rPr>
        <w:t xml:space="preserve"> </w:t>
      </w:r>
      <w:r w:rsidR="00C2689F">
        <w:rPr>
          <w:rFonts w:ascii="Arial" w:hAnsi="Arial" w:cs="Arial"/>
          <w:sz w:val="24"/>
          <w:szCs w:val="24"/>
        </w:rPr>
        <w:t xml:space="preserve">Prior to merging with Thunder Bay Hydro, </w:t>
      </w:r>
      <w:r w:rsidR="00827BE5">
        <w:rPr>
          <w:rFonts w:ascii="Arial" w:hAnsi="Arial" w:cs="Arial"/>
          <w:sz w:val="24"/>
          <w:szCs w:val="24"/>
        </w:rPr>
        <w:t xml:space="preserve">Kenora </w:t>
      </w:r>
      <w:r w:rsidR="00CF1E2A">
        <w:rPr>
          <w:rFonts w:ascii="Arial" w:hAnsi="Arial" w:cs="Arial"/>
          <w:sz w:val="24"/>
          <w:szCs w:val="24"/>
        </w:rPr>
        <w:t xml:space="preserve">Hydro had </w:t>
      </w:r>
      <w:r w:rsidR="00827BE5">
        <w:rPr>
          <w:rFonts w:ascii="Arial" w:hAnsi="Arial" w:cs="Arial"/>
          <w:sz w:val="24"/>
          <w:szCs w:val="24"/>
        </w:rPr>
        <w:t xml:space="preserve">discovered </w:t>
      </w:r>
      <w:r w:rsidR="00CF1E2A">
        <w:rPr>
          <w:rFonts w:ascii="Arial" w:hAnsi="Arial" w:cs="Arial"/>
          <w:sz w:val="24"/>
          <w:szCs w:val="24"/>
        </w:rPr>
        <w:t xml:space="preserve">and corrected </w:t>
      </w:r>
      <w:r w:rsidR="00827BE5">
        <w:rPr>
          <w:rFonts w:ascii="Arial" w:hAnsi="Arial" w:cs="Arial"/>
          <w:sz w:val="24"/>
          <w:szCs w:val="24"/>
        </w:rPr>
        <w:t xml:space="preserve">a </w:t>
      </w:r>
      <w:r w:rsidR="00CF1E2A">
        <w:rPr>
          <w:rFonts w:ascii="Arial" w:hAnsi="Arial" w:cs="Arial"/>
          <w:sz w:val="24"/>
          <w:szCs w:val="24"/>
        </w:rPr>
        <w:t>post</w:t>
      </w:r>
      <w:r w:rsidR="00C2689F">
        <w:rPr>
          <w:rFonts w:ascii="Arial" w:hAnsi="Arial" w:cs="Arial"/>
          <w:sz w:val="24"/>
          <w:szCs w:val="24"/>
        </w:rPr>
        <w:t>i</w:t>
      </w:r>
      <w:r w:rsidR="00CF1E2A">
        <w:rPr>
          <w:rFonts w:ascii="Arial" w:hAnsi="Arial" w:cs="Arial"/>
          <w:sz w:val="24"/>
          <w:szCs w:val="24"/>
        </w:rPr>
        <w:t xml:space="preserve">ng issue with the unbilled revenue in 2017, </w:t>
      </w:r>
      <w:r w:rsidR="00C2689F">
        <w:rPr>
          <w:rFonts w:ascii="Arial" w:hAnsi="Arial" w:cs="Arial"/>
          <w:sz w:val="24"/>
          <w:szCs w:val="24"/>
        </w:rPr>
        <w:t xml:space="preserve">which impacted Account 1588.  </w:t>
      </w:r>
      <w:r w:rsidR="00874A36">
        <w:rPr>
          <w:rFonts w:ascii="Arial" w:hAnsi="Arial" w:cs="Arial"/>
          <w:sz w:val="24"/>
          <w:szCs w:val="24"/>
        </w:rPr>
        <w:t xml:space="preserve"> </w:t>
      </w:r>
      <w:r w:rsidR="00CF1E2A">
        <w:rPr>
          <w:rFonts w:ascii="Arial" w:hAnsi="Arial" w:cs="Arial"/>
          <w:sz w:val="24"/>
          <w:szCs w:val="24"/>
        </w:rPr>
        <w:t xml:space="preserve">  The correction to the unbilled posting for RPP-HOEP occurred in Kenora Hydro, pre-merger, and was a one-time correction from </w:t>
      </w:r>
      <w:r w:rsidR="00C2689F">
        <w:rPr>
          <w:rFonts w:ascii="Arial" w:hAnsi="Arial" w:cs="Arial"/>
          <w:sz w:val="24"/>
          <w:szCs w:val="24"/>
        </w:rPr>
        <w:t xml:space="preserve">the </w:t>
      </w:r>
      <w:proofErr w:type="gramStart"/>
      <w:r w:rsidR="00CF1E2A">
        <w:rPr>
          <w:rFonts w:ascii="Arial" w:hAnsi="Arial" w:cs="Arial"/>
          <w:sz w:val="24"/>
          <w:szCs w:val="24"/>
        </w:rPr>
        <w:t>2017</w:t>
      </w:r>
      <w:r w:rsidR="00C2689F">
        <w:rPr>
          <w:rFonts w:ascii="Arial" w:hAnsi="Arial" w:cs="Arial"/>
          <w:sz w:val="24"/>
          <w:szCs w:val="24"/>
        </w:rPr>
        <w:t xml:space="preserve"> year</w:t>
      </w:r>
      <w:proofErr w:type="gramEnd"/>
      <w:r w:rsidR="00C2689F">
        <w:rPr>
          <w:rFonts w:ascii="Arial" w:hAnsi="Arial" w:cs="Arial"/>
          <w:sz w:val="24"/>
          <w:szCs w:val="24"/>
        </w:rPr>
        <w:t xml:space="preserve"> end</w:t>
      </w:r>
      <w:r w:rsidR="00CF1E2A">
        <w:rPr>
          <w:rFonts w:ascii="Arial" w:hAnsi="Arial" w:cs="Arial"/>
          <w:sz w:val="24"/>
          <w:szCs w:val="24"/>
        </w:rPr>
        <w:t>.</w:t>
      </w:r>
      <w:r w:rsidR="00C2689F">
        <w:rPr>
          <w:rFonts w:ascii="Arial" w:hAnsi="Arial" w:cs="Arial"/>
          <w:sz w:val="24"/>
          <w:szCs w:val="24"/>
        </w:rPr>
        <w:t xml:space="preserve">  </w:t>
      </w:r>
    </w:p>
    <w:p w14:paraId="55083CA4" w14:textId="77777777" w:rsidR="002C1E87" w:rsidRPr="002C1E87" w:rsidRDefault="002C1E87" w:rsidP="0053560A">
      <w:pPr>
        <w:pStyle w:val="ListParagraph"/>
        <w:numPr>
          <w:ilvl w:val="0"/>
          <w:numId w:val="14"/>
        </w:numPr>
        <w:spacing w:after="160" w:line="259" w:lineRule="auto"/>
        <w:rPr>
          <w:rFonts w:ascii="Arial" w:hAnsi="Arial" w:cs="Arial"/>
          <w:b/>
          <w:sz w:val="24"/>
          <w:szCs w:val="24"/>
        </w:rPr>
      </w:pPr>
      <w:r w:rsidRPr="002C1E87">
        <w:rPr>
          <w:rFonts w:ascii="Arial" w:hAnsi="Arial" w:cs="Arial"/>
          <w:b/>
          <w:sz w:val="24"/>
          <w:szCs w:val="24"/>
        </w:rPr>
        <w:br w:type="page"/>
      </w:r>
    </w:p>
    <w:p w14:paraId="5485BF1C" w14:textId="7777777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- 12</w:t>
      </w:r>
    </w:p>
    <w:p w14:paraId="2A016C3D" w14:textId="77777777" w:rsidR="001D52EE" w:rsidRPr="00E4213E" w:rsidRDefault="00D045A1" w:rsidP="001D52EE">
      <w:pPr>
        <w:spacing w:beforeLines="200" w:before="480" w:afterLines="200" w:after="480" w:line="264" w:lineRule="auto"/>
        <w:contextualSpacing/>
        <w:rPr>
          <w:rFonts w:ascii="Arial" w:hAnsi="Arial" w:cs="Arial"/>
          <w:b/>
          <w:sz w:val="24"/>
          <w:szCs w:val="24"/>
        </w:rPr>
      </w:pPr>
      <w:r w:rsidRPr="00D045A1">
        <w:rPr>
          <w:rFonts w:ascii="Arial" w:hAnsi="Arial" w:cs="Arial"/>
          <w:b/>
          <w:sz w:val="24"/>
          <w:szCs w:val="24"/>
          <w:lang w:val="en-US"/>
        </w:rPr>
        <w:t xml:space="preserve">Ref: </w:t>
      </w:r>
      <w:r w:rsidR="001D52EE">
        <w:rPr>
          <w:rFonts w:ascii="Arial" w:hAnsi="Arial" w:cs="Arial"/>
          <w:b/>
          <w:sz w:val="24"/>
          <w:szCs w:val="24"/>
        </w:rPr>
        <w:t xml:space="preserve">Ref: GA Analysis Workform – GA 2018 – </w:t>
      </w:r>
      <w:r w:rsidR="001D52EE" w:rsidRPr="00402500">
        <w:rPr>
          <w:rFonts w:ascii="Arial" w:hAnsi="Arial" w:cs="Arial"/>
          <w:b/>
          <w:sz w:val="24"/>
          <w:szCs w:val="24"/>
        </w:rPr>
        <w:t>Thunder Bay Rate Zone</w:t>
      </w:r>
    </w:p>
    <w:p w14:paraId="13A23C8D" w14:textId="77777777" w:rsidR="00D045A1" w:rsidRP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IRM Rate Generator, Tab 3, DVA Continuity Schedule</w:t>
      </w:r>
    </w:p>
    <w:p w14:paraId="51F99F46" w14:textId="77777777" w:rsidR="00D045A1" w:rsidRPr="00D045A1" w:rsidRDefault="00D045A1" w:rsidP="00D045A1">
      <w:pPr>
        <w:spacing w:beforeLines="200" w:before="480" w:afterLines="200" w:after="480" w:line="264" w:lineRule="auto"/>
        <w:contextualSpacing/>
        <w:rPr>
          <w:rFonts w:ascii="Arial" w:hAnsi="Arial" w:cs="Arial"/>
          <w:b/>
          <w:sz w:val="24"/>
          <w:szCs w:val="24"/>
          <w:lang w:val="en-US"/>
        </w:rPr>
      </w:pPr>
    </w:p>
    <w:p w14:paraId="70602727" w14:textId="65C54B4F" w:rsidR="00D045A1" w:rsidRDefault="00D045A1" w:rsidP="00D045A1">
      <w:p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Regarding the GA Analysis Workform for the Thunder Bay </w:t>
      </w:r>
      <w:r w:rsidR="007C612A">
        <w:rPr>
          <w:rFonts w:ascii="Arial" w:hAnsi="Arial" w:cs="Arial"/>
          <w:sz w:val="24"/>
          <w:szCs w:val="24"/>
          <w:lang w:val="en-US"/>
        </w:rPr>
        <w:t>Rate Zone</w:t>
      </w:r>
      <w:r w:rsidRPr="00D045A1">
        <w:rPr>
          <w:rFonts w:ascii="Arial" w:hAnsi="Arial" w:cs="Arial"/>
          <w:sz w:val="24"/>
          <w:szCs w:val="24"/>
          <w:lang w:val="en-US"/>
        </w:rPr>
        <w:t xml:space="preserve">, </w:t>
      </w:r>
    </w:p>
    <w:p w14:paraId="33CB047F" w14:textId="77777777" w:rsidR="008135B3" w:rsidRPr="00D045A1" w:rsidRDefault="008135B3" w:rsidP="00D045A1">
      <w:pPr>
        <w:spacing w:beforeLines="200" w:before="480" w:afterLines="200" w:after="480" w:line="264" w:lineRule="auto"/>
        <w:contextualSpacing/>
        <w:rPr>
          <w:rFonts w:ascii="Arial" w:hAnsi="Arial" w:cs="Arial"/>
          <w:sz w:val="24"/>
          <w:szCs w:val="24"/>
          <w:lang w:val="en-US"/>
        </w:rPr>
      </w:pPr>
    </w:p>
    <w:p w14:paraId="0E784366" w14:textId="77777777" w:rsidR="00D045A1" w:rsidRPr="00D045A1" w:rsidRDefault="00D045A1" w:rsidP="00D045A1">
      <w:pPr>
        <w:numPr>
          <w:ilvl w:val="0"/>
          <w:numId w:val="7"/>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The calculated loss factor on Thunder Bay’s GA Analysis Workform is 1.1851. The approved loss factor for secondary metered customer from Synergy North’s 2019 rate application is 1.0394. There is a difference of 0.1457. Please explain the difference and revise the GA Analysis Workform as needed.</w:t>
      </w:r>
    </w:p>
    <w:p w14:paraId="36BE4991" w14:textId="77777777" w:rsidR="00D045A1" w:rsidRPr="00D045A1" w:rsidRDefault="00D045A1" w:rsidP="00D045A1">
      <w:pPr>
        <w:numPr>
          <w:ilvl w:val="0"/>
          <w:numId w:val="7"/>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There is a reconciling item 9 for “not all customers are on calendar month billing”. </w:t>
      </w:r>
    </w:p>
    <w:p w14:paraId="3D190B47" w14:textId="77777777" w:rsidR="00D045A1" w:rsidRPr="00D045A1" w:rsidRDefault="00D045A1" w:rsidP="00D045A1">
      <w:pPr>
        <w:numPr>
          <w:ilvl w:val="1"/>
          <w:numId w:val="7"/>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Please explain what this reconciling item is for. In particular, please explain whether this is the same as the reconciling item for unbilled revenues. </w:t>
      </w:r>
    </w:p>
    <w:p w14:paraId="04D28733" w14:textId="77777777" w:rsidR="00D045A1" w:rsidRPr="00D045A1" w:rsidRDefault="00D045A1" w:rsidP="00D045A1">
      <w:pPr>
        <w:numPr>
          <w:ilvl w:val="1"/>
          <w:numId w:val="7"/>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If yes, please explain why this would be a reconciling item as the consumption numbers in the Analysis of Expected GA Amount table should be based on calendar month consumption as explained in section 3.2.5.3.1 of the Manager’s Summary.</w:t>
      </w:r>
    </w:p>
    <w:p w14:paraId="1B99724A" w14:textId="77777777" w:rsidR="00D045A1" w:rsidRPr="00402500" w:rsidRDefault="00D045A1" w:rsidP="00D045A1">
      <w:pPr>
        <w:numPr>
          <w:ilvl w:val="0"/>
          <w:numId w:val="7"/>
        </w:numPr>
        <w:spacing w:beforeLines="200" w:before="480" w:afterLines="200" w:after="480" w:line="264" w:lineRule="auto"/>
        <w:contextualSpacing/>
        <w:rPr>
          <w:rFonts w:ascii="Arial" w:hAnsi="Arial" w:cs="Arial"/>
          <w:sz w:val="24"/>
          <w:szCs w:val="24"/>
          <w:lang w:val="en-US"/>
        </w:rPr>
      </w:pPr>
      <w:r w:rsidRPr="00402500">
        <w:rPr>
          <w:rFonts w:ascii="Arial" w:hAnsi="Arial" w:cs="Arial"/>
          <w:sz w:val="24"/>
          <w:szCs w:val="24"/>
          <w:lang w:val="en-US"/>
        </w:rPr>
        <w:t>The GA Analysis Workform shows reconciling items that would be principal adjustments. There are no corresponding principal adjustments in the DVA Continuity Schedule for the 2018 principal. Please explain why not and revise the DVA Continuity Schedule as needed.</w:t>
      </w:r>
    </w:p>
    <w:p w14:paraId="68C254A7" w14:textId="77777777" w:rsidR="00D045A1" w:rsidRDefault="00D045A1" w:rsidP="00D045A1">
      <w:pPr>
        <w:spacing w:beforeLines="200" w:before="480" w:afterLines="200" w:after="480" w:line="264" w:lineRule="auto"/>
        <w:contextualSpacing/>
        <w:rPr>
          <w:rFonts w:ascii="Arial" w:hAnsi="Arial" w:cs="Arial"/>
          <w:sz w:val="24"/>
          <w:szCs w:val="24"/>
          <w:lang w:val="en-US"/>
        </w:rPr>
      </w:pPr>
    </w:p>
    <w:p w14:paraId="0236675C" w14:textId="77777777" w:rsidR="000733DE" w:rsidRDefault="000733DE" w:rsidP="00D045A1">
      <w:pPr>
        <w:spacing w:beforeLines="200" w:before="480" w:afterLines="200" w:after="480" w:line="264" w:lineRule="auto"/>
        <w:contextualSpacing/>
        <w:rPr>
          <w:rFonts w:ascii="Arial" w:hAnsi="Arial" w:cs="Arial"/>
          <w:sz w:val="24"/>
          <w:szCs w:val="24"/>
          <w:lang w:val="en-US"/>
        </w:rPr>
      </w:pPr>
    </w:p>
    <w:p w14:paraId="7C27DBFB" w14:textId="77777777"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t>Synergy North Response:</w:t>
      </w:r>
    </w:p>
    <w:p w14:paraId="202F28CB" w14:textId="493C59E9" w:rsidR="002C1E87" w:rsidRDefault="002C1E87" w:rsidP="002C1E87">
      <w:pPr>
        <w:spacing w:after="0" w:line="264" w:lineRule="auto"/>
        <w:contextualSpacing/>
        <w:rPr>
          <w:rFonts w:ascii="Arial" w:hAnsi="Arial" w:cs="Arial"/>
          <w:sz w:val="24"/>
          <w:szCs w:val="24"/>
        </w:rPr>
      </w:pPr>
    </w:p>
    <w:tbl>
      <w:tblPr>
        <w:tblStyle w:val="TableGrid"/>
        <w:tblW w:w="0" w:type="auto"/>
        <w:tblLayout w:type="fixed"/>
        <w:tblLook w:val="04A0" w:firstRow="1" w:lastRow="0" w:firstColumn="1" w:lastColumn="0" w:noHBand="0" w:noVBand="1"/>
      </w:tblPr>
      <w:tblGrid>
        <w:gridCol w:w="3114"/>
        <w:gridCol w:w="1701"/>
        <w:gridCol w:w="1701"/>
        <w:gridCol w:w="1417"/>
      </w:tblGrid>
      <w:tr w:rsidR="00923992" w14:paraId="4F32EF70" w14:textId="77777777" w:rsidTr="00B3748E">
        <w:tc>
          <w:tcPr>
            <w:tcW w:w="3114" w:type="dxa"/>
          </w:tcPr>
          <w:p w14:paraId="65A55565"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c>
          <w:tcPr>
            <w:tcW w:w="1701" w:type="dxa"/>
          </w:tcPr>
          <w:p w14:paraId="12C9E76D" w14:textId="3D1A49E2" w:rsidR="00923992" w:rsidRPr="00AF724F" w:rsidRDefault="00923992" w:rsidP="00764C6A">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 xml:space="preserve">  201</w:t>
            </w:r>
            <w:r>
              <w:rPr>
                <w:rFonts w:ascii="Arial" w:hAnsi="Arial" w:cs="Arial"/>
                <w:b/>
                <w:sz w:val="24"/>
                <w:szCs w:val="24"/>
                <w:lang w:val="en-US"/>
              </w:rPr>
              <w:t>8</w:t>
            </w:r>
            <w:r w:rsidRPr="00AF724F">
              <w:rPr>
                <w:rFonts w:ascii="Arial" w:hAnsi="Arial" w:cs="Arial"/>
                <w:b/>
                <w:sz w:val="24"/>
                <w:szCs w:val="24"/>
                <w:lang w:val="en-US"/>
              </w:rPr>
              <w:t xml:space="preserve"> kWh</w:t>
            </w:r>
          </w:p>
        </w:tc>
        <w:tc>
          <w:tcPr>
            <w:tcW w:w="1701" w:type="dxa"/>
          </w:tcPr>
          <w:p w14:paraId="66BFEB01" w14:textId="79002BD5" w:rsidR="00923992" w:rsidRPr="00AF724F" w:rsidRDefault="00923992" w:rsidP="00764C6A">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Loss</w:t>
            </w:r>
            <w:r w:rsidR="00B3748E">
              <w:rPr>
                <w:rFonts w:ascii="Arial" w:hAnsi="Arial" w:cs="Arial"/>
                <w:b/>
                <w:sz w:val="24"/>
                <w:szCs w:val="24"/>
                <w:lang w:val="en-US"/>
              </w:rPr>
              <w:t xml:space="preserve"> Factor</w:t>
            </w:r>
          </w:p>
        </w:tc>
        <w:tc>
          <w:tcPr>
            <w:tcW w:w="1417" w:type="dxa"/>
          </w:tcPr>
          <w:p w14:paraId="6BA77E38" w14:textId="77777777" w:rsidR="00923992" w:rsidRPr="00AF724F" w:rsidRDefault="00923992" w:rsidP="00764C6A">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Difference</w:t>
            </w:r>
          </w:p>
        </w:tc>
      </w:tr>
      <w:tr w:rsidR="00923992" w14:paraId="1786BE65" w14:textId="77777777" w:rsidTr="00B3748E">
        <w:tc>
          <w:tcPr>
            <w:tcW w:w="3114" w:type="dxa"/>
          </w:tcPr>
          <w:p w14:paraId="70186B8F" w14:textId="0356D1AE"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Non RPP Class B</w:t>
            </w:r>
            <w:r w:rsidR="000F0AB5">
              <w:rPr>
                <w:rFonts w:ascii="Arial" w:hAnsi="Arial" w:cs="Arial"/>
                <w:sz w:val="24"/>
                <w:szCs w:val="24"/>
                <w:lang w:val="en-US"/>
              </w:rPr>
              <w:t xml:space="preserve"> Without Losses</w:t>
            </w:r>
            <w:r>
              <w:rPr>
                <w:rFonts w:ascii="Arial" w:hAnsi="Arial" w:cs="Arial"/>
                <w:sz w:val="24"/>
                <w:szCs w:val="24"/>
                <w:lang w:val="en-US"/>
              </w:rPr>
              <w:t xml:space="preserve"> (</w:t>
            </w:r>
            <w:r w:rsidR="00764C6A">
              <w:rPr>
                <w:rFonts w:ascii="Arial" w:hAnsi="Arial" w:cs="Arial"/>
                <w:sz w:val="24"/>
                <w:szCs w:val="24"/>
                <w:lang w:val="en-US"/>
              </w:rPr>
              <w:t xml:space="preserve">in the </w:t>
            </w:r>
            <w:r>
              <w:rPr>
                <w:rFonts w:ascii="Arial" w:hAnsi="Arial" w:cs="Arial"/>
                <w:sz w:val="24"/>
                <w:szCs w:val="24"/>
                <w:lang w:val="en-US"/>
              </w:rPr>
              <w:t>RRR</w:t>
            </w:r>
            <w:r w:rsidR="00764C6A">
              <w:rPr>
                <w:rFonts w:ascii="Arial" w:hAnsi="Arial" w:cs="Arial"/>
                <w:sz w:val="24"/>
                <w:szCs w:val="24"/>
                <w:lang w:val="en-US"/>
              </w:rPr>
              <w:t xml:space="preserve"> filing</w:t>
            </w:r>
            <w:r>
              <w:rPr>
                <w:rFonts w:ascii="Arial" w:hAnsi="Arial" w:cs="Arial"/>
                <w:sz w:val="24"/>
                <w:szCs w:val="24"/>
                <w:lang w:val="en-US"/>
              </w:rPr>
              <w:t>)</w:t>
            </w:r>
          </w:p>
        </w:tc>
        <w:tc>
          <w:tcPr>
            <w:tcW w:w="1701" w:type="dxa"/>
          </w:tcPr>
          <w:p w14:paraId="73E33EEA" w14:textId="44C52505"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253,489,298</w:t>
            </w:r>
          </w:p>
        </w:tc>
        <w:tc>
          <w:tcPr>
            <w:tcW w:w="1701" w:type="dxa"/>
          </w:tcPr>
          <w:p w14:paraId="6FF17B7C"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c>
          <w:tcPr>
            <w:tcW w:w="1417" w:type="dxa"/>
          </w:tcPr>
          <w:p w14:paraId="1E1B3438"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r>
      <w:tr w:rsidR="00923992" w14:paraId="466E44DD" w14:textId="77777777" w:rsidTr="00B3748E">
        <w:tc>
          <w:tcPr>
            <w:tcW w:w="3114" w:type="dxa"/>
          </w:tcPr>
          <w:p w14:paraId="2742EF5A" w14:textId="77777777"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Non RPP Class B </w:t>
            </w:r>
            <w:proofErr w:type="gramStart"/>
            <w:r>
              <w:rPr>
                <w:rFonts w:ascii="Arial" w:hAnsi="Arial" w:cs="Arial"/>
                <w:sz w:val="24"/>
                <w:szCs w:val="24"/>
                <w:lang w:val="en-US"/>
              </w:rPr>
              <w:t>With</w:t>
            </w:r>
            <w:proofErr w:type="gramEnd"/>
            <w:r>
              <w:rPr>
                <w:rFonts w:ascii="Arial" w:hAnsi="Arial" w:cs="Arial"/>
                <w:sz w:val="24"/>
                <w:szCs w:val="24"/>
                <w:lang w:val="en-US"/>
              </w:rPr>
              <w:t xml:space="preserve"> Losses from GA Workform</w:t>
            </w:r>
          </w:p>
        </w:tc>
        <w:tc>
          <w:tcPr>
            <w:tcW w:w="1701" w:type="dxa"/>
          </w:tcPr>
          <w:p w14:paraId="4DE50E2F" w14:textId="58C804DF"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300,402,205</w:t>
            </w:r>
          </w:p>
        </w:tc>
        <w:tc>
          <w:tcPr>
            <w:tcW w:w="1701" w:type="dxa"/>
          </w:tcPr>
          <w:p w14:paraId="675E0DA5"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c>
          <w:tcPr>
            <w:tcW w:w="1417" w:type="dxa"/>
          </w:tcPr>
          <w:p w14:paraId="1E3E545A"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r>
      <w:tr w:rsidR="00923992" w14:paraId="0A3077CA" w14:textId="77777777" w:rsidTr="00B3748E">
        <w:tc>
          <w:tcPr>
            <w:tcW w:w="3114" w:type="dxa"/>
          </w:tcPr>
          <w:p w14:paraId="0F549FFD" w14:textId="22A6367E"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Calculated Loss </w:t>
            </w:r>
            <w:r w:rsidR="00764C6A">
              <w:rPr>
                <w:rFonts w:ascii="Arial" w:hAnsi="Arial" w:cs="Arial"/>
                <w:sz w:val="24"/>
                <w:szCs w:val="24"/>
                <w:lang w:val="en-US"/>
              </w:rPr>
              <w:t>(GA Workform to RRR filing)</w:t>
            </w:r>
          </w:p>
        </w:tc>
        <w:tc>
          <w:tcPr>
            <w:tcW w:w="1701" w:type="dxa"/>
          </w:tcPr>
          <w:p w14:paraId="3C8A6E40" w14:textId="3FEBE688"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46,912,907</w:t>
            </w:r>
          </w:p>
        </w:tc>
        <w:tc>
          <w:tcPr>
            <w:tcW w:w="1701" w:type="dxa"/>
          </w:tcPr>
          <w:p w14:paraId="25B44FB7" w14:textId="09F12975" w:rsidR="00923992" w:rsidRDefault="00923992" w:rsidP="00764C6A">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1.1851</w:t>
            </w:r>
          </w:p>
        </w:tc>
        <w:tc>
          <w:tcPr>
            <w:tcW w:w="1417" w:type="dxa"/>
          </w:tcPr>
          <w:p w14:paraId="1162D761" w14:textId="77777777" w:rsidR="00923992" w:rsidRDefault="00923992" w:rsidP="00764C6A">
            <w:pPr>
              <w:spacing w:beforeLines="200" w:before="480" w:afterLines="200" w:after="480" w:line="264" w:lineRule="auto"/>
              <w:contextualSpacing/>
              <w:jc w:val="center"/>
              <w:rPr>
                <w:rFonts w:ascii="Arial" w:hAnsi="Arial" w:cs="Arial"/>
                <w:sz w:val="24"/>
                <w:szCs w:val="24"/>
                <w:lang w:val="en-US"/>
              </w:rPr>
            </w:pPr>
          </w:p>
        </w:tc>
      </w:tr>
      <w:tr w:rsidR="00923992" w14:paraId="23683BA2" w14:textId="77777777" w:rsidTr="00B3748E">
        <w:tc>
          <w:tcPr>
            <w:tcW w:w="3114" w:type="dxa"/>
          </w:tcPr>
          <w:p w14:paraId="00703E5A" w14:textId="0582C35C" w:rsidR="00923992" w:rsidRDefault="00923992" w:rsidP="00764C6A">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Approved Loss Factor (Secondary)</w:t>
            </w:r>
          </w:p>
        </w:tc>
        <w:tc>
          <w:tcPr>
            <w:tcW w:w="1701" w:type="dxa"/>
          </w:tcPr>
          <w:p w14:paraId="6D14BE7C" w14:textId="77777777" w:rsidR="00923992" w:rsidRDefault="00923992" w:rsidP="00764C6A">
            <w:pPr>
              <w:spacing w:beforeLines="200" w:before="480" w:afterLines="200" w:after="480" w:line="264" w:lineRule="auto"/>
              <w:contextualSpacing/>
              <w:rPr>
                <w:rFonts w:ascii="Arial" w:hAnsi="Arial" w:cs="Arial"/>
                <w:sz w:val="24"/>
                <w:szCs w:val="24"/>
                <w:lang w:val="en-US"/>
              </w:rPr>
            </w:pPr>
          </w:p>
        </w:tc>
        <w:tc>
          <w:tcPr>
            <w:tcW w:w="1701" w:type="dxa"/>
          </w:tcPr>
          <w:p w14:paraId="4FDC994D" w14:textId="2D5B57A8" w:rsidR="00923992" w:rsidRDefault="00923992" w:rsidP="00764C6A">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1.0394</w:t>
            </w:r>
          </w:p>
        </w:tc>
        <w:tc>
          <w:tcPr>
            <w:tcW w:w="1417" w:type="dxa"/>
          </w:tcPr>
          <w:p w14:paraId="5CF206E6" w14:textId="16086594" w:rsidR="00923992" w:rsidRDefault="00923992" w:rsidP="00764C6A">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0.1457</w:t>
            </w:r>
          </w:p>
        </w:tc>
      </w:tr>
    </w:tbl>
    <w:p w14:paraId="2B522134" w14:textId="08D08E67" w:rsidR="00923992" w:rsidRDefault="00923992" w:rsidP="002C1E87">
      <w:pPr>
        <w:spacing w:after="0" w:line="264" w:lineRule="auto"/>
        <w:contextualSpacing/>
        <w:rPr>
          <w:rFonts w:ascii="Arial" w:hAnsi="Arial" w:cs="Arial"/>
          <w:sz w:val="24"/>
          <w:szCs w:val="24"/>
        </w:rPr>
      </w:pPr>
    </w:p>
    <w:p w14:paraId="43F3B5F9" w14:textId="7798DFE7" w:rsidR="00923992" w:rsidRDefault="00923992" w:rsidP="002C1E87">
      <w:pPr>
        <w:spacing w:after="0" w:line="264" w:lineRule="auto"/>
        <w:contextualSpacing/>
        <w:rPr>
          <w:rFonts w:ascii="Arial" w:hAnsi="Arial" w:cs="Arial"/>
          <w:sz w:val="24"/>
          <w:szCs w:val="24"/>
        </w:rPr>
      </w:pPr>
    </w:p>
    <w:p w14:paraId="3ED2A7F0" w14:textId="67FD75CA" w:rsidR="00923992" w:rsidRDefault="00923992" w:rsidP="002C1E87">
      <w:pPr>
        <w:spacing w:after="0" w:line="264" w:lineRule="auto"/>
        <w:contextualSpacing/>
        <w:rPr>
          <w:rFonts w:ascii="Arial" w:hAnsi="Arial" w:cs="Arial"/>
          <w:sz w:val="24"/>
          <w:szCs w:val="24"/>
        </w:rPr>
      </w:pPr>
    </w:p>
    <w:p w14:paraId="019CB91A" w14:textId="7475D171" w:rsidR="007C3FF0" w:rsidRDefault="007C3FF0" w:rsidP="002C1E87">
      <w:pPr>
        <w:spacing w:after="0" w:line="264" w:lineRule="auto"/>
        <w:contextualSpacing/>
        <w:rPr>
          <w:rFonts w:ascii="Arial" w:hAnsi="Arial" w:cs="Arial"/>
          <w:sz w:val="24"/>
          <w:szCs w:val="24"/>
        </w:rPr>
      </w:pPr>
    </w:p>
    <w:p w14:paraId="66F0C254" w14:textId="3D5BF3A5" w:rsidR="007C3FF0" w:rsidRDefault="007C3FF0" w:rsidP="002C1E87">
      <w:pPr>
        <w:spacing w:after="0" w:line="264" w:lineRule="auto"/>
        <w:contextualSpacing/>
        <w:rPr>
          <w:rFonts w:ascii="Arial" w:hAnsi="Arial" w:cs="Arial"/>
          <w:sz w:val="24"/>
          <w:szCs w:val="24"/>
        </w:rPr>
      </w:pPr>
    </w:p>
    <w:p w14:paraId="0B9EE6B3" w14:textId="77777777" w:rsidR="007C3FF0" w:rsidRDefault="007C3FF0" w:rsidP="002C1E87">
      <w:pPr>
        <w:spacing w:after="0" w:line="264" w:lineRule="auto"/>
        <w:contextualSpacing/>
        <w:rPr>
          <w:rFonts w:ascii="Arial" w:hAnsi="Arial" w:cs="Arial"/>
          <w:sz w:val="24"/>
          <w:szCs w:val="24"/>
        </w:rPr>
      </w:pPr>
    </w:p>
    <w:p w14:paraId="2E575502" w14:textId="77777777" w:rsidR="00923992" w:rsidRPr="005F28F7" w:rsidRDefault="00923992" w:rsidP="002C1E87">
      <w:pPr>
        <w:spacing w:after="0" w:line="264" w:lineRule="auto"/>
        <w:contextualSpacing/>
        <w:rPr>
          <w:rFonts w:ascii="Arial" w:hAnsi="Arial" w:cs="Arial"/>
          <w:sz w:val="24"/>
          <w:szCs w:val="24"/>
        </w:rPr>
      </w:pPr>
    </w:p>
    <w:p w14:paraId="3CDFDD53" w14:textId="503BFA45" w:rsidR="00E914A3" w:rsidRPr="007C3FF0" w:rsidRDefault="00E914A3" w:rsidP="007C3FF0">
      <w:pPr>
        <w:pStyle w:val="ListParagraph"/>
        <w:numPr>
          <w:ilvl w:val="1"/>
          <w:numId w:val="2"/>
        </w:numPr>
        <w:spacing w:after="0" w:line="264" w:lineRule="auto"/>
        <w:rPr>
          <w:rFonts w:ascii="Arial" w:hAnsi="Arial" w:cs="Arial"/>
          <w:sz w:val="24"/>
          <w:szCs w:val="24"/>
        </w:rPr>
      </w:pPr>
      <w:bookmarkStart w:id="6" w:name="_Hlk29568804"/>
    </w:p>
    <w:bookmarkEnd w:id="6"/>
    <w:p w14:paraId="32A41373" w14:textId="5B8AE144" w:rsidR="000721FF" w:rsidRPr="00317BEC" w:rsidRDefault="000721FF" w:rsidP="00E914A3">
      <w:pPr>
        <w:pStyle w:val="ListParagraph"/>
        <w:spacing w:after="0" w:line="264" w:lineRule="auto"/>
        <w:ind w:left="2160"/>
        <w:rPr>
          <w:rFonts w:ascii="Arial" w:hAnsi="Arial" w:cs="Arial"/>
          <w:sz w:val="24"/>
          <w:szCs w:val="24"/>
          <w:highlight w:val="yellow"/>
        </w:rPr>
      </w:pPr>
    </w:p>
    <w:p w14:paraId="79F0DA45" w14:textId="12EBA973" w:rsidR="000721FF" w:rsidRPr="005C51BA" w:rsidRDefault="00C558DC" w:rsidP="00317BEC">
      <w:pPr>
        <w:spacing w:after="0" w:line="264" w:lineRule="auto"/>
        <w:ind w:left="720"/>
        <w:rPr>
          <w:rFonts w:ascii="Arial" w:hAnsi="Arial" w:cs="Arial"/>
          <w:sz w:val="24"/>
          <w:szCs w:val="24"/>
        </w:rPr>
      </w:pPr>
      <w:r w:rsidRPr="005C51BA">
        <w:rPr>
          <w:rFonts w:ascii="Arial" w:hAnsi="Arial" w:cs="Arial"/>
          <w:sz w:val="24"/>
          <w:szCs w:val="24"/>
        </w:rPr>
        <w:t xml:space="preserve">Synergy North </w:t>
      </w:r>
      <w:r w:rsidR="002B3E23" w:rsidRPr="005C51BA">
        <w:rPr>
          <w:rFonts w:ascii="Arial" w:hAnsi="Arial" w:cs="Arial"/>
          <w:sz w:val="24"/>
          <w:szCs w:val="24"/>
        </w:rPr>
        <w:t xml:space="preserve">notes that the </w:t>
      </w:r>
      <w:r w:rsidRPr="005C51BA">
        <w:rPr>
          <w:rFonts w:ascii="Arial" w:hAnsi="Arial" w:cs="Arial"/>
          <w:sz w:val="24"/>
          <w:szCs w:val="24"/>
        </w:rPr>
        <w:t>loss factor difference</w:t>
      </w:r>
      <w:r w:rsidR="00EF03A5" w:rsidRPr="005C51BA">
        <w:rPr>
          <w:rFonts w:ascii="Arial" w:hAnsi="Arial" w:cs="Arial"/>
          <w:sz w:val="24"/>
          <w:szCs w:val="24"/>
        </w:rPr>
        <w:t xml:space="preserve"> is</w:t>
      </w:r>
      <w:r w:rsidRPr="005C51BA">
        <w:rPr>
          <w:rFonts w:ascii="Arial" w:hAnsi="Arial" w:cs="Arial"/>
          <w:sz w:val="24"/>
          <w:szCs w:val="24"/>
        </w:rPr>
        <w:t xml:space="preserve"> due to</w:t>
      </w:r>
      <w:r w:rsidR="0010604D" w:rsidRPr="005C51BA">
        <w:rPr>
          <w:rFonts w:ascii="Arial" w:hAnsi="Arial" w:cs="Arial"/>
          <w:sz w:val="24"/>
          <w:szCs w:val="24"/>
        </w:rPr>
        <w:t xml:space="preserve"> having two</w:t>
      </w:r>
      <w:r w:rsidRPr="005C51BA">
        <w:rPr>
          <w:rFonts w:ascii="Arial" w:hAnsi="Arial" w:cs="Arial"/>
          <w:sz w:val="24"/>
          <w:szCs w:val="24"/>
        </w:rPr>
        <w:t xml:space="preserve"> </w:t>
      </w:r>
      <w:r w:rsidR="00131EBE" w:rsidRPr="005C51BA">
        <w:rPr>
          <w:rFonts w:ascii="Arial" w:hAnsi="Arial" w:cs="Arial"/>
          <w:sz w:val="24"/>
          <w:szCs w:val="24"/>
        </w:rPr>
        <w:t xml:space="preserve">methodologies </w:t>
      </w:r>
      <w:r w:rsidR="0010604D" w:rsidRPr="005C51BA">
        <w:rPr>
          <w:rFonts w:ascii="Arial" w:hAnsi="Arial" w:cs="Arial"/>
          <w:sz w:val="24"/>
          <w:szCs w:val="24"/>
        </w:rPr>
        <w:t>for preparing and reporting the</w:t>
      </w:r>
      <w:r w:rsidR="00D94837" w:rsidRPr="005C51BA">
        <w:rPr>
          <w:rFonts w:ascii="Arial" w:hAnsi="Arial" w:cs="Arial"/>
          <w:sz w:val="24"/>
          <w:szCs w:val="24"/>
        </w:rPr>
        <w:t xml:space="preserve"> </w:t>
      </w:r>
      <w:r w:rsidR="00EF03A5" w:rsidRPr="005C51BA">
        <w:rPr>
          <w:rFonts w:ascii="Arial" w:hAnsi="Arial" w:cs="Arial"/>
          <w:sz w:val="24"/>
          <w:szCs w:val="24"/>
        </w:rPr>
        <w:t>“</w:t>
      </w:r>
      <w:r w:rsidR="009F09A9" w:rsidRPr="005C51BA">
        <w:rPr>
          <w:rFonts w:ascii="Arial" w:hAnsi="Arial" w:cs="Arial"/>
          <w:sz w:val="24"/>
          <w:szCs w:val="24"/>
        </w:rPr>
        <w:t xml:space="preserve">2018 </w:t>
      </w:r>
      <w:r w:rsidR="00131EBE" w:rsidRPr="005C51BA">
        <w:rPr>
          <w:rFonts w:ascii="Arial" w:hAnsi="Arial" w:cs="Arial"/>
          <w:sz w:val="24"/>
          <w:szCs w:val="24"/>
        </w:rPr>
        <w:t>RRR Year End Statistics</w:t>
      </w:r>
      <w:r w:rsidR="00EF03A5" w:rsidRPr="005C51BA">
        <w:rPr>
          <w:rFonts w:ascii="Arial" w:hAnsi="Arial" w:cs="Arial"/>
          <w:sz w:val="24"/>
          <w:szCs w:val="24"/>
        </w:rPr>
        <w:t>”</w:t>
      </w:r>
      <w:r w:rsidR="00131EBE" w:rsidRPr="005C51BA">
        <w:rPr>
          <w:rFonts w:ascii="Arial" w:hAnsi="Arial" w:cs="Arial"/>
          <w:sz w:val="24"/>
          <w:szCs w:val="24"/>
        </w:rPr>
        <w:t xml:space="preserve"> and </w:t>
      </w:r>
      <w:r w:rsidR="009F09A9" w:rsidRPr="005C51BA">
        <w:rPr>
          <w:rFonts w:ascii="Arial" w:hAnsi="Arial" w:cs="Arial"/>
          <w:sz w:val="24"/>
          <w:szCs w:val="24"/>
        </w:rPr>
        <w:t xml:space="preserve">reporting </w:t>
      </w:r>
      <w:r w:rsidR="00131EBE" w:rsidRPr="005C51BA">
        <w:rPr>
          <w:rFonts w:ascii="Arial" w:hAnsi="Arial" w:cs="Arial"/>
          <w:sz w:val="24"/>
          <w:szCs w:val="24"/>
        </w:rPr>
        <w:t xml:space="preserve">the </w:t>
      </w:r>
      <w:r w:rsidR="00EF03A5" w:rsidRPr="005C51BA">
        <w:rPr>
          <w:rFonts w:ascii="Arial" w:hAnsi="Arial" w:cs="Arial"/>
          <w:sz w:val="24"/>
          <w:szCs w:val="24"/>
        </w:rPr>
        <w:t>“</w:t>
      </w:r>
      <w:r w:rsidR="00131EBE" w:rsidRPr="005C51BA">
        <w:rPr>
          <w:rFonts w:ascii="Arial" w:hAnsi="Arial" w:cs="Arial"/>
          <w:sz w:val="24"/>
          <w:szCs w:val="24"/>
        </w:rPr>
        <w:t xml:space="preserve">Non </w:t>
      </w:r>
      <w:r w:rsidR="009F09A9" w:rsidRPr="005C51BA">
        <w:rPr>
          <w:rFonts w:ascii="Arial" w:hAnsi="Arial" w:cs="Arial"/>
          <w:sz w:val="24"/>
          <w:szCs w:val="24"/>
        </w:rPr>
        <w:t>-</w:t>
      </w:r>
      <w:r w:rsidR="00131EBE" w:rsidRPr="005C51BA">
        <w:rPr>
          <w:rFonts w:ascii="Arial" w:hAnsi="Arial" w:cs="Arial"/>
          <w:sz w:val="24"/>
          <w:szCs w:val="24"/>
        </w:rPr>
        <w:t xml:space="preserve">RPP </w:t>
      </w:r>
      <w:r w:rsidR="00EF03A5" w:rsidRPr="005C51BA">
        <w:rPr>
          <w:rFonts w:ascii="Arial" w:hAnsi="Arial" w:cs="Arial"/>
          <w:sz w:val="24"/>
          <w:szCs w:val="24"/>
        </w:rPr>
        <w:t xml:space="preserve">Class B </w:t>
      </w:r>
      <w:r w:rsidR="00D94837" w:rsidRPr="005C51BA">
        <w:rPr>
          <w:rFonts w:ascii="Arial" w:hAnsi="Arial" w:cs="Arial"/>
          <w:sz w:val="24"/>
          <w:szCs w:val="24"/>
        </w:rPr>
        <w:t>GA</w:t>
      </w:r>
      <w:r w:rsidR="00EF03A5" w:rsidRPr="005C51BA">
        <w:rPr>
          <w:rFonts w:ascii="Arial" w:hAnsi="Arial" w:cs="Arial"/>
          <w:sz w:val="24"/>
          <w:szCs w:val="24"/>
        </w:rPr>
        <w:t>”</w:t>
      </w:r>
      <w:r w:rsidR="00131EBE" w:rsidRPr="005C51BA">
        <w:rPr>
          <w:rFonts w:ascii="Arial" w:hAnsi="Arial" w:cs="Arial"/>
          <w:sz w:val="24"/>
          <w:szCs w:val="24"/>
        </w:rPr>
        <w:t xml:space="preserve"> used for Global Adjustment </w:t>
      </w:r>
      <w:r w:rsidR="00D94837" w:rsidRPr="005C51BA">
        <w:rPr>
          <w:rFonts w:ascii="Arial" w:hAnsi="Arial" w:cs="Arial"/>
          <w:sz w:val="24"/>
          <w:szCs w:val="24"/>
        </w:rPr>
        <w:t>a</w:t>
      </w:r>
      <w:r w:rsidR="00131EBE" w:rsidRPr="005C51BA">
        <w:rPr>
          <w:rFonts w:ascii="Arial" w:hAnsi="Arial" w:cs="Arial"/>
          <w:sz w:val="24"/>
          <w:szCs w:val="24"/>
        </w:rPr>
        <w:t>nalysis</w:t>
      </w:r>
      <w:r w:rsidR="00EF03A5" w:rsidRPr="005C51BA">
        <w:rPr>
          <w:rFonts w:ascii="Arial" w:hAnsi="Arial" w:cs="Arial"/>
          <w:sz w:val="24"/>
          <w:szCs w:val="24"/>
        </w:rPr>
        <w:t xml:space="preserve"> and settlement</w:t>
      </w:r>
      <w:r w:rsidRPr="005C51BA">
        <w:rPr>
          <w:rFonts w:ascii="Arial" w:hAnsi="Arial" w:cs="Arial"/>
          <w:sz w:val="24"/>
          <w:szCs w:val="24"/>
        </w:rPr>
        <w:t xml:space="preserve">. </w:t>
      </w:r>
    </w:p>
    <w:p w14:paraId="31EC63F9" w14:textId="54C41AED" w:rsidR="00131EBE" w:rsidRPr="005C51BA" w:rsidRDefault="00131EBE" w:rsidP="00317BEC">
      <w:pPr>
        <w:spacing w:after="0" w:line="264" w:lineRule="auto"/>
        <w:ind w:left="720"/>
        <w:rPr>
          <w:rFonts w:ascii="Arial" w:hAnsi="Arial" w:cs="Arial"/>
          <w:sz w:val="24"/>
          <w:szCs w:val="24"/>
        </w:rPr>
      </w:pPr>
    </w:p>
    <w:p w14:paraId="0249DD47" w14:textId="77B332B9" w:rsidR="00131EBE" w:rsidRPr="005C51BA" w:rsidRDefault="008F3E43" w:rsidP="00317BEC">
      <w:pPr>
        <w:spacing w:after="0" w:line="264" w:lineRule="auto"/>
        <w:ind w:left="720"/>
        <w:rPr>
          <w:rFonts w:ascii="Arial" w:hAnsi="Arial" w:cs="Arial"/>
          <w:sz w:val="24"/>
          <w:szCs w:val="24"/>
        </w:rPr>
      </w:pPr>
      <w:r w:rsidRPr="005C51BA">
        <w:rPr>
          <w:rFonts w:ascii="Arial" w:hAnsi="Arial" w:cs="Arial"/>
          <w:sz w:val="24"/>
          <w:szCs w:val="24"/>
        </w:rPr>
        <w:t>Wherea</w:t>
      </w:r>
      <w:r w:rsidR="00131EBE" w:rsidRPr="005C51BA">
        <w:rPr>
          <w:rFonts w:ascii="Arial" w:hAnsi="Arial" w:cs="Arial"/>
          <w:sz w:val="24"/>
          <w:szCs w:val="24"/>
        </w:rPr>
        <w:t>s stated above</w:t>
      </w:r>
      <w:r w:rsidR="00D94837" w:rsidRPr="005C51BA">
        <w:rPr>
          <w:rFonts w:ascii="Arial" w:hAnsi="Arial" w:cs="Arial"/>
          <w:sz w:val="24"/>
          <w:szCs w:val="24"/>
        </w:rPr>
        <w:t xml:space="preserve"> in question #9</w:t>
      </w:r>
      <w:r w:rsidRPr="005C51BA">
        <w:rPr>
          <w:rFonts w:ascii="Arial" w:hAnsi="Arial" w:cs="Arial"/>
          <w:sz w:val="24"/>
          <w:szCs w:val="24"/>
        </w:rPr>
        <w:t xml:space="preserve"> and as per OEB</w:t>
      </w:r>
      <w:r w:rsidR="0010604D" w:rsidRPr="005C51BA">
        <w:rPr>
          <w:rFonts w:ascii="Arial" w:hAnsi="Arial" w:cs="Arial"/>
          <w:sz w:val="24"/>
          <w:szCs w:val="24"/>
        </w:rPr>
        <w:t xml:space="preserve"> 1588/1589</w:t>
      </w:r>
      <w:r w:rsidRPr="005C51BA">
        <w:rPr>
          <w:rFonts w:ascii="Arial" w:hAnsi="Arial" w:cs="Arial"/>
          <w:sz w:val="24"/>
          <w:szCs w:val="24"/>
        </w:rPr>
        <w:t xml:space="preserve"> Guidance</w:t>
      </w:r>
      <w:r w:rsidR="00131EBE" w:rsidRPr="005C51BA">
        <w:rPr>
          <w:rFonts w:ascii="Arial" w:hAnsi="Arial" w:cs="Arial"/>
          <w:sz w:val="24"/>
          <w:szCs w:val="24"/>
        </w:rPr>
        <w:t xml:space="preserve"> Synergy North uses</w:t>
      </w:r>
      <w:r w:rsidR="009F09A9" w:rsidRPr="005C51BA">
        <w:rPr>
          <w:rFonts w:ascii="Arial" w:hAnsi="Arial" w:cs="Arial"/>
          <w:sz w:val="24"/>
          <w:szCs w:val="24"/>
        </w:rPr>
        <w:t xml:space="preserve"> actual</w:t>
      </w:r>
      <w:r w:rsidR="00D94837" w:rsidRPr="005C51BA">
        <w:rPr>
          <w:rFonts w:ascii="Arial" w:hAnsi="Arial" w:cs="Arial"/>
          <w:sz w:val="24"/>
          <w:szCs w:val="24"/>
        </w:rPr>
        <w:t xml:space="preserve"> monthly</w:t>
      </w:r>
      <w:r w:rsidR="009F09A9" w:rsidRPr="005C51BA">
        <w:rPr>
          <w:rFonts w:ascii="Arial" w:hAnsi="Arial" w:cs="Arial"/>
          <w:sz w:val="24"/>
          <w:szCs w:val="24"/>
        </w:rPr>
        <w:t xml:space="preserve"> consum</w:t>
      </w:r>
      <w:r w:rsidR="00D94837" w:rsidRPr="005C51BA">
        <w:rPr>
          <w:rFonts w:ascii="Arial" w:hAnsi="Arial" w:cs="Arial"/>
          <w:sz w:val="24"/>
          <w:szCs w:val="24"/>
        </w:rPr>
        <w:t>ption</w:t>
      </w:r>
      <w:r w:rsidR="009F09A9" w:rsidRPr="005C51BA">
        <w:rPr>
          <w:rFonts w:ascii="Arial" w:hAnsi="Arial" w:cs="Arial"/>
          <w:sz w:val="24"/>
          <w:szCs w:val="24"/>
        </w:rPr>
        <w:t xml:space="preserve"> data for its GA Analysis Work</w:t>
      </w:r>
      <w:r w:rsidR="005C51BA">
        <w:rPr>
          <w:rFonts w:ascii="Arial" w:hAnsi="Arial" w:cs="Arial"/>
          <w:sz w:val="24"/>
          <w:szCs w:val="24"/>
        </w:rPr>
        <w:t xml:space="preserve"> </w:t>
      </w:r>
      <w:r w:rsidR="009F09A9" w:rsidRPr="005C51BA">
        <w:rPr>
          <w:rFonts w:ascii="Arial" w:hAnsi="Arial" w:cs="Arial"/>
          <w:sz w:val="24"/>
          <w:szCs w:val="24"/>
        </w:rPr>
        <w:t xml:space="preserve">form </w:t>
      </w:r>
      <w:r w:rsidRPr="005C51BA">
        <w:rPr>
          <w:rFonts w:ascii="Arial" w:hAnsi="Arial" w:cs="Arial"/>
          <w:sz w:val="24"/>
          <w:szCs w:val="24"/>
        </w:rPr>
        <w:t>settlement</w:t>
      </w:r>
      <w:r w:rsidR="00D94837" w:rsidRPr="005C51BA">
        <w:rPr>
          <w:rFonts w:ascii="Arial" w:hAnsi="Arial" w:cs="Arial"/>
          <w:sz w:val="24"/>
          <w:szCs w:val="24"/>
        </w:rPr>
        <w:t>. Th</w:t>
      </w:r>
      <w:r w:rsidR="005C51BA" w:rsidRPr="005C51BA">
        <w:rPr>
          <w:rFonts w:ascii="Arial" w:hAnsi="Arial" w:cs="Arial"/>
          <w:sz w:val="24"/>
          <w:szCs w:val="24"/>
        </w:rPr>
        <w:t>e Non-RPP report</w:t>
      </w:r>
      <w:r w:rsidR="00D94837" w:rsidRPr="005C51BA">
        <w:rPr>
          <w:rFonts w:ascii="Arial" w:hAnsi="Arial" w:cs="Arial"/>
          <w:sz w:val="24"/>
          <w:szCs w:val="24"/>
        </w:rPr>
        <w:t xml:space="preserve"> </w:t>
      </w:r>
      <w:r w:rsidR="009F09A9" w:rsidRPr="005C51BA">
        <w:rPr>
          <w:rFonts w:ascii="Arial" w:hAnsi="Arial" w:cs="Arial"/>
          <w:sz w:val="24"/>
          <w:szCs w:val="24"/>
        </w:rPr>
        <w:t>ex</w:t>
      </w:r>
      <w:r w:rsidRPr="005C51BA">
        <w:rPr>
          <w:rFonts w:ascii="Arial" w:hAnsi="Arial" w:cs="Arial"/>
          <w:sz w:val="24"/>
          <w:szCs w:val="24"/>
        </w:rPr>
        <w:t>tract</w:t>
      </w:r>
      <w:r w:rsidR="005C51BA" w:rsidRPr="005C51BA">
        <w:rPr>
          <w:rFonts w:ascii="Arial" w:hAnsi="Arial" w:cs="Arial"/>
          <w:sz w:val="24"/>
          <w:szCs w:val="24"/>
        </w:rPr>
        <w:t>s</w:t>
      </w:r>
      <w:r w:rsidRPr="005C51BA">
        <w:rPr>
          <w:rFonts w:ascii="Arial" w:hAnsi="Arial" w:cs="Arial"/>
          <w:sz w:val="24"/>
          <w:szCs w:val="24"/>
        </w:rPr>
        <w:t xml:space="preserve"> from the system</w:t>
      </w:r>
      <w:r w:rsidR="009F09A9" w:rsidRPr="005C51BA">
        <w:rPr>
          <w:rFonts w:ascii="Arial" w:hAnsi="Arial" w:cs="Arial"/>
          <w:sz w:val="24"/>
          <w:szCs w:val="24"/>
        </w:rPr>
        <w:t xml:space="preserve"> kwh </w:t>
      </w:r>
      <w:r w:rsidR="00D94837" w:rsidRPr="005C51BA">
        <w:rPr>
          <w:rFonts w:ascii="Arial" w:hAnsi="Arial" w:cs="Arial"/>
          <w:sz w:val="24"/>
          <w:szCs w:val="24"/>
        </w:rPr>
        <w:t>consumed for Non-RPP classified customers</w:t>
      </w:r>
      <w:r w:rsidR="009F09A9" w:rsidRPr="005C51BA">
        <w:rPr>
          <w:rFonts w:ascii="Arial" w:hAnsi="Arial" w:cs="Arial"/>
          <w:sz w:val="24"/>
          <w:szCs w:val="24"/>
        </w:rPr>
        <w:t xml:space="preserve"> throughout the year. </w:t>
      </w:r>
    </w:p>
    <w:p w14:paraId="24D2E019" w14:textId="48EBEC55" w:rsidR="005705E4" w:rsidRPr="0082273F" w:rsidRDefault="005705E4" w:rsidP="00E914A3">
      <w:pPr>
        <w:pStyle w:val="ListParagraph"/>
        <w:spacing w:after="0" w:line="264" w:lineRule="auto"/>
        <w:ind w:left="2160"/>
        <w:rPr>
          <w:rFonts w:ascii="Arial" w:hAnsi="Arial" w:cs="Arial"/>
          <w:sz w:val="24"/>
          <w:szCs w:val="24"/>
          <w:highlight w:val="yellow"/>
        </w:rPr>
      </w:pPr>
    </w:p>
    <w:p w14:paraId="1DD65D23" w14:textId="43BFBC8A" w:rsidR="005705E4" w:rsidRPr="0082273F" w:rsidRDefault="005705E4" w:rsidP="00E914A3">
      <w:pPr>
        <w:pStyle w:val="ListParagraph"/>
        <w:spacing w:after="0" w:line="264" w:lineRule="auto"/>
        <w:ind w:left="2160"/>
        <w:rPr>
          <w:rFonts w:ascii="Arial" w:hAnsi="Arial" w:cs="Arial"/>
          <w:sz w:val="24"/>
          <w:szCs w:val="24"/>
          <w:highlight w:val="yellow"/>
        </w:rPr>
      </w:pPr>
    </w:p>
    <w:p w14:paraId="04BB3880" w14:textId="245BF8C8" w:rsidR="00D94837" w:rsidRPr="005C51BA" w:rsidRDefault="00C558DC" w:rsidP="00317BEC">
      <w:pPr>
        <w:spacing w:after="0" w:line="264" w:lineRule="auto"/>
        <w:ind w:left="720"/>
        <w:rPr>
          <w:rFonts w:ascii="Arial" w:hAnsi="Arial" w:cs="Arial"/>
          <w:sz w:val="24"/>
          <w:szCs w:val="24"/>
        </w:rPr>
      </w:pPr>
      <w:r w:rsidRPr="005C51BA">
        <w:rPr>
          <w:rFonts w:ascii="Arial" w:hAnsi="Arial" w:cs="Arial"/>
          <w:sz w:val="24"/>
          <w:szCs w:val="24"/>
        </w:rPr>
        <w:t xml:space="preserve">During </w:t>
      </w:r>
      <w:r w:rsidR="00D94837" w:rsidRPr="005C51BA">
        <w:rPr>
          <w:rFonts w:ascii="Arial" w:hAnsi="Arial" w:cs="Arial"/>
          <w:sz w:val="24"/>
          <w:szCs w:val="24"/>
        </w:rPr>
        <w:t>Synergy North’s</w:t>
      </w:r>
      <w:r w:rsidRPr="005C51BA">
        <w:rPr>
          <w:rFonts w:ascii="Arial" w:hAnsi="Arial" w:cs="Arial"/>
          <w:sz w:val="24"/>
          <w:szCs w:val="24"/>
        </w:rPr>
        <w:t xml:space="preserve"> analysis for </w:t>
      </w:r>
      <w:r w:rsidR="009A10CB">
        <w:rPr>
          <w:rFonts w:ascii="Arial" w:hAnsi="Arial" w:cs="Arial"/>
          <w:sz w:val="24"/>
          <w:szCs w:val="24"/>
        </w:rPr>
        <w:t>B</w:t>
      </w:r>
      <w:r w:rsidRPr="005C51BA">
        <w:rPr>
          <w:rFonts w:ascii="Arial" w:hAnsi="Arial" w:cs="Arial"/>
          <w:sz w:val="24"/>
          <w:szCs w:val="24"/>
        </w:rPr>
        <w:t xml:space="preserve">oard </w:t>
      </w:r>
      <w:r w:rsidR="009A10CB">
        <w:rPr>
          <w:rFonts w:ascii="Arial" w:hAnsi="Arial" w:cs="Arial"/>
          <w:sz w:val="24"/>
          <w:szCs w:val="24"/>
        </w:rPr>
        <w:t>S</w:t>
      </w:r>
      <w:r w:rsidRPr="005C51BA">
        <w:rPr>
          <w:rFonts w:ascii="Arial" w:hAnsi="Arial" w:cs="Arial"/>
          <w:sz w:val="24"/>
          <w:szCs w:val="24"/>
        </w:rPr>
        <w:t>taff question</w:t>
      </w:r>
      <w:r w:rsidR="00131EBE" w:rsidRPr="005C51BA">
        <w:rPr>
          <w:rFonts w:ascii="Arial" w:hAnsi="Arial" w:cs="Arial"/>
          <w:sz w:val="24"/>
          <w:szCs w:val="24"/>
        </w:rPr>
        <w:t xml:space="preserve"> #12</w:t>
      </w:r>
      <w:r w:rsidRPr="005C51BA">
        <w:rPr>
          <w:rFonts w:ascii="Arial" w:hAnsi="Arial" w:cs="Arial"/>
          <w:sz w:val="24"/>
          <w:szCs w:val="24"/>
        </w:rPr>
        <w:t xml:space="preserve"> Synergy North has performed a data </w:t>
      </w:r>
      <w:r w:rsidR="005C51BA" w:rsidRPr="005C51BA">
        <w:rPr>
          <w:rFonts w:ascii="Arial" w:hAnsi="Arial" w:cs="Arial"/>
          <w:sz w:val="24"/>
          <w:szCs w:val="24"/>
        </w:rPr>
        <w:t>review</w:t>
      </w:r>
      <w:r w:rsidRPr="005C51BA">
        <w:rPr>
          <w:rFonts w:ascii="Arial" w:hAnsi="Arial" w:cs="Arial"/>
          <w:sz w:val="24"/>
          <w:szCs w:val="24"/>
        </w:rPr>
        <w:t xml:space="preserve"> of its RRR Year End</w:t>
      </w:r>
      <w:r w:rsidR="008F3E43" w:rsidRPr="005C51BA">
        <w:rPr>
          <w:rFonts w:ascii="Arial" w:hAnsi="Arial" w:cs="Arial"/>
          <w:sz w:val="24"/>
          <w:szCs w:val="24"/>
        </w:rPr>
        <w:t xml:space="preserve"> system r</w:t>
      </w:r>
      <w:r w:rsidRPr="005C51BA">
        <w:rPr>
          <w:rFonts w:ascii="Arial" w:hAnsi="Arial" w:cs="Arial"/>
          <w:sz w:val="24"/>
          <w:szCs w:val="24"/>
        </w:rPr>
        <w:t xml:space="preserve">eport and has discovered </w:t>
      </w:r>
      <w:r w:rsidR="00131EBE" w:rsidRPr="005C51BA">
        <w:rPr>
          <w:rFonts w:ascii="Arial" w:hAnsi="Arial" w:cs="Arial"/>
          <w:sz w:val="24"/>
          <w:szCs w:val="24"/>
        </w:rPr>
        <w:t>two</w:t>
      </w:r>
      <w:r w:rsidRPr="005C51BA">
        <w:rPr>
          <w:rFonts w:ascii="Arial" w:hAnsi="Arial" w:cs="Arial"/>
          <w:sz w:val="24"/>
          <w:szCs w:val="24"/>
        </w:rPr>
        <w:t xml:space="preserve"> anomalies that have occurred </w:t>
      </w:r>
      <w:r w:rsidR="00131EBE" w:rsidRPr="005C51BA">
        <w:rPr>
          <w:rFonts w:ascii="Arial" w:hAnsi="Arial" w:cs="Arial"/>
          <w:sz w:val="24"/>
          <w:szCs w:val="24"/>
        </w:rPr>
        <w:t>in the</w:t>
      </w:r>
      <w:r w:rsidR="0010604D" w:rsidRPr="005C51BA">
        <w:rPr>
          <w:rFonts w:ascii="Arial" w:hAnsi="Arial" w:cs="Arial"/>
          <w:sz w:val="24"/>
          <w:szCs w:val="24"/>
        </w:rPr>
        <w:t xml:space="preserve"> 2018</w:t>
      </w:r>
      <w:r w:rsidR="00131EBE" w:rsidRPr="005C51BA">
        <w:rPr>
          <w:rFonts w:ascii="Arial" w:hAnsi="Arial" w:cs="Arial"/>
          <w:sz w:val="24"/>
          <w:szCs w:val="24"/>
        </w:rPr>
        <w:t xml:space="preserve"> report </w:t>
      </w:r>
      <w:r w:rsidR="00D94837" w:rsidRPr="005C51BA">
        <w:rPr>
          <w:rFonts w:ascii="Arial" w:hAnsi="Arial" w:cs="Arial"/>
          <w:sz w:val="24"/>
          <w:szCs w:val="24"/>
        </w:rPr>
        <w:t>that we</w:t>
      </w:r>
      <w:r w:rsidRPr="005C51BA">
        <w:rPr>
          <w:rFonts w:ascii="Arial" w:hAnsi="Arial" w:cs="Arial"/>
          <w:sz w:val="24"/>
          <w:szCs w:val="24"/>
        </w:rPr>
        <w:t xml:space="preserve"> w</w:t>
      </w:r>
      <w:r w:rsidR="00131EBE" w:rsidRPr="005C51BA">
        <w:rPr>
          <w:rFonts w:ascii="Arial" w:hAnsi="Arial" w:cs="Arial"/>
          <w:sz w:val="24"/>
          <w:szCs w:val="24"/>
        </w:rPr>
        <w:t>ould like to address.</w:t>
      </w:r>
      <w:r w:rsidRPr="005C51BA">
        <w:rPr>
          <w:rFonts w:ascii="Arial" w:hAnsi="Arial" w:cs="Arial"/>
          <w:sz w:val="24"/>
          <w:szCs w:val="24"/>
        </w:rPr>
        <w:t xml:space="preserve">  </w:t>
      </w:r>
    </w:p>
    <w:p w14:paraId="6778A984" w14:textId="77777777" w:rsidR="00D94837" w:rsidRDefault="00D94837" w:rsidP="00317BEC">
      <w:pPr>
        <w:spacing w:after="0" w:line="264" w:lineRule="auto"/>
        <w:ind w:left="720"/>
        <w:rPr>
          <w:rFonts w:ascii="Arial" w:hAnsi="Arial" w:cs="Arial"/>
          <w:sz w:val="24"/>
          <w:szCs w:val="24"/>
          <w:highlight w:val="yellow"/>
        </w:rPr>
      </w:pPr>
    </w:p>
    <w:p w14:paraId="350703DA" w14:textId="20808099" w:rsidR="00C558DC" w:rsidRPr="005C51BA" w:rsidRDefault="008F3E43" w:rsidP="00317BEC">
      <w:pPr>
        <w:spacing w:after="0" w:line="264" w:lineRule="auto"/>
        <w:ind w:left="720"/>
        <w:rPr>
          <w:rFonts w:ascii="Arial" w:hAnsi="Arial" w:cs="Arial"/>
          <w:sz w:val="24"/>
          <w:szCs w:val="24"/>
        </w:rPr>
      </w:pPr>
      <w:r w:rsidRPr="005C51BA">
        <w:rPr>
          <w:rFonts w:ascii="Arial" w:hAnsi="Arial" w:cs="Arial"/>
          <w:sz w:val="24"/>
          <w:szCs w:val="24"/>
        </w:rPr>
        <w:t>Th</w:t>
      </w:r>
      <w:r w:rsidR="00D94837" w:rsidRPr="005C51BA">
        <w:rPr>
          <w:rFonts w:ascii="Arial" w:hAnsi="Arial" w:cs="Arial"/>
          <w:sz w:val="24"/>
          <w:szCs w:val="24"/>
        </w:rPr>
        <w:t>ese two corrections</w:t>
      </w:r>
      <w:r w:rsidRPr="005C51BA">
        <w:rPr>
          <w:rFonts w:ascii="Arial" w:hAnsi="Arial" w:cs="Arial"/>
          <w:sz w:val="24"/>
          <w:szCs w:val="24"/>
        </w:rPr>
        <w:t xml:space="preserve"> will </w:t>
      </w:r>
      <w:r w:rsidR="000B4B2D" w:rsidRPr="005C51BA">
        <w:rPr>
          <w:rFonts w:ascii="Arial" w:hAnsi="Arial" w:cs="Arial"/>
          <w:sz w:val="24"/>
          <w:szCs w:val="24"/>
        </w:rPr>
        <w:t xml:space="preserve">reallocate kWh between RPP and Non-RPP reported and </w:t>
      </w:r>
      <w:r w:rsidRPr="005C51BA">
        <w:rPr>
          <w:rFonts w:ascii="Arial" w:hAnsi="Arial" w:cs="Arial"/>
          <w:sz w:val="24"/>
          <w:szCs w:val="24"/>
        </w:rPr>
        <w:t>correct the loss factor calculation</w:t>
      </w:r>
      <w:r w:rsidR="00D94837" w:rsidRPr="005C51BA">
        <w:rPr>
          <w:rFonts w:ascii="Arial" w:hAnsi="Arial" w:cs="Arial"/>
          <w:sz w:val="24"/>
          <w:szCs w:val="24"/>
        </w:rPr>
        <w:t xml:space="preserve"> to a reasonable figure</w:t>
      </w:r>
      <w:r w:rsidRPr="005C51BA">
        <w:rPr>
          <w:rFonts w:ascii="Arial" w:hAnsi="Arial" w:cs="Arial"/>
          <w:sz w:val="24"/>
          <w:szCs w:val="24"/>
        </w:rPr>
        <w:t xml:space="preserve">. </w:t>
      </w:r>
    </w:p>
    <w:p w14:paraId="4772C96F" w14:textId="3369C15A" w:rsidR="00C558DC" w:rsidRPr="0082273F" w:rsidRDefault="00C558DC" w:rsidP="00317BEC">
      <w:pPr>
        <w:spacing w:after="0" w:line="264" w:lineRule="auto"/>
        <w:ind w:left="720"/>
        <w:rPr>
          <w:rFonts w:ascii="Arial" w:hAnsi="Arial" w:cs="Arial"/>
          <w:sz w:val="24"/>
          <w:szCs w:val="24"/>
          <w:highlight w:val="yellow"/>
        </w:rPr>
      </w:pPr>
    </w:p>
    <w:p w14:paraId="017D47AE" w14:textId="6AC5F093" w:rsidR="00131EBE" w:rsidRPr="005C51BA" w:rsidRDefault="00C558DC" w:rsidP="00C558DC">
      <w:pPr>
        <w:pStyle w:val="ListParagraph"/>
        <w:numPr>
          <w:ilvl w:val="0"/>
          <w:numId w:val="24"/>
        </w:numPr>
        <w:spacing w:after="0" w:line="264" w:lineRule="auto"/>
        <w:rPr>
          <w:rFonts w:ascii="Arial" w:hAnsi="Arial" w:cs="Arial"/>
          <w:sz w:val="24"/>
          <w:szCs w:val="24"/>
        </w:rPr>
      </w:pPr>
      <w:r w:rsidRPr="005C51BA">
        <w:rPr>
          <w:rFonts w:ascii="Arial" w:hAnsi="Arial" w:cs="Arial"/>
          <w:sz w:val="24"/>
          <w:szCs w:val="24"/>
        </w:rPr>
        <w:t>Class A Transition Customer</w:t>
      </w:r>
      <w:r w:rsidR="00131EBE" w:rsidRPr="005C51BA">
        <w:rPr>
          <w:rFonts w:ascii="Arial" w:hAnsi="Arial" w:cs="Arial"/>
          <w:sz w:val="24"/>
          <w:szCs w:val="24"/>
        </w:rPr>
        <w:t xml:space="preserve"> </w:t>
      </w:r>
      <w:r w:rsidR="00347818" w:rsidRPr="005C51BA">
        <w:rPr>
          <w:rFonts w:ascii="Arial" w:hAnsi="Arial" w:cs="Arial"/>
          <w:sz w:val="24"/>
          <w:szCs w:val="24"/>
        </w:rPr>
        <w:t>adjustment</w:t>
      </w:r>
      <w:r w:rsidR="00131EBE" w:rsidRPr="005C51BA">
        <w:rPr>
          <w:rFonts w:ascii="Arial" w:hAnsi="Arial" w:cs="Arial"/>
          <w:sz w:val="24"/>
          <w:szCs w:val="24"/>
        </w:rPr>
        <w:t xml:space="preserve">:  </w:t>
      </w:r>
      <w:proofErr w:type="spellStart"/>
      <w:r w:rsidR="005C51BA" w:rsidRPr="005C51BA">
        <w:rPr>
          <w:rFonts w:ascii="Arial" w:hAnsi="Arial" w:cs="Arial"/>
          <w:sz w:val="24"/>
          <w:szCs w:val="24"/>
        </w:rPr>
        <w:t>C</w:t>
      </w:r>
      <w:r w:rsidR="00131EBE" w:rsidRPr="005C51BA">
        <w:rPr>
          <w:rFonts w:ascii="Arial" w:hAnsi="Arial" w:cs="Arial"/>
          <w:sz w:val="24"/>
          <w:szCs w:val="24"/>
        </w:rPr>
        <w:t>nsumption</w:t>
      </w:r>
      <w:proofErr w:type="spellEnd"/>
      <w:r w:rsidR="00131EBE" w:rsidRPr="005C51BA">
        <w:rPr>
          <w:rFonts w:ascii="Arial" w:hAnsi="Arial" w:cs="Arial"/>
          <w:sz w:val="24"/>
          <w:szCs w:val="24"/>
        </w:rPr>
        <w:t xml:space="preserve"> data</w:t>
      </w:r>
      <w:r w:rsidR="0082273F" w:rsidRPr="005C51BA">
        <w:rPr>
          <w:rFonts w:ascii="Arial" w:hAnsi="Arial" w:cs="Arial"/>
          <w:sz w:val="24"/>
          <w:szCs w:val="24"/>
        </w:rPr>
        <w:t xml:space="preserve"> </w:t>
      </w:r>
      <w:r w:rsidR="0010604D" w:rsidRPr="005C51BA">
        <w:rPr>
          <w:rFonts w:ascii="Arial" w:hAnsi="Arial" w:cs="Arial"/>
          <w:sz w:val="24"/>
          <w:szCs w:val="24"/>
        </w:rPr>
        <w:t xml:space="preserve">in the amount of </w:t>
      </w:r>
      <w:r w:rsidR="0082273F" w:rsidRPr="005C51BA">
        <w:rPr>
          <w:rFonts w:ascii="Arial" w:hAnsi="Arial" w:cs="Arial"/>
          <w:sz w:val="24"/>
          <w:szCs w:val="24"/>
        </w:rPr>
        <w:t>1,681,344 kWh and 2,064 kW</w:t>
      </w:r>
      <w:r w:rsidR="00131EBE" w:rsidRPr="005C51BA">
        <w:rPr>
          <w:rFonts w:ascii="Arial" w:hAnsi="Arial" w:cs="Arial"/>
          <w:sz w:val="24"/>
          <w:szCs w:val="24"/>
        </w:rPr>
        <w:t xml:space="preserve"> for customer #1 </w:t>
      </w:r>
      <w:r w:rsidR="0010604D" w:rsidRPr="005C51BA">
        <w:rPr>
          <w:rFonts w:ascii="Arial" w:hAnsi="Arial" w:cs="Arial"/>
          <w:sz w:val="24"/>
          <w:szCs w:val="24"/>
        </w:rPr>
        <w:t>was</w:t>
      </w:r>
      <w:r w:rsidR="0082273F" w:rsidRPr="005C51BA">
        <w:rPr>
          <w:rFonts w:ascii="Arial" w:hAnsi="Arial" w:cs="Arial"/>
          <w:sz w:val="24"/>
          <w:szCs w:val="24"/>
        </w:rPr>
        <w:t xml:space="preserve"> </w:t>
      </w:r>
      <w:r w:rsidR="0010604D" w:rsidRPr="005C51BA">
        <w:rPr>
          <w:rFonts w:ascii="Arial" w:hAnsi="Arial" w:cs="Arial"/>
          <w:sz w:val="24"/>
          <w:szCs w:val="24"/>
        </w:rPr>
        <w:t>categorized at</w:t>
      </w:r>
      <w:r w:rsidR="0082273F" w:rsidRPr="005C51BA">
        <w:rPr>
          <w:rFonts w:ascii="Arial" w:hAnsi="Arial" w:cs="Arial"/>
          <w:sz w:val="24"/>
          <w:szCs w:val="24"/>
        </w:rPr>
        <w:t xml:space="preserve"> year end </w:t>
      </w:r>
      <w:r w:rsidR="00131EBE" w:rsidRPr="005C51BA">
        <w:rPr>
          <w:rFonts w:ascii="Arial" w:hAnsi="Arial" w:cs="Arial"/>
          <w:sz w:val="24"/>
          <w:szCs w:val="24"/>
        </w:rPr>
        <w:t xml:space="preserve">incorrectly as </w:t>
      </w:r>
      <w:r w:rsidR="0010604D" w:rsidRPr="005C51BA">
        <w:rPr>
          <w:rFonts w:ascii="Arial" w:hAnsi="Arial" w:cs="Arial"/>
          <w:sz w:val="24"/>
          <w:szCs w:val="24"/>
        </w:rPr>
        <w:t>“</w:t>
      </w:r>
      <w:r w:rsidR="00131EBE" w:rsidRPr="005C51BA">
        <w:rPr>
          <w:rFonts w:ascii="Arial" w:hAnsi="Arial" w:cs="Arial"/>
          <w:sz w:val="24"/>
          <w:szCs w:val="24"/>
        </w:rPr>
        <w:t>Class B – Non RPP</w:t>
      </w:r>
      <w:r w:rsidR="0010604D" w:rsidRPr="005C51BA">
        <w:rPr>
          <w:rFonts w:ascii="Arial" w:hAnsi="Arial" w:cs="Arial"/>
          <w:sz w:val="24"/>
          <w:szCs w:val="24"/>
        </w:rPr>
        <w:t>”</w:t>
      </w:r>
      <w:r w:rsidR="00AE69B9" w:rsidRPr="005C51BA">
        <w:rPr>
          <w:rFonts w:ascii="Arial" w:hAnsi="Arial" w:cs="Arial"/>
          <w:sz w:val="24"/>
          <w:szCs w:val="24"/>
        </w:rPr>
        <w:t xml:space="preserve"> in the system report</w:t>
      </w:r>
      <w:r w:rsidR="00131EBE" w:rsidRPr="005C51BA">
        <w:rPr>
          <w:rFonts w:ascii="Arial" w:hAnsi="Arial" w:cs="Arial"/>
          <w:sz w:val="24"/>
          <w:szCs w:val="24"/>
        </w:rPr>
        <w:t xml:space="preserve">.  Synergy North </w:t>
      </w:r>
      <w:r w:rsidR="009C283E" w:rsidRPr="005C51BA">
        <w:rPr>
          <w:rFonts w:ascii="Arial" w:hAnsi="Arial" w:cs="Arial"/>
          <w:sz w:val="24"/>
          <w:szCs w:val="24"/>
        </w:rPr>
        <w:t>has updated</w:t>
      </w:r>
      <w:r w:rsidR="00131EBE" w:rsidRPr="005C51BA">
        <w:rPr>
          <w:rFonts w:ascii="Arial" w:hAnsi="Arial" w:cs="Arial"/>
          <w:sz w:val="24"/>
          <w:szCs w:val="24"/>
        </w:rPr>
        <w:t xml:space="preserve"> Tab 6. Class A Consumption Data from:</w:t>
      </w:r>
    </w:p>
    <w:p w14:paraId="6A727328" w14:textId="77777777" w:rsidR="00131EBE" w:rsidRPr="005C51BA" w:rsidRDefault="00131EBE" w:rsidP="00131EBE">
      <w:pPr>
        <w:spacing w:after="0" w:line="264" w:lineRule="auto"/>
        <w:rPr>
          <w:rFonts w:ascii="Arial" w:hAnsi="Arial" w:cs="Arial"/>
          <w:sz w:val="24"/>
          <w:szCs w:val="24"/>
        </w:rPr>
      </w:pPr>
    </w:p>
    <w:p w14:paraId="20B2040D" w14:textId="3C74FBD5" w:rsidR="00131EBE" w:rsidRPr="005C51BA" w:rsidRDefault="009C283E" w:rsidP="00131EBE">
      <w:pPr>
        <w:spacing w:after="0" w:line="264" w:lineRule="auto"/>
        <w:rPr>
          <w:rFonts w:ascii="Arial" w:hAnsi="Arial" w:cs="Arial"/>
          <w:sz w:val="24"/>
          <w:szCs w:val="24"/>
        </w:rPr>
      </w:pPr>
      <w:r w:rsidRPr="005C51BA">
        <w:rPr>
          <w:rFonts w:ascii="Arial" w:hAnsi="Arial" w:cs="Arial"/>
          <w:sz w:val="24"/>
          <w:szCs w:val="24"/>
        </w:rPr>
        <w:t>As Filed:</w:t>
      </w:r>
    </w:p>
    <w:p w14:paraId="33A0E739" w14:textId="5689B8D1" w:rsidR="00131EBE" w:rsidRPr="005C51BA" w:rsidRDefault="00131EBE" w:rsidP="00131EBE">
      <w:pPr>
        <w:spacing w:after="0" w:line="264" w:lineRule="auto"/>
        <w:jc w:val="center"/>
        <w:rPr>
          <w:rFonts w:ascii="Arial" w:hAnsi="Arial" w:cs="Arial"/>
          <w:sz w:val="24"/>
          <w:szCs w:val="24"/>
        </w:rPr>
      </w:pPr>
      <w:r w:rsidRPr="005C51BA">
        <w:rPr>
          <w:rFonts w:ascii="Arial" w:hAnsi="Arial" w:cs="Arial"/>
          <w:noProof/>
          <w:sz w:val="24"/>
          <w:szCs w:val="24"/>
        </w:rPr>
        <w:drawing>
          <wp:inline distT="0" distB="0" distL="0" distR="0" wp14:anchorId="7C840902" wp14:editId="705A7ED2">
            <wp:extent cx="4292821" cy="1466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2821" cy="1466925"/>
                    </a:xfrm>
                    <a:prstGeom prst="rect">
                      <a:avLst/>
                    </a:prstGeom>
                  </pic:spPr>
                </pic:pic>
              </a:graphicData>
            </a:graphic>
          </wp:inline>
        </w:drawing>
      </w:r>
    </w:p>
    <w:p w14:paraId="494C7A4D" w14:textId="0D10F41E" w:rsidR="00131EBE" w:rsidRDefault="00131EBE" w:rsidP="00131EBE">
      <w:pPr>
        <w:spacing w:after="0" w:line="264" w:lineRule="auto"/>
        <w:rPr>
          <w:rFonts w:ascii="Arial" w:hAnsi="Arial" w:cs="Arial"/>
          <w:sz w:val="24"/>
          <w:szCs w:val="24"/>
        </w:rPr>
      </w:pPr>
    </w:p>
    <w:p w14:paraId="5E71DC38" w14:textId="511A2875" w:rsidR="009A10CB" w:rsidRDefault="009A10CB" w:rsidP="00131EBE">
      <w:pPr>
        <w:spacing w:after="0" w:line="264" w:lineRule="auto"/>
        <w:rPr>
          <w:rFonts w:ascii="Arial" w:hAnsi="Arial" w:cs="Arial"/>
          <w:sz w:val="24"/>
          <w:szCs w:val="24"/>
        </w:rPr>
      </w:pPr>
    </w:p>
    <w:p w14:paraId="738F01B8" w14:textId="5041DB4A" w:rsidR="009A10CB" w:rsidRDefault="009A10CB" w:rsidP="00131EBE">
      <w:pPr>
        <w:spacing w:after="0" w:line="264" w:lineRule="auto"/>
        <w:rPr>
          <w:rFonts w:ascii="Arial" w:hAnsi="Arial" w:cs="Arial"/>
          <w:sz w:val="24"/>
          <w:szCs w:val="24"/>
        </w:rPr>
      </w:pPr>
    </w:p>
    <w:p w14:paraId="09869202" w14:textId="0A9C0E54" w:rsidR="009A10CB" w:rsidRDefault="009A10CB" w:rsidP="00131EBE">
      <w:pPr>
        <w:spacing w:after="0" w:line="264" w:lineRule="auto"/>
        <w:rPr>
          <w:rFonts w:ascii="Arial" w:hAnsi="Arial" w:cs="Arial"/>
          <w:sz w:val="24"/>
          <w:szCs w:val="24"/>
        </w:rPr>
      </w:pPr>
    </w:p>
    <w:p w14:paraId="1FDE5774" w14:textId="2FCDB3B1" w:rsidR="009A10CB" w:rsidRDefault="009A10CB" w:rsidP="00131EBE">
      <w:pPr>
        <w:spacing w:after="0" w:line="264" w:lineRule="auto"/>
        <w:rPr>
          <w:rFonts w:ascii="Arial" w:hAnsi="Arial" w:cs="Arial"/>
          <w:sz w:val="24"/>
          <w:szCs w:val="24"/>
        </w:rPr>
      </w:pPr>
    </w:p>
    <w:p w14:paraId="017349C6" w14:textId="3EE1D472" w:rsidR="009A10CB" w:rsidRDefault="009A10CB" w:rsidP="00131EBE">
      <w:pPr>
        <w:spacing w:after="0" w:line="264" w:lineRule="auto"/>
        <w:rPr>
          <w:rFonts w:ascii="Arial" w:hAnsi="Arial" w:cs="Arial"/>
          <w:sz w:val="24"/>
          <w:szCs w:val="24"/>
        </w:rPr>
      </w:pPr>
    </w:p>
    <w:p w14:paraId="789FF6FF" w14:textId="2BD39B49" w:rsidR="009A10CB" w:rsidRDefault="009A10CB" w:rsidP="00131EBE">
      <w:pPr>
        <w:spacing w:after="0" w:line="264" w:lineRule="auto"/>
        <w:rPr>
          <w:rFonts w:ascii="Arial" w:hAnsi="Arial" w:cs="Arial"/>
          <w:sz w:val="24"/>
          <w:szCs w:val="24"/>
        </w:rPr>
      </w:pPr>
    </w:p>
    <w:p w14:paraId="6FF902BA" w14:textId="3EEA9727" w:rsidR="009A10CB" w:rsidRDefault="009A10CB" w:rsidP="00131EBE">
      <w:pPr>
        <w:spacing w:after="0" w:line="264" w:lineRule="auto"/>
        <w:rPr>
          <w:rFonts w:ascii="Arial" w:hAnsi="Arial" w:cs="Arial"/>
          <w:sz w:val="24"/>
          <w:szCs w:val="24"/>
        </w:rPr>
      </w:pPr>
    </w:p>
    <w:p w14:paraId="48B57721" w14:textId="77777777" w:rsidR="009A10CB" w:rsidRPr="005C51BA" w:rsidRDefault="009A10CB" w:rsidP="00131EBE">
      <w:pPr>
        <w:spacing w:after="0" w:line="264" w:lineRule="auto"/>
        <w:rPr>
          <w:rFonts w:ascii="Arial" w:hAnsi="Arial" w:cs="Arial"/>
          <w:sz w:val="24"/>
          <w:szCs w:val="24"/>
        </w:rPr>
      </w:pPr>
    </w:p>
    <w:p w14:paraId="191C5CB3" w14:textId="72194AB1" w:rsidR="00131EBE" w:rsidRPr="005C51BA" w:rsidRDefault="00C316FA" w:rsidP="00131EBE">
      <w:pPr>
        <w:spacing w:after="0" w:line="264" w:lineRule="auto"/>
        <w:rPr>
          <w:rFonts w:ascii="Arial" w:hAnsi="Arial" w:cs="Arial"/>
          <w:sz w:val="24"/>
          <w:szCs w:val="24"/>
        </w:rPr>
      </w:pPr>
      <w:r w:rsidRPr="005C51BA">
        <w:rPr>
          <w:rFonts w:ascii="Arial" w:hAnsi="Arial" w:cs="Arial"/>
          <w:sz w:val="24"/>
          <w:szCs w:val="24"/>
        </w:rPr>
        <w:t>Revised</w:t>
      </w:r>
      <w:r w:rsidR="00FB04E6" w:rsidRPr="005C51BA">
        <w:rPr>
          <w:rFonts w:ascii="Arial" w:hAnsi="Arial" w:cs="Arial"/>
          <w:sz w:val="24"/>
          <w:szCs w:val="24"/>
        </w:rPr>
        <w:t xml:space="preserve"> in Red</w:t>
      </w:r>
      <w:r w:rsidR="00131EBE" w:rsidRPr="005C51BA">
        <w:rPr>
          <w:rFonts w:ascii="Arial" w:hAnsi="Arial" w:cs="Arial"/>
          <w:sz w:val="24"/>
          <w:szCs w:val="24"/>
        </w:rPr>
        <w:t xml:space="preserve">: </w:t>
      </w:r>
    </w:p>
    <w:p w14:paraId="16C13A19" w14:textId="0DDE878F" w:rsidR="00131EBE" w:rsidRPr="005C51BA" w:rsidRDefault="00131EBE" w:rsidP="00131EBE">
      <w:pPr>
        <w:spacing w:after="0" w:line="264" w:lineRule="auto"/>
        <w:rPr>
          <w:rFonts w:ascii="Arial" w:hAnsi="Arial" w:cs="Arial"/>
          <w:sz w:val="24"/>
          <w:szCs w:val="24"/>
        </w:rPr>
      </w:pPr>
    </w:p>
    <w:p w14:paraId="2D032E73" w14:textId="0CDD26E4" w:rsidR="00131EBE" w:rsidRPr="005C51BA" w:rsidRDefault="00131EBE" w:rsidP="00131EBE">
      <w:pPr>
        <w:spacing w:after="0" w:line="264" w:lineRule="auto"/>
        <w:jc w:val="center"/>
        <w:rPr>
          <w:rFonts w:ascii="Arial" w:hAnsi="Arial" w:cs="Arial"/>
          <w:sz w:val="24"/>
          <w:szCs w:val="24"/>
        </w:rPr>
      </w:pPr>
      <w:r w:rsidRPr="005C51BA">
        <w:rPr>
          <w:rFonts w:ascii="Arial" w:hAnsi="Arial" w:cs="Arial"/>
          <w:noProof/>
          <w:sz w:val="24"/>
          <w:szCs w:val="24"/>
        </w:rPr>
        <w:drawing>
          <wp:inline distT="0" distB="0" distL="0" distR="0" wp14:anchorId="1B29A138" wp14:editId="271A9126">
            <wp:extent cx="4762745" cy="1371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2745" cy="1371670"/>
                    </a:xfrm>
                    <a:prstGeom prst="rect">
                      <a:avLst/>
                    </a:prstGeom>
                  </pic:spPr>
                </pic:pic>
              </a:graphicData>
            </a:graphic>
          </wp:inline>
        </w:drawing>
      </w:r>
    </w:p>
    <w:p w14:paraId="1C224F5D" w14:textId="77777777" w:rsidR="00131EBE" w:rsidRPr="005C51BA" w:rsidRDefault="00131EBE" w:rsidP="00131EBE">
      <w:pPr>
        <w:spacing w:after="0" w:line="264" w:lineRule="auto"/>
        <w:rPr>
          <w:rFonts w:ascii="Arial" w:hAnsi="Arial" w:cs="Arial"/>
          <w:sz w:val="24"/>
          <w:szCs w:val="24"/>
        </w:rPr>
      </w:pPr>
    </w:p>
    <w:p w14:paraId="7B2B6286" w14:textId="14EFF47C" w:rsidR="00C558DC" w:rsidRPr="005C51BA" w:rsidRDefault="0082273F" w:rsidP="0082273F">
      <w:pPr>
        <w:spacing w:after="0" w:line="264" w:lineRule="auto"/>
        <w:jc w:val="center"/>
        <w:rPr>
          <w:rFonts w:ascii="Arial" w:hAnsi="Arial" w:cs="Arial"/>
          <w:sz w:val="24"/>
          <w:szCs w:val="24"/>
        </w:rPr>
      </w:pPr>
      <w:r w:rsidRPr="005C51BA">
        <w:rPr>
          <w:rFonts w:ascii="Arial" w:hAnsi="Arial" w:cs="Arial"/>
          <w:noProof/>
          <w:sz w:val="24"/>
          <w:szCs w:val="24"/>
        </w:rPr>
        <w:drawing>
          <wp:inline distT="0" distB="0" distL="0" distR="0" wp14:anchorId="37B99A12" wp14:editId="66586833">
            <wp:extent cx="1206562" cy="12065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06562" cy="1206562"/>
                    </a:xfrm>
                    <a:prstGeom prst="rect">
                      <a:avLst/>
                    </a:prstGeom>
                  </pic:spPr>
                </pic:pic>
              </a:graphicData>
            </a:graphic>
          </wp:inline>
        </w:drawing>
      </w:r>
    </w:p>
    <w:p w14:paraId="5483040D" w14:textId="413F39BE" w:rsidR="00AE69B9" w:rsidRPr="005C51BA" w:rsidRDefault="00AE69B9" w:rsidP="0082273F">
      <w:pPr>
        <w:spacing w:after="0" w:line="264" w:lineRule="auto"/>
        <w:jc w:val="center"/>
        <w:rPr>
          <w:rFonts w:ascii="Arial" w:hAnsi="Arial" w:cs="Arial"/>
          <w:sz w:val="24"/>
          <w:szCs w:val="24"/>
        </w:rPr>
      </w:pPr>
    </w:p>
    <w:p w14:paraId="319711C1" w14:textId="6C5A033B" w:rsidR="00AE69B9" w:rsidRPr="005C51BA" w:rsidRDefault="00AE69B9" w:rsidP="003D14E5">
      <w:pPr>
        <w:spacing w:after="0" w:line="264" w:lineRule="auto"/>
        <w:ind w:left="720"/>
        <w:rPr>
          <w:rFonts w:ascii="Arial" w:hAnsi="Arial" w:cs="Arial"/>
          <w:sz w:val="24"/>
          <w:szCs w:val="24"/>
        </w:rPr>
      </w:pPr>
      <w:r w:rsidRPr="005C51BA">
        <w:rPr>
          <w:rFonts w:ascii="Arial" w:hAnsi="Arial" w:cs="Arial"/>
          <w:sz w:val="24"/>
          <w:szCs w:val="24"/>
        </w:rPr>
        <w:t xml:space="preserve">The impact of this </w:t>
      </w:r>
      <w:r w:rsidR="0010604D" w:rsidRPr="005C51BA">
        <w:rPr>
          <w:rFonts w:ascii="Arial" w:hAnsi="Arial" w:cs="Arial"/>
          <w:sz w:val="24"/>
          <w:szCs w:val="24"/>
        </w:rPr>
        <w:t>movement</w:t>
      </w:r>
      <w:r w:rsidRPr="005C51BA">
        <w:rPr>
          <w:rFonts w:ascii="Arial" w:hAnsi="Arial" w:cs="Arial"/>
          <w:sz w:val="24"/>
          <w:szCs w:val="24"/>
        </w:rPr>
        <w:t xml:space="preserve"> is </w:t>
      </w:r>
      <w:r w:rsidR="003D14E5" w:rsidRPr="005C51BA">
        <w:rPr>
          <w:rFonts w:ascii="Arial" w:hAnsi="Arial" w:cs="Arial"/>
          <w:sz w:val="24"/>
          <w:szCs w:val="24"/>
        </w:rPr>
        <w:t xml:space="preserve">very minimal and </w:t>
      </w:r>
      <w:r w:rsidRPr="005C51BA">
        <w:rPr>
          <w:rFonts w:ascii="Arial" w:hAnsi="Arial" w:cs="Arial"/>
          <w:sz w:val="24"/>
          <w:szCs w:val="24"/>
        </w:rPr>
        <w:t>a reallocation of GA disposition of ($2,497) from Class A customers to Class B Non-RPP customers</w:t>
      </w:r>
      <w:r w:rsidR="0010604D" w:rsidRPr="005C51BA">
        <w:rPr>
          <w:rFonts w:ascii="Arial" w:hAnsi="Arial" w:cs="Arial"/>
          <w:sz w:val="24"/>
          <w:szCs w:val="24"/>
        </w:rPr>
        <w:t>.</w:t>
      </w:r>
    </w:p>
    <w:p w14:paraId="48E24ECF" w14:textId="77777777" w:rsidR="0010604D" w:rsidRPr="0082273F" w:rsidRDefault="0010604D" w:rsidP="003D14E5">
      <w:pPr>
        <w:spacing w:after="0" w:line="264" w:lineRule="auto"/>
        <w:ind w:left="720"/>
        <w:rPr>
          <w:rFonts w:ascii="Arial" w:hAnsi="Arial" w:cs="Arial"/>
          <w:sz w:val="24"/>
          <w:szCs w:val="24"/>
          <w:highlight w:val="yellow"/>
        </w:rPr>
      </w:pPr>
    </w:p>
    <w:p w14:paraId="7F9B719F" w14:textId="4CC98A1E" w:rsidR="00C558DC" w:rsidRPr="0082273F" w:rsidRDefault="00C558DC" w:rsidP="00C558DC">
      <w:pPr>
        <w:spacing w:after="0" w:line="264" w:lineRule="auto"/>
        <w:rPr>
          <w:rFonts w:ascii="Arial" w:hAnsi="Arial" w:cs="Arial"/>
          <w:sz w:val="24"/>
          <w:szCs w:val="24"/>
          <w:highlight w:val="yellow"/>
        </w:rPr>
      </w:pPr>
    </w:p>
    <w:p w14:paraId="6AC4903D" w14:textId="644F03F0" w:rsidR="00C558DC" w:rsidRPr="00774007" w:rsidRDefault="0082273F" w:rsidP="00C558DC">
      <w:pPr>
        <w:pStyle w:val="ListParagraph"/>
        <w:numPr>
          <w:ilvl w:val="0"/>
          <w:numId w:val="24"/>
        </w:numPr>
        <w:spacing w:after="0" w:line="264" w:lineRule="auto"/>
        <w:rPr>
          <w:rFonts w:ascii="Arial" w:hAnsi="Arial" w:cs="Arial"/>
          <w:sz w:val="24"/>
          <w:szCs w:val="24"/>
        </w:rPr>
      </w:pPr>
      <w:r w:rsidRPr="00774007">
        <w:rPr>
          <w:rFonts w:ascii="Arial" w:hAnsi="Arial" w:cs="Arial"/>
          <w:sz w:val="24"/>
          <w:szCs w:val="24"/>
        </w:rPr>
        <w:t>Customers Movement</w:t>
      </w:r>
      <w:r w:rsidR="00295AFF" w:rsidRPr="00774007">
        <w:rPr>
          <w:rFonts w:ascii="Arial" w:hAnsi="Arial" w:cs="Arial"/>
          <w:sz w:val="24"/>
          <w:szCs w:val="24"/>
        </w:rPr>
        <w:t xml:space="preserve"> from RPP to Non RPP Adjustment:</w:t>
      </w:r>
      <w:r w:rsidRPr="00774007">
        <w:rPr>
          <w:rFonts w:ascii="Arial" w:hAnsi="Arial" w:cs="Arial"/>
          <w:sz w:val="24"/>
          <w:szCs w:val="24"/>
        </w:rPr>
        <w:t xml:space="preserve"> </w:t>
      </w:r>
    </w:p>
    <w:p w14:paraId="0CFF58D2" w14:textId="3C4A9335" w:rsidR="0082273F" w:rsidRPr="00774007" w:rsidRDefault="0082273F" w:rsidP="0082273F">
      <w:pPr>
        <w:spacing w:after="0" w:line="264" w:lineRule="auto"/>
        <w:ind w:left="720"/>
        <w:rPr>
          <w:rFonts w:ascii="Arial" w:hAnsi="Arial" w:cs="Arial"/>
          <w:sz w:val="24"/>
          <w:szCs w:val="24"/>
        </w:rPr>
      </w:pPr>
    </w:p>
    <w:p w14:paraId="13FE1998" w14:textId="0780FF00" w:rsidR="0082273F" w:rsidRPr="00774007" w:rsidRDefault="0082273F" w:rsidP="0082273F">
      <w:pPr>
        <w:spacing w:after="0" w:line="264" w:lineRule="auto"/>
        <w:ind w:left="720"/>
        <w:rPr>
          <w:rFonts w:ascii="Arial" w:hAnsi="Arial" w:cs="Arial"/>
          <w:sz w:val="24"/>
          <w:szCs w:val="24"/>
        </w:rPr>
      </w:pPr>
      <w:r w:rsidRPr="00774007">
        <w:rPr>
          <w:rFonts w:ascii="Arial" w:hAnsi="Arial" w:cs="Arial"/>
          <w:sz w:val="24"/>
          <w:szCs w:val="24"/>
        </w:rPr>
        <w:t>Throughout the year customers</w:t>
      </w:r>
      <w:r w:rsidR="0010604D" w:rsidRPr="00774007">
        <w:rPr>
          <w:rFonts w:ascii="Arial" w:hAnsi="Arial" w:cs="Arial"/>
          <w:sz w:val="24"/>
          <w:szCs w:val="24"/>
        </w:rPr>
        <w:t xml:space="preserve"> will</w:t>
      </w:r>
      <w:r w:rsidRPr="00774007">
        <w:rPr>
          <w:rFonts w:ascii="Arial" w:hAnsi="Arial" w:cs="Arial"/>
          <w:sz w:val="24"/>
          <w:szCs w:val="24"/>
        </w:rPr>
        <w:t xml:space="preserve"> </w:t>
      </w:r>
      <w:r w:rsidR="00AC3EB3" w:rsidRPr="00774007">
        <w:rPr>
          <w:rFonts w:ascii="Arial" w:hAnsi="Arial" w:cs="Arial"/>
          <w:sz w:val="24"/>
          <w:szCs w:val="24"/>
        </w:rPr>
        <w:t xml:space="preserve">move on and off RPP pricing.  </w:t>
      </w:r>
    </w:p>
    <w:p w14:paraId="05E11C8D" w14:textId="2810F6A9" w:rsidR="00AC3EB3" w:rsidRPr="00774007" w:rsidRDefault="00AC3EB3" w:rsidP="0082273F">
      <w:pPr>
        <w:spacing w:after="0" w:line="264" w:lineRule="auto"/>
        <w:ind w:left="720"/>
        <w:rPr>
          <w:rFonts w:ascii="Arial" w:hAnsi="Arial" w:cs="Arial"/>
          <w:sz w:val="24"/>
          <w:szCs w:val="24"/>
        </w:rPr>
      </w:pPr>
    </w:p>
    <w:p w14:paraId="2DD37608" w14:textId="18DE05CE" w:rsidR="00AC3EB3" w:rsidRPr="00774007" w:rsidRDefault="00AC3EB3" w:rsidP="0082273F">
      <w:pPr>
        <w:spacing w:after="0" w:line="264" w:lineRule="auto"/>
        <w:ind w:left="720"/>
        <w:rPr>
          <w:rFonts w:ascii="Arial" w:hAnsi="Arial" w:cs="Arial"/>
          <w:sz w:val="24"/>
          <w:szCs w:val="24"/>
        </w:rPr>
      </w:pPr>
      <w:r w:rsidRPr="00774007">
        <w:rPr>
          <w:rFonts w:ascii="Arial" w:hAnsi="Arial" w:cs="Arial"/>
          <w:sz w:val="24"/>
          <w:szCs w:val="24"/>
        </w:rPr>
        <w:t xml:space="preserve">During Synergy North’s </w:t>
      </w:r>
      <w:r w:rsidR="0010604D" w:rsidRPr="00774007">
        <w:rPr>
          <w:rFonts w:ascii="Arial" w:hAnsi="Arial" w:cs="Arial"/>
          <w:sz w:val="24"/>
          <w:szCs w:val="24"/>
        </w:rPr>
        <w:t xml:space="preserve">data </w:t>
      </w:r>
      <w:r w:rsidR="00774007" w:rsidRPr="00774007">
        <w:rPr>
          <w:rFonts w:ascii="Arial" w:hAnsi="Arial" w:cs="Arial"/>
          <w:sz w:val="24"/>
          <w:szCs w:val="24"/>
        </w:rPr>
        <w:t xml:space="preserve">review, </w:t>
      </w:r>
      <w:r w:rsidRPr="00774007">
        <w:rPr>
          <w:rFonts w:ascii="Arial" w:hAnsi="Arial" w:cs="Arial"/>
          <w:sz w:val="24"/>
          <w:szCs w:val="24"/>
        </w:rPr>
        <w:t>it was discovered that the methodology used for RRR year end reporting had captured customer records from retailer billing as SS</w:t>
      </w:r>
      <w:r w:rsidR="0010604D" w:rsidRPr="00774007">
        <w:rPr>
          <w:rFonts w:ascii="Arial" w:hAnsi="Arial" w:cs="Arial"/>
          <w:sz w:val="24"/>
          <w:szCs w:val="24"/>
        </w:rPr>
        <w:t xml:space="preserve"> in the amount of 38,541,747 kWh. Although</w:t>
      </w:r>
      <w:r w:rsidR="00295AFF" w:rsidRPr="00774007">
        <w:rPr>
          <w:rFonts w:ascii="Arial" w:hAnsi="Arial" w:cs="Arial"/>
          <w:sz w:val="24"/>
          <w:szCs w:val="24"/>
        </w:rPr>
        <w:t xml:space="preserve"> </w:t>
      </w:r>
      <w:r w:rsidR="00C316FA" w:rsidRPr="00774007">
        <w:rPr>
          <w:rFonts w:ascii="Arial" w:hAnsi="Arial" w:cs="Arial"/>
          <w:sz w:val="24"/>
          <w:szCs w:val="24"/>
        </w:rPr>
        <w:t>Total Metered kWh remains the same, the di</w:t>
      </w:r>
      <w:r w:rsidRPr="00774007">
        <w:rPr>
          <w:rFonts w:ascii="Arial" w:hAnsi="Arial" w:cs="Arial"/>
          <w:sz w:val="24"/>
          <w:szCs w:val="24"/>
        </w:rPr>
        <w:t>stribution of</w:t>
      </w:r>
      <w:r w:rsidR="00C316FA" w:rsidRPr="00774007">
        <w:rPr>
          <w:rFonts w:ascii="Arial" w:hAnsi="Arial" w:cs="Arial"/>
          <w:sz w:val="24"/>
          <w:szCs w:val="24"/>
        </w:rPr>
        <w:t xml:space="preserve"> Metered kWh for Non-RPP</w:t>
      </w:r>
      <w:r w:rsidRPr="00774007">
        <w:rPr>
          <w:rFonts w:ascii="Arial" w:hAnsi="Arial" w:cs="Arial"/>
          <w:sz w:val="24"/>
          <w:szCs w:val="24"/>
        </w:rPr>
        <w:t xml:space="preserve"> </w:t>
      </w:r>
      <w:r w:rsidR="00C316FA" w:rsidRPr="00774007">
        <w:rPr>
          <w:rFonts w:ascii="Arial" w:hAnsi="Arial" w:cs="Arial"/>
          <w:sz w:val="24"/>
          <w:szCs w:val="24"/>
        </w:rPr>
        <w:t>customers was reported</w:t>
      </w:r>
      <w:r w:rsidR="00295AFF" w:rsidRPr="00774007">
        <w:rPr>
          <w:rFonts w:ascii="Arial" w:hAnsi="Arial" w:cs="Arial"/>
          <w:sz w:val="24"/>
          <w:szCs w:val="24"/>
        </w:rPr>
        <w:t xml:space="preserve"> too</w:t>
      </w:r>
      <w:r w:rsidR="00C316FA" w:rsidRPr="00774007">
        <w:rPr>
          <w:rFonts w:ascii="Arial" w:hAnsi="Arial" w:cs="Arial"/>
          <w:sz w:val="24"/>
          <w:szCs w:val="24"/>
        </w:rPr>
        <w:t xml:space="preserve"> low at year end </w:t>
      </w:r>
      <w:r w:rsidR="00295AFF" w:rsidRPr="00774007">
        <w:rPr>
          <w:rFonts w:ascii="Arial" w:hAnsi="Arial" w:cs="Arial"/>
          <w:sz w:val="24"/>
          <w:szCs w:val="24"/>
        </w:rPr>
        <w:t xml:space="preserve">because </w:t>
      </w:r>
      <w:r w:rsidR="0010604D" w:rsidRPr="00774007">
        <w:rPr>
          <w:rFonts w:ascii="Arial" w:hAnsi="Arial" w:cs="Arial"/>
          <w:sz w:val="24"/>
          <w:szCs w:val="24"/>
        </w:rPr>
        <w:t xml:space="preserve">the consumption for those customers that </w:t>
      </w:r>
      <w:r w:rsidR="00774007" w:rsidRPr="00774007">
        <w:rPr>
          <w:rFonts w:ascii="Arial" w:hAnsi="Arial" w:cs="Arial"/>
          <w:sz w:val="24"/>
          <w:szCs w:val="24"/>
        </w:rPr>
        <w:t>opted</w:t>
      </w:r>
      <w:r w:rsidR="0010604D" w:rsidRPr="00774007">
        <w:rPr>
          <w:rFonts w:ascii="Arial" w:hAnsi="Arial" w:cs="Arial"/>
          <w:sz w:val="24"/>
          <w:szCs w:val="24"/>
        </w:rPr>
        <w:t xml:space="preserve"> out of Non-RPP pricing were categorized as RPP for cu</w:t>
      </w:r>
      <w:r w:rsidR="00295AFF" w:rsidRPr="00774007">
        <w:rPr>
          <w:rFonts w:ascii="Arial" w:hAnsi="Arial" w:cs="Arial"/>
          <w:sz w:val="24"/>
          <w:szCs w:val="24"/>
        </w:rPr>
        <w:t xml:space="preserve">stomer pricing status. </w:t>
      </w:r>
      <w:r w:rsidRPr="00774007">
        <w:rPr>
          <w:rFonts w:ascii="Arial" w:hAnsi="Arial" w:cs="Arial"/>
          <w:sz w:val="24"/>
          <w:szCs w:val="24"/>
        </w:rPr>
        <w:t xml:space="preserve"> </w:t>
      </w:r>
    </w:p>
    <w:p w14:paraId="59D7F57B" w14:textId="77777777" w:rsidR="00295AFF" w:rsidRPr="00774007" w:rsidRDefault="00295AFF" w:rsidP="0082273F">
      <w:pPr>
        <w:spacing w:after="0" w:line="264" w:lineRule="auto"/>
        <w:ind w:left="720"/>
        <w:rPr>
          <w:rFonts w:ascii="Arial" w:hAnsi="Arial" w:cs="Arial"/>
          <w:sz w:val="24"/>
          <w:szCs w:val="24"/>
        </w:rPr>
      </w:pPr>
    </w:p>
    <w:p w14:paraId="1768DB0A" w14:textId="56B69626" w:rsidR="00AC3EB3" w:rsidRPr="00774007" w:rsidRDefault="00AC3EB3" w:rsidP="0082273F">
      <w:pPr>
        <w:spacing w:after="0" w:line="264" w:lineRule="auto"/>
        <w:ind w:left="720"/>
        <w:rPr>
          <w:rFonts w:ascii="Arial" w:hAnsi="Arial" w:cs="Arial"/>
          <w:sz w:val="24"/>
          <w:szCs w:val="24"/>
        </w:rPr>
      </w:pPr>
      <w:r w:rsidRPr="00774007">
        <w:rPr>
          <w:rFonts w:ascii="Arial" w:hAnsi="Arial" w:cs="Arial"/>
          <w:sz w:val="24"/>
          <w:szCs w:val="24"/>
        </w:rPr>
        <w:t>This discovery will require a</w:t>
      </w:r>
      <w:r w:rsidR="00C90C3C" w:rsidRPr="00774007">
        <w:rPr>
          <w:rFonts w:ascii="Arial" w:hAnsi="Arial" w:cs="Arial"/>
          <w:sz w:val="24"/>
          <w:szCs w:val="24"/>
        </w:rPr>
        <w:t>n</w:t>
      </w:r>
      <w:r w:rsidRPr="00774007">
        <w:rPr>
          <w:rFonts w:ascii="Arial" w:hAnsi="Arial" w:cs="Arial"/>
          <w:sz w:val="24"/>
          <w:szCs w:val="24"/>
        </w:rPr>
        <w:t xml:space="preserve"> RRR revision to its year end record</w:t>
      </w:r>
      <w:r w:rsidR="00295AFF" w:rsidRPr="00774007">
        <w:rPr>
          <w:rFonts w:ascii="Arial" w:hAnsi="Arial" w:cs="Arial"/>
          <w:sz w:val="24"/>
          <w:szCs w:val="24"/>
        </w:rPr>
        <w:t xml:space="preserve"> to reallocate the kWh between RPP and Non-RPP customer pricing categories. </w:t>
      </w:r>
    </w:p>
    <w:p w14:paraId="174A0A07" w14:textId="0E6F5A14" w:rsidR="005705E4" w:rsidRPr="00774007" w:rsidRDefault="005705E4" w:rsidP="00E914A3">
      <w:pPr>
        <w:pStyle w:val="ListParagraph"/>
        <w:spacing w:after="0" w:line="264" w:lineRule="auto"/>
        <w:ind w:left="2160"/>
        <w:rPr>
          <w:rFonts w:ascii="Arial" w:hAnsi="Arial" w:cs="Arial"/>
          <w:sz w:val="24"/>
          <w:szCs w:val="24"/>
        </w:rPr>
      </w:pPr>
    </w:p>
    <w:p w14:paraId="74CA3028" w14:textId="77777777" w:rsidR="00295AFF" w:rsidRPr="00774007" w:rsidRDefault="00295AFF" w:rsidP="00F6772C">
      <w:pPr>
        <w:pStyle w:val="ListParagraph"/>
        <w:spacing w:after="0" w:line="264" w:lineRule="auto"/>
        <w:rPr>
          <w:rFonts w:ascii="Arial" w:hAnsi="Arial" w:cs="Arial"/>
          <w:sz w:val="24"/>
          <w:szCs w:val="24"/>
        </w:rPr>
      </w:pPr>
    </w:p>
    <w:p w14:paraId="07E2376E" w14:textId="77777777" w:rsidR="00295AFF" w:rsidRDefault="00295AFF" w:rsidP="00F6772C">
      <w:pPr>
        <w:pStyle w:val="ListParagraph"/>
        <w:spacing w:after="0" w:line="264" w:lineRule="auto"/>
        <w:rPr>
          <w:rFonts w:ascii="Arial" w:hAnsi="Arial" w:cs="Arial"/>
          <w:sz w:val="24"/>
          <w:szCs w:val="24"/>
          <w:highlight w:val="yellow"/>
        </w:rPr>
      </w:pPr>
    </w:p>
    <w:p w14:paraId="040F91B4" w14:textId="77777777" w:rsidR="00295AFF" w:rsidRDefault="00295AFF" w:rsidP="00F6772C">
      <w:pPr>
        <w:pStyle w:val="ListParagraph"/>
        <w:spacing w:after="0" w:line="264" w:lineRule="auto"/>
        <w:rPr>
          <w:rFonts w:ascii="Arial" w:hAnsi="Arial" w:cs="Arial"/>
          <w:sz w:val="24"/>
          <w:szCs w:val="24"/>
          <w:highlight w:val="yellow"/>
        </w:rPr>
      </w:pPr>
    </w:p>
    <w:p w14:paraId="37BEDE55" w14:textId="77777777" w:rsidR="00295AFF" w:rsidRDefault="00295AFF" w:rsidP="00F6772C">
      <w:pPr>
        <w:pStyle w:val="ListParagraph"/>
        <w:spacing w:after="0" w:line="264" w:lineRule="auto"/>
        <w:rPr>
          <w:rFonts w:ascii="Arial" w:hAnsi="Arial" w:cs="Arial"/>
          <w:sz w:val="24"/>
          <w:szCs w:val="24"/>
          <w:highlight w:val="yellow"/>
        </w:rPr>
      </w:pPr>
    </w:p>
    <w:p w14:paraId="0F355F22" w14:textId="77777777" w:rsidR="00295AFF" w:rsidRDefault="00295AFF" w:rsidP="00F6772C">
      <w:pPr>
        <w:pStyle w:val="ListParagraph"/>
        <w:spacing w:after="0" w:line="264" w:lineRule="auto"/>
        <w:rPr>
          <w:rFonts w:ascii="Arial" w:hAnsi="Arial" w:cs="Arial"/>
          <w:sz w:val="24"/>
          <w:szCs w:val="24"/>
          <w:highlight w:val="yellow"/>
        </w:rPr>
      </w:pPr>
    </w:p>
    <w:p w14:paraId="4E8AC448" w14:textId="77777777" w:rsidR="00295AFF" w:rsidRDefault="00295AFF" w:rsidP="00F6772C">
      <w:pPr>
        <w:pStyle w:val="ListParagraph"/>
        <w:spacing w:after="0" w:line="264" w:lineRule="auto"/>
        <w:rPr>
          <w:rFonts w:ascii="Arial" w:hAnsi="Arial" w:cs="Arial"/>
          <w:sz w:val="24"/>
          <w:szCs w:val="24"/>
          <w:highlight w:val="yellow"/>
        </w:rPr>
      </w:pPr>
    </w:p>
    <w:p w14:paraId="4EABC2EC" w14:textId="77777777" w:rsidR="00295AFF" w:rsidRDefault="00295AFF" w:rsidP="00F6772C">
      <w:pPr>
        <w:pStyle w:val="ListParagraph"/>
        <w:spacing w:after="0" w:line="264" w:lineRule="auto"/>
        <w:rPr>
          <w:rFonts w:ascii="Arial" w:hAnsi="Arial" w:cs="Arial"/>
          <w:sz w:val="24"/>
          <w:szCs w:val="24"/>
          <w:highlight w:val="yellow"/>
        </w:rPr>
      </w:pPr>
    </w:p>
    <w:p w14:paraId="72FA9C30" w14:textId="77777777" w:rsidR="00295AFF" w:rsidRDefault="00295AFF" w:rsidP="00F6772C">
      <w:pPr>
        <w:pStyle w:val="ListParagraph"/>
        <w:spacing w:after="0" w:line="264" w:lineRule="auto"/>
        <w:rPr>
          <w:rFonts w:ascii="Arial" w:hAnsi="Arial" w:cs="Arial"/>
          <w:sz w:val="24"/>
          <w:szCs w:val="24"/>
          <w:highlight w:val="yellow"/>
        </w:rPr>
      </w:pPr>
    </w:p>
    <w:p w14:paraId="1CFFF8F3" w14:textId="77777777" w:rsidR="00295AFF" w:rsidRPr="00633262" w:rsidRDefault="00295AFF" w:rsidP="00F6772C">
      <w:pPr>
        <w:pStyle w:val="ListParagraph"/>
        <w:spacing w:after="0" w:line="264" w:lineRule="auto"/>
        <w:rPr>
          <w:rFonts w:ascii="Arial" w:hAnsi="Arial" w:cs="Arial"/>
          <w:sz w:val="24"/>
          <w:szCs w:val="24"/>
        </w:rPr>
      </w:pPr>
    </w:p>
    <w:p w14:paraId="115D70E1" w14:textId="77777777" w:rsidR="00295AFF" w:rsidRPr="00633262" w:rsidRDefault="00295AFF" w:rsidP="00F6772C">
      <w:pPr>
        <w:pStyle w:val="ListParagraph"/>
        <w:spacing w:after="0" w:line="264" w:lineRule="auto"/>
        <w:rPr>
          <w:rFonts w:ascii="Arial" w:hAnsi="Arial" w:cs="Arial"/>
          <w:sz w:val="24"/>
          <w:szCs w:val="24"/>
        </w:rPr>
      </w:pPr>
    </w:p>
    <w:p w14:paraId="0C09485B" w14:textId="77777777" w:rsidR="00295AFF" w:rsidRPr="00633262" w:rsidRDefault="00295AFF" w:rsidP="00F6772C">
      <w:pPr>
        <w:pStyle w:val="ListParagraph"/>
        <w:spacing w:after="0" w:line="264" w:lineRule="auto"/>
        <w:rPr>
          <w:rFonts w:ascii="Arial" w:hAnsi="Arial" w:cs="Arial"/>
          <w:sz w:val="24"/>
          <w:szCs w:val="24"/>
        </w:rPr>
      </w:pPr>
    </w:p>
    <w:p w14:paraId="622A3C77" w14:textId="77777777" w:rsidR="00295AFF" w:rsidRPr="00633262" w:rsidRDefault="00295AFF" w:rsidP="00F6772C">
      <w:pPr>
        <w:pStyle w:val="ListParagraph"/>
        <w:spacing w:after="0" w:line="264" w:lineRule="auto"/>
        <w:rPr>
          <w:rFonts w:ascii="Arial" w:hAnsi="Arial" w:cs="Arial"/>
          <w:sz w:val="24"/>
          <w:szCs w:val="24"/>
        </w:rPr>
      </w:pPr>
    </w:p>
    <w:p w14:paraId="46BA43F1" w14:textId="52372A24" w:rsidR="00C558DC" w:rsidRPr="00633262" w:rsidRDefault="00C558DC" w:rsidP="00F6772C">
      <w:pPr>
        <w:pStyle w:val="ListParagraph"/>
        <w:spacing w:after="0" w:line="264" w:lineRule="auto"/>
        <w:rPr>
          <w:rFonts w:ascii="Arial" w:hAnsi="Arial" w:cs="Arial"/>
          <w:sz w:val="24"/>
          <w:szCs w:val="24"/>
        </w:rPr>
      </w:pPr>
      <w:r w:rsidRPr="00633262">
        <w:rPr>
          <w:rFonts w:ascii="Arial" w:hAnsi="Arial" w:cs="Arial"/>
          <w:sz w:val="24"/>
          <w:szCs w:val="24"/>
        </w:rPr>
        <w:t xml:space="preserve">Synergy North asks that </w:t>
      </w:r>
      <w:r w:rsidR="009A10CB">
        <w:rPr>
          <w:rFonts w:ascii="Arial" w:hAnsi="Arial" w:cs="Arial"/>
          <w:sz w:val="24"/>
          <w:szCs w:val="24"/>
        </w:rPr>
        <w:t>B</w:t>
      </w:r>
      <w:r w:rsidRPr="00633262">
        <w:rPr>
          <w:rFonts w:ascii="Arial" w:hAnsi="Arial" w:cs="Arial"/>
          <w:sz w:val="24"/>
          <w:szCs w:val="24"/>
        </w:rPr>
        <w:t xml:space="preserve">oard </w:t>
      </w:r>
      <w:r w:rsidR="009A10CB">
        <w:rPr>
          <w:rFonts w:ascii="Arial" w:hAnsi="Arial" w:cs="Arial"/>
          <w:sz w:val="24"/>
          <w:szCs w:val="24"/>
        </w:rPr>
        <w:t>S</w:t>
      </w:r>
      <w:r w:rsidRPr="00633262">
        <w:rPr>
          <w:rFonts w:ascii="Arial" w:hAnsi="Arial" w:cs="Arial"/>
          <w:sz w:val="24"/>
          <w:szCs w:val="24"/>
        </w:rPr>
        <w:t xml:space="preserve">taff update it IRM Rate Generator Tab </w:t>
      </w:r>
      <w:r w:rsidR="009C283E" w:rsidRPr="00633262">
        <w:rPr>
          <w:rFonts w:ascii="Arial" w:hAnsi="Arial" w:cs="Arial"/>
          <w:sz w:val="24"/>
          <w:szCs w:val="24"/>
        </w:rPr>
        <w:t>“</w:t>
      </w:r>
      <w:r w:rsidRPr="00633262">
        <w:rPr>
          <w:rFonts w:ascii="Arial" w:hAnsi="Arial" w:cs="Arial"/>
          <w:sz w:val="24"/>
          <w:szCs w:val="24"/>
        </w:rPr>
        <w:t xml:space="preserve">4. </w:t>
      </w:r>
      <w:r w:rsidR="009C283E" w:rsidRPr="00633262">
        <w:rPr>
          <w:rFonts w:ascii="Arial" w:hAnsi="Arial" w:cs="Arial"/>
          <w:sz w:val="24"/>
          <w:szCs w:val="24"/>
        </w:rPr>
        <w:t xml:space="preserve">Billing Det. For Def-Var” </w:t>
      </w:r>
      <w:r w:rsidR="00C316FA" w:rsidRPr="00633262">
        <w:rPr>
          <w:rFonts w:ascii="Arial" w:hAnsi="Arial" w:cs="Arial"/>
          <w:sz w:val="24"/>
          <w:szCs w:val="24"/>
        </w:rPr>
        <w:t xml:space="preserve">column “E” </w:t>
      </w:r>
    </w:p>
    <w:p w14:paraId="363757F8" w14:textId="12008176" w:rsidR="00C558DC" w:rsidRPr="00633262" w:rsidRDefault="00C558DC" w:rsidP="00F6772C">
      <w:pPr>
        <w:pStyle w:val="ListParagraph"/>
        <w:spacing w:after="0" w:line="264" w:lineRule="auto"/>
        <w:rPr>
          <w:rFonts w:ascii="Arial" w:hAnsi="Arial" w:cs="Arial"/>
          <w:sz w:val="24"/>
          <w:szCs w:val="24"/>
        </w:rPr>
      </w:pPr>
    </w:p>
    <w:p w14:paraId="38734317" w14:textId="0328AE7D" w:rsidR="00C316FA" w:rsidRPr="00633262" w:rsidRDefault="00C316FA" w:rsidP="00295AFF">
      <w:pPr>
        <w:spacing w:after="0" w:line="264" w:lineRule="auto"/>
        <w:rPr>
          <w:rFonts w:ascii="Arial" w:hAnsi="Arial" w:cs="Arial"/>
          <w:sz w:val="24"/>
          <w:szCs w:val="24"/>
        </w:rPr>
      </w:pPr>
      <w:r w:rsidRPr="00633262">
        <w:rPr>
          <w:rFonts w:ascii="Arial" w:hAnsi="Arial" w:cs="Arial"/>
          <w:sz w:val="24"/>
          <w:szCs w:val="24"/>
        </w:rPr>
        <w:t>As Filed</w:t>
      </w:r>
      <w:r w:rsidR="006A600D" w:rsidRPr="00633262">
        <w:rPr>
          <w:rFonts w:ascii="Arial" w:hAnsi="Arial" w:cs="Arial"/>
          <w:sz w:val="24"/>
          <w:szCs w:val="24"/>
        </w:rPr>
        <w:t xml:space="preserve"> in Green:</w:t>
      </w:r>
      <w:r w:rsidRPr="00633262">
        <w:rPr>
          <w:rFonts w:ascii="Arial" w:hAnsi="Arial" w:cs="Arial"/>
          <w:sz w:val="24"/>
          <w:szCs w:val="24"/>
        </w:rPr>
        <w:t xml:space="preserve"> </w:t>
      </w:r>
    </w:p>
    <w:p w14:paraId="3EBB45A7" w14:textId="21992EB2" w:rsidR="00C558DC" w:rsidRPr="00633262" w:rsidRDefault="00C316FA" w:rsidP="00295AFF">
      <w:pPr>
        <w:spacing w:after="0" w:line="264" w:lineRule="auto"/>
        <w:rPr>
          <w:rFonts w:ascii="Arial" w:hAnsi="Arial" w:cs="Arial"/>
          <w:sz w:val="24"/>
          <w:szCs w:val="24"/>
        </w:rPr>
      </w:pPr>
      <w:r w:rsidRPr="00633262">
        <w:rPr>
          <w:noProof/>
        </w:rPr>
        <w:drawing>
          <wp:inline distT="0" distB="0" distL="0" distR="0" wp14:anchorId="0CA1311E" wp14:editId="3E322576">
            <wp:extent cx="6572979" cy="248663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87039" cy="2491955"/>
                    </a:xfrm>
                    <a:prstGeom prst="rect">
                      <a:avLst/>
                    </a:prstGeom>
                  </pic:spPr>
                </pic:pic>
              </a:graphicData>
            </a:graphic>
          </wp:inline>
        </w:drawing>
      </w:r>
    </w:p>
    <w:p w14:paraId="12F4F2BB" w14:textId="5A10BAF0" w:rsidR="00C558DC" w:rsidRPr="00633262" w:rsidRDefault="00C558DC" w:rsidP="00F6772C">
      <w:pPr>
        <w:pStyle w:val="ListParagraph"/>
        <w:spacing w:after="0" w:line="264" w:lineRule="auto"/>
        <w:rPr>
          <w:rFonts w:ascii="Arial" w:hAnsi="Arial" w:cs="Arial"/>
          <w:sz w:val="24"/>
          <w:szCs w:val="24"/>
        </w:rPr>
      </w:pPr>
    </w:p>
    <w:p w14:paraId="4EE05C35" w14:textId="1CC9D8FE" w:rsidR="00C558DC" w:rsidRPr="00633262" w:rsidRDefault="00C316FA" w:rsidP="00C316FA">
      <w:pPr>
        <w:spacing w:after="0" w:line="264" w:lineRule="auto"/>
        <w:rPr>
          <w:rFonts w:ascii="Arial" w:hAnsi="Arial" w:cs="Arial"/>
          <w:sz w:val="24"/>
          <w:szCs w:val="24"/>
        </w:rPr>
      </w:pPr>
      <w:r w:rsidRPr="00633262">
        <w:rPr>
          <w:rFonts w:ascii="Arial" w:hAnsi="Arial" w:cs="Arial"/>
          <w:sz w:val="24"/>
          <w:szCs w:val="24"/>
        </w:rPr>
        <w:t>Revised</w:t>
      </w:r>
      <w:r w:rsidR="006A600D" w:rsidRPr="00633262">
        <w:rPr>
          <w:rFonts w:ascii="Arial" w:hAnsi="Arial" w:cs="Arial"/>
          <w:sz w:val="24"/>
          <w:szCs w:val="24"/>
        </w:rPr>
        <w:t xml:space="preserve"> in Red</w:t>
      </w:r>
      <w:r w:rsidRPr="00633262">
        <w:rPr>
          <w:rFonts w:ascii="Arial" w:hAnsi="Arial" w:cs="Arial"/>
          <w:sz w:val="24"/>
          <w:szCs w:val="24"/>
        </w:rPr>
        <w:t xml:space="preserve">: </w:t>
      </w:r>
    </w:p>
    <w:p w14:paraId="3A7D582B" w14:textId="75AC3AEA" w:rsidR="00C316FA" w:rsidRPr="00633262" w:rsidRDefault="00C316FA" w:rsidP="00C316FA">
      <w:pPr>
        <w:spacing w:after="0" w:line="264" w:lineRule="auto"/>
        <w:rPr>
          <w:rFonts w:ascii="Arial" w:hAnsi="Arial" w:cs="Arial"/>
          <w:sz w:val="24"/>
          <w:szCs w:val="24"/>
        </w:rPr>
      </w:pPr>
    </w:p>
    <w:p w14:paraId="6B5D2648" w14:textId="394BC00B" w:rsidR="00C316FA" w:rsidRPr="00633262" w:rsidRDefault="00C316FA" w:rsidP="00DE7D3D">
      <w:pPr>
        <w:spacing w:after="0" w:line="264" w:lineRule="auto"/>
        <w:jc w:val="center"/>
        <w:rPr>
          <w:rFonts w:ascii="Arial" w:hAnsi="Arial" w:cs="Arial"/>
          <w:sz w:val="24"/>
          <w:szCs w:val="24"/>
        </w:rPr>
      </w:pPr>
      <w:r w:rsidRPr="00633262">
        <w:rPr>
          <w:rFonts w:ascii="Arial" w:hAnsi="Arial" w:cs="Arial"/>
          <w:noProof/>
          <w:sz w:val="24"/>
          <w:szCs w:val="24"/>
        </w:rPr>
        <w:drawing>
          <wp:inline distT="0" distB="0" distL="0" distR="0" wp14:anchorId="132B3817" wp14:editId="1D1B870D">
            <wp:extent cx="6300913" cy="229552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09022" cy="2298479"/>
                    </a:xfrm>
                    <a:prstGeom prst="rect">
                      <a:avLst/>
                    </a:prstGeom>
                  </pic:spPr>
                </pic:pic>
              </a:graphicData>
            </a:graphic>
          </wp:inline>
        </w:drawing>
      </w:r>
    </w:p>
    <w:p w14:paraId="2A1342AF" w14:textId="3FF20180" w:rsidR="00295AFF" w:rsidRPr="00633262" w:rsidRDefault="00295AFF" w:rsidP="00DE7D3D">
      <w:pPr>
        <w:spacing w:after="0" w:line="264" w:lineRule="auto"/>
        <w:jc w:val="center"/>
        <w:rPr>
          <w:rFonts w:ascii="Arial" w:hAnsi="Arial" w:cs="Arial"/>
          <w:sz w:val="24"/>
          <w:szCs w:val="24"/>
        </w:rPr>
      </w:pPr>
    </w:p>
    <w:p w14:paraId="651B6D19" w14:textId="77777777" w:rsidR="00295AFF" w:rsidRPr="00633262" w:rsidRDefault="00295AFF" w:rsidP="00295AFF">
      <w:pPr>
        <w:spacing w:after="0" w:line="264" w:lineRule="auto"/>
        <w:jc w:val="center"/>
        <w:rPr>
          <w:rFonts w:ascii="Arial" w:hAnsi="Arial" w:cs="Arial"/>
          <w:sz w:val="24"/>
          <w:szCs w:val="24"/>
        </w:rPr>
      </w:pPr>
    </w:p>
    <w:p w14:paraId="683533DE" w14:textId="0F9961CE" w:rsidR="00295AFF" w:rsidRPr="00633262" w:rsidRDefault="00295AFF" w:rsidP="00295AFF">
      <w:pPr>
        <w:spacing w:after="0" w:line="264" w:lineRule="auto"/>
        <w:ind w:left="720"/>
        <w:rPr>
          <w:rFonts w:ascii="Arial" w:hAnsi="Arial" w:cs="Arial"/>
          <w:sz w:val="24"/>
          <w:szCs w:val="24"/>
        </w:rPr>
      </w:pPr>
      <w:r w:rsidRPr="00633262">
        <w:rPr>
          <w:rFonts w:ascii="Arial" w:hAnsi="Arial" w:cs="Arial"/>
          <w:sz w:val="24"/>
          <w:szCs w:val="24"/>
        </w:rPr>
        <w:lastRenderedPageBreak/>
        <w:t>The impact of this variance is very minimal and the increase in Non-RPP consumption results in a</w:t>
      </w:r>
      <w:r w:rsidR="006A600D" w:rsidRPr="00633262">
        <w:rPr>
          <w:rFonts w:ascii="Arial" w:hAnsi="Arial" w:cs="Arial"/>
          <w:sz w:val="24"/>
          <w:szCs w:val="24"/>
        </w:rPr>
        <w:t xml:space="preserve"> </w:t>
      </w:r>
      <w:r w:rsidR="00542A0A">
        <w:rPr>
          <w:rFonts w:ascii="Arial" w:hAnsi="Arial" w:cs="Arial"/>
          <w:sz w:val="24"/>
          <w:szCs w:val="24"/>
        </w:rPr>
        <w:t xml:space="preserve">rate </w:t>
      </w:r>
      <w:r w:rsidR="006A600D" w:rsidRPr="00633262">
        <w:rPr>
          <w:rFonts w:ascii="Arial" w:hAnsi="Arial" w:cs="Arial"/>
          <w:sz w:val="24"/>
          <w:szCs w:val="24"/>
        </w:rPr>
        <w:t>change</w:t>
      </w:r>
      <w:r w:rsidRPr="00633262">
        <w:rPr>
          <w:rFonts w:ascii="Arial" w:hAnsi="Arial" w:cs="Arial"/>
          <w:sz w:val="24"/>
          <w:szCs w:val="24"/>
        </w:rPr>
        <w:t xml:space="preserve"> of </w:t>
      </w:r>
      <w:r w:rsidR="006A600D" w:rsidRPr="00633262">
        <w:rPr>
          <w:rFonts w:ascii="Arial" w:hAnsi="Arial" w:cs="Arial"/>
          <w:sz w:val="24"/>
          <w:szCs w:val="24"/>
        </w:rPr>
        <w:t xml:space="preserve">the </w:t>
      </w:r>
      <w:r w:rsidRPr="00633262">
        <w:rPr>
          <w:rFonts w:ascii="Arial" w:hAnsi="Arial" w:cs="Arial"/>
          <w:sz w:val="24"/>
          <w:szCs w:val="24"/>
        </w:rPr>
        <w:t xml:space="preserve">Class B GA rate rider </w:t>
      </w:r>
      <w:r w:rsidR="006A600D" w:rsidRPr="00633262">
        <w:rPr>
          <w:rFonts w:ascii="Arial" w:hAnsi="Arial" w:cs="Arial"/>
          <w:sz w:val="24"/>
          <w:szCs w:val="24"/>
        </w:rPr>
        <w:t xml:space="preserve">from (0.0013)/kwh to (0.0011)/kwh and increase </w:t>
      </w:r>
      <w:r w:rsidRPr="00633262">
        <w:rPr>
          <w:rFonts w:ascii="Arial" w:hAnsi="Arial" w:cs="Arial"/>
          <w:sz w:val="24"/>
          <w:szCs w:val="24"/>
        </w:rPr>
        <w:t>of 0.0002</w:t>
      </w:r>
      <w:r w:rsidR="006A600D" w:rsidRPr="00633262">
        <w:rPr>
          <w:rFonts w:ascii="Arial" w:hAnsi="Arial" w:cs="Arial"/>
          <w:sz w:val="24"/>
          <w:szCs w:val="24"/>
        </w:rPr>
        <w:t>/kwh</w:t>
      </w:r>
      <w:r w:rsidRPr="00633262">
        <w:rPr>
          <w:rFonts w:ascii="Arial" w:hAnsi="Arial" w:cs="Arial"/>
          <w:sz w:val="24"/>
          <w:szCs w:val="24"/>
        </w:rPr>
        <w:t xml:space="preserve">. </w:t>
      </w:r>
    </w:p>
    <w:p w14:paraId="423061BE" w14:textId="5522927C" w:rsidR="00295AFF" w:rsidRPr="00633262" w:rsidRDefault="00295AFF" w:rsidP="00DE7D3D">
      <w:pPr>
        <w:spacing w:after="0" w:line="264" w:lineRule="auto"/>
        <w:jc w:val="center"/>
        <w:rPr>
          <w:rFonts w:ascii="Arial" w:hAnsi="Arial" w:cs="Arial"/>
          <w:sz w:val="24"/>
          <w:szCs w:val="24"/>
        </w:rPr>
      </w:pPr>
    </w:p>
    <w:p w14:paraId="2A5A7E6F" w14:textId="30CE3637" w:rsidR="00295AFF" w:rsidRDefault="00295AFF" w:rsidP="00DE7D3D">
      <w:pPr>
        <w:spacing w:after="0" w:line="264" w:lineRule="auto"/>
        <w:jc w:val="center"/>
        <w:rPr>
          <w:rFonts w:ascii="Arial" w:hAnsi="Arial" w:cs="Arial"/>
          <w:sz w:val="24"/>
          <w:szCs w:val="24"/>
          <w:highlight w:val="yellow"/>
        </w:rPr>
      </w:pPr>
    </w:p>
    <w:p w14:paraId="7202A5C8" w14:textId="6A9EE6A2" w:rsidR="000022F8" w:rsidRDefault="000022F8" w:rsidP="00DE7D3D">
      <w:pPr>
        <w:spacing w:after="0" w:line="264" w:lineRule="auto"/>
        <w:jc w:val="center"/>
        <w:rPr>
          <w:rFonts w:ascii="Arial" w:hAnsi="Arial" w:cs="Arial"/>
          <w:sz w:val="24"/>
          <w:szCs w:val="24"/>
          <w:highlight w:val="yellow"/>
        </w:rPr>
      </w:pPr>
    </w:p>
    <w:p w14:paraId="6D02D427" w14:textId="77777777" w:rsidR="000022F8" w:rsidRPr="00C316FA" w:rsidRDefault="000022F8" w:rsidP="00DE7D3D">
      <w:pPr>
        <w:spacing w:after="0" w:line="264" w:lineRule="auto"/>
        <w:jc w:val="center"/>
        <w:rPr>
          <w:rFonts w:ascii="Arial" w:hAnsi="Arial" w:cs="Arial"/>
          <w:sz w:val="24"/>
          <w:szCs w:val="24"/>
          <w:highlight w:val="yellow"/>
        </w:rPr>
      </w:pPr>
    </w:p>
    <w:p w14:paraId="3F4FD452" w14:textId="74912048" w:rsidR="00C558DC" w:rsidRPr="00542A0A" w:rsidRDefault="00C558DC" w:rsidP="00F6772C">
      <w:pPr>
        <w:pStyle w:val="ListParagraph"/>
        <w:spacing w:after="0" w:line="264" w:lineRule="auto"/>
        <w:rPr>
          <w:rFonts w:ascii="Arial" w:hAnsi="Arial" w:cs="Arial"/>
          <w:sz w:val="24"/>
          <w:szCs w:val="24"/>
        </w:rPr>
      </w:pPr>
    </w:p>
    <w:p w14:paraId="7E9069D5" w14:textId="27C576B7" w:rsidR="00C558DC" w:rsidRPr="00542A0A" w:rsidRDefault="00C558DC" w:rsidP="00F6772C">
      <w:pPr>
        <w:pStyle w:val="ListParagraph"/>
        <w:spacing w:after="0" w:line="264" w:lineRule="auto"/>
        <w:rPr>
          <w:rFonts w:ascii="Arial" w:hAnsi="Arial" w:cs="Arial"/>
          <w:sz w:val="24"/>
          <w:szCs w:val="24"/>
        </w:rPr>
      </w:pPr>
      <w:r w:rsidRPr="00542A0A">
        <w:rPr>
          <w:rFonts w:ascii="Arial" w:hAnsi="Arial" w:cs="Arial"/>
          <w:sz w:val="24"/>
          <w:szCs w:val="24"/>
        </w:rPr>
        <w:t>Synergy North</w:t>
      </w:r>
      <w:r w:rsidR="00542A0A">
        <w:rPr>
          <w:rFonts w:ascii="Arial" w:hAnsi="Arial" w:cs="Arial"/>
          <w:sz w:val="24"/>
          <w:szCs w:val="24"/>
        </w:rPr>
        <w:t xml:space="preserve"> is unable to update the GA Analysis Work form and</w:t>
      </w:r>
      <w:r w:rsidRPr="00542A0A">
        <w:rPr>
          <w:rFonts w:ascii="Arial" w:hAnsi="Arial" w:cs="Arial"/>
          <w:sz w:val="24"/>
          <w:szCs w:val="24"/>
        </w:rPr>
        <w:t xml:space="preserve"> also requests</w:t>
      </w:r>
      <w:r w:rsidR="00DE7D3D" w:rsidRPr="00542A0A">
        <w:rPr>
          <w:rFonts w:ascii="Arial" w:hAnsi="Arial" w:cs="Arial"/>
          <w:sz w:val="24"/>
          <w:szCs w:val="24"/>
        </w:rPr>
        <w:t xml:space="preserve"> that</w:t>
      </w:r>
      <w:r w:rsidRPr="00542A0A">
        <w:rPr>
          <w:rFonts w:ascii="Arial" w:hAnsi="Arial" w:cs="Arial"/>
          <w:sz w:val="24"/>
          <w:szCs w:val="24"/>
        </w:rPr>
        <w:t xml:space="preserve"> </w:t>
      </w:r>
      <w:r w:rsidR="009A10CB">
        <w:rPr>
          <w:rFonts w:ascii="Arial" w:hAnsi="Arial" w:cs="Arial"/>
          <w:sz w:val="24"/>
          <w:szCs w:val="24"/>
        </w:rPr>
        <w:t>B</w:t>
      </w:r>
      <w:r w:rsidRPr="00542A0A">
        <w:rPr>
          <w:rFonts w:ascii="Arial" w:hAnsi="Arial" w:cs="Arial"/>
          <w:sz w:val="24"/>
          <w:szCs w:val="24"/>
        </w:rPr>
        <w:t xml:space="preserve">oard </w:t>
      </w:r>
      <w:r w:rsidR="009A10CB">
        <w:rPr>
          <w:rFonts w:ascii="Arial" w:hAnsi="Arial" w:cs="Arial"/>
          <w:sz w:val="24"/>
          <w:szCs w:val="24"/>
        </w:rPr>
        <w:t>S</w:t>
      </w:r>
      <w:r w:rsidRPr="00542A0A">
        <w:rPr>
          <w:rFonts w:ascii="Arial" w:hAnsi="Arial" w:cs="Arial"/>
          <w:sz w:val="24"/>
          <w:szCs w:val="24"/>
        </w:rPr>
        <w:t xml:space="preserve">taff update the </w:t>
      </w:r>
      <w:r w:rsidR="00DE7D3D" w:rsidRPr="00542A0A">
        <w:rPr>
          <w:rFonts w:ascii="Arial" w:hAnsi="Arial" w:cs="Arial"/>
          <w:sz w:val="24"/>
          <w:szCs w:val="24"/>
        </w:rPr>
        <w:t xml:space="preserve">figures in the </w:t>
      </w:r>
      <w:r w:rsidRPr="00542A0A">
        <w:rPr>
          <w:rFonts w:ascii="Arial" w:hAnsi="Arial" w:cs="Arial"/>
          <w:sz w:val="24"/>
          <w:szCs w:val="24"/>
        </w:rPr>
        <w:t xml:space="preserve">GA Analysis </w:t>
      </w:r>
      <w:r w:rsidR="00542A0A" w:rsidRPr="00542A0A">
        <w:rPr>
          <w:rFonts w:ascii="Arial" w:hAnsi="Arial" w:cs="Arial"/>
          <w:sz w:val="24"/>
          <w:szCs w:val="24"/>
        </w:rPr>
        <w:t>Work form</w:t>
      </w:r>
      <w:r w:rsidRPr="00542A0A">
        <w:rPr>
          <w:rFonts w:ascii="Arial" w:hAnsi="Arial" w:cs="Arial"/>
          <w:sz w:val="24"/>
          <w:szCs w:val="24"/>
        </w:rPr>
        <w:t xml:space="preserve"> Tab “GA 2018</w:t>
      </w:r>
      <w:proofErr w:type="gramStart"/>
      <w:r w:rsidRPr="00542A0A">
        <w:rPr>
          <w:rFonts w:ascii="Arial" w:hAnsi="Arial" w:cs="Arial"/>
          <w:sz w:val="24"/>
          <w:szCs w:val="24"/>
        </w:rPr>
        <w:t xml:space="preserve">” </w:t>
      </w:r>
      <w:r w:rsidR="00DE7D3D" w:rsidRPr="00542A0A">
        <w:rPr>
          <w:rFonts w:ascii="Arial" w:hAnsi="Arial" w:cs="Arial"/>
          <w:sz w:val="24"/>
          <w:szCs w:val="24"/>
        </w:rPr>
        <w:t>:</w:t>
      </w:r>
      <w:proofErr w:type="gramEnd"/>
    </w:p>
    <w:p w14:paraId="16644699" w14:textId="77777777" w:rsidR="009A10CB" w:rsidRDefault="009A10CB" w:rsidP="009A10CB">
      <w:pPr>
        <w:spacing w:after="0" w:line="264" w:lineRule="auto"/>
        <w:rPr>
          <w:rFonts w:ascii="Arial" w:hAnsi="Arial" w:cs="Arial"/>
          <w:sz w:val="24"/>
          <w:szCs w:val="24"/>
        </w:rPr>
      </w:pPr>
    </w:p>
    <w:p w14:paraId="1935E4F1" w14:textId="3010FA6F" w:rsidR="00DE7D3D" w:rsidRPr="009A10CB" w:rsidRDefault="00DE7D3D" w:rsidP="009A10CB">
      <w:pPr>
        <w:spacing w:after="0" w:line="264" w:lineRule="auto"/>
        <w:rPr>
          <w:rFonts w:ascii="Arial" w:hAnsi="Arial" w:cs="Arial"/>
          <w:sz w:val="24"/>
          <w:szCs w:val="24"/>
        </w:rPr>
      </w:pPr>
      <w:r w:rsidRPr="009A10CB">
        <w:rPr>
          <w:rFonts w:ascii="Arial" w:hAnsi="Arial" w:cs="Arial"/>
          <w:sz w:val="24"/>
          <w:szCs w:val="24"/>
        </w:rPr>
        <w:t>As Filed</w:t>
      </w:r>
      <w:r w:rsidR="00FB04E6" w:rsidRPr="009A10CB">
        <w:rPr>
          <w:rFonts w:ascii="Arial" w:hAnsi="Arial" w:cs="Arial"/>
          <w:sz w:val="24"/>
          <w:szCs w:val="24"/>
        </w:rPr>
        <w:t xml:space="preserve"> in Green</w:t>
      </w:r>
      <w:r w:rsidRPr="009A10CB">
        <w:rPr>
          <w:rFonts w:ascii="Arial" w:hAnsi="Arial" w:cs="Arial"/>
          <w:sz w:val="24"/>
          <w:szCs w:val="24"/>
        </w:rPr>
        <w:t xml:space="preserve">: </w:t>
      </w:r>
    </w:p>
    <w:p w14:paraId="47406067" w14:textId="58ED4CB6" w:rsidR="00C558DC" w:rsidRPr="00542A0A" w:rsidRDefault="00C558DC" w:rsidP="00F6772C">
      <w:pPr>
        <w:pStyle w:val="ListParagraph"/>
        <w:spacing w:after="0" w:line="264" w:lineRule="auto"/>
        <w:rPr>
          <w:rFonts w:ascii="Arial" w:hAnsi="Arial" w:cs="Arial"/>
          <w:sz w:val="24"/>
          <w:szCs w:val="24"/>
        </w:rPr>
      </w:pPr>
    </w:p>
    <w:p w14:paraId="22A4C10E" w14:textId="7CA0C4E9" w:rsidR="00DE7D3D" w:rsidRPr="00542A0A" w:rsidRDefault="00542A0A" w:rsidP="00F6772C">
      <w:pPr>
        <w:pStyle w:val="ListParagraph"/>
        <w:spacing w:after="0" w:line="264" w:lineRule="auto"/>
        <w:rPr>
          <w:rFonts w:ascii="Arial" w:hAnsi="Arial" w:cs="Arial"/>
          <w:sz w:val="24"/>
          <w:szCs w:val="24"/>
        </w:rPr>
      </w:pPr>
      <w:r w:rsidRPr="00542A0A">
        <w:rPr>
          <w:rFonts w:ascii="Arial" w:hAnsi="Arial" w:cs="Arial"/>
          <w:sz w:val="24"/>
          <w:szCs w:val="24"/>
        </w:rPr>
        <w:drawing>
          <wp:inline distT="0" distB="0" distL="0" distR="0" wp14:anchorId="3EAF1E79" wp14:editId="5F30DD4C">
            <wp:extent cx="4610337" cy="920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10337" cy="920797"/>
                    </a:xfrm>
                    <a:prstGeom prst="rect">
                      <a:avLst/>
                    </a:prstGeom>
                  </pic:spPr>
                </pic:pic>
              </a:graphicData>
            </a:graphic>
          </wp:inline>
        </w:drawing>
      </w:r>
    </w:p>
    <w:p w14:paraId="561D3390" w14:textId="77777777" w:rsidR="009A10CB" w:rsidRDefault="009A10CB" w:rsidP="009A10CB">
      <w:pPr>
        <w:spacing w:after="0" w:line="264" w:lineRule="auto"/>
        <w:rPr>
          <w:rFonts w:ascii="Arial" w:hAnsi="Arial" w:cs="Arial"/>
          <w:sz w:val="24"/>
          <w:szCs w:val="24"/>
        </w:rPr>
      </w:pPr>
    </w:p>
    <w:p w14:paraId="4CAA7D43" w14:textId="77777777" w:rsidR="009A10CB" w:rsidRDefault="009A10CB" w:rsidP="009A10CB">
      <w:pPr>
        <w:spacing w:after="0" w:line="264" w:lineRule="auto"/>
        <w:rPr>
          <w:rFonts w:ascii="Arial" w:hAnsi="Arial" w:cs="Arial"/>
          <w:sz w:val="24"/>
          <w:szCs w:val="24"/>
        </w:rPr>
      </w:pPr>
    </w:p>
    <w:p w14:paraId="787DDC59" w14:textId="394FFD05" w:rsidR="00DE7D3D" w:rsidRPr="009A10CB" w:rsidRDefault="00DE7D3D" w:rsidP="009A10CB">
      <w:pPr>
        <w:spacing w:after="0" w:line="264" w:lineRule="auto"/>
        <w:rPr>
          <w:rFonts w:ascii="Arial" w:hAnsi="Arial" w:cs="Arial"/>
          <w:sz w:val="24"/>
          <w:szCs w:val="24"/>
        </w:rPr>
      </w:pPr>
      <w:r w:rsidRPr="009A10CB">
        <w:rPr>
          <w:rFonts w:ascii="Arial" w:hAnsi="Arial" w:cs="Arial"/>
          <w:sz w:val="24"/>
          <w:szCs w:val="24"/>
        </w:rPr>
        <w:t>Revised</w:t>
      </w:r>
      <w:r w:rsidR="00FB04E6" w:rsidRPr="009A10CB">
        <w:rPr>
          <w:rFonts w:ascii="Arial" w:hAnsi="Arial" w:cs="Arial"/>
          <w:sz w:val="24"/>
          <w:szCs w:val="24"/>
        </w:rPr>
        <w:t xml:space="preserve"> in Red</w:t>
      </w:r>
      <w:r w:rsidRPr="009A10CB">
        <w:rPr>
          <w:rFonts w:ascii="Arial" w:hAnsi="Arial" w:cs="Arial"/>
          <w:sz w:val="24"/>
          <w:szCs w:val="24"/>
        </w:rPr>
        <w:t xml:space="preserve">: </w:t>
      </w:r>
    </w:p>
    <w:p w14:paraId="3E0A6C84" w14:textId="30F1C810" w:rsidR="00DE7D3D" w:rsidRPr="00542A0A" w:rsidRDefault="00DE7D3D" w:rsidP="00F6772C">
      <w:pPr>
        <w:pStyle w:val="ListParagraph"/>
        <w:spacing w:after="0" w:line="264" w:lineRule="auto"/>
        <w:rPr>
          <w:rFonts w:ascii="Arial" w:hAnsi="Arial" w:cs="Arial"/>
          <w:sz w:val="24"/>
          <w:szCs w:val="24"/>
        </w:rPr>
      </w:pPr>
    </w:p>
    <w:p w14:paraId="4694EBEC" w14:textId="3B6288EA" w:rsidR="00DE7D3D" w:rsidRPr="00542A0A" w:rsidRDefault="00542A0A" w:rsidP="00F6772C">
      <w:pPr>
        <w:pStyle w:val="ListParagraph"/>
        <w:spacing w:after="0" w:line="264" w:lineRule="auto"/>
        <w:rPr>
          <w:rFonts w:ascii="Arial" w:hAnsi="Arial" w:cs="Arial"/>
          <w:sz w:val="24"/>
          <w:szCs w:val="24"/>
        </w:rPr>
      </w:pPr>
      <w:r w:rsidRPr="00542A0A">
        <w:rPr>
          <w:rFonts w:ascii="Arial" w:hAnsi="Arial" w:cs="Arial"/>
          <w:sz w:val="24"/>
          <w:szCs w:val="24"/>
        </w:rPr>
        <w:drawing>
          <wp:inline distT="0" distB="0" distL="0" distR="0" wp14:anchorId="4E2B5C10" wp14:editId="7121A8E7">
            <wp:extent cx="47244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24648" cy="914448"/>
                    </a:xfrm>
                    <a:prstGeom prst="rect">
                      <a:avLst/>
                    </a:prstGeom>
                  </pic:spPr>
                </pic:pic>
              </a:graphicData>
            </a:graphic>
          </wp:inline>
        </w:drawing>
      </w:r>
    </w:p>
    <w:p w14:paraId="405F31FC" w14:textId="1F0D625F" w:rsidR="00C558DC" w:rsidRPr="00542A0A" w:rsidRDefault="00C558DC" w:rsidP="00F6772C">
      <w:pPr>
        <w:pStyle w:val="ListParagraph"/>
        <w:spacing w:after="0" w:line="264" w:lineRule="auto"/>
        <w:rPr>
          <w:rFonts w:ascii="Arial" w:hAnsi="Arial" w:cs="Arial"/>
          <w:sz w:val="24"/>
          <w:szCs w:val="24"/>
        </w:rPr>
      </w:pPr>
    </w:p>
    <w:p w14:paraId="5F839779" w14:textId="5656E94D" w:rsidR="00C558DC" w:rsidRPr="00542A0A" w:rsidRDefault="00C558DC" w:rsidP="00F6772C">
      <w:pPr>
        <w:pStyle w:val="ListParagraph"/>
        <w:spacing w:after="0" w:line="264" w:lineRule="auto"/>
        <w:rPr>
          <w:rFonts w:ascii="Arial" w:hAnsi="Arial" w:cs="Arial"/>
          <w:sz w:val="24"/>
          <w:szCs w:val="24"/>
        </w:rPr>
      </w:pPr>
    </w:p>
    <w:p w14:paraId="5F4121D6" w14:textId="7880F524" w:rsidR="00C558DC" w:rsidRPr="00542A0A" w:rsidRDefault="00C558DC" w:rsidP="00F6772C">
      <w:pPr>
        <w:pStyle w:val="ListParagraph"/>
        <w:spacing w:after="0" w:line="264" w:lineRule="auto"/>
        <w:rPr>
          <w:rFonts w:ascii="Arial" w:hAnsi="Arial" w:cs="Arial"/>
          <w:sz w:val="24"/>
          <w:szCs w:val="24"/>
        </w:rPr>
      </w:pPr>
      <w:r w:rsidRPr="00542A0A">
        <w:rPr>
          <w:rFonts w:ascii="Arial" w:hAnsi="Arial" w:cs="Arial"/>
          <w:sz w:val="24"/>
          <w:szCs w:val="24"/>
        </w:rPr>
        <w:t xml:space="preserve">Following the correction to the RRR Year End Data </w:t>
      </w:r>
      <w:r w:rsidR="007C3FF0" w:rsidRPr="00542A0A">
        <w:rPr>
          <w:rFonts w:ascii="Arial" w:hAnsi="Arial" w:cs="Arial"/>
          <w:sz w:val="24"/>
          <w:szCs w:val="24"/>
        </w:rPr>
        <w:t xml:space="preserve">it is now observed that the </w:t>
      </w:r>
      <w:r w:rsidR="000022F8" w:rsidRPr="00542A0A">
        <w:rPr>
          <w:rFonts w:ascii="Arial" w:hAnsi="Arial" w:cs="Arial"/>
          <w:sz w:val="24"/>
          <w:szCs w:val="24"/>
        </w:rPr>
        <w:t xml:space="preserve">proper allocation of the Class A and Non RPP consumption results in a reasonable loss factor of 1.034. </w:t>
      </w:r>
    </w:p>
    <w:p w14:paraId="5805D5CB" w14:textId="72E7BAAA" w:rsidR="00C558DC" w:rsidRPr="009D2588" w:rsidRDefault="00C558DC" w:rsidP="00F6772C">
      <w:pPr>
        <w:pStyle w:val="ListParagraph"/>
        <w:spacing w:after="0" w:line="264" w:lineRule="auto"/>
        <w:rPr>
          <w:rFonts w:ascii="Arial" w:hAnsi="Arial" w:cs="Arial"/>
          <w:sz w:val="24"/>
          <w:szCs w:val="24"/>
          <w:highlight w:val="yellow"/>
        </w:rPr>
      </w:pPr>
    </w:p>
    <w:p w14:paraId="3EF0F781" w14:textId="582C921A" w:rsidR="00C558DC" w:rsidRDefault="00542A0A" w:rsidP="00F6772C">
      <w:pPr>
        <w:pStyle w:val="ListParagraph"/>
        <w:spacing w:after="0" w:line="264" w:lineRule="auto"/>
        <w:rPr>
          <w:rFonts w:ascii="Arial" w:hAnsi="Arial" w:cs="Arial"/>
          <w:sz w:val="24"/>
          <w:szCs w:val="24"/>
        </w:rPr>
      </w:pPr>
      <w:r>
        <w:rPr>
          <w:rFonts w:ascii="Arial" w:hAnsi="Arial" w:cs="Arial"/>
          <w:sz w:val="24"/>
          <w:szCs w:val="24"/>
        </w:rPr>
        <w:t>The RRR year end reporting</w:t>
      </w:r>
      <w:r w:rsidR="003B31E1" w:rsidRPr="00542A0A">
        <w:rPr>
          <w:rFonts w:ascii="Arial" w:hAnsi="Arial" w:cs="Arial"/>
          <w:sz w:val="24"/>
          <w:szCs w:val="24"/>
        </w:rPr>
        <w:t xml:space="preserve"> adjustments </w:t>
      </w:r>
      <w:r>
        <w:rPr>
          <w:rFonts w:ascii="Arial" w:hAnsi="Arial" w:cs="Arial"/>
          <w:sz w:val="24"/>
          <w:szCs w:val="24"/>
        </w:rPr>
        <w:t xml:space="preserve">do not </w:t>
      </w:r>
      <w:r w:rsidR="00C558DC" w:rsidRPr="00542A0A">
        <w:rPr>
          <w:rFonts w:ascii="Arial" w:hAnsi="Arial" w:cs="Arial"/>
          <w:sz w:val="24"/>
          <w:szCs w:val="24"/>
        </w:rPr>
        <w:t>impact the Global Adjustment Settlement Proces</w:t>
      </w:r>
      <w:r>
        <w:rPr>
          <w:rFonts w:ascii="Arial" w:hAnsi="Arial" w:cs="Arial"/>
          <w:sz w:val="24"/>
          <w:szCs w:val="24"/>
        </w:rPr>
        <w:t>s</w:t>
      </w:r>
      <w:r w:rsidR="003B31E1" w:rsidRPr="00542A0A">
        <w:rPr>
          <w:rFonts w:ascii="Arial" w:hAnsi="Arial" w:cs="Arial"/>
          <w:sz w:val="24"/>
          <w:szCs w:val="24"/>
        </w:rPr>
        <w:t>.</w:t>
      </w:r>
      <w:r w:rsidR="003B31E1">
        <w:rPr>
          <w:rFonts w:ascii="Arial" w:hAnsi="Arial" w:cs="Arial"/>
          <w:sz w:val="24"/>
          <w:szCs w:val="24"/>
        </w:rPr>
        <w:t xml:space="preserve"> </w:t>
      </w:r>
    </w:p>
    <w:p w14:paraId="0E0ADEC5" w14:textId="5210DAFF" w:rsidR="00C558DC" w:rsidRDefault="00C558DC" w:rsidP="00F6772C">
      <w:pPr>
        <w:pStyle w:val="ListParagraph"/>
        <w:spacing w:after="0" w:line="264" w:lineRule="auto"/>
        <w:rPr>
          <w:rFonts w:ascii="Arial" w:hAnsi="Arial" w:cs="Arial"/>
          <w:sz w:val="24"/>
          <w:szCs w:val="24"/>
        </w:rPr>
      </w:pPr>
    </w:p>
    <w:p w14:paraId="6BAE41A6" w14:textId="77777777" w:rsidR="00C558DC" w:rsidRDefault="00C558DC" w:rsidP="00F6772C">
      <w:pPr>
        <w:pStyle w:val="ListParagraph"/>
        <w:spacing w:after="0" w:line="264" w:lineRule="auto"/>
        <w:rPr>
          <w:rFonts w:ascii="Arial" w:hAnsi="Arial" w:cs="Arial"/>
          <w:sz w:val="24"/>
          <w:szCs w:val="24"/>
        </w:rPr>
      </w:pPr>
    </w:p>
    <w:p w14:paraId="2E33305C" w14:textId="2E15C3A2" w:rsidR="00F65761" w:rsidRDefault="00F65761" w:rsidP="00F65761">
      <w:pPr>
        <w:pStyle w:val="ListParagraph"/>
        <w:numPr>
          <w:ilvl w:val="1"/>
          <w:numId w:val="2"/>
        </w:numPr>
        <w:spacing w:after="0" w:line="264" w:lineRule="auto"/>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sidR="00350BB0">
        <w:rPr>
          <w:rFonts w:ascii="Arial" w:hAnsi="Arial" w:cs="Arial"/>
          <w:sz w:val="24"/>
          <w:szCs w:val="24"/>
        </w:rPr>
        <w:t>Synergy North</w:t>
      </w:r>
      <w:r w:rsidR="001C7DC2">
        <w:rPr>
          <w:rFonts w:ascii="Arial" w:hAnsi="Arial" w:cs="Arial"/>
          <w:sz w:val="24"/>
          <w:szCs w:val="24"/>
        </w:rPr>
        <w:t>’</w:t>
      </w:r>
      <w:r w:rsidR="00350BB0">
        <w:rPr>
          <w:rFonts w:ascii="Arial" w:hAnsi="Arial" w:cs="Arial"/>
          <w:sz w:val="24"/>
          <w:szCs w:val="24"/>
        </w:rPr>
        <w:t>s billing system</w:t>
      </w:r>
      <w:r w:rsidR="00F6772C">
        <w:rPr>
          <w:rFonts w:ascii="Arial" w:hAnsi="Arial" w:cs="Arial"/>
          <w:sz w:val="24"/>
          <w:szCs w:val="24"/>
        </w:rPr>
        <w:t xml:space="preserve"> </w:t>
      </w:r>
      <w:r w:rsidR="00350BB0">
        <w:rPr>
          <w:rFonts w:ascii="Arial" w:hAnsi="Arial" w:cs="Arial"/>
          <w:sz w:val="24"/>
          <w:szCs w:val="24"/>
        </w:rPr>
        <w:t>does not</w:t>
      </w:r>
      <w:r w:rsidR="001C7DC2">
        <w:rPr>
          <w:rFonts w:ascii="Arial" w:hAnsi="Arial" w:cs="Arial"/>
          <w:sz w:val="24"/>
          <w:szCs w:val="24"/>
        </w:rPr>
        <w:t xml:space="preserve"> split the consumption for billing </w:t>
      </w:r>
      <w:r w:rsidR="00C9115C">
        <w:rPr>
          <w:rFonts w:ascii="Arial" w:hAnsi="Arial" w:cs="Arial"/>
          <w:sz w:val="24"/>
          <w:szCs w:val="24"/>
        </w:rPr>
        <w:t>between</w:t>
      </w:r>
      <w:r w:rsidR="001C7DC2">
        <w:rPr>
          <w:rFonts w:ascii="Arial" w:hAnsi="Arial" w:cs="Arial"/>
          <w:sz w:val="24"/>
          <w:szCs w:val="24"/>
        </w:rPr>
        <w:t xml:space="preserve"> overlapping months.  </w:t>
      </w:r>
      <w:r w:rsidR="00C9115C">
        <w:rPr>
          <w:rFonts w:ascii="Arial" w:hAnsi="Arial" w:cs="Arial"/>
          <w:sz w:val="24"/>
          <w:szCs w:val="24"/>
        </w:rPr>
        <w:t>Therefore,</w:t>
      </w:r>
      <w:r w:rsidR="001C7DC2">
        <w:rPr>
          <w:rFonts w:ascii="Arial" w:hAnsi="Arial" w:cs="Arial"/>
          <w:sz w:val="24"/>
          <w:szCs w:val="24"/>
        </w:rPr>
        <w:t xml:space="preserve"> those customers which do not have monthly billing cycles are billed on a weighted average </w:t>
      </w:r>
      <w:r w:rsidR="00C9115C">
        <w:rPr>
          <w:rFonts w:ascii="Arial" w:hAnsi="Arial" w:cs="Arial"/>
          <w:sz w:val="24"/>
          <w:szCs w:val="24"/>
        </w:rPr>
        <w:t>GA</w:t>
      </w:r>
      <w:r w:rsidR="001C7DC2">
        <w:rPr>
          <w:rFonts w:ascii="Arial" w:hAnsi="Arial" w:cs="Arial"/>
          <w:sz w:val="24"/>
          <w:szCs w:val="24"/>
        </w:rPr>
        <w:t xml:space="preserve"> pric</w:t>
      </w:r>
      <w:r w:rsidR="00C9115C">
        <w:rPr>
          <w:rFonts w:ascii="Arial" w:hAnsi="Arial" w:cs="Arial"/>
          <w:sz w:val="24"/>
          <w:szCs w:val="24"/>
        </w:rPr>
        <w:t>ing which is calculated in the system using the monthly GA</w:t>
      </w:r>
      <w:r w:rsidR="001C7DC2">
        <w:rPr>
          <w:rFonts w:ascii="Arial" w:hAnsi="Arial" w:cs="Arial"/>
          <w:sz w:val="24"/>
          <w:szCs w:val="24"/>
        </w:rPr>
        <w:t xml:space="preserve">. </w:t>
      </w:r>
      <w:r w:rsidR="00C9115C">
        <w:rPr>
          <w:rFonts w:ascii="Arial" w:hAnsi="Arial" w:cs="Arial"/>
          <w:sz w:val="24"/>
          <w:szCs w:val="24"/>
        </w:rPr>
        <w:t xml:space="preserve">Synergy North, (and other utilities) billing </w:t>
      </w:r>
      <w:r w:rsidR="001C7DC2">
        <w:rPr>
          <w:rFonts w:ascii="Arial" w:hAnsi="Arial" w:cs="Arial"/>
          <w:sz w:val="24"/>
          <w:szCs w:val="24"/>
        </w:rPr>
        <w:t>system does not</w:t>
      </w:r>
      <w:r w:rsidR="00350BB0">
        <w:rPr>
          <w:rFonts w:ascii="Arial" w:hAnsi="Arial" w:cs="Arial"/>
          <w:sz w:val="24"/>
          <w:szCs w:val="24"/>
        </w:rPr>
        <w:t xml:space="preserve"> have the </w:t>
      </w:r>
      <w:r w:rsidR="001C7DC2">
        <w:rPr>
          <w:rFonts w:ascii="Arial" w:hAnsi="Arial" w:cs="Arial"/>
          <w:sz w:val="24"/>
          <w:szCs w:val="24"/>
        </w:rPr>
        <w:t>capability to split the</w:t>
      </w:r>
      <w:r w:rsidR="00C9115C">
        <w:rPr>
          <w:rFonts w:ascii="Arial" w:hAnsi="Arial" w:cs="Arial"/>
          <w:sz w:val="24"/>
          <w:szCs w:val="24"/>
        </w:rPr>
        <w:t xml:space="preserve"> </w:t>
      </w:r>
      <w:r w:rsidR="00C9115C">
        <w:rPr>
          <w:rFonts w:ascii="Arial" w:hAnsi="Arial" w:cs="Arial"/>
          <w:sz w:val="24"/>
          <w:szCs w:val="24"/>
        </w:rPr>
        <w:lastRenderedPageBreak/>
        <w:t>GA</w:t>
      </w:r>
      <w:r w:rsidR="001C7DC2">
        <w:rPr>
          <w:rFonts w:ascii="Arial" w:hAnsi="Arial" w:cs="Arial"/>
          <w:sz w:val="24"/>
          <w:szCs w:val="24"/>
        </w:rPr>
        <w:t xml:space="preserve"> pricing </w:t>
      </w:r>
      <w:r w:rsidR="00C9115C">
        <w:rPr>
          <w:rFonts w:ascii="Arial" w:hAnsi="Arial" w:cs="Arial"/>
          <w:sz w:val="24"/>
          <w:szCs w:val="24"/>
        </w:rPr>
        <w:t xml:space="preserve">and apply </w:t>
      </w:r>
      <w:r w:rsidR="00E85ADC">
        <w:rPr>
          <w:rFonts w:ascii="Arial" w:hAnsi="Arial" w:cs="Arial"/>
          <w:sz w:val="24"/>
          <w:szCs w:val="24"/>
        </w:rPr>
        <w:t>it to the daily consumption</w:t>
      </w:r>
      <w:r w:rsidR="00C9115C">
        <w:rPr>
          <w:rFonts w:ascii="Arial" w:hAnsi="Arial" w:cs="Arial"/>
          <w:sz w:val="24"/>
          <w:szCs w:val="24"/>
        </w:rPr>
        <w:t xml:space="preserve">.  Synergy North’s </w:t>
      </w:r>
      <w:r w:rsidR="001C7DC2">
        <w:rPr>
          <w:rFonts w:ascii="Arial" w:hAnsi="Arial" w:cs="Arial"/>
          <w:sz w:val="24"/>
          <w:szCs w:val="24"/>
        </w:rPr>
        <w:t>billing cycles are too large to move all customers to</w:t>
      </w:r>
      <w:r w:rsidR="00F6772C">
        <w:rPr>
          <w:rFonts w:ascii="Arial" w:hAnsi="Arial" w:cs="Arial"/>
          <w:sz w:val="24"/>
          <w:szCs w:val="24"/>
        </w:rPr>
        <w:t xml:space="preserve"> calendar billing</w:t>
      </w:r>
      <w:r w:rsidR="001C7DC2">
        <w:rPr>
          <w:rFonts w:ascii="Arial" w:hAnsi="Arial" w:cs="Arial"/>
          <w:sz w:val="24"/>
          <w:szCs w:val="24"/>
        </w:rPr>
        <w:t>.</w:t>
      </w:r>
      <w:r w:rsidR="00F6772C">
        <w:rPr>
          <w:rFonts w:ascii="Arial" w:hAnsi="Arial" w:cs="Arial"/>
          <w:sz w:val="24"/>
          <w:szCs w:val="24"/>
        </w:rPr>
        <w:t xml:space="preserve"> </w:t>
      </w:r>
    </w:p>
    <w:p w14:paraId="58D79EBE" w14:textId="77777777" w:rsidR="001C7DC2" w:rsidRPr="001C7DC2" w:rsidRDefault="001C7DC2" w:rsidP="001C7DC2">
      <w:pPr>
        <w:pStyle w:val="ListParagraph"/>
        <w:rPr>
          <w:rFonts w:ascii="Arial" w:hAnsi="Arial" w:cs="Arial"/>
          <w:sz w:val="24"/>
          <w:szCs w:val="24"/>
        </w:rPr>
      </w:pPr>
    </w:p>
    <w:p w14:paraId="2839448B" w14:textId="35B286A8" w:rsidR="00F65761" w:rsidRDefault="00F65761" w:rsidP="00F65761">
      <w:pPr>
        <w:pStyle w:val="ListParagraph"/>
        <w:spacing w:after="0" w:line="264" w:lineRule="auto"/>
        <w:ind w:left="1440"/>
        <w:rPr>
          <w:rFonts w:ascii="Arial" w:hAnsi="Arial" w:cs="Arial"/>
          <w:sz w:val="24"/>
          <w:szCs w:val="24"/>
        </w:rPr>
      </w:pPr>
      <w:r>
        <w:rPr>
          <w:rFonts w:ascii="Arial" w:hAnsi="Arial" w:cs="Arial"/>
          <w:sz w:val="24"/>
          <w:szCs w:val="24"/>
        </w:rPr>
        <w:t>ii)</w:t>
      </w:r>
      <w:r w:rsidR="00F6772C">
        <w:rPr>
          <w:rFonts w:ascii="Arial" w:hAnsi="Arial" w:cs="Arial"/>
          <w:sz w:val="24"/>
          <w:szCs w:val="24"/>
        </w:rPr>
        <w:t xml:space="preserve">These are reconciling items because the model </w:t>
      </w:r>
      <w:r w:rsidR="00C9115C">
        <w:rPr>
          <w:rFonts w:ascii="Arial" w:hAnsi="Arial" w:cs="Arial"/>
          <w:sz w:val="24"/>
          <w:szCs w:val="24"/>
        </w:rPr>
        <w:t>attempts</w:t>
      </w:r>
      <w:r w:rsidR="00F6772C">
        <w:rPr>
          <w:rFonts w:ascii="Arial" w:hAnsi="Arial" w:cs="Arial"/>
          <w:sz w:val="24"/>
          <w:szCs w:val="24"/>
        </w:rPr>
        <w:t xml:space="preserve"> to apply the actual </w:t>
      </w:r>
      <w:r w:rsidR="00C9115C">
        <w:rPr>
          <w:rFonts w:ascii="Arial" w:hAnsi="Arial" w:cs="Arial"/>
          <w:sz w:val="24"/>
          <w:szCs w:val="24"/>
        </w:rPr>
        <w:t xml:space="preserve">monthly </w:t>
      </w:r>
      <w:r w:rsidR="00F6772C">
        <w:rPr>
          <w:rFonts w:ascii="Arial" w:hAnsi="Arial" w:cs="Arial"/>
          <w:sz w:val="24"/>
          <w:szCs w:val="24"/>
        </w:rPr>
        <w:t xml:space="preserve">consumption </w:t>
      </w:r>
      <w:r w:rsidR="00C9115C">
        <w:rPr>
          <w:rFonts w:ascii="Arial" w:hAnsi="Arial" w:cs="Arial"/>
          <w:sz w:val="24"/>
          <w:szCs w:val="24"/>
        </w:rPr>
        <w:t xml:space="preserve">directly </w:t>
      </w:r>
      <w:r w:rsidR="00F6772C">
        <w:rPr>
          <w:rFonts w:ascii="Arial" w:hAnsi="Arial" w:cs="Arial"/>
          <w:sz w:val="24"/>
          <w:szCs w:val="24"/>
        </w:rPr>
        <w:t xml:space="preserve">to the </w:t>
      </w:r>
      <w:r w:rsidR="001C7DC2">
        <w:rPr>
          <w:rFonts w:ascii="Arial" w:hAnsi="Arial" w:cs="Arial"/>
          <w:sz w:val="24"/>
          <w:szCs w:val="24"/>
        </w:rPr>
        <w:t xml:space="preserve">monthly </w:t>
      </w:r>
      <w:r w:rsidR="00C9115C">
        <w:rPr>
          <w:rFonts w:ascii="Arial" w:hAnsi="Arial" w:cs="Arial"/>
          <w:sz w:val="24"/>
          <w:szCs w:val="24"/>
        </w:rPr>
        <w:t xml:space="preserve">GA </w:t>
      </w:r>
      <w:r w:rsidR="00F6772C">
        <w:rPr>
          <w:rFonts w:ascii="Arial" w:hAnsi="Arial" w:cs="Arial"/>
          <w:sz w:val="24"/>
          <w:szCs w:val="24"/>
        </w:rPr>
        <w:t>rate</w:t>
      </w:r>
      <w:r w:rsidR="001C7DC2">
        <w:rPr>
          <w:rFonts w:ascii="Arial" w:hAnsi="Arial" w:cs="Arial"/>
          <w:sz w:val="24"/>
          <w:szCs w:val="24"/>
        </w:rPr>
        <w:t xml:space="preserve"> on a calendar month basis. </w:t>
      </w:r>
      <w:r w:rsidR="00E85ADC">
        <w:rPr>
          <w:rFonts w:ascii="Arial" w:hAnsi="Arial" w:cs="Arial"/>
          <w:sz w:val="24"/>
          <w:szCs w:val="24"/>
        </w:rPr>
        <w:t>A</w:t>
      </w:r>
      <w:r w:rsidR="001C7DC2">
        <w:rPr>
          <w:rFonts w:ascii="Arial" w:hAnsi="Arial" w:cs="Arial"/>
          <w:sz w:val="24"/>
          <w:szCs w:val="24"/>
        </w:rPr>
        <w:t>s explained above</w:t>
      </w:r>
      <w:r w:rsidR="00E85ADC">
        <w:rPr>
          <w:rFonts w:ascii="Arial" w:hAnsi="Arial" w:cs="Arial"/>
          <w:sz w:val="24"/>
          <w:szCs w:val="24"/>
        </w:rPr>
        <w:t>,</w:t>
      </w:r>
      <w:r w:rsidR="001C7DC2">
        <w:rPr>
          <w:rFonts w:ascii="Arial" w:hAnsi="Arial" w:cs="Arial"/>
          <w:sz w:val="24"/>
          <w:szCs w:val="24"/>
        </w:rPr>
        <w:t xml:space="preserve"> </w:t>
      </w:r>
      <w:r w:rsidR="00F6772C">
        <w:rPr>
          <w:rFonts w:ascii="Arial" w:hAnsi="Arial" w:cs="Arial"/>
          <w:sz w:val="24"/>
          <w:szCs w:val="24"/>
        </w:rPr>
        <w:t xml:space="preserve">the system is incapable of </w:t>
      </w:r>
      <w:r w:rsidR="001C7DC2">
        <w:rPr>
          <w:rFonts w:ascii="Arial" w:hAnsi="Arial" w:cs="Arial"/>
          <w:sz w:val="24"/>
          <w:szCs w:val="24"/>
        </w:rPr>
        <w:t xml:space="preserve">billing customers who’s bills overlap </w:t>
      </w:r>
      <w:r w:rsidR="00E85ADC">
        <w:rPr>
          <w:rFonts w:ascii="Arial" w:hAnsi="Arial" w:cs="Arial"/>
          <w:sz w:val="24"/>
          <w:szCs w:val="24"/>
        </w:rPr>
        <w:t xml:space="preserve">a </w:t>
      </w:r>
      <w:r w:rsidR="001C7DC2">
        <w:rPr>
          <w:rFonts w:ascii="Arial" w:hAnsi="Arial" w:cs="Arial"/>
          <w:sz w:val="24"/>
          <w:szCs w:val="24"/>
        </w:rPr>
        <w:t xml:space="preserve">month </w:t>
      </w:r>
      <w:r w:rsidR="00E85ADC">
        <w:rPr>
          <w:rFonts w:ascii="Arial" w:hAnsi="Arial" w:cs="Arial"/>
          <w:sz w:val="24"/>
          <w:szCs w:val="24"/>
        </w:rPr>
        <w:t>end</w:t>
      </w:r>
      <w:r w:rsidR="00F6772C">
        <w:rPr>
          <w:rFonts w:ascii="Arial" w:hAnsi="Arial" w:cs="Arial"/>
          <w:sz w:val="24"/>
          <w:szCs w:val="24"/>
        </w:rPr>
        <w:t xml:space="preserve">. </w:t>
      </w:r>
    </w:p>
    <w:p w14:paraId="3E154166" w14:textId="1691C803" w:rsidR="00F65761" w:rsidRDefault="00F65761" w:rsidP="00F65761">
      <w:pPr>
        <w:spacing w:after="0" w:line="264" w:lineRule="auto"/>
        <w:rPr>
          <w:rFonts w:ascii="Arial" w:hAnsi="Arial" w:cs="Arial"/>
          <w:sz w:val="24"/>
          <w:szCs w:val="24"/>
        </w:rPr>
      </w:pPr>
    </w:p>
    <w:p w14:paraId="71B2D59B" w14:textId="2C031447" w:rsidR="00F65761" w:rsidRPr="00D810B0" w:rsidRDefault="00A345B8" w:rsidP="00A345B8">
      <w:pPr>
        <w:pStyle w:val="ListParagraph"/>
        <w:numPr>
          <w:ilvl w:val="1"/>
          <w:numId w:val="2"/>
        </w:numPr>
        <w:spacing w:after="0" w:line="264" w:lineRule="auto"/>
        <w:rPr>
          <w:rFonts w:ascii="Arial" w:hAnsi="Arial" w:cs="Arial"/>
          <w:sz w:val="24"/>
          <w:szCs w:val="24"/>
        </w:rPr>
      </w:pPr>
      <w:r w:rsidRPr="00D810B0">
        <w:rPr>
          <w:rFonts w:ascii="Arial" w:hAnsi="Arial" w:cs="Arial"/>
          <w:sz w:val="24"/>
          <w:szCs w:val="24"/>
        </w:rPr>
        <w:t>Both reconciling items</w:t>
      </w:r>
      <w:r w:rsidR="00226324" w:rsidRPr="00D810B0">
        <w:rPr>
          <w:rFonts w:ascii="Arial" w:hAnsi="Arial" w:cs="Arial"/>
          <w:sz w:val="24"/>
          <w:szCs w:val="24"/>
        </w:rPr>
        <w:t xml:space="preserve"> are not considered to be principle adjustments.</w:t>
      </w:r>
      <w:r w:rsidR="008A2671" w:rsidRPr="00D810B0">
        <w:rPr>
          <w:rFonts w:ascii="Arial" w:hAnsi="Arial" w:cs="Arial"/>
          <w:sz w:val="24"/>
          <w:szCs w:val="24"/>
        </w:rPr>
        <w:t xml:space="preserve"> Synergy North, inadvertently selected “Yes” in column “I” of the</w:t>
      </w:r>
      <w:r w:rsidRPr="00D810B0">
        <w:rPr>
          <w:rFonts w:ascii="Arial" w:hAnsi="Arial" w:cs="Arial"/>
          <w:sz w:val="24"/>
          <w:szCs w:val="24"/>
        </w:rPr>
        <w:t xml:space="preserve"> GA Analysis work</w:t>
      </w:r>
      <w:r w:rsidR="008A2671" w:rsidRPr="00D810B0">
        <w:rPr>
          <w:rFonts w:ascii="Arial" w:hAnsi="Arial" w:cs="Arial"/>
          <w:sz w:val="24"/>
          <w:szCs w:val="24"/>
        </w:rPr>
        <w:t xml:space="preserve"> form and has adjusted this to </w:t>
      </w:r>
      <w:r w:rsidRPr="00D810B0">
        <w:rPr>
          <w:rFonts w:ascii="Arial" w:hAnsi="Arial" w:cs="Arial"/>
          <w:sz w:val="24"/>
          <w:szCs w:val="24"/>
        </w:rPr>
        <w:t>“</w:t>
      </w:r>
      <w:r w:rsidR="008A2671" w:rsidRPr="00D810B0">
        <w:rPr>
          <w:rFonts w:ascii="Arial" w:hAnsi="Arial" w:cs="Arial"/>
          <w:sz w:val="24"/>
          <w:szCs w:val="24"/>
        </w:rPr>
        <w:t>No</w:t>
      </w:r>
      <w:r w:rsidRPr="00D810B0">
        <w:rPr>
          <w:rFonts w:ascii="Arial" w:hAnsi="Arial" w:cs="Arial"/>
          <w:sz w:val="24"/>
          <w:szCs w:val="24"/>
        </w:rPr>
        <w:t>”</w:t>
      </w:r>
      <w:r w:rsidR="008A2671" w:rsidRPr="00D810B0">
        <w:rPr>
          <w:rFonts w:ascii="Arial" w:hAnsi="Arial" w:cs="Arial"/>
          <w:sz w:val="24"/>
          <w:szCs w:val="24"/>
        </w:rPr>
        <w:t>.  Synergy North’s explanation is these</w:t>
      </w:r>
      <w:r w:rsidR="00226324" w:rsidRPr="00D810B0">
        <w:rPr>
          <w:rFonts w:ascii="Arial" w:hAnsi="Arial" w:cs="Arial"/>
          <w:sz w:val="24"/>
          <w:szCs w:val="24"/>
        </w:rPr>
        <w:t xml:space="preserve"> are regular activities which are accounted for in the regular process</w:t>
      </w:r>
      <w:r w:rsidR="008A2671" w:rsidRPr="00D810B0">
        <w:rPr>
          <w:rFonts w:ascii="Arial" w:hAnsi="Arial" w:cs="Arial"/>
          <w:sz w:val="24"/>
          <w:szCs w:val="24"/>
        </w:rPr>
        <w:t xml:space="preserve"> and have been identified as reconciling items by performing an analysis of activities in the system</w:t>
      </w:r>
      <w:r w:rsidR="00226324" w:rsidRPr="00D810B0">
        <w:rPr>
          <w:rFonts w:ascii="Arial" w:hAnsi="Arial" w:cs="Arial"/>
          <w:sz w:val="24"/>
          <w:szCs w:val="24"/>
        </w:rPr>
        <w:t xml:space="preserve">.  No </w:t>
      </w:r>
      <w:r w:rsidR="008A2671" w:rsidRPr="00D810B0">
        <w:rPr>
          <w:rFonts w:ascii="Arial" w:hAnsi="Arial" w:cs="Arial"/>
          <w:sz w:val="24"/>
          <w:szCs w:val="24"/>
        </w:rPr>
        <w:t xml:space="preserve">outside </w:t>
      </w:r>
      <w:r w:rsidR="00226324" w:rsidRPr="00D810B0">
        <w:rPr>
          <w:rFonts w:ascii="Arial" w:hAnsi="Arial" w:cs="Arial"/>
          <w:sz w:val="24"/>
          <w:szCs w:val="24"/>
        </w:rPr>
        <w:t>adjustments are</w:t>
      </w:r>
      <w:r w:rsidR="008A2671" w:rsidRPr="00D810B0">
        <w:rPr>
          <w:rFonts w:ascii="Arial" w:hAnsi="Arial" w:cs="Arial"/>
          <w:sz w:val="24"/>
          <w:szCs w:val="24"/>
        </w:rPr>
        <w:t xml:space="preserve"> booked or</w:t>
      </w:r>
      <w:r w:rsidR="00226324" w:rsidRPr="00D810B0">
        <w:rPr>
          <w:rFonts w:ascii="Arial" w:hAnsi="Arial" w:cs="Arial"/>
          <w:sz w:val="24"/>
          <w:szCs w:val="24"/>
        </w:rPr>
        <w:t xml:space="preserve"> necessary </w:t>
      </w:r>
      <w:r w:rsidR="008A2671" w:rsidRPr="00D810B0">
        <w:rPr>
          <w:rFonts w:ascii="Arial" w:hAnsi="Arial" w:cs="Arial"/>
          <w:sz w:val="24"/>
          <w:szCs w:val="24"/>
        </w:rPr>
        <w:t>for these items in</w:t>
      </w:r>
      <w:r w:rsidR="00226324" w:rsidRPr="00D810B0">
        <w:rPr>
          <w:rFonts w:ascii="Arial" w:hAnsi="Arial" w:cs="Arial"/>
          <w:sz w:val="24"/>
          <w:szCs w:val="24"/>
        </w:rPr>
        <w:t xml:space="preserve"> the DVA Continuity Schedule. </w:t>
      </w:r>
    </w:p>
    <w:p w14:paraId="51BF1B26" w14:textId="77777777" w:rsidR="002C1E87" w:rsidRDefault="002C1E87" w:rsidP="002C1E87">
      <w:pPr>
        <w:spacing w:after="160" w:line="259" w:lineRule="auto"/>
        <w:rPr>
          <w:rFonts w:ascii="Arial" w:hAnsi="Arial" w:cs="Arial"/>
          <w:b/>
          <w:sz w:val="24"/>
          <w:szCs w:val="24"/>
        </w:rPr>
      </w:pPr>
      <w:r>
        <w:rPr>
          <w:rFonts w:ascii="Arial" w:hAnsi="Arial" w:cs="Arial"/>
          <w:b/>
          <w:sz w:val="24"/>
          <w:szCs w:val="24"/>
        </w:rPr>
        <w:br w:type="page"/>
      </w:r>
    </w:p>
    <w:p w14:paraId="1FF361A3" w14:textId="77777777" w:rsidR="00D045A1" w:rsidRPr="00D045A1" w:rsidRDefault="00655474" w:rsidP="00D045A1">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- 13</w:t>
      </w:r>
    </w:p>
    <w:p w14:paraId="56F57FC8" w14:textId="77777777" w:rsidR="00D045A1" w:rsidRDefault="00D045A1" w:rsidP="00D045A1">
      <w:pPr>
        <w:spacing w:beforeLines="200" w:before="480" w:afterLines="200" w:after="480" w:line="264" w:lineRule="auto"/>
        <w:contextualSpacing/>
        <w:rPr>
          <w:rFonts w:ascii="Arial" w:hAnsi="Arial" w:cs="Arial"/>
          <w:b/>
          <w:sz w:val="24"/>
          <w:szCs w:val="24"/>
          <w:lang w:val="en-US"/>
        </w:rPr>
      </w:pPr>
      <w:r w:rsidRPr="00D045A1">
        <w:rPr>
          <w:rFonts w:ascii="Arial" w:hAnsi="Arial" w:cs="Arial"/>
          <w:b/>
          <w:sz w:val="24"/>
          <w:szCs w:val="24"/>
          <w:lang w:val="en-US"/>
        </w:rPr>
        <w:t>Ref: GA Analysis Workform, Appendix A</w:t>
      </w:r>
    </w:p>
    <w:p w14:paraId="23340622" w14:textId="77777777" w:rsidR="008135B3" w:rsidRPr="00D045A1" w:rsidRDefault="008135B3" w:rsidP="00D045A1">
      <w:pPr>
        <w:spacing w:beforeLines="200" w:before="480" w:afterLines="200" w:after="480" w:line="264" w:lineRule="auto"/>
        <w:contextualSpacing/>
        <w:rPr>
          <w:rFonts w:ascii="Arial" w:hAnsi="Arial" w:cs="Arial"/>
          <w:b/>
          <w:sz w:val="24"/>
          <w:szCs w:val="24"/>
          <w:lang w:val="en-US"/>
        </w:rPr>
      </w:pPr>
    </w:p>
    <w:p w14:paraId="1DDBFE1A" w14:textId="77777777" w:rsidR="00D045A1" w:rsidRPr="007B4989" w:rsidRDefault="00D045A1" w:rsidP="00D045A1">
      <w:pPr>
        <w:numPr>
          <w:ilvl w:val="0"/>
          <w:numId w:val="9"/>
        </w:numPr>
        <w:spacing w:beforeLines="200" w:before="480" w:afterLines="200" w:after="480" w:line="264" w:lineRule="auto"/>
        <w:contextualSpacing/>
        <w:rPr>
          <w:rFonts w:ascii="Arial" w:hAnsi="Arial" w:cs="Arial"/>
          <w:sz w:val="24"/>
          <w:szCs w:val="24"/>
          <w:lang w:val="en-US"/>
        </w:rPr>
      </w:pPr>
      <w:r w:rsidRPr="007B4989">
        <w:rPr>
          <w:rFonts w:ascii="Arial" w:hAnsi="Arial" w:cs="Arial"/>
          <w:sz w:val="24"/>
          <w:szCs w:val="24"/>
          <w:lang w:val="en-US"/>
        </w:rPr>
        <w:t xml:space="preserve">Synergy North has not completed the GA Analysis Workform, Appendix A table </w:t>
      </w:r>
      <w:proofErr w:type="gramStart"/>
      <w:r w:rsidRPr="007B4989">
        <w:rPr>
          <w:rFonts w:ascii="Arial" w:hAnsi="Arial" w:cs="Arial"/>
          <w:sz w:val="24"/>
          <w:szCs w:val="24"/>
          <w:lang w:val="en-US"/>
        </w:rPr>
        <w:t>-  reconciliation</w:t>
      </w:r>
      <w:proofErr w:type="gramEnd"/>
      <w:r w:rsidRPr="007B4989">
        <w:rPr>
          <w:rFonts w:ascii="Arial" w:hAnsi="Arial" w:cs="Arial"/>
          <w:sz w:val="24"/>
          <w:szCs w:val="24"/>
          <w:lang w:val="en-US"/>
        </w:rPr>
        <w:t xml:space="preserve"> for Account 1588. Please complete this reconciliation for Thunder Bay for 2018, Kenora for 2017 and 2018. When completing the table, please revise the first line “Balance December 31, 201X” to “Net change in principal balance in 201X”. </w:t>
      </w:r>
    </w:p>
    <w:p w14:paraId="1BAFE452" w14:textId="77777777" w:rsidR="00D045A1" w:rsidRPr="00D045A1" w:rsidRDefault="00D045A1" w:rsidP="00D045A1">
      <w:pPr>
        <w:numPr>
          <w:ilvl w:val="0"/>
          <w:numId w:val="9"/>
        </w:numPr>
        <w:spacing w:beforeLines="200" w:before="480" w:afterLines="200" w:after="480" w:line="264" w:lineRule="auto"/>
        <w:contextualSpacing/>
        <w:rPr>
          <w:rFonts w:ascii="Arial" w:hAnsi="Arial" w:cs="Arial"/>
          <w:sz w:val="24"/>
          <w:szCs w:val="24"/>
          <w:lang w:val="en-US"/>
        </w:rPr>
      </w:pPr>
      <w:r w:rsidRPr="00D045A1">
        <w:rPr>
          <w:rFonts w:ascii="Arial" w:hAnsi="Arial" w:cs="Arial"/>
          <w:sz w:val="24"/>
          <w:szCs w:val="24"/>
          <w:lang w:val="en-US"/>
        </w:rPr>
        <w:t xml:space="preserve">The GA Analysis Workform, Appendix A #2b indicates that the true-up of CT 148 includes a </w:t>
      </w:r>
      <w:r w:rsidRPr="00402500">
        <w:rPr>
          <w:rFonts w:ascii="Arial" w:hAnsi="Arial" w:cs="Arial"/>
          <w:sz w:val="24"/>
          <w:szCs w:val="24"/>
          <w:lang w:val="en-US"/>
        </w:rPr>
        <w:t>quantity true-up to the actual billed Non-RPP Class B consumption data. Please explain why the consumption true-up is not the actual c</w:t>
      </w:r>
      <w:r w:rsidRPr="00D045A1">
        <w:rPr>
          <w:rFonts w:ascii="Arial" w:hAnsi="Arial" w:cs="Arial"/>
          <w:sz w:val="24"/>
          <w:szCs w:val="24"/>
          <w:lang w:val="en-US"/>
        </w:rPr>
        <w:t xml:space="preserve">onsumption for non-RPP consumption in the month, which would be comprised of billed and unbilled non-RPP consumption. Please quantify adjustments to the account balances and DVA Continuity Schedule as necessary. </w:t>
      </w:r>
    </w:p>
    <w:p w14:paraId="45D6CC18" w14:textId="77777777" w:rsidR="000C7F8E" w:rsidRPr="00D045A1" w:rsidRDefault="000C7F8E" w:rsidP="00D045A1">
      <w:pPr>
        <w:spacing w:beforeLines="200" w:before="480" w:afterLines="200" w:after="480" w:line="264" w:lineRule="auto"/>
        <w:contextualSpacing/>
        <w:rPr>
          <w:rFonts w:ascii="Arial" w:hAnsi="Arial" w:cs="Arial"/>
          <w:sz w:val="24"/>
          <w:szCs w:val="24"/>
          <w:lang w:val="en-US"/>
        </w:rPr>
      </w:pPr>
    </w:p>
    <w:p w14:paraId="5C60984C" w14:textId="77777777" w:rsidR="00D045A1" w:rsidRDefault="00D045A1" w:rsidP="00D045A1">
      <w:pPr>
        <w:spacing w:beforeLines="200" w:before="480" w:afterLines="200" w:after="480" w:line="264" w:lineRule="auto"/>
        <w:contextualSpacing/>
        <w:rPr>
          <w:rFonts w:ascii="Arial" w:hAnsi="Arial" w:cs="Arial"/>
          <w:sz w:val="24"/>
          <w:szCs w:val="24"/>
          <w:lang w:val="en-US"/>
        </w:rPr>
      </w:pPr>
    </w:p>
    <w:p w14:paraId="77A379AA" w14:textId="77777777" w:rsidR="007A568F" w:rsidRDefault="007A568F">
      <w:pPr>
        <w:spacing w:after="160" w:line="259" w:lineRule="auto"/>
        <w:rPr>
          <w:rFonts w:ascii="Arial" w:hAnsi="Arial" w:cs="Arial"/>
          <w:b/>
          <w:sz w:val="24"/>
          <w:szCs w:val="24"/>
          <w:u w:val="single"/>
        </w:rPr>
      </w:pPr>
      <w:r>
        <w:rPr>
          <w:rFonts w:ascii="Arial" w:hAnsi="Arial" w:cs="Arial"/>
          <w:b/>
          <w:sz w:val="24"/>
          <w:szCs w:val="24"/>
          <w:u w:val="single"/>
        </w:rPr>
        <w:br w:type="page"/>
      </w:r>
    </w:p>
    <w:p w14:paraId="00BF84D0" w14:textId="53DA455A" w:rsidR="002C1E87" w:rsidRPr="005F28F7" w:rsidRDefault="002C1E87" w:rsidP="002C1E87">
      <w:pPr>
        <w:spacing w:after="0" w:line="264" w:lineRule="auto"/>
        <w:contextualSpacing/>
        <w:rPr>
          <w:rFonts w:ascii="Arial" w:hAnsi="Arial" w:cs="Arial"/>
          <w:b/>
          <w:sz w:val="24"/>
          <w:szCs w:val="24"/>
          <w:u w:val="single"/>
        </w:rPr>
      </w:pPr>
      <w:r w:rsidRPr="005F28F7">
        <w:rPr>
          <w:rFonts w:ascii="Arial" w:hAnsi="Arial" w:cs="Arial"/>
          <w:b/>
          <w:sz w:val="24"/>
          <w:szCs w:val="24"/>
          <w:u w:val="single"/>
        </w:rPr>
        <w:lastRenderedPageBreak/>
        <w:t>Synergy North Response:</w:t>
      </w:r>
    </w:p>
    <w:p w14:paraId="4E56D3F0" w14:textId="77777777" w:rsidR="002C1E87" w:rsidRPr="005F28F7" w:rsidRDefault="002C1E87" w:rsidP="002C1E87">
      <w:pPr>
        <w:spacing w:after="0" w:line="264" w:lineRule="auto"/>
        <w:contextualSpacing/>
        <w:rPr>
          <w:rFonts w:ascii="Arial" w:hAnsi="Arial" w:cs="Arial"/>
          <w:sz w:val="24"/>
          <w:szCs w:val="24"/>
        </w:rPr>
      </w:pPr>
    </w:p>
    <w:p w14:paraId="740D76C0" w14:textId="0D2DAE27" w:rsidR="002C1E87" w:rsidRDefault="000E64AE" w:rsidP="00F65761">
      <w:pPr>
        <w:pStyle w:val="ListParagraph"/>
        <w:numPr>
          <w:ilvl w:val="0"/>
          <w:numId w:val="15"/>
        </w:numPr>
        <w:spacing w:after="0" w:line="264" w:lineRule="auto"/>
        <w:rPr>
          <w:rFonts w:ascii="Arial" w:hAnsi="Arial" w:cs="Arial"/>
          <w:sz w:val="24"/>
          <w:szCs w:val="24"/>
        </w:rPr>
      </w:pPr>
      <w:r>
        <w:rPr>
          <w:rFonts w:ascii="Arial" w:hAnsi="Arial" w:cs="Arial"/>
          <w:sz w:val="24"/>
          <w:szCs w:val="24"/>
        </w:rPr>
        <w:t xml:space="preserve">Please see the tables </w:t>
      </w:r>
      <w:r w:rsidR="00940D73">
        <w:rPr>
          <w:rFonts w:ascii="Arial" w:hAnsi="Arial" w:cs="Arial"/>
          <w:sz w:val="24"/>
          <w:szCs w:val="24"/>
        </w:rPr>
        <w:t xml:space="preserve">below </w:t>
      </w:r>
      <w:r>
        <w:rPr>
          <w:rFonts w:ascii="Arial" w:hAnsi="Arial" w:cs="Arial"/>
          <w:sz w:val="24"/>
          <w:szCs w:val="24"/>
        </w:rPr>
        <w:t xml:space="preserve">for the </w:t>
      </w:r>
      <w:r w:rsidR="00EE5F98">
        <w:rPr>
          <w:rFonts w:ascii="Arial" w:hAnsi="Arial" w:cs="Arial"/>
          <w:sz w:val="24"/>
          <w:szCs w:val="24"/>
        </w:rPr>
        <w:t>reconciliation of Account 1588</w:t>
      </w:r>
      <w:r w:rsidR="00940D73">
        <w:rPr>
          <w:rFonts w:ascii="Arial" w:hAnsi="Arial" w:cs="Arial"/>
          <w:sz w:val="24"/>
          <w:szCs w:val="24"/>
        </w:rPr>
        <w:t xml:space="preserve"> Principle Change</w:t>
      </w:r>
      <w:r w:rsidR="00EE5F98">
        <w:rPr>
          <w:rFonts w:ascii="Arial" w:hAnsi="Arial" w:cs="Arial"/>
          <w:sz w:val="24"/>
          <w:szCs w:val="24"/>
        </w:rPr>
        <w:t>.</w:t>
      </w:r>
    </w:p>
    <w:p w14:paraId="2C7ED726" w14:textId="77777777" w:rsidR="00D810B0" w:rsidRDefault="00D810B0" w:rsidP="00D810B0">
      <w:pPr>
        <w:pStyle w:val="ListParagraph"/>
        <w:spacing w:after="0" w:line="264" w:lineRule="auto"/>
        <w:ind w:left="1440"/>
        <w:rPr>
          <w:rFonts w:ascii="Arial" w:hAnsi="Arial" w:cs="Arial"/>
          <w:sz w:val="24"/>
          <w:szCs w:val="24"/>
        </w:rPr>
      </w:pPr>
    </w:p>
    <w:p w14:paraId="53B46256" w14:textId="5A46642B" w:rsidR="00EE5F98" w:rsidRDefault="00864351" w:rsidP="00EE5F98">
      <w:pPr>
        <w:spacing w:after="0" w:line="264" w:lineRule="auto"/>
        <w:rPr>
          <w:rFonts w:ascii="Arial" w:hAnsi="Arial" w:cs="Arial"/>
          <w:sz w:val="24"/>
          <w:szCs w:val="24"/>
        </w:rPr>
      </w:pPr>
      <w:r>
        <w:rPr>
          <w:rFonts w:ascii="Arial" w:hAnsi="Arial" w:cs="Arial"/>
          <w:sz w:val="24"/>
          <w:szCs w:val="24"/>
        </w:rPr>
        <w:t xml:space="preserve">Thunder Bay Rate Zone: </w:t>
      </w:r>
    </w:p>
    <w:tbl>
      <w:tblPr>
        <w:tblW w:w="10065" w:type="dxa"/>
        <w:tblLook w:val="04A0" w:firstRow="1" w:lastRow="0" w:firstColumn="1" w:lastColumn="0" w:noHBand="0" w:noVBand="1"/>
      </w:tblPr>
      <w:tblGrid>
        <w:gridCol w:w="6120"/>
        <w:gridCol w:w="1940"/>
        <w:gridCol w:w="2005"/>
      </w:tblGrid>
      <w:tr w:rsidR="00864351" w:rsidRPr="0045412A" w14:paraId="1F7307B8" w14:textId="77777777" w:rsidTr="007A568F">
        <w:trPr>
          <w:trHeight w:val="288"/>
        </w:trPr>
        <w:tc>
          <w:tcPr>
            <w:tcW w:w="6120" w:type="dxa"/>
            <w:tcBorders>
              <w:top w:val="nil"/>
              <w:left w:val="nil"/>
              <w:bottom w:val="nil"/>
              <w:right w:val="nil"/>
            </w:tcBorders>
            <w:shd w:val="clear" w:color="auto" w:fill="auto"/>
            <w:vAlign w:val="bottom"/>
            <w:hideMark/>
          </w:tcPr>
          <w:p w14:paraId="0606BDA4" w14:textId="77777777" w:rsidR="00864351" w:rsidRPr="0045412A" w:rsidRDefault="00864351"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14:paraId="4BA5FC7E" w14:textId="77777777" w:rsidR="00864351" w:rsidRPr="0045412A" w:rsidRDefault="00864351" w:rsidP="000C7F8E">
            <w:pPr>
              <w:spacing w:after="0" w:line="240" w:lineRule="auto"/>
              <w:jc w:val="center"/>
              <w:rPr>
                <w:rFonts w:ascii="Calibri" w:eastAsia="Times New Roman" w:hAnsi="Calibri" w:cs="Calibri"/>
                <w:b/>
                <w:bCs/>
                <w:color w:val="000000"/>
              </w:rPr>
            </w:pPr>
          </w:p>
        </w:tc>
        <w:tc>
          <w:tcPr>
            <w:tcW w:w="2005" w:type="dxa"/>
            <w:tcBorders>
              <w:top w:val="nil"/>
              <w:left w:val="nil"/>
              <w:bottom w:val="nil"/>
              <w:right w:val="nil"/>
            </w:tcBorders>
            <w:shd w:val="clear" w:color="auto" w:fill="auto"/>
            <w:noWrap/>
            <w:vAlign w:val="bottom"/>
            <w:hideMark/>
          </w:tcPr>
          <w:p w14:paraId="39D4454A" w14:textId="77777777" w:rsidR="00864351" w:rsidRPr="0045412A" w:rsidRDefault="00864351" w:rsidP="000C7F8E">
            <w:pPr>
              <w:spacing w:after="0" w:line="240" w:lineRule="auto"/>
              <w:jc w:val="center"/>
              <w:rPr>
                <w:rFonts w:ascii="Times New Roman" w:eastAsia="Times New Roman" w:hAnsi="Times New Roman" w:cs="Times New Roman"/>
                <w:sz w:val="20"/>
                <w:szCs w:val="20"/>
              </w:rPr>
            </w:pPr>
          </w:p>
        </w:tc>
      </w:tr>
      <w:tr w:rsidR="00864351" w:rsidRPr="0045412A" w14:paraId="10CD7341" w14:textId="77777777" w:rsidTr="007A568F">
        <w:trPr>
          <w:trHeight w:val="288"/>
        </w:trPr>
        <w:tc>
          <w:tcPr>
            <w:tcW w:w="6120" w:type="dxa"/>
            <w:tcBorders>
              <w:top w:val="nil"/>
              <w:left w:val="nil"/>
              <w:bottom w:val="nil"/>
              <w:right w:val="nil"/>
            </w:tcBorders>
            <w:shd w:val="clear" w:color="auto" w:fill="auto"/>
            <w:vAlign w:val="bottom"/>
            <w:hideMark/>
          </w:tcPr>
          <w:p w14:paraId="1AFBDD89" w14:textId="77777777" w:rsidR="00864351" w:rsidRPr="0045412A" w:rsidRDefault="00864351" w:rsidP="000C7F8E">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4B6E9361" w14:textId="77777777" w:rsidR="00864351" w:rsidRPr="0045412A" w:rsidRDefault="00864351" w:rsidP="000C7F8E">
            <w:pPr>
              <w:spacing w:after="0" w:line="240" w:lineRule="auto"/>
              <w:jc w:val="center"/>
              <w:rPr>
                <w:rFonts w:ascii="Times New Roman" w:eastAsia="Times New Roman" w:hAnsi="Times New Roman" w:cs="Times New Roman"/>
                <w:sz w:val="20"/>
                <w:szCs w:val="20"/>
              </w:rPr>
            </w:pPr>
          </w:p>
        </w:tc>
        <w:tc>
          <w:tcPr>
            <w:tcW w:w="2005" w:type="dxa"/>
            <w:tcBorders>
              <w:top w:val="nil"/>
              <w:left w:val="nil"/>
              <w:bottom w:val="single" w:sz="4" w:space="0" w:color="auto"/>
              <w:right w:val="nil"/>
            </w:tcBorders>
            <w:shd w:val="clear" w:color="auto" w:fill="auto"/>
            <w:vAlign w:val="bottom"/>
            <w:hideMark/>
          </w:tcPr>
          <w:p w14:paraId="6C18DC6F" w14:textId="77777777" w:rsidR="00864351" w:rsidRPr="0045412A" w:rsidRDefault="00864351" w:rsidP="000C7F8E">
            <w:pPr>
              <w:spacing w:after="0" w:line="240" w:lineRule="auto"/>
              <w:rPr>
                <w:rFonts w:ascii="Times New Roman" w:eastAsia="Times New Roman" w:hAnsi="Times New Roman" w:cs="Times New Roman"/>
                <w:sz w:val="20"/>
                <w:szCs w:val="20"/>
              </w:rPr>
            </w:pPr>
          </w:p>
        </w:tc>
      </w:tr>
      <w:tr w:rsidR="00864351" w:rsidRPr="0045412A" w14:paraId="5F7811E0" w14:textId="77777777" w:rsidTr="007A568F">
        <w:trPr>
          <w:trHeight w:val="1237"/>
        </w:trPr>
        <w:tc>
          <w:tcPr>
            <w:tcW w:w="6120" w:type="dxa"/>
            <w:tcBorders>
              <w:top w:val="nil"/>
              <w:left w:val="nil"/>
              <w:bottom w:val="single" w:sz="4" w:space="0" w:color="auto"/>
              <w:right w:val="single" w:sz="4" w:space="0" w:color="auto"/>
            </w:tcBorders>
            <w:shd w:val="clear" w:color="auto" w:fill="auto"/>
            <w:vAlign w:val="bottom"/>
            <w:hideMark/>
          </w:tcPr>
          <w:p w14:paraId="34CB51DE" w14:textId="77777777" w:rsidR="00864351" w:rsidRPr="0045412A" w:rsidRDefault="00864351" w:rsidP="000C7F8E">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06F89" w14:textId="77777777" w:rsidR="00864351" w:rsidRPr="0045412A" w:rsidRDefault="00864351"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3DC52" w14:textId="77777777" w:rsidR="00864351" w:rsidRPr="003F450A" w:rsidRDefault="00864351" w:rsidP="000C7F8E">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864351" w:rsidRPr="0045412A" w14:paraId="031C1537" w14:textId="77777777" w:rsidTr="007A568F">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A148" w14:textId="74A01E13" w:rsidR="00864351" w:rsidRPr="0045412A" w:rsidRDefault="007F2122" w:rsidP="000C7F8E">
            <w:pPr>
              <w:spacing w:after="0" w:line="240" w:lineRule="auto"/>
              <w:jc w:val="right"/>
              <w:rPr>
                <w:rFonts w:ascii="Calibri" w:eastAsia="Times New Roman" w:hAnsi="Calibri" w:cs="Calibri"/>
                <w:b/>
                <w:bCs/>
                <w:color w:val="000000"/>
              </w:rPr>
            </w:pPr>
            <w:r w:rsidRPr="007B4989">
              <w:rPr>
                <w:rFonts w:ascii="Arial" w:hAnsi="Arial" w:cs="Arial"/>
                <w:sz w:val="24"/>
                <w:szCs w:val="24"/>
                <w:lang w:val="en-US"/>
              </w:rPr>
              <w:t>Net change in principal balance in 201</w:t>
            </w:r>
            <w:r>
              <w:rPr>
                <w:rFonts w:ascii="Arial" w:hAnsi="Arial" w:cs="Arial"/>
                <w:sz w:val="24"/>
                <w:szCs w:val="24"/>
                <w:lang w:val="en-US"/>
              </w:rPr>
              <w:t>8</w:t>
            </w:r>
            <w:r w:rsidRPr="0045412A">
              <w:rPr>
                <w:rFonts w:ascii="Calibri" w:eastAsia="Times New Roman" w:hAnsi="Calibri" w:cs="Calibri"/>
                <w:b/>
                <w:bCs/>
                <w:color w:val="000000"/>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1801" w14:textId="3DAEA3FB" w:rsidR="00864351" w:rsidRPr="0045412A" w:rsidRDefault="007E6594"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05FB7D4" w14:textId="7A3ABC87" w:rsidR="00864351" w:rsidRPr="0045412A" w:rsidRDefault="00864351" w:rsidP="000C7F8E">
            <w:pPr>
              <w:spacing w:after="0" w:line="240" w:lineRule="auto"/>
              <w:rPr>
                <w:rFonts w:ascii="Calibri" w:eastAsia="Times New Roman" w:hAnsi="Calibri" w:cs="Calibri"/>
                <w:color w:val="000000"/>
              </w:rPr>
            </w:pPr>
          </w:p>
        </w:tc>
      </w:tr>
      <w:tr w:rsidR="00864351" w:rsidRPr="0045412A" w14:paraId="6252E39A" w14:textId="77777777" w:rsidTr="007A568F">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6803F"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864351" w:rsidRPr="0045412A" w14:paraId="66D8234E"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27F50" w14:textId="77777777" w:rsidR="00864351" w:rsidRPr="003F450A" w:rsidRDefault="00864351" w:rsidP="00864351">
            <w:pPr>
              <w:pStyle w:val="ListParagraph"/>
              <w:numPr>
                <w:ilvl w:val="0"/>
                <w:numId w:val="16"/>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D6EA" w14:textId="683E5CB1" w:rsidR="00864351" w:rsidRPr="00863FBB" w:rsidRDefault="00E86A51" w:rsidP="000C7F8E">
            <w:pPr>
              <w:spacing w:after="0" w:line="240" w:lineRule="auto"/>
              <w:rPr>
                <w:rFonts w:eastAsia="Times New Roman" w:cstheme="minorHAnsi"/>
                <w:color w:val="000000"/>
              </w:rPr>
            </w:pPr>
            <w:r>
              <w:rPr>
                <w:rFonts w:eastAsia="Times New Roman" w:cstheme="minorHAns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380FC" w14:textId="6FD5AF5E" w:rsidR="00863FBB" w:rsidRPr="00863FBB" w:rsidRDefault="00863FBB" w:rsidP="000C7F8E">
            <w:pPr>
              <w:spacing w:after="0" w:line="240" w:lineRule="auto"/>
              <w:rPr>
                <w:rFonts w:eastAsia="Times New Roman" w:cstheme="minorHAnsi"/>
                <w:szCs w:val="20"/>
              </w:rPr>
            </w:pPr>
          </w:p>
        </w:tc>
      </w:tr>
      <w:tr w:rsidR="00864351" w:rsidRPr="0045412A" w14:paraId="3C1997AC"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F466C" w14:textId="77777777" w:rsidR="00864351" w:rsidRPr="003F450A" w:rsidRDefault="00864351" w:rsidP="00864351">
            <w:pPr>
              <w:pStyle w:val="ListParagraph"/>
              <w:numPr>
                <w:ilvl w:val="0"/>
                <w:numId w:val="16"/>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D63F8" w14:textId="3B76D941"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0E68E" w14:textId="73B5AB85" w:rsidR="00864351" w:rsidRPr="0045412A" w:rsidRDefault="00864351" w:rsidP="000C7F8E">
            <w:pPr>
              <w:spacing w:after="0" w:line="240" w:lineRule="auto"/>
              <w:rPr>
                <w:rFonts w:ascii="Times New Roman" w:eastAsia="Times New Roman" w:hAnsi="Times New Roman" w:cs="Times New Roman"/>
                <w:sz w:val="20"/>
                <w:szCs w:val="20"/>
              </w:rPr>
            </w:pPr>
          </w:p>
        </w:tc>
      </w:tr>
      <w:tr w:rsidR="00864351" w:rsidRPr="0045412A" w14:paraId="2DD6B1CA"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8344" w14:textId="77777777" w:rsidR="00864351" w:rsidRPr="003F450A" w:rsidRDefault="00864351" w:rsidP="00864351">
            <w:pPr>
              <w:pStyle w:val="ListParagraph"/>
              <w:numPr>
                <w:ilvl w:val="0"/>
                <w:numId w:val="16"/>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A31D" w14:textId="59795C1E"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28074" w14:textId="1B820F9F" w:rsidR="00864351" w:rsidRPr="0045412A" w:rsidRDefault="00864351" w:rsidP="000C7F8E">
            <w:pPr>
              <w:spacing w:after="0" w:line="240" w:lineRule="auto"/>
              <w:rPr>
                <w:rFonts w:ascii="Times New Roman" w:eastAsia="Times New Roman" w:hAnsi="Times New Roman" w:cs="Times New Roman"/>
                <w:sz w:val="20"/>
                <w:szCs w:val="20"/>
              </w:rPr>
            </w:pPr>
          </w:p>
        </w:tc>
      </w:tr>
      <w:tr w:rsidR="00864351" w:rsidRPr="0045412A" w14:paraId="71B3596E" w14:textId="77777777" w:rsidTr="0014166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F6F72" w14:textId="77777777" w:rsidR="00864351" w:rsidRPr="003F450A" w:rsidRDefault="00864351" w:rsidP="00864351">
            <w:pPr>
              <w:pStyle w:val="ListParagraph"/>
              <w:numPr>
                <w:ilvl w:val="0"/>
                <w:numId w:val="16"/>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332D1" w14:textId="1FCFCC02"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bottom"/>
          </w:tcPr>
          <w:p w14:paraId="719163EC" w14:textId="679DF571" w:rsidR="00864351" w:rsidRPr="0045412A" w:rsidRDefault="00864351" w:rsidP="000C7F8E">
            <w:pPr>
              <w:spacing w:after="0" w:line="240" w:lineRule="auto"/>
              <w:jc w:val="center"/>
              <w:rPr>
                <w:rFonts w:ascii="Times New Roman" w:eastAsia="Times New Roman" w:hAnsi="Times New Roman" w:cs="Times New Roman"/>
                <w:sz w:val="20"/>
                <w:szCs w:val="20"/>
              </w:rPr>
            </w:pPr>
          </w:p>
        </w:tc>
      </w:tr>
      <w:tr w:rsidR="00864351" w:rsidRPr="0045412A" w14:paraId="302E6ADF" w14:textId="77777777" w:rsidTr="007A568F">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AC52E" w14:textId="77777777" w:rsidR="00864351" w:rsidRPr="0045412A" w:rsidRDefault="00864351" w:rsidP="000C7F8E">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B1EB2" w14:textId="44E76755" w:rsidR="00864351" w:rsidRPr="0045412A" w:rsidRDefault="00A66307" w:rsidP="00C350E2">
            <w:pPr>
              <w:spacing w:after="0" w:line="240" w:lineRule="auto"/>
              <w:rPr>
                <w:rFonts w:ascii="Calibri" w:eastAsia="Times New Roman" w:hAnsi="Calibri" w:cs="Calibri"/>
                <w:color w:val="000000"/>
              </w:rPr>
            </w:pPr>
            <w:r>
              <w:rPr>
                <w:rFonts w:ascii="Calibri" w:eastAsia="Times New Roman" w:hAnsi="Calibri" w:cs="Calibri"/>
                <w:color w:val="000000"/>
              </w:rPr>
              <w:t>0</w:t>
            </w:r>
            <w:r w:rsidR="00864351" w:rsidRPr="0045412A">
              <w:rPr>
                <w:rFonts w:ascii="Calibri" w:eastAsia="Times New Roman" w:hAnsi="Calibri" w:cs="Calibri"/>
                <w:color w:val="000000"/>
              </w:rPr>
              <w:t> </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F057A38"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64351" w:rsidRPr="0045412A" w14:paraId="52DAD82E" w14:textId="77777777" w:rsidTr="007A568F">
        <w:trPr>
          <w:trHeight w:val="240"/>
        </w:trPr>
        <w:tc>
          <w:tcPr>
            <w:tcW w:w="6120" w:type="dxa"/>
            <w:tcBorders>
              <w:top w:val="single" w:sz="4" w:space="0" w:color="auto"/>
              <w:left w:val="nil"/>
              <w:bottom w:val="single" w:sz="4" w:space="0" w:color="auto"/>
              <w:right w:val="nil"/>
            </w:tcBorders>
            <w:shd w:val="clear" w:color="auto" w:fill="auto"/>
            <w:noWrap/>
            <w:vAlign w:val="bottom"/>
            <w:hideMark/>
          </w:tcPr>
          <w:p w14:paraId="18D41950" w14:textId="77777777" w:rsidR="00864351" w:rsidRDefault="00864351" w:rsidP="000C7F8E">
            <w:pPr>
              <w:spacing w:after="0" w:line="240" w:lineRule="auto"/>
              <w:rPr>
                <w:rFonts w:ascii="Calibri" w:eastAsia="Times New Roman" w:hAnsi="Calibri" w:cs="Calibri"/>
                <w:color w:val="000000"/>
              </w:rPr>
            </w:pPr>
          </w:p>
          <w:p w14:paraId="7FC6AD26" w14:textId="0A87DA73" w:rsidR="002312F6" w:rsidRPr="0045412A" w:rsidRDefault="002312F6"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03ED773B" w14:textId="77777777" w:rsidR="00864351" w:rsidRPr="0045412A" w:rsidRDefault="00864351" w:rsidP="000C7F8E">
            <w:pPr>
              <w:spacing w:after="0" w:line="240" w:lineRule="auto"/>
              <w:rPr>
                <w:rFonts w:ascii="Times New Roman" w:eastAsia="Times New Roman" w:hAnsi="Times New Roman" w:cs="Times New Roman"/>
                <w:sz w:val="20"/>
                <w:szCs w:val="20"/>
              </w:rPr>
            </w:pPr>
          </w:p>
        </w:tc>
        <w:tc>
          <w:tcPr>
            <w:tcW w:w="2005" w:type="dxa"/>
            <w:tcBorders>
              <w:top w:val="single" w:sz="4" w:space="0" w:color="auto"/>
              <w:left w:val="nil"/>
              <w:bottom w:val="single" w:sz="4" w:space="0" w:color="auto"/>
              <w:right w:val="nil"/>
            </w:tcBorders>
            <w:shd w:val="clear" w:color="000000" w:fill="F2F2F2"/>
            <w:noWrap/>
            <w:vAlign w:val="bottom"/>
            <w:hideMark/>
          </w:tcPr>
          <w:p w14:paraId="4803BF9D"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64351" w:rsidRPr="0045412A" w14:paraId="26DED01F" w14:textId="77777777" w:rsidTr="007A568F">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3700"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864351" w:rsidRPr="0045412A" w14:paraId="10AD92FB"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F5ED" w14:textId="77777777" w:rsidR="00864351" w:rsidRPr="003F450A" w:rsidRDefault="00864351" w:rsidP="00864351">
            <w:pPr>
              <w:pStyle w:val="ListParagraph"/>
              <w:numPr>
                <w:ilvl w:val="0"/>
                <w:numId w:val="16"/>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5592" w14:textId="6CA39DA1"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03C9F06" w14:textId="258596C5" w:rsidR="00864351" w:rsidRPr="0045412A" w:rsidRDefault="00864351" w:rsidP="000C7F8E">
            <w:pPr>
              <w:spacing w:after="0" w:line="240" w:lineRule="auto"/>
              <w:rPr>
                <w:rFonts w:ascii="Calibri" w:eastAsia="Times New Roman" w:hAnsi="Calibri" w:cs="Calibri"/>
                <w:color w:val="000000"/>
              </w:rPr>
            </w:pPr>
          </w:p>
        </w:tc>
      </w:tr>
      <w:tr w:rsidR="00864351" w:rsidRPr="0045412A" w14:paraId="6CAC3A1D"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C6CF0" w14:textId="77777777" w:rsidR="00864351" w:rsidRPr="003F450A" w:rsidRDefault="00864351" w:rsidP="00864351">
            <w:pPr>
              <w:pStyle w:val="ListParagraph"/>
              <w:numPr>
                <w:ilvl w:val="0"/>
                <w:numId w:val="16"/>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C3783" w14:textId="130E1EF0" w:rsidR="00E86A51" w:rsidRPr="0045412A" w:rsidRDefault="00E86A51" w:rsidP="00C9131A">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F8A6E0A" w14:textId="3DE64DE2" w:rsidR="00864351" w:rsidRPr="0045412A" w:rsidRDefault="00864351" w:rsidP="000C7F8E">
            <w:pPr>
              <w:spacing w:after="0" w:line="240" w:lineRule="auto"/>
              <w:rPr>
                <w:rFonts w:ascii="Calibri" w:eastAsia="Times New Roman" w:hAnsi="Calibri" w:cs="Calibri"/>
                <w:color w:val="000000"/>
              </w:rPr>
            </w:pPr>
          </w:p>
        </w:tc>
      </w:tr>
      <w:tr w:rsidR="00864351" w:rsidRPr="0045412A" w14:paraId="3DD18536" w14:textId="77777777" w:rsidTr="0014166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6B7D" w14:textId="77777777" w:rsidR="00864351" w:rsidRPr="003F450A" w:rsidRDefault="00864351" w:rsidP="00864351">
            <w:pPr>
              <w:pStyle w:val="ListParagraph"/>
              <w:numPr>
                <w:ilvl w:val="0"/>
                <w:numId w:val="16"/>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651D" w14:textId="1FC5A186"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469E70C" w14:textId="7E12FE50" w:rsidR="00864351" w:rsidRPr="0045412A" w:rsidRDefault="00864351" w:rsidP="000C7F8E">
            <w:pPr>
              <w:spacing w:after="0" w:line="240" w:lineRule="auto"/>
              <w:rPr>
                <w:rFonts w:ascii="Calibri" w:eastAsia="Times New Roman" w:hAnsi="Calibri" w:cs="Calibri"/>
                <w:color w:val="000000"/>
              </w:rPr>
            </w:pPr>
          </w:p>
        </w:tc>
      </w:tr>
      <w:tr w:rsidR="00864351" w:rsidRPr="0045412A" w14:paraId="4D30C34B" w14:textId="77777777" w:rsidTr="00141669">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037E5" w14:textId="77777777" w:rsidR="00864351" w:rsidRPr="003F450A" w:rsidRDefault="00864351" w:rsidP="00864351">
            <w:pPr>
              <w:pStyle w:val="ListParagraph"/>
              <w:numPr>
                <w:ilvl w:val="0"/>
                <w:numId w:val="16"/>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D0668" w14:textId="7BD25E54"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60BC927" w14:textId="2E8429BA" w:rsidR="00864351" w:rsidRPr="0045412A" w:rsidRDefault="00864351" w:rsidP="000C7F8E">
            <w:pPr>
              <w:spacing w:after="0" w:line="240" w:lineRule="auto"/>
              <w:rPr>
                <w:rFonts w:ascii="Calibri" w:eastAsia="Times New Roman" w:hAnsi="Calibri" w:cs="Calibri"/>
                <w:color w:val="000000"/>
              </w:rPr>
            </w:pPr>
          </w:p>
        </w:tc>
      </w:tr>
      <w:tr w:rsidR="00864351" w:rsidRPr="0045412A" w14:paraId="0F057DD9" w14:textId="77777777" w:rsidTr="007A568F">
        <w:trPr>
          <w:trHeight w:val="393"/>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62C10430" w14:textId="77777777" w:rsidR="00864351" w:rsidRPr="003F450A" w:rsidRDefault="00864351" w:rsidP="00864351">
            <w:pPr>
              <w:pStyle w:val="ListParagraph"/>
              <w:numPr>
                <w:ilvl w:val="0"/>
                <w:numId w:val="16"/>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A8D84" w14:textId="5079B5C0" w:rsidR="00864351" w:rsidRPr="0045412A" w:rsidRDefault="00E86A51" w:rsidP="000C7F8E">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2A3BFE4" w14:textId="33589477" w:rsidR="00864351" w:rsidRPr="0045412A" w:rsidRDefault="00864351" w:rsidP="000C7F8E">
            <w:pPr>
              <w:spacing w:after="0" w:line="240" w:lineRule="auto"/>
              <w:rPr>
                <w:rFonts w:ascii="Calibri" w:eastAsia="Times New Roman" w:hAnsi="Calibri" w:cs="Calibri"/>
                <w:color w:val="000000"/>
              </w:rPr>
            </w:pPr>
          </w:p>
        </w:tc>
      </w:tr>
      <w:tr w:rsidR="00864351" w:rsidRPr="0045412A" w14:paraId="109913BB" w14:textId="77777777" w:rsidTr="007A568F">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B696" w14:textId="77777777" w:rsidR="00864351" w:rsidRPr="0045412A" w:rsidRDefault="00864351"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80A4" w14:textId="351D6CE5"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A66307">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B9FFDA"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64351" w:rsidRPr="0045412A" w14:paraId="25D5A00D" w14:textId="77777777" w:rsidTr="007A568F">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6B5FD" w14:textId="77777777" w:rsidR="00864351" w:rsidRPr="0045412A" w:rsidRDefault="00864351"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8892" w14:textId="6C773AF3"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A66307">
              <w:rPr>
                <w:rFonts w:ascii="Calibri" w:eastAsia="Times New Roman" w:hAnsi="Calibri" w:cs="Calibri"/>
                <w:color w:val="000000"/>
              </w:rPr>
              <w:t>0</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1424D4" w14:textId="77777777"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64351" w:rsidRPr="0045412A" w14:paraId="4FEE46DF" w14:textId="77777777" w:rsidTr="007A568F">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9CDB2" w14:textId="77777777" w:rsidR="00864351" w:rsidRPr="0045412A" w:rsidRDefault="00864351"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4D744" w14:textId="684460DC" w:rsidR="00864351" w:rsidRPr="0045412A" w:rsidRDefault="00864351"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794282">
              <w:rPr>
                <w:rFonts w:ascii="Calibri" w:eastAsia="Times New Roman" w:hAnsi="Calibri" w:cs="Calibri"/>
                <w:color w:val="000000"/>
              </w:rPr>
              <w:t>0</w:t>
            </w:r>
            <w:r w:rsidR="008561F9">
              <w:rPr>
                <w:rFonts w:ascii="Calibri" w:eastAsia="Times New Roman" w:hAnsi="Calibri" w:cs="Calibri"/>
                <w:color w:val="000000"/>
              </w:rPr>
              <w:t xml:space="preserve"> </w:t>
            </w:r>
          </w:p>
        </w:tc>
        <w:tc>
          <w:tcPr>
            <w:tcW w:w="200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C32EFB" w14:textId="1B160FBB" w:rsidR="00C350E2" w:rsidRPr="0045412A" w:rsidRDefault="00864351" w:rsidP="00401051">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64351" w:rsidRPr="0045412A" w14:paraId="5866CFE7" w14:textId="77777777" w:rsidTr="007A568F">
        <w:trPr>
          <w:trHeight w:val="300"/>
        </w:trPr>
        <w:tc>
          <w:tcPr>
            <w:tcW w:w="6120" w:type="dxa"/>
            <w:tcBorders>
              <w:top w:val="single" w:sz="4" w:space="0" w:color="auto"/>
              <w:left w:val="nil"/>
              <w:bottom w:val="nil"/>
              <w:right w:val="nil"/>
            </w:tcBorders>
            <w:shd w:val="clear" w:color="auto" w:fill="auto"/>
            <w:noWrap/>
            <w:vAlign w:val="bottom"/>
            <w:hideMark/>
          </w:tcPr>
          <w:p w14:paraId="0321C43D" w14:textId="77777777" w:rsidR="00864351" w:rsidRPr="0045412A" w:rsidRDefault="00864351"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14:paraId="417208DD" w14:textId="77777777" w:rsidR="00864351" w:rsidRPr="0045412A" w:rsidRDefault="00864351" w:rsidP="000C7F8E">
            <w:pPr>
              <w:spacing w:after="0" w:line="240" w:lineRule="auto"/>
              <w:rPr>
                <w:rFonts w:ascii="Times New Roman" w:eastAsia="Times New Roman" w:hAnsi="Times New Roman" w:cs="Times New Roman"/>
                <w:sz w:val="20"/>
                <w:szCs w:val="20"/>
              </w:rPr>
            </w:pPr>
          </w:p>
        </w:tc>
        <w:tc>
          <w:tcPr>
            <w:tcW w:w="2005" w:type="dxa"/>
            <w:tcBorders>
              <w:top w:val="single" w:sz="4" w:space="0" w:color="auto"/>
              <w:left w:val="nil"/>
              <w:bottom w:val="nil"/>
              <w:right w:val="nil"/>
            </w:tcBorders>
            <w:shd w:val="clear" w:color="auto" w:fill="auto"/>
            <w:noWrap/>
            <w:vAlign w:val="bottom"/>
            <w:hideMark/>
          </w:tcPr>
          <w:p w14:paraId="4ECAE2AC" w14:textId="77777777" w:rsidR="00864351" w:rsidRPr="0045412A" w:rsidRDefault="00864351" w:rsidP="000C7F8E">
            <w:pPr>
              <w:spacing w:after="0" w:line="240" w:lineRule="auto"/>
              <w:rPr>
                <w:rFonts w:ascii="Times New Roman" w:eastAsia="Times New Roman" w:hAnsi="Times New Roman" w:cs="Times New Roman"/>
                <w:sz w:val="20"/>
                <w:szCs w:val="20"/>
              </w:rPr>
            </w:pPr>
          </w:p>
        </w:tc>
      </w:tr>
    </w:tbl>
    <w:p w14:paraId="537ED4A1" w14:textId="77777777" w:rsidR="007A568F" w:rsidRDefault="007A568F" w:rsidP="00EE5F98">
      <w:pPr>
        <w:spacing w:after="0" w:line="264" w:lineRule="auto"/>
        <w:rPr>
          <w:rFonts w:ascii="Arial" w:hAnsi="Arial" w:cs="Arial"/>
          <w:sz w:val="24"/>
          <w:szCs w:val="24"/>
        </w:rPr>
      </w:pPr>
    </w:p>
    <w:p w14:paraId="24BFD62B" w14:textId="14866DB1" w:rsidR="00FF68CE" w:rsidRPr="00141669" w:rsidRDefault="00794282" w:rsidP="00EE5F98">
      <w:pPr>
        <w:spacing w:after="0" w:line="264" w:lineRule="auto"/>
        <w:rPr>
          <w:rFonts w:ascii="Arial" w:hAnsi="Arial" w:cs="Arial"/>
          <w:sz w:val="24"/>
          <w:szCs w:val="24"/>
        </w:rPr>
      </w:pPr>
      <w:r>
        <w:rPr>
          <w:rFonts w:ascii="Arial" w:hAnsi="Arial" w:cs="Arial"/>
          <w:sz w:val="24"/>
          <w:szCs w:val="24"/>
        </w:rPr>
        <w:t xml:space="preserve">Synergy North </w:t>
      </w:r>
      <w:r w:rsidR="002E3AE3">
        <w:rPr>
          <w:rFonts w:ascii="Arial" w:hAnsi="Arial" w:cs="Arial"/>
          <w:sz w:val="24"/>
          <w:szCs w:val="24"/>
        </w:rPr>
        <w:t xml:space="preserve">Thunder Bay </w:t>
      </w:r>
      <w:r w:rsidR="007C612A">
        <w:rPr>
          <w:rFonts w:ascii="Arial" w:hAnsi="Arial" w:cs="Arial"/>
          <w:sz w:val="24"/>
          <w:szCs w:val="24"/>
        </w:rPr>
        <w:t>Rate Zone</w:t>
      </w:r>
      <w:r w:rsidR="002E3AE3">
        <w:rPr>
          <w:rFonts w:ascii="Arial" w:hAnsi="Arial" w:cs="Arial"/>
          <w:sz w:val="24"/>
          <w:szCs w:val="24"/>
        </w:rPr>
        <w:t xml:space="preserve"> </w:t>
      </w:r>
      <w:r>
        <w:rPr>
          <w:rFonts w:ascii="Arial" w:hAnsi="Arial" w:cs="Arial"/>
          <w:sz w:val="24"/>
          <w:szCs w:val="24"/>
        </w:rPr>
        <w:t>has not made any principal adjustments in 2018.</w:t>
      </w:r>
    </w:p>
    <w:p w14:paraId="69AB51EB" w14:textId="77777777" w:rsidR="00141669" w:rsidRDefault="00141669" w:rsidP="000C7F8E">
      <w:pPr>
        <w:spacing w:after="0" w:line="264" w:lineRule="auto"/>
        <w:rPr>
          <w:rFonts w:ascii="Arial" w:hAnsi="Arial" w:cs="Arial"/>
          <w:sz w:val="24"/>
          <w:szCs w:val="24"/>
        </w:rPr>
      </w:pPr>
    </w:p>
    <w:p w14:paraId="019CB58F" w14:textId="77777777" w:rsidR="00141669" w:rsidRDefault="00141669">
      <w:pPr>
        <w:spacing w:after="160" w:line="259" w:lineRule="auto"/>
        <w:rPr>
          <w:rFonts w:ascii="Arial" w:hAnsi="Arial" w:cs="Arial"/>
          <w:sz w:val="24"/>
          <w:szCs w:val="24"/>
        </w:rPr>
      </w:pPr>
      <w:r>
        <w:rPr>
          <w:rFonts w:ascii="Arial" w:hAnsi="Arial" w:cs="Arial"/>
          <w:sz w:val="24"/>
          <w:szCs w:val="24"/>
        </w:rPr>
        <w:br w:type="page"/>
      </w:r>
    </w:p>
    <w:p w14:paraId="4988E82F" w14:textId="6C728D1E" w:rsidR="000C7F8E" w:rsidRDefault="000C7F8E" w:rsidP="000C7F8E">
      <w:pPr>
        <w:spacing w:after="0" w:line="264" w:lineRule="auto"/>
        <w:rPr>
          <w:rFonts w:ascii="Arial" w:hAnsi="Arial" w:cs="Arial"/>
          <w:sz w:val="24"/>
          <w:szCs w:val="24"/>
        </w:rPr>
      </w:pPr>
      <w:r>
        <w:rPr>
          <w:rFonts w:ascii="Arial" w:hAnsi="Arial" w:cs="Arial"/>
          <w:sz w:val="24"/>
          <w:szCs w:val="24"/>
        </w:rPr>
        <w:lastRenderedPageBreak/>
        <w:t xml:space="preserve">Kenora Rate Zone: </w:t>
      </w:r>
    </w:p>
    <w:p w14:paraId="244023B3" w14:textId="77777777" w:rsidR="000C7F8E" w:rsidRDefault="000C7F8E" w:rsidP="000C7F8E">
      <w:pPr>
        <w:spacing w:after="0" w:line="264" w:lineRule="auto"/>
        <w:rPr>
          <w:rFonts w:ascii="Arial" w:hAnsi="Arial" w:cs="Arial"/>
          <w:sz w:val="24"/>
          <w:szCs w:val="24"/>
        </w:rPr>
      </w:pPr>
    </w:p>
    <w:tbl>
      <w:tblPr>
        <w:tblW w:w="9840" w:type="dxa"/>
        <w:tblLook w:val="04A0" w:firstRow="1" w:lastRow="0" w:firstColumn="1" w:lastColumn="0" w:noHBand="0" w:noVBand="1"/>
      </w:tblPr>
      <w:tblGrid>
        <w:gridCol w:w="6120"/>
        <w:gridCol w:w="1940"/>
        <w:gridCol w:w="1780"/>
      </w:tblGrid>
      <w:tr w:rsidR="000C7F8E" w:rsidRPr="0045412A" w14:paraId="5DC3A559" w14:textId="77777777" w:rsidTr="000C7F8E">
        <w:trPr>
          <w:trHeight w:val="288"/>
        </w:trPr>
        <w:tc>
          <w:tcPr>
            <w:tcW w:w="6120" w:type="dxa"/>
            <w:tcBorders>
              <w:top w:val="nil"/>
              <w:left w:val="nil"/>
              <w:bottom w:val="nil"/>
              <w:right w:val="nil"/>
            </w:tcBorders>
            <w:shd w:val="clear" w:color="auto" w:fill="auto"/>
            <w:vAlign w:val="bottom"/>
            <w:hideMark/>
          </w:tcPr>
          <w:p w14:paraId="4BA64E96" w14:textId="266BAB4B" w:rsidR="000C7F8E" w:rsidRPr="0045412A" w:rsidRDefault="000C7F8E"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w:t>
            </w:r>
            <w:r w:rsidR="00B55601">
              <w:rPr>
                <w:rFonts w:ascii="Calibri" w:eastAsia="Times New Roman" w:hAnsi="Calibri" w:cs="Calibri"/>
                <w:b/>
                <w:bCs/>
                <w:color w:val="000000"/>
              </w:rPr>
              <w:t>7</w:t>
            </w:r>
          </w:p>
        </w:tc>
        <w:tc>
          <w:tcPr>
            <w:tcW w:w="1940" w:type="dxa"/>
            <w:tcBorders>
              <w:top w:val="nil"/>
              <w:left w:val="nil"/>
              <w:bottom w:val="nil"/>
              <w:right w:val="nil"/>
            </w:tcBorders>
            <w:shd w:val="clear" w:color="auto" w:fill="auto"/>
            <w:vAlign w:val="bottom"/>
            <w:hideMark/>
          </w:tcPr>
          <w:p w14:paraId="4621B20C" w14:textId="77777777" w:rsidR="000C7F8E" w:rsidRPr="0045412A" w:rsidRDefault="000C7F8E" w:rsidP="000C7F8E">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15B8633C"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r>
      <w:tr w:rsidR="000C7F8E" w:rsidRPr="0045412A" w14:paraId="1F040A75" w14:textId="77777777" w:rsidTr="000C7F8E">
        <w:trPr>
          <w:trHeight w:val="288"/>
        </w:trPr>
        <w:tc>
          <w:tcPr>
            <w:tcW w:w="6120" w:type="dxa"/>
            <w:tcBorders>
              <w:top w:val="nil"/>
              <w:left w:val="nil"/>
              <w:bottom w:val="nil"/>
              <w:right w:val="nil"/>
            </w:tcBorders>
            <w:shd w:val="clear" w:color="auto" w:fill="auto"/>
            <w:vAlign w:val="bottom"/>
            <w:hideMark/>
          </w:tcPr>
          <w:p w14:paraId="35AB3C25"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052F381A"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14:paraId="7F87FD0E"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40476613" w14:textId="77777777" w:rsidTr="000C7F8E">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7911F474"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110F" w14:textId="77777777" w:rsidR="000C7F8E" w:rsidRPr="0045412A" w:rsidRDefault="000C7F8E"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73D4C" w14:textId="77777777" w:rsidR="000C7F8E" w:rsidRPr="003F450A" w:rsidRDefault="000C7F8E" w:rsidP="000C7F8E">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0C7F8E" w:rsidRPr="0045412A" w14:paraId="039302BE"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3BC19" w14:textId="1182C362" w:rsidR="000C7F8E" w:rsidRPr="0045412A" w:rsidRDefault="007F2122" w:rsidP="000C7F8E">
            <w:pPr>
              <w:spacing w:after="0" w:line="240" w:lineRule="auto"/>
              <w:jc w:val="right"/>
              <w:rPr>
                <w:rFonts w:ascii="Calibri" w:eastAsia="Times New Roman" w:hAnsi="Calibri" w:cs="Calibri"/>
                <w:b/>
                <w:bCs/>
                <w:color w:val="000000"/>
              </w:rPr>
            </w:pPr>
            <w:r w:rsidRPr="007B4989">
              <w:rPr>
                <w:rFonts w:ascii="Arial" w:hAnsi="Arial" w:cs="Arial"/>
                <w:sz w:val="24"/>
                <w:szCs w:val="24"/>
                <w:lang w:val="en-US"/>
              </w:rPr>
              <w:t>Net change in principal balance in 201</w:t>
            </w:r>
            <w:r w:rsidR="00851AA1">
              <w:rPr>
                <w:rFonts w:ascii="Arial" w:hAnsi="Arial" w:cs="Arial"/>
                <w:sz w:val="24"/>
                <w:szCs w:val="24"/>
                <w:lang w:val="en-US"/>
              </w:rPr>
              <w:t>7</w:t>
            </w:r>
            <w:r w:rsidRPr="0045412A">
              <w:rPr>
                <w:rFonts w:ascii="Calibri" w:eastAsia="Times New Roman" w:hAnsi="Calibri" w:cs="Calibri"/>
                <w:b/>
                <w:bCs/>
                <w:color w:val="000000"/>
              </w:rPr>
              <w:t xml:space="preserve"> </w:t>
            </w:r>
            <w:r w:rsidR="000C7F8E" w:rsidRPr="0045412A">
              <w:rPr>
                <w:rFonts w:ascii="Calibri" w:eastAsia="Times New Roman" w:hAnsi="Calibri" w:cs="Calibri"/>
                <w:b/>
                <w:bCs/>
                <w:color w:val="000000"/>
              </w:rPr>
              <w:t>Balance December 31, 201</w:t>
            </w:r>
            <w:r w:rsidR="00BC5DF7">
              <w:rPr>
                <w:rFonts w:ascii="Calibri" w:eastAsia="Times New Roman" w:hAnsi="Calibri" w:cs="Calibri"/>
                <w:b/>
                <w:bCs/>
                <w:color w:val="000000"/>
              </w:rPr>
              <w:t>7</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D2B8" w14:textId="66EBBB01"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794282">
              <w:rPr>
                <w:rFonts w:ascii="Calibri" w:eastAsia="Times New Roman" w:hAnsi="Calibri" w:cs="Calibri"/>
                <w:color w:val="000000"/>
              </w:rPr>
              <w:t>(34,676)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3E782D6"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C60B8B4" w14:textId="77777777" w:rsidTr="000C7F8E">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F2F0"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0C7F8E" w:rsidRPr="0045412A" w14:paraId="33B925DE"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B139" w14:textId="77777777" w:rsidR="000C7F8E" w:rsidRPr="003F450A" w:rsidRDefault="000C7F8E" w:rsidP="000C7F8E">
            <w:pPr>
              <w:pStyle w:val="ListParagraph"/>
              <w:numPr>
                <w:ilvl w:val="0"/>
                <w:numId w:val="17"/>
              </w:numPr>
              <w:spacing w:after="0" w:line="240" w:lineRule="auto"/>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DBDD6"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88453"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1AF23840"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E7496" w14:textId="77777777" w:rsidR="000C7F8E" w:rsidRPr="003F450A" w:rsidRDefault="000C7F8E" w:rsidP="000C7F8E">
            <w:pPr>
              <w:pStyle w:val="ListParagraph"/>
              <w:numPr>
                <w:ilvl w:val="0"/>
                <w:numId w:val="1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B8E83"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0045"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6F9A5677"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4B95A" w14:textId="77777777" w:rsidR="000C7F8E" w:rsidRPr="003F450A" w:rsidRDefault="000C7F8E" w:rsidP="000C7F8E">
            <w:pPr>
              <w:pStyle w:val="ListParagraph"/>
              <w:numPr>
                <w:ilvl w:val="0"/>
                <w:numId w:val="1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A431"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8DE4"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65C5F5BC"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41024" w14:textId="77777777" w:rsidR="000C7F8E" w:rsidRPr="003F450A" w:rsidRDefault="000C7F8E" w:rsidP="000C7F8E">
            <w:pPr>
              <w:pStyle w:val="ListParagraph"/>
              <w:numPr>
                <w:ilvl w:val="0"/>
                <w:numId w:val="1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BE0C3"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A6EB4"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r>
      <w:tr w:rsidR="000C7F8E" w:rsidRPr="0045412A" w14:paraId="7C245E53"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1215C" w14:textId="77777777" w:rsidR="000C7F8E" w:rsidRPr="0045412A" w:rsidRDefault="000C7F8E" w:rsidP="000C7F8E">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19AE1F" w14:textId="77777777" w:rsidR="000C7F8E" w:rsidRPr="0045412A" w:rsidRDefault="000C7F8E" w:rsidP="000C7F8E">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D39C417"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2185A684" w14:textId="77777777" w:rsidTr="000C7F8E">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1A438A4B" w14:textId="77777777" w:rsidR="000C7F8E" w:rsidRPr="0045412A" w:rsidRDefault="000C7F8E"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2C1D27B4"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14:paraId="7588F0AA"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222775ED" w14:textId="77777777" w:rsidTr="000C7F8E">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1DA11"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0C7F8E" w:rsidRPr="0045412A" w14:paraId="0B723D13"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3BDF7" w14:textId="5C52C1D6" w:rsidR="000C7F8E" w:rsidRPr="003F450A" w:rsidRDefault="000C7F8E" w:rsidP="000C7F8E">
            <w:pPr>
              <w:pStyle w:val="ListParagraph"/>
              <w:numPr>
                <w:ilvl w:val="0"/>
                <w:numId w:val="1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w:t>
            </w:r>
            <w:r w:rsidR="00BC5DF7">
              <w:rPr>
                <w:rFonts w:ascii="Calibri" w:eastAsia="Times New Roman" w:hAnsi="Calibri" w:cs="Calibri"/>
                <w:color w:val="000000"/>
              </w:rPr>
              <w:t>7</w:t>
            </w:r>
            <w:r w:rsidRPr="003F450A">
              <w:rPr>
                <w:rFonts w:ascii="Calibri" w:eastAsia="Times New Roman" w:hAnsi="Calibri" w:cs="Calibri"/>
                <w:color w:val="000000"/>
              </w:rPr>
              <w:t xml:space="preserve">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BA7C3"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5FC76C"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597C50ED"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DB647" w14:textId="18616881" w:rsidR="000C7F8E" w:rsidRPr="003F450A" w:rsidRDefault="000C7F8E" w:rsidP="000C7F8E">
            <w:pPr>
              <w:pStyle w:val="ListParagraph"/>
              <w:numPr>
                <w:ilvl w:val="0"/>
                <w:numId w:val="1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w:t>
            </w:r>
            <w:r w:rsidR="00BC5DF7">
              <w:rPr>
                <w:rFonts w:ascii="Calibri" w:eastAsia="Times New Roman" w:hAnsi="Calibri" w:cs="Calibri"/>
                <w:color w:val="000000"/>
              </w:rPr>
              <w:t>7</w:t>
            </w:r>
            <w:r w:rsidRPr="003F450A">
              <w:rPr>
                <w:rFonts w:ascii="Calibri" w:eastAsia="Times New Roman" w:hAnsi="Calibri" w:cs="Calibri"/>
                <w:color w:val="000000"/>
              </w:rPr>
              <w:t xml:space="preserve"> consumption recorded in 201</w:t>
            </w:r>
            <w:r w:rsidR="00BC5DF7">
              <w:rPr>
                <w:rFonts w:ascii="Calibri" w:eastAsia="Times New Roman" w:hAnsi="Calibri" w:cs="Calibri"/>
                <w:color w:val="000000"/>
              </w:rPr>
              <w:t>8</w:t>
            </w:r>
            <w:r w:rsidRPr="003F450A">
              <w:rPr>
                <w:rFonts w:ascii="Calibri" w:eastAsia="Times New Roman" w:hAnsi="Calibri" w:cs="Calibri"/>
                <w:color w:val="000000"/>
              </w:rPr>
              <w:t xml:space="preserv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69A5C"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C3C89B9"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8151870"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8252" w14:textId="5F5D1230" w:rsidR="000C7F8E" w:rsidRPr="003F450A" w:rsidRDefault="000C7F8E" w:rsidP="000C7F8E">
            <w:pPr>
              <w:pStyle w:val="ListParagraph"/>
              <w:numPr>
                <w:ilvl w:val="0"/>
                <w:numId w:val="1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w:t>
            </w:r>
            <w:r w:rsidR="00BC5DF7">
              <w:rPr>
                <w:rFonts w:ascii="Calibri" w:eastAsia="Times New Roman" w:hAnsi="Calibri" w:cs="Calibri"/>
                <w:color w:val="000000"/>
              </w:rPr>
              <w:t>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3EAE"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F69093"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253AFD2E" w14:textId="77777777" w:rsidTr="000C7F8E">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77401" w14:textId="70390CA2" w:rsidR="000C7F8E" w:rsidRPr="003F450A" w:rsidRDefault="000C7F8E" w:rsidP="000C7F8E">
            <w:pPr>
              <w:pStyle w:val="ListParagraph"/>
              <w:numPr>
                <w:ilvl w:val="0"/>
                <w:numId w:val="1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w:t>
            </w:r>
            <w:r w:rsidR="00BC5DF7">
              <w:rPr>
                <w:rFonts w:ascii="Calibri" w:eastAsia="Times New Roman" w:hAnsi="Calibri" w:cs="Calibri"/>
                <w:color w:val="000000"/>
              </w:rPr>
              <w:t>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12BF"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7DEEB2"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55BED55" w14:textId="77777777" w:rsidTr="000C7F8E">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630F915F" w14:textId="73FEBCF0" w:rsidR="000C7F8E" w:rsidRPr="003F450A" w:rsidRDefault="000C7F8E" w:rsidP="000C7F8E">
            <w:pPr>
              <w:pStyle w:val="ListParagraph"/>
              <w:numPr>
                <w:ilvl w:val="0"/>
                <w:numId w:val="1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r w:rsidR="007F2122">
              <w:rPr>
                <w:rFonts w:ascii="Calibri" w:eastAsia="Times New Roman" w:hAnsi="Calibri" w:cs="Calibri"/>
                <w:color w:val="000000"/>
              </w:rPr>
              <w:t xml:space="preserve"> = Correcting of posting between GA and Power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C42C" w14:textId="3D82046F" w:rsidR="000C7F8E" w:rsidRPr="0045412A" w:rsidRDefault="007F2122" w:rsidP="000C7F8E">
            <w:pPr>
              <w:spacing w:after="0" w:line="240" w:lineRule="auto"/>
              <w:rPr>
                <w:rFonts w:ascii="Calibri" w:eastAsia="Times New Roman" w:hAnsi="Calibri" w:cs="Calibri"/>
                <w:color w:val="000000"/>
              </w:rPr>
            </w:pPr>
            <w:r>
              <w:rPr>
                <w:rFonts w:ascii="Calibri" w:eastAsia="Times New Roman" w:hAnsi="Calibri" w:cs="Calibri"/>
                <w:color w:val="000000"/>
              </w:rPr>
              <w:t>(34,676)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D9AC3F1" w14:textId="03453785" w:rsidR="000C7F8E" w:rsidRPr="0045412A" w:rsidRDefault="000C7F8E" w:rsidP="000C7F8E">
            <w:pPr>
              <w:spacing w:after="0" w:line="240" w:lineRule="auto"/>
              <w:rPr>
                <w:rFonts w:ascii="Calibri" w:eastAsia="Times New Roman" w:hAnsi="Calibri" w:cs="Calibri"/>
                <w:color w:val="000000"/>
              </w:rPr>
            </w:pPr>
          </w:p>
        </w:tc>
      </w:tr>
      <w:tr w:rsidR="000C7F8E" w:rsidRPr="0045412A" w14:paraId="604D7DBB"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CCE97" w14:textId="2DC76D79"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w:t>
            </w:r>
            <w:r w:rsidR="00BC5DF7">
              <w:rPr>
                <w:rFonts w:ascii="Calibri" w:eastAsia="Times New Roman" w:hAnsi="Calibri" w:cs="Calibri"/>
                <w:b/>
                <w:bCs/>
                <w:color w:val="000000"/>
              </w:rPr>
              <w:t>7</w:t>
            </w:r>
            <w:r w:rsidRPr="0045412A">
              <w:rPr>
                <w:rFonts w:ascii="Calibri" w:eastAsia="Times New Roman" w:hAnsi="Calibri" w:cs="Calibri"/>
                <w:b/>
                <w:bCs/>
                <w:color w:val="000000"/>
              </w:rPr>
              <w:t xml:space="preserve">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423D"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8BFC74C"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4D8EABD1"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D67F2" w14:textId="77777777"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96FCE"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D72F0DA"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2B0AFF67" w14:textId="77777777" w:rsidTr="000C7F8E">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25BD8" w14:textId="77777777"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A7563" w14:textId="1EE19D28" w:rsidR="000C7F8E" w:rsidRPr="0045412A" w:rsidRDefault="00794282" w:rsidP="000C7F8E">
            <w:pPr>
              <w:spacing w:after="0" w:line="240" w:lineRule="auto"/>
              <w:rPr>
                <w:rFonts w:ascii="Calibri" w:eastAsia="Times New Roman" w:hAnsi="Calibri" w:cs="Calibri"/>
                <w:color w:val="000000"/>
              </w:rPr>
            </w:pPr>
            <w:r>
              <w:rPr>
                <w:rFonts w:ascii="Calibri" w:eastAsia="Times New Roman" w:hAnsi="Calibri" w:cs="Calibri"/>
                <w:color w:val="000000"/>
              </w:rPr>
              <w:t>(34,676)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2643FC"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00D553C5" w14:textId="77777777" w:rsidTr="000C7F8E">
        <w:trPr>
          <w:trHeight w:val="300"/>
        </w:trPr>
        <w:tc>
          <w:tcPr>
            <w:tcW w:w="6120" w:type="dxa"/>
            <w:tcBorders>
              <w:top w:val="single" w:sz="4" w:space="0" w:color="auto"/>
              <w:left w:val="nil"/>
              <w:bottom w:val="nil"/>
              <w:right w:val="nil"/>
            </w:tcBorders>
            <w:shd w:val="clear" w:color="auto" w:fill="auto"/>
            <w:noWrap/>
            <w:vAlign w:val="bottom"/>
            <w:hideMark/>
          </w:tcPr>
          <w:p w14:paraId="5FF4D8A0" w14:textId="77777777" w:rsidR="000C7F8E" w:rsidRPr="0045412A" w:rsidRDefault="000C7F8E"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14:paraId="4F275388"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14:paraId="32BC6757"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bl>
    <w:p w14:paraId="7B991A18" w14:textId="77777777" w:rsidR="007A568F" w:rsidRDefault="007A568F" w:rsidP="000C7F8E">
      <w:pPr>
        <w:spacing w:after="0" w:line="264" w:lineRule="auto"/>
        <w:rPr>
          <w:rFonts w:ascii="Arial" w:hAnsi="Arial" w:cs="Arial"/>
          <w:sz w:val="24"/>
          <w:szCs w:val="24"/>
        </w:rPr>
      </w:pPr>
    </w:p>
    <w:p w14:paraId="600C5308" w14:textId="77777777" w:rsidR="007A568F" w:rsidRDefault="007A568F">
      <w:pPr>
        <w:spacing w:after="160" w:line="259" w:lineRule="auto"/>
        <w:rPr>
          <w:rFonts w:ascii="Arial" w:hAnsi="Arial" w:cs="Arial"/>
          <w:sz w:val="24"/>
          <w:szCs w:val="24"/>
        </w:rPr>
      </w:pPr>
      <w:r>
        <w:rPr>
          <w:rFonts w:ascii="Arial" w:hAnsi="Arial" w:cs="Arial"/>
          <w:sz w:val="24"/>
          <w:szCs w:val="24"/>
        </w:rPr>
        <w:br w:type="page"/>
      </w:r>
    </w:p>
    <w:p w14:paraId="246AF5D0" w14:textId="3B8B0A06" w:rsidR="000C7F8E" w:rsidRDefault="000C7F8E" w:rsidP="000C7F8E">
      <w:pPr>
        <w:spacing w:after="0" w:line="264" w:lineRule="auto"/>
        <w:rPr>
          <w:rFonts w:ascii="Arial" w:hAnsi="Arial" w:cs="Arial"/>
          <w:sz w:val="24"/>
          <w:szCs w:val="24"/>
        </w:rPr>
      </w:pPr>
      <w:r>
        <w:rPr>
          <w:rFonts w:ascii="Arial" w:hAnsi="Arial" w:cs="Arial"/>
          <w:sz w:val="24"/>
          <w:szCs w:val="24"/>
        </w:rPr>
        <w:lastRenderedPageBreak/>
        <w:t xml:space="preserve">Kenora Rate Zone: </w:t>
      </w:r>
    </w:p>
    <w:p w14:paraId="3664FACA" w14:textId="77777777" w:rsidR="000C7F8E" w:rsidRDefault="000C7F8E" w:rsidP="000C7F8E">
      <w:pPr>
        <w:spacing w:after="0" w:line="264" w:lineRule="auto"/>
        <w:rPr>
          <w:rFonts w:ascii="Arial" w:hAnsi="Arial" w:cs="Arial"/>
          <w:sz w:val="24"/>
          <w:szCs w:val="24"/>
        </w:rPr>
      </w:pPr>
    </w:p>
    <w:tbl>
      <w:tblPr>
        <w:tblW w:w="9840" w:type="dxa"/>
        <w:tblLook w:val="04A0" w:firstRow="1" w:lastRow="0" w:firstColumn="1" w:lastColumn="0" w:noHBand="0" w:noVBand="1"/>
      </w:tblPr>
      <w:tblGrid>
        <w:gridCol w:w="6120"/>
        <w:gridCol w:w="1940"/>
        <w:gridCol w:w="1780"/>
      </w:tblGrid>
      <w:tr w:rsidR="000C7F8E" w:rsidRPr="0045412A" w14:paraId="535F9398" w14:textId="77777777" w:rsidTr="000C7F8E">
        <w:trPr>
          <w:trHeight w:val="288"/>
        </w:trPr>
        <w:tc>
          <w:tcPr>
            <w:tcW w:w="6120" w:type="dxa"/>
            <w:tcBorders>
              <w:top w:val="nil"/>
              <w:left w:val="nil"/>
              <w:bottom w:val="nil"/>
              <w:right w:val="nil"/>
            </w:tcBorders>
            <w:shd w:val="clear" w:color="auto" w:fill="auto"/>
            <w:vAlign w:val="bottom"/>
            <w:hideMark/>
          </w:tcPr>
          <w:p w14:paraId="5AF5E322" w14:textId="77777777" w:rsidR="000C7F8E" w:rsidRPr="0045412A" w:rsidRDefault="000C7F8E"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14:paraId="261781B2" w14:textId="77777777" w:rsidR="000C7F8E" w:rsidRPr="0045412A" w:rsidRDefault="000C7F8E" w:rsidP="000C7F8E">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6ED7442E"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r>
      <w:tr w:rsidR="000C7F8E" w:rsidRPr="0045412A" w14:paraId="538A909D" w14:textId="77777777" w:rsidTr="000C7F8E">
        <w:trPr>
          <w:trHeight w:val="288"/>
        </w:trPr>
        <w:tc>
          <w:tcPr>
            <w:tcW w:w="6120" w:type="dxa"/>
            <w:tcBorders>
              <w:top w:val="nil"/>
              <w:left w:val="nil"/>
              <w:bottom w:val="nil"/>
              <w:right w:val="nil"/>
            </w:tcBorders>
            <w:shd w:val="clear" w:color="auto" w:fill="auto"/>
            <w:vAlign w:val="bottom"/>
            <w:hideMark/>
          </w:tcPr>
          <w:p w14:paraId="14AE03DD"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72D7005C"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14:paraId="3D35C9C6"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4A667B50" w14:textId="77777777" w:rsidTr="000C7F8E">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05DAAF28"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3606" w14:textId="77777777" w:rsidR="000C7F8E" w:rsidRPr="0045412A" w:rsidRDefault="000C7F8E" w:rsidP="000C7F8E">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B4943" w14:textId="77777777" w:rsidR="000C7F8E" w:rsidRPr="003F450A" w:rsidRDefault="000C7F8E" w:rsidP="000C7F8E">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0C7F8E" w:rsidRPr="0045412A" w14:paraId="630D46B3"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57C16" w14:textId="77B023C3" w:rsidR="000C7F8E" w:rsidRPr="0045412A" w:rsidRDefault="007F2122" w:rsidP="000C7F8E">
            <w:pPr>
              <w:spacing w:after="0" w:line="240" w:lineRule="auto"/>
              <w:jc w:val="right"/>
              <w:rPr>
                <w:rFonts w:ascii="Calibri" w:eastAsia="Times New Roman" w:hAnsi="Calibri" w:cs="Calibri"/>
                <w:b/>
                <w:bCs/>
                <w:color w:val="000000"/>
              </w:rPr>
            </w:pPr>
            <w:r w:rsidRPr="007B4989">
              <w:rPr>
                <w:rFonts w:ascii="Arial" w:hAnsi="Arial" w:cs="Arial"/>
                <w:sz w:val="24"/>
                <w:szCs w:val="24"/>
                <w:lang w:val="en-US"/>
              </w:rPr>
              <w:t>Net change in principal balance in 201</w:t>
            </w:r>
            <w:r w:rsidR="00A73B3B">
              <w:rPr>
                <w:rFonts w:ascii="Arial" w:hAnsi="Arial" w:cs="Arial"/>
                <w:sz w:val="24"/>
                <w:szCs w:val="24"/>
                <w:lang w:val="en-US"/>
              </w:rPr>
              <w:t>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3187" w14:textId="2A9CB5A1"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CF67B3">
              <w:rPr>
                <w:rFonts w:ascii="Calibri" w:eastAsia="Times New Roman" w:hAnsi="Calibri" w:cs="Calibri"/>
                <w:color w:val="000000"/>
              </w:rPr>
              <w:t>(105,089)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670A91" w14:textId="35EBE276" w:rsidR="000C7F8E" w:rsidRPr="0045412A" w:rsidRDefault="000C7F8E" w:rsidP="000C7F8E">
            <w:pPr>
              <w:spacing w:after="0" w:line="240" w:lineRule="auto"/>
              <w:rPr>
                <w:rFonts w:ascii="Calibri" w:eastAsia="Times New Roman" w:hAnsi="Calibri" w:cs="Calibri"/>
                <w:color w:val="000000"/>
              </w:rPr>
            </w:pPr>
          </w:p>
        </w:tc>
      </w:tr>
      <w:tr w:rsidR="000C7F8E" w:rsidRPr="0045412A" w14:paraId="285926E6" w14:textId="77777777" w:rsidTr="000C7F8E">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1BB2"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0C7F8E" w:rsidRPr="0045412A" w14:paraId="70819C5E"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617F9" w14:textId="77777777" w:rsidR="000C7F8E" w:rsidRPr="003F450A" w:rsidRDefault="000C7F8E" w:rsidP="000C7F8E">
            <w:pPr>
              <w:pStyle w:val="ListParagraph"/>
              <w:numPr>
                <w:ilvl w:val="0"/>
                <w:numId w:val="18"/>
              </w:numPr>
              <w:spacing w:after="0" w:line="240" w:lineRule="auto"/>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A42A"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D112"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12C65982"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B3AA" w14:textId="77777777" w:rsidR="000C7F8E" w:rsidRPr="003F450A" w:rsidRDefault="000C7F8E" w:rsidP="000C7F8E">
            <w:pPr>
              <w:pStyle w:val="ListParagraph"/>
              <w:numPr>
                <w:ilvl w:val="0"/>
                <w:numId w:val="18"/>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61CA"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64D7"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62464003"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49C0D" w14:textId="77777777" w:rsidR="000C7F8E" w:rsidRPr="003F450A" w:rsidRDefault="000C7F8E" w:rsidP="000C7F8E">
            <w:pPr>
              <w:pStyle w:val="ListParagraph"/>
              <w:numPr>
                <w:ilvl w:val="0"/>
                <w:numId w:val="18"/>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9808"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C47AA"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r w:rsidR="000C7F8E" w:rsidRPr="0045412A" w14:paraId="19065F63"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12ABA6" w14:textId="77777777" w:rsidR="000C7F8E" w:rsidRPr="003F450A" w:rsidRDefault="000C7F8E" w:rsidP="000C7F8E">
            <w:pPr>
              <w:pStyle w:val="ListParagraph"/>
              <w:numPr>
                <w:ilvl w:val="0"/>
                <w:numId w:val="18"/>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FE31C"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880EA" w14:textId="77777777" w:rsidR="000C7F8E" w:rsidRPr="0045412A" w:rsidRDefault="000C7F8E" w:rsidP="000C7F8E">
            <w:pPr>
              <w:spacing w:after="0" w:line="240" w:lineRule="auto"/>
              <w:jc w:val="center"/>
              <w:rPr>
                <w:rFonts w:ascii="Times New Roman" w:eastAsia="Times New Roman" w:hAnsi="Times New Roman" w:cs="Times New Roman"/>
                <w:sz w:val="20"/>
                <w:szCs w:val="20"/>
              </w:rPr>
            </w:pPr>
          </w:p>
        </w:tc>
      </w:tr>
      <w:tr w:rsidR="000C7F8E" w:rsidRPr="0045412A" w14:paraId="4D0E2167"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60C4B" w14:textId="77777777" w:rsidR="000C7F8E" w:rsidRPr="0045412A" w:rsidRDefault="000C7F8E" w:rsidP="000C7F8E">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25CFB" w14:textId="77777777" w:rsidR="000C7F8E" w:rsidRPr="0045412A" w:rsidRDefault="000C7F8E" w:rsidP="000C7F8E">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05EAD1"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7226B7D4" w14:textId="77777777" w:rsidTr="000C7F8E">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32243F37" w14:textId="77777777" w:rsidR="000C7F8E" w:rsidRPr="0045412A" w:rsidRDefault="000C7F8E"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3399EFCE"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14:paraId="33918EF9"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59D8E6F9" w14:textId="77777777" w:rsidTr="000C7F8E">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23E5"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0C7F8E" w:rsidRPr="0045412A" w14:paraId="77D07573"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D60A" w14:textId="77777777" w:rsidR="000C7F8E" w:rsidRPr="003F450A" w:rsidRDefault="000C7F8E" w:rsidP="000C7F8E">
            <w:pPr>
              <w:pStyle w:val="ListParagraph"/>
              <w:numPr>
                <w:ilvl w:val="0"/>
                <w:numId w:val="18"/>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D39F1"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449338"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798F96E8"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6C021" w14:textId="77777777" w:rsidR="000C7F8E" w:rsidRPr="003F450A" w:rsidRDefault="000C7F8E" w:rsidP="000C7F8E">
            <w:pPr>
              <w:pStyle w:val="ListParagraph"/>
              <w:numPr>
                <w:ilvl w:val="0"/>
                <w:numId w:val="18"/>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7580"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297C3A"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2A7315DA" w14:textId="77777777" w:rsidTr="000C7F8E">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D3A52" w14:textId="77777777" w:rsidR="000C7F8E" w:rsidRPr="003F450A" w:rsidRDefault="000C7F8E" w:rsidP="000C7F8E">
            <w:pPr>
              <w:pStyle w:val="ListParagraph"/>
              <w:numPr>
                <w:ilvl w:val="0"/>
                <w:numId w:val="18"/>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0EF6"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F1F5E5"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3A197402" w14:textId="77777777" w:rsidTr="000C7F8E">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A26DC" w14:textId="77777777" w:rsidR="000C7F8E" w:rsidRPr="003F450A" w:rsidRDefault="000C7F8E" w:rsidP="000C7F8E">
            <w:pPr>
              <w:pStyle w:val="ListParagraph"/>
              <w:numPr>
                <w:ilvl w:val="0"/>
                <w:numId w:val="18"/>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19785" w14:textId="77777777" w:rsidR="000C7F8E" w:rsidRPr="0045412A" w:rsidRDefault="000C7F8E" w:rsidP="000C7F8E">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F2E9BBC"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C50913D" w14:textId="77777777" w:rsidTr="000C7F8E">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7D843C2D" w14:textId="77777777" w:rsidR="000C7F8E" w:rsidRPr="003F450A" w:rsidRDefault="000C7F8E" w:rsidP="000C7F8E">
            <w:pPr>
              <w:pStyle w:val="ListParagraph"/>
              <w:numPr>
                <w:ilvl w:val="0"/>
                <w:numId w:val="18"/>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5872D" w14:textId="12AFE4E1" w:rsidR="000C7F8E" w:rsidRPr="0045412A" w:rsidRDefault="00CF67B3" w:rsidP="000C7F8E">
            <w:pPr>
              <w:spacing w:after="0" w:line="240" w:lineRule="auto"/>
              <w:rPr>
                <w:rFonts w:ascii="Calibri" w:eastAsia="Times New Roman" w:hAnsi="Calibri" w:cs="Calibri"/>
                <w:color w:val="000000"/>
              </w:rPr>
            </w:pPr>
            <w:r>
              <w:rPr>
                <w:rFonts w:ascii="Calibri" w:eastAsia="Times New Roman" w:hAnsi="Calibri" w:cs="Calibri"/>
                <w:color w:val="000000"/>
              </w:rPr>
              <w:t>(105,089)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01FBADD" w14:textId="77777777" w:rsidR="000C7F8E" w:rsidRPr="0045412A" w:rsidRDefault="000C7F8E" w:rsidP="000C7F8E">
            <w:pPr>
              <w:spacing w:after="0" w:line="240" w:lineRule="auto"/>
              <w:rPr>
                <w:rFonts w:ascii="Calibri" w:eastAsia="Times New Roman" w:hAnsi="Calibri" w:cs="Calibri"/>
                <w:color w:val="000000"/>
              </w:rPr>
            </w:pPr>
          </w:p>
        </w:tc>
      </w:tr>
      <w:tr w:rsidR="000C7F8E" w:rsidRPr="0045412A" w14:paraId="2D9E48C5"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0D302" w14:textId="77777777"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EBAF"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15D915B"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F36F9B3" w14:textId="77777777" w:rsidTr="000C7F8E">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7905" w14:textId="77777777"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8B49" w14:textId="777B3D46"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CF67B3">
              <w:rPr>
                <w:rFonts w:ascii="Calibri" w:eastAsia="Times New Roman" w:hAnsi="Calibri" w:cs="Calibri"/>
                <w:color w:val="000000"/>
              </w:rPr>
              <w:t>(105,089)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8A93A86" w14:textId="77777777"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0C7F8E" w:rsidRPr="0045412A" w14:paraId="6BAB1997" w14:textId="77777777" w:rsidTr="000C7F8E">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62BC2" w14:textId="77777777" w:rsidR="000C7F8E" w:rsidRPr="0045412A" w:rsidRDefault="000C7F8E" w:rsidP="000C7F8E">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98254" w14:textId="55F84ADF" w:rsidR="000C7F8E" w:rsidRPr="0045412A" w:rsidRDefault="000C7F8E" w:rsidP="000C7F8E">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r w:rsidR="00CF67B3">
              <w:rPr>
                <w:rFonts w:ascii="Calibri" w:eastAsia="Times New Roman" w:hAnsi="Calibri" w:cs="Calibri"/>
                <w:color w:val="000000"/>
              </w:rPr>
              <w:t>(105,089)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829839D" w14:textId="355B8C01" w:rsidR="000C7F8E" w:rsidRPr="0045412A" w:rsidRDefault="000C7F8E" w:rsidP="000C7F8E">
            <w:pPr>
              <w:spacing w:after="0" w:line="240" w:lineRule="auto"/>
              <w:rPr>
                <w:rFonts w:ascii="Calibri" w:eastAsia="Times New Roman" w:hAnsi="Calibri" w:cs="Calibri"/>
                <w:color w:val="000000"/>
              </w:rPr>
            </w:pPr>
          </w:p>
        </w:tc>
      </w:tr>
      <w:tr w:rsidR="000C7F8E" w:rsidRPr="0045412A" w14:paraId="54F11AB7" w14:textId="77777777" w:rsidTr="000C7F8E">
        <w:trPr>
          <w:trHeight w:val="300"/>
        </w:trPr>
        <w:tc>
          <w:tcPr>
            <w:tcW w:w="6120" w:type="dxa"/>
            <w:tcBorders>
              <w:top w:val="single" w:sz="4" w:space="0" w:color="auto"/>
              <w:left w:val="nil"/>
              <w:bottom w:val="nil"/>
              <w:right w:val="nil"/>
            </w:tcBorders>
            <w:shd w:val="clear" w:color="auto" w:fill="auto"/>
            <w:noWrap/>
            <w:vAlign w:val="bottom"/>
            <w:hideMark/>
          </w:tcPr>
          <w:p w14:paraId="1E01A3ED" w14:textId="77777777" w:rsidR="000C7F8E" w:rsidRPr="0045412A" w:rsidRDefault="000C7F8E" w:rsidP="000C7F8E">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14:paraId="3FFA8E7E" w14:textId="77777777" w:rsidR="000C7F8E" w:rsidRPr="0045412A" w:rsidRDefault="000C7F8E" w:rsidP="000C7F8E">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14:paraId="0A3957FC" w14:textId="77777777" w:rsidR="000C7F8E" w:rsidRPr="0045412A" w:rsidRDefault="000C7F8E" w:rsidP="000C7F8E">
            <w:pPr>
              <w:spacing w:after="0" w:line="240" w:lineRule="auto"/>
              <w:rPr>
                <w:rFonts w:ascii="Times New Roman" w:eastAsia="Times New Roman" w:hAnsi="Times New Roman" w:cs="Times New Roman"/>
                <w:sz w:val="20"/>
                <w:szCs w:val="20"/>
              </w:rPr>
            </w:pPr>
          </w:p>
        </w:tc>
      </w:tr>
    </w:tbl>
    <w:p w14:paraId="6D70DA7A" w14:textId="1D7A67CB" w:rsidR="00940D73" w:rsidRDefault="00940D73" w:rsidP="00940D73">
      <w:pPr>
        <w:spacing w:after="0" w:line="264" w:lineRule="auto"/>
        <w:rPr>
          <w:rFonts w:ascii="Arial" w:hAnsi="Arial" w:cs="Arial"/>
          <w:b/>
          <w:sz w:val="24"/>
          <w:szCs w:val="24"/>
          <w:u w:val="single"/>
        </w:rPr>
      </w:pPr>
    </w:p>
    <w:p w14:paraId="5DA4EF33" w14:textId="46647101" w:rsidR="00940D73" w:rsidRPr="00940D73" w:rsidRDefault="00940D73" w:rsidP="00940D73">
      <w:pPr>
        <w:pStyle w:val="ListParagraph"/>
        <w:numPr>
          <w:ilvl w:val="0"/>
          <w:numId w:val="15"/>
        </w:numPr>
        <w:spacing w:after="0" w:line="264" w:lineRule="auto"/>
        <w:rPr>
          <w:rFonts w:ascii="Arial" w:hAnsi="Arial" w:cs="Arial"/>
          <w:sz w:val="24"/>
          <w:szCs w:val="24"/>
        </w:rPr>
      </w:pPr>
      <w:r w:rsidRPr="00940D73">
        <w:rPr>
          <w:rFonts w:ascii="Arial" w:hAnsi="Arial" w:cs="Arial"/>
          <w:sz w:val="24"/>
          <w:szCs w:val="24"/>
        </w:rPr>
        <w:t xml:space="preserve">Synergy North performs its true up to the actual </w:t>
      </w:r>
      <w:r w:rsidR="00A52311">
        <w:rPr>
          <w:rFonts w:ascii="Arial" w:hAnsi="Arial" w:cs="Arial"/>
          <w:sz w:val="24"/>
          <w:szCs w:val="24"/>
        </w:rPr>
        <w:t xml:space="preserve">monthly </w:t>
      </w:r>
      <w:r w:rsidRPr="00940D73">
        <w:rPr>
          <w:rFonts w:ascii="Arial" w:hAnsi="Arial" w:cs="Arial"/>
          <w:sz w:val="24"/>
          <w:szCs w:val="24"/>
        </w:rPr>
        <w:t xml:space="preserve">consumption for non-RPP </w:t>
      </w:r>
      <w:r w:rsidR="00A52311">
        <w:rPr>
          <w:rFonts w:ascii="Arial" w:hAnsi="Arial" w:cs="Arial"/>
          <w:sz w:val="24"/>
          <w:szCs w:val="24"/>
        </w:rPr>
        <w:t>(</w:t>
      </w:r>
      <w:r w:rsidRPr="00940D73">
        <w:rPr>
          <w:rFonts w:ascii="Arial" w:hAnsi="Arial" w:cs="Arial"/>
          <w:sz w:val="24"/>
          <w:szCs w:val="24"/>
        </w:rPr>
        <w:t>as later stated</w:t>
      </w:r>
      <w:r w:rsidR="00A52311">
        <w:rPr>
          <w:rFonts w:ascii="Arial" w:hAnsi="Arial" w:cs="Arial"/>
          <w:sz w:val="24"/>
          <w:szCs w:val="24"/>
        </w:rPr>
        <w:t xml:space="preserve"> in the reference)</w:t>
      </w:r>
      <w:r w:rsidRPr="00940D73">
        <w:rPr>
          <w:rFonts w:ascii="Arial" w:hAnsi="Arial" w:cs="Arial"/>
          <w:sz w:val="24"/>
          <w:szCs w:val="24"/>
        </w:rPr>
        <w:t>.</w:t>
      </w:r>
      <w:r w:rsidR="00A52311">
        <w:rPr>
          <w:rFonts w:ascii="Arial" w:hAnsi="Arial" w:cs="Arial"/>
          <w:sz w:val="24"/>
          <w:szCs w:val="24"/>
        </w:rPr>
        <w:t xml:space="preserve"> This includes unbilled.</w:t>
      </w:r>
      <w:r w:rsidRPr="00940D73">
        <w:rPr>
          <w:rFonts w:ascii="Arial" w:hAnsi="Arial" w:cs="Arial"/>
          <w:sz w:val="24"/>
          <w:szCs w:val="24"/>
        </w:rPr>
        <w:t xml:space="preserve">  No adjustment calculation is necessary.  </w:t>
      </w:r>
    </w:p>
    <w:p w14:paraId="19BFC329" w14:textId="0F27DE22" w:rsidR="00EE5F98" w:rsidRPr="00EE5F98" w:rsidRDefault="00EE5F98" w:rsidP="00940D73">
      <w:pPr>
        <w:pStyle w:val="ListParagraph"/>
        <w:spacing w:after="0" w:line="264" w:lineRule="auto"/>
        <w:ind w:left="1440"/>
        <w:rPr>
          <w:rFonts w:ascii="Arial" w:hAnsi="Arial" w:cs="Arial"/>
          <w:sz w:val="24"/>
          <w:szCs w:val="24"/>
        </w:rPr>
      </w:pPr>
    </w:p>
    <w:p w14:paraId="0B31EC64" w14:textId="77777777" w:rsidR="00F013CC" w:rsidRDefault="00F013CC">
      <w:pPr>
        <w:spacing w:after="160" w:line="259" w:lineRule="auto"/>
        <w:rPr>
          <w:rFonts w:ascii="Arial" w:hAnsi="Arial" w:cs="Arial"/>
          <w:b/>
          <w:sz w:val="24"/>
          <w:szCs w:val="24"/>
        </w:rPr>
      </w:pPr>
      <w:r>
        <w:rPr>
          <w:rFonts w:ascii="Arial" w:hAnsi="Arial" w:cs="Arial"/>
          <w:b/>
          <w:sz w:val="24"/>
          <w:szCs w:val="24"/>
        </w:rPr>
        <w:br w:type="page"/>
      </w:r>
    </w:p>
    <w:p w14:paraId="7E0347A3" w14:textId="1BF46E23" w:rsidR="002F703B" w:rsidRPr="00D045A1" w:rsidRDefault="002F703B" w:rsidP="002F703B">
      <w:pPr>
        <w:spacing w:beforeLines="200" w:before="480" w:afterLines="200" w:after="480" w:line="264" w:lineRule="auto"/>
        <w:contextualSpacing/>
        <w:rPr>
          <w:rFonts w:ascii="Arial" w:hAnsi="Arial" w:cs="Arial"/>
          <w:b/>
          <w:sz w:val="24"/>
          <w:szCs w:val="24"/>
        </w:rPr>
      </w:pPr>
      <w:r>
        <w:rPr>
          <w:rFonts w:ascii="Arial" w:hAnsi="Arial" w:cs="Arial"/>
          <w:b/>
          <w:sz w:val="24"/>
          <w:szCs w:val="24"/>
        </w:rPr>
        <w:lastRenderedPageBreak/>
        <w:t>Staff Question - 14</w:t>
      </w:r>
    </w:p>
    <w:p w14:paraId="5EE035CB" w14:textId="77777777" w:rsidR="002F703B" w:rsidRPr="00E4213E" w:rsidRDefault="002F703B" w:rsidP="002F703B">
      <w:pPr>
        <w:spacing w:beforeLines="200" w:before="480" w:afterLines="200" w:after="480" w:line="264" w:lineRule="auto"/>
        <w:contextualSpacing/>
        <w:rPr>
          <w:rFonts w:ascii="Arial" w:hAnsi="Arial" w:cs="Arial"/>
          <w:b/>
          <w:sz w:val="24"/>
          <w:szCs w:val="24"/>
        </w:rPr>
      </w:pPr>
      <w:r>
        <w:rPr>
          <w:rFonts w:ascii="Arial" w:hAnsi="Arial" w:cs="Arial"/>
          <w:b/>
          <w:sz w:val="24"/>
          <w:szCs w:val="24"/>
        </w:rPr>
        <w:t>Ref: GA Analysis Workform – GA 2017 +2018 – Kenora Rate Zone</w:t>
      </w:r>
    </w:p>
    <w:p w14:paraId="5A7C9711" w14:textId="77777777" w:rsidR="002F703B" w:rsidRPr="00D045A1" w:rsidRDefault="002F703B" w:rsidP="002F703B">
      <w:pPr>
        <w:spacing w:beforeLines="200" w:before="480" w:afterLines="200" w:after="480" w:line="264" w:lineRule="auto"/>
        <w:contextualSpacing/>
        <w:rPr>
          <w:rFonts w:ascii="Arial" w:hAnsi="Arial" w:cs="Arial"/>
          <w:b/>
          <w:sz w:val="24"/>
          <w:szCs w:val="24"/>
          <w:lang w:val="en-US"/>
        </w:rPr>
      </w:pPr>
    </w:p>
    <w:p w14:paraId="78BC5DB6" w14:textId="7AA8652B" w:rsidR="002F703B" w:rsidRPr="00D045A1" w:rsidRDefault="002F703B" w:rsidP="002F703B">
      <w:p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Regarding the GA Analysis Workform for the Kenora </w:t>
      </w:r>
      <w:r w:rsidR="007C612A">
        <w:rPr>
          <w:rFonts w:ascii="Arial" w:hAnsi="Arial" w:cs="Arial"/>
          <w:sz w:val="24"/>
          <w:szCs w:val="24"/>
          <w:lang w:val="en-US"/>
        </w:rPr>
        <w:t>Rate Zone</w:t>
      </w:r>
      <w:r w:rsidRPr="00D045A1">
        <w:rPr>
          <w:rFonts w:ascii="Arial" w:hAnsi="Arial" w:cs="Arial"/>
          <w:sz w:val="24"/>
          <w:szCs w:val="24"/>
          <w:lang w:val="en-US"/>
        </w:rPr>
        <w:t>:</w:t>
      </w:r>
    </w:p>
    <w:p w14:paraId="6D63F697" w14:textId="4DF91F59" w:rsidR="002F703B" w:rsidRDefault="002F703B" w:rsidP="002F703B">
      <w:pPr>
        <w:numPr>
          <w:ilvl w:val="0"/>
          <w:numId w:val="10"/>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In the 2017 GA Analysis Workform for the Kenora </w:t>
      </w:r>
      <w:r w:rsidR="007C612A">
        <w:rPr>
          <w:rFonts w:ascii="Arial" w:hAnsi="Arial" w:cs="Arial"/>
          <w:sz w:val="24"/>
          <w:szCs w:val="24"/>
          <w:lang w:val="en-US"/>
        </w:rPr>
        <w:t>Rate Zone</w:t>
      </w:r>
      <w:r w:rsidRPr="00D045A1">
        <w:rPr>
          <w:rFonts w:ascii="Arial" w:hAnsi="Arial" w:cs="Arial"/>
          <w:sz w:val="24"/>
          <w:szCs w:val="24"/>
          <w:lang w:val="en-US"/>
        </w:rPr>
        <w:t xml:space="preserve">, the RRR data is indicated to be incorrect. Please provide the corrected RRR data and calculate the loss factor. Please compare the loss factor to the approved loss factor for secondary metered customer &lt; 5,000 kW and explain the variance, if significant. </w:t>
      </w:r>
    </w:p>
    <w:p w14:paraId="2EF7F937" w14:textId="77777777" w:rsidR="002F703B" w:rsidRPr="00D045A1" w:rsidRDefault="002F703B" w:rsidP="002F703B">
      <w:pPr>
        <w:numPr>
          <w:ilvl w:val="0"/>
          <w:numId w:val="10"/>
        </w:numPr>
        <w:spacing w:beforeLines="200" w:before="480" w:afterLines="200" w:after="480" w:line="264" w:lineRule="auto"/>
        <w:contextualSpacing/>
        <w:jc w:val="both"/>
        <w:rPr>
          <w:rFonts w:ascii="Arial" w:hAnsi="Arial" w:cs="Arial"/>
          <w:sz w:val="24"/>
          <w:szCs w:val="24"/>
          <w:lang w:val="en-US"/>
        </w:rPr>
      </w:pPr>
      <w:r w:rsidRPr="00D045A1">
        <w:rPr>
          <w:rFonts w:ascii="Arial" w:hAnsi="Arial" w:cs="Arial"/>
          <w:sz w:val="24"/>
          <w:szCs w:val="24"/>
          <w:lang w:val="en-US"/>
        </w:rPr>
        <w:t xml:space="preserve">In 2017, there is a reconciling item #9 of $34,676 to correct a posting error. Please provide further details on this posting error. </w:t>
      </w:r>
    </w:p>
    <w:p w14:paraId="7A207E48"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4B997F0D" w14:textId="7964778C" w:rsidR="002F703B" w:rsidRPr="00F4548F" w:rsidRDefault="002F703B" w:rsidP="002F703B">
      <w:pPr>
        <w:spacing w:beforeLines="200" w:before="480" w:afterLines="200" w:after="480" w:line="264" w:lineRule="auto"/>
        <w:contextualSpacing/>
        <w:rPr>
          <w:rFonts w:ascii="Arial" w:hAnsi="Arial" w:cs="Arial"/>
          <w:b/>
          <w:sz w:val="24"/>
          <w:szCs w:val="24"/>
          <w:u w:val="single"/>
        </w:rPr>
      </w:pPr>
      <w:r w:rsidRPr="00F4548F">
        <w:rPr>
          <w:rFonts w:ascii="Arial" w:hAnsi="Arial" w:cs="Arial"/>
          <w:b/>
          <w:sz w:val="24"/>
          <w:szCs w:val="24"/>
          <w:u w:val="single"/>
        </w:rPr>
        <w:t>S</w:t>
      </w:r>
      <w:r w:rsidR="009A10CB">
        <w:rPr>
          <w:rFonts w:ascii="Arial" w:hAnsi="Arial" w:cs="Arial"/>
          <w:b/>
          <w:sz w:val="24"/>
          <w:szCs w:val="24"/>
          <w:u w:val="single"/>
        </w:rPr>
        <w:t xml:space="preserve">ynergy </w:t>
      </w:r>
      <w:r w:rsidRPr="00F4548F">
        <w:rPr>
          <w:rFonts w:ascii="Arial" w:hAnsi="Arial" w:cs="Arial"/>
          <w:b/>
          <w:sz w:val="24"/>
          <w:szCs w:val="24"/>
          <w:u w:val="single"/>
        </w:rPr>
        <w:t>N</w:t>
      </w:r>
      <w:r w:rsidR="009A10CB">
        <w:rPr>
          <w:rFonts w:ascii="Arial" w:hAnsi="Arial" w:cs="Arial"/>
          <w:b/>
          <w:sz w:val="24"/>
          <w:szCs w:val="24"/>
          <w:u w:val="single"/>
        </w:rPr>
        <w:t>orth</w:t>
      </w:r>
      <w:r w:rsidRPr="00F4548F">
        <w:rPr>
          <w:rFonts w:ascii="Arial" w:hAnsi="Arial" w:cs="Arial"/>
          <w:b/>
          <w:sz w:val="24"/>
          <w:szCs w:val="24"/>
          <w:u w:val="single"/>
        </w:rPr>
        <w:t xml:space="preserve"> Response:</w:t>
      </w:r>
    </w:p>
    <w:p w14:paraId="5AABE8F7" w14:textId="77777777" w:rsidR="002F703B" w:rsidRPr="00F434AF" w:rsidRDefault="002F703B" w:rsidP="002F703B">
      <w:pPr>
        <w:spacing w:beforeLines="200" w:before="480" w:afterLines="200" w:after="480" w:line="264" w:lineRule="auto"/>
        <w:contextualSpacing/>
        <w:rPr>
          <w:rFonts w:ascii="Arial" w:hAnsi="Arial" w:cs="Arial"/>
          <w:i/>
          <w:sz w:val="24"/>
          <w:szCs w:val="24"/>
          <w:lang w:val="en-US"/>
        </w:rPr>
      </w:pPr>
    </w:p>
    <w:p w14:paraId="1015445E" w14:textId="77777777" w:rsidR="002F703B" w:rsidRPr="00794A26" w:rsidRDefault="002F703B" w:rsidP="002F703B">
      <w:pPr>
        <w:rPr>
          <w:rFonts w:ascii="Arial" w:hAnsi="Arial" w:cs="Arial"/>
          <w:sz w:val="24"/>
          <w:szCs w:val="24"/>
          <w:lang w:val="en-US"/>
        </w:rPr>
      </w:pPr>
      <w:r w:rsidRPr="00794A26">
        <w:rPr>
          <w:rFonts w:ascii="Arial" w:hAnsi="Arial" w:cs="Arial"/>
          <w:sz w:val="24"/>
          <w:szCs w:val="24"/>
          <w:lang w:val="en-US"/>
        </w:rPr>
        <w:t xml:space="preserve">14 </w:t>
      </w:r>
      <w:proofErr w:type="gramStart"/>
      <w:r w:rsidRPr="00794A26">
        <w:rPr>
          <w:rFonts w:ascii="Arial" w:hAnsi="Arial" w:cs="Arial"/>
          <w:sz w:val="24"/>
          <w:szCs w:val="24"/>
          <w:lang w:val="en-US"/>
        </w:rPr>
        <w:t>a)  Pre</w:t>
      </w:r>
      <w:proofErr w:type="gramEnd"/>
      <w:r w:rsidRPr="00794A26">
        <w:rPr>
          <w:rFonts w:ascii="Arial" w:hAnsi="Arial" w:cs="Arial"/>
          <w:sz w:val="24"/>
          <w:szCs w:val="24"/>
          <w:lang w:val="en-US"/>
        </w:rPr>
        <w:t>-populated data in original model:</w:t>
      </w:r>
    </w:p>
    <w:p w14:paraId="1AEC8E90" w14:textId="77777777" w:rsidR="002F703B" w:rsidRDefault="002F703B" w:rsidP="002F703B">
      <w:pPr>
        <w:rPr>
          <w:lang w:val="en-US"/>
        </w:rPr>
      </w:pPr>
    </w:p>
    <w:p w14:paraId="0025D793" w14:textId="77777777" w:rsidR="002F703B" w:rsidRDefault="002F703B" w:rsidP="002F703B">
      <w:pPr>
        <w:spacing w:beforeLines="200" w:before="480" w:afterLines="200" w:after="480" w:line="264" w:lineRule="auto"/>
        <w:contextualSpacing/>
        <w:rPr>
          <w:rFonts w:ascii="Arial" w:hAnsi="Arial" w:cs="Arial"/>
          <w:sz w:val="24"/>
          <w:szCs w:val="24"/>
          <w:lang w:val="en-US"/>
        </w:rPr>
      </w:pPr>
      <w:r w:rsidRPr="00DB3A31">
        <w:rPr>
          <w:noProof/>
        </w:rPr>
        <w:drawing>
          <wp:inline distT="0" distB="0" distL="0" distR="0" wp14:anchorId="6FDCA555" wp14:editId="30EEC80A">
            <wp:extent cx="6170428" cy="1019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54427" cy="1033049"/>
                    </a:xfrm>
                    <a:prstGeom prst="rect">
                      <a:avLst/>
                    </a:prstGeom>
                    <a:noFill/>
                    <a:ln>
                      <a:noFill/>
                    </a:ln>
                  </pic:spPr>
                </pic:pic>
              </a:graphicData>
            </a:graphic>
          </wp:inline>
        </w:drawing>
      </w:r>
    </w:p>
    <w:p w14:paraId="46CBCACA"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132F7D8E"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1FF06E1B" w14:textId="77777777" w:rsidR="002F703B" w:rsidRDefault="002F703B" w:rsidP="002F703B">
      <w:pPr>
        <w:spacing w:beforeLines="200" w:before="480" w:afterLines="200" w:after="480" w:line="264" w:lineRule="auto"/>
        <w:contextualSpacing/>
        <w:rPr>
          <w:rFonts w:ascii="Arial" w:hAnsi="Arial" w:cs="Arial"/>
          <w:sz w:val="24"/>
          <w:szCs w:val="24"/>
          <w:lang w:val="en-US"/>
        </w:rPr>
      </w:pPr>
      <w:r w:rsidRPr="00F434AF">
        <w:rPr>
          <w:rFonts w:ascii="Arial" w:hAnsi="Arial" w:cs="Arial"/>
          <w:i/>
          <w:sz w:val="24"/>
          <w:szCs w:val="24"/>
          <w:lang w:val="en-US"/>
        </w:rPr>
        <w:t>Correct data, from 2019 IRM</w:t>
      </w:r>
      <w:r>
        <w:rPr>
          <w:rFonts w:ascii="Arial" w:hAnsi="Arial" w:cs="Arial"/>
          <w:sz w:val="24"/>
          <w:szCs w:val="24"/>
          <w:lang w:val="en-US"/>
        </w:rPr>
        <w:t>:</w:t>
      </w:r>
    </w:p>
    <w:p w14:paraId="65BCBA27"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143E5ACA" w14:textId="77777777" w:rsidR="002F703B" w:rsidRDefault="002F703B" w:rsidP="002F703B">
      <w:pPr>
        <w:spacing w:beforeLines="200" w:before="480" w:afterLines="200" w:after="480" w:line="264" w:lineRule="auto"/>
        <w:contextualSpacing/>
        <w:rPr>
          <w:rFonts w:ascii="Arial" w:hAnsi="Arial" w:cs="Arial"/>
          <w:sz w:val="24"/>
          <w:szCs w:val="24"/>
          <w:lang w:val="en-US"/>
        </w:rPr>
      </w:pPr>
      <w:r w:rsidRPr="00DB3A31">
        <w:rPr>
          <w:noProof/>
        </w:rPr>
        <w:drawing>
          <wp:inline distT="0" distB="0" distL="0" distR="0" wp14:anchorId="1AA00C24" wp14:editId="08FE7575">
            <wp:extent cx="5943600" cy="1032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32510"/>
                    </a:xfrm>
                    <a:prstGeom prst="rect">
                      <a:avLst/>
                    </a:prstGeom>
                    <a:noFill/>
                    <a:ln>
                      <a:noFill/>
                    </a:ln>
                  </pic:spPr>
                </pic:pic>
              </a:graphicData>
            </a:graphic>
          </wp:inline>
        </w:drawing>
      </w:r>
    </w:p>
    <w:p w14:paraId="372DAB16"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752CAC39" w14:textId="4DD7F3CD" w:rsidR="00F013CC" w:rsidRDefault="00F013CC" w:rsidP="002F703B">
      <w:pPr>
        <w:spacing w:beforeLines="200" w:before="480" w:afterLines="200" w:after="480" w:line="264" w:lineRule="auto"/>
        <w:contextualSpacing/>
        <w:rPr>
          <w:rFonts w:ascii="Arial" w:hAnsi="Arial" w:cs="Arial"/>
          <w:sz w:val="24"/>
          <w:szCs w:val="24"/>
          <w:lang w:val="en-US"/>
        </w:rPr>
      </w:pPr>
    </w:p>
    <w:p w14:paraId="70B0EB4B" w14:textId="27E8EA92" w:rsidR="00F013CC" w:rsidRDefault="00F013CC" w:rsidP="002F703B">
      <w:pPr>
        <w:spacing w:beforeLines="200" w:before="480" w:afterLines="200" w:after="480" w:line="264" w:lineRule="auto"/>
        <w:contextualSpacing/>
        <w:rPr>
          <w:rFonts w:ascii="Arial" w:hAnsi="Arial" w:cs="Arial"/>
          <w:sz w:val="24"/>
          <w:szCs w:val="24"/>
          <w:lang w:val="en-US"/>
        </w:rPr>
      </w:pPr>
    </w:p>
    <w:tbl>
      <w:tblPr>
        <w:tblStyle w:val="TableGrid"/>
        <w:tblW w:w="9776" w:type="dxa"/>
        <w:tblLook w:val="04A0" w:firstRow="1" w:lastRow="0" w:firstColumn="1" w:lastColumn="0" w:noHBand="0" w:noVBand="1"/>
      </w:tblPr>
      <w:tblGrid>
        <w:gridCol w:w="3064"/>
        <w:gridCol w:w="1693"/>
        <w:gridCol w:w="1617"/>
        <w:gridCol w:w="1559"/>
        <w:gridCol w:w="1843"/>
      </w:tblGrid>
      <w:tr w:rsidR="002F703B" w14:paraId="06E46C6E" w14:textId="77777777" w:rsidTr="00B3748E">
        <w:tc>
          <w:tcPr>
            <w:tcW w:w="3064" w:type="dxa"/>
          </w:tcPr>
          <w:p w14:paraId="70CB5D47" w14:textId="77777777" w:rsidR="002F703B" w:rsidRDefault="002F703B" w:rsidP="004F3027">
            <w:pPr>
              <w:spacing w:beforeLines="200" w:before="480" w:afterLines="200" w:after="480" w:line="264" w:lineRule="auto"/>
              <w:contextualSpacing/>
              <w:rPr>
                <w:rFonts w:ascii="Arial" w:hAnsi="Arial" w:cs="Arial"/>
                <w:sz w:val="24"/>
                <w:szCs w:val="24"/>
                <w:lang w:val="en-US"/>
              </w:rPr>
            </w:pPr>
            <w:bookmarkStart w:id="7" w:name="_Hlk29569479"/>
          </w:p>
        </w:tc>
        <w:tc>
          <w:tcPr>
            <w:tcW w:w="1693" w:type="dxa"/>
          </w:tcPr>
          <w:p w14:paraId="44C66281" w14:textId="77777777" w:rsidR="002F703B" w:rsidRPr="00AF724F" w:rsidRDefault="002F703B" w:rsidP="004F3027">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 xml:space="preserve">  2017 kWh</w:t>
            </w:r>
          </w:p>
        </w:tc>
        <w:tc>
          <w:tcPr>
            <w:tcW w:w="1617" w:type="dxa"/>
          </w:tcPr>
          <w:p w14:paraId="09BDD67E" w14:textId="6DF98274" w:rsidR="002F703B" w:rsidRPr="00AF724F" w:rsidRDefault="002F703B" w:rsidP="004F3027">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Loss</w:t>
            </w:r>
            <w:r w:rsidR="00B3748E">
              <w:rPr>
                <w:rFonts w:ascii="Arial" w:hAnsi="Arial" w:cs="Arial"/>
                <w:b/>
                <w:sz w:val="24"/>
                <w:szCs w:val="24"/>
                <w:lang w:val="en-US"/>
              </w:rPr>
              <w:t xml:space="preserve"> Factor</w:t>
            </w:r>
          </w:p>
        </w:tc>
        <w:tc>
          <w:tcPr>
            <w:tcW w:w="1559" w:type="dxa"/>
          </w:tcPr>
          <w:p w14:paraId="52DA5B44" w14:textId="77777777" w:rsidR="002F703B" w:rsidRPr="00AF724F" w:rsidRDefault="002F703B" w:rsidP="004F3027">
            <w:pPr>
              <w:spacing w:beforeLines="200" w:before="480" w:afterLines="200" w:after="480" w:line="264" w:lineRule="auto"/>
              <w:contextualSpacing/>
              <w:rPr>
                <w:rFonts w:ascii="Arial" w:hAnsi="Arial" w:cs="Arial"/>
                <w:b/>
                <w:sz w:val="24"/>
                <w:szCs w:val="24"/>
                <w:lang w:val="en-US"/>
              </w:rPr>
            </w:pPr>
            <w:r w:rsidRPr="00AF724F">
              <w:rPr>
                <w:rFonts w:ascii="Arial" w:hAnsi="Arial" w:cs="Arial"/>
                <w:b/>
                <w:sz w:val="24"/>
                <w:szCs w:val="24"/>
                <w:lang w:val="en-US"/>
              </w:rPr>
              <w:t>Difference</w:t>
            </w:r>
          </w:p>
        </w:tc>
        <w:tc>
          <w:tcPr>
            <w:tcW w:w="1843" w:type="dxa"/>
          </w:tcPr>
          <w:p w14:paraId="1DEC2216" w14:textId="77777777" w:rsidR="002F703B" w:rsidRPr="00AF724F" w:rsidRDefault="002F703B" w:rsidP="004F3027">
            <w:pPr>
              <w:spacing w:beforeLines="200" w:before="480" w:afterLines="200" w:after="480" w:line="264" w:lineRule="auto"/>
              <w:contextualSpacing/>
              <w:rPr>
                <w:rFonts w:ascii="Arial" w:hAnsi="Arial" w:cs="Arial"/>
                <w:b/>
                <w:sz w:val="24"/>
                <w:szCs w:val="24"/>
                <w:lang w:val="en-US"/>
              </w:rPr>
            </w:pPr>
          </w:p>
        </w:tc>
      </w:tr>
      <w:tr w:rsidR="002F703B" w14:paraId="1FAB2C0B" w14:textId="77777777" w:rsidTr="00B3748E">
        <w:tc>
          <w:tcPr>
            <w:tcW w:w="3064" w:type="dxa"/>
          </w:tcPr>
          <w:p w14:paraId="0420618D"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Non RPP Class B (RRR)</w:t>
            </w:r>
          </w:p>
        </w:tc>
        <w:tc>
          <w:tcPr>
            <w:tcW w:w="1693" w:type="dxa"/>
          </w:tcPr>
          <w:p w14:paraId="694B0A6E"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37,133,821</w:t>
            </w:r>
          </w:p>
        </w:tc>
        <w:tc>
          <w:tcPr>
            <w:tcW w:w="1617" w:type="dxa"/>
          </w:tcPr>
          <w:p w14:paraId="7EDBFE3E"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c>
          <w:tcPr>
            <w:tcW w:w="1559" w:type="dxa"/>
          </w:tcPr>
          <w:p w14:paraId="58B57A05"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c>
          <w:tcPr>
            <w:tcW w:w="1843" w:type="dxa"/>
          </w:tcPr>
          <w:p w14:paraId="4517086E"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r>
      <w:tr w:rsidR="002F703B" w14:paraId="6B0DBCA8" w14:textId="77777777" w:rsidTr="00B3748E">
        <w:tc>
          <w:tcPr>
            <w:tcW w:w="3064" w:type="dxa"/>
          </w:tcPr>
          <w:p w14:paraId="04C571CC"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Non RPP Class B </w:t>
            </w:r>
            <w:proofErr w:type="gramStart"/>
            <w:r>
              <w:rPr>
                <w:rFonts w:ascii="Arial" w:hAnsi="Arial" w:cs="Arial"/>
                <w:sz w:val="24"/>
                <w:szCs w:val="24"/>
                <w:lang w:val="en-US"/>
              </w:rPr>
              <w:t>With</w:t>
            </w:r>
            <w:proofErr w:type="gramEnd"/>
            <w:r>
              <w:rPr>
                <w:rFonts w:ascii="Arial" w:hAnsi="Arial" w:cs="Arial"/>
                <w:sz w:val="24"/>
                <w:szCs w:val="24"/>
                <w:lang w:val="en-US"/>
              </w:rPr>
              <w:t xml:space="preserve"> Losses from GA Workform</w:t>
            </w:r>
          </w:p>
        </w:tc>
        <w:tc>
          <w:tcPr>
            <w:tcW w:w="1693" w:type="dxa"/>
          </w:tcPr>
          <w:p w14:paraId="25AB63BF"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38,519,217</w:t>
            </w:r>
          </w:p>
        </w:tc>
        <w:tc>
          <w:tcPr>
            <w:tcW w:w="1617" w:type="dxa"/>
          </w:tcPr>
          <w:p w14:paraId="3B1E588D"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c>
          <w:tcPr>
            <w:tcW w:w="1559" w:type="dxa"/>
          </w:tcPr>
          <w:p w14:paraId="1637DB9D"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c>
          <w:tcPr>
            <w:tcW w:w="1843" w:type="dxa"/>
          </w:tcPr>
          <w:p w14:paraId="77F0C6F6"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r>
      <w:tr w:rsidR="002F703B" w14:paraId="49EC0223" w14:textId="77777777" w:rsidTr="00B3748E">
        <w:tc>
          <w:tcPr>
            <w:tcW w:w="3064" w:type="dxa"/>
          </w:tcPr>
          <w:p w14:paraId="090B6B73"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Calculated Loss Factor</w:t>
            </w:r>
          </w:p>
        </w:tc>
        <w:tc>
          <w:tcPr>
            <w:tcW w:w="1693" w:type="dxa"/>
          </w:tcPr>
          <w:p w14:paraId="1625DC58"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 xml:space="preserve">   1,385,396</w:t>
            </w:r>
          </w:p>
        </w:tc>
        <w:tc>
          <w:tcPr>
            <w:tcW w:w="1617" w:type="dxa"/>
          </w:tcPr>
          <w:p w14:paraId="4582CCF9" w14:textId="77777777" w:rsidR="002F703B" w:rsidRDefault="002F703B" w:rsidP="004F3027">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1.0373</w:t>
            </w:r>
          </w:p>
        </w:tc>
        <w:tc>
          <w:tcPr>
            <w:tcW w:w="1559" w:type="dxa"/>
          </w:tcPr>
          <w:p w14:paraId="45FE3E5B" w14:textId="77777777" w:rsidR="002F703B" w:rsidRDefault="002F703B" w:rsidP="004F3027">
            <w:pPr>
              <w:spacing w:beforeLines="200" w:before="480" w:afterLines="200" w:after="480" w:line="264" w:lineRule="auto"/>
              <w:contextualSpacing/>
              <w:jc w:val="center"/>
              <w:rPr>
                <w:rFonts w:ascii="Arial" w:hAnsi="Arial" w:cs="Arial"/>
                <w:sz w:val="24"/>
                <w:szCs w:val="24"/>
                <w:lang w:val="en-US"/>
              </w:rPr>
            </w:pPr>
          </w:p>
        </w:tc>
        <w:tc>
          <w:tcPr>
            <w:tcW w:w="1843" w:type="dxa"/>
          </w:tcPr>
          <w:p w14:paraId="45AAF0FD"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r>
      <w:tr w:rsidR="002F703B" w14:paraId="0F8643DB" w14:textId="77777777" w:rsidTr="00B3748E">
        <w:tc>
          <w:tcPr>
            <w:tcW w:w="3064" w:type="dxa"/>
          </w:tcPr>
          <w:p w14:paraId="7E1AC596"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Approved Loss Factor</w:t>
            </w:r>
          </w:p>
        </w:tc>
        <w:tc>
          <w:tcPr>
            <w:tcW w:w="1693" w:type="dxa"/>
          </w:tcPr>
          <w:p w14:paraId="641B19A1" w14:textId="77777777" w:rsidR="002F703B" w:rsidRDefault="002F703B" w:rsidP="004F3027">
            <w:pPr>
              <w:spacing w:beforeLines="200" w:before="480" w:afterLines="200" w:after="480" w:line="264" w:lineRule="auto"/>
              <w:contextualSpacing/>
              <w:rPr>
                <w:rFonts w:ascii="Arial" w:hAnsi="Arial" w:cs="Arial"/>
                <w:sz w:val="24"/>
                <w:szCs w:val="24"/>
                <w:lang w:val="en-US"/>
              </w:rPr>
            </w:pPr>
          </w:p>
        </w:tc>
        <w:tc>
          <w:tcPr>
            <w:tcW w:w="1617" w:type="dxa"/>
          </w:tcPr>
          <w:p w14:paraId="7EB3255A" w14:textId="77777777" w:rsidR="002F703B" w:rsidRDefault="002F703B" w:rsidP="004F3027">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1.0430</w:t>
            </w:r>
          </w:p>
        </w:tc>
        <w:tc>
          <w:tcPr>
            <w:tcW w:w="1559" w:type="dxa"/>
          </w:tcPr>
          <w:p w14:paraId="39ACF52B" w14:textId="77777777" w:rsidR="002F703B" w:rsidRDefault="002F703B" w:rsidP="004F3027">
            <w:pPr>
              <w:spacing w:beforeLines="200" w:before="480" w:afterLines="200" w:after="480" w:line="264" w:lineRule="auto"/>
              <w:contextualSpacing/>
              <w:jc w:val="center"/>
              <w:rPr>
                <w:rFonts w:ascii="Arial" w:hAnsi="Arial" w:cs="Arial"/>
                <w:sz w:val="24"/>
                <w:szCs w:val="24"/>
                <w:lang w:val="en-US"/>
              </w:rPr>
            </w:pPr>
            <w:r>
              <w:rPr>
                <w:rFonts w:ascii="Arial" w:hAnsi="Arial" w:cs="Arial"/>
                <w:sz w:val="24"/>
                <w:szCs w:val="24"/>
                <w:lang w:val="en-US"/>
              </w:rPr>
              <w:t>0.0057</w:t>
            </w:r>
          </w:p>
        </w:tc>
        <w:tc>
          <w:tcPr>
            <w:tcW w:w="1843" w:type="dxa"/>
          </w:tcPr>
          <w:p w14:paraId="3B4635AF" w14:textId="77777777" w:rsidR="002F703B" w:rsidRDefault="002F703B" w:rsidP="004F3027">
            <w:pPr>
              <w:spacing w:beforeLines="200" w:before="480" w:afterLines="200" w:after="480" w:line="264" w:lineRule="auto"/>
              <w:contextualSpacing/>
              <w:rPr>
                <w:rFonts w:ascii="Arial" w:hAnsi="Arial" w:cs="Arial"/>
                <w:sz w:val="24"/>
                <w:szCs w:val="24"/>
                <w:lang w:val="en-US"/>
              </w:rPr>
            </w:pPr>
            <w:r>
              <w:rPr>
                <w:rFonts w:ascii="Arial" w:hAnsi="Arial" w:cs="Arial"/>
                <w:sz w:val="24"/>
                <w:szCs w:val="24"/>
                <w:lang w:val="en-US"/>
              </w:rPr>
              <w:t>Less than 1%</w:t>
            </w:r>
          </w:p>
        </w:tc>
      </w:tr>
      <w:bookmarkEnd w:id="7"/>
    </w:tbl>
    <w:p w14:paraId="2CE5F4C3" w14:textId="77777777" w:rsidR="002F703B" w:rsidRDefault="002F703B" w:rsidP="002F703B">
      <w:pPr>
        <w:spacing w:beforeLines="200" w:before="480" w:afterLines="200" w:after="480" w:line="264" w:lineRule="auto"/>
        <w:contextualSpacing/>
        <w:rPr>
          <w:rFonts w:ascii="Arial" w:hAnsi="Arial" w:cs="Arial"/>
          <w:sz w:val="24"/>
          <w:szCs w:val="24"/>
          <w:lang w:val="en-US"/>
        </w:rPr>
      </w:pPr>
    </w:p>
    <w:p w14:paraId="0CEBAC44" w14:textId="77777777" w:rsidR="002F703B" w:rsidRPr="007A568F" w:rsidRDefault="002F703B" w:rsidP="002F703B">
      <w:pPr>
        <w:spacing w:beforeLines="200" w:before="480" w:afterLines="200" w:after="480" w:line="264" w:lineRule="auto"/>
        <w:contextualSpacing/>
        <w:jc w:val="both"/>
        <w:rPr>
          <w:rFonts w:ascii="Arial" w:hAnsi="Arial" w:cs="Arial"/>
          <w:sz w:val="24"/>
          <w:szCs w:val="24"/>
          <w:lang w:val="en-US"/>
        </w:rPr>
      </w:pPr>
      <w:r w:rsidRPr="007A568F">
        <w:rPr>
          <w:rFonts w:ascii="Arial" w:hAnsi="Arial" w:cs="Arial"/>
          <w:sz w:val="24"/>
          <w:szCs w:val="24"/>
          <w:lang w:val="en-US"/>
        </w:rPr>
        <w:t>The difference in loss factor is not material.</w:t>
      </w:r>
    </w:p>
    <w:p w14:paraId="483C74DC" w14:textId="77777777" w:rsidR="002F703B" w:rsidRPr="00D045A1" w:rsidRDefault="002F703B" w:rsidP="002F703B">
      <w:pPr>
        <w:spacing w:beforeLines="200" w:before="480" w:afterLines="200" w:after="480" w:line="264" w:lineRule="auto"/>
        <w:contextualSpacing/>
        <w:jc w:val="both"/>
        <w:rPr>
          <w:rFonts w:ascii="Arial" w:hAnsi="Arial" w:cs="Arial"/>
          <w:sz w:val="24"/>
          <w:szCs w:val="24"/>
          <w:lang w:val="en-US"/>
        </w:rPr>
      </w:pPr>
    </w:p>
    <w:p w14:paraId="2C7A30D1" w14:textId="77777777" w:rsidR="002F703B" w:rsidRPr="004E2CFB" w:rsidRDefault="002F703B" w:rsidP="002F703B">
      <w:pPr>
        <w:spacing w:beforeLines="200" w:before="480" w:afterLines="200" w:after="480" w:line="264" w:lineRule="auto"/>
        <w:contextualSpacing/>
        <w:jc w:val="both"/>
        <w:rPr>
          <w:rFonts w:ascii="Arial" w:hAnsi="Arial" w:cs="Arial"/>
          <w:i/>
          <w:sz w:val="24"/>
          <w:szCs w:val="24"/>
          <w:lang w:val="en-US"/>
        </w:rPr>
      </w:pPr>
    </w:p>
    <w:p w14:paraId="66AF8476" w14:textId="3F549BB3" w:rsidR="002F703B" w:rsidRPr="007A568F" w:rsidRDefault="002F703B" w:rsidP="002F703B">
      <w:pPr>
        <w:jc w:val="both"/>
        <w:rPr>
          <w:lang w:val="en-US"/>
        </w:rPr>
      </w:pPr>
      <w:r w:rsidRPr="007A568F">
        <w:rPr>
          <w:rFonts w:ascii="Arial" w:hAnsi="Arial" w:cs="Arial"/>
          <w:sz w:val="24"/>
          <w:szCs w:val="24"/>
          <w:lang w:val="en-US"/>
        </w:rPr>
        <w:t xml:space="preserve">14 b) The error was noted during preparation of the last IRM for Kenora Hydro Corporation, the 2019 IRM model prepared in 2018.  There was an unexplained difference in the GA Analysis Workform and on review of the detailed </w:t>
      </w:r>
      <w:r w:rsidR="00330B47">
        <w:rPr>
          <w:rFonts w:ascii="Arial" w:hAnsi="Arial" w:cs="Arial"/>
          <w:sz w:val="24"/>
          <w:szCs w:val="24"/>
          <w:lang w:val="en-US"/>
        </w:rPr>
        <w:t>general ledger</w:t>
      </w:r>
      <w:r w:rsidRPr="007A568F">
        <w:rPr>
          <w:rFonts w:ascii="Arial" w:hAnsi="Arial" w:cs="Arial"/>
          <w:sz w:val="24"/>
          <w:szCs w:val="24"/>
          <w:lang w:val="en-US"/>
        </w:rPr>
        <w:t xml:space="preserve"> activity, the error was noted</w:t>
      </w:r>
      <w:r w:rsidRPr="007A568F">
        <w:rPr>
          <w:lang w:val="en-US"/>
        </w:rPr>
        <w:t>.</w:t>
      </w:r>
    </w:p>
    <w:p w14:paraId="76798818" w14:textId="022168CD" w:rsidR="002F703B" w:rsidRPr="007A568F" w:rsidRDefault="002F703B" w:rsidP="002F703B">
      <w:pPr>
        <w:spacing w:after="160" w:line="259" w:lineRule="auto"/>
        <w:jc w:val="both"/>
        <w:rPr>
          <w:rFonts w:ascii="Arial" w:hAnsi="Arial" w:cs="Arial"/>
          <w:sz w:val="24"/>
          <w:szCs w:val="24"/>
          <w:lang w:val="en-US"/>
        </w:rPr>
      </w:pPr>
      <w:r w:rsidRPr="007A568F">
        <w:rPr>
          <w:rFonts w:ascii="Arial" w:hAnsi="Arial" w:cs="Arial"/>
          <w:sz w:val="24"/>
          <w:szCs w:val="24"/>
          <w:lang w:val="en-US"/>
        </w:rPr>
        <w:t xml:space="preserve">The original error was made when accumulating the monthly revenues from the </w:t>
      </w:r>
      <w:r w:rsidR="00330B47">
        <w:rPr>
          <w:rFonts w:ascii="Arial" w:hAnsi="Arial" w:cs="Arial"/>
          <w:sz w:val="24"/>
          <w:szCs w:val="24"/>
          <w:lang w:val="en-US"/>
        </w:rPr>
        <w:t>general ledger</w:t>
      </w:r>
      <w:r w:rsidRPr="007A568F">
        <w:rPr>
          <w:rFonts w:ascii="Arial" w:hAnsi="Arial" w:cs="Arial"/>
          <w:sz w:val="24"/>
          <w:szCs w:val="24"/>
          <w:lang w:val="en-US"/>
        </w:rPr>
        <w:t xml:space="preserve"> for use in the monthly variance account posting.  One of the revenue lines for GA was accidentally included as an amount for Power revenue instead of GA revenue.  This meant that the GA and Power RSVA accounts were both incorrect at that month end by that amount.  This error in posting was noted by the auditors and I corrected in the RSVA accounts at that time.  When completing the 2019 Rate application GA working papers, there was an unexplained variance in the working paper for 2017.   It was noted that the reversal was impacting the final GA balance expected in the Model.  The mechanism to calculate the required RSVA monthly </w:t>
      </w:r>
      <w:r w:rsidR="00330B47">
        <w:rPr>
          <w:rFonts w:ascii="Arial" w:hAnsi="Arial" w:cs="Arial"/>
          <w:sz w:val="24"/>
          <w:szCs w:val="24"/>
          <w:lang w:val="en-US"/>
        </w:rPr>
        <w:t xml:space="preserve">general ledger </w:t>
      </w:r>
      <w:r w:rsidRPr="007A568F">
        <w:rPr>
          <w:rFonts w:ascii="Arial" w:hAnsi="Arial" w:cs="Arial"/>
          <w:sz w:val="24"/>
          <w:szCs w:val="24"/>
          <w:lang w:val="en-US"/>
        </w:rPr>
        <w:t xml:space="preserve">adjustment reverses the entire balance to date and takes the cumulative revenues and expenses ‘fresh’ each month. </w:t>
      </w:r>
      <w:proofErr w:type="gramStart"/>
      <w:r w:rsidRPr="007A568F">
        <w:rPr>
          <w:rFonts w:ascii="Arial" w:hAnsi="Arial" w:cs="Arial"/>
          <w:sz w:val="24"/>
          <w:szCs w:val="24"/>
          <w:lang w:val="en-US"/>
        </w:rPr>
        <w:t>This ”error</w:t>
      </w:r>
      <w:proofErr w:type="gramEnd"/>
      <w:r w:rsidRPr="007A568F">
        <w:rPr>
          <w:rFonts w:ascii="Arial" w:hAnsi="Arial" w:cs="Arial"/>
          <w:sz w:val="24"/>
          <w:szCs w:val="24"/>
          <w:lang w:val="en-US"/>
        </w:rPr>
        <w:t xml:space="preserve">” noted by the auditor should not have been corrected in the </w:t>
      </w:r>
      <w:r w:rsidR="00330B47">
        <w:rPr>
          <w:rFonts w:ascii="Arial" w:hAnsi="Arial" w:cs="Arial"/>
          <w:sz w:val="24"/>
          <w:szCs w:val="24"/>
          <w:lang w:val="en-US"/>
        </w:rPr>
        <w:t xml:space="preserve">general ledger </w:t>
      </w:r>
      <w:r w:rsidRPr="007A568F">
        <w:rPr>
          <w:rFonts w:ascii="Arial" w:hAnsi="Arial" w:cs="Arial"/>
          <w:sz w:val="24"/>
          <w:szCs w:val="24"/>
          <w:lang w:val="en-US"/>
        </w:rPr>
        <w:t xml:space="preserve">in 2017. The routine process of posting cumulative differences between revenue and expenses each month means that this error would have already corrected itself when posting the RSVA accounts in the next month. The cumulative GA revenue and cumulative Power revenue were both correctly picked up and included in the corresponding variance calculations in the next month.  </w:t>
      </w:r>
    </w:p>
    <w:p w14:paraId="2F66E9C5" w14:textId="77777777" w:rsidR="002F703B" w:rsidRPr="007A568F" w:rsidRDefault="002F703B" w:rsidP="002F703B">
      <w:pPr>
        <w:spacing w:beforeLines="200" w:before="480" w:afterLines="200" w:after="480" w:line="264" w:lineRule="auto"/>
        <w:contextualSpacing/>
        <w:rPr>
          <w:rFonts w:ascii="Arial" w:hAnsi="Arial" w:cs="Arial"/>
          <w:sz w:val="24"/>
          <w:szCs w:val="24"/>
        </w:rPr>
      </w:pPr>
    </w:p>
    <w:p w14:paraId="1A22F785" w14:textId="77777777" w:rsidR="002F703B" w:rsidRPr="00DB3A31" w:rsidRDefault="002F703B" w:rsidP="002F703B">
      <w:pPr>
        <w:spacing w:beforeLines="200" w:before="480" w:afterLines="200" w:after="480" w:line="264" w:lineRule="auto"/>
        <w:contextualSpacing/>
        <w:rPr>
          <w:rFonts w:ascii="Arial" w:hAnsi="Arial" w:cs="Arial"/>
          <w:i/>
          <w:sz w:val="24"/>
          <w:szCs w:val="24"/>
        </w:rPr>
      </w:pPr>
    </w:p>
    <w:p w14:paraId="4A7E71B2" w14:textId="77777777" w:rsidR="002F703B" w:rsidRPr="00DB3A31" w:rsidRDefault="002F703B" w:rsidP="002F703B">
      <w:pPr>
        <w:spacing w:beforeLines="200" w:before="480" w:afterLines="200" w:after="480" w:line="264" w:lineRule="auto"/>
        <w:contextualSpacing/>
        <w:rPr>
          <w:i/>
        </w:rPr>
      </w:pPr>
    </w:p>
    <w:p w14:paraId="5B7B4031" w14:textId="77777777" w:rsidR="002C1E87" w:rsidRDefault="002C1E87" w:rsidP="00180BCF">
      <w:pPr>
        <w:spacing w:after="160" w:line="259" w:lineRule="auto"/>
        <w:rPr>
          <w:rFonts w:ascii="Arial" w:hAnsi="Arial" w:cs="Arial"/>
          <w:b/>
          <w:sz w:val="24"/>
          <w:szCs w:val="24"/>
        </w:rPr>
      </w:pPr>
    </w:p>
    <w:sectPr w:rsidR="002C1E8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1C4AF" w14:textId="77777777" w:rsidR="00196A33" w:rsidRDefault="00196A33" w:rsidP="00743360">
      <w:pPr>
        <w:spacing w:after="0" w:line="240" w:lineRule="auto"/>
      </w:pPr>
      <w:r>
        <w:separator/>
      </w:r>
    </w:p>
  </w:endnote>
  <w:endnote w:type="continuationSeparator" w:id="0">
    <w:p w14:paraId="151DD844" w14:textId="77777777" w:rsidR="00196A33" w:rsidRDefault="00196A33" w:rsidP="0074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E428" w14:textId="77777777" w:rsidR="00196A33" w:rsidRDefault="00196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29831"/>
      <w:docPartObj>
        <w:docPartGallery w:val="Page Numbers (Bottom of Page)"/>
        <w:docPartUnique/>
      </w:docPartObj>
    </w:sdtPr>
    <w:sdtEndPr>
      <w:rPr>
        <w:noProof/>
      </w:rPr>
    </w:sdtEndPr>
    <w:sdtContent>
      <w:p w14:paraId="239E914F" w14:textId="54928B22" w:rsidR="00196A33" w:rsidRDefault="00196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2E558" w14:textId="77777777" w:rsidR="00196A33" w:rsidRDefault="00196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2A6A" w14:textId="77777777" w:rsidR="00196A33" w:rsidRDefault="0019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8CB3" w14:textId="77777777" w:rsidR="00196A33" w:rsidRDefault="00196A33" w:rsidP="00743360">
      <w:pPr>
        <w:spacing w:after="0" w:line="240" w:lineRule="auto"/>
      </w:pPr>
      <w:r>
        <w:separator/>
      </w:r>
    </w:p>
  </w:footnote>
  <w:footnote w:type="continuationSeparator" w:id="0">
    <w:p w14:paraId="1ACD30EF" w14:textId="77777777" w:rsidR="00196A33" w:rsidRDefault="00196A33" w:rsidP="00743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F6EE" w14:textId="77777777" w:rsidR="00196A33" w:rsidRDefault="00196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3CA2" w14:textId="77777777" w:rsidR="00196A33" w:rsidRDefault="00196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06DF" w14:textId="77777777" w:rsidR="00196A33" w:rsidRDefault="0019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6F6"/>
    <w:multiLevelType w:val="hybridMultilevel"/>
    <w:tmpl w:val="E408C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F06"/>
    <w:multiLevelType w:val="hybridMultilevel"/>
    <w:tmpl w:val="B8A8A7D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076295F"/>
    <w:multiLevelType w:val="hybridMultilevel"/>
    <w:tmpl w:val="5C627958"/>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8E46AA3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77912"/>
    <w:multiLevelType w:val="hybridMultilevel"/>
    <w:tmpl w:val="1FBE12B8"/>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84DA2"/>
    <w:multiLevelType w:val="hybridMultilevel"/>
    <w:tmpl w:val="DFCE8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80CF0"/>
    <w:multiLevelType w:val="hybridMultilevel"/>
    <w:tmpl w:val="0FCEA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F0265"/>
    <w:multiLevelType w:val="hybridMultilevel"/>
    <w:tmpl w:val="F60E4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4804A4"/>
    <w:multiLevelType w:val="hybridMultilevel"/>
    <w:tmpl w:val="46F6A70A"/>
    <w:lvl w:ilvl="0" w:tplc="2D627CAC">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E9756D0"/>
    <w:multiLevelType w:val="hybridMultilevel"/>
    <w:tmpl w:val="87AE885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33DC4"/>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04840"/>
    <w:multiLevelType w:val="hybridMultilevel"/>
    <w:tmpl w:val="FDE267D4"/>
    <w:lvl w:ilvl="0" w:tplc="C748AE78">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847DE2"/>
    <w:multiLevelType w:val="hybridMultilevel"/>
    <w:tmpl w:val="16FAD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92D57"/>
    <w:multiLevelType w:val="hybridMultilevel"/>
    <w:tmpl w:val="0A56C4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FA7DAC"/>
    <w:multiLevelType w:val="hybridMultilevel"/>
    <w:tmpl w:val="E408C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B3E10"/>
    <w:multiLevelType w:val="hybridMultilevel"/>
    <w:tmpl w:val="768EC3EA"/>
    <w:lvl w:ilvl="0" w:tplc="04090017">
      <w:start w:val="1"/>
      <w:numFmt w:val="lowerLetter"/>
      <w:lvlText w:val="%1)"/>
      <w:lvlJc w:val="left"/>
      <w:pPr>
        <w:ind w:left="720" w:hanging="360"/>
      </w:pPr>
    </w:lvl>
    <w:lvl w:ilvl="1" w:tplc="F26E200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8EEA1C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D5014"/>
    <w:multiLevelType w:val="hybridMultilevel"/>
    <w:tmpl w:val="DD2806A4"/>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C047F"/>
    <w:multiLevelType w:val="hybridMultilevel"/>
    <w:tmpl w:val="4B789BC8"/>
    <w:lvl w:ilvl="0" w:tplc="BDCA88D8">
      <w:start w:val="1"/>
      <w:numFmt w:val="lowerLetter"/>
      <w:lvlText w:val="%1)"/>
      <w:lvlJc w:val="left"/>
      <w:pPr>
        <w:ind w:left="720" w:hanging="360"/>
      </w:pPr>
      <w:rPr>
        <w:rFonts w:ascii="Arial" w:eastAsiaTheme="minorHAnsi" w:hAnsi="Arial" w:cs="Arial"/>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264DD"/>
    <w:multiLevelType w:val="hybridMultilevel"/>
    <w:tmpl w:val="4B789BC8"/>
    <w:lvl w:ilvl="0" w:tplc="BDCA88D8">
      <w:start w:val="1"/>
      <w:numFmt w:val="lowerLetter"/>
      <w:lvlText w:val="%1)"/>
      <w:lvlJc w:val="left"/>
      <w:pPr>
        <w:ind w:left="720" w:hanging="360"/>
      </w:pPr>
      <w:rPr>
        <w:rFonts w:ascii="Arial" w:eastAsiaTheme="minorHAnsi" w:hAnsi="Arial" w:cs="Arial"/>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B60C1"/>
    <w:multiLevelType w:val="hybridMultilevel"/>
    <w:tmpl w:val="16FAD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A1657"/>
    <w:multiLevelType w:val="hybridMultilevel"/>
    <w:tmpl w:val="18C6E026"/>
    <w:lvl w:ilvl="0" w:tplc="5602033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01B1303"/>
    <w:multiLevelType w:val="hybridMultilevel"/>
    <w:tmpl w:val="344A85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7C4C05"/>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8780A"/>
    <w:multiLevelType w:val="hybridMultilevel"/>
    <w:tmpl w:val="8C9A6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4"/>
  </w:num>
  <w:num w:numId="5">
    <w:abstractNumId w:val="18"/>
  </w:num>
  <w:num w:numId="6">
    <w:abstractNumId w:val="13"/>
  </w:num>
  <w:num w:numId="7">
    <w:abstractNumId w:val="3"/>
  </w:num>
  <w:num w:numId="8">
    <w:abstractNumId w:val="2"/>
  </w:num>
  <w:num w:numId="9">
    <w:abstractNumId w:val="11"/>
  </w:num>
  <w:num w:numId="10">
    <w:abstractNumId w:val="5"/>
  </w:num>
  <w:num w:numId="11">
    <w:abstractNumId w:val="12"/>
  </w:num>
  <w:num w:numId="12">
    <w:abstractNumId w:val="10"/>
  </w:num>
  <w:num w:numId="13">
    <w:abstractNumId w:val="8"/>
  </w:num>
  <w:num w:numId="14">
    <w:abstractNumId w:val="0"/>
  </w:num>
  <w:num w:numId="15">
    <w:abstractNumId w:val="7"/>
  </w:num>
  <w:num w:numId="16">
    <w:abstractNumId w:val="14"/>
  </w:num>
  <w:num w:numId="17">
    <w:abstractNumId w:val="9"/>
  </w:num>
  <w:num w:numId="18">
    <w:abstractNumId w:val="22"/>
  </w:num>
  <w:num w:numId="19">
    <w:abstractNumId w:val="19"/>
  </w:num>
  <w:num w:numId="20">
    <w:abstractNumId w:val="21"/>
  </w:num>
  <w:num w:numId="21">
    <w:abstractNumId w:val="23"/>
  </w:num>
  <w:num w:numId="22">
    <w:abstractNumId w:val="17"/>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15"/>
    <w:rsid w:val="000022F8"/>
    <w:rsid w:val="00020022"/>
    <w:rsid w:val="00042290"/>
    <w:rsid w:val="00044650"/>
    <w:rsid w:val="00054897"/>
    <w:rsid w:val="000612F1"/>
    <w:rsid w:val="0006712D"/>
    <w:rsid w:val="000673C7"/>
    <w:rsid w:val="000721FF"/>
    <w:rsid w:val="000733DE"/>
    <w:rsid w:val="00081234"/>
    <w:rsid w:val="000A449F"/>
    <w:rsid w:val="000B4B2D"/>
    <w:rsid w:val="000C7F8E"/>
    <w:rsid w:val="000E537B"/>
    <w:rsid w:val="000E64AE"/>
    <w:rsid w:val="000E6A07"/>
    <w:rsid w:val="000F0AB5"/>
    <w:rsid w:val="000F41D6"/>
    <w:rsid w:val="0010604D"/>
    <w:rsid w:val="001306DB"/>
    <w:rsid w:val="00131EBE"/>
    <w:rsid w:val="00141669"/>
    <w:rsid w:val="0014739D"/>
    <w:rsid w:val="00180BCF"/>
    <w:rsid w:val="00180F22"/>
    <w:rsid w:val="00184AD2"/>
    <w:rsid w:val="00196A33"/>
    <w:rsid w:val="001C7DC2"/>
    <w:rsid w:val="001D52EE"/>
    <w:rsid w:val="00200E9A"/>
    <w:rsid w:val="00226324"/>
    <w:rsid w:val="002312F6"/>
    <w:rsid w:val="00236ACF"/>
    <w:rsid w:val="0023715D"/>
    <w:rsid w:val="002558A4"/>
    <w:rsid w:val="00261F94"/>
    <w:rsid w:val="00283FC5"/>
    <w:rsid w:val="00292649"/>
    <w:rsid w:val="00295AFF"/>
    <w:rsid w:val="00295B73"/>
    <w:rsid w:val="002B3E23"/>
    <w:rsid w:val="002C0CD7"/>
    <w:rsid w:val="002C1E87"/>
    <w:rsid w:val="002D5327"/>
    <w:rsid w:val="002E3AE3"/>
    <w:rsid w:val="002E4AE5"/>
    <w:rsid w:val="002F0653"/>
    <w:rsid w:val="002F0837"/>
    <w:rsid w:val="002F703B"/>
    <w:rsid w:val="00301DBA"/>
    <w:rsid w:val="00317BEC"/>
    <w:rsid w:val="003259F4"/>
    <w:rsid w:val="00330B47"/>
    <w:rsid w:val="00347818"/>
    <w:rsid w:val="00350BB0"/>
    <w:rsid w:val="00383777"/>
    <w:rsid w:val="00391067"/>
    <w:rsid w:val="0039546A"/>
    <w:rsid w:val="003A1731"/>
    <w:rsid w:val="003B31E1"/>
    <w:rsid w:val="003C271B"/>
    <w:rsid w:val="003C723F"/>
    <w:rsid w:val="003D14E5"/>
    <w:rsid w:val="003E2C52"/>
    <w:rsid w:val="003F779F"/>
    <w:rsid w:val="00401051"/>
    <w:rsid w:val="00402500"/>
    <w:rsid w:val="00467273"/>
    <w:rsid w:val="00472C7F"/>
    <w:rsid w:val="0047642C"/>
    <w:rsid w:val="004865A8"/>
    <w:rsid w:val="00497A2A"/>
    <w:rsid w:val="004D0CC2"/>
    <w:rsid w:val="004F3027"/>
    <w:rsid w:val="0050448D"/>
    <w:rsid w:val="005142D2"/>
    <w:rsid w:val="0053560A"/>
    <w:rsid w:val="00542A0A"/>
    <w:rsid w:val="00542A1E"/>
    <w:rsid w:val="0055202D"/>
    <w:rsid w:val="00554F15"/>
    <w:rsid w:val="005652D6"/>
    <w:rsid w:val="005705E4"/>
    <w:rsid w:val="00584790"/>
    <w:rsid w:val="00596CFC"/>
    <w:rsid w:val="005B324A"/>
    <w:rsid w:val="005C51BA"/>
    <w:rsid w:val="005E0B8C"/>
    <w:rsid w:val="005F28F7"/>
    <w:rsid w:val="005F2A9C"/>
    <w:rsid w:val="005F66DC"/>
    <w:rsid w:val="0060627D"/>
    <w:rsid w:val="00631E7D"/>
    <w:rsid w:val="00633262"/>
    <w:rsid w:val="0063653F"/>
    <w:rsid w:val="00651D5F"/>
    <w:rsid w:val="006524B9"/>
    <w:rsid w:val="00655474"/>
    <w:rsid w:val="00684DF8"/>
    <w:rsid w:val="00685CC0"/>
    <w:rsid w:val="00691BA6"/>
    <w:rsid w:val="006A600D"/>
    <w:rsid w:val="006A6550"/>
    <w:rsid w:val="006B079F"/>
    <w:rsid w:val="006E5008"/>
    <w:rsid w:val="00720698"/>
    <w:rsid w:val="00722BE0"/>
    <w:rsid w:val="0072613B"/>
    <w:rsid w:val="00727BC6"/>
    <w:rsid w:val="00743360"/>
    <w:rsid w:val="00764C6A"/>
    <w:rsid w:val="00774007"/>
    <w:rsid w:val="00794282"/>
    <w:rsid w:val="007A568F"/>
    <w:rsid w:val="007B3875"/>
    <w:rsid w:val="007B4989"/>
    <w:rsid w:val="007C3FF0"/>
    <w:rsid w:val="007C612A"/>
    <w:rsid w:val="007C697A"/>
    <w:rsid w:val="007D689B"/>
    <w:rsid w:val="007D7C76"/>
    <w:rsid w:val="007E6594"/>
    <w:rsid w:val="007F2122"/>
    <w:rsid w:val="008135B3"/>
    <w:rsid w:val="0082273F"/>
    <w:rsid w:val="00827BE5"/>
    <w:rsid w:val="0083747F"/>
    <w:rsid w:val="00851AA1"/>
    <w:rsid w:val="00854CF4"/>
    <w:rsid w:val="008561F9"/>
    <w:rsid w:val="00863FBB"/>
    <w:rsid w:val="00864351"/>
    <w:rsid w:val="00866C0F"/>
    <w:rsid w:val="00874A36"/>
    <w:rsid w:val="00880A35"/>
    <w:rsid w:val="00886E33"/>
    <w:rsid w:val="008879DC"/>
    <w:rsid w:val="008A2671"/>
    <w:rsid w:val="008C12A3"/>
    <w:rsid w:val="008E3079"/>
    <w:rsid w:val="008E3F72"/>
    <w:rsid w:val="008E6F52"/>
    <w:rsid w:val="008F3E43"/>
    <w:rsid w:val="009016CF"/>
    <w:rsid w:val="009178C6"/>
    <w:rsid w:val="00923992"/>
    <w:rsid w:val="00940D73"/>
    <w:rsid w:val="00941643"/>
    <w:rsid w:val="00947198"/>
    <w:rsid w:val="00963849"/>
    <w:rsid w:val="00987CDA"/>
    <w:rsid w:val="009A10CB"/>
    <w:rsid w:val="009C283E"/>
    <w:rsid w:val="009D2588"/>
    <w:rsid w:val="009F09A9"/>
    <w:rsid w:val="00A0666E"/>
    <w:rsid w:val="00A06BA3"/>
    <w:rsid w:val="00A15170"/>
    <w:rsid w:val="00A345B8"/>
    <w:rsid w:val="00A36A0E"/>
    <w:rsid w:val="00A52311"/>
    <w:rsid w:val="00A65813"/>
    <w:rsid w:val="00A66307"/>
    <w:rsid w:val="00A73B3B"/>
    <w:rsid w:val="00A74C56"/>
    <w:rsid w:val="00AA7DD0"/>
    <w:rsid w:val="00AB18AA"/>
    <w:rsid w:val="00AB2F69"/>
    <w:rsid w:val="00AC2DFB"/>
    <w:rsid w:val="00AC3EB3"/>
    <w:rsid w:val="00AC6994"/>
    <w:rsid w:val="00AE310A"/>
    <w:rsid w:val="00AE69B9"/>
    <w:rsid w:val="00AF1368"/>
    <w:rsid w:val="00AF558E"/>
    <w:rsid w:val="00B0103C"/>
    <w:rsid w:val="00B12C88"/>
    <w:rsid w:val="00B15FA5"/>
    <w:rsid w:val="00B3748E"/>
    <w:rsid w:val="00B47B66"/>
    <w:rsid w:val="00B51CBE"/>
    <w:rsid w:val="00B55601"/>
    <w:rsid w:val="00B63396"/>
    <w:rsid w:val="00B6361C"/>
    <w:rsid w:val="00B75CBA"/>
    <w:rsid w:val="00B763E1"/>
    <w:rsid w:val="00B8361B"/>
    <w:rsid w:val="00B941C2"/>
    <w:rsid w:val="00BA4BD3"/>
    <w:rsid w:val="00BB1A67"/>
    <w:rsid w:val="00BC378A"/>
    <w:rsid w:val="00BC5DF7"/>
    <w:rsid w:val="00BC6B04"/>
    <w:rsid w:val="00BD5E31"/>
    <w:rsid w:val="00BE0511"/>
    <w:rsid w:val="00C068E0"/>
    <w:rsid w:val="00C21EC3"/>
    <w:rsid w:val="00C244A5"/>
    <w:rsid w:val="00C2689F"/>
    <w:rsid w:val="00C316FA"/>
    <w:rsid w:val="00C350E2"/>
    <w:rsid w:val="00C52020"/>
    <w:rsid w:val="00C558DC"/>
    <w:rsid w:val="00C607FE"/>
    <w:rsid w:val="00C849C9"/>
    <w:rsid w:val="00C90C3C"/>
    <w:rsid w:val="00C9115C"/>
    <w:rsid w:val="00C9131A"/>
    <w:rsid w:val="00CA7EA9"/>
    <w:rsid w:val="00CD13D7"/>
    <w:rsid w:val="00CF1E2A"/>
    <w:rsid w:val="00CF67B3"/>
    <w:rsid w:val="00CF7872"/>
    <w:rsid w:val="00CF7B9F"/>
    <w:rsid w:val="00D045A1"/>
    <w:rsid w:val="00D1477D"/>
    <w:rsid w:val="00D20ED0"/>
    <w:rsid w:val="00D27AFF"/>
    <w:rsid w:val="00D53584"/>
    <w:rsid w:val="00D5419A"/>
    <w:rsid w:val="00D619E2"/>
    <w:rsid w:val="00D76B74"/>
    <w:rsid w:val="00D810B0"/>
    <w:rsid w:val="00D91F16"/>
    <w:rsid w:val="00D93ADA"/>
    <w:rsid w:val="00D94837"/>
    <w:rsid w:val="00DA163A"/>
    <w:rsid w:val="00DE7D3D"/>
    <w:rsid w:val="00E024D3"/>
    <w:rsid w:val="00E4213E"/>
    <w:rsid w:val="00E424BE"/>
    <w:rsid w:val="00E670E1"/>
    <w:rsid w:val="00E7166C"/>
    <w:rsid w:val="00E8228B"/>
    <w:rsid w:val="00E83587"/>
    <w:rsid w:val="00E85ADC"/>
    <w:rsid w:val="00E86A51"/>
    <w:rsid w:val="00E914A3"/>
    <w:rsid w:val="00EA039C"/>
    <w:rsid w:val="00EA5FA5"/>
    <w:rsid w:val="00EE5F98"/>
    <w:rsid w:val="00EF03A5"/>
    <w:rsid w:val="00EF13CD"/>
    <w:rsid w:val="00F013CC"/>
    <w:rsid w:val="00F024F8"/>
    <w:rsid w:val="00F166BD"/>
    <w:rsid w:val="00F4339E"/>
    <w:rsid w:val="00F557E1"/>
    <w:rsid w:val="00F65761"/>
    <w:rsid w:val="00F6772C"/>
    <w:rsid w:val="00F81026"/>
    <w:rsid w:val="00FB04E6"/>
    <w:rsid w:val="00FD4C09"/>
    <w:rsid w:val="00FE115C"/>
    <w:rsid w:val="00FE7B62"/>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A26E"/>
  <w15:chartTrackingRefBased/>
  <w15:docId w15:val="{76F63DBE-F319-4155-AB0B-EFF12DBB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AFF"/>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8C6"/>
    <w:pPr>
      <w:ind w:left="720"/>
      <w:contextualSpacing/>
    </w:pPr>
  </w:style>
  <w:style w:type="paragraph" w:styleId="BalloonText">
    <w:name w:val="Balloon Text"/>
    <w:basedOn w:val="Normal"/>
    <w:link w:val="BalloonTextChar"/>
    <w:uiPriority w:val="99"/>
    <w:semiHidden/>
    <w:unhideWhenUsed/>
    <w:rsid w:val="00044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50"/>
    <w:rPr>
      <w:rFonts w:ascii="Segoe UI" w:hAnsi="Segoe UI" w:cs="Segoe UI"/>
      <w:sz w:val="18"/>
      <w:szCs w:val="18"/>
      <w:lang w:val="en-CA"/>
    </w:rPr>
  </w:style>
  <w:style w:type="character" w:styleId="CommentReference">
    <w:name w:val="annotation reference"/>
    <w:basedOn w:val="DefaultParagraphFont"/>
    <w:uiPriority w:val="99"/>
    <w:semiHidden/>
    <w:unhideWhenUsed/>
    <w:rsid w:val="00472C7F"/>
    <w:rPr>
      <w:sz w:val="16"/>
      <w:szCs w:val="16"/>
    </w:rPr>
  </w:style>
  <w:style w:type="paragraph" w:styleId="CommentText">
    <w:name w:val="annotation text"/>
    <w:basedOn w:val="Normal"/>
    <w:link w:val="CommentTextChar"/>
    <w:uiPriority w:val="99"/>
    <w:semiHidden/>
    <w:unhideWhenUsed/>
    <w:rsid w:val="00472C7F"/>
    <w:pPr>
      <w:spacing w:line="240" w:lineRule="auto"/>
    </w:pPr>
    <w:rPr>
      <w:sz w:val="20"/>
      <w:szCs w:val="20"/>
    </w:rPr>
  </w:style>
  <w:style w:type="character" w:customStyle="1" w:styleId="CommentTextChar">
    <w:name w:val="Comment Text Char"/>
    <w:basedOn w:val="DefaultParagraphFont"/>
    <w:link w:val="CommentText"/>
    <w:uiPriority w:val="99"/>
    <w:semiHidden/>
    <w:rsid w:val="00472C7F"/>
    <w:rPr>
      <w:sz w:val="20"/>
      <w:szCs w:val="20"/>
      <w:lang w:val="en-CA"/>
    </w:rPr>
  </w:style>
  <w:style w:type="paragraph" w:styleId="CommentSubject">
    <w:name w:val="annotation subject"/>
    <w:basedOn w:val="CommentText"/>
    <w:next w:val="CommentText"/>
    <w:link w:val="CommentSubjectChar"/>
    <w:uiPriority w:val="99"/>
    <w:semiHidden/>
    <w:unhideWhenUsed/>
    <w:rsid w:val="00472C7F"/>
    <w:rPr>
      <w:b/>
      <w:bCs/>
    </w:rPr>
  </w:style>
  <w:style w:type="character" w:customStyle="1" w:styleId="CommentSubjectChar">
    <w:name w:val="Comment Subject Char"/>
    <w:basedOn w:val="CommentTextChar"/>
    <w:link w:val="CommentSubject"/>
    <w:uiPriority w:val="99"/>
    <w:semiHidden/>
    <w:rsid w:val="00472C7F"/>
    <w:rPr>
      <w:b/>
      <w:bCs/>
      <w:sz w:val="20"/>
      <w:szCs w:val="20"/>
      <w:lang w:val="en-CA"/>
    </w:rPr>
  </w:style>
  <w:style w:type="paragraph" w:customStyle="1" w:styleId="Default">
    <w:name w:val="Default"/>
    <w:rsid w:val="00FE7B62"/>
    <w:pPr>
      <w:autoSpaceDE w:val="0"/>
      <w:autoSpaceDN w:val="0"/>
      <w:adjustRightInd w:val="0"/>
      <w:spacing w:after="0" w:line="240" w:lineRule="auto"/>
    </w:pPr>
    <w:rPr>
      <w:rFonts w:ascii="Times New Roman" w:hAnsi="Times New Roman" w:cs="Times New Roman"/>
      <w:color w:val="000000"/>
      <w:sz w:val="24"/>
      <w:szCs w:val="24"/>
      <w:lang w:val="en-CA"/>
    </w:rPr>
  </w:style>
  <w:style w:type="table" w:styleId="TableGrid">
    <w:name w:val="Table Grid"/>
    <w:basedOn w:val="TableNormal"/>
    <w:uiPriority w:val="39"/>
    <w:rsid w:val="002F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360"/>
    <w:rPr>
      <w:lang w:val="en-CA"/>
    </w:rPr>
  </w:style>
  <w:style w:type="paragraph" w:styleId="Footer">
    <w:name w:val="footer"/>
    <w:basedOn w:val="Normal"/>
    <w:link w:val="FooterChar"/>
    <w:uiPriority w:val="99"/>
    <w:unhideWhenUsed/>
    <w:rsid w:val="0074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360"/>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6D89-3831-4F90-8D28-4BF2D695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Armstrong;bashby@synergynorth.ca</dc:creator>
  <cp:keywords/>
  <dc:description/>
  <cp:lastModifiedBy>Brittany Ashby, BMgmt</cp:lastModifiedBy>
  <cp:revision>10</cp:revision>
  <cp:lastPrinted>2020-01-15T00:20:00Z</cp:lastPrinted>
  <dcterms:created xsi:type="dcterms:W3CDTF">2020-01-16T20:04:00Z</dcterms:created>
  <dcterms:modified xsi:type="dcterms:W3CDTF">2020-01-16T20:19:00Z</dcterms:modified>
</cp:coreProperties>
</file>