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A61D2" w14:textId="77777777" w:rsidR="00B13A6D" w:rsidRDefault="008A03FC" w:rsidP="006823D7">
      <w:pPr>
        <w:spacing w:line="276" w:lineRule="auto"/>
        <w:jc w:val="center"/>
        <w:rPr>
          <w:rFonts w:cs="Arial"/>
          <w:b/>
          <w:sz w:val="28"/>
          <w:szCs w:val="28"/>
        </w:rPr>
      </w:pPr>
      <w:r>
        <w:rPr>
          <w:rFonts w:cs="Arial"/>
          <w:b/>
          <w:sz w:val="28"/>
          <w:szCs w:val="28"/>
        </w:rPr>
        <w:t>Tillsonburg Hydro Inc.</w:t>
      </w:r>
      <w:r w:rsidR="00B13A6D">
        <w:rPr>
          <w:rFonts w:cs="Arial"/>
          <w:b/>
          <w:sz w:val="28"/>
          <w:szCs w:val="28"/>
        </w:rPr>
        <w:t xml:space="preserve"> (</w:t>
      </w:r>
      <w:r>
        <w:rPr>
          <w:rFonts w:cs="Arial"/>
          <w:b/>
          <w:sz w:val="28"/>
          <w:szCs w:val="28"/>
        </w:rPr>
        <w:t>Tillsonburg</w:t>
      </w:r>
      <w:r w:rsidR="00B13A6D">
        <w:rPr>
          <w:rFonts w:cs="Arial"/>
          <w:b/>
          <w:sz w:val="28"/>
          <w:szCs w:val="28"/>
        </w:rPr>
        <w:t>)</w:t>
      </w:r>
    </w:p>
    <w:p w14:paraId="21B76B77" w14:textId="77777777" w:rsidR="00B13A6D" w:rsidRDefault="00B13A6D" w:rsidP="006823D7">
      <w:pPr>
        <w:spacing w:line="276" w:lineRule="auto"/>
        <w:jc w:val="center"/>
        <w:rPr>
          <w:rFonts w:cs="Arial"/>
          <w:b/>
          <w:sz w:val="24"/>
          <w:szCs w:val="24"/>
        </w:rPr>
      </w:pPr>
      <w:r>
        <w:rPr>
          <w:rFonts w:cs="Arial"/>
          <w:b/>
          <w:sz w:val="24"/>
          <w:szCs w:val="24"/>
        </w:rPr>
        <w:t>2020 IRM Application</w:t>
      </w:r>
    </w:p>
    <w:p w14:paraId="14A27439" w14:textId="77777777" w:rsidR="00B13A6D" w:rsidRDefault="008A03FC" w:rsidP="006823D7">
      <w:pPr>
        <w:spacing w:line="276" w:lineRule="auto"/>
        <w:jc w:val="center"/>
        <w:rPr>
          <w:rFonts w:cs="Arial"/>
          <w:b/>
          <w:sz w:val="24"/>
          <w:szCs w:val="24"/>
        </w:rPr>
      </w:pPr>
      <w:r>
        <w:rPr>
          <w:rFonts w:cs="Arial"/>
          <w:b/>
          <w:sz w:val="24"/>
          <w:szCs w:val="24"/>
        </w:rPr>
        <w:t>EB-2019-0069</w:t>
      </w:r>
    </w:p>
    <w:p w14:paraId="375166D4" w14:textId="5DFDC601" w:rsidR="00B13A6D" w:rsidRDefault="00B13A6D" w:rsidP="006823D7">
      <w:pPr>
        <w:spacing w:line="276" w:lineRule="auto"/>
        <w:jc w:val="center"/>
        <w:rPr>
          <w:rFonts w:cs="Arial"/>
          <w:b/>
          <w:sz w:val="24"/>
          <w:szCs w:val="24"/>
        </w:rPr>
      </w:pPr>
      <w:r>
        <w:rPr>
          <w:rFonts w:cs="Arial"/>
          <w:b/>
          <w:sz w:val="24"/>
          <w:szCs w:val="24"/>
        </w:rPr>
        <w:t>Application Analysis</w:t>
      </w:r>
      <w:r w:rsidR="00281BED">
        <w:rPr>
          <w:rFonts w:cs="Arial"/>
          <w:b/>
          <w:sz w:val="24"/>
          <w:szCs w:val="24"/>
        </w:rPr>
        <w:t xml:space="preserve"> – Tillsonburg Hydro Responses</w:t>
      </w:r>
    </w:p>
    <w:p w14:paraId="48E2AEBA" w14:textId="26E47230" w:rsidR="00B13A6D" w:rsidRDefault="00281BED" w:rsidP="006823D7">
      <w:pPr>
        <w:spacing w:line="276" w:lineRule="auto"/>
        <w:jc w:val="center"/>
        <w:rPr>
          <w:rFonts w:cs="Arial"/>
          <w:b/>
          <w:sz w:val="24"/>
          <w:szCs w:val="24"/>
        </w:rPr>
      </w:pPr>
      <w:r>
        <w:rPr>
          <w:rFonts w:cs="Arial"/>
          <w:b/>
          <w:sz w:val="24"/>
          <w:szCs w:val="24"/>
        </w:rPr>
        <w:t>January</w:t>
      </w:r>
      <w:r w:rsidR="00CA1934">
        <w:rPr>
          <w:rFonts w:cs="Arial"/>
          <w:b/>
          <w:sz w:val="24"/>
          <w:szCs w:val="24"/>
        </w:rPr>
        <w:t xml:space="preserve"> </w:t>
      </w:r>
      <w:r>
        <w:rPr>
          <w:rFonts w:cs="Arial"/>
          <w:b/>
          <w:sz w:val="24"/>
          <w:szCs w:val="24"/>
        </w:rPr>
        <w:t>10</w:t>
      </w:r>
      <w:r w:rsidR="00B13A6D">
        <w:rPr>
          <w:rFonts w:cs="Arial"/>
          <w:b/>
          <w:sz w:val="24"/>
          <w:szCs w:val="24"/>
        </w:rPr>
        <w:t>, 20</w:t>
      </w:r>
      <w:r>
        <w:rPr>
          <w:rFonts w:cs="Arial"/>
          <w:b/>
          <w:sz w:val="24"/>
          <w:szCs w:val="24"/>
        </w:rPr>
        <w:t>20</w:t>
      </w:r>
    </w:p>
    <w:p w14:paraId="6CB14B16" w14:textId="6F6E85CC" w:rsidR="00F45008" w:rsidRPr="00D66C58" w:rsidRDefault="00F45008" w:rsidP="006823D7">
      <w:pPr>
        <w:spacing w:line="276" w:lineRule="auto"/>
        <w:rPr>
          <w:rFonts w:cs="Arial"/>
          <w:b/>
          <w:sz w:val="24"/>
          <w:szCs w:val="24"/>
          <w:u w:val="single"/>
        </w:rPr>
      </w:pPr>
    </w:p>
    <w:p w14:paraId="716156CF" w14:textId="142953F9" w:rsidR="00181DEE" w:rsidRPr="00D66C58" w:rsidRDefault="00181DEE" w:rsidP="00181DEE">
      <w:pPr>
        <w:keepNext/>
        <w:keepLines/>
        <w:spacing w:line="276" w:lineRule="auto"/>
        <w:rPr>
          <w:rFonts w:cs="Arial"/>
          <w:b/>
          <w:sz w:val="24"/>
          <w:szCs w:val="24"/>
        </w:rPr>
      </w:pPr>
      <w:r w:rsidRPr="00D66C58">
        <w:rPr>
          <w:rFonts w:cs="Arial"/>
          <w:b/>
          <w:sz w:val="24"/>
          <w:szCs w:val="24"/>
        </w:rPr>
        <w:t>Staff Question #1</w:t>
      </w:r>
    </w:p>
    <w:p w14:paraId="3E4C33D1" w14:textId="77777777" w:rsidR="00181DEE" w:rsidRPr="00D66C58" w:rsidRDefault="00181DEE" w:rsidP="00181DEE">
      <w:pPr>
        <w:keepNext/>
        <w:keepLines/>
        <w:spacing w:after="0" w:line="276" w:lineRule="auto"/>
        <w:rPr>
          <w:rFonts w:cs="Arial"/>
          <w:b/>
          <w:sz w:val="24"/>
          <w:szCs w:val="24"/>
        </w:rPr>
      </w:pPr>
      <w:r w:rsidRPr="00D66C58">
        <w:rPr>
          <w:rFonts w:cs="Arial"/>
          <w:b/>
          <w:sz w:val="24"/>
          <w:szCs w:val="24"/>
        </w:rPr>
        <w:t>Ref:</w:t>
      </w:r>
      <w:r w:rsidRPr="00D66C58">
        <w:rPr>
          <w:rFonts w:cs="Arial"/>
          <w:b/>
          <w:sz w:val="24"/>
          <w:szCs w:val="24"/>
        </w:rPr>
        <w:tab/>
        <w:t>Manager’s Summary, Deferral and Variance Account Rate Riders section</w:t>
      </w:r>
    </w:p>
    <w:p w14:paraId="0C6CB311" w14:textId="77777777" w:rsidR="00181DEE" w:rsidRPr="00D66C58" w:rsidRDefault="00181DEE" w:rsidP="00181DEE">
      <w:pPr>
        <w:keepNext/>
        <w:keepLines/>
        <w:spacing w:after="0" w:line="276" w:lineRule="auto"/>
        <w:ind w:firstLine="720"/>
        <w:rPr>
          <w:rFonts w:cs="Arial"/>
          <w:b/>
          <w:sz w:val="24"/>
          <w:szCs w:val="24"/>
        </w:rPr>
      </w:pPr>
      <w:r w:rsidRPr="00D66C58">
        <w:rPr>
          <w:rFonts w:cs="Arial"/>
          <w:b/>
          <w:sz w:val="24"/>
          <w:szCs w:val="24"/>
        </w:rPr>
        <w:t>IRM Rate Generator, Tab 3. Continuity Schedule</w:t>
      </w:r>
    </w:p>
    <w:p w14:paraId="411E5A5C" w14:textId="77777777" w:rsidR="00181DEE" w:rsidRPr="00D66C58" w:rsidRDefault="00181DEE" w:rsidP="00181DEE">
      <w:pPr>
        <w:keepNext/>
        <w:keepLines/>
        <w:spacing w:after="0" w:line="276" w:lineRule="auto"/>
        <w:ind w:firstLine="720"/>
        <w:rPr>
          <w:rFonts w:cs="Arial"/>
          <w:b/>
          <w:sz w:val="24"/>
          <w:szCs w:val="24"/>
        </w:rPr>
      </w:pPr>
      <w:r w:rsidRPr="00D66C58">
        <w:rPr>
          <w:rFonts w:cs="Arial"/>
          <w:b/>
          <w:sz w:val="24"/>
          <w:szCs w:val="24"/>
        </w:rPr>
        <w:t>IRM Rate Generator, Tab 4. Billing Det. For Def-Var</w:t>
      </w:r>
    </w:p>
    <w:p w14:paraId="447D4454" w14:textId="77777777" w:rsidR="00181DEE" w:rsidRPr="00D66C58" w:rsidRDefault="00181DEE" w:rsidP="00181DEE">
      <w:pPr>
        <w:spacing w:line="276" w:lineRule="auto"/>
        <w:rPr>
          <w:rFonts w:cs="Arial"/>
          <w:sz w:val="24"/>
          <w:szCs w:val="24"/>
        </w:rPr>
      </w:pPr>
    </w:p>
    <w:p w14:paraId="14B31A3E" w14:textId="77777777" w:rsidR="00181DEE" w:rsidRPr="00D66C58" w:rsidRDefault="00181DEE" w:rsidP="00181DEE">
      <w:pPr>
        <w:spacing w:line="276" w:lineRule="auto"/>
        <w:rPr>
          <w:sz w:val="24"/>
          <w:szCs w:val="24"/>
        </w:rPr>
      </w:pPr>
      <w:r w:rsidRPr="00D66C58">
        <w:rPr>
          <w:sz w:val="24"/>
          <w:szCs w:val="24"/>
        </w:rPr>
        <w:t>Tillsonburg notes that:</w:t>
      </w:r>
    </w:p>
    <w:p w14:paraId="36027A31" w14:textId="77777777" w:rsidR="00181DEE" w:rsidRPr="00D66C58" w:rsidRDefault="00181DEE" w:rsidP="00181DEE">
      <w:pPr>
        <w:spacing w:line="276" w:lineRule="auto"/>
        <w:ind w:left="720"/>
        <w:rPr>
          <w:sz w:val="24"/>
          <w:szCs w:val="24"/>
        </w:rPr>
      </w:pPr>
      <w:r w:rsidRPr="00D66C58">
        <w:rPr>
          <w:sz w:val="24"/>
          <w:szCs w:val="24"/>
        </w:rPr>
        <w:t>In the Decision and Order for THI EB-2018-0070 an Audit for USoA 1588, 1589 and 1595 was required. Along with this the OEB released accounting guidance on February 21, 2019 regarding Group 1 Accounts.</w:t>
      </w:r>
    </w:p>
    <w:p w14:paraId="18167016" w14:textId="77777777" w:rsidR="00181DEE" w:rsidRPr="00D66C58" w:rsidRDefault="00181DEE" w:rsidP="00181DEE">
      <w:pPr>
        <w:spacing w:line="276" w:lineRule="auto"/>
        <w:rPr>
          <w:sz w:val="24"/>
          <w:szCs w:val="24"/>
        </w:rPr>
      </w:pPr>
      <w:r w:rsidRPr="00D66C58">
        <w:rPr>
          <w:sz w:val="24"/>
          <w:szCs w:val="24"/>
        </w:rPr>
        <w:t>The February 21, 2019 accounting guidance relates to accounts 1588 and 1589.</w:t>
      </w:r>
    </w:p>
    <w:p w14:paraId="2FD6BE01" w14:textId="77777777" w:rsidR="00181DEE" w:rsidRPr="00D66C58" w:rsidRDefault="00181DEE" w:rsidP="00181DEE">
      <w:pPr>
        <w:spacing w:line="276" w:lineRule="auto"/>
        <w:rPr>
          <w:sz w:val="24"/>
          <w:szCs w:val="24"/>
        </w:rPr>
      </w:pPr>
      <w:r w:rsidRPr="00D66C58">
        <w:rPr>
          <w:sz w:val="24"/>
          <w:szCs w:val="24"/>
        </w:rPr>
        <w:t>The IRM Rate Generator provided indicates that accounts 1551, 1580, 1584 and 1586 total a credit balance of $608,283. The threshold test results in a credit of $0.0033 per kWh.</w:t>
      </w:r>
    </w:p>
    <w:p w14:paraId="5C44072D" w14:textId="77777777" w:rsidR="00181DEE" w:rsidRDefault="00181DEE" w:rsidP="00181DEE">
      <w:pPr>
        <w:pStyle w:val="ListParagraph"/>
        <w:numPr>
          <w:ilvl w:val="0"/>
          <w:numId w:val="34"/>
        </w:numPr>
        <w:spacing w:line="276" w:lineRule="auto"/>
        <w:rPr>
          <w:rFonts w:cs="Arial"/>
          <w:sz w:val="24"/>
          <w:szCs w:val="24"/>
        </w:rPr>
      </w:pPr>
      <w:r w:rsidRPr="00D66C58">
        <w:rPr>
          <w:rFonts w:cs="Arial"/>
          <w:sz w:val="24"/>
          <w:szCs w:val="24"/>
        </w:rPr>
        <w:t>Does Tillsonburg have a reason to believe the balance in accounts 1551, 1580, 1584 or 1586 may be in error? If so, please explain.</w:t>
      </w:r>
    </w:p>
    <w:p w14:paraId="64C15C5C" w14:textId="08400956" w:rsidR="00A0016D" w:rsidRPr="00A0016D" w:rsidRDefault="00A0016D" w:rsidP="00A0016D">
      <w:pPr>
        <w:spacing w:line="276" w:lineRule="auto"/>
        <w:rPr>
          <w:rFonts w:cs="Arial"/>
          <w:b/>
          <w:color w:val="44546A" w:themeColor="text2"/>
          <w:sz w:val="24"/>
          <w:szCs w:val="24"/>
          <w:u w:val="single"/>
        </w:rPr>
      </w:pPr>
      <w:r w:rsidRPr="00A0016D">
        <w:rPr>
          <w:rFonts w:cs="Arial"/>
          <w:b/>
          <w:color w:val="44546A" w:themeColor="text2"/>
          <w:sz w:val="24"/>
          <w:szCs w:val="24"/>
          <w:u w:val="single"/>
        </w:rPr>
        <w:t>Response</w:t>
      </w:r>
    </w:p>
    <w:p w14:paraId="646B1DD1" w14:textId="5E74C176" w:rsidR="00A0016D" w:rsidRPr="002256BD" w:rsidRDefault="002256BD" w:rsidP="00A0016D">
      <w:pPr>
        <w:spacing w:line="276" w:lineRule="auto"/>
        <w:rPr>
          <w:rFonts w:cs="Arial"/>
          <w:b/>
          <w:color w:val="44546A" w:themeColor="text2"/>
          <w:sz w:val="24"/>
          <w:szCs w:val="24"/>
        </w:rPr>
      </w:pPr>
      <w:r w:rsidRPr="002256BD">
        <w:rPr>
          <w:rFonts w:cs="Arial"/>
          <w:b/>
          <w:color w:val="44546A" w:themeColor="text2"/>
          <w:sz w:val="24"/>
          <w:szCs w:val="24"/>
        </w:rPr>
        <w:t>No, Tillsonburg Hydro does not have any reason to believe the balances in accounts 1551, 1580</w:t>
      </w:r>
      <w:r>
        <w:rPr>
          <w:rFonts w:cs="Arial"/>
          <w:b/>
          <w:color w:val="44546A" w:themeColor="text2"/>
          <w:sz w:val="24"/>
          <w:szCs w:val="24"/>
        </w:rPr>
        <w:t>, 1584 or 1586 are erroneous or would be impacted by the referenced 1588, 1589 or 1595 audit.</w:t>
      </w:r>
      <w:r w:rsidRPr="002256BD">
        <w:rPr>
          <w:rFonts w:cs="Arial"/>
          <w:b/>
          <w:color w:val="44546A" w:themeColor="text2"/>
          <w:sz w:val="24"/>
          <w:szCs w:val="24"/>
        </w:rPr>
        <w:t xml:space="preserve"> </w:t>
      </w:r>
    </w:p>
    <w:p w14:paraId="38D428E2" w14:textId="77777777" w:rsidR="00181DEE" w:rsidRDefault="00181DEE" w:rsidP="00181DEE">
      <w:pPr>
        <w:pStyle w:val="ListParagraph"/>
        <w:numPr>
          <w:ilvl w:val="0"/>
          <w:numId w:val="34"/>
        </w:numPr>
        <w:spacing w:line="276" w:lineRule="auto"/>
        <w:rPr>
          <w:rFonts w:cs="Arial"/>
          <w:sz w:val="24"/>
          <w:szCs w:val="24"/>
        </w:rPr>
      </w:pPr>
      <w:r w:rsidRPr="00D66C58">
        <w:rPr>
          <w:rFonts w:cs="Arial"/>
          <w:sz w:val="24"/>
          <w:szCs w:val="24"/>
        </w:rPr>
        <w:t>Is Tillsonburg aware of any other reason not to dispose of these four accounts? If so, please explain.</w:t>
      </w:r>
    </w:p>
    <w:p w14:paraId="753B8FA9" w14:textId="09033EA8" w:rsidR="00D747D4" w:rsidRPr="00D747D4" w:rsidRDefault="00D747D4" w:rsidP="002256BD">
      <w:pPr>
        <w:spacing w:line="276" w:lineRule="auto"/>
        <w:rPr>
          <w:rFonts w:cs="Arial"/>
          <w:b/>
          <w:color w:val="44546A" w:themeColor="text2"/>
          <w:sz w:val="24"/>
          <w:szCs w:val="24"/>
          <w:u w:val="single"/>
        </w:rPr>
      </w:pPr>
      <w:r w:rsidRPr="00D747D4">
        <w:rPr>
          <w:rFonts w:cs="Arial"/>
          <w:b/>
          <w:color w:val="44546A" w:themeColor="text2"/>
          <w:sz w:val="24"/>
          <w:szCs w:val="24"/>
          <w:u w:val="single"/>
        </w:rPr>
        <w:t>Response</w:t>
      </w:r>
    </w:p>
    <w:p w14:paraId="402EC76D" w14:textId="139C7A2F" w:rsidR="002256BD" w:rsidRPr="002256BD" w:rsidRDefault="002256BD" w:rsidP="002256BD">
      <w:pPr>
        <w:spacing w:line="276" w:lineRule="auto"/>
        <w:rPr>
          <w:rFonts w:cs="Arial"/>
          <w:b/>
          <w:color w:val="44546A" w:themeColor="text2"/>
          <w:sz w:val="24"/>
          <w:szCs w:val="24"/>
        </w:rPr>
      </w:pPr>
      <w:r w:rsidRPr="002256BD">
        <w:rPr>
          <w:rFonts w:cs="Arial"/>
          <w:b/>
          <w:color w:val="44546A" w:themeColor="text2"/>
          <w:sz w:val="24"/>
          <w:szCs w:val="24"/>
        </w:rPr>
        <w:t>No. Tillsonburg Hydro is not aware of any other reason not to dispose of these accounts</w:t>
      </w:r>
      <w:r w:rsidR="009E5CB7">
        <w:rPr>
          <w:rFonts w:cs="Arial"/>
          <w:b/>
          <w:color w:val="44546A" w:themeColor="text2"/>
          <w:sz w:val="24"/>
          <w:szCs w:val="24"/>
        </w:rPr>
        <w:t xml:space="preserve">, other than keeping all variance accounts on an equal footing re: </w:t>
      </w:r>
      <w:proofErr w:type="spellStart"/>
      <w:r w:rsidR="009E5CB7">
        <w:rPr>
          <w:rFonts w:cs="Arial"/>
          <w:b/>
          <w:color w:val="44546A" w:themeColor="text2"/>
          <w:sz w:val="24"/>
          <w:szCs w:val="24"/>
        </w:rPr>
        <w:t>dispostion</w:t>
      </w:r>
      <w:proofErr w:type="spellEnd"/>
      <w:r w:rsidRPr="002256BD">
        <w:rPr>
          <w:rFonts w:cs="Arial"/>
          <w:b/>
          <w:color w:val="44546A" w:themeColor="text2"/>
          <w:sz w:val="24"/>
          <w:szCs w:val="24"/>
        </w:rPr>
        <w:t>.</w:t>
      </w:r>
      <w:r>
        <w:rPr>
          <w:rFonts w:cs="Arial"/>
          <w:b/>
          <w:color w:val="44546A" w:themeColor="text2"/>
          <w:sz w:val="24"/>
          <w:szCs w:val="24"/>
        </w:rPr>
        <w:t xml:space="preserve"> </w:t>
      </w:r>
    </w:p>
    <w:p w14:paraId="3E313048" w14:textId="77777777" w:rsidR="00181DEE" w:rsidRPr="00D66C58" w:rsidRDefault="00181DEE" w:rsidP="00181DEE">
      <w:pPr>
        <w:spacing w:line="276" w:lineRule="auto"/>
        <w:rPr>
          <w:rFonts w:cs="Arial"/>
          <w:sz w:val="24"/>
          <w:szCs w:val="24"/>
        </w:rPr>
      </w:pPr>
    </w:p>
    <w:p w14:paraId="429BFCBC" w14:textId="77777777" w:rsidR="00D747D4" w:rsidRDefault="00D747D4" w:rsidP="006823D7">
      <w:pPr>
        <w:spacing w:line="276" w:lineRule="auto"/>
        <w:rPr>
          <w:rFonts w:cs="Arial"/>
          <w:b/>
          <w:sz w:val="24"/>
          <w:szCs w:val="24"/>
        </w:rPr>
      </w:pPr>
    </w:p>
    <w:p w14:paraId="689A88F2" w14:textId="6D06817B" w:rsidR="00D30EF9" w:rsidRPr="00D66C58" w:rsidRDefault="00D30EF9" w:rsidP="006823D7">
      <w:pPr>
        <w:spacing w:line="276" w:lineRule="auto"/>
        <w:rPr>
          <w:rFonts w:cs="Arial"/>
          <w:b/>
          <w:sz w:val="24"/>
          <w:szCs w:val="24"/>
        </w:rPr>
      </w:pPr>
      <w:r w:rsidRPr="00D66C58">
        <w:rPr>
          <w:rFonts w:cs="Arial"/>
          <w:b/>
          <w:sz w:val="24"/>
          <w:szCs w:val="24"/>
        </w:rPr>
        <w:t xml:space="preserve">Staff Question </w:t>
      </w:r>
      <w:r w:rsidR="00181DEE" w:rsidRPr="00D66C58">
        <w:rPr>
          <w:rFonts w:cs="Arial"/>
          <w:b/>
          <w:sz w:val="24"/>
          <w:szCs w:val="24"/>
        </w:rPr>
        <w:t>#2</w:t>
      </w:r>
    </w:p>
    <w:p w14:paraId="0B8492CB" w14:textId="77777777" w:rsidR="00D30EF9" w:rsidRPr="00D66C58" w:rsidRDefault="00D30EF9" w:rsidP="006823D7">
      <w:pPr>
        <w:spacing w:line="276" w:lineRule="auto"/>
        <w:rPr>
          <w:rFonts w:cs="Arial"/>
          <w:b/>
          <w:sz w:val="24"/>
          <w:szCs w:val="24"/>
        </w:rPr>
      </w:pPr>
      <w:r w:rsidRPr="00D66C58">
        <w:rPr>
          <w:rFonts w:cs="Arial"/>
          <w:b/>
          <w:sz w:val="24"/>
          <w:szCs w:val="24"/>
        </w:rPr>
        <w:t>Ref:</w:t>
      </w:r>
      <w:r w:rsidRPr="00D66C58">
        <w:rPr>
          <w:rFonts w:cs="Arial"/>
          <w:b/>
          <w:sz w:val="24"/>
          <w:szCs w:val="24"/>
        </w:rPr>
        <w:tab/>
        <w:t>IRM Rate Generator, Tab 3. Continuity Schedule</w:t>
      </w:r>
    </w:p>
    <w:p w14:paraId="78003848" w14:textId="77777777" w:rsidR="00D30EF9" w:rsidRDefault="00D30EF9" w:rsidP="006823D7">
      <w:pPr>
        <w:spacing w:line="276" w:lineRule="auto"/>
        <w:rPr>
          <w:rFonts w:cs="Arial"/>
          <w:sz w:val="24"/>
          <w:szCs w:val="24"/>
        </w:rPr>
      </w:pPr>
      <w:r w:rsidRPr="00D66C58">
        <w:rPr>
          <w:rFonts w:cs="Arial"/>
          <w:sz w:val="24"/>
          <w:szCs w:val="24"/>
        </w:rPr>
        <w:t>In 2016, Account 1580, RSVA Wholesale Market Service Charge captured credit</w:t>
      </w:r>
      <w:r>
        <w:rPr>
          <w:rFonts w:cs="Arial"/>
          <w:sz w:val="24"/>
          <w:szCs w:val="24"/>
        </w:rPr>
        <w:t xml:space="preserve"> transactions of $</w:t>
      </w:r>
      <w:r w:rsidR="00A43242">
        <w:rPr>
          <w:rFonts w:cs="Arial"/>
          <w:sz w:val="24"/>
          <w:szCs w:val="24"/>
        </w:rPr>
        <w:t>190,628</w:t>
      </w:r>
      <w:r>
        <w:rPr>
          <w:rFonts w:cs="Arial"/>
          <w:sz w:val="24"/>
          <w:szCs w:val="24"/>
        </w:rPr>
        <w:t>. In 2017, further credit transactions amounted to $</w:t>
      </w:r>
      <w:r w:rsidR="00A43242">
        <w:rPr>
          <w:rFonts w:cs="Arial"/>
          <w:sz w:val="24"/>
          <w:szCs w:val="24"/>
        </w:rPr>
        <w:t>189,115</w:t>
      </w:r>
      <w:r>
        <w:rPr>
          <w:rFonts w:cs="Arial"/>
          <w:sz w:val="24"/>
          <w:szCs w:val="24"/>
        </w:rPr>
        <w:t>. In 2018, credit transactions were $</w:t>
      </w:r>
      <w:r w:rsidR="00A43242">
        <w:rPr>
          <w:rFonts w:cs="Arial"/>
          <w:sz w:val="24"/>
          <w:szCs w:val="24"/>
        </w:rPr>
        <w:t>21</w:t>
      </w:r>
      <w:r>
        <w:rPr>
          <w:rFonts w:cs="Arial"/>
          <w:sz w:val="24"/>
          <w:szCs w:val="24"/>
        </w:rPr>
        <w:t>,</w:t>
      </w:r>
      <w:r w:rsidR="00A43242">
        <w:rPr>
          <w:rFonts w:cs="Arial"/>
          <w:sz w:val="24"/>
          <w:szCs w:val="24"/>
        </w:rPr>
        <w:t>794</w:t>
      </w:r>
      <w:r>
        <w:rPr>
          <w:rFonts w:cs="Arial"/>
          <w:sz w:val="24"/>
          <w:szCs w:val="24"/>
        </w:rPr>
        <w:t>.</w:t>
      </w:r>
      <w:r w:rsidR="002C7D87">
        <w:rPr>
          <w:rFonts w:cs="Arial"/>
          <w:sz w:val="24"/>
          <w:szCs w:val="24"/>
        </w:rPr>
        <w:t xml:space="preserve"> This results in a total credit principal balance of $401,537</w:t>
      </w:r>
    </w:p>
    <w:p w14:paraId="3B7C0763" w14:textId="77777777" w:rsidR="00D30EF9" w:rsidRPr="00D30EF9" w:rsidRDefault="00D30EF9" w:rsidP="006823D7">
      <w:pPr>
        <w:pStyle w:val="ListParagraph"/>
        <w:numPr>
          <w:ilvl w:val="0"/>
          <w:numId w:val="28"/>
        </w:numPr>
        <w:spacing w:line="276" w:lineRule="auto"/>
        <w:rPr>
          <w:rFonts w:cs="Arial"/>
          <w:sz w:val="24"/>
          <w:szCs w:val="24"/>
        </w:rPr>
      </w:pPr>
      <w:r w:rsidRPr="00D30EF9">
        <w:rPr>
          <w:rFonts w:cs="Arial"/>
          <w:sz w:val="24"/>
          <w:szCs w:val="24"/>
        </w:rPr>
        <w:t xml:space="preserve">Please provide a table for the years 2016, 2017, and 2018 which outlines, </w:t>
      </w:r>
      <w:r w:rsidR="00D01B03">
        <w:rPr>
          <w:rFonts w:cs="Arial"/>
          <w:sz w:val="24"/>
          <w:szCs w:val="24"/>
        </w:rPr>
        <w:t xml:space="preserve">the retail volumes, rates and revenue </w:t>
      </w:r>
      <w:r w:rsidRPr="00D30EF9">
        <w:rPr>
          <w:rFonts w:cs="Arial"/>
          <w:sz w:val="24"/>
          <w:szCs w:val="24"/>
        </w:rPr>
        <w:t xml:space="preserve">by rate class, </w:t>
      </w:r>
      <w:r w:rsidR="00D01B03">
        <w:rPr>
          <w:rFonts w:cs="Arial"/>
          <w:sz w:val="24"/>
          <w:szCs w:val="24"/>
        </w:rPr>
        <w:t>and the wholesale volumes, rates and e</w:t>
      </w:r>
      <w:r w:rsidRPr="00D30EF9">
        <w:rPr>
          <w:rFonts w:cs="Arial"/>
          <w:sz w:val="24"/>
          <w:szCs w:val="24"/>
        </w:rPr>
        <w:t xml:space="preserve">xpenses related to </w:t>
      </w:r>
      <w:r w:rsidR="00FE4621">
        <w:rPr>
          <w:rFonts w:cs="Arial"/>
          <w:sz w:val="24"/>
          <w:szCs w:val="24"/>
        </w:rPr>
        <w:t>RSVA Wholesale Market Service Charge</w:t>
      </w:r>
      <w:r w:rsidRPr="00D30EF9">
        <w:rPr>
          <w:rFonts w:cs="Arial"/>
          <w:sz w:val="24"/>
          <w:szCs w:val="24"/>
        </w:rPr>
        <w:t>.</w:t>
      </w:r>
    </w:p>
    <w:p w14:paraId="1A0A2EE4" w14:textId="77777777" w:rsidR="00D747D4" w:rsidRPr="00D747D4" w:rsidRDefault="00D747D4" w:rsidP="00D747D4">
      <w:pPr>
        <w:spacing w:line="276" w:lineRule="auto"/>
        <w:rPr>
          <w:rFonts w:cs="Arial"/>
          <w:b/>
          <w:color w:val="44546A" w:themeColor="text2"/>
          <w:sz w:val="24"/>
          <w:szCs w:val="24"/>
          <w:u w:val="single"/>
        </w:rPr>
      </w:pPr>
      <w:r w:rsidRPr="00D747D4">
        <w:rPr>
          <w:rFonts w:cs="Arial"/>
          <w:b/>
          <w:color w:val="44546A" w:themeColor="text2"/>
          <w:sz w:val="24"/>
          <w:szCs w:val="24"/>
          <w:u w:val="single"/>
        </w:rPr>
        <w:t>Response</w:t>
      </w:r>
    </w:p>
    <w:p w14:paraId="30BED104" w14:textId="77777777" w:rsidR="008B45F4" w:rsidRDefault="008B45F4" w:rsidP="00D747D4">
      <w:pPr>
        <w:spacing w:line="276" w:lineRule="auto"/>
        <w:rPr>
          <w:rFonts w:cs="Arial"/>
          <w:b/>
          <w:color w:val="44546A" w:themeColor="text2"/>
          <w:sz w:val="24"/>
          <w:szCs w:val="24"/>
        </w:rPr>
      </w:pPr>
      <w:r>
        <w:rPr>
          <w:rFonts w:cs="Arial"/>
          <w:b/>
          <w:color w:val="44546A" w:themeColor="text2"/>
          <w:sz w:val="24"/>
          <w:szCs w:val="24"/>
        </w:rPr>
        <w:t>See table requested below.</w:t>
      </w:r>
    </w:p>
    <w:p w14:paraId="5C877B09" w14:textId="75082A66" w:rsidR="00D747D4" w:rsidRDefault="008B45F4" w:rsidP="00D747D4">
      <w:pPr>
        <w:spacing w:line="276" w:lineRule="auto"/>
        <w:rPr>
          <w:rFonts w:cs="Arial"/>
          <w:b/>
          <w:color w:val="44546A" w:themeColor="text2"/>
          <w:sz w:val="24"/>
          <w:szCs w:val="24"/>
        </w:rPr>
      </w:pPr>
      <w:r>
        <w:rPr>
          <w:rFonts w:cs="Arial"/>
          <w:b/>
          <w:color w:val="44546A" w:themeColor="text2"/>
          <w:sz w:val="24"/>
          <w:szCs w:val="24"/>
        </w:rPr>
        <w:t>Note, the data source used during individual years (2016 / 2017 / 2018) used monthly billed data with an annual unbilled adjustment being calculated in December of each year. As with all unbilled revenue calculations, this is an estimate. The data source utilized to provide the tables requested is a new data source utilizing consumption month data. As a result, the annual numbers will not align exactly and some variance balances, when compared from original source to the table below, will migrate over years. A cumulative total is provided to compare total 3-year differences.</w:t>
      </w:r>
    </w:p>
    <w:p w14:paraId="18335841" w14:textId="2A20AA6F" w:rsidR="008B45F4" w:rsidRPr="008B45F4" w:rsidRDefault="00477121" w:rsidP="00D747D4">
      <w:pPr>
        <w:spacing w:line="276" w:lineRule="auto"/>
        <w:rPr>
          <w:rFonts w:cs="Arial"/>
          <w:b/>
          <w:color w:val="44546A" w:themeColor="text2"/>
          <w:sz w:val="24"/>
          <w:szCs w:val="24"/>
        </w:rPr>
      </w:pPr>
      <w:r w:rsidRPr="00477121">
        <w:lastRenderedPageBreak/>
        <w:drawing>
          <wp:inline distT="0" distB="0" distL="0" distR="0" wp14:anchorId="2683EDF9" wp14:editId="74165291">
            <wp:extent cx="5943600" cy="404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41855"/>
                    </a:xfrm>
                    <a:prstGeom prst="rect">
                      <a:avLst/>
                    </a:prstGeom>
                    <a:noFill/>
                    <a:ln>
                      <a:noFill/>
                    </a:ln>
                  </pic:spPr>
                </pic:pic>
              </a:graphicData>
            </a:graphic>
          </wp:inline>
        </w:drawing>
      </w:r>
    </w:p>
    <w:p w14:paraId="5487F776" w14:textId="77777777" w:rsidR="00D747D4" w:rsidRDefault="00D747D4" w:rsidP="00D747D4">
      <w:pPr>
        <w:pStyle w:val="ListParagraph"/>
        <w:spacing w:line="276" w:lineRule="auto"/>
        <w:rPr>
          <w:rFonts w:cs="Arial"/>
          <w:sz w:val="24"/>
          <w:szCs w:val="24"/>
        </w:rPr>
      </w:pPr>
    </w:p>
    <w:p w14:paraId="203423BA" w14:textId="77777777" w:rsidR="00D30EF9" w:rsidRDefault="00D30EF9" w:rsidP="006823D7">
      <w:pPr>
        <w:pStyle w:val="ListParagraph"/>
        <w:numPr>
          <w:ilvl w:val="0"/>
          <w:numId w:val="28"/>
        </w:numPr>
        <w:spacing w:line="276" w:lineRule="auto"/>
        <w:rPr>
          <w:rFonts w:cs="Arial"/>
          <w:sz w:val="24"/>
          <w:szCs w:val="24"/>
        </w:rPr>
      </w:pPr>
      <w:r w:rsidRPr="00D30EF9">
        <w:rPr>
          <w:rFonts w:cs="Arial"/>
          <w:sz w:val="24"/>
          <w:szCs w:val="24"/>
        </w:rPr>
        <w:t>Please provide an explanation for material differences between revenues and expenses</w:t>
      </w:r>
    </w:p>
    <w:p w14:paraId="1BEED7B2" w14:textId="77777777" w:rsidR="00BB39E7" w:rsidRDefault="00BB39E7" w:rsidP="00BB39E7">
      <w:pPr>
        <w:spacing w:line="276" w:lineRule="auto"/>
        <w:rPr>
          <w:rFonts w:cs="Arial"/>
          <w:b/>
          <w:color w:val="44546A" w:themeColor="text2"/>
          <w:sz w:val="24"/>
          <w:szCs w:val="24"/>
          <w:u w:val="single"/>
        </w:rPr>
      </w:pPr>
      <w:r w:rsidRPr="00BB39E7">
        <w:rPr>
          <w:rFonts w:cs="Arial"/>
          <w:b/>
          <w:color w:val="44546A" w:themeColor="text2"/>
          <w:sz w:val="24"/>
          <w:szCs w:val="24"/>
          <w:u w:val="single"/>
        </w:rPr>
        <w:t>Response</w:t>
      </w:r>
    </w:p>
    <w:p w14:paraId="233459D3" w14:textId="77777777" w:rsidR="00BB39E7" w:rsidRPr="00BB39E7" w:rsidRDefault="00BB39E7" w:rsidP="00BB39E7">
      <w:pPr>
        <w:spacing w:line="276" w:lineRule="auto"/>
        <w:rPr>
          <w:rFonts w:cs="Arial"/>
          <w:b/>
          <w:color w:val="44546A" w:themeColor="text2"/>
          <w:sz w:val="24"/>
          <w:szCs w:val="24"/>
        </w:rPr>
      </w:pPr>
      <w:r w:rsidRPr="00BB39E7">
        <w:rPr>
          <w:rFonts w:cs="Arial"/>
          <w:b/>
          <w:color w:val="44546A" w:themeColor="text2"/>
          <w:sz w:val="24"/>
          <w:szCs w:val="24"/>
        </w:rPr>
        <w:t>Expenses are calculated and provided by the IESO directly through monthly IESO invoices. Revenue utilize metered billing quantities applied to approved rates (in various rate orders). As both the retail and wholesale rates are province wide based, the only comment Tillsonburg Hydro can discuss are related to the billing quantities, which we don’t have any concern relate to accuracy.</w:t>
      </w:r>
    </w:p>
    <w:p w14:paraId="3615DC89" w14:textId="2A66C0E8" w:rsidR="00BB39E7" w:rsidRPr="00BB39E7" w:rsidRDefault="00BB39E7" w:rsidP="00BB39E7">
      <w:pPr>
        <w:spacing w:line="276" w:lineRule="auto"/>
        <w:rPr>
          <w:rFonts w:cs="Arial"/>
          <w:b/>
          <w:color w:val="44546A" w:themeColor="text2"/>
          <w:sz w:val="24"/>
          <w:szCs w:val="24"/>
          <w:u w:val="single"/>
        </w:rPr>
      </w:pPr>
      <w:r>
        <w:rPr>
          <w:rFonts w:cs="Arial"/>
          <w:b/>
          <w:color w:val="44546A" w:themeColor="text2"/>
          <w:sz w:val="24"/>
          <w:szCs w:val="24"/>
          <w:u w:val="single"/>
        </w:rPr>
        <w:t xml:space="preserve"> </w:t>
      </w:r>
    </w:p>
    <w:p w14:paraId="0B4B6A58" w14:textId="77777777" w:rsidR="00F01F29" w:rsidRDefault="00F01F29" w:rsidP="006823D7">
      <w:pPr>
        <w:pStyle w:val="ListParagraph"/>
        <w:numPr>
          <w:ilvl w:val="0"/>
          <w:numId w:val="28"/>
        </w:numPr>
        <w:spacing w:line="276" w:lineRule="auto"/>
        <w:rPr>
          <w:rFonts w:cs="Arial"/>
          <w:sz w:val="24"/>
          <w:szCs w:val="24"/>
        </w:rPr>
      </w:pPr>
      <w:r>
        <w:rPr>
          <w:rFonts w:cs="Arial"/>
          <w:sz w:val="24"/>
          <w:szCs w:val="24"/>
        </w:rPr>
        <w:t>Can Tillsonburg confirm that none of the balance in Account 1580 relates to the sub-account CBR Class B?</w:t>
      </w:r>
    </w:p>
    <w:p w14:paraId="0E1369CE" w14:textId="77777777" w:rsidR="00BB39E7" w:rsidRDefault="00BB39E7" w:rsidP="00BB39E7">
      <w:pPr>
        <w:spacing w:line="276" w:lineRule="auto"/>
        <w:rPr>
          <w:rFonts w:cs="Arial"/>
          <w:b/>
          <w:color w:val="44546A" w:themeColor="text2"/>
          <w:sz w:val="24"/>
          <w:szCs w:val="24"/>
          <w:u w:val="single"/>
        </w:rPr>
      </w:pPr>
      <w:r w:rsidRPr="00BB39E7">
        <w:rPr>
          <w:rFonts w:cs="Arial"/>
          <w:b/>
          <w:color w:val="44546A" w:themeColor="text2"/>
          <w:sz w:val="24"/>
          <w:szCs w:val="24"/>
          <w:u w:val="single"/>
        </w:rPr>
        <w:t>Response</w:t>
      </w:r>
    </w:p>
    <w:p w14:paraId="224EABC0" w14:textId="4A348336" w:rsidR="00BB39E7" w:rsidRPr="00BB39E7" w:rsidRDefault="00BB39E7" w:rsidP="00BB39E7">
      <w:pPr>
        <w:spacing w:line="276" w:lineRule="auto"/>
        <w:rPr>
          <w:rFonts w:cs="Arial"/>
          <w:b/>
          <w:color w:val="44546A" w:themeColor="text2"/>
          <w:sz w:val="24"/>
          <w:szCs w:val="24"/>
        </w:rPr>
      </w:pPr>
      <w:r w:rsidRPr="00BB39E7">
        <w:rPr>
          <w:rFonts w:cs="Arial"/>
          <w:b/>
          <w:color w:val="44546A" w:themeColor="text2"/>
          <w:sz w:val="24"/>
          <w:szCs w:val="24"/>
        </w:rPr>
        <w:t>Tillsonburg Hydro does include Class B CBDR within the WMS variance accounts. Did the Board Staff mean to reference Class A CBDR? If so, Tillsonburg Hydro does confirm that no Class A CBDR variance is included in these values.</w:t>
      </w:r>
    </w:p>
    <w:p w14:paraId="4303422C" w14:textId="77777777" w:rsidR="00BB39E7" w:rsidRPr="00BB39E7" w:rsidRDefault="00BB39E7" w:rsidP="00BB39E7">
      <w:pPr>
        <w:spacing w:line="276" w:lineRule="auto"/>
        <w:rPr>
          <w:rFonts w:cs="Arial"/>
          <w:sz w:val="24"/>
          <w:szCs w:val="24"/>
        </w:rPr>
      </w:pPr>
    </w:p>
    <w:p w14:paraId="673B684A" w14:textId="77777777" w:rsidR="00F01F29" w:rsidRDefault="00F01F29" w:rsidP="006823D7">
      <w:pPr>
        <w:pStyle w:val="ListParagraph"/>
        <w:numPr>
          <w:ilvl w:val="0"/>
          <w:numId w:val="28"/>
        </w:numPr>
        <w:spacing w:line="276" w:lineRule="auto"/>
        <w:rPr>
          <w:rFonts w:cs="Arial"/>
          <w:sz w:val="24"/>
          <w:szCs w:val="24"/>
        </w:rPr>
      </w:pPr>
      <w:r>
        <w:rPr>
          <w:rFonts w:cs="Arial"/>
          <w:sz w:val="24"/>
          <w:szCs w:val="24"/>
        </w:rPr>
        <w:t xml:space="preserve">If point c) cannot be confirmed, please </w:t>
      </w:r>
    </w:p>
    <w:p w14:paraId="6D1CD32B" w14:textId="1160B812" w:rsidR="00F01F29" w:rsidRDefault="00F01F29" w:rsidP="00F01F29">
      <w:pPr>
        <w:pStyle w:val="ListParagraph"/>
        <w:numPr>
          <w:ilvl w:val="1"/>
          <w:numId w:val="28"/>
        </w:numPr>
        <w:spacing w:line="276" w:lineRule="auto"/>
        <w:rPr>
          <w:rFonts w:cs="Arial"/>
          <w:sz w:val="24"/>
          <w:szCs w:val="24"/>
        </w:rPr>
      </w:pPr>
      <w:r>
        <w:rPr>
          <w:rFonts w:cs="Arial"/>
          <w:sz w:val="24"/>
          <w:szCs w:val="24"/>
        </w:rPr>
        <w:t>Revise the continuity schedule to reflect the amounts that should be recorded in the Sub-account CBR Class B, or explain why this is not possible.</w:t>
      </w:r>
    </w:p>
    <w:p w14:paraId="46824342" w14:textId="227B10CC" w:rsidR="00CF75F8" w:rsidRDefault="00CF75F8" w:rsidP="00F01F29">
      <w:pPr>
        <w:pStyle w:val="ListParagraph"/>
        <w:numPr>
          <w:ilvl w:val="1"/>
          <w:numId w:val="28"/>
        </w:numPr>
        <w:spacing w:line="276" w:lineRule="auto"/>
        <w:rPr>
          <w:rFonts w:cs="Arial"/>
          <w:sz w:val="24"/>
          <w:szCs w:val="24"/>
        </w:rPr>
      </w:pPr>
      <w:r>
        <w:rPr>
          <w:rFonts w:cs="Arial"/>
          <w:sz w:val="24"/>
          <w:szCs w:val="24"/>
        </w:rPr>
        <w:t>On sheet 1. Information Sheet, row 43 (with macros enabled), select No, then Yes again.</w:t>
      </w:r>
    </w:p>
    <w:p w14:paraId="66403055" w14:textId="36F285FE" w:rsidR="00CF75F8" w:rsidRDefault="00CF75F8" w:rsidP="00F01F29">
      <w:pPr>
        <w:pStyle w:val="ListParagraph"/>
        <w:numPr>
          <w:ilvl w:val="1"/>
          <w:numId w:val="28"/>
        </w:numPr>
        <w:spacing w:line="276" w:lineRule="auto"/>
        <w:rPr>
          <w:rFonts w:cs="Arial"/>
          <w:sz w:val="24"/>
          <w:szCs w:val="24"/>
        </w:rPr>
      </w:pPr>
      <w:r>
        <w:rPr>
          <w:rFonts w:cs="Arial"/>
          <w:sz w:val="24"/>
          <w:szCs w:val="24"/>
        </w:rPr>
        <w:t>Complete worksheets 6. Class A Consumption Data and 6.2 CBR B.</w:t>
      </w:r>
    </w:p>
    <w:p w14:paraId="110B3BA4" w14:textId="5F787072" w:rsidR="00CF75F8" w:rsidRDefault="00CF75F8" w:rsidP="00F01F29">
      <w:pPr>
        <w:pStyle w:val="ListParagraph"/>
        <w:numPr>
          <w:ilvl w:val="1"/>
          <w:numId w:val="28"/>
        </w:numPr>
        <w:spacing w:line="276" w:lineRule="auto"/>
        <w:rPr>
          <w:rFonts w:cs="Arial"/>
          <w:sz w:val="24"/>
          <w:szCs w:val="24"/>
        </w:rPr>
      </w:pPr>
      <w:r>
        <w:rPr>
          <w:rFonts w:cs="Arial"/>
          <w:sz w:val="24"/>
          <w:szCs w:val="24"/>
        </w:rPr>
        <w:t>If the above cannot be completed, please explain why.</w:t>
      </w:r>
    </w:p>
    <w:p w14:paraId="1EAAEE1C" w14:textId="0B52DD67" w:rsidR="00477068" w:rsidRDefault="00477068" w:rsidP="00477068">
      <w:pPr>
        <w:spacing w:line="276" w:lineRule="auto"/>
        <w:rPr>
          <w:rFonts w:cs="Arial"/>
          <w:b/>
          <w:color w:val="44546A" w:themeColor="text2"/>
          <w:sz w:val="24"/>
          <w:szCs w:val="24"/>
          <w:u w:val="single"/>
        </w:rPr>
      </w:pPr>
      <w:r w:rsidRPr="00477068">
        <w:rPr>
          <w:rFonts w:cs="Arial"/>
          <w:b/>
          <w:color w:val="44546A" w:themeColor="text2"/>
          <w:sz w:val="24"/>
          <w:szCs w:val="24"/>
          <w:u w:val="single"/>
        </w:rPr>
        <w:t>Response</w:t>
      </w:r>
    </w:p>
    <w:p w14:paraId="7607DBC1" w14:textId="0DAEE159" w:rsidR="00477068" w:rsidRPr="00477068" w:rsidRDefault="00477068" w:rsidP="00477068">
      <w:pPr>
        <w:spacing w:line="276" w:lineRule="auto"/>
        <w:rPr>
          <w:rFonts w:cs="Arial"/>
          <w:b/>
          <w:color w:val="44546A" w:themeColor="text2"/>
          <w:sz w:val="24"/>
          <w:szCs w:val="24"/>
        </w:rPr>
      </w:pPr>
      <w:r w:rsidRPr="00477068">
        <w:rPr>
          <w:rFonts w:cs="Arial"/>
          <w:b/>
          <w:color w:val="44546A" w:themeColor="text2"/>
          <w:sz w:val="24"/>
          <w:szCs w:val="24"/>
        </w:rPr>
        <w:t xml:space="preserve">Tillsonburg Hydro is not providing a response to this question, as we believe a reference to Class B should be reference Class A and response to IR 2c) previous provided answers this question. </w:t>
      </w:r>
    </w:p>
    <w:p w14:paraId="0907DAD1" w14:textId="0D97E936" w:rsidR="00477068" w:rsidRPr="00477068" w:rsidRDefault="00477068" w:rsidP="00477068">
      <w:pPr>
        <w:spacing w:line="276" w:lineRule="auto"/>
        <w:rPr>
          <w:rFonts w:cs="Arial"/>
          <w:b/>
          <w:color w:val="44546A" w:themeColor="text2"/>
          <w:sz w:val="24"/>
          <w:szCs w:val="24"/>
        </w:rPr>
      </w:pPr>
      <w:r w:rsidRPr="00477068">
        <w:rPr>
          <w:rFonts w:cs="Arial"/>
          <w:b/>
          <w:color w:val="44546A" w:themeColor="text2"/>
          <w:sz w:val="24"/>
          <w:szCs w:val="24"/>
        </w:rPr>
        <w:t>If Tillsonburg Hydro has misunderstood the question, please let us know and we can discuss further.</w:t>
      </w:r>
    </w:p>
    <w:p w14:paraId="05DE153B" w14:textId="77777777" w:rsidR="00D30EF9" w:rsidRDefault="00D30EF9" w:rsidP="006823D7">
      <w:pPr>
        <w:spacing w:line="276" w:lineRule="auto"/>
        <w:rPr>
          <w:rFonts w:cs="Arial"/>
          <w:sz w:val="24"/>
          <w:szCs w:val="24"/>
        </w:rPr>
      </w:pPr>
    </w:p>
    <w:p w14:paraId="17DA7BC9" w14:textId="77777777" w:rsidR="00477068" w:rsidRDefault="00477068" w:rsidP="006823D7">
      <w:pPr>
        <w:spacing w:line="276" w:lineRule="auto"/>
        <w:rPr>
          <w:rFonts w:cs="Arial"/>
          <w:sz w:val="24"/>
          <w:szCs w:val="24"/>
        </w:rPr>
      </w:pPr>
    </w:p>
    <w:p w14:paraId="33CB8638" w14:textId="77777777" w:rsidR="00477068" w:rsidRDefault="00477068" w:rsidP="006823D7">
      <w:pPr>
        <w:spacing w:line="276" w:lineRule="auto"/>
        <w:rPr>
          <w:rFonts w:cs="Arial"/>
          <w:sz w:val="24"/>
          <w:szCs w:val="24"/>
        </w:rPr>
      </w:pPr>
    </w:p>
    <w:p w14:paraId="21E8CEAA" w14:textId="77777777" w:rsidR="00477068" w:rsidRDefault="00477068" w:rsidP="006823D7">
      <w:pPr>
        <w:spacing w:line="276" w:lineRule="auto"/>
        <w:rPr>
          <w:rFonts w:cs="Arial"/>
          <w:sz w:val="24"/>
          <w:szCs w:val="24"/>
        </w:rPr>
      </w:pPr>
    </w:p>
    <w:p w14:paraId="7B4D0BB2" w14:textId="77777777" w:rsidR="00477068" w:rsidRDefault="00477068" w:rsidP="006823D7">
      <w:pPr>
        <w:spacing w:line="276" w:lineRule="auto"/>
        <w:rPr>
          <w:rFonts w:cs="Arial"/>
          <w:sz w:val="24"/>
          <w:szCs w:val="24"/>
        </w:rPr>
      </w:pPr>
    </w:p>
    <w:p w14:paraId="55C6B7DB" w14:textId="77777777" w:rsidR="00477068" w:rsidRDefault="00477068" w:rsidP="006823D7">
      <w:pPr>
        <w:spacing w:line="276" w:lineRule="auto"/>
        <w:rPr>
          <w:rFonts w:cs="Arial"/>
          <w:sz w:val="24"/>
          <w:szCs w:val="24"/>
        </w:rPr>
      </w:pPr>
    </w:p>
    <w:p w14:paraId="438820B4" w14:textId="77777777" w:rsidR="00477068" w:rsidRDefault="00477068" w:rsidP="006823D7">
      <w:pPr>
        <w:spacing w:line="276" w:lineRule="auto"/>
        <w:rPr>
          <w:rFonts w:cs="Arial"/>
          <w:sz w:val="24"/>
          <w:szCs w:val="24"/>
        </w:rPr>
      </w:pPr>
    </w:p>
    <w:p w14:paraId="585B728E" w14:textId="77777777" w:rsidR="00477068" w:rsidRDefault="00477068" w:rsidP="006823D7">
      <w:pPr>
        <w:spacing w:line="276" w:lineRule="auto"/>
        <w:rPr>
          <w:rFonts w:cs="Arial"/>
          <w:sz w:val="24"/>
          <w:szCs w:val="24"/>
        </w:rPr>
      </w:pPr>
    </w:p>
    <w:p w14:paraId="47469145" w14:textId="77777777" w:rsidR="00477068" w:rsidRDefault="00477068" w:rsidP="006823D7">
      <w:pPr>
        <w:spacing w:line="276" w:lineRule="auto"/>
        <w:rPr>
          <w:rFonts w:cs="Arial"/>
          <w:sz w:val="24"/>
          <w:szCs w:val="24"/>
        </w:rPr>
      </w:pPr>
    </w:p>
    <w:p w14:paraId="793FDC2E" w14:textId="77777777" w:rsidR="00477068" w:rsidRDefault="00477068" w:rsidP="006823D7">
      <w:pPr>
        <w:spacing w:line="276" w:lineRule="auto"/>
        <w:rPr>
          <w:rFonts w:cs="Arial"/>
          <w:sz w:val="24"/>
          <w:szCs w:val="24"/>
        </w:rPr>
      </w:pPr>
    </w:p>
    <w:p w14:paraId="21EEC1EE" w14:textId="77777777" w:rsidR="00477068" w:rsidRDefault="00477068" w:rsidP="006823D7">
      <w:pPr>
        <w:spacing w:line="276" w:lineRule="auto"/>
        <w:rPr>
          <w:rFonts w:cs="Arial"/>
          <w:sz w:val="24"/>
          <w:szCs w:val="24"/>
        </w:rPr>
      </w:pPr>
    </w:p>
    <w:p w14:paraId="5F928C9E" w14:textId="77777777" w:rsidR="00477068" w:rsidRDefault="00477068" w:rsidP="006823D7">
      <w:pPr>
        <w:spacing w:line="276" w:lineRule="auto"/>
        <w:rPr>
          <w:rFonts w:cs="Arial"/>
          <w:sz w:val="24"/>
          <w:szCs w:val="24"/>
        </w:rPr>
      </w:pPr>
    </w:p>
    <w:p w14:paraId="14297C57" w14:textId="77777777" w:rsidR="00477068" w:rsidRPr="00D30EF9" w:rsidRDefault="00477068" w:rsidP="006823D7">
      <w:pPr>
        <w:spacing w:line="276" w:lineRule="auto"/>
        <w:rPr>
          <w:rFonts w:cs="Arial"/>
          <w:sz w:val="24"/>
          <w:szCs w:val="24"/>
        </w:rPr>
      </w:pPr>
    </w:p>
    <w:p w14:paraId="33E12E9C" w14:textId="07D51BE5" w:rsidR="00D30EF9" w:rsidRPr="00B13A6D" w:rsidRDefault="00D30EF9" w:rsidP="006823D7">
      <w:pPr>
        <w:keepNext/>
        <w:keepLines/>
        <w:spacing w:line="276" w:lineRule="auto"/>
        <w:rPr>
          <w:rFonts w:cs="Arial"/>
          <w:b/>
          <w:sz w:val="24"/>
          <w:szCs w:val="24"/>
        </w:rPr>
      </w:pPr>
      <w:r w:rsidRPr="00B13A6D">
        <w:rPr>
          <w:rFonts w:cs="Arial"/>
          <w:b/>
          <w:sz w:val="24"/>
          <w:szCs w:val="24"/>
        </w:rPr>
        <w:lastRenderedPageBreak/>
        <w:t xml:space="preserve">Staff Question </w:t>
      </w:r>
      <w:r w:rsidR="00181DEE">
        <w:rPr>
          <w:rFonts w:cs="Arial"/>
          <w:b/>
          <w:sz w:val="24"/>
          <w:szCs w:val="24"/>
        </w:rPr>
        <w:t>#3</w:t>
      </w:r>
    </w:p>
    <w:p w14:paraId="60C5D6A9" w14:textId="77777777" w:rsidR="00D30EF9" w:rsidRDefault="00D30EF9" w:rsidP="006823D7">
      <w:pPr>
        <w:keepNext/>
        <w:keepLines/>
        <w:spacing w:after="0" w:line="276" w:lineRule="auto"/>
        <w:rPr>
          <w:rFonts w:cs="Arial"/>
          <w:b/>
          <w:sz w:val="24"/>
          <w:szCs w:val="24"/>
        </w:rPr>
      </w:pPr>
      <w:r>
        <w:rPr>
          <w:rFonts w:cs="Arial"/>
          <w:b/>
          <w:sz w:val="24"/>
          <w:szCs w:val="24"/>
        </w:rPr>
        <w:t>Ref:</w:t>
      </w:r>
      <w:r>
        <w:rPr>
          <w:rFonts w:cs="Arial"/>
          <w:b/>
          <w:sz w:val="24"/>
          <w:szCs w:val="24"/>
        </w:rPr>
        <w:tab/>
        <w:t>IRM Rate Generator, Tab 3. Continuity Schedule</w:t>
      </w:r>
    </w:p>
    <w:p w14:paraId="20C8EFE2" w14:textId="77777777" w:rsidR="000C63FD" w:rsidRDefault="000C63FD" w:rsidP="006823D7">
      <w:pPr>
        <w:keepNext/>
        <w:keepLines/>
        <w:spacing w:line="276" w:lineRule="auto"/>
        <w:ind w:firstLine="720"/>
        <w:rPr>
          <w:rFonts w:cs="Arial"/>
          <w:b/>
          <w:sz w:val="24"/>
          <w:szCs w:val="24"/>
        </w:rPr>
      </w:pPr>
      <w:r>
        <w:rPr>
          <w:rFonts w:cs="Arial"/>
          <w:b/>
          <w:sz w:val="24"/>
          <w:szCs w:val="24"/>
        </w:rPr>
        <w:t>IRM Rate Generator, Tab 12. Historic Wholesale</w:t>
      </w:r>
    </w:p>
    <w:p w14:paraId="57A76673" w14:textId="77777777" w:rsidR="00D30EF9" w:rsidRDefault="00D30EF9" w:rsidP="006823D7">
      <w:pPr>
        <w:spacing w:line="276" w:lineRule="auto"/>
        <w:rPr>
          <w:rFonts w:cs="Arial"/>
          <w:sz w:val="24"/>
          <w:szCs w:val="24"/>
        </w:rPr>
      </w:pPr>
      <w:r>
        <w:rPr>
          <w:rFonts w:cs="Arial"/>
          <w:sz w:val="24"/>
          <w:szCs w:val="24"/>
        </w:rPr>
        <w:t xml:space="preserve">In 2016, Account 1584, RSVA </w:t>
      </w:r>
      <w:r w:rsidR="00FE4621">
        <w:rPr>
          <w:rFonts w:cs="Arial"/>
          <w:sz w:val="24"/>
          <w:szCs w:val="24"/>
        </w:rPr>
        <w:t>Retail Transmission Network Charge</w:t>
      </w:r>
      <w:r>
        <w:rPr>
          <w:rFonts w:cs="Arial"/>
          <w:sz w:val="24"/>
          <w:szCs w:val="24"/>
        </w:rPr>
        <w:t xml:space="preserve"> captured </w:t>
      </w:r>
      <w:r w:rsidR="002C7D87">
        <w:rPr>
          <w:rFonts w:cs="Arial"/>
          <w:sz w:val="24"/>
          <w:szCs w:val="24"/>
        </w:rPr>
        <w:t>credit</w:t>
      </w:r>
      <w:r w:rsidR="00FE4621">
        <w:rPr>
          <w:rFonts w:cs="Arial"/>
          <w:sz w:val="24"/>
          <w:szCs w:val="24"/>
        </w:rPr>
        <w:t xml:space="preserve"> </w:t>
      </w:r>
      <w:r>
        <w:rPr>
          <w:rFonts w:cs="Arial"/>
          <w:sz w:val="24"/>
          <w:szCs w:val="24"/>
        </w:rPr>
        <w:t>transactions of $</w:t>
      </w:r>
      <w:r w:rsidR="002C7D87">
        <w:rPr>
          <w:rFonts w:cs="Arial"/>
          <w:sz w:val="24"/>
          <w:szCs w:val="24"/>
        </w:rPr>
        <w:t>17,580</w:t>
      </w:r>
      <w:r>
        <w:rPr>
          <w:rFonts w:cs="Arial"/>
          <w:sz w:val="24"/>
          <w:szCs w:val="24"/>
        </w:rPr>
        <w:t xml:space="preserve">. In 2017, further </w:t>
      </w:r>
      <w:r w:rsidR="002C7D87">
        <w:rPr>
          <w:rFonts w:cs="Arial"/>
          <w:sz w:val="24"/>
          <w:szCs w:val="24"/>
        </w:rPr>
        <w:t>credit</w:t>
      </w:r>
      <w:r w:rsidR="00FE4621">
        <w:rPr>
          <w:rFonts w:cs="Arial"/>
          <w:sz w:val="24"/>
          <w:szCs w:val="24"/>
        </w:rPr>
        <w:t xml:space="preserve"> </w:t>
      </w:r>
      <w:r>
        <w:rPr>
          <w:rFonts w:cs="Arial"/>
          <w:sz w:val="24"/>
          <w:szCs w:val="24"/>
        </w:rPr>
        <w:t>transactions amounted to $</w:t>
      </w:r>
      <w:r w:rsidR="002C7D87">
        <w:rPr>
          <w:rFonts w:cs="Arial"/>
          <w:sz w:val="24"/>
          <w:szCs w:val="24"/>
        </w:rPr>
        <w:t>101,115</w:t>
      </w:r>
      <w:r>
        <w:rPr>
          <w:rFonts w:cs="Arial"/>
          <w:sz w:val="24"/>
          <w:szCs w:val="24"/>
        </w:rPr>
        <w:t xml:space="preserve">. In 2018, </w:t>
      </w:r>
      <w:r w:rsidR="002C7D87">
        <w:rPr>
          <w:rFonts w:cs="Arial"/>
          <w:sz w:val="24"/>
          <w:szCs w:val="24"/>
        </w:rPr>
        <w:t>credit</w:t>
      </w:r>
      <w:r w:rsidR="00FE4621">
        <w:rPr>
          <w:rFonts w:cs="Arial"/>
          <w:sz w:val="24"/>
          <w:szCs w:val="24"/>
        </w:rPr>
        <w:t xml:space="preserve"> </w:t>
      </w:r>
      <w:r>
        <w:rPr>
          <w:rFonts w:cs="Arial"/>
          <w:sz w:val="24"/>
          <w:szCs w:val="24"/>
        </w:rPr>
        <w:t>transactions were $</w:t>
      </w:r>
      <w:r w:rsidR="002C7D87">
        <w:rPr>
          <w:rFonts w:cs="Arial"/>
          <w:sz w:val="24"/>
          <w:szCs w:val="24"/>
        </w:rPr>
        <w:t>68,599</w:t>
      </w:r>
      <w:r>
        <w:rPr>
          <w:rFonts w:cs="Arial"/>
          <w:sz w:val="24"/>
          <w:szCs w:val="24"/>
        </w:rPr>
        <w:t>.</w:t>
      </w:r>
      <w:r w:rsidR="002C7D87">
        <w:rPr>
          <w:rFonts w:cs="Arial"/>
          <w:sz w:val="24"/>
          <w:szCs w:val="24"/>
        </w:rPr>
        <w:t xml:space="preserve"> This results in a total credit principal balance of $187,857.</w:t>
      </w:r>
    </w:p>
    <w:p w14:paraId="4C123034" w14:textId="77777777" w:rsidR="00FE4621" w:rsidRDefault="00FE4621" w:rsidP="006823D7">
      <w:pPr>
        <w:spacing w:line="276" w:lineRule="auto"/>
        <w:rPr>
          <w:rFonts w:cs="Arial"/>
          <w:sz w:val="24"/>
          <w:szCs w:val="24"/>
        </w:rPr>
      </w:pPr>
      <w:r>
        <w:rPr>
          <w:rFonts w:cs="Arial"/>
          <w:sz w:val="24"/>
          <w:szCs w:val="24"/>
        </w:rPr>
        <w:t xml:space="preserve">In 2016, Account 1586, RSVA Retail Transmission Connection Charge captured </w:t>
      </w:r>
      <w:r w:rsidR="002C7D87">
        <w:rPr>
          <w:rFonts w:cs="Arial"/>
          <w:sz w:val="24"/>
          <w:szCs w:val="24"/>
        </w:rPr>
        <w:t>credit</w:t>
      </w:r>
      <w:r>
        <w:rPr>
          <w:rFonts w:cs="Arial"/>
          <w:sz w:val="24"/>
          <w:szCs w:val="24"/>
        </w:rPr>
        <w:t xml:space="preserve"> transactions of $</w:t>
      </w:r>
      <w:r w:rsidR="002C7D87">
        <w:rPr>
          <w:rFonts w:cs="Arial"/>
          <w:sz w:val="24"/>
          <w:szCs w:val="24"/>
        </w:rPr>
        <w:t>24,896</w:t>
      </w:r>
      <w:r>
        <w:rPr>
          <w:rFonts w:cs="Arial"/>
          <w:sz w:val="24"/>
          <w:szCs w:val="24"/>
        </w:rPr>
        <w:t xml:space="preserve">. In 2017, further </w:t>
      </w:r>
      <w:r w:rsidR="002C7D87">
        <w:rPr>
          <w:rFonts w:cs="Arial"/>
          <w:sz w:val="24"/>
          <w:szCs w:val="24"/>
        </w:rPr>
        <w:t>credit</w:t>
      </w:r>
      <w:r>
        <w:rPr>
          <w:rFonts w:cs="Arial"/>
          <w:sz w:val="24"/>
          <w:szCs w:val="24"/>
        </w:rPr>
        <w:t xml:space="preserve"> transactions amounted to $</w:t>
      </w:r>
      <w:r w:rsidR="002C7D87">
        <w:rPr>
          <w:rFonts w:cs="Arial"/>
          <w:sz w:val="24"/>
          <w:szCs w:val="24"/>
        </w:rPr>
        <w:t>24,175</w:t>
      </w:r>
      <w:r>
        <w:rPr>
          <w:rFonts w:cs="Arial"/>
          <w:sz w:val="24"/>
          <w:szCs w:val="24"/>
        </w:rPr>
        <w:t>. In 2018, debit transactions were $</w:t>
      </w:r>
      <w:r w:rsidR="002C7D87">
        <w:rPr>
          <w:rFonts w:cs="Arial"/>
          <w:sz w:val="24"/>
          <w:szCs w:val="24"/>
        </w:rPr>
        <w:t>82,337</w:t>
      </w:r>
      <w:r>
        <w:rPr>
          <w:rFonts w:cs="Arial"/>
          <w:sz w:val="24"/>
          <w:szCs w:val="24"/>
        </w:rPr>
        <w:t>.</w:t>
      </w:r>
      <w:r w:rsidR="002C7D87">
        <w:rPr>
          <w:rFonts w:cs="Arial"/>
          <w:sz w:val="24"/>
          <w:szCs w:val="24"/>
        </w:rPr>
        <w:t xml:space="preserve"> This results in a net debit principal balance of $33,266.</w:t>
      </w:r>
    </w:p>
    <w:p w14:paraId="70D02057" w14:textId="0E6ADA22" w:rsidR="00A846A2" w:rsidRDefault="00D30EF9" w:rsidP="006823D7">
      <w:pPr>
        <w:pStyle w:val="ListParagraph"/>
        <w:numPr>
          <w:ilvl w:val="0"/>
          <w:numId w:val="29"/>
        </w:numPr>
        <w:spacing w:line="276" w:lineRule="auto"/>
        <w:rPr>
          <w:rFonts w:cs="Arial"/>
          <w:sz w:val="24"/>
          <w:szCs w:val="24"/>
        </w:rPr>
      </w:pPr>
      <w:r w:rsidRPr="005F47F1">
        <w:rPr>
          <w:rFonts w:cs="Arial"/>
          <w:sz w:val="24"/>
          <w:szCs w:val="24"/>
        </w:rPr>
        <w:t>Please provide table</w:t>
      </w:r>
      <w:r w:rsidR="005F47F1">
        <w:rPr>
          <w:rFonts w:cs="Arial"/>
          <w:sz w:val="24"/>
          <w:szCs w:val="24"/>
        </w:rPr>
        <w:t>s</w:t>
      </w:r>
      <w:r w:rsidRPr="005F47F1">
        <w:rPr>
          <w:rFonts w:cs="Arial"/>
          <w:sz w:val="24"/>
          <w:szCs w:val="24"/>
        </w:rPr>
        <w:t xml:space="preserve"> for the years 2016, 2017</w:t>
      </w:r>
      <w:r w:rsidR="008E3436" w:rsidRPr="005F47F1">
        <w:rPr>
          <w:rFonts w:cs="Arial"/>
          <w:sz w:val="24"/>
          <w:szCs w:val="24"/>
        </w:rPr>
        <w:t xml:space="preserve"> and</w:t>
      </w:r>
      <w:r w:rsidRPr="005F47F1">
        <w:rPr>
          <w:rFonts w:cs="Arial"/>
          <w:sz w:val="24"/>
          <w:szCs w:val="24"/>
        </w:rPr>
        <w:t xml:space="preserve"> 2018, by rate class,</w:t>
      </w:r>
      <w:r w:rsidR="00FC4470" w:rsidRPr="005F47F1">
        <w:rPr>
          <w:rFonts w:cs="Arial"/>
          <w:sz w:val="24"/>
          <w:szCs w:val="24"/>
        </w:rPr>
        <w:t xml:space="preserve"> </w:t>
      </w:r>
      <w:r w:rsidR="005F47F1" w:rsidRPr="005F47F1">
        <w:rPr>
          <w:rFonts w:cs="Arial"/>
          <w:sz w:val="24"/>
          <w:szCs w:val="24"/>
        </w:rPr>
        <w:t xml:space="preserve">including volumes and </w:t>
      </w:r>
      <w:r w:rsidR="00FC4470" w:rsidRPr="005F47F1">
        <w:rPr>
          <w:rFonts w:cs="Arial"/>
          <w:sz w:val="24"/>
          <w:szCs w:val="24"/>
        </w:rPr>
        <w:t>RTSR charge</w:t>
      </w:r>
      <w:r w:rsidR="005F47F1" w:rsidRPr="005F47F1">
        <w:rPr>
          <w:rFonts w:cs="Arial"/>
          <w:sz w:val="24"/>
          <w:szCs w:val="24"/>
        </w:rPr>
        <w:t>s</w:t>
      </w:r>
      <w:r w:rsidR="00FC4470" w:rsidRPr="005F47F1">
        <w:rPr>
          <w:rFonts w:cs="Arial"/>
          <w:sz w:val="24"/>
          <w:szCs w:val="24"/>
        </w:rPr>
        <w:t>,</w:t>
      </w:r>
      <w:r w:rsidRPr="005F47F1">
        <w:rPr>
          <w:rFonts w:cs="Arial"/>
          <w:sz w:val="24"/>
          <w:szCs w:val="24"/>
        </w:rPr>
        <w:t xml:space="preserve"> </w:t>
      </w:r>
      <w:r w:rsidR="005F47F1" w:rsidRPr="005F47F1">
        <w:rPr>
          <w:rFonts w:cs="Arial"/>
          <w:sz w:val="24"/>
          <w:szCs w:val="24"/>
        </w:rPr>
        <w:t xml:space="preserve">for </w:t>
      </w:r>
      <w:r w:rsidRPr="005F47F1">
        <w:rPr>
          <w:rFonts w:cs="Arial"/>
          <w:sz w:val="24"/>
          <w:szCs w:val="24"/>
        </w:rPr>
        <w:t>all Revenues</w:t>
      </w:r>
      <w:r w:rsidR="005F47F1" w:rsidRPr="005F47F1">
        <w:rPr>
          <w:rFonts w:cs="Arial"/>
          <w:sz w:val="24"/>
          <w:szCs w:val="24"/>
        </w:rPr>
        <w:t>, as well as the wholesale transmission/host distributor transmission volumes and rates for all e</w:t>
      </w:r>
      <w:r w:rsidRPr="005F47F1">
        <w:rPr>
          <w:rFonts w:cs="Arial"/>
          <w:sz w:val="24"/>
          <w:szCs w:val="24"/>
        </w:rPr>
        <w:t>xpenses</w:t>
      </w:r>
      <w:r w:rsidR="005F47F1">
        <w:rPr>
          <w:rFonts w:cs="Arial"/>
          <w:sz w:val="24"/>
          <w:szCs w:val="24"/>
        </w:rPr>
        <w:t xml:space="preserve"> reconciling back to the annual RSVA </w:t>
      </w:r>
      <w:r w:rsidR="00D01B03">
        <w:rPr>
          <w:rFonts w:cs="Arial"/>
          <w:sz w:val="24"/>
          <w:szCs w:val="24"/>
        </w:rPr>
        <w:t>variances</w:t>
      </w:r>
      <w:r w:rsidR="005F47F1" w:rsidRPr="005F47F1">
        <w:rPr>
          <w:rFonts w:cs="Arial"/>
          <w:sz w:val="24"/>
          <w:szCs w:val="24"/>
        </w:rPr>
        <w:t>.</w:t>
      </w:r>
      <w:r w:rsidR="00D01B03">
        <w:rPr>
          <w:rFonts w:cs="Arial"/>
          <w:sz w:val="24"/>
          <w:szCs w:val="24"/>
        </w:rPr>
        <w:t xml:space="preserve"> </w:t>
      </w:r>
      <w:r w:rsidRPr="005F47F1">
        <w:rPr>
          <w:rFonts w:cs="Arial"/>
          <w:sz w:val="24"/>
          <w:szCs w:val="24"/>
        </w:rPr>
        <w:t>Please provide explanation</w:t>
      </w:r>
      <w:r w:rsidR="005F47F1">
        <w:rPr>
          <w:rFonts w:cs="Arial"/>
          <w:sz w:val="24"/>
          <w:szCs w:val="24"/>
        </w:rPr>
        <w:t>s</w:t>
      </w:r>
      <w:r w:rsidRPr="005F47F1">
        <w:rPr>
          <w:rFonts w:cs="Arial"/>
          <w:sz w:val="24"/>
          <w:szCs w:val="24"/>
        </w:rPr>
        <w:t xml:space="preserve"> for material differences between revenues and expenses</w:t>
      </w:r>
      <w:r w:rsidR="00927611" w:rsidRPr="005F47F1">
        <w:rPr>
          <w:rFonts w:cs="Arial"/>
          <w:sz w:val="24"/>
          <w:szCs w:val="24"/>
        </w:rPr>
        <w:t xml:space="preserve"> </w:t>
      </w:r>
      <w:r w:rsidR="005F47F1">
        <w:rPr>
          <w:rFonts w:cs="Arial"/>
          <w:sz w:val="24"/>
          <w:szCs w:val="24"/>
        </w:rPr>
        <w:t>by year, and between years.</w:t>
      </w:r>
    </w:p>
    <w:p w14:paraId="2515374E" w14:textId="77777777" w:rsidR="00477121" w:rsidRPr="00477121" w:rsidRDefault="00477121" w:rsidP="00477121">
      <w:pPr>
        <w:spacing w:line="276" w:lineRule="auto"/>
        <w:rPr>
          <w:rFonts w:cs="Arial"/>
          <w:b/>
          <w:color w:val="44546A" w:themeColor="text2"/>
          <w:sz w:val="24"/>
          <w:szCs w:val="24"/>
          <w:u w:val="single"/>
        </w:rPr>
      </w:pPr>
      <w:r w:rsidRPr="00477121">
        <w:rPr>
          <w:rFonts w:cs="Arial"/>
          <w:b/>
          <w:color w:val="44546A" w:themeColor="text2"/>
          <w:sz w:val="24"/>
          <w:szCs w:val="24"/>
          <w:u w:val="single"/>
        </w:rPr>
        <w:t>Response</w:t>
      </w:r>
    </w:p>
    <w:p w14:paraId="343EF13E" w14:textId="20ACE116" w:rsidR="00B455AC" w:rsidRDefault="00477121" w:rsidP="00B455AC">
      <w:pPr>
        <w:spacing w:line="276" w:lineRule="auto"/>
        <w:rPr>
          <w:rFonts w:cs="Arial"/>
          <w:b/>
          <w:color w:val="44546A" w:themeColor="text2"/>
          <w:sz w:val="24"/>
          <w:szCs w:val="24"/>
        </w:rPr>
      </w:pPr>
      <w:r w:rsidRPr="00477121">
        <w:rPr>
          <w:rFonts w:cs="Arial"/>
          <w:b/>
          <w:color w:val="44546A" w:themeColor="text2"/>
          <w:sz w:val="24"/>
          <w:szCs w:val="24"/>
        </w:rPr>
        <w:t>Similar to response IR 2a) above, there are differences in unbilled estimates used at the time of variance calculation and the data provided in the tables below.</w:t>
      </w:r>
    </w:p>
    <w:p w14:paraId="00C4642C" w14:textId="00DF13D7" w:rsidR="00B85CFE" w:rsidRDefault="00B85CFE" w:rsidP="00B455AC">
      <w:pPr>
        <w:spacing w:line="276" w:lineRule="auto"/>
        <w:rPr>
          <w:rFonts w:cs="Arial"/>
          <w:b/>
          <w:color w:val="44546A" w:themeColor="text2"/>
          <w:sz w:val="24"/>
          <w:szCs w:val="24"/>
        </w:rPr>
      </w:pPr>
      <w:r>
        <w:rPr>
          <w:rFonts w:cs="Arial"/>
          <w:b/>
          <w:color w:val="44546A" w:themeColor="text2"/>
          <w:sz w:val="24"/>
          <w:szCs w:val="24"/>
        </w:rPr>
        <w:t>The revenues year over year have not changed materially (considered approximately within a 10% band). The revenues are driving by changes in consumption profiles and retail rates (which are also set by comparing wholesale rate changes and consumption profiles, as calculated during annual IRM decisions).</w:t>
      </w:r>
    </w:p>
    <w:p w14:paraId="5E678733" w14:textId="4833D345" w:rsidR="00FE080F" w:rsidRPr="00477121" w:rsidRDefault="00B85CFE" w:rsidP="00B455AC">
      <w:pPr>
        <w:spacing w:line="276" w:lineRule="auto"/>
        <w:rPr>
          <w:rFonts w:cs="Arial"/>
          <w:b/>
          <w:color w:val="44546A" w:themeColor="text2"/>
          <w:sz w:val="24"/>
          <w:szCs w:val="24"/>
        </w:rPr>
      </w:pPr>
      <w:r>
        <w:rPr>
          <w:rFonts w:cs="Arial"/>
          <w:b/>
          <w:color w:val="44546A" w:themeColor="text2"/>
          <w:sz w:val="24"/>
          <w:szCs w:val="24"/>
        </w:rPr>
        <w:t xml:space="preserve">Expenses year over year have also not changed materially and any changes are driven as a result of monthly peak demand variations across the Totalized </w:t>
      </w:r>
      <w:r w:rsidR="00FE080F">
        <w:rPr>
          <w:rFonts w:cs="Arial"/>
          <w:b/>
          <w:color w:val="44546A" w:themeColor="text2"/>
          <w:sz w:val="24"/>
          <w:szCs w:val="24"/>
        </w:rPr>
        <w:t>demand profile of the service territory.</w:t>
      </w:r>
    </w:p>
    <w:p w14:paraId="1BBC44EC" w14:textId="69E43700" w:rsidR="00477121" w:rsidRDefault="00B85CFE" w:rsidP="00B455AC">
      <w:pPr>
        <w:spacing w:line="276" w:lineRule="auto"/>
        <w:rPr>
          <w:rFonts w:cs="Arial"/>
          <w:sz w:val="24"/>
          <w:szCs w:val="24"/>
        </w:rPr>
      </w:pPr>
      <w:r w:rsidRPr="00B85CFE">
        <w:lastRenderedPageBreak/>
        <w:drawing>
          <wp:inline distT="0" distB="0" distL="0" distR="0" wp14:anchorId="3BF94FA9" wp14:editId="56BBA5D4">
            <wp:extent cx="5943600" cy="378736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87360"/>
                    </a:xfrm>
                    <a:prstGeom prst="rect">
                      <a:avLst/>
                    </a:prstGeom>
                    <a:noFill/>
                    <a:ln>
                      <a:noFill/>
                    </a:ln>
                  </pic:spPr>
                </pic:pic>
              </a:graphicData>
            </a:graphic>
          </wp:inline>
        </w:drawing>
      </w:r>
    </w:p>
    <w:p w14:paraId="77D59AB5" w14:textId="77777777" w:rsidR="00B85CFE" w:rsidRDefault="00B85CFE" w:rsidP="00B455AC">
      <w:pPr>
        <w:spacing w:line="276" w:lineRule="auto"/>
        <w:rPr>
          <w:rFonts w:cs="Arial"/>
          <w:sz w:val="24"/>
          <w:szCs w:val="24"/>
        </w:rPr>
      </w:pPr>
    </w:p>
    <w:p w14:paraId="589D0777" w14:textId="46A0EA2F" w:rsidR="00B85CFE" w:rsidRDefault="00B85CFE" w:rsidP="00B455AC">
      <w:pPr>
        <w:spacing w:line="276" w:lineRule="auto"/>
        <w:rPr>
          <w:rFonts w:cs="Arial"/>
          <w:sz w:val="24"/>
          <w:szCs w:val="24"/>
        </w:rPr>
      </w:pPr>
      <w:r w:rsidRPr="00B85CFE">
        <w:drawing>
          <wp:inline distT="0" distB="0" distL="0" distR="0" wp14:anchorId="7BEC846A" wp14:editId="451CE685">
            <wp:extent cx="5943600" cy="377129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771297"/>
                    </a:xfrm>
                    <a:prstGeom prst="rect">
                      <a:avLst/>
                    </a:prstGeom>
                    <a:noFill/>
                    <a:ln>
                      <a:noFill/>
                    </a:ln>
                  </pic:spPr>
                </pic:pic>
              </a:graphicData>
            </a:graphic>
          </wp:inline>
        </w:drawing>
      </w:r>
    </w:p>
    <w:p w14:paraId="6BA9FFD3" w14:textId="566E5E4C" w:rsidR="00A846A2" w:rsidRPr="00B13A6D" w:rsidRDefault="00A846A2" w:rsidP="006823D7">
      <w:pPr>
        <w:keepNext/>
        <w:keepLines/>
        <w:spacing w:line="276" w:lineRule="auto"/>
        <w:rPr>
          <w:rFonts w:cs="Arial"/>
          <w:b/>
          <w:sz w:val="24"/>
          <w:szCs w:val="24"/>
        </w:rPr>
      </w:pPr>
      <w:r w:rsidRPr="00B13A6D">
        <w:rPr>
          <w:rFonts w:cs="Arial"/>
          <w:b/>
          <w:sz w:val="24"/>
          <w:szCs w:val="24"/>
        </w:rPr>
        <w:lastRenderedPageBreak/>
        <w:t xml:space="preserve">Staff Question </w:t>
      </w:r>
      <w:r w:rsidR="00B455AC">
        <w:rPr>
          <w:rFonts w:cs="Arial"/>
          <w:b/>
          <w:sz w:val="24"/>
          <w:szCs w:val="24"/>
        </w:rPr>
        <w:t>#4</w:t>
      </w:r>
    </w:p>
    <w:p w14:paraId="73C82AA0" w14:textId="77777777" w:rsidR="00A846A2" w:rsidRDefault="00A846A2" w:rsidP="006823D7">
      <w:pPr>
        <w:keepNext/>
        <w:keepLines/>
        <w:spacing w:line="276" w:lineRule="auto"/>
        <w:rPr>
          <w:rFonts w:cs="Arial"/>
          <w:b/>
          <w:sz w:val="24"/>
          <w:szCs w:val="24"/>
        </w:rPr>
      </w:pPr>
      <w:r>
        <w:rPr>
          <w:rFonts w:cs="Arial"/>
          <w:b/>
          <w:sz w:val="24"/>
          <w:szCs w:val="24"/>
        </w:rPr>
        <w:t>Ref:</w:t>
      </w:r>
      <w:r>
        <w:rPr>
          <w:rFonts w:cs="Arial"/>
          <w:b/>
          <w:sz w:val="24"/>
          <w:szCs w:val="24"/>
        </w:rPr>
        <w:tab/>
        <w:t>IRM Rate Generator, Tab 15. RTSR Rates to Forecast</w:t>
      </w:r>
    </w:p>
    <w:p w14:paraId="61182865" w14:textId="77777777" w:rsidR="00A846A2" w:rsidRDefault="008A03FC" w:rsidP="006823D7">
      <w:pPr>
        <w:spacing w:line="276" w:lineRule="auto"/>
        <w:rPr>
          <w:rFonts w:cs="Arial"/>
          <w:sz w:val="24"/>
          <w:szCs w:val="24"/>
        </w:rPr>
      </w:pPr>
      <w:r>
        <w:rPr>
          <w:rFonts w:cs="Arial"/>
          <w:sz w:val="24"/>
          <w:szCs w:val="24"/>
        </w:rPr>
        <w:t>Tillsonburg</w:t>
      </w:r>
      <w:r w:rsidR="00A846A2">
        <w:rPr>
          <w:rFonts w:cs="Arial"/>
          <w:sz w:val="24"/>
          <w:szCs w:val="24"/>
        </w:rPr>
        <w:t xml:space="preserve"> is proposing increase</w:t>
      </w:r>
      <w:r w:rsidR="006823D7">
        <w:rPr>
          <w:rFonts w:cs="Arial"/>
          <w:sz w:val="24"/>
          <w:szCs w:val="24"/>
        </w:rPr>
        <w:t>s to</w:t>
      </w:r>
      <w:r w:rsidR="00A846A2">
        <w:rPr>
          <w:rFonts w:cs="Arial"/>
          <w:sz w:val="24"/>
          <w:szCs w:val="24"/>
        </w:rPr>
        <w:t xml:space="preserve"> its RTSR rates </w:t>
      </w:r>
      <w:r w:rsidR="005F47F1">
        <w:rPr>
          <w:rFonts w:cs="Arial"/>
          <w:sz w:val="24"/>
          <w:szCs w:val="24"/>
        </w:rPr>
        <w:t>from</w:t>
      </w:r>
      <w:r w:rsidR="00A846A2">
        <w:rPr>
          <w:rFonts w:cs="Arial"/>
          <w:sz w:val="24"/>
          <w:szCs w:val="24"/>
        </w:rPr>
        <w:t xml:space="preserve"> </w:t>
      </w:r>
      <w:r w:rsidR="002C7D87">
        <w:rPr>
          <w:rFonts w:cs="Arial"/>
          <w:sz w:val="24"/>
          <w:szCs w:val="24"/>
        </w:rPr>
        <w:t>4.4</w:t>
      </w:r>
      <w:r w:rsidR="00A846A2">
        <w:rPr>
          <w:rFonts w:cs="Arial"/>
          <w:sz w:val="24"/>
          <w:szCs w:val="24"/>
        </w:rPr>
        <w:t xml:space="preserve">% to </w:t>
      </w:r>
      <w:r w:rsidR="002C7D87">
        <w:rPr>
          <w:rFonts w:cs="Arial"/>
          <w:sz w:val="24"/>
          <w:szCs w:val="24"/>
        </w:rPr>
        <w:t>6</w:t>
      </w:r>
      <w:r w:rsidR="00A846A2">
        <w:rPr>
          <w:rFonts w:cs="Arial"/>
          <w:sz w:val="24"/>
          <w:szCs w:val="24"/>
        </w:rPr>
        <w:t>.</w:t>
      </w:r>
      <w:r w:rsidR="002C7D87">
        <w:rPr>
          <w:rFonts w:cs="Arial"/>
          <w:sz w:val="24"/>
          <w:szCs w:val="24"/>
        </w:rPr>
        <w:t>9</w:t>
      </w:r>
      <w:r w:rsidR="00A846A2">
        <w:rPr>
          <w:rFonts w:cs="Arial"/>
          <w:sz w:val="24"/>
          <w:szCs w:val="24"/>
        </w:rPr>
        <w:t>%</w:t>
      </w:r>
      <w:r w:rsidR="005F47F1">
        <w:rPr>
          <w:rFonts w:cs="Arial"/>
          <w:sz w:val="24"/>
          <w:szCs w:val="24"/>
        </w:rPr>
        <w:t xml:space="preserve"> in 2020</w:t>
      </w:r>
      <w:r w:rsidR="00A846A2">
        <w:rPr>
          <w:rFonts w:cs="Arial"/>
          <w:sz w:val="24"/>
          <w:szCs w:val="24"/>
        </w:rPr>
        <w:t>.</w:t>
      </w:r>
    </w:p>
    <w:p w14:paraId="76D296A9" w14:textId="77777777" w:rsidR="00A846A2" w:rsidRDefault="00A846A2" w:rsidP="006823D7">
      <w:pPr>
        <w:pStyle w:val="ListParagraph"/>
        <w:numPr>
          <w:ilvl w:val="0"/>
          <w:numId w:val="33"/>
        </w:numPr>
        <w:spacing w:line="276" w:lineRule="auto"/>
        <w:rPr>
          <w:rFonts w:cs="Arial"/>
          <w:sz w:val="24"/>
          <w:szCs w:val="24"/>
        </w:rPr>
      </w:pPr>
      <w:r w:rsidRPr="00D30EF9">
        <w:rPr>
          <w:rFonts w:cs="Arial"/>
          <w:sz w:val="24"/>
          <w:szCs w:val="24"/>
        </w:rPr>
        <w:t xml:space="preserve">Please </w:t>
      </w:r>
      <w:r w:rsidR="005F47F1">
        <w:rPr>
          <w:rFonts w:cs="Arial"/>
          <w:sz w:val="24"/>
          <w:szCs w:val="24"/>
        </w:rPr>
        <w:t xml:space="preserve">reconcile the components of the increase, i.e. price and volume contributors explaining causes for each of the reasons for the increase, </w:t>
      </w:r>
      <w:r w:rsidRPr="00D30EF9">
        <w:rPr>
          <w:rFonts w:cs="Arial"/>
          <w:sz w:val="24"/>
          <w:szCs w:val="24"/>
        </w:rPr>
        <w:t>provide a table by rate class</w:t>
      </w:r>
      <w:r>
        <w:rPr>
          <w:rFonts w:cs="Arial"/>
          <w:sz w:val="24"/>
          <w:szCs w:val="24"/>
        </w:rPr>
        <w:t xml:space="preserve"> outlining the drivers of the proposed increase to both the connection and network RTSRs.</w:t>
      </w:r>
    </w:p>
    <w:p w14:paraId="0A3C6B7F" w14:textId="77777777" w:rsidR="00FE080F" w:rsidRPr="00FE080F" w:rsidRDefault="00FE080F" w:rsidP="00FE080F">
      <w:pPr>
        <w:spacing w:line="276" w:lineRule="auto"/>
        <w:rPr>
          <w:rFonts w:cs="Arial"/>
          <w:b/>
          <w:color w:val="44546A" w:themeColor="text2"/>
          <w:sz w:val="24"/>
          <w:szCs w:val="24"/>
          <w:u w:val="single"/>
        </w:rPr>
      </w:pPr>
      <w:r w:rsidRPr="00FE080F">
        <w:rPr>
          <w:rFonts w:cs="Arial"/>
          <w:b/>
          <w:color w:val="44546A" w:themeColor="text2"/>
          <w:sz w:val="24"/>
          <w:szCs w:val="24"/>
          <w:u w:val="single"/>
        </w:rPr>
        <w:t>Response</w:t>
      </w:r>
    </w:p>
    <w:p w14:paraId="073CDF07" w14:textId="3B725EA2" w:rsidR="00FE080F" w:rsidRDefault="001C531B" w:rsidP="00FE080F">
      <w:pPr>
        <w:spacing w:line="276" w:lineRule="auto"/>
        <w:rPr>
          <w:rFonts w:cs="Arial"/>
          <w:b/>
          <w:color w:val="44546A" w:themeColor="text2"/>
          <w:sz w:val="24"/>
          <w:szCs w:val="24"/>
        </w:rPr>
      </w:pPr>
      <w:r w:rsidRPr="001C531B">
        <w:rPr>
          <w:rFonts w:cs="Arial"/>
          <w:b/>
          <w:color w:val="44546A" w:themeColor="text2"/>
          <w:sz w:val="24"/>
          <w:szCs w:val="24"/>
        </w:rPr>
        <w:t xml:space="preserve">See requested charts below. </w:t>
      </w:r>
    </w:p>
    <w:p w14:paraId="60CCB881" w14:textId="77777777" w:rsidR="001C531B" w:rsidRDefault="001C531B" w:rsidP="00FE080F">
      <w:pPr>
        <w:spacing w:line="276" w:lineRule="auto"/>
        <w:rPr>
          <w:rFonts w:cs="Arial"/>
          <w:b/>
          <w:color w:val="44546A" w:themeColor="text2"/>
          <w:sz w:val="24"/>
          <w:szCs w:val="24"/>
        </w:rPr>
      </w:pPr>
    </w:p>
    <w:p w14:paraId="28CF10D2" w14:textId="5760CF91" w:rsidR="001C531B" w:rsidRPr="001C531B" w:rsidRDefault="001C531B" w:rsidP="00FE080F">
      <w:pPr>
        <w:spacing w:line="276" w:lineRule="auto"/>
        <w:rPr>
          <w:rFonts w:cs="Arial"/>
          <w:b/>
          <w:color w:val="44546A" w:themeColor="text2"/>
          <w:sz w:val="24"/>
          <w:szCs w:val="24"/>
        </w:rPr>
      </w:pPr>
      <w:r w:rsidRPr="001C531B">
        <w:drawing>
          <wp:inline distT="0" distB="0" distL="0" distR="0" wp14:anchorId="54D44EBF" wp14:editId="2F99A0D9">
            <wp:extent cx="5943600" cy="32432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43283"/>
                    </a:xfrm>
                    <a:prstGeom prst="rect">
                      <a:avLst/>
                    </a:prstGeom>
                    <a:noFill/>
                    <a:ln>
                      <a:noFill/>
                    </a:ln>
                  </pic:spPr>
                </pic:pic>
              </a:graphicData>
            </a:graphic>
          </wp:inline>
        </w:drawing>
      </w:r>
    </w:p>
    <w:p w14:paraId="4544C4AB" w14:textId="77777777" w:rsidR="00FE080F" w:rsidRDefault="00FE080F" w:rsidP="00FE080F">
      <w:pPr>
        <w:pStyle w:val="ListParagraph"/>
        <w:spacing w:line="276" w:lineRule="auto"/>
        <w:rPr>
          <w:rFonts w:cs="Arial"/>
          <w:sz w:val="24"/>
          <w:szCs w:val="24"/>
        </w:rPr>
      </w:pPr>
    </w:p>
    <w:p w14:paraId="07EAC7C9" w14:textId="77777777" w:rsidR="00A846A2" w:rsidRPr="0061062C" w:rsidRDefault="00A846A2" w:rsidP="006823D7">
      <w:pPr>
        <w:pStyle w:val="ListParagraph"/>
        <w:numPr>
          <w:ilvl w:val="0"/>
          <w:numId w:val="33"/>
        </w:numPr>
        <w:spacing w:line="276" w:lineRule="auto"/>
        <w:rPr>
          <w:rFonts w:cs="Arial"/>
          <w:sz w:val="24"/>
          <w:szCs w:val="24"/>
        </w:rPr>
      </w:pPr>
      <w:r w:rsidRPr="0061062C">
        <w:rPr>
          <w:rFonts w:cs="Arial"/>
          <w:sz w:val="24"/>
          <w:szCs w:val="24"/>
        </w:rPr>
        <w:t xml:space="preserve">To the extent that the increase is driven </w:t>
      </w:r>
      <w:r w:rsidR="005F47F1">
        <w:rPr>
          <w:rFonts w:cs="Arial"/>
          <w:sz w:val="24"/>
          <w:szCs w:val="24"/>
        </w:rPr>
        <w:t xml:space="preserve">by </w:t>
      </w:r>
      <w:r w:rsidRPr="0061062C">
        <w:rPr>
          <w:rFonts w:cs="Arial"/>
          <w:sz w:val="24"/>
          <w:szCs w:val="24"/>
        </w:rPr>
        <w:t xml:space="preserve">changes in wholesale and retail </w:t>
      </w:r>
      <w:r w:rsidR="00421294">
        <w:rPr>
          <w:rFonts w:cs="Arial"/>
          <w:sz w:val="24"/>
          <w:szCs w:val="24"/>
        </w:rPr>
        <w:t xml:space="preserve">billed volumes, please </w:t>
      </w:r>
      <w:r w:rsidR="005F47F1">
        <w:rPr>
          <w:rFonts w:cs="Arial"/>
          <w:sz w:val="24"/>
          <w:szCs w:val="24"/>
        </w:rPr>
        <w:t xml:space="preserve">explain </w:t>
      </w:r>
      <w:r w:rsidR="00421294">
        <w:rPr>
          <w:rFonts w:cs="Arial"/>
          <w:sz w:val="24"/>
          <w:szCs w:val="24"/>
        </w:rPr>
        <w:t xml:space="preserve">the </w:t>
      </w:r>
      <w:r w:rsidR="007874F8">
        <w:rPr>
          <w:rFonts w:cs="Arial"/>
          <w:sz w:val="24"/>
          <w:szCs w:val="24"/>
        </w:rPr>
        <w:t xml:space="preserve">underlying </w:t>
      </w:r>
      <w:r w:rsidR="005F47F1">
        <w:rPr>
          <w:rFonts w:cs="Arial"/>
          <w:sz w:val="24"/>
          <w:szCs w:val="24"/>
        </w:rPr>
        <w:t xml:space="preserve">reasons for the change in </w:t>
      </w:r>
      <w:r w:rsidR="00421294">
        <w:rPr>
          <w:rFonts w:cs="Arial"/>
          <w:sz w:val="24"/>
          <w:szCs w:val="24"/>
        </w:rPr>
        <w:t xml:space="preserve">wholesale </w:t>
      </w:r>
      <w:r w:rsidR="005F47F1">
        <w:rPr>
          <w:rFonts w:cs="Arial"/>
          <w:sz w:val="24"/>
          <w:szCs w:val="24"/>
        </w:rPr>
        <w:t xml:space="preserve">volumes, </w:t>
      </w:r>
      <w:r w:rsidR="00421294">
        <w:rPr>
          <w:rFonts w:cs="Arial"/>
          <w:sz w:val="24"/>
          <w:szCs w:val="24"/>
        </w:rPr>
        <w:t xml:space="preserve">and retail </w:t>
      </w:r>
      <w:r w:rsidR="005F47F1">
        <w:rPr>
          <w:rFonts w:cs="Arial"/>
          <w:sz w:val="24"/>
          <w:szCs w:val="24"/>
        </w:rPr>
        <w:t xml:space="preserve">volumes </w:t>
      </w:r>
      <w:r w:rsidR="00421294">
        <w:rPr>
          <w:rFonts w:cs="Arial"/>
          <w:sz w:val="24"/>
          <w:szCs w:val="24"/>
        </w:rPr>
        <w:t>billed quantities for 2017 and 2018</w:t>
      </w:r>
      <w:r w:rsidR="007874F8">
        <w:rPr>
          <w:rFonts w:cs="Arial"/>
          <w:sz w:val="24"/>
          <w:szCs w:val="24"/>
        </w:rPr>
        <w:t>.</w:t>
      </w:r>
      <w:r w:rsidR="00D01B03">
        <w:rPr>
          <w:rFonts w:cs="Arial"/>
          <w:sz w:val="24"/>
          <w:szCs w:val="24"/>
        </w:rPr>
        <w:t xml:space="preserve"> </w:t>
      </w:r>
    </w:p>
    <w:p w14:paraId="554F7647" w14:textId="77777777" w:rsidR="009E5CB7" w:rsidRDefault="009E5CB7" w:rsidP="006823D7">
      <w:pPr>
        <w:spacing w:line="276" w:lineRule="auto"/>
        <w:rPr>
          <w:rFonts w:cs="Arial"/>
          <w:b/>
          <w:color w:val="44546A" w:themeColor="text2"/>
          <w:sz w:val="24"/>
          <w:szCs w:val="24"/>
          <w:u w:val="single"/>
        </w:rPr>
      </w:pPr>
    </w:p>
    <w:p w14:paraId="647958EF" w14:textId="77777777" w:rsidR="009E5CB7" w:rsidRDefault="009E5CB7" w:rsidP="006823D7">
      <w:pPr>
        <w:spacing w:line="276" w:lineRule="auto"/>
        <w:rPr>
          <w:rFonts w:cs="Arial"/>
          <w:b/>
          <w:color w:val="44546A" w:themeColor="text2"/>
          <w:sz w:val="24"/>
          <w:szCs w:val="24"/>
          <w:u w:val="single"/>
        </w:rPr>
      </w:pPr>
    </w:p>
    <w:p w14:paraId="1E55AC2E" w14:textId="77777777" w:rsidR="009E5CB7" w:rsidRDefault="009E5CB7" w:rsidP="006823D7">
      <w:pPr>
        <w:spacing w:line="276" w:lineRule="auto"/>
        <w:rPr>
          <w:rFonts w:cs="Arial"/>
          <w:b/>
          <w:color w:val="44546A" w:themeColor="text2"/>
          <w:sz w:val="24"/>
          <w:szCs w:val="24"/>
          <w:u w:val="single"/>
        </w:rPr>
      </w:pPr>
    </w:p>
    <w:p w14:paraId="54FF1D32" w14:textId="33BC7754" w:rsidR="00D30EF9" w:rsidRDefault="001C531B" w:rsidP="006823D7">
      <w:pPr>
        <w:spacing w:line="276" w:lineRule="auto"/>
        <w:rPr>
          <w:rFonts w:cs="Arial"/>
          <w:b/>
          <w:color w:val="44546A" w:themeColor="text2"/>
          <w:sz w:val="24"/>
          <w:szCs w:val="24"/>
          <w:u w:val="single"/>
        </w:rPr>
      </w:pPr>
      <w:bookmarkStart w:id="0" w:name="_GoBack"/>
      <w:bookmarkEnd w:id="0"/>
      <w:r w:rsidRPr="001C531B">
        <w:rPr>
          <w:rFonts w:cs="Arial"/>
          <w:b/>
          <w:color w:val="44546A" w:themeColor="text2"/>
          <w:sz w:val="24"/>
          <w:szCs w:val="24"/>
          <w:u w:val="single"/>
        </w:rPr>
        <w:lastRenderedPageBreak/>
        <w:t>Response</w:t>
      </w:r>
    </w:p>
    <w:p w14:paraId="505F6116" w14:textId="673B4A70" w:rsidR="001C531B" w:rsidRPr="001C531B" w:rsidRDefault="001C531B" w:rsidP="006823D7">
      <w:pPr>
        <w:spacing w:line="276" w:lineRule="auto"/>
        <w:rPr>
          <w:rFonts w:cs="Arial"/>
          <w:b/>
          <w:color w:val="44546A" w:themeColor="text2"/>
          <w:sz w:val="24"/>
          <w:szCs w:val="24"/>
        </w:rPr>
      </w:pPr>
      <w:r w:rsidRPr="001C531B">
        <w:rPr>
          <w:rFonts w:cs="Arial"/>
          <w:b/>
          <w:color w:val="44546A" w:themeColor="text2"/>
          <w:sz w:val="24"/>
          <w:szCs w:val="24"/>
        </w:rPr>
        <w:t>The majority of the variance relates to retail billed volumes. The charts provided in IR 4a) above reconcile the rate increases to the allocated billed amounts. The “Variance to Current” columns show that the majority of the variances are between current and adjusted RTSR rates.</w:t>
      </w:r>
    </w:p>
    <w:p w14:paraId="4A562E4E" w14:textId="0B62C7C9" w:rsidR="001C531B" w:rsidRDefault="001C531B" w:rsidP="006823D7">
      <w:pPr>
        <w:spacing w:line="276" w:lineRule="auto"/>
        <w:rPr>
          <w:rFonts w:cs="Arial"/>
          <w:b/>
          <w:color w:val="44546A" w:themeColor="text2"/>
          <w:sz w:val="24"/>
          <w:szCs w:val="24"/>
        </w:rPr>
      </w:pPr>
      <w:r w:rsidRPr="001C531B">
        <w:rPr>
          <w:rFonts w:cs="Arial"/>
          <w:b/>
          <w:color w:val="44546A" w:themeColor="text2"/>
          <w:sz w:val="24"/>
          <w:szCs w:val="24"/>
        </w:rPr>
        <w:t>The difference is identified if you compare the “Billed Amounts” from 2019 to 2020. Excerpt provided below.</w:t>
      </w:r>
    </w:p>
    <w:p w14:paraId="3A0B3CF1" w14:textId="0A8ACD2D" w:rsidR="00FA3CBA" w:rsidRDefault="00FA3CBA" w:rsidP="006823D7">
      <w:pPr>
        <w:spacing w:line="276" w:lineRule="auto"/>
        <w:rPr>
          <w:rFonts w:cs="Arial"/>
          <w:b/>
          <w:color w:val="44546A" w:themeColor="text2"/>
          <w:sz w:val="24"/>
          <w:szCs w:val="24"/>
        </w:rPr>
      </w:pPr>
      <w:r>
        <w:rPr>
          <w:rFonts w:cs="Arial"/>
          <w:b/>
          <w:color w:val="44546A" w:themeColor="text2"/>
          <w:sz w:val="24"/>
          <w:szCs w:val="24"/>
        </w:rPr>
        <w:t xml:space="preserve">The 2019 final “Current Wholesale Billing” values are drastically different than the 2020 first “Current Wholesale Billings” and point to the 2019 IRM model </w:t>
      </w:r>
      <w:r w:rsidR="002E47C1">
        <w:rPr>
          <w:rFonts w:cs="Arial"/>
          <w:b/>
          <w:color w:val="44546A" w:themeColor="text2"/>
          <w:sz w:val="24"/>
          <w:szCs w:val="24"/>
        </w:rPr>
        <w:t>having rates set using low consumption / demand values resulting in incorrect low rates, which are being corrected through the 2020 IRM process.</w:t>
      </w:r>
    </w:p>
    <w:p w14:paraId="22B811AD" w14:textId="404BABEB" w:rsidR="002E47C1" w:rsidRDefault="002E47C1" w:rsidP="006823D7">
      <w:pPr>
        <w:spacing w:line="276" w:lineRule="auto"/>
        <w:rPr>
          <w:rFonts w:cs="Arial"/>
          <w:b/>
          <w:color w:val="44546A" w:themeColor="text2"/>
          <w:sz w:val="24"/>
          <w:szCs w:val="24"/>
        </w:rPr>
      </w:pPr>
      <w:r>
        <w:rPr>
          <w:rFonts w:cs="Arial"/>
          <w:b/>
          <w:color w:val="44546A" w:themeColor="text2"/>
          <w:sz w:val="24"/>
          <w:szCs w:val="24"/>
        </w:rPr>
        <w:t>Without this correction the DVAD’s for network and connection activity will be increased during the 2020 rate year.</w:t>
      </w:r>
    </w:p>
    <w:p w14:paraId="320F1A55" w14:textId="3D6ABD0A" w:rsidR="002E47C1" w:rsidRPr="001C531B" w:rsidRDefault="002E47C1" w:rsidP="006823D7">
      <w:pPr>
        <w:spacing w:line="276" w:lineRule="auto"/>
        <w:rPr>
          <w:rFonts w:cs="Arial"/>
          <w:b/>
          <w:color w:val="44546A" w:themeColor="text2"/>
          <w:sz w:val="24"/>
          <w:szCs w:val="24"/>
        </w:rPr>
      </w:pPr>
      <w:r>
        <w:rPr>
          <w:rFonts w:cs="Arial"/>
          <w:b/>
          <w:color w:val="44546A" w:themeColor="text2"/>
          <w:sz w:val="24"/>
          <w:szCs w:val="24"/>
        </w:rPr>
        <w:t>For unknown reasons (due to IRM model having hidden cells / formulas) the Connection costs are experiencing a higher impact that Network costs in the 2020 IRM application.</w:t>
      </w:r>
    </w:p>
    <w:p w14:paraId="4CDE68AE" w14:textId="0A31379D" w:rsidR="001C531B" w:rsidRDefault="001C531B" w:rsidP="006823D7">
      <w:pPr>
        <w:spacing w:line="276" w:lineRule="auto"/>
        <w:rPr>
          <w:rFonts w:cs="Arial"/>
          <w:b/>
          <w:color w:val="44546A" w:themeColor="text2"/>
          <w:sz w:val="24"/>
          <w:szCs w:val="24"/>
          <w:u w:val="single"/>
        </w:rPr>
      </w:pPr>
      <w:r w:rsidRPr="001C531B">
        <w:lastRenderedPageBreak/>
        <w:drawing>
          <wp:inline distT="0" distB="0" distL="0" distR="0" wp14:anchorId="4782973F" wp14:editId="198968D7">
            <wp:extent cx="5943600" cy="729080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290807"/>
                    </a:xfrm>
                    <a:prstGeom prst="rect">
                      <a:avLst/>
                    </a:prstGeom>
                    <a:noFill/>
                    <a:ln>
                      <a:noFill/>
                    </a:ln>
                  </pic:spPr>
                </pic:pic>
              </a:graphicData>
            </a:graphic>
          </wp:inline>
        </w:drawing>
      </w:r>
    </w:p>
    <w:p w14:paraId="4787B2E8" w14:textId="77777777" w:rsidR="001C531B" w:rsidRDefault="001C531B" w:rsidP="006823D7">
      <w:pPr>
        <w:spacing w:line="276" w:lineRule="auto"/>
        <w:rPr>
          <w:rFonts w:cs="Arial"/>
          <w:b/>
          <w:color w:val="44546A" w:themeColor="text2"/>
          <w:sz w:val="24"/>
          <w:szCs w:val="24"/>
          <w:u w:val="single"/>
        </w:rPr>
      </w:pPr>
    </w:p>
    <w:p w14:paraId="3BE74DF7" w14:textId="77777777" w:rsidR="001C531B" w:rsidRDefault="001C531B" w:rsidP="006823D7">
      <w:pPr>
        <w:spacing w:line="276" w:lineRule="auto"/>
        <w:rPr>
          <w:rFonts w:cs="Arial"/>
          <w:b/>
          <w:color w:val="44546A" w:themeColor="text2"/>
          <w:sz w:val="24"/>
          <w:szCs w:val="24"/>
          <w:u w:val="single"/>
        </w:rPr>
      </w:pPr>
    </w:p>
    <w:p w14:paraId="33A6D4D9" w14:textId="1DC557E8" w:rsidR="001C531B" w:rsidRDefault="00FA3CBA" w:rsidP="006823D7">
      <w:pPr>
        <w:spacing w:line="276" w:lineRule="auto"/>
        <w:rPr>
          <w:rFonts w:cs="Arial"/>
          <w:b/>
          <w:color w:val="44546A" w:themeColor="text2"/>
          <w:sz w:val="24"/>
          <w:szCs w:val="24"/>
          <w:u w:val="single"/>
        </w:rPr>
      </w:pPr>
      <w:r w:rsidRPr="00FA3CBA">
        <w:lastRenderedPageBreak/>
        <w:drawing>
          <wp:inline distT="0" distB="0" distL="0" distR="0" wp14:anchorId="7BBE76B7" wp14:editId="51A6AE89">
            <wp:extent cx="5620248" cy="79335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1635" cy="7935467"/>
                    </a:xfrm>
                    <a:prstGeom prst="rect">
                      <a:avLst/>
                    </a:prstGeom>
                    <a:noFill/>
                    <a:ln>
                      <a:noFill/>
                    </a:ln>
                  </pic:spPr>
                </pic:pic>
              </a:graphicData>
            </a:graphic>
          </wp:inline>
        </w:drawing>
      </w:r>
    </w:p>
    <w:p w14:paraId="67972510" w14:textId="77777777" w:rsidR="001C531B" w:rsidRPr="001C531B" w:rsidRDefault="001C531B" w:rsidP="006823D7">
      <w:pPr>
        <w:spacing w:line="276" w:lineRule="auto"/>
        <w:rPr>
          <w:rFonts w:cs="Arial"/>
          <w:b/>
          <w:color w:val="44546A" w:themeColor="text2"/>
          <w:sz w:val="24"/>
          <w:szCs w:val="24"/>
          <w:u w:val="single"/>
        </w:rPr>
      </w:pPr>
    </w:p>
    <w:sectPr w:rsidR="001C531B" w:rsidRPr="001C531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052C9" w14:textId="77777777" w:rsidR="009B33CF" w:rsidRDefault="009B33CF" w:rsidP="0054349A">
      <w:pPr>
        <w:spacing w:after="0" w:line="240" w:lineRule="auto"/>
      </w:pPr>
      <w:r>
        <w:separator/>
      </w:r>
    </w:p>
  </w:endnote>
  <w:endnote w:type="continuationSeparator" w:id="0">
    <w:p w14:paraId="2F9BE00C" w14:textId="77777777" w:rsidR="009B33CF" w:rsidRDefault="009B33CF" w:rsidP="0054349A">
      <w:pPr>
        <w:spacing w:after="0" w:line="240" w:lineRule="auto"/>
      </w:pPr>
      <w:r>
        <w:continuationSeparator/>
      </w:r>
    </w:p>
  </w:endnote>
  <w:endnote w:type="continuationNotice" w:id="1">
    <w:p w14:paraId="2F9FFD4A" w14:textId="77777777" w:rsidR="009B33CF" w:rsidRDefault="009B3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BAD19" w14:textId="77777777" w:rsidR="009B33CF" w:rsidRDefault="009B33CF" w:rsidP="0054349A">
      <w:pPr>
        <w:spacing w:after="0" w:line="240" w:lineRule="auto"/>
      </w:pPr>
      <w:r>
        <w:separator/>
      </w:r>
    </w:p>
  </w:footnote>
  <w:footnote w:type="continuationSeparator" w:id="0">
    <w:p w14:paraId="49BB40BB" w14:textId="77777777" w:rsidR="009B33CF" w:rsidRDefault="009B33CF" w:rsidP="0054349A">
      <w:pPr>
        <w:spacing w:after="0" w:line="240" w:lineRule="auto"/>
      </w:pPr>
      <w:r>
        <w:continuationSeparator/>
      </w:r>
    </w:p>
  </w:footnote>
  <w:footnote w:type="continuationNotice" w:id="1">
    <w:p w14:paraId="6F7EFCC7" w14:textId="77777777" w:rsidR="009B33CF" w:rsidRDefault="009B33C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6B42" w14:textId="77777777" w:rsidR="009B33CF" w:rsidRDefault="009B33CF" w:rsidP="00CD50E4">
    <w:pPr>
      <w:pStyle w:val="Header"/>
      <w:jc w:val="right"/>
      <w:rPr>
        <w:rFonts w:cs="Arial"/>
        <w:sz w:val="20"/>
        <w:szCs w:val="20"/>
      </w:rPr>
    </w:pPr>
    <w:r>
      <w:rPr>
        <w:rFonts w:cs="Arial"/>
        <w:sz w:val="20"/>
        <w:szCs w:val="20"/>
      </w:rPr>
      <w:t>Tillsonburg Hydro Inc.</w:t>
    </w:r>
  </w:p>
  <w:p w14:paraId="09F3ADC1" w14:textId="77777777" w:rsidR="009B33CF" w:rsidRDefault="009B33CF" w:rsidP="00CD50E4">
    <w:pPr>
      <w:pStyle w:val="Header"/>
      <w:rPr>
        <w:rFonts w:cs="Arial"/>
        <w:sz w:val="20"/>
        <w:szCs w:val="20"/>
      </w:rPr>
    </w:pPr>
    <w:r>
      <w:rPr>
        <w:rFonts w:cs="Arial"/>
        <w:sz w:val="20"/>
        <w:szCs w:val="20"/>
      </w:rPr>
      <w:tab/>
    </w:r>
    <w:r>
      <w:rPr>
        <w:rFonts w:cs="Arial"/>
        <w:sz w:val="20"/>
        <w:szCs w:val="20"/>
      </w:rPr>
      <w:tab/>
      <w:t>EB-2019-0069</w:t>
    </w:r>
  </w:p>
  <w:p w14:paraId="645D725E" w14:textId="3FADB6D7" w:rsidR="009B33CF" w:rsidRDefault="009B33CF" w:rsidP="00CD50E4">
    <w:pPr>
      <w:pStyle w:val="Header"/>
      <w:rPr>
        <w:rFonts w:cs="Arial"/>
        <w:b/>
        <w:sz w:val="20"/>
        <w:szCs w:val="20"/>
      </w:rPr>
    </w:pPr>
    <w:r>
      <w:rPr>
        <w:rFonts w:cs="Arial"/>
        <w:sz w:val="20"/>
        <w:szCs w:val="20"/>
      </w:rPr>
      <w:tab/>
    </w:r>
    <w:r>
      <w:rPr>
        <w:rFonts w:cs="Arial"/>
        <w:sz w:val="20"/>
        <w:szCs w:val="20"/>
      </w:rPr>
      <w:tab/>
      <w:t xml:space="preserve">Page </w:t>
    </w:r>
    <w:r>
      <w:rPr>
        <w:rFonts w:cs="Arial"/>
        <w:b/>
        <w:sz w:val="20"/>
        <w:szCs w:val="20"/>
      </w:rPr>
      <w:fldChar w:fldCharType="begin"/>
    </w:r>
    <w:r>
      <w:rPr>
        <w:rFonts w:cs="Arial"/>
        <w:b/>
        <w:sz w:val="20"/>
        <w:szCs w:val="20"/>
      </w:rPr>
      <w:instrText xml:space="preserve"> PAGE  \* Arabic  \* MERGEFORMAT </w:instrText>
    </w:r>
    <w:r>
      <w:rPr>
        <w:rFonts w:cs="Arial"/>
        <w:b/>
        <w:sz w:val="20"/>
        <w:szCs w:val="20"/>
      </w:rPr>
      <w:fldChar w:fldCharType="separate"/>
    </w:r>
    <w:r w:rsidR="009E5CB7">
      <w:rPr>
        <w:rFonts w:cs="Arial"/>
        <w:b/>
        <w:noProof/>
        <w:sz w:val="20"/>
        <w:szCs w:val="20"/>
      </w:rPr>
      <w:t>10</w:t>
    </w:r>
    <w:r>
      <w:rPr>
        <w:rFonts w:cs="Arial"/>
        <w:b/>
        <w:sz w:val="20"/>
        <w:szCs w:val="20"/>
      </w:rPr>
      <w:fldChar w:fldCharType="end"/>
    </w:r>
    <w:r>
      <w:rPr>
        <w:rFonts w:cs="Arial"/>
        <w:sz w:val="20"/>
        <w:szCs w:val="20"/>
      </w:rPr>
      <w:t xml:space="preserve"> of </w:t>
    </w:r>
    <w:r>
      <w:rPr>
        <w:rFonts w:cs="Arial"/>
        <w:b/>
        <w:sz w:val="20"/>
        <w:szCs w:val="20"/>
      </w:rPr>
      <w:fldChar w:fldCharType="begin"/>
    </w:r>
    <w:r>
      <w:rPr>
        <w:rFonts w:cs="Arial"/>
        <w:b/>
        <w:sz w:val="20"/>
        <w:szCs w:val="20"/>
      </w:rPr>
      <w:instrText xml:space="preserve"> NUMPAGES  \* Arabic  \* MERGEFORMAT </w:instrText>
    </w:r>
    <w:r>
      <w:rPr>
        <w:rFonts w:cs="Arial"/>
        <w:b/>
        <w:sz w:val="20"/>
        <w:szCs w:val="20"/>
      </w:rPr>
      <w:fldChar w:fldCharType="separate"/>
    </w:r>
    <w:r w:rsidR="009E5CB7">
      <w:rPr>
        <w:rFonts w:cs="Arial"/>
        <w:b/>
        <w:noProof/>
        <w:sz w:val="20"/>
        <w:szCs w:val="20"/>
      </w:rPr>
      <w:t>11</w:t>
    </w:r>
    <w:r>
      <w:rPr>
        <w:rFonts w:cs="Arial"/>
        <w:b/>
        <w:sz w:val="20"/>
        <w:szCs w:val="20"/>
      </w:rPr>
      <w:fldChar w:fldCharType="end"/>
    </w:r>
  </w:p>
  <w:p w14:paraId="6FF97542" w14:textId="77777777" w:rsidR="009B33CF" w:rsidRDefault="009B3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B53"/>
    <w:multiLevelType w:val="hybridMultilevel"/>
    <w:tmpl w:val="B42ECDAA"/>
    <w:lvl w:ilvl="0" w:tplc="7C043B3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722AC3"/>
    <w:multiLevelType w:val="hybridMultilevel"/>
    <w:tmpl w:val="07B87AD4"/>
    <w:lvl w:ilvl="0" w:tplc="EEE2D61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82E32"/>
    <w:multiLevelType w:val="hybridMultilevel"/>
    <w:tmpl w:val="FA8C6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21821"/>
    <w:multiLevelType w:val="hybridMultilevel"/>
    <w:tmpl w:val="9D7AD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61A52"/>
    <w:multiLevelType w:val="hybridMultilevel"/>
    <w:tmpl w:val="FA8C6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01DB4"/>
    <w:multiLevelType w:val="hybridMultilevel"/>
    <w:tmpl w:val="FA8C67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B2059"/>
    <w:multiLevelType w:val="hybridMultilevel"/>
    <w:tmpl w:val="FA8C6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D52DD"/>
    <w:multiLevelType w:val="hybridMultilevel"/>
    <w:tmpl w:val="55843F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182BE8"/>
    <w:multiLevelType w:val="hybridMultilevel"/>
    <w:tmpl w:val="3736597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713E5C"/>
    <w:multiLevelType w:val="hybridMultilevel"/>
    <w:tmpl w:val="1F02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5F6552"/>
    <w:multiLevelType w:val="hybridMultilevel"/>
    <w:tmpl w:val="7B4A4FA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A23DE"/>
    <w:multiLevelType w:val="hybridMultilevel"/>
    <w:tmpl w:val="513A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602A9B"/>
    <w:multiLevelType w:val="hybridMultilevel"/>
    <w:tmpl w:val="1AA0F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211D2"/>
    <w:multiLevelType w:val="hybridMultilevel"/>
    <w:tmpl w:val="51F0CACE"/>
    <w:lvl w:ilvl="0" w:tplc="04090017">
      <w:start w:val="1"/>
      <w:numFmt w:val="lowerLetter"/>
      <w:lvlText w:val="%1)"/>
      <w:lvlJc w:val="left"/>
      <w:pPr>
        <w:ind w:left="720" w:hanging="360"/>
      </w:pPr>
      <w:rPr>
        <w:rFonts w:hint="default"/>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24DC7"/>
    <w:multiLevelType w:val="hybridMultilevel"/>
    <w:tmpl w:val="FA8C67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C4CDE"/>
    <w:multiLevelType w:val="hybridMultilevel"/>
    <w:tmpl w:val="467C8F3C"/>
    <w:lvl w:ilvl="0" w:tplc="04090017">
      <w:start w:val="1"/>
      <w:numFmt w:val="lowerLetter"/>
      <w:lvlText w:val="%1)"/>
      <w:lvlJc w:val="left"/>
      <w:pPr>
        <w:ind w:left="360" w:hanging="360"/>
      </w:pPr>
    </w:lvl>
    <w:lvl w:ilvl="1" w:tplc="7C043B34">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57D416E"/>
    <w:multiLevelType w:val="hybridMultilevel"/>
    <w:tmpl w:val="EB4C7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266544"/>
    <w:multiLevelType w:val="hybridMultilevel"/>
    <w:tmpl w:val="8C2C0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92607"/>
    <w:multiLevelType w:val="hybridMultilevel"/>
    <w:tmpl w:val="39DC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FF152B"/>
    <w:multiLevelType w:val="hybridMultilevel"/>
    <w:tmpl w:val="BBA0653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F776D"/>
    <w:multiLevelType w:val="hybridMultilevel"/>
    <w:tmpl w:val="51F0CACE"/>
    <w:lvl w:ilvl="0" w:tplc="04090017">
      <w:start w:val="1"/>
      <w:numFmt w:val="lowerLetter"/>
      <w:lvlText w:val="%1)"/>
      <w:lvlJc w:val="left"/>
      <w:pPr>
        <w:ind w:left="720" w:hanging="360"/>
      </w:pPr>
      <w:rPr>
        <w:rFonts w:hint="default"/>
      </w:r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164FB"/>
    <w:multiLevelType w:val="hybridMultilevel"/>
    <w:tmpl w:val="4C48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2C4D67"/>
    <w:multiLevelType w:val="hybridMultilevel"/>
    <w:tmpl w:val="6DA012EC"/>
    <w:lvl w:ilvl="0" w:tplc="7C043B34">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E4EA2"/>
    <w:multiLevelType w:val="hybridMultilevel"/>
    <w:tmpl w:val="4C48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5F3CD1"/>
    <w:multiLevelType w:val="hybridMultilevel"/>
    <w:tmpl w:val="BA7008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C77BDC"/>
    <w:multiLevelType w:val="hybridMultilevel"/>
    <w:tmpl w:val="687005A4"/>
    <w:lvl w:ilvl="0" w:tplc="DFC2C3E2">
      <w:start w:val="1"/>
      <w:numFmt w:val="lowerLetter"/>
      <w:lvlText w:val="%1)"/>
      <w:lvlJc w:val="left"/>
      <w:pPr>
        <w:ind w:left="720" w:hanging="360"/>
      </w:pPr>
      <w:rPr>
        <w:rFonts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C01EC"/>
    <w:multiLevelType w:val="hybridMultilevel"/>
    <w:tmpl w:val="F31E8AF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2B06FB"/>
    <w:multiLevelType w:val="hybridMultilevel"/>
    <w:tmpl w:val="25D81300"/>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391564"/>
    <w:multiLevelType w:val="hybridMultilevel"/>
    <w:tmpl w:val="7B4A4FA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04F01"/>
    <w:multiLevelType w:val="hybridMultilevel"/>
    <w:tmpl w:val="E8AE1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5719DC"/>
    <w:multiLevelType w:val="hybridMultilevel"/>
    <w:tmpl w:val="8E142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9E17D8"/>
    <w:multiLevelType w:val="hybridMultilevel"/>
    <w:tmpl w:val="2C0C3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5383A"/>
    <w:multiLevelType w:val="hybridMultilevel"/>
    <w:tmpl w:val="A4FA7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26"/>
  </w:num>
  <w:num w:numId="4">
    <w:abstractNumId w:val="10"/>
  </w:num>
  <w:num w:numId="5">
    <w:abstractNumId w:val="7"/>
  </w:num>
  <w:num w:numId="6">
    <w:abstractNumId w:val="0"/>
  </w:num>
  <w:num w:numId="7">
    <w:abstractNumId w:val="28"/>
  </w:num>
  <w:num w:numId="8">
    <w:abstractNumId w:val="32"/>
  </w:num>
  <w:num w:numId="9">
    <w:abstractNumId w:val="19"/>
  </w:num>
  <w:num w:numId="10">
    <w:abstractNumId w:val="27"/>
  </w:num>
  <w:num w:numId="11">
    <w:abstractNumId w:val="24"/>
  </w:num>
  <w:num w:numId="12">
    <w:abstractNumId w:val="15"/>
  </w:num>
  <w:num w:numId="13">
    <w:abstractNumId w:val="22"/>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1"/>
  </w:num>
  <w:num w:numId="18">
    <w:abstractNumId w:val="12"/>
  </w:num>
  <w:num w:numId="19">
    <w:abstractNumId w:val="30"/>
  </w:num>
  <w:num w:numId="20">
    <w:abstractNumId w:val="21"/>
  </w:num>
  <w:num w:numId="21">
    <w:abstractNumId w:val="23"/>
  </w:num>
  <w:num w:numId="22">
    <w:abstractNumId w:val="9"/>
  </w:num>
  <w:num w:numId="23">
    <w:abstractNumId w:val="25"/>
  </w:num>
  <w:num w:numId="24">
    <w:abstractNumId w:val="11"/>
  </w:num>
  <w:num w:numId="25">
    <w:abstractNumId w:val="17"/>
  </w:num>
  <w:num w:numId="26">
    <w:abstractNumId w:val="18"/>
  </w:num>
  <w:num w:numId="27">
    <w:abstractNumId w:val="4"/>
  </w:num>
  <w:num w:numId="28">
    <w:abstractNumId w:val="5"/>
  </w:num>
  <w:num w:numId="29">
    <w:abstractNumId w:val="14"/>
  </w:num>
  <w:num w:numId="30">
    <w:abstractNumId w:val="1"/>
  </w:num>
  <w:num w:numId="31">
    <w:abstractNumId w:val="16"/>
  </w:num>
  <w:num w:numId="32">
    <w:abstractNumId w:val="29"/>
  </w:num>
  <w:num w:numId="33">
    <w:abstractNumId w:val="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7B"/>
    <w:rsid w:val="000023B7"/>
    <w:rsid w:val="00005A80"/>
    <w:rsid w:val="00021C4C"/>
    <w:rsid w:val="00062F32"/>
    <w:rsid w:val="00072DCA"/>
    <w:rsid w:val="00075A9E"/>
    <w:rsid w:val="00080923"/>
    <w:rsid w:val="00083518"/>
    <w:rsid w:val="000C63FD"/>
    <w:rsid w:val="001037ED"/>
    <w:rsid w:val="0012274A"/>
    <w:rsid w:val="00131C1B"/>
    <w:rsid w:val="00181DEE"/>
    <w:rsid w:val="00197543"/>
    <w:rsid w:val="001B0847"/>
    <w:rsid w:val="001C531B"/>
    <w:rsid w:val="002073FD"/>
    <w:rsid w:val="00213FC5"/>
    <w:rsid w:val="002169D4"/>
    <w:rsid w:val="002256BD"/>
    <w:rsid w:val="00236A16"/>
    <w:rsid w:val="00260708"/>
    <w:rsid w:val="0026699B"/>
    <w:rsid w:val="00281BED"/>
    <w:rsid w:val="002873FF"/>
    <w:rsid w:val="00287EB3"/>
    <w:rsid w:val="002A5D91"/>
    <w:rsid w:val="002C7D87"/>
    <w:rsid w:val="002D3D15"/>
    <w:rsid w:val="002D7378"/>
    <w:rsid w:val="002E1F29"/>
    <w:rsid w:val="002E47C1"/>
    <w:rsid w:val="002F3E17"/>
    <w:rsid w:val="0031616A"/>
    <w:rsid w:val="00342719"/>
    <w:rsid w:val="003643A4"/>
    <w:rsid w:val="00364CD5"/>
    <w:rsid w:val="003666F5"/>
    <w:rsid w:val="0038251F"/>
    <w:rsid w:val="003A2E14"/>
    <w:rsid w:val="003A522F"/>
    <w:rsid w:val="003B0585"/>
    <w:rsid w:val="003C39B0"/>
    <w:rsid w:val="003F6349"/>
    <w:rsid w:val="00421294"/>
    <w:rsid w:val="00427646"/>
    <w:rsid w:val="004566B7"/>
    <w:rsid w:val="00477068"/>
    <w:rsid w:val="00477121"/>
    <w:rsid w:val="004E6DBB"/>
    <w:rsid w:val="00507C87"/>
    <w:rsid w:val="005363E9"/>
    <w:rsid w:val="005376C5"/>
    <w:rsid w:val="0054349A"/>
    <w:rsid w:val="00580FAD"/>
    <w:rsid w:val="005A7E12"/>
    <w:rsid w:val="005B207C"/>
    <w:rsid w:val="005E39D9"/>
    <w:rsid w:val="005F47F1"/>
    <w:rsid w:val="006065E0"/>
    <w:rsid w:val="0061062C"/>
    <w:rsid w:val="00625A7B"/>
    <w:rsid w:val="00662EEF"/>
    <w:rsid w:val="00673900"/>
    <w:rsid w:val="00681F32"/>
    <w:rsid w:val="006823D7"/>
    <w:rsid w:val="006A2AA3"/>
    <w:rsid w:val="006F7BE8"/>
    <w:rsid w:val="0076230F"/>
    <w:rsid w:val="007634A9"/>
    <w:rsid w:val="00775BF8"/>
    <w:rsid w:val="007874F8"/>
    <w:rsid w:val="008821BB"/>
    <w:rsid w:val="00897B99"/>
    <w:rsid w:val="008A03FC"/>
    <w:rsid w:val="008A3AB2"/>
    <w:rsid w:val="008B45F4"/>
    <w:rsid w:val="008C3810"/>
    <w:rsid w:val="008E3436"/>
    <w:rsid w:val="00912B21"/>
    <w:rsid w:val="0091697C"/>
    <w:rsid w:val="00916BDB"/>
    <w:rsid w:val="009213D8"/>
    <w:rsid w:val="00927611"/>
    <w:rsid w:val="00982F15"/>
    <w:rsid w:val="00996ABF"/>
    <w:rsid w:val="009B33CF"/>
    <w:rsid w:val="009E5CB7"/>
    <w:rsid w:val="009F4F54"/>
    <w:rsid w:val="009F5739"/>
    <w:rsid w:val="00A0016D"/>
    <w:rsid w:val="00A071E7"/>
    <w:rsid w:val="00A36866"/>
    <w:rsid w:val="00A43242"/>
    <w:rsid w:val="00A51CBE"/>
    <w:rsid w:val="00A53F6A"/>
    <w:rsid w:val="00A72AE5"/>
    <w:rsid w:val="00A846A2"/>
    <w:rsid w:val="00AC5D74"/>
    <w:rsid w:val="00AC68BE"/>
    <w:rsid w:val="00AF1397"/>
    <w:rsid w:val="00B13A6D"/>
    <w:rsid w:val="00B455AC"/>
    <w:rsid w:val="00B85CFE"/>
    <w:rsid w:val="00B97EF9"/>
    <w:rsid w:val="00BA1E73"/>
    <w:rsid w:val="00BA2686"/>
    <w:rsid w:val="00BB39E7"/>
    <w:rsid w:val="00BB5625"/>
    <w:rsid w:val="00BD7521"/>
    <w:rsid w:val="00BD7F5B"/>
    <w:rsid w:val="00C170B4"/>
    <w:rsid w:val="00C260C9"/>
    <w:rsid w:val="00C33B27"/>
    <w:rsid w:val="00C603E1"/>
    <w:rsid w:val="00C8427F"/>
    <w:rsid w:val="00CA1934"/>
    <w:rsid w:val="00CD50E4"/>
    <w:rsid w:val="00CF75F8"/>
    <w:rsid w:val="00D01B03"/>
    <w:rsid w:val="00D30EF9"/>
    <w:rsid w:val="00D41668"/>
    <w:rsid w:val="00D4584A"/>
    <w:rsid w:val="00D624C2"/>
    <w:rsid w:val="00D66C58"/>
    <w:rsid w:val="00D7136D"/>
    <w:rsid w:val="00D7382A"/>
    <w:rsid w:val="00D747D4"/>
    <w:rsid w:val="00DA060C"/>
    <w:rsid w:val="00DC32A5"/>
    <w:rsid w:val="00DC3683"/>
    <w:rsid w:val="00DE73C5"/>
    <w:rsid w:val="00E022FB"/>
    <w:rsid w:val="00E538CF"/>
    <w:rsid w:val="00E970FB"/>
    <w:rsid w:val="00EB198F"/>
    <w:rsid w:val="00EB6D57"/>
    <w:rsid w:val="00ED3697"/>
    <w:rsid w:val="00EE24DC"/>
    <w:rsid w:val="00F01F29"/>
    <w:rsid w:val="00F31213"/>
    <w:rsid w:val="00F45008"/>
    <w:rsid w:val="00F70A32"/>
    <w:rsid w:val="00F8212E"/>
    <w:rsid w:val="00FA3CBA"/>
    <w:rsid w:val="00FA5422"/>
    <w:rsid w:val="00FC4470"/>
    <w:rsid w:val="00FE080F"/>
    <w:rsid w:val="00FE4621"/>
    <w:rsid w:val="00FF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EE4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B11"/>
    <w:pPr>
      <w:ind w:left="720"/>
      <w:contextualSpacing/>
    </w:pPr>
  </w:style>
  <w:style w:type="paragraph" w:customStyle="1" w:styleId="Default">
    <w:name w:val="Default"/>
    <w:rsid w:val="00FF2B11"/>
    <w:pPr>
      <w:autoSpaceDE w:val="0"/>
      <w:autoSpaceDN w:val="0"/>
      <w:adjustRightInd w:val="0"/>
      <w:spacing w:after="0" w:line="240" w:lineRule="auto"/>
    </w:pPr>
    <w:rPr>
      <w:rFonts w:cs="Arial"/>
      <w:color w:val="000000"/>
      <w:sz w:val="24"/>
      <w:szCs w:val="24"/>
    </w:rPr>
  </w:style>
  <w:style w:type="table" w:styleId="TableGrid">
    <w:name w:val="Table Grid"/>
    <w:basedOn w:val="TableNormal"/>
    <w:uiPriority w:val="39"/>
    <w:rsid w:val="002A5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34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49A"/>
    <w:rPr>
      <w:sz w:val="20"/>
      <w:szCs w:val="20"/>
    </w:rPr>
  </w:style>
  <w:style w:type="character" w:styleId="FootnoteReference">
    <w:name w:val="footnote reference"/>
    <w:basedOn w:val="DefaultParagraphFont"/>
    <w:uiPriority w:val="99"/>
    <w:semiHidden/>
    <w:unhideWhenUsed/>
    <w:rsid w:val="0054349A"/>
    <w:rPr>
      <w:vertAlign w:val="superscript"/>
    </w:rPr>
  </w:style>
  <w:style w:type="character" w:styleId="CommentReference">
    <w:name w:val="annotation reference"/>
    <w:basedOn w:val="DefaultParagraphFont"/>
    <w:uiPriority w:val="99"/>
    <w:semiHidden/>
    <w:unhideWhenUsed/>
    <w:rsid w:val="00B97EF9"/>
    <w:rPr>
      <w:sz w:val="16"/>
      <w:szCs w:val="16"/>
    </w:rPr>
  </w:style>
  <w:style w:type="paragraph" w:styleId="CommentText">
    <w:name w:val="annotation text"/>
    <w:basedOn w:val="Normal"/>
    <w:link w:val="CommentTextChar"/>
    <w:uiPriority w:val="99"/>
    <w:semiHidden/>
    <w:unhideWhenUsed/>
    <w:rsid w:val="00B97EF9"/>
    <w:pPr>
      <w:spacing w:line="240" w:lineRule="auto"/>
    </w:pPr>
    <w:rPr>
      <w:sz w:val="20"/>
      <w:szCs w:val="20"/>
    </w:rPr>
  </w:style>
  <w:style w:type="character" w:customStyle="1" w:styleId="CommentTextChar">
    <w:name w:val="Comment Text Char"/>
    <w:basedOn w:val="DefaultParagraphFont"/>
    <w:link w:val="CommentText"/>
    <w:uiPriority w:val="99"/>
    <w:semiHidden/>
    <w:rsid w:val="00B97EF9"/>
    <w:rPr>
      <w:sz w:val="20"/>
      <w:szCs w:val="20"/>
    </w:rPr>
  </w:style>
  <w:style w:type="paragraph" w:styleId="BalloonText">
    <w:name w:val="Balloon Text"/>
    <w:basedOn w:val="Normal"/>
    <w:link w:val="BalloonTextChar"/>
    <w:uiPriority w:val="99"/>
    <w:semiHidden/>
    <w:unhideWhenUsed/>
    <w:rsid w:val="00B97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2686"/>
    <w:rPr>
      <w:b/>
      <w:bCs/>
    </w:rPr>
  </w:style>
  <w:style w:type="character" w:customStyle="1" w:styleId="CommentSubjectChar">
    <w:name w:val="Comment Subject Char"/>
    <w:basedOn w:val="CommentTextChar"/>
    <w:link w:val="CommentSubject"/>
    <w:uiPriority w:val="99"/>
    <w:semiHidden/>
    <w:rsid w:val="00BA2686"/>
    <w:rPr>
      <w:b/>
      <w:bCs/>
      <w:sz w:val="20"/>
      <w:szCs w:val="20"/>
    </w:rPr>
  </w:style>
  <w:style w:type="paragraph" w:styleId="Header">
    <w:name w:val="header"/>
    <w:basedOn w:val="Normal"/>
    <w:link w:val="HeaderChar"/>
    <w:uiPriority w:val="99"/>
    <w:unhideWhenUsed/>
    <w:rsid w:val="00CD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E4"/>
  </w:style>
  <w:style w:type="paragraph" w:styleId="Footer">
    <w:name w:val="footer"/>
    <w:basedOn w:val="Normal"/>
    <w:link w:val="FooterChar"/>
    <w:uiPriority w:val="99"/>
    <w:unhideWhenUsed/>
    <w:rsid w:val="00CD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B11"/>
    <w:pPr>
      <w:ind w:left="720"/>
      <w:contextualSpacing/>
    </w:pPr>
  </w:style>
  <w:style w:type="paragraph" w:customStyle="1" w:styleId="Default">
    <w:name w:val="Default"/>
    <w:rsid w:val="00FF2B11"/>
    <w:pPr>
      <w:autoSpaceDE w:val="0"/>
      <w:autoSpaceDN w:val="0"/>
      <w:adjustRightInd w:val="0"/>
      <w:spacing w:after="0" w:line="240" w:lineRule="auto"/>
    </w:pPr>
    <w:rPr>
      <w:rFonts w:cs="Arial"/>
      <w:color w:val="000000"/>
      <w:sz w:val="24"/>
      <w:szCs w:val="24"/>
    </w:rPr>
  </w:style>
  <w:style w:type="table" w:styleId="TableGrid">
    <w:name w:val="Table Grid"/>
    <w:basedOn w:val="TableNormal"/>
    <w:uiPriority w:val="39"/>
    <w:rsid w:val="002A5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34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49A"/>
    <w:rPr>
      <w:sz w:val="20"/>
      <w:szCs w:val="20"/>
    </w:rPr>
  </w:style>
  <w:style w:type="character" w:styleId="FootnoteReference">
    <w:name w:val="footnote reference"/>
    <w:basedOn w:val="DefaultParagraphFont"/>
    <w:uiPriority w:val="99"/>
    <w:semiHidden/>
    <w:unhideWhenUsed/>
    <w:rsid w:val="0054349A"/>
    <w:rPr>
      <w:vertAlign w:val="superscript"/>
    </w:rPr>
  </w:style>
  <w:style w:type="character" w:styleId="CommentReference">
    <w:name w:val="annotation reference"/>
    <w:basedOn w:val="DefaultParagraphFont"/>
    <w:uiPriority w:val="99"/>
    <w:semiHidden/>
    <w:unhideWhenUsed/>
    <w:rsid w:val="00B97EF9"/>
    <w:rPr>
      <w:sz w:val="16"/>
      <w:szCs w:val="16"/>
    </w:rPr>
  </w:style>
  <w:style w:type="paragraph" w:styleId="CommentText">
    <w:name w:val="annotation text"/>
    <w:basedOn w:val="Normal"/>
    <w:link w:val="CommentTextChar"/>
    <w:uiPriority w:val="99"/>
    <w:semiHidden/>
    <w:unhideWhenUsed/>
    <w:rsid w:val="00B97EF9"/>
    <w:pPr>
      <w:spacing w:line="240" w:lineRule="auto"/>
    </w:pPr>
    <w:rPr>
      <w:sz w:val="20"/>
      <w:szCs w:val="20"/>
    </w:rPr>
  </w:style>
  <w:style w:type="character" w:customStyle="1" w:styleId="CommentTextChar">
    <w:name w:val="Comment Text Char"/>
    <w:basedOn w:val="DefaultParagraphFont"/>
    <w:link w:val="CommentText"/>
    <w:uiPriority w:val="99"/>
    <w:semiHidden/>
    <w:rsid w:val="00B97EF9"/>
    <w:rPr>
      <w:sz w:val="20"/>
      <w:szCs w:val="20"/>
    </w:rPr>
  </w:style>
  <w:style w:type="paragraph" w:styleId="BalloonText">
    <w:name w:val="Balloon Text"/>
    <w:basedOn w:val="Normal"/>
    <w:link w:val="BalloonTextChar"/>
    <w:uiPriority w:val="99"/>
    <w:semiHidden/>
    <w:unhideWhenUsed/>
    <w:rsid w:val="00B97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2686"/>
    <w:rPr>
      <w:b/>
      <w:bCs/>
    </w:rPr>
  </w:style>
  <w:style w:type="character" w:customStyle="1" w:styleId="CommentSubjectChar">
    <w:name w:val="Comment Subject Char"/>
    <w:basedOn w:val="CommentTextChar"/>
    <w:link w:val="CommentSubject"/>
    <w:uiPriority w:val="99"/>
    <w:semiHidden/>
    <w:rsid w:val="00BA2686"/>
    <w:rPr>
      <w:b/>
      <w:bCs/>
      <w:sz w:val="20"/>
      <w:szCs w:val="20"/>
    </w:rPr>
  </w:style>
  <w:style w:type="paragraph" w:styleId="Header">
    <w:name w:val="header"/>
    <w:basedOn w:val="Normal"/>
    <w:link w:val="HeaderChar"/>
    <w:uiPriority w:val="99"/>
    <w:unhideWhenUsed/>
    <w:rsid w:val="00CD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E4"/>
  </w:style>
  <w:style w:type="paragraph" w:styleId="Footer">
    <w:name w:val="footer"/>
    <w:basedOn w:val="Normal"/>
    <w:link w:val="FooterChar"/>
    <w:uiPriority w:val="99"/>
    <w:unhideWhenUsed/>
    <w:rsid w:val="00CD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3594">
      <w:bodyDiv w:val="1"/>
      <w:marLeft w:val="0"/>
      <w:marRight w:val="0"/>
      <w:marTop w:val="0"/>
      <w:marBottom w:val="0"/>
      <w:divBdr>
        <w:top w:val="none" w:sz="0" w:space="0" w:color="auto"/>
        <w:left w:val="none" w:sz="0" w:space="0" w:color="auto"/>
        <w:bottom w:val="none" w:sz="0" w:space="0" w:color="auto"/>
        <w:right w:val="none" w:sz="0" w:space="0" w:color="auto"/>
      </w:divBdr>
    </w:div>
    <w:div w:id="73626520">
      <w:bodyDiv w:val="1"/>
      <w:marLeft w:val="0"/>
      <w:marRight w:val="0"/>
      <w:marTop w:val="0"/>
      <w:marBottom w:val="0"/>
      <w:divBdr>
        <w:top w:val="none" w:sz="0" w:space="0" w:color="auto"/>
        <w:left w:val="none" w:sz="0" w:space="0" w:color="auto"/>
        <w:bottom w:val="none" w:sz="0" w:space="0" w:color="auto"/>
        <w:right w:val="none" w:sz="0" w:space="0" w:color="auto"/>
      </w:divBdr>
    </w:div>
    <w:div w:id="122231225">
      <w:bodyDiv w:val="1"/>
      <w:marLeft w:val="0"/>
      <w:marRight w:val="0"/>
      <w:marTop w:val="0"/>
      <w:marBottom w:val="0"/>
      <w:divBdr>
        <w:top w:val="none" w:sz="0" w:space="0" w:color="auto"/>
        <w:left w:val="none" w:sz="0" w:space="0" w:color="auto"/>
        <w:bottom w:val="none" w:sz="0" w:space="0" w:color="auto"/>
        <w:right w:val="none" w:sz="0" w:space="0" w:color="auto"/>
      </w:divBdr>
    </w:div>
    <w:div w:id="259142024">
      <w:bodyDiv w:val="1"/>
      <w:marLeft w:val="0"/>
      <w:marRight w:val="0"/>
      <w:marTop w:val="0"/>
      <w:marBottom w:val="0"/>
      <w:divBdr>
        <w:top w:val="none" w:sz="0" w:space="0" w:color="auto"/>
        <w:left w:val="none" w:sz="0" w:space="0" w:color="auto"/>
        <w:bottom w:val="none" w:sz="0" w:space="0" w:color="auto"/>
        <w:right w:val="none" w:sz="0" w:space="0" w:color="auto"/>
      </w:divBdr>
    </w:div>
    <w:div w:id="432241959">
      <w:bodyDiv w:val="1"/>
      <w:marLeft w:val="0"/>
      <w:marRight w:val="0"/>
      <w:marTop w:val="0"/>
      <w:marBottom w:val="0"/>
      <w:divBdr>
        <w:top w:val="none" w:sz="0" w:space="0" w:color="auto"/>
        <w:left w:val="none" w:sz="0" w:space="0" w:color="auto"/>
        <w:bottom w:val="none" w:sz="0" w:space="0" w:color="auto"/>
        <w:right w:val="none" w:sz="0" w:space="0" w:color="auto"/>
      </w:divBdr>
    </w:div>
    <w:div w:id="466169624">
      <w:bodyDiv w:val="1"/>
      <w:marLeft w:val="0"/>
      <w:marRight w:val="0"/>
      <w:marTop w:val="0"/>
      <w:marBottom w:val="0"/>
      <w:divBdr>
        <w:top w:val="none" w:sz="0" w:space="0" w:color="auto"/>
        <w:left w:val="none" w:sz="0" w:space="0" w:color="auto"/>
        <w:bottom w:val="none" w:sz="0" w:space="0" w:color="auto"/>
        <w:right w:val="none" w:sz="0" w:space="0" w:color="auto"/>
      </w:divBdr>
    </w:div>
    <w:div w:id="1380785312">
      <w:bodyDiv w:val="1"/>
      <w:marLeft w:val="0"/>
      <w:marRight w:val="0"/>
      <w:marTop w:val="0"/>
      <w:marBottom w:val="0"/>
      <w:divBdr>
        <w:top w:val="none" w:sz="0" w:space="0" w:color="auto"/>
        <w:left w:val="none" w:sz="0" w:space="0" w:color="auto"/>
        <w:bottom w:val="none" w:sz="0" w:space="0" w:color="auto"/>
        <w:right w:val="none" w:sz="0" w:space="0" w:color="auto"/>
      </w:divBdr>
    </w:div>
    <w:div w:id="1458449247">
      <w:bodyDiv w:val="1"/>
      <w:marLeft w:val="0"/>
      <w:marRight w:val="0"/>
      <w:marTop w:val="0"/>
      <w:marBottom w:val="0"/>
      <w:divBdr>
        <w:top w:val="none" w:sz="0" w:space="0" w:color="auto"/>
        <w:left w:val="none" w:sz="0" w:space="0" w:color="auto"/>
        <w:bottom w:val="none" w:sz="0" w:space="0" w:color="auto"/>
        <w:right w:val="none" w:sz="0" w:space="0" w:color="auto"/>
      </w:divBdr>
    </w:div>
    <w:div w:id="1683704758">
      <w:bodyDiv w:val="1"/>
      <w:marLeft w:val="0"/>
      <w:marRight w:val="0"/>
      <w:marTop w:val="0"/>
      <w:marBottom w:val="0"/>
      <w:divBdr>
        <w:top w:val="none" w:sz="0" w:space="0" w:color="auto"/>
        <w:left w:val="none" w:sz="0" w:space="0" w:color="auto"/>
        <w:bottom w:val="none" w:sz="0" w:space="0" w:color="auto"/>
        <w:right w:val="none" w:sz="0" w:space="0" w:color="auto"/>
      </w:divBdr>
    </w:div>
    <w:div w:id="1870608288">
      <w:bodyDiv w:val="1"/>
      <w:marLeft w:val="0"/>
      <w:marRight w:val="0"/>
      <w:marTop w:val="0"/>
      <w:marBottom w:val="0"/>
      <w:divBdr>
        <w:top w:val="none" w:sz="0" w:space="0" w:color="auto"/>
        <w:left w:val="none" w:sz="0" w:space="0" w:color="auto"/>
        <w:bottom w:val="none" w:sz="0" w:space="0" w:color="auto"/>
        <w:right w:val="none" w:sz="0" w:space="0" w:color="auto"/>
      </w:divBdr>
    </w:div>
    <w:div w:id="19161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44F8-838A-45CB-8586-5C3F0B23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11</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Kwan</dc:creator>
  <cp:lastModifiedBy>Ian McKenzie</cp:lastModifiedBy>
  <cp:revision>7</cp:revision>
  <cp:lastPrinted>2019-10-09T14:17:00Z</cp:lastPrinted>
  <dcterms:created xsi:type="dcterms:W3CDTF">2020-01-09T19:13:00Z</dcterms:created>
  <dcterms:modified xsi:type="dcterms:W3CDTF">2020-01-10T18:59:00Z</dcterms:modified>
</cp:coreProperties>
</file>