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AFD58" w14:textId="77777777" w:rsidR="001C4A01" w:rsidRPr="00C80B72" w:rsidRDefault="001C4A01" w:rsidP="001C4A01">
      <w:pPr>
        <w:spacing w:line="276" w:lineRule="auto"/>
        <w:jc w:val="center"/>
        <w:rPr>
          <w:rFonts w:cs="Arial"/>
          <w:b/>
          <w:sz w:val="28"/>
          <w:szCs w:val="28"/>
        </w:rPr>
      </w:pPr>
      <w:proofErr w:type="spellStart"/>
      <w:r w:rsidRPr="00C80B72">
        <w:rPr>
          <w:rFonts w:cs="Arial"/>
          <w:b/>
          <w:sz w:val="28"/>
          <w:szCs w:val="28"/>
        </w:rPr>
        <w:t>Tillsonburg</w:t>
      </w:r>
      <w:proofErr w:type="spellEnd"/>
      <w:r w:rsidRPr="00C80B72">
        <w:rPr>
          <w:rFonts w:cs="Arial"/>
          <w:b/>
          <w:sz w:val="28"/>
          <w:szCs w:val="28"/>
        </w:rPr>
        <w:t xml:space="preserve"> Hydro Inc. (</w:t>
      </w:r>
      <w:proofErr w:type="spellStart"/>
      <w:r w:rsidRPr="00C80B72">
        <w:rPr>
          <w:rFonts w:cs="Arial"/>
          <w:b/>
          <w:sz w:val="28"/>
          <w:szCs w:val="28"/>
        </w:rPr>
        <w:t>Tillsonburg</w:t>
      </w:r>
      <w:proofErr w:type="spellEnd"/>
      <w:r w:rsidRPr="00C80B72">
        <w:rPr>
          <w:rFonts w:cs="Arial"/>
          <w:b/>
          <w:sz w:val="28"/>
          <w:szCs w:val="28"/>
        </w:rPr>
        <w:t>)</w:t>
      </w:r>
    </w:p>
    <w:p w14:paraId="71D5DCA0" w14:textId="77777777" w:rsidR="001C4A01" w:rsidRPr="00C80B72" w:rsidRDefault="001C4A01" w:rsidP="001C4A01">
      <w:pPr>
        <w:spacing w:line="276" w:lineRule="auto"/>
        <w:jc w:val="center"/>
        <w:rPr>
          <w:rFonts w:cs="Arial"/>
          <w:b/>
          <w:sz w:val="24"/>
          <w:szCs w:val="24"/>
        </w:rPr>
      </w:pPr>
      <w:r w:rsidRPr="00C80B72">
        <w:rPr>
          <w:rFonts w:cs="Arial"/>
          <w:b/>
          <w:sz w:val="24"/>
          <w:szCs w:val="24"/>
        </w:rPr>
        <w:t>2020 IRM Application</w:t>
      </w:r>
    </w:p>
    <w:p w14:paraId="347DE728" w14:textId="77777777" w:rsidR="001C4A01" w:rsidRPr="00C80B72" w:rsidRDefault="001C4A01" w:rsidP="001C4A01">
      <w:pPr>
        <w:spacing w:line="276" w:lineRule="auto"/>
        <w:jc w:val="center"/>
        <w:rPr>
          <w:rFonts w:cs="Arial"/>
          <w:b/>
          <w:sz w:val="24"/>
          <w:szCs w:val="24"/>
        </w:rPr>
      </w:pPr>
      <w:r w:rsidRPr="00C80B72">
        <w:rPr>
          <w:rFonts w:cs="Arial"/>
          <w:b/>
          <w:sz w:val="24"/>
          <w:szCs w:val="24"/>
        </w:rPr>
        <w:t>EB-2019-0069</w:t>
      </w:r>
    </w:p>
    <w:p w14:paraId="5D19ABD7" w14:textId="7D41561E" w:rsidR="001C4A01" w:rsidRPr="00C80B72" w:rsidRDefault="00C80B72" w:rsidP="001C4A01">
      <w:pPr>
        <w:spacing w:line="276" w:lineRule="auto"/>
        <w:jc w:val="center"/>
        <w:rPr>
          <w:rFonts w:cs="Arial"/>
          <w:b/>
          <w:sz w:val="24"/>
          <w:szCs w:val="24"/>
        </w:rPr>
      </w:pPr>
      <w:r w:rsidRPr="00C80B72">
        <w:rPr>
          <w:rFonts w:cs="Arial"/>
          <w:b/>
          <w:sz w:val="24"/>
          <w:szCs w:val="24"/>
        </w:rPr>
        <w:t>Application Analysis</w:t>
      </w:r>
      <w:r w:rsidR="00DA5628">
        <w:rPr>
          <w:rFonts w:cs="Arial"/>
          <w:b/>
          <w:sz w:val="24"/>
          <w:szCs w:val="24"/>
        </w:rPr>
        <w:t xml:space="preserve"> – </w:t>
      </w:r>
      <w:proofErr w:type="spellStart"/>
      <w:r w:rsidR="00DA5628">
        <w:rPr>
          <w:rFonts w:cs="Arial"/>
          <w:b/>
          <w:sz w:val="24"/>
          <w:szCs w:val="24"/>
        </w:rPr>
        <w:t>Tillsonburg</w:t>
      </w:r>
      <w:proofErr w:type="spellEnd"/>
      <w:r w:rsidR="00DA5628">
        <w:rPr>
          <w:rFonts w:cs="Arial"/>
          <w:b/>
          <w:sz w:val="24"/>
          <w:szCs w:val="24"/>
        </w:rPr>
        <w:t xml:space="preserve"> Hydro Responses</w:t>
      </w:r>
    </w:p>
    <w:p w14:paraId="3CE24DCB" w14:textId="48161FEF" w:rsidR="001C4A01" w:rsidRDefault="00884615" w:rsidP="001C4A01">
      <w:pPr>
        <w:spacing w:line="276" w:lineRule="auto"/>
        <w:jc w:val="center"/>
        <w:rPr>
          <w:rFonts w:cs="Arial"/>
          <w:b/>
          <w:sz w:val="24"/>
          <w:szCs w:val="24"/>
        </w:rPr>
      </w:pPr>
      <w:r w:rsidRPr="00C80B72">
        <w:rPr>
          <w:rFonts w:cs="Arial"/>
          <w:b/>
          <w:sz w:val="24"/>
          <w:szCs w:val="24"/>
        </w:rPr>
        <w:t>February</w:t>
      </w:r>
      <w:r w:rsidR="001C4A01" w:rsidRPr="00C80B72">
        <w:rPr>
          <w:rFonts w:cs="Arial"/>
          <w:b/>
          <w:sz w:val="24"/>
          <w:szCs w:val="24"/>
        </w:rPr>
        <w:t xml:space="preserve"> </w:t>
      </w:r>
      <w:r w:rsidR="00DA5628">
        <w:rPr>
          <w:rFonts w:cs="Arial"/>
          <w:b/>
          <w:sz w:val="24"/>
          <w:szCs w:val="24"/>
        </w:rPr>
        <w:t>12</w:t>
      </w:r>
      <w:r w:rsidR="001C4A01" w:rsidRPr="00C80B72">
        <w:rPr>
          <w:rFonts w:cs="Arial"/>
          <w:b/>
          <w:sz w:val="24"/>
          <w:szCs w:val="24"/>
        </w:rPr>
        <w:t>, 2020</w:t>
      </w:r>
    </w:p>
    <w:p w14:paraId="50CF33CB" w14:textId="77777777" w:rsidR="001C4A01" w:rsidRDefault="001C4A01" w:rsidP="001C4A01">
      <w:pPr>
        <w:spacing w:line="276" w:lineRule="auto"/>
        <w:rPr>
          <w:rFonts w:cs="Arial"/>
          <w:b/>
          <w:sz w:val="24"/>
          <w:szCs w:val="24"/>
        </w:rPr>
      </w:pPr>
    </w:p>
    <w:p w14:paraId="749ECFDB" w14:textId="3E0AA76E" w:rsidR="00FD39F6" w:rsidRDefault="00546A8A" w:rsidP="00FD39F6">
      <w:pPr>
        <w:spacing w:line="276" w:lineRule="auto"/>
        <w:rPr>
          <w:rFonts w:cs="Arial"/>
          <w:b/>
          <w:sz w:val="24"/>
          <w:szCs w:val="24"/>
        </w:rPr>
      </w:pPr>
      <w:r>
        <w:rPr>
          <w:rFonts w:cs="Arial"/>
          <w:b/>
          <w:sz w:val="24"/>
          <w:szCs w:val="24"/>
        </w:rPr>
        <w:t>Staff Question #5</w:t>
      </w:r>
    </w:p>
    <w:p w14:paraId="0B98F51B" w14:textId="77777777" w:rsidR="00FD39F6" w:rsidRDefault="00FD39F6" w:rsidP="00FD39F6">
      <w:pPr>
        <w:spacing w:after="0" w:line="276" w:lineRule="auto"/>
        <w:rPr>
          <w:rFonts w:cs="Arial"/>
          <w:b/>
          <w:sz w:val="24"/>
          <w:szCs w:val="24"/>
        </w:rPr>
      </w:pPr>
      <w:r>
        <w:rPr>
          <w:rFonts w:cs="Arial"/>
          <w:b/>
          <w:sz w:val="24"/>
          <w:szCs w:val="24"/>
        </w:rPr>
        <w:t>Ref:</w:t>
      </w:r>
      <w:r>
        <w:rPr>
          <w:rFonts w:cs="Arial"/>
          <w:b/>
          <w:sz w:val="24"/>
          <w:szCs w:val="24"/>
        </w:rPr>
        <w:tab/>
        <w:t>Staff Question #2 part c)</w:t>
      </w:r>
    </w:p>
    <w:p w14:paraId="05FFB9B2" w14:textId="77777777" w:rsidR="00FD39F6" w:rsidRDefault="00FD39F6" w:rsidP="00FD39F6">
      <w:pPr>
        <w:spacing w:line="276" w:lineRule="auto"/>
        <w:rPr>
          <w:rFonts w:cs="Arial"/>
          <w:b/>
          <w:sz w:val="24"/>
          <w:szCs w:val="24"/>
        </w:rPr>
      </w:pPr>
      <w:r>
        <w:rPr>
          <w:rFonts w:cs="Arial"/>
          <w:b/>
          <w:sz w:val="24"/>
          <w:szCs w:val="24"/>
        </w:rPr>
        <w:tab/>
        <w:t>IRM Rate Generator, Tab 1. Information Sheet</w:t>
      </w:r>
    </w:p>
    <w:p w14:paraId="3E838D93" w14:textId="77777777" w:rsidR="00FD39F6" w:rsidRDefault="00FD39F6" w:rsidP="00FD39F6">
      <w:pPr>
        <w:spacing w:line="276" w:lineRule="auto"/>
        <w:rPr>
          <w:rFonts w:cs="Arial"/>
          <w:sz w:val="24"/>
          <w:szCs w:val="24"/>
        </w:rPr>
      </w:pPr>
      <w:proofErr w:type="spellStart"/>
      <w:r>
        <w:rPr>
          <w:rFonts w:cs="Arial"/>
          <w:sz w:val="24"/>
          <w:szCs w:val="24"/>
        </w:rPr>
        <w:t>Tillsonburg</w:t>
      </w:r>
      <w:proofErr w:type="spellEnd"/>
      <w:r>
        <w:rPr>
          <w:rFonts w:cs="Arial"/>
          <w:sz w:val="24"/>
          <w:szCs w:val="24"/>
        </w:rPr>
        <w:t xml:space="preserve"> explained that the CBR Class B is included in Account 1580 – WMS balance. This amount is not broken out in the continuity schedule. </w:t>
      </w:r>
      <w:proofErr w:type="spellStart"/>
      <w:r>
        <w:rPr>
          <w:rFonts w:cs="Arial"/>
          <w:sz w:val="24"/>
          <w:szCs w:val="24"/>
        </w:rPr>
        <w:t>Tillsonburg</w:t>
      </w:r>
      <w:proofErr w:type="spellEnd"/>
      <w:r>
        <w:rPr>
          <w:rFonts w:cs="Arial"/>
          <w:sz w:val="24"/>
          <w:szCs w:val="24"/>
        </w:rPr>
        <w:t xml:space="preserve"> has also indicated that it has Class A customers. CBR Class B balances are incurred only on behalf of Class B customers, and therefore are to be disposed of only to Class B customers, while other balances in Account 1580 – WMS are incurred on behalf of all customers, and therefore are to be disposed of to all customers. Therefore, these amounts need to be tracked separately so that they can be disposed of to the different groups of customers.</w:t>
      </w:r>
    </w:p>
    <w:p w14:paraId="57DB04D0" w14:textId="77777777" w:rsidR="00FD39F6" w:rsidRDefault="00FD39F6" w:rsidP="00FD39F6">
      <w:pPr>
        <w:spacing w:line="276" w:lineRule="auto"/>
        <w:rPr>
          <w:rFonts w:cs="Arial"/>
          <w:sz w:val="24"/>
          <w:szCs w:val="24"/>
        </w:rPr>
      </w:pPr>
    </w:p>
    <w:p w14:paraId="08547330" w14:textId="77777777" w:rsidR="00FD39F6" w:rsidRPr="00FD39F6" w:rsidRDefault="00FD39F6" w:rsidP="00FD39F6">
      <w:pPr>
        <w:spacing w:line="276" w:lineRule="auto"/>
        <w:rPr>
          <w:rFonts w:cs="Arial"/>
          <w:sz w:val="24"/>
          <w:szCs w:val="24"/>
        </w:rPr>
      </w:pPr>
      <w:r w:rsidRPr="00FD39F6">
        <w:rPr>
          <w:rFonts w:cs="Arial"/>
          <w:sz w:val="24"/>
          <w:szCs w:val="24"/>
        </w:rPr>
        <w:t>Please perform the steps outlined in Question 2) Part d) That is:</w:t>
      </w:r>
    </w:p>
    <w:p w14:paraId="2AD3A0D3" w14:textId="77777777" w:rsidR="00FD39F6" w:rsidRDefault="00FD39F6" w:rsidP="00FD39F6">
      <w:pPr>
        <w:pStyle w:val="ListParagraph"/>
        <w:numPr>
          <w:ilvl w:val="0"/>
          <w:numId w:val="8"/>
        </w:numPr>
        <w:spacing w:line="276" w:lineRule="auto"/>
        <w:rPr>
          <w:rFonts w:cs="Arial"/>
          <w:sz w:val="24"/>
          <w:szCs w:val="24"/>
        </w:rPr>
      </w:pPr>
      <w:r>
        <w:rPr>
          <w:rFonts w:cs="Arial"/>
          <w:sz w:val="24"/>
          <w:szCs w:val="24"/>
        </w:rPr>
        <w:t>Revise the continuity schedule to reflect the amounts that should be recorded in the Sub-account CBR Class B, or explain why this is not possible.</w:t>
      </w:r>
    </w:p>
    <w:p w14:paraId="13CD94D3" w14:textId="77777777" w:rsidR="00FD39F6" w:rsidRPr="00AD31FA" w:rsidRDefault="00FD39F6" w:rsidP="00FD39F6">
      <w:pPr>
        <w:pStyle w:val="ListParagraph"/>
        <w:numPr>
          <w:ilvl w:val="0"/>
          <w:numId w:val="8"/>
        </w:numPr>
        <w:spacing w:line="276" w:lineRule="auto"/>
        <w:rPr>
          <w:rFonts w:cs="Arial"/>
          <w:sz w:val="24"/>
          <w:szCs w:val="24"/>
        </w:rPr>
      </w:pPr>
      <w:r w:rsidRPr="00AD31FA">
        <w:rPr>
          <w:rFonts w:cs="Arial"/>
          <w:sz w:val="24"/>
          <w:szCs w:val="24"/>
        </w:rPr>
        <w:t>On sheet 1. Information Sheet, row 43 (with macros enabled), select No, then Yes again.</w:t>
      </w:r>
    </w:p>
    <w:p w14:paraId="50D311C8" w14:textId="77777777" w:rsidR="00FD39F6" w:rsidRPr="00AD31FA" w:rsidRDefault="00FD39F6" w:rsidP="00FD39F6">
      <w:pPr>
        <w:pStyle w:val="ListParagraph"/>
        <w:numPr>
          <w:ilvl w:val="0"/>
          <w:numId w:val="8"/>
        </w:numPr>
        <w:spacing w:line="276" w:lineRule="auto"/>
        <w:rPr>
          <w:rFonts w:cs="Arial"/>
          <w:sz w:val="24"/>
          <w:szCs w:val="24"/>
        </w:rPr>
      </w:pPr>
      <w:r w:rsidRPr="00AD31FA">
        <w:rPr>
          <w:rFonts w:cs="Arial"/>
          <w:sz w:val="24"/>
          <w:szCs w:val="24"/>
        </w:rPr>
        <w:t>Complete worksheets 6. Class A Consumption Data and 6.2 CBR B.</w:t>
      </w:r>
    </w:p>
    <w:p w14:paraId="4C5E0929" w14:textId="77777777" w:rsidR="00FD39F6" w:rsidRPr="00710615" w:rsidRDefault="00FD39F6" w:rsidP="00FD39F6">
      <w:pPr>
        <w:pStyle w:val="ListParagraph"/>
        <w:numPr>
          <w:ilvl w:val="0"/>
          <w:numId w:val="8"/>
        </w:numPr>
        <w:spacing w:line="276" w:lineRule="auto"/>
      </w:pPr>
      <w:r w:rsidRPr="00AD31FA">
        <w:rPr>
          <w:rFonts w:cs="Arial"/>
          <w:sz w:val="24"/>
          <w:szCs w:val="24"/>
        </w:rPr>
        <w:t>If the above cannot be completed, please explain why</w:t>
      </w:r>
    </w:p>
    <w:p w14:paraId="0816707A" w14:textId="39D6CCC0" w:rsidR="00710615" w:rsidRPr="00710615" w:rsidRDefault="00710615" w:rsidP="00710615">
      <w:pPr>
        <w:spacing w:line="276" w:lineRule="auto"/>
        <w:rPr>
          <w:b/>
          <w:color w:val="44546A" w:themeColor="text2"/>
          <w:u w:val="single"/>
        </w:rPr>
      </w:pPr>
      <w:r w:rsidRPr="00710615">
        <w:rPr>
          <w:b/>
          <w:color w:val="44546A" w:themeColor="text2"/>
          <w:u w:val="single"/>
        </w:rPr>
        <w:t>Response</w:t>
      </w:r>
    </w:p>
    <w:p w14:paraId="0079AE1B" w14:textId="40B2F1A3" w:rsidR="00710615" w:rsidRDefault="00710615" w:rsidP="00710615">
      <w:pPr>
        <w:spacing w:line="276" w:lineRule="auto"/>
        <w:rPr>
          <w:color w:val="44546A" w:themeColor="text2"/>
        </w:rPr>
      </w:pPr>
      <w:proofErr w:type="spellStart"/>
      <w:r>
        <w:rPr>
          <w:color w:val="44546A" w:themeColor="text2"/>
        </w:rPr>
        <w:t>T</w:t>
      </w:r>
      <w:r w:rsidR="00757845">
        <w:rPr>
          <w:color w:val="44546A" w:themeColor="text2"/>
        </w:rPr>
        <w:t>illsonburg</w:t>
      </w:r>
      <w:proofErr w:type="spellEnd"/>
      <w:r w:rsidR="00757845">
        <w:rPr>
          <w:color w:val="44546A" w:themeColor="text2"/>
        </w:rPr>
        <w:t xml:space="preserve"> Hydro</w:t>
      </w:r>
      <w:r>
        <w:rPr>
          <w:color w:val="44546A" w:themeColor="text2"/>
        </w:rPr>
        <w:t xml:space="preserve"> has completed the requested data revisions and included an updated 2020 IRM Rate Generator model. For version control this updated model is dated Feb 12, 2020.</w:t>
      </w:r>
    </w:p>
    <w:p w14:paraId="00F9F32F" w14:textId="6AFEC80A" w:rsidR="00757845" w:rsidRDefault="00757845" w:rsidP="00710615">
      <w:pPr>
        <w:spacing w:line="276" w:lineRule="auto"/>
        <w:rPr>
          <w:color w:val="44546A" w:themeColor="text2"/>
        </w:rPr>
      </w:pPr>
      <w:proofErr w:type="spellStart"/>
      <w:r>
        <w:rPr>
          <w:color w:val="44546A" w:themeColor="text2"/>
        </w:rPr>
        <w:t>Tillsonburg</w:t>
      </w:r>
      <w:proofErr w:type="spellEnd"/>
      <w:r>
        <w:rPr>
          <w:color w:val="44546A" w:themeColor="text2"/>
        </w:rPr>
        <w:t xml:space="preserve"> Hydro had all variance disposed of during the 2017 IRM process (EB-2016-0106) clearing balances up to and including December 31, 2015. </w:t>
      </w:r>
      <w:proofErr w:type="spellStart"/>
      <w:r>
        <w:rPr>
          <w:color w:val="44546A" w:themeColor="text2"/>
        </w:rPr>
        <w:t>Tillsonburg</w:t>
      </w:r>
      <w:proofErr w:type="spellEnd"/>
      <w:r>
        <w:rPr>
          <w:color w:val="44546A" w:themeColor="text2"/>
        </w:rPr>
        <w:t xml:space="preserve"> Hydro had it first Class A customer in 2016. 2016 and onward Class B CBDR values have been identified and included in this revised IRM model, attached to these responses.</w:t>
      </w:r>
    </w:p>
    <w:p w14:paraId="7521388D" w14:textId="07D16822" w:rsidR="0046142F" w:rsidRDefault="0046142F" w:rsidP="00710615">
      <w:pPr>
        <w:spacing w:line="276" w:lineRule="auto"/>
        <w:rPr>
          <w:color w:val="44546A" w:themeColor="text2"/>
        </w:rPr>
      </w:pPr>
      <w:proofErr w:type="spellStart"/>
      <w:r>
        <w:rPr>
          <w:color w:val="44546A" w:themeColor="text2"/>
        </w:rPr>
        <w:lastRenderedPageBreak/>
        <w:t>Tillsonburg</w:t>
      </w:r>
      <w:proofErr w:type="spellEnd"/>
      <w:r>
        <w:rPr>
          <w:color w:val="44546A" w:themeColor="text2"/>
        </w:rPr>
        <w:t xml:space="preserve"> Hydro has completed Worksheets G and 6.2 as requested. Class A / B kWh and kW are provided for years in which any customer was either entirely or for a partial year identified as a Class </w:t>
      </w:r>
      <w:proofErr w:type="gramStart"/>
      <w:r>
        <w:rPr>
          <w:color w:val="44546A" w:themeColor="text2"/>
        </w:rPr>
        <w:t>A</w:t>
      </w:r>
      <w:proofErr w:type="gramEnd"/>
      <w:r>
        <w:rPr>
          <w:color w:val="44546A" w:themeColor="text2"/>
        </w:rPr>
        <w:t xml:space="preserve"> customer. If this is not what is expected, please let </w:t>
      </w:r>
      <w:proofErr w:type="spellStart"/>
      <w:r>
        <w:rPr>
          <w:color w:val="44546A" w:themeColor="text2"/>
        </w:rPr>
        <w:t>TIllsonburg</w:t>
      </w:r>
      <w:proofErr w:type="spellEnd"/>
      <w:r>
        <w:rPr>
          <w:color w:val="44546A" w:themeColor="text2"/>
        </w:rPr>
        <w:t xml:space="preserve"> Hydro know and we will revise as required.</w:t>
      </w:r>
    </w:p>
    <w:p w14:paraId="47DC495A" w14:textId="07948778" w:rsidR="0046142F" w:rsidRDefault="0046142F">
      <w:pPr>
        <w:spacing w:line="259" w:lineRule="auto"/>
        <w:rPr>
          <w:color w:val="44546A" w:themeColor="text2"/>
        </w:rPr>
      </w:pPr>
      <w:r>
        <w:rPr>
          <w:color w:val="44546A" w:themeColor="text2"/>
        </w:rPr>
        <w:br w:type="page"/>
      </w:r>
    </w:p>
    <w:p w14:paraId="5D7F467C" w14:textId="7D8E27BA" w:rsidR="00AD31FA" w:rsidRPr="00AD31FA" w:rsidRDefault="00AD31FA" w:rsidP="00AD31FA">
      <w:pPr>
        <w:spacing w:after="0" w:line="276" w:lineRule="auto"/>
        <w:rPr>
          <w:rFonts w:cs="Arial"/>
          <w:b/>
          <w:sz w:val="24"/>
          <w:szCs w:val="24"/>
        </w:rPr>
      </w:pPr>
      <w:r w:rsidRPr="00AD31FA">
        <w:rPr>
          <w:rFonts w:cs="Arial"/>
          <w:b/>
          <w:sz w:val="24"/>
          <w:szCs w:val="24"/>
        </w:rPr>
        <w:lastRenderedPageBreak/>
        <w:t>Staff Questio</w:t>
      </w:r>
      <w:r w:rsidR="00546A8A">
        <w:rPr>
          <w:rFonts w:cs="Arial"/>
          <w:b/>
          <w:sz w:val="24"/>
          <w:szCs w:val="24"/>
        </w:rPr>
        <w:t>n #6</w:t>
      </w:r>
    </w:p>
    <w:p w14:paraId="76BFDB3C" w14:textId="77777777" w:rsidR="00AD31FA" w:rsidRPr="00AD31FA" w:rsidRDefault="00AD31FA" w:rsidP="00AD31FA">
      <w:pPr>
        <w:spacing w:after="0" w:line="276" w:lineRule="auto"/>
        <w:rPr>
          <w:rFonts w:cs="Arial"/>
          <w:b/>
          <w:sz w:val="24"/>
          <w:szCs w:val="24"/>
        </w:rPr>
      </w:pPr>
    </w:p>
    <w:p w14:paraId="394A84FC" w14:textId="77777777" w:rsidR="00AD31FA" w:rsidRPr="00AD31FA" w:rsidRDefault="00AD31FA" w:rsidP="00AD31FA">
      <w:pPr>
        <w:spacing w:after="0" w:line="276" w:lineRule="auto"/>
        <w:rPr>
          <w:rFonts w:cs="Arial"/>
          <w:sz w:val="24"/>
          <w:szCs w:val="24"/>
        </w:rPr>
      </w:pPr>
      <w:r w:rsidRPr="00AD31FA">
        <w:rPr>
          <w:rFonts w:cs="Arial"/>
          <w:b/>
          <w:sz w:val="24"/>
          <w:szCs w:val="24"/>
        </w:rPr>
        <w:t>Ref:</w:t>
      </w:r>
      <w:r w:rsidRPr="00AD31FA">
        <w:rPr>
          <w:rFonts w:cs="Arial"/>
          <w:b/>
          <w:sz w:val="24"/>
          <w:szCs w:val="24"/>
        </w:rPr>
        <w:tab/>
      </w:r>
      <w:r w:rsidRPr="00AD31FA">
        <w:rPr>
          <w:rFonts w:cs="Arial"/>
          <w:sz w:val="24"/>
          <w:szCs w:val="24"/>
        </w:rPr>
        <w:t>(1) Manager’s Summary, page 8/116 PDF</w:t>
      </w:r>
    </w:p>
    <w:p w14:paraId="7ADC7882" w14:textId="77777777" w:rsidR="00AD31FA" w:rsidRPr="00AD31FA" w:rsidRDefault="00AD31FA" w:rsidP="00AD31FA">
      <w:pPr>
        <w:spacing w:after="0" w:line="276" w:lineRule="auto"/>
        <w:rPr>
          <w:rFonts w:cs="Arial"/>
          <w:sz w:val="24"/>
          <w:szCs w:val="24"/>
        </w:rPr>
      </w:pPr>
    </w:p>
    <w:p w14:paraId="7707FF92" w14:textId="77777777" w:rsidR="00AD31FA" w:rsidRPr="00132EF2" w:rsidRDefault="00AD31FA" w:rsidP="00AD31FA">
      <w:pPr>
        <w:spacing w:after="0" w:line="276" w:lineRule="auto"/>
        <w:rPr>
          <w:rFonts w:cs="Arial"/>
          <w:sz w:val="24"/>
          <w:szCs w:val="24"/>
        </w:rPr>
      </w:pPr>
      <w:r w:rsidRPr="00AD31FA">
        <w:rPr>
          <w:rFonts w:cs="Arial"/>
          <w:sz w:val="24"/>
          <w:szCs w:val="24"/>
        </w:rPr>
        <w:t>At the above noted</w:t>
      </w:r>
      <w:r w:rsidRPr="00132EF2">
        <w:rPr>
          <w:rFonts w:cs="Arial"/>
          <w:sz w:val="24"/>
          <w:szCs w:val="24"/>
        </w:rPr>
        <w:t xml:space="preserve"> reference, </w:t>
      </w:r>
      <w:proofErr w:type="spellStart"/>
      <w:r w:rsidRPr="00132EF2">
        <w:rPr>
          <w:rFonts w:cs="Arial"/>
          <w:sz w:val="24"/>
          <w:szCs w:val="24"/>
        </w:rPr>
        <w:t>Tillsonburg</w:t>
      </w:r>
      <w:proofErr w:type="spellEnd"/>
      <w:r w:rsidRPr="00132EF2">
        <w:rPr>
          <w:rFonts w:cs="Arial"/>
          <w:sz w:val="24"/>
          <w:szCs w:val="24"/>
        </w:rPr>
        <w:t xml:space="preserve"> Hydro stated the following:</w:t>
      </w:r>
    </w:p>
    <w:p w14:paraId="08E4770F" w14:textId="77777777" w:rsidR="00AD31FA" w:rsidRPr="00132EF2" w:rsidRDefault="00AD31FA" w:rsidP="00AD31FA">
      <w:pPr>
        <w:spacing w:after="0" w:line="276" w:lineRule="auto"/>
        <w:rPr>
          <w:rFonts w:cs="Arial"/>
          <w:sz w:val="24"/>
          <w:szCs w:val="24"/>
        </w:rPr>
      </w:pPr>
    </w:p>
    <w:p w14:paraId="3FB82708" w14:textId="77777777" w:rsidR="00AD31FA" w:rsidRPr="00132EF2" w:rsidRDefault="00AD31FA" w:rsidP="00AD31FA">
      <w:pPr>
        <w:spacing w:after="0" w:line="276" w:lineRule="auto"/>
        <w:ind w:left="720"/>
        <w:rPr>
          <w:rFonts w:cs="Arial"/>
          <w:sz w:val="24"/>
          <w:szCs w:val="24"/>
        </w:rPr>
      </w:pPr>
      <w:r w:rsidRPr="00132EF2">
        <w:rPr>
          <w:rFonts w:cs="Arial"/>
          <w:sz w:val="24"/>
          <w:szCs w:val="24"/>
        </w:rPr>
        <w:t xml:space="preserve">In the Decision and Order for THI EB-2018-0070 an Audit for </w:t>
      </w:r>
      <w:proofErr w:type="spellStart"/>
      <w:r w:rsidRPr="00132EF2">
        <w:rPr>
          <w:rFonts w:cs="Arial"/>
          <w:sz w:val="24"/>
          <w:szCs w:val="24"/>
        </w:rPr>
        <w:t>USoA</w:t>
      </w:r>
      <w:proofErr w:type="spellEnd"/>
      <w:r w:rsidRPr="00132EF2">
        <w:rPr>
          <w:rFonts w:cs="Arial"/>
          <w:sz w:val="24"/>
          <w:szCs w:val="24"/>
        </w:rPr>
        <w:t xml:space="preserve"> 1588, 1589 and 1595 was required. Along with this the OEB released accounting guidance on February 21, 2019 regarding Group 1 Accounts.</w:t>
      </w:r>
    </w:p>
    <w:p w14:paraId="16BE3AAC" w14:textId="77777777" w:rsidR="00AD31FA" w:rsidRPr="00132EF2" w:rsidRDefault="00AD31FA" w:rsidP="00AD31FA">
      <w:pPr>
        <w:spacing w:after="0" w:line="276" w:lineRule="auto"/>
        <w:ind w:left="720"/>
        <w:rPr>
          <w:rFonts w:cs="Arial"/>
          <w:sz w:val="24"/>
          <w:szCs w:val="24"/>
        </w:rPr>
      </w:pPr>
    </w:p>
    <w:p w14:paraId="1ADD8704" w14:textId="77777777" w:rsidR="00AD31FA" w:rsidRDefault="00AD31FA" w:rsidP="00AD31FA">
      <w:pPr>
        <w:spacing w:after="0" w:line="276" w:lineRule="auto"/>
        <w:ind w:left="720"/>
        <w:rPr>
          <w:rFonts w:cs="Arial"/>
          <w:sz w:val="24"/>
          <w:szCs w:val="24"/>
        </w:rPr>
      </w:pPr>
      <w:r w:rsidRPr="00132EF2">
        <w:rPr>
          <w:rFonts w:cs="Arial"/>
          <w:sz w:val="24"/>
          <w:szCs w:val="24"/>
        </w:rPr>
        <w:t xml:space="preserve">After attending OEB training, held in April 2019, </w:t>
      </w:r>
      <w:proofErr w:type="spellStart"/>
      <w:r w:rsidRPr="00132EF2">
        <w:rPr>
          <w:rFonts w:cs="Arial"/>
          <w:sz w:val="24"/>
          <w:szCs w:val="24"/>
        </w:rPr>
        <w:t>Tillsonburg</w:t>
      </w:r>
      <w:proofErr w:type="spellEnd"/>
      <w:r w:rsidRPr="00132EF2">
        <w:rPr>
          <w:rFonts w:cs="Arial"/>
          <w:sz w:val="24"/>
          <w:szCs w:val="24"/>
        </w:rPr>
        <w:t xml:space="preserve"> Hydro Inc., identified adjustments to our processes that were required to be completed prior to conducting an audit</w:t>
      </w:r>
      <w:r>
        <w:rPr>
          <w:rFonts w:cs="Arial"/>
          <w:sz w:val="24"/>
          <w:szCs w:val="24"/>
        </w:rPr>
        <w:t>…</w:t>
      </w:r>
      <w:r w:rsidRPr="00132EF2">
        <w:rPr>
          <w:rFonts w:cs="Arial"/>
          <w:sz w:val="24"/>
          <w:szCs w:val="24"/>
        </w:rPr>
        <w:t xml:space="preserve"> </w:t>
      </w:r>
    </w:p>
    <w:p w14:paraId="3F917693" w14:textId="77777777" w:rsidR="00AD31FA" w:rsidRPr="00132EF2" w:rsidRDefault="00AD31FA" w:rsidP="00AD31FA">
      <w:pPr>
        <w:spacing w:after="0" w:line="276" w:lineRule="auto"/>
        <w:ind w:left="720"/>
        <w:rPr>
          <w:rFonts w:cs="Arial"/>
          <w:sz w:val="24"/>
          <w:szCs w:val="24"/>
        </w:rPr>
      </w:pPr>
    </w:p>
    <w:p w14:paraId="4A7EC23D" w14:textId="77777777" w:rsidR="00AD31FA" w:rsidRPr="00132EF2" w:rsidRDefault="00AD31FA" w:rsidP="00AD31FA">
      <w:pPr>
        <w:spacing w:after="0" w:line="276" w:lineRule="auto"/>
        <w:ind w:left="720"/>
        <w:rPr>
          <w:rFonts w:cs="Arial"/>
          <w:sz w:val="24"/>
          <w:szCs w:val="24"/>
        </w:rPr>
      </w:pPr>
      <w:r>
        <w:rPr>
          <w:rFonts w:cs="Arial"/>
          <w:sz w:val="24"/>
          <w:szCs w:val="24"/>
        </w:rPr>
        <w:t>…</w:t>
      </w:r>
      <w:proofErr w:type="spellStart"/>
      <w:r w:rsidRPr="00132EF2">
        <w:rPr>
          <w:rFonts w:cs="Arial"/>
          <w:sz w:val="24"/>
          <w:szCs w:val="24"/>
        </w:rPr>
        <w:t>Tillsonburg</w:t>
      </w:r>
      <w:proofErr w:type="spellEnd"/>
      <w:r w:rsidRPr="00132EF2">
        <w:rPr>
          <w:rFonts w:cs="Arial"/>
          <w:sz w:val="24"/>
          <w:szCs w:val="24"/>
        </w:rPr>
        <w:t xml:space="preserve"> Hydro Inc</w:t>
      </w:r>
      <w:proofErr w:type="gramStart"/>
      <w:r w:rsidRPr="00132EF2">
        <w:rPr>
          <w:rFonts w:cs="Arial"/>
          <w:sz w:val="24"/>
          <w:szCs w:val="24"/>
        </w:rPr>
        <w:t>.,</w:t>
      </w:r>
      <w:proofErr w:type="gramEnd"/>
      <w:r w:rsidRPr="00132EF2">
        <w:rPr>
          <w:rFonts w:cs="Arial"/>
          <w:sz w:val="24"/>
          <w:szCs w:val="24"/>
        </w:rPr>
        <w:t xml:space="preserve"> is proposing 2 separate options to handle the outstanding DVAD audit requirement: </w:t>
      </w:r>
    </w:p>
    <w:p w14:paraId="7BEE7A05" w14:textId="77777777" w:rsidR="00AD31FA" w:rsidRPr="00132EF2" w:rsidRDefault="00AD31FA" w:rsidP="00AD31FA">
      <w:pPr>
        <w:spacing w:after="0" w:line="276" w:lineRule="auto"/>
        <w:ind w:left="720"/>
        <w:rPr>
          <w:rFonts w:cs="Arial"/>
          <w:sz w:val="24"/>
          <w:szCs w:val="24"/>
        </w:rPr>
      </w:pPr>
    </w:p>
    <w:p w14:paraId="06CC062F" w14:textId="77777777" w:rsidR="00AD31FA" w:rsidRPr="00132EF2" w:rsidRDefault="00AD31FA" w:rsidP="00AD31FA">
      <w:pPr>
        <w:pStyle w:val="ListParagraph"/>
        <w:numPr>
          <w:ilvl w:val="0"/>
          <w:numId w:val="9"/>
        </w:numPr>
        <w:spacing w:after="0" w:line="276" w:lineRule="auto"/>
        <w:rPr>
          <w:rFonts w:cs="Arial"/>
          <w:sz w:val="24"/>
          <w:szCs w:val="24"/>
        </w:rPr>
      </w:pPr>
      <w:r w:rsidRPr="00132EF2">
        <w:rPr>
          <w:rFonts w:cs="Arial"/>
          <w:sz w:val="24"/>
          <w:szCs w:val="24"/>
        </w:rPr>
        <w:t>Prepare a stand along DVAD application when all balances have been recalculated, audited and submitted. This would include meeting the February 21, 2019 communications. It is anticipated this submission could be filed late in 2019 or early 2020.</w:t>
      </w:r>
    </w:p>
    <w:p w14:paraId="5C15EFFF" w14:textId="77777777" w:rsidR="00AD31FA" w:rsidRPr="00132EF2" w:rsidRDefault="00AD31FA" w:rsidP="00AD31FA">
      <w:pPr>
        <w:pStyle w:val="ListParagraph"/>
        <w:spacing w:after="0" w:line="276" w:lineRule="auto"/>
        <w:ind w:left="1080"/>
        <w:rPr>
          <w:rFonts w:cs="Arial"/>
          <w:sz w:val="24"/>
          <w:szCs w:val="24"/>
        </w:rPr>
      </w:pPr>
    </w:p>
    <w:p w14:paraId="50A4E8F2" w14:textId="77777777" w:rsidR="00AD31FA" w:rsidRPr="00132EF2" w:rsidRDefault="00AD31FA" w:rsidP="00AD31FA">
      <w:pPr>
        <w:pStyle w:val="ListParagraph"/>
        <w:numPr>
          <w:ilvl w:val="0"/>
          <w:numId w:val="9"/>
        </w:numPr>
        <w:spacing w:after="0" w:line="276" w:lineRule="auto"/>
        <w:rPr>
          <w:rFonts w:cs="Arial"/>
          <w:sz w:val="24"/>
          <w:szCs w:val="24"/>
        </w:rPr>
      </w:pPr>
      <w:r w:rsidRPr="00132EF2">
        <w:rPr>
          <w:rFonts w:cs="Arial"/>
          <w:sz w:val="24"/>
          <w:szCs w:val="24"/>
        </w:rPr>
        <w:t>Delay review and disposition of DVAD balances from 2016 onward until the 2021 IRM application process.</w:t>
      </w:r>
    </w:p>
    <w:p w14:paraId="6189678D" w14:textId="77777777" w:rsidR="00AD31FA" w:rsidRPr="00132EF2" w:rsidRDefault="00AD31FA" w:rsidP="00AD31FA">
      <w:pPr>
        <w:spacing w:after="0" w:line="276" w:lineRule="auto"/>
        <w:rPr>
          <w:rFonts w:cs="Arial"/>
          <w:sz w:val="24"/>
          <w:szCs w:val="24"/>
        </w:rPr>
      </w:pPr>
    </w:p>
    <w:p w14:paraId="6F566BAE" w14:textId="77777777" w:rsidR="00AD31FA" w:rsidRPr="00132EF2" w:rsidRDefault="00AD31FA" w:rsidP="00AD31FA">
      <w:pPr>
        <w:spacing w:after="0" w:line="276" w:lineRule="auto"/>
        <w:rPr>
          <w:rFonts w:cs="Arial"/>
          <w:b/>
          <w:sz w:val="24"/>
          <w:szCs w:val="24"/>
        </w:rPr>
      </w:pPr>
      <w:r w:rsidRPr="00132EF2">
        <w:rPr>
          <w:rFonts w:cs="Arial"/>
          <w:b/>
          <w:sz w:val="24"/>
          <w:szCs w:val="24"/>
        </w:rPr>
        <w:t>Questions:</w:t>
      </w:r>
    </w:p>
    <w:p w14:paraId="616DDBC8" w14:textId="77777777" w:rsidR="00AD31FA" w:rsidRPr="00132EF2" w:rsidRDefault="00AD31FA" w:rsidP="00AD31FA">
      <w:pPr>
        <w:spacing w:after="0" w:line="276" w:lineRule="auto"/>
        <w:rPr>
          <w:rFonts w:cs="Arial"/>
          <w:sz w:val="24"/>
          <w:szCs w:val="24"/>
        </w:rPr>
      </w:pPr>
    </w:p>
    <w:p w14:paraId="4E95854F" w14:textId="77777777" w:rsidR="00AD31FA" w:rsidRDefault="00AD31FA" w:rsidP="00AD31FA">
      <w:pPr>
        <w:pStyle w:val="ListParagraph"/>
        <w:numPr>
          <w:ilvl w:val="0"/>
          <w:numId w:val="10"/>
        </w:numPr>
        <w:spacing w:after="0" w:line="276" w:lineRule="auto"/>
        <w:rPr>
          <w:rFonts w:cs="Arial"/>
          <w:sz w:val="24"/>
          <w:szCs w:val="24"/>
        </w:rPr>
      </w:pPr>
      <w:r w:rsidRPr="00132EF2">
        <w:rPr>
          <w:rFonts w:cs="Arial"/>
          <w:sz w:val="24"/>
          <w:szCs w:val="24"/>
        </w:rPr>
        <w:t xml:space="preserve">Please confirm that </w:t>
      </w:r>
      <w:proofErr w:type="spellStart"/>
      <w:r w:rsidRPr="00132EF2">
        <w:rPr>
          <w:rFonts w:cs="Arial"/>
          <w:sz w:val="24"/>
          <w:szCs w:val="24"/>
        </w:rPr>
        <w:t>Tillsonburg</w:t>
      </w:r>
      <w:proofErr w:type="spellEnd"/>
      <w:r w:rsidRPr="00132EF2">
        <w:rPr>
          <w:rFonts w:cs="Arial"/>
          <w:sz w:val="24"/>
          <w:szCs w:val="24"/>
        </w:rPr>
        <w:t xml:space="preserve"> Hydro has not filed to date its “submission” referenced in its proposed above first option. If this is not the case, please explain.</w:t>
      </w:r>
    </w:p>
    <w:p w14:paraId="6087B17E" w14:textId="77777777" w:rsidR="00710615" w:rsidRDefault="00710615" w:rsidP="00710615">
      <w:pPr>
        <w:spacing w:after="0" w:line="276" w:lineRule="auto"/>
        <w:rPr>
          <w:rFonts w:cs="Arial"/>
          <w:sz w:val="24"/>
          <w:szCs w:val="24"/>
        </w:rPr>
      </w:pPr>
    </w:p>
    <w:p w14:paraId="53262E07" w14:textId="4989F54B" w:rsidR="00710615" w:rsidRDefault="00710615" w:rsidP="00710615">
      <w:pPr>
        <w:spacing w:line="276" w:lineRule="auto"/>
        <w:rPr>
          <w:b/>
          <w:color w:val="44546A" w:themeColor="text2"/>
          <w:u w:val="single"/>
        </w:rPr>
      </w:pPr>
      <w:r w:rsidRPr="00710615">
        <w:rPr>
          <w:b/>
          <w:color w:val="44546A" w:themeColor="text2"/>
          <w:u w:val="single"/>
        </w:rPr>
        <w:t>Response</w:t>
      </w:r>
    </w:p>
    <w:p w14:paraId="28CB3FD4" w14:textId="4663FC05" w:rsidR="00710615" w:rsidRPr="00710615" w:rsidRDefault="00710615" w:rsidP="00710615">
      <w:pPr>
        <w:spacing w:line="276" w:lineRule="auto"/>
        <w:rPr>
          <w:color w:val="44546A" w:themeColor="text2"/>
        </w:rPr>
      </w:pPr>
      <w:proofErr w:type="spellStart"/>
      <w:r w:rsidRPr="00710615">
        <w:rPr>
          <w:color w:val="44546A" w:themeColor="text2"/>
        </w:rPr>
        <w:t>Tillsonburg</w:t>
      </w:r>
      <w:proofErr w:type="spellEnd"/>
      <w:r w:rsidRPr="00710615">
        <w:rPr>
          <w:color w:val="44546A" w:themeColor="text2"/>
        </w:rPr>
        <w:t xml:space="preserve"> Hydro confirms it has </w:t>
      </w:r>
      <w:r>
        <w:rPr>
          <w:color w:val="44546A" w:themeColor="text2"/>
        </w:rPr>
        <w:t xml:space="preserve">not </w:t>
      </w:r>
      <w:r w:rsidRPr="00710615">
        <w:rPr>
          <w:color w:val="44546A" w:themeColor="text2"/>
        </w:rPr>
        <w:t>filed a stand</w:t>
      </w:r>
      <w:r>
        <w:rPr>
          <w:color w:val="44546A" w:themeColor="text2"/>
        </w:rPr>
        <w:t>-</w:t>
      </w:r>
      <w:r w:rsidRPr="00710615">
        <w:rPr>
          <w:color w:val="44546A" w:themeColor="text2"/>
        </w:rPr>
        <w:t xml:space="preserve">alone DVAD application as </w:t>
      </w:r>
      <w:r w:rsidR="0046142F">
        <w:rPr>
          <w:color w:val="44546A" w:themeColor="text2"/>
        </w:rPr>
        <w:t>discussed</w:t>
      </w:r>
      <w:r w:rsidRPr="00710615">
        <w:rPr>
          <w:color w:val="44546A" w:themeColor="text2"/>
        </w:rPr>
        <w:t xml:space="preserve"> as Option # 1 in our previous submissions.</w:t>
      </w:r>
    </w:p>
    <w:p w14:paraId="7AC097BC" w14:textId="77777777" w:rsidR="00710615" w:rsidRPr="00710615" w:rsidRDefault="00710615" w:rsidP="00710615">
      <w:pPr>
        <w:spacing w:after="0" w:line="276" w:lineRule="auto"/>
        <w:rPr>
          <w:rFonts w:cs="Arial"/>
          <w:sz w:val="24"/>
          <w:szCs w:val="24"/>
        </w:rPr>
      </w:pPr>
    </w:p>
    <w:p w14:paraId="592818FD" w14:textId="77777777" w:rsidR="00AD31FA" w:rsidRPr="00132EF2" w:rsidRDefault="00AD31FA" w:rsidP="00AD31FA">
      <w:pPr>
        <w:pStyle w:val="ListParagraph"/>
        <w:spacing w:after="0" w:line="276" w:lineRule="auto"/>
        <w:rPr>
          <w:rFonts w:cs="Arial"/>
          <w:sz w:val="24"/>
          <w:szCs w:val="24"/>
        </w:rPr>
      </w:pPr>
    </w:p>
    <w:p w14:paraId="72539453" w14:textId="77777777" w:rsidR="00AD31FA" w:rsidRPr="00132EF2" w:rsidRDefault="00AD31FA" w:rsidP="00AD31FA">
      <w:pPr>
        <w:pStyle w:val="ListParagraph"/>
        <w:numPr>
          <w:ilvl w:val="0"/>
          <w:numId w:val="10"/>
        </w:numPr>
        <w:spacing w:after="0" w:line="276" w:lineRule="auto"/>
        <w:rPr>
          <w:rFonts w:cs="Arial"/>
          <w:sz w:val="24"/>
          <w:szCs w:val="24"/>
        </w:rPr>
      </w:pPr>
      <w:r w:rsidRPr="00132EF2">
        <w:rPr>
          <w:rFonts w:cs="Arial"/>
          <w:sz w:val="24"/>
          <w:szCs w:val="24"/>
        </w:rPr>
        <w:t xml:space="preserve">Please confirm that </w:t>
      </w:r>
      <w:proofErr w:type="spellStart"/>
      <w:r w:rsidRPr="00132EF2">
        <w:rPr>
          <w:rFonts w:cs="Arial"/>
          <w:sz w:val="24"/>
          <w:szCs w:val="24"/>
        </w:rPr>
        <w:t>Tillsonburg</w:t>
      </w:r>
      <w:proofErr w:type="spellEnd"/>
      <w:r w:rsidRPr="00132EF2">
        <w:rPr>
          <w:rFonts w:cs="Arial"/>
          <w:sz w:val="24"/>
          <w:szCs w:val="24"/>
        </w:rPr>
        <w:t xml:space="preserve"> Hydro is supporting its proposed above second option</w:t>
      </w:r>
      <w:r>
        <w:rPr>
          <w:rFonts w:cs="Arial"/>
          <w:sz w:val="24"/>
          <w:szCs w:val="24"/>
        </w:rPr>
        <w:t xml:space="preserve">. This option is </w:t>
      </w:r>
      <w:r w:rsidRPr="00132EF2">
        <w:rPr>
          <w:rFonts w:cs="Arial"/>
          <w:sz w:val="24"/>
          <w:szCs w:val="24"/>
        </w:rPr>
        <w:t xml:space="preserve">to delay the review and disposition of all Group 1 balances </w:t>
      </w:r>
      <w:r w:rsidRPr="00132EF2">
        <w:rPr>
          <w:rFonts w:cs="Arial"/>
          <w:sz w:val="24"/>
          <w:szCs w:val="24"/>
        </w:rPr>
        <w:lastRenderedPageBreak/>
        <w:t>until its next proceeding, which is for 2021 rates. If this is not the case, please explain.</w:t>
      </w:r>
    </w:p>
    <w:p w14:paraId="0B6E1C02" w14:textId="77777777" w:rsidR="00AD31FA" w:rsidRDefault="00AD31FA" w:rsidP="00710615">
      <w:pPr>
        <w:spacing w:after="0" w:line="276" w:lineRule="auto"/>
        <w:rPr>
          <w:rFonts w:cs="Arial"/>
          <w:sz w:val="24"/>
          <w:szCs w:val="24"/>
        </w:rPr>
      </w:pPr>
    </w:p>
    <w:p w14:paraId="08E46BEE" w14:textId="77777777" w:rsidR="00710615" w:rsidRDefault="00710615" w:rsidP="00710615">
      <w:pPr>
        <w:spacing w:line="276" w:lineRule="auto"/>
        <w:rPr>
          <w:b/>
          <w:color w:val="44546A" w:themeColor="text2"/>
          <w:u w:val="single"/>
        </w:rPr>
      </w:pPr>
      <w:r w:rsidRPr="00710615">
        <w:rPr>
          <w:b/>
          <w:color w:val="44546A" w:themeColor="text2"/>
          <w:u w:val="single"/>
        </w:rPr>
        <w:t>Response</w:t>
      </w:r>
    </w:p>
    <w:p w14:paraId="1A1AC00E" w14:textId="6A5901B3" w:rsidR="00710615" w:rsidRPr="00757845" w:rsidRDefault="00710615" w:rsidP="00757845">
      <w:pPr>
        <w:spacing w:line="276" w:lineRule="auto"/>
        <w:rPr>
          <w:color w:val="44546A" w:themeColor="text2"/>
        </w:rPr>
      </w:pPr>
      <w:proofErr w:type="spellStart"/>
      <w:r w:rsidRPr="00757845">
        <w:rPr>
          <w:color w:val="44546A" w:themeColor="text2"/>
        </w:rPr>
        <w:t>Tillsonburg</w:t>
      </w:r>
      <w:proofErr w:type="spellEnd"/>
      <w:r w:rsidRPr="00757845">
        <w:rPr>
          <w:color w:val="44546A" w:themeColor="text2"/>
        </w:rPr>
        <w:t xml:space="preserve"> Hydro confirms the supporting of </w:t>
      </w:r>
      <w:r w:rsidR="0046142F">
        <w:rPr>
          <w:color w:val="44546A" w:themeColor="text2"/>
        </w:rPr>
        <w:t>our O</w:t>
      </w:r>
      <w:r w:rsidRPr="00757845">
        <w:rPr>
          <w:color w:val="44546A" w:themeColor="text2"/>
        </w:rPr>
        <w:t xml:space="preserve">ption # 2, to delay the review of all Group 1 balances until 2021 rate proceedings. </w:t>
      </w:r>
      <w:bookmarkStart w:id="0" w:name="_GoBack"/>
      <w:bookmarkEnd w:id="0"/>
    </w:p>
    <w:sectPr w:rsidR="00710615" w:rsidRPr="0075784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1A4FE" w14:textId="77777777" w:rsidR="00C80B72" w:rsidRDefault="00C80B72" w:rsidP="00C80B72">
      <w:pPr>
        <w:spacing w:after="0" w:line="240" w:lineRule="auto"/>
      </w:pPr>
      <w:r>
        <w:separator/>
      </w:r>
    </w:p>
  </w:endnote>
  <w:endnote w:type="continuationSeparator" w:id="0">
    <w:p w14:paraId="522BEC20" w14:textId="77777777" w:rsidR="00C80B72" w:rsidRDefault="00C80B72" w:rsidP="00C8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AFF2A" w14:textId="77777777" w:rsidR="00C80B72" w:rsidRDefault="00C80B72" w:rsidP="00C80B72">
      <w:pPr>
        <w:spacing w:after="0" w:line="240" w:lineRule="auto"/>
      </w:pPr>
      <w:r>
        <w:separator/>
      </w:r>
    </w:p>
  </w:footnote>
  <w:footnote w:type="continuationSeparator" w:id="0">
    <w:p w14:paraId="7B69FEC2" w14:textId="77777777" w:rsidR="00C80B72" w:rsidRDefault="00C80B72" w:rsidP="00C80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7C2BE" w14:textId="77777777" w:rsidR="00C80B72" w:rsidRDefault="00C80B72" w:rsidP="00C80B72">
    <w:pPr>
      <w:pStyle w:val="Header"/>
      <w:jc w:val="right"/>
      <w:rPr>
        <w:rFonts w:cs="Arial"/>
        <w:sz w:val="20"/>
        <w:szCs w:val="20"/>
      </w:rPr>
    </w:pPr>
    <w:proofErr w:type="spellStart"/>
    <w:r>
      <w:rPr>
        <w:rFonts w:cs="Arial"/>
        <w:sz w:val="20"/>
        <w:szCs w:val="20"/>
      </w:rPr>
      <w:t>Tillsonburg</w:t>
    </w:r>
    <w:proofErr w:type="spellEnd"/>
    <w:r>
      <w:rPr>
        <w:rFonts w:cs="Arial"/>
        <w:sz w:val="20"/>
        <w:szCs w:val="20"/>
      </w:rPr>
      <w:t xml:space="preserve"> Hydro Inc.</w:t>
    </w:r>
  </w:p>
  <w:p w14:paraId="3456A766" w14:textId="77777777" w:rsidR="00C80B72" w:rsidRDefault="00C80B72" w:rsidP="00C80B72">
    <w:pPr>
      <w:pStyle w:val="Header"/>
      <w:rPr>
        <w:rFonts w:cs="Arial"/>
        <w:sz w:val="20"/>
        <w:szCs w:val="20"/>
      </w:rPr>
    </w:pPr>
    <w:r>
      <w:rPr>
        <w:rFonts w:cs="Arial"/>
        <w:sz w:val="20"/>
        <w:szCs w:val="20"/>
      </w:rPr>
      <w:tab/>
    </w:r>
    <w:r>
      <w:rPr>
        <w:rFonts w:cs="Arial"/>
        <w:sz w:val="20"/>
        <w:szCs w:val="20"/>
      </w:rPr>
      <w:tab/>
      <w:t>EB-2019-0069</w:t>
    </w:r>
  </w:p>
  <w:p w14:paraId="7B60CC9E" w14:textId="666F828C" w:rsidR="00C80B72" w:rsidRDefault="00C80B72" w:rsidP="00C80B72">
    <w:pPr>
      <w:pStyle w:val="Header"/>
      <w:rPr>
        <w:rFonts w:cs="Arial"/>
        <w:b/>
        <w:sz w:val="20"/>
        <w:szCs w:val="20"/>
      </w:rPr>
    </w:pPr>
    <w:r>
      <w:rPr>
        <w:rFonts w:cs="Arial"/>
        <w:sz w:val="20"/>
        <w:szCs w:val="20"/>
      </w:rPr>
      <w:tab/>
    </w:r>
    <w:r>
      <w:rPr>
        <w:rFonts w:cs="Arial"/>
        <w:sz w:val="20"/>
        <w:szCs w:val="20"/>
      </w:rPr>
      <w:tab/>
      <w:t xml:space="preserve">Page </w:t>
    </w:r>
    <w:r>
      <w:rPr>
        <w:rFonts w:cs="Arial"/>
        <w:b/>
        <w:sz w:val="20"/>
        <w:szCs w:val="20"/>
      </w:rPr>
      <w:fldChar w:fldCharType="begin"/>
    </w:r>
    <w:r>
      <w:rPr>
        <w:rFonts w:cs="Arial"/>
        <w:b/>
        <w:sz w:val="20"/>
        <w:szCs w:val="20"/>
      </w:rPr>
      <w:instrText xml:space="preserve"> PAGE  \* Arabic  \* MERGEFORMAT </w:instrText>
    </w:r>
    <w:r>
      <w:rPr>
        <w:rFonts w:cs="Arial"/>
        <w:b/>
        <w:sz w:val="20"/>
        <w:szCs w:val="20"/>
      </w:rPr>
      <w:fldChar w:fldCharType="separate"/>
    </w:r>
    <w:r w:rsidR="0046142F">
      <w:rPr>
        <w:rFonts w:cs="Arial"/>
        <w:b/>
        <w:noProof/>
        <w:sz w:val="20"/>
        <w:szCs w:val="20"/>
      </w:rPr>
      <w:t>1</w:t>
    </w:r>
    <w:r>
      <w:rPr>
        <w:rFonts w:cs="Arial"/>
        <w:b/>
        <w:sz w:val="20"/>
        <w:szCs w:val="20"/>
      </w:rPr>
      <w:fldChar w:fldCharType="end"/>
    </w:r>
    <w:r>
      <w:rPr>
        <w:rFonts w:cs="Arial"/>
        <w:sz w:val="20"/>
        <w:szCs w:val="20"/>
      </w:rPr>
      <w:t xml:space="preserve"> of </w:t>
    </w:r>
    <w:r>
      <w:rPr>
        <w:rFonts w:cs="Arial"/>
        <w:b/>
        <w:sz w:val="20"/>
        <w:szCs w:val="20"/>
      </w:rPr>
      <w:fldChar w:fldCharType="begin"/>
    </w:r>
    <w:r>
      <w:rPr>
        <w:rFonts w:cs="Arial"/>
        <w:b/>
        <w:sz w:val="20"/>
        <w:szCs w:val="20"/>
      </w:rPr>
      <w:instrText xml:space="preserve"> NUMPAGES  \* Arabic  \* MERGEFORMAT </w:instrText>
    </w:r>
    <w:r>
      <w:rPr>
        <w:rFonts w:cs="Arial"/>
        <w:b/>
        <w:sz w:val="20"/>
        <w:szCs w:val="20"/>
      </w:rPr>
      <w:fldChar w:fldCharType="separate"/>
    </w:r>
    <w:r w:rsidR="0046142F">
      <w:rPr>
        <w:rFonts w:cs="Arial"/>
        <w:b/>
        <w:noProof/>
        <w:sz w:val="20"/>
        <w:szCs w:val="20"/>
      </w:rPr>
      <w:t>4</w:t>
    </w:r>
    <w:r>
      <w:rPr>
        <w:rFonts w:cs="Arial"/>
        <w:b/>
        <w:sz w:val="20"/>
        <w:szCs w:val="20"/>
      </w:rPr>
      <w:fldChar w:fldCharType="end"/>
    </w:r>
  </w:p>
  <w:p w14:paraId="4B96BE10" w14:textId="77777777" w:rsidR="00C80B72" w:rsidRDefault="00C80B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E32"/>
    <w:multiLevelType w:val="hybridMultilevel"/>
    <w:tmpl w:val="FA8C67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021821"/>
    <w:multiLevelType w:val="hybridMultilevel"/>
    <w:tmpl w:val="B6160E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01DB4"/>
    <w:multiLevelType w:val="hybridMultilevel"/>
    <w:tmpl w:val="FA8C67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6B2059"/>
    <w:multiLevelType w:val="hybridMultilevel"/>
    <w:tmpl w:val="FA8C67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845D11"/>
    <w:multiLevelType w:val="hybridMultilevel"/>
    <w:tmpl w:val="C3040FDE"/>
    <w:lvl w:ilvl="0" w:tplc="9F6A2EEE">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E4EB2"/>
    <w:multiLevelType w:val="hybridMultilevel"/>
    <w:tmpl w:val="E330491C"/>
    <w:lvl w:ilvl="0" w:tplc="6464E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C24DC7"/>
    <w:multiLevelType w:val="hybridMultilevel"/>
    <w:tmpl w:val="FA8C67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6960305"/>
    <w:multiLevelType w:val="hybridMultilevel"/>
    <w:tmpl w:val="C3E84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A16E7B"/>
    <w:multiLevelType w:val="hybridMultilevel"/>
    <w:tmpl w:val="F52405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E6658"/>
    <w:multiLevelType w:val="hybridMultilevel"/>
    <w:tmpl w:val="F52405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C3538A"/>
    <w:multiLevelType w:val="hybridMultilevel"/>
    <w:tmpl w:val="5F9E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4C6F39"/>
    <w:multiLevelType w:val="hybridMultilevel"/>
    <w:tmpl w:val="A476C4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0"/>
  </w:num>
  <w:num w:numId="8">
    <w:abstractNumId w:val="8"/>
  </w:num>
  <w:num w:numId="9">
    <w:abstractNumId w:val="5"/>
  </w:num>
  <w:num w:numId="10">
    <w:abstractNumId w:val="7"/>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01"/>
    <w:rsid w:val="001C4A01"/>
    <w:rsid w:val="001F7864"/>
    <w:rsid w:val="00325260"/>
    <w:rsid w:val="004450CA"/>
    <w:rsid w:val="0046142F"/>
    <w:rsid w:val="00546A8A"/>
    <w:rsid w:val="00710615"/>
    <w:rsid w:val="0072322F"/>
    <w:rsid w:val="00757845"/>
    <w:rsid w:val="00884615"/>
    <w:rsid w:val="008A1C9F"/>
    <w:rsid w:val="00AD31FA"/>
    <w:rsid w:val="00B1785A"/>
    <w:rsid w:val="00C27427"/>
    <w:rsid w:val="00C80B72"/>
    <w:rsid w:val="00C95EBA"/>
    <w:rsid w:val="00C972C3"/>
    <w:rsid w:val="00DA5628"/>
    <w:rsid w:val="00FD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01"/>
    <w:pPr>
      <w:spacing w:line="25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A01"/>
    <w:pPr>
      <w:ind w:left="720"/>
      <w:contextualSpacing/>
    </w:pPr>
  </w:style>
  <w:style w:type="paragraph" w:styleId="Header">
    <w:name w:val="header"/>
    <w:basedOn w:val="Normal"/>
    <w:link w:val="HeaderChar"/>
    <w:uiPriority w:val="99"/>
    <w:unhideWhenUsed/>
    <w:rsid w:val="00C80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B72"/>
    <w:rPr>
      <w:rFonts w:ascii="Arial" w:hAnsi="Arial"/>
    </w:rPr>
  </w:style>
  <w:style w:type="paragraph" w:styleId="Footer">
    <w:name w:val="footer"/>
    <w:basedOn w:val="Normal"/>
    <w:link w:val="FooterChar"/>
    <w:uiPriority w:val="99"/>
    <w:unhideWhenUsed/>
    <w:rsid w:val="00C80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B72"/>
    <w:rPr>
      <w:rFonts w:ascii="Arial" w:hAnsi="Arial"/>
    </w:rPr>
  </w:style>
  <w:style w:type="character" w:styleId="CommentReference">
    <w:name w:val="annotation reference"/>
    <w:basedOn w:val="DefaultParagraphFont"/>
    <w:uiPriority w:val="99"/>
    <w:semiHidden/>
    <w:unhideWhenUsed/>
    <w:rsid w:val="00C95EBA"/>
    <w:rPr>
      <w:sz w:val="16"/>
      <w:szCs w:val="16"/>
    </w:rPr>
  </w:style>
  <w:style w:type="paragraph" w:styleId="CommentText">
    <w:name w:val="annotation text"/>
    <w:basedOn w:val="Normal"/>
    <w:link w:val="CommentTextChar"/>
    <w:uiPriority w:val="99"/>
    <w:semiHidden/>
    <w:unhideWhenUsed/>
    <w:rsid w:val="00C95EBA"/>
    <w:pPr>
      <w:spacing w:line="240" w:lineRule="auto"/>
    </w:pPr>
    <w:rPr>
      <w:sz w:val="20"/>
      <w:szCs w:val="20"/>
    </w:rPr>
  </w:style>
  <w:style w:type="character" w:customStyle="1" w:styleId="CommentTextChar">
    <w:name w:val="Comment Text Char"/>
    <w:basedOn w:val="DefaultParagraphFont"/>
    <w:link w:val="CommentText"/>
    <w:uiPriority w:val="99"/>
    <w:semiHidden/>
    <w:rsid w:val="00C95EB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5EBA"/>
    <w:rPr>
      <w:b/>
      <w:bCs/>
    </w:rPr>
  </w:style>
  <w:style w:type="character" w:customStyle="1" w:styleId="CommentSubjectChar">
    <w:name w:val="Comment Subject Char"/>
    <w:basedOn w:val="CommentTextChar"/>
    <w:link w:val="CommentSubject"/>
    <w:uiPriority w:val="99"/>
    <w:semiHidden/>
    <w:rsid w:val="00C95EBA"/>
    <w:rPr>
      <w:rFonts w:ascii="Arial" w:hAnsi="Arial"/>
      <w:b/>
      <w:bCs/>
      <w:sz w:val="20"/>
      <w:szCs w:val="20"/>
    </w:rPr>
  </w:style>
  <w:style w:type="paragraph" w:styleId="BalloonText">
    <w:name w:val="Balloon Text"/>
    <w:basedOn w:val="Normal"/>
    <w:link w:val="BalloonTextChar"/>
    <w:uiPriority w:val="99"/>
    <w:semiHidden/>
    <w:unhideWhenUsed/>
    <w:rsid w:val="00C95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E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01"/>
    <w:pPr>
      <w:spacing w:line="25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A01"/>
    <w:pPr>
      <w:ind w:left="720"/>
      <w:contextualSpacing/>
    </w:pPr>
  </w:style>
  <w:style w:type="paragraph" w:styleId="Header">
    <w:name w:val="header"/>
    <w:basedOn w:val="Normal"/>
    <w:link w:val="HeaderChar"/>
    <w:uiPriority w:val="99"/>
    <w:unhideWhenUsed/>
    <w:rsid w:val="00C80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B72"/>
    <w:rPr>
      <w:rFonts w:ascii="Arial" w:hAnsi="Arial"/>
    </w:rPr>
  </w:style>
  <w:style w:type="paragraph" w:styleId="Footer">
    <w:name w:val="footer"/>
    <w:basedOn w:val="Normal"/>
    <w:link w:val="FooterChar"/>
    <w:uiPriority w:val="99"/>
    <w:unhideWhenUsed/>
    <w:rsid w:val="00C80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B72"/>
    <w:rPr>
      <w:rFonts w:ascii="Arial" w:hAnsi="Arial"/>
    </w:rPr>
  </w:style>
  <w:style w:type="character" w:styleId="CommentReference">
    <w:name w:val="annotation reference"/>
    <w:basedOn w:val="DefaultParagraphFont"/>
    <w:uiPriority w:val="99"/>
    <w:semiHidden/>
    <w:unhideWhenUsed/>
    <w:rsid w:val="00C95EBA"/>
    <w:rPr>
      <w:sz w:val="16"/>
      <w:szCs w:val="16"/>
    </w:rPr>
  </w:style>
  <w:style w:type="paragraph" w:styleId="CommentText">
    <w:name w:val="annotation text"/>
    <w:basedOn w:val="Normal"/>
    <w:link w:val="CommentTextChar"/>
    <w:uiPriority w:val="99"/>
    <w:semiHidden/>
    <w:unhideWhenUsed/>
    <w:rsid w:val="00C95EBA"/>
    <w:pPr>
      <w:spacing w:line="240" w:lineRule="auto"/>
    </w:pPr>
    <w:rPr>
      <w:sz w:val="20"/>
      <w:szCs w:val="20"/>
    </w:rPr>
  </w:style>
  <w:style w:type="character" w:customStyle="1" w:styleId="CommentTextChar">
    <w:name w:val="Comment Text Char"/>
    <w:basedOn w:val="DefaultParagraphFont"/>
    <w:link w:val="CommentText"/>
    <w:uiPriority w:val="99"/>
    <w:semiHidden/>
    <w:rsid w:val="00C95EB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5EBA"/>
    <w:rPr>
      <w:b/>
      <w:bCs/>
    </w:rPr>
  </w:style>
  <w:style w:type="character" w:customStyle="1" w:styleId="CommentSubjectChar">
    <w:name w:val="Comment Subject Char"/>
    <w:basedOn w:val="CommentTextChar"/>
    <w:link w:val="CommentSubject"/>
    <w:uiPriority w:val="99"/>
    <w:semiHidden/>
    <w:rsid w:val="00C95EBA"/>
    <w:rPr>
      <w:rFonts w:ascii="Arial" w:hAnsi="Arial"/>
      <w:b/>
      <w:bCs/>
      <w:sz w:val="20"/>
      <w:szCs w:val="20"/>
    </w:rPr>
  </w:style>
  <w:style w:type="paragraph" w:styleId="BalloonText">
    <w:name w:val="Balloon Text"/>
    <w:basedOn w:val="Normal"/>
    <w:link w:val="BalloonTextChar"/>
    <w:uiPriority w:val="99"/>
    <w:semiHidden/>
    <w:unhideWhenUsed/>
    <w:rsid w:val="00C95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Frank</dc:creator>
  <cp:lastModifiedBy>Ian McKenzie</cp:lastModifiedBy>
  <cp:revision>4</cp:revision>
  <dcterms:created xsi:type="dcterms:W3CDTF">2020-02-11T15:18:00Z</dcterms:created>
  <dcterms:modified xsi:type="dcterms:W3CDTF">2020-02-12T17:52:00Z</dcterms:modified>
</cp:coreProperties>
</file>