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9279" w14:textId="77777777" w:rsidR="004D17AB" w:rsidRPr="004D17AB" w:rsidRDefault="004D17AB" w:rsidP="004D17A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lang w:val="en-CA"/>
        </w:rPr>
      </w:pPr>
      <w:r w:rsidRPr="004D17AB">
        <w:rPr>
          <w:rFonts w:cs="Arial"/>
          <w:bCs/>
          <w:color w:val="000000"/>
        </w:rPr>
        <w:t>Hearst Power Distribution Company Limited</w:t>
      </w:r>
      <w:r w:rsidRPr="004D17AB">
        <w:rPr>
          <w:rFonts w:cs="Arial"/>
          <w:bCs/>
          <w:color w:val="000000"/>
          <w:lang w:val="en-CA"/>
        </w:rPr>
        <w:t xml:space="preserve"> </w:t>
      </w:r>
    </w:p>
    <w:p w14:paraId="5FE30C3D" w14:textId="16830DBC" w:rsidR="004D17AB" w:rsidRPr="004D17AB" w:rsidRDefault="004D17AB" w:rsidP="004D17A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lang w:val="en-CA"/>
        </w:rPr>
      </w:pPr>
      <w:r w:rsidRPr="004D17AB">
        <w:rPr>
          <w:rFonts w:cs="Arial"/>
          <w:color w:val="000000"/>
          <w:lang w:val="en-CA"/>
        </w:rPr>
        <w:t xml:space="preserve">OEB Staff </w:t>
      </w:r>
      <w:r w:rsidR="00AF1A1F">
        <w:rPr>
          <w:rFonts w:cs="Arial"/>
          <w:color w:val="000000"/>
          <w:lang w:val="en-CA"/>
        </w:rPr>
        <w:t xml:space="preserve">Follow-up </w:t>
      </w:r>
      <w:r w:rsidRPr="004D17AB">
        <w:rPr>
          <w:rFonts w:cs="Arial"/>
          <w:color w:val="000000"/>
          <w:lang w:val="en-CA"/>
        </w:rPr>
        <w:t>Questions</w:t>
      </w:r>
    </w:p>
    <w:p w14:paraId="245969A9" w14:textId="77777777" w:rsidR="004D17AB" w:rsidRDefault="004D17AB" w:rsidP="004D17AB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D17AB">
        <w:rPr>
          <w:rFonts w:cs="Arial"/>
        </w:rPr>
        <w:t>EB-2019-0040</w:t>
      </w:r>
    </w:p>
    <w:p w14:paraId="153748A5" w14:textId="77777777" w:rsidR="004D17AB" w:rsidRDefault="004D17AB" w:rsidP="004D17A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EAAA07" w14:textId="77777777" w:rsidR="004D17AB" w:rsidRPr="004D17AB" w:rsidRDefault="004D17AB" w:rsidP="004D17AB">
      <w:pPr>
        <w:pStyle w:val="Default"/>
        <w:jc w:val="center"/>
        <w:rPr>
          <w:rFonts w:ascii="Arial" w:hAnsi="Arial" w:cs="Arial"/>
        </w:rPr>
      </w:pPr>
      <w:r w:rsidRPr="004D17AB">
        <w:rPr>
          <w:rFonts w:ascii="Arial" w:hAnsi="Arial" w:cs="Arial"/>
          <w:b/>
          <w:bCs/>
        </w:rPr>
        <w:t xml:space="preserve">Hearst Power Distribution Company Limited  </w:t>
      </w:r>
    </w:p>
    <w:p w14:paraId="398977FB" w14:textId="77777777" w:rsidR="004D17AB" w:rsidRDefault="004D17AB" w:rsidP="004D17AB">
      <w:pPr>
        <w:jc w:val="center"/>
        <w:rPr>
          <w:u w:val="single"/>
        </w:rPr>
      </w:pPr>
      <w:r w:rsidRPr="004D17AB">
        <w:rPr>
          <w:rFonts w:cs="Arial"/>
          <w:b/>
          <w:bCs/>
          <w:sz w:val="24"/>
          <w:szCs w:val="24"/>
        </w:rPr>
        <w:t>EB-2019-0040</w:t>
      </w:r>
    </w:p>
    <w:p w14:paraId="69CC9CD1" w14:textId="685FBF73" w:rsidR="004D17AB" w:rsidRPr="003636BF" w:rsidRDefault="004D17AB" w:rsidP="004D17AB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>Staff Question-1</w:t>
      </w:r>
      <w:r w:rsidR="00AF1A1F">
        <w:rPr>
          <w:rFonts w:cs="Arial"/>
          <w:b/>
          <w:sz w:val="24"/>
          <w:szCs w:val="24"/>
        </w:rPr>
        <w:t>0</w:t>
      </w:r>
    </w:p>
    <w:p w14:paraId="69A8E673" w14:textId="11055434" w:rsidR="004D17AB" w:rsidRPr="003636BF" w:rsidRDefault="004D17AB" w:rsidP="004D17AB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 xml:space="preserve">Ref: </w:t>
      </w:r>
      <w:r w:rsidR="00AF1A1F" w:rsidRPr="00AF1A1F">
        <w:rPr>
          <w:rFonts w:eastAsia="Calibri" w:cs="Arial"/>
          <w:b/>
          <w:bCs/>
          <w:sz w:val="24"/>
          <w:szCs w:val="24"/>
          <w:lang w:val="en-CA"/>
        </w:rPr>
        <w:t>Staff Question 4</w:t>
      </w:r>
    </w:p>
    <w:p w14:paraId="113CED2D" w14:textId="281BBCB6" w:rsidR="00AF1A1F" w:rsidRDefault="00AF1A1F" w:rsidP="008A413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following questions are regarding the 2017 and 2018 adjustments.</w:t>
      </w:r>
    </w:p>
    <w:p w14:paraId="253E7510" w14:textId="77777777" w:rsidR="00AF1A1F" w:rsidRPr="00AF1A1F" w:rsidRDefault="00AF1A1F" w:rsidP="00AF1A1F">
      <w:pPr>
        <w:numPr>
          <w:ilvl w:val="0"/>
          <w:numId w:val="10"/>
        </w:numPr>
        <w:contextualSpacing/>
        <w:rPr>
          <w:rFonts w:eastAsia="Calibri" w:cs="Arial"/>
          <w:sz w:val="24"/>
          <w:szCs w:val="24"/>
          <w:lang w:val="en-CA"/>
        </w:rPr>
      </w:pPr>
      <w:r w:rsidRPr="00AF1A1F">
        <w:rPr>
          <w:rFonts w:eastAsia="Calibri" w:cs="Arial"/>
          <w:sz w:val="24"/>
          <w:szCs w:val="24"/>
          <w:lang w:val="en-CA"/>
        </w:rPr>
        <w:t>Please confirm that the 2017 and 2018 adjustments are also to true-up the cost of power in the RPP settlement true-up, similar to the 2019 adjustment.</w:t>
      </w:r>
    </w:p>
    <w:p w14:paraId="681DAA9F" w14:textId="77777777" w:rsidR="00AF1A1F" w:rsidRPr="00AF1A1F" w:rsidRDefault="00AF1A1F" w:rsidP="00AF1A1F">
      <w:pPr>
        <w:numPr>
          <w:ilvl w:val="0"/>
          <w:numId w:val="10"/>
        </w:numPr>
        <w:contextualSpacing/>
        <w:rPr>
          <w:rFonts w:eastAsia="Calibri" w:cs="Arial"/>
          <w:sz w:val="24"/>
          <w:szCs w:val="24"/>
          <w:lang w:val="en-CA"/>
        </w:rPr>
      </w:pPr>
      <w:r w:rsidRPr="00AF1A1F">
        <w:rPr>
          <w:rFonts w:eastAsia="Calibri" w:cs="Arial"/>
          <w:sz w:val="24"/>
          <w:szCs w:val="24"/>
          <w:lang w:val="en-CA"/>
        </w:rPr>
        <w:t>If yes, please confirm that the 2017 and 2018 adjustments is to Account 1588 only.</w:t>
      </w:r>
    </w:p>
    <w:p w14:paraId="55277E5C" w14:textId="5924AC97" w:rsidR="00AF1A1F" w:rsidRPr="00AF1A1F" w:rsidRDefault="00AF1A1F" w:rsidP="00AF1A1F">
      <w:pPr>
        <w:numPr>
          <w:ilvl w:val="0"/>
          <w:numId w:val="10"/>
        </w:numPr>
        <w:contextualSpacing/>
        <w:rPr>
          <w:rFonts w:eastAsia="Calibri" w:cs="Arial"/>
          <w:sz w:val="24"/>
          <w:szCs w:val="24"/>
          <w:lang w:val="en-CA"/>
        </w:rPr>
      </w:pPr>
      <w:r w:rsidRPr="00AF1A1F">
        <w:rPr>
          <w:rFonts w:eastAsia="Calibri" w:cs="Arial"/>
          <w:sz w:val="24"/>
          <w:szCs w:val="24"/>
          <w:lang w:val="en-CA"/>
        </w:rPr>
        <w:t>If part a</w:t>
      </w:r>
      <w:r w:rsidR="00F363B0">
        <w:rPr>
          <w:rFonts w:eastAsia="Calibri" w:cs="Arial"/>
          <w:sz w:val="24"/>
          <w:szCs w:val="24"/>
          <w:lang w:val="en-CA"/>
        </w:rPr>
        <w:t>)</w:t>
      </w:r>
      <w:r w:rsidRPr="00AF1A1F">
        <w:rPr>
          <w:rFonts w:eastAsia="Calibri" w:cs="Arial"/>
          <w:sz w:val="24"/>
          <w:szCs w:val="24"/>
          <w:lang w:val="en-CA"/>
        </w:rPr>
        <w:t xml:space="preserve"> is not confirmed, please explain what the adjustment is for.</w:t>
      </w:r>
    </w:p>
    <w:p w14:paraId="67277F23" w14:textId="77777777" w:rsidR="00AF1A1F" w:rsidRPr="00AF1A1F" w:rsidRDefault="00AF1A1F" w:rsidP="00AF1A1F">
      <w:pPr>
        <w:numPr>
          <w:ilvl w:val="0"/>
          <w:numId w:val="10"/>
        </w:numPr>
        <w:rPr>
          <w:rFonts w:eastAsia="Calibri" w:cs="Arial"/>
          <w:sz w:val="24"/>
          <w:szCs w:val="24"/>
          <w:lang w:val="en-CA"/>
        </w:rPr>
      </w:pPr>
      <w:r w:rsidRPr="00AF1A1F">
        <w:rPr>
          <w:rFonts w:eastAsia="Calibri" w:cs="Arial"/>
          <w:sz w:val="24"/>
          <w:szCs w:val="24"/>
          <w:lang w:val="en-CA"/>
        </w:rPr>
        <w:t>Please provide a calculation showing the 2017 and 2018 adjustments.</w:t>
      </w:r>
    </w:p>
    <w:p w14:paraId="2FD6BC56" w14:textId="77777777" w:rsidR="004D17AB" w:rsidRPr="003636BF" w:rsidRDefault="004D17AB">
      <w:pPr>
        <w:rPr>
          <w:rFonts w:cs="Arial"/>
          <w:b/>
          <w:sz w:val="24"/>
          <w:szCs w:val="24"/>
        </w:rPr>
      </w:pPr>
    </w:p>
    <w:p w14:paraId="5B7D8B00" w14:textId="05F10432" w:rsidR="00EA01C1" w:rsidRPr="003636BF" w:rsidRDefault="00EA01C1" w:rsidP="00EA01C1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>Staff Question-</w:t>
      </w:r>
      <w:r w:rsidR="00AF1A1F">
        <w:rPr>
          <w:rFonts w:cs="Arial"/>
          <w:b/>
          <w:sz w:val="24"/>
          <w:szCs w:val="24"/>
        </w:rPr>
        <w:t>11</w:t>
      </w:r>
    </w:p>
    <w:p w14:paraId="7A4A5C95" w14:textId="062DDF0C" w:rsidR="00EA01C1" w:rsidRPr="003636BF" w:rsidRDefault="00EA01C1" w:rsidP="00EA01C1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 xml:space="preserve">Ref: </w:t>
      </w:r>
      <w:r w:rsidR="0010138D">
        <w:rPr>
          <w:rFonts w:cs="Arial"/>
          <w:b/>
          <w:sz w:val="24"/>
          <w:szCs w:val="24"/>
        </w:rPr>
        <w:t>Staff Question</w:t>
      </w:r>
      <w:r w:rsidR="00E21ABD">
        <w:rPr>
          <w:rFonts w:cs="Arial"/>
          <w:b/>
          <w:sz w:val="24"/>
          <w:szCs w:val="24"/>
        </w:rPr>
        <w:t xml:space="preserve"> 7a</w:t>
      </w:r>
      <w:r w:rsidR="0010138D">
        <w:rPr>
          <w:rFonts w:cs="Arial"/>
          <w:b/>
          <w:sz w:val="24"/>
          <w:szCs w:val="24"/>
        </w:rPr>
        <w:t xml:space="preserve"> </w:t>
      </w:r>
    </w:p>
    <w:p w14:paraId="7F50A968" w14:textId="28D33016" w:rsidR="00EA01C1" w:rsidRDefault="0010138D">
      <w:pPr>
        <w:rPr>
          <w:rFonts w:cs="Arial"/>
          <w:b/>
          <w:sz w:val="24"/>
          <w:szCs w:val="24"/>
        </w:rPr>
      </w:pPr>
      <w:r w:rsidRPr="0010138D">
        <w:rPr>
          <w:rFonts w:cs="Arial"/>
          <w:sz w:val="24"/>
          <w:szCs w:val="24"/>
          <w:lang w:val="en-CA"/>
        </w:rPr>
        <w:t>In the second table, there is only one true-up for the month of May.</w:t>
      </w:r>
    </w:p>
    <w:p w14:paraId="6CF39B65" w14:textId="77777777" w:rsidR="00E21ABD" w:rsidRPr="00F363B0" w:rsidRDefault="00E21ABD" w:rsidP="00F363B0">
      <w:pPr>
        <w:numPr>
          <w:ilvl w:val="0"/>
          <w:numId w:val="11"/>
        </w:numPr>
        <w:spacing w:after="0"/>
        <w:rPr>
          <w:rFonts w:cs="Arial"/>
          <w:sz w:val="24"/>
          <w:szCs w:val="24"/>
          <w:lang w:val="en-CA"/>
        </w:rPr>
      </w:pPr>
      <w:r w:rsidRPr="00F363B0">
        <w:rPr>
          <w:rFonts w:cs="Arial"/>
          <w:sz w:val="24"/>
          <w:szCs w:val="24"/>
          <w:lang w:val="en-CA"/>
        </w:rPr>
        <w:t>There is no true-up for the month of April included in the July 4</w:t>
      </w:r>
      <w:r w:rsidRPr="00F363B0">
        <w:rPr>
          <w:rFonts w:cs="Arial"/>
          <w:sz w:val="24"/>
          <w:szCs w:val="24"/>
          <w:vertAlign w:val="superscript"/>
          <w:lang w:val="en-CA"/>
        </w:rPr>
        <w:t>th</w:t>
      </w:r>
      <w:r w:rsidRPr="00F363B0">
        <w:rPr>
          <w:rFonts w:cs="Arial"/>
          <w:sz w:val="24"/>
          <w:szCs w:val="24"/>
          <w:lang w:val="en-CA"/>
        </w:rPr>
        <w:t xml:space="preserve"> submission. Please confirm that for each calendar month, only one true-up is performed in the subsequent month. </w:t>
      </w:r>
    </w:p>
    <w:p w14:paraId="589D6E4C" w14:textId="77777777" w:rsidR="00E21ABD" w:rsidRPr="00F363B0" w:rsidRDefault="00E21ABD" w:rsidP="00F363B0">
      <w:pPr>
        <w:numPr>
          <w:ilvl w:val="0"/>
          <w:numId w:val="11"/>
        </w:numPr>
        <w:spacing w:after="0"/>
        <w:rPr>
          <w:rFonts w:cs="Arial"/>
          <w:sz w:val="24"/>
          <w:szCs w:val="24"/>
          <w:lang w:val="en-CA"/>
        </w:rPr>
      </w:pPr>
      <w:r w:rsidRPr="00F363B0">
        <w:rPr>
          <w:rFonts w:cs="Arial"/>
          <w:sz w:val="24"/>
          <w:szCs w:val="24"/>
          <w:lang w:val="en-CA"/>
        </w:rPr>
        <w:t xml:space="preserve">If yes, please confirm </w:t>
      </w:r>
      <w:proofErr w:type="gramStart"/>
      <w:r w:rsidRPr="00F363B0">
        <w:rPr>
          <w:rFonts w:cs="Arial"/>
          <w:sz w:val="24"/>
          <w:szCs w:val="24"/>
          <w:lang w:val="en-CA"/>
        </w:rPr>
        <w:t>that  Hearst</w:t>
      </w:r>
      <w:proofErr w:type="gramEnd"/>
      <w:r w:rsidRPr="00F363B0">
        <w:rPr>
          <w:rFonts w:cs="Arial"/>
          <w:sz w:val="24"/>
          <w:szCs w:val="24"/>
          <w:lang w:val="en-CA"/>
        </w:rPr>
        <w:t xml:space="preserve"> Power has completed all billings and has the actual consumption by the subsequent month (i.e. all billings pertaining to consumption in May is completed before July 4</w:t>
      </w:r>
      <w:r w:rsidRPr="00F363B0">
        <w:rPr>
          <w:rFonts w:cs="Arial"/>
          <w:sz w:val="24"/>
          <w:szCs w:val="24"/>
          <w:vertAlign w:val="superscript"/>
          <w:lang w:val="en-CA"/>
        </w:rPr>
        <w:t>th</w:t>
      </w:r>
      <w:r w:rsidRPr="00F363B0">
        <w:rPr>
          <w:rFonts w:cs="Arial"/>
          <w:sz w:val="24"/>
          <w:szCs w:val="24"/>
          <w:lang w:val="en-CA"/>
        </w:rPr>
        <w:t>).</w:t>
      </w:r>
    </w:p>
    <w:p w14:paraId="2A9D3626" w14:textId="77777777" w:rsidR="00E21ABD" w:rsidRPr="00F363B0" w:rsidRDefault="00E21ABD" w:rsidP="00E21ABD">
      <w:pPr>
        <w:numPr>
          <w:ilvl w:val="0"/>
          <w:numId w:val="11"/>
        </w:numPr>
        <w:rPr>
          <w:rFonts w:cs="Arial"/>
          <w:sz w:val="24"/>
          <w:szCs w:val="24"/>
          <w:lang w:val="en-CA"/>
        </w:rPr>
      </w:pPr>
      <w:r w:rsidRPr="00F363B0">
        <w:rPr>
          <w:rFonts w:cs="Arial"/>
          <w:sz w:val="24"/>
          <w:szCs w:val="24"/>
          <w:lang w:val="en-CA"/>
        </w:rPr>
        <w:t>If not, please explain why there is only one true-up in the second table.</w:t>
      </w:r>
    </w:p>
    <w:p w14:paraId="795E619F" w14:textId="77777777" w:rsidR="00EA01C1" w:rsidRDefault="00EA01C1">
      <w:pPr>
        <w:rPr>
          <w:rFonts w:cs="Arial"/>
          <w:b/>
          <w:sz w:val="24"/>
          <w:szCs w:val="24"/>
        </w:rPr>
      </w:pPr>
    </w:p>
    <w:p w14:paraId="5C03FA2B" w14:textId="1EC5680C" w:rsidR="004D17AB" w:rsidRPr="003636BF" w:rsidRDefault="004D17AB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>Staff Question-</w:t>
      </w:r>
      <w:r w:rsidR="00AF1A1F">
        <w:rPr>
          <w:rFonts w:cs="Arial"/>
          <w:b/>
          <w:sz w:val="24"/>
          <w:szCs w:val="24"/>
        </w:rPr>
        <w:t>12</w:t>
      </w:r>
    </w:p>
    <w:p w14:paraId="1FA1360A" w14:textId="163554E0" w:rsidR="00AF0B19" w:rsidRPr="003636BF" w:rsidRDefault="00AF0B19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 xml:space="preserve">Ref: </w:t>
      </w:r>
      <w:r w:rsidR="00E21ABD">
        <w:rPr>
          <w:rFonts w:cs="Arial"/>
          <w:b/>
          <w:sz w:val="24"/>
          <w:szCs w:val="24"/>
        </w:rPr>
        <w:t>Staff Question 9</w:t>
      </w:r>
    </w:p>
    <w:p w14:paraId="06A2DF20" w14:textId="5321A4A8" w:rsidR="00302002" w:rsidRPr="003636BF" w:rsidRDefault="00E21ABD" w:rsidP="00D969EB">
      <w:pPr>
        <w:rPr>
          <w:rFonts w:cs="Arial"/>
          <w:sz w:val="24"/>
          <w:szCs w:val="24"/>
        </w:rPr>
      </w:pPr>
      <w:r w:rsidRPr="00E21ABD">
        <w:rPr>
          <w:rFonts w:eastAsia="Calibri" w:cs="Arial"/>
          <w:sz w:val="24"/>
          <w:szCs w:val="24"/>
          <w:lang w:val="en-CA"/>
        </w:rPr>
        <w:t>For the December 2017 true-up of ($22,794),</w:t>
      </w:r>
      <w:r>
        <w:rPr>
          <w:rFonts w:eastAsia="Calibri" w:cs="Arial"/>
          <w:sz w:val="24"/>
          <w:szCs w:val="24"/>
          <w:lang w:val="en-CA"/>
        </w:rPr>
        <w:t xml:space="preserve"> please </w:t>
      </w:r>
      <w:r w:rsidRPr="00E21ABD">
        <w:rPr>
          <w:rFonts w:eastAsia="Calibri" w:cs="Arial"/>
          <w:sz w:val="24"/>
          <w:szCs w:val="24"/>
          <w:lang w:val="en-CA"/>
        </w:rPr>
        <w:t>confirm that this amount was initially recorded in the January 2018 GL then subsequently reversed, and recorded in the December 2017 GL.</w:t>
      </w:r>
      <w:r>
        <w:rPr>
          <w:rFonts w:eastAsia="Calibri" w:cs="Arial"/>
          <w:sz w:val="24"/>
          <w:szCs w:val="24"/>
          <w:lang w:val="en-CA"/>
        </w:rPr>
        <w:t xml:space="preserve"> If not, </w:t>
      </w:r>
      <w:r w:rsidRPr="00E21ABD">
        <w:rPr>
          <w:rFonts w:eastAsia="Calibri" w:cs="Arial"/>
          <w:sz w:val="24"/>
          <w:szCs w:val="24"/>
          <w:lang w:val="en-CA"/>
        </w:rPr>
        <w:t xml:space="preserve">not confirmed, please explain how the amounts identified as a principal adjustment in the 2017 balance of the 2019 rate application was recorded in the GL. </w:t>
      </w:r>
      <w:r w:rsidR="006054D3" w:rsidRPr="003636BF">
        <w:rPr>
          <w:rFonts w:cs="Arial"/>
          <w:sz w:val="24"/>
          <w:szCs w:val="24"/>
        </w:rPr>
        <w:t xml:space="preserve"> </w:t>
      </w:r>
    </w:p>
    <w:p w14:paraId="3D8BC711" w14:textId="77777777" w:rsidR="004D17AB" w:rsidRPr="003636BF" w:rsidRDefault="004D17AB" w:rsidP="004D17AB">
      <w:pPr>
        <w:rPr>
          <w:rFonts w:cs="Arial"/>
          <w:b/>
          <w:sz w:val="24"/>
          <w:szCs w:val="24"/>
        </w:rPr>
      </w:pPr>
      <w:bookmarkStart w:id="0" w:name="_GoBack"/>
      <w:bookmarkEnd w:id="0"/>
    </w:p>
    <w:p w14:paraId="36609C8F" w14:textId="0B2C9CA8" w:rsidR="004D17AB" w:rsidRPr="003636BF" w:rsidRDefault="004D17AB" w:rsidP="004D17AB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lastRenderedPageBreak/>
        <w:t>Staff Question-</w:t>
      </w:r>
      <w:r w:rsidR="00AF1A1F">
        <w:rPr>
          <w:rFonts w:cs="Arial"/>
          <w:b/>
          <w:sz w:val="24"/>
          <w:szCs w:val="24"/>
        </w:rPr>
        <w:t>13</w:t>
      </w:r>
    </w:p>
    <w:p w14:paraId="3362FB6F" w14:textId="49828730" w:rsidR="00B078B9" w:rsidRPr="003636BF" w:rsidRDefault="006054D3" w:rsidP="00B078B9">
      <w:pPr>
        <w:rPr>
          <w:rFonts w:cs="Arial"/>
          <w:b/>
          <w:sz w:val="24"/>
          <w:szCs w:val="24"/>
        </w:rPr>
      </w:pPr>
      <w:r w:rsidRPr="003636BF">
        <w:rPr>
          <w:rFonts w:cs="Arial"/>
          <w:b/>
          <w:sz w:val="24"/>
          <w:szCs w:val="24"/>
        </w:rPr>
        <w:t xml:space="preserve">Ref: </w:t>
      </w:r>
      <w:r w:rsidR="00E21ABD">
        <w:rPr>
          <w:rFonts w:cs="Arial"/>
          <w:b/>
          <w:sz w:val="24"/>
          <w:szCs w:val="24"/>
        </w:rPr>
        <w:t>Staff Question 9</w:t>
      </w:r>
    </w:p>
    <w:p w14:paraId="692FEE7D" w14:textId="77777777" w:rsidR="00E21ABD" w:rsidRPr="00E21ABD" w:rsidRDefault="00E21ABD" w:rsidP="00E21ABD">
      <w:pPr>
        <w:rPr>
          <w:rFonts w:cs="Arial"/>
          <w:sz w:val="24"/>
          <w:szCs w:val="24"/>
          <w:lang w:val="en-CA"/>
        </w:rPr>
      </w:pPr>
      <w:r w:rsidRPr="00E21ABD">
        <w:rPr>
          <w:rFonts w:cs="Arial"/>
          <w:sz w:val="24"/>
          <w:szCs w:val="24"/>
          <w:lang w:val="en-CA"/>
        </w:rPr>
        <w:t>It appears that the three 2017 adjustments totalling ($55,878) was recorded in the 2017 GL. In the 2019 rate application’s DVA Continuity Schedule for the 2017 balance, the ($55,878) was recorded as a principal adjustment because they were not initially reflected in the 2017 balance in the GL.</w:t>
      </w:r>
    </w:p>
    <w:p w14:paraId="6EDD215A" w14:textId="3239D7E1" w:rsidR="00E21ABD" w:rsidRDefault="00E21ABD" w:rsidP="00F363B0">
      <w:pPr>
        <w:numPr>
          <w:ilvl w:val="0"/>
          <w:numId w:val="12"/>
        </w:numPr>
        <w:spacing w:after="0"/>
        <w:rPr>
          <w:rFonts w:cs="Arial"/>
          <w:sz w:val="24"/>
          <w:szCs w:val="24"/>
          <w:lang w:val="en-CA"/>
        </w:rPr>
      </w:pPr>
      <w:r w:rsidRPr="00E21ABD">
        <w:rPr>
          <w:rFonts w:cs="Arial"/>
          <w:sz w:val="24"/>
          <w:szCs w:val="24"/>
          <w:lang w:val="en-CA"/>
        </w:rPr>
        <w:t>Please explain whether Hearst Power re-opened its 2017 GL during the 2019 rate application to record these adjustments.</w:t>
      </w:r>
    </w:p>
    <w:p w14:paraId="701BB0C5" w14:textId="5F64912F" w:rsidR="00E21ABD" w:rsidRPr="00F363B0" w:rsidRDefault="00E21ABD" w:rsidP="00F363B0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not, please explain how the ($55,878) would have been principal adjustments when they were already recorded in the 2017 GL.</w:t>
      </w:r>
    </w:p>
    <w:p w14:paraId="3C1153C3" w14:textId="77777777" w:rsidR="0088763D" w:rsidRPr="006054D3" w:rsidRDefault="0088763D" w:rsidP="00F363B0"/>
    <w:sectPr w:rsidR="0088763D" w:rsidRPr="006054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6607D" w14:textId="77777777" w:rsidR="004D17AB" w:rsidRDefault="004D17AB" w:rsidP="004D17AB">
      <w:pPr>
        <w:spacing w:after="0" w:line="240" w:lineRule="auto"/>
      </w:pPr>
      <w:r>
        <w:separator/>
      </w:r>
    </w:p>
  </w:endnote>
  <w:endnote w:type="continuationSeparator" w:id="0">
    <w:p w14:paraId="39DCF428" w14:textId="77777777" w:rsidR="004D17AB" w:rsidRDefault="004D17AB" w:rsidP="004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9809602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DB176" w14:textId="6F346653" w:rsidR="004D17AB" w:rsidRPr="004D17AB" w:rsidRDefault="004D17AB" w:rsidP="004D17AB">
            <w:pPr>
              <w:tabs>
                <w:tab w:val="center" w:pos="4680"/>
                <w:tab w:val="right" w:pos="9360"/>
              </w:tabs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D17AB">
              <w:rPr>
                <w:rFonts w:asciiTheme="minorHAnsi" w:hAnsiTheme="minorHAnsi"/>
              </w:rPr>
              <w:t xml:space="preserve">Page </w: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Pr="004D17AB">
              <w:rPr>
                <w:rFonts w:asciiTheme="minorHAnsi" w:hAnsiTheme="minorHAnsi"/>
                <w:bCs/>
              </w:rPr>
              <w:instrText xml:space="preserve"> PAGE </w:instrTex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F363B0">
              <w:rPr>
                <w:rFonts w:asciiTheme="minorHAnsi" w:hAnsiTheme="minorHAnsi"/>
                <w:bCs/>
                <w:noProof/>
              </w:rPr>
              <w:t>1</w: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r w:rsidRPr="004D17AB">
              <w:rPr>
                <w:rFonts w:asciiTheme="minorHAnsi" w:hAnsiTheme="minorHAnsi"/>
              </w:rPr>
              <w:t xml:space="preserve"> of </w: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Pr="004D17AB">
              <w:rPr>
                <w:rFonts w:asciiTheme="minorHAnsi" w:hAnsiTheme="minorHAnsi"/>
                <w:bCs/>
              </w:rPr>
              <w:instrText xml:space="preserve"> NUMPAGES  </w:instrTex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F363B0">
              <w:rPr>
                <w:rFonts w:asciiTheme="minorHAnsi" w:hAnsiTheme="minorHAnsi"/>
                <w:bCs/>
                <w:noProof/>
              </w:rPr>
              <w:t>2</w:t>
            </w:r>
            <w:r w:rsidRPr="004D17AB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ADE24C" w14:textId="77777777" w:rsidR="004D17AB" w:rsidRDefault="004D1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F4C7B" w14:textId="77777777" w:rsidR="004D17AB" w:rsidRDefault="004D17AB" w:rsidP="004D17AB">
      <w:pPr>
        <w:spacing w:after="0" w:line="240" w:lineRule="auto"/>
      </w:pPr>
      <w:r>
        <w:separator/>
      </w:r>
    </w:p>
  </w:footnote>
  <w:footnote w:type="continuationSeparator" w:id="0">
    <w:p w14:paraId="236338B0" w14:textId="77777777" w:rsidR="004D17AB" w:rsidRDefault="004D17AB" w:rsidP="004D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0B5"/>
    <w:multiLevelType w:val="hybridMultilevel"/>
    <w:tmpl w:val="E7E86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821"/>
    <w:multiLevelType w:val="hybridMultilevel"/>
    <w:tmpl w:val="9D7A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649"/>
    <w:multiLevelType w:val="hybridMultilevel"/>
    <w:tmpl w:val="229E53A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524"/>
    <w:multiLevelType w:val="hybridMultilevel"/>
    <w:tmpl w:val="6CEE5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30"/>
    <w:multiLevelType w:val="hybridMultilevel"/>
    <w:tmpl w:val="1780DE0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01060"/>
    <w:multiLevelType w:val="hybridMultilevel"/>
    <w:tmpl w:val="3C98E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6404"/>
    <w:multiLevelType w:val="hybridMultilevel"/>
    <w:tmpl w:val="501EF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3E4B"/>
    <w:multiLevelType w:val="hybridMultilevel"/>
    <w:tmpl w:val="96886050"/>
    <w:lvl w:ilvl="0" w:tplc="8FCADC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924DF"/>
    <w:multiLevelType w:val="hybridMultilevel"/>
    <w:tmpl w:val="71869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D0B4C"/>
    <w:multiLevelType w:val="hybridMultilevel"/>
    <w:tmpl w:val="0CE622C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762D1"/>
    <w:multiLevelType w:val="hybridMultilevel"/>
    <w:tmpl w:val="79A4E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E5CC5"/>
    <w:multiLevelType w:val="hybridMultilevel"/>
    <w:tmpl w:val="D682F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19"/>
    <w:rsid w:val="00014470"/>
    <w:rsid w:val="00043160"/>
    <w:rsid w:val="000B7B44"/>
    <w:rsid w:val="0010138D"/>
    <w:rsid w:val="0017065B"/>
    <w:rsid w:val="00263042"/>
    <w:rsid w:val="002F0E29"/>
    <w:rsid w:val="00302002"/>
    <w:rsid w:val="00313095"/>
    <w:rsid w:val="00357300"/>
    <w:rsid w:val="003636BF"/>
    <w:rsid w:val="004B3C39"/>
    <w:rsid w:val="004D17AB"/>
    <w:rsid w:val="00544B74"/>
    <w:rsid w:val="005871D5"/>
    <w:rsid w:val="005C51E0"/>
    <w:rsid w:val="006054D3"/>
    <w:rsid w:val="0088763D"/>
    <w:rsid w:val="008A413D"/>
    <w:rsid w:val="0091719B"/>
    <w:rsid w:val="009931FC"/>
    <w:rsid w:val="00997606"/>
    <w:rsid w:val="00A31516"/>
    <w:rsid w:val="00AB3D14"/>
    <w:rsid w:val="00AF0B19"/>
    <w:rsid w:val="00AF1A1F"/>
    <w:rsid w:val="00AF2844"/>
    <w:rsid w:val="00B078B9"/>
    <w:rsid w:val="00B26A8B"/>
    <w:rsid w:val="00B42EB8"/>
    <w:rsid w:val="00B64071"/>
    <w:rsid w:val="00CC506A"/>
    <w:rsid w:val="00D33BA5"/>
    <w:rsid w:val="00D941E9"/>
    <w:rsid w:val="00D969EB"/>
    <w:rsid w:val="00DE73C5"/>
    <w:rsid w:val="00E21ABD"/>
    <w:rsid w:val="00EA01C1"/>
    <w:rsid w:val="00F363B0"/>
    <w:rsid w:val="00F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076"/>
  <w15:chartTrackingRefBased/>
  <w15:docId w15:val="{2EC3C434-8575-4C7C-A4A0-27C17BBA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002"/>
    <w:pPr>
      <w:ind w:left="720"/>
      <w:contextualSpacing/>
    </w:pPr>
  </w:style>
  <w:style w:type="paragraph" w:customStyle="1" w:styleId="Default">
    <w:name w:val="Default"/>
    <w:rsid w:val="004D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D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AB"/>
  </w:style>
  <w:style w:type="paragraph" w:styleId="Footer">
    <w:name w:val="footer"/>
    <w:basedOn w:val="Normal"/>
    <w:link w:val="FooterChar"/>
    <w:uiPriority w:val="99"/>
    <w:unhideWhenUsed/>
    <w:rsid w:val="004D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AB"/>
  </w:style>
  <w:style w:type="character" w:styleId="CommentReference">
    <w:name w:val="annotation reference"/>
    <w:basedOn w:val="DefaultParagraphFont"/>
    <w:uiPriority w:val="99"/>
    <w:semiHidden/>
    <w:unhideWhenUsed/>
    <w:rsid w:val="00AB3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Vince Mazzone</cp:lastModifiedBy>
  <cp:revision>5</cp:revision>
  <dcterms:created xsi:type="dcterms:W3CDTF">2020-02-18T14:12:00Z</dcterms:created>
  <dcterms:modified xsi:type="dcterms:W3CDTF">2020-02-18T14:52:00Z</dcterms:modified>
</cp:coreProperties>
</file>