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1874F" w14:textId="77777777" w:rsidR="00A07077" w:rsidRPr="00DA797A" w:rsidRDefault="0008438F" w:rsidP="00A07077">
      <w:pPr>
        <w:pStyle w:val="Default"/>
        <w:jc w:val="center"/>
        <w:rPr>
          <w:rFonts w:ascii="Arial" w:hAnsi="Arial" w:cs="Arial"/>
          <w:sz w:val="28"/>
          <w:szCs w:val="28"/>
          <w:lang w:val="fr-CA"/>
        </w:rPr>
      </w:pPr>
      <w:r w:rsidRPr="00DA797A">
        <w:rPr>
          <w:rFonts w:ascii="Arial" w:hAnsi="Arial" w:cs="Arial"/>
          <w:b/>
          <w:bCs/>
          <w:sz w:val="28"/>
          <w:szCs w:val="28"/>
          <w:lang w:val="fr-CA"/>
        </w:rPr>
        <w:t>Chapleau Public Utilities Corporation</w:t>
      </w:r>
      <w:r w:rsidR="0052560F" w:rsidRPr="00DA797A">
        <w:rPr>
          <w:rFonts w:ascii="Arial" w:hAnsi="Arial" w:cs="Arial"/>
          <w:b/>
          <w:bCs/>
          <w:sz w:val="28"/>
          <w:szCs w:val="28"/>
          <w:lang w:val="fr-CA"/>
        </w:rPr>
        <w:t xml:space="preserve"> </w:t>
      </w:r>
      <w:r w:rsidR="009E760C" w:rsidRPr="00DA797A">
        <w:rPr>
          <w:rFonts w:ascii="Arial" w:hAnsi="Arial" w:cs="Arial"/>
          <w:b/>
          <w:bCs/>
          <w:sz w:val="28"/>
          <w:szCs w:val="28"/>
          <w:lang w:val="fr-CA"/>
        </w:rPr>
        <w:t>(</w:t>
      </w:r>
      <w:r w:rsidRPr="00DA797A">
        <w:rPr>
          <w:rFonts w:ascii="Arial" w:hAnsi="Arial" w:cs="Arial"/>
          <w:b/>
          <w:bCs/>
          <w:sz w:val="28"/>
          <w:szCs w:val="28"/>
          <w:lang w:val="fr-CA"/>
        </w:rPr>
        <w:t>Chapleau Public Utilities</w:t>
      </w:r>
      <w:r w:rsidR="009E760C" w:rsidRPr="00DA797A">
        <w:rPr>
          <w:rFonts w:ascii="Arial" w:hAnsi="Arial" w:cs="Arial"/>
          <w:b/>
          <w:bCs/>
          <w:sz w:val="28"/>
          <w:szCs w:val="28"/>
          <w:lang w:val="fr-CA"/>
        </w:rPr>
        <w:t>)</w:t>
      </w:r>
    </w:p>
    <w:p w14:paraId="43B0AD74" w14:textId="77777777" w:rsidR="00A07077" w:rsidRDefault="0008438F" w:rsidP="00A07077">
      <w:pPr>
        <w:pStyle w:val="Default"/>
        <w:jc w:val="center"/>
        <w:rPr>
          <w:rFonts w:ascii="Arial" w:hAnsi="Arial" w:cs="Arial"/>
          <w:b/>
          <w:bCs/>
          <w:sz w:val="28"/>
          <w:szCs w:val="28"/>
        </w:rPr>
      </w:pPr>
      <w:r>
        <w:rPr>
          <w:rFonts w:ascii="Arial" w:hAnsi="Arial" w:cs="Arial"/>
          <w:b/>
          <w:bCs/>
          <w:sz w:val="28"/>
          <w:szCs w:val="28"/>
        </w:rPr>
        <w:t>EB-2019-0026</w:t>
      </w:r>
    </w:p>
    <w:p w14:paraId="6BFB071E" w14:textId="77777777" w:rsidR="0059172B" w:rsidRDefault="0059172B" w:rsidP="00A07077">
      <w:pPr>
        <w:pStyle w:val="Default"/>
        <w:jc w:val="center"/>
        <w:rPr>
          <w:rFonts w:ascii="Arial" w:hAnsi="Arial" w:cs="Arial"/>
          <w:b/>
          <w:bCs/>
          <w:sz w:val="28"/>
          <w:szCs w:val="28"/>
        </w:rPr>
      </w:pPr>
      <w:r>
        <w:rPr>
          <w:rFonts w:ascii="Arial" w:hAnsi="Arial" w:cs="Arial"/>
          <w:b/>
          <w:bCs/>
          <w:sz w:val="28"/>
          <w:szCs w:val="28"/>
        </w:rPr>
        <w:t>OEB Staff Questions</w:t>
      </w:r>
    </w:p>
    <w:p w14:paraId="184CEAC9" w14:textId="77777777" w:rsidR="00A07077" w:rsidRDefault="001E3729" w:rsidP="00E54ED5">
      <w:pPr>
        <w:pStyle w:val="Default"/>
        <w:jc w:val="center"/>
        <w:rPr>
          <w:rFonts w:ascii="Arial" w:hAnsi="Arial" w:cs="Arial"/>
          <w:b/>
          <w:bCs/>
          <w:sz w:val="28"/>
          <w:szCs w:val="28"/>
        </w:rPr>
      </w:pPr>
      <w:r>
        <w:rPr>
          <w:rFonts w:ascii="Arial" w:hAnsi="Arial" w:cs="Arial"/>
          <w:b/>
          <w:bCs/>
          <w:sz w:val="28"/>
          <w:szCs w:val="28"/>
        </w:rPr>
        <w:t>February 4</w:t>
      </w:r>
      <w:r w:rsidR="00711950">
        <w:rPr>
          <w:rFonts w:ascii="Arial" w:hAnsi="Arial" w:cs="Arial"/>
          <w:b/>
          <w:bCs/>
          <w:sz w:val="28"/>
          <w:szCs w:val="28"/>
        </w:rPr>
        <w:t>, 2020</w:t>
      </w:r>
    </w:p>
    <w:p w14:paraId="59D7CF40" w14:textId="77777777" w:rsidR="00EC0B55" w:rsidRPr="00B93A4C" w:rsidRDefault="00EC0B55" w:rsidP="00302509">
      <w:pPr>
        <w:autoSpaceDE w:val="0"/>
        <w:autoSpaceDN w:val="0"/>
        <w:adjustRightInd w:val="0"/>
        <w:spacing w:after="0" w:line="240" w:lineRule="auto"/>
        <w:rPr>
          <w:rFonts w:ascii="Arial" w:hAnsi="Arial" w:cs="Arial"/>
          <w:b/>
          <w:bCs/>
          <w:color w:val="B2A1C7" w:themeColor="accent4" w:themeTint="99"/>
          <w:sz w:val="24"/>
          <w:szCs w:val="24"/>
        </w:rPr>
      </w:pPr>
    </w:p>
    <w:p w14:paraId="4736A6DC" w14:textId="77777777" w:rsidR="008E6045" w:rsidRDefault="00400DFC" w:rsidP="00AC3F80">
      <w:pPr>
        <w:spacing w:after="0"/>
        <w:rPr>
          <w:rFonts w:ascii="Arial" w:hAnsi="Arial" w:cs="Arial"/>
          <w:b/>
          <w:sz w:val="24"/>
          <w:szCs w:val="24"/>
        </w:rPr>
      </w:pPr>
      <w:r>
        <w:rPr>
          <w:rFonts w:ascii="Arial" w:hAnsi="Arial" w:cs="Arial"/>
          <w:b/>
          <w:sz w:val="24"/>
          <w:szCs w:val="24"/>
        </w:rPr>
        <w:t>Staff Question</w:t>
      </w:r>
      <w:r w:rsidR="008E6045" w:rsidRPr="002D056D">
        <w:rPr>
          <w:rFonts w:ascii="Arial" w:hAnsi="Arial" w:cs="Arial"/>
          <w:b/>
          <w:sz w:val="24"/>
          <w:szCs w:val="24"/>
        </w:rPr>
        <w:t>-1</w:t>
      </w:r>
    </w:p>
    <w:p w14:paraId="16AC333F" w14:textId="77777777" w:rsidR="0008438F" w:rsidRDefault="00D3742A" w:rsidP="0008438F">
      <w:pPr>
        <w:rPr>
          <w:rFonts w:ascii="Arial" w:hAnsi="Arial" w:cs="Arial"/>
          <w:b/>
          <w:sz w:val="24"/>
          <w:szCs w:val="24"/>
        </w:rPr>
      </w:pPr>
      <w:r>
        <w:rPr>
          <w:rFonts w:ascii="Arial" w:hAnsi="Arial" w:cs="Arial"/>
          <w:b/>
          <w:sz w:val="24"/>
          <w:szCs w:val="24"/>
        </w:rPr>
        <w:t xml:space="preserve">Ref: </w:t>
      </w:r>
      <w:r w:rsidR="0008438F">
        <w:rPr>
          <w:rFonts w:ascii="Arial" w:hAnsi="Arial" w:cs="Arial"/>
          <w:b/>
          <w:sz w:val="24"/>
          <w:szCs w:val="24"/>
        </w:rPr>
        <w:t>Continuity Schedule</w:t>
      </w:r>
    </w:p>
    <w:p w14:paraId="6736ABE3" w14:textId="4D02C8B2" w:rsidR="00D3742A" w:rsidRDefault="00A81B35" w:rsidP="0008438F">
      <w:pPr>
        <w:pStyle w:val="ListParagraph"/>
        <w:numPr>
          <w:ilvl w:val="0"/>
          <w:numId w:val="42"/>
        </w:numPr>
        <w:rPr>
          <w:rFonts w:ascii="Arial" w:hAnsi="Arial" w:cs="Arial"/>
          <w:sz w:val="24"/>
          <w:szCs w:val="24"/>
        </w:rPr>
      </w:pPr>
      <w:r w:rsidRPr="0008438F">
        <w:rPr>
          <w:rFonts w:ascii="Arial" w:hAnsi="Arial" w:cs="Arial"/>
          <w:sz w:val="24"/>
          <w:szCs w:val="24"/>
        </w:rPr>
        <w:t>In t</w:t>
      </w:r>
      <w:r w:rsidR="002F2F7C" w:rsidRPr="0008438F">
        <w:rPr>
          <w:rFonts w:ascii="Arial" w:hAnsi="Arial" w:cs="Arial"/>
          <w:sz w:val="24"/>
          <w:szCs w:val="24"/>
        </w:rPr>
        <w:t>he continuity schedule</w:t>
      </w:r>
      <w:r w:rsidRPr="0008438F">
        <w:rPr>
          <w:rFonts w:ascii="Arial" w:hAnsi="Arial" w:cs="Arial"/>
          <w:sz w:val="24"/>
          <w:szCs w:val="24"/>
        </w:rPr>
        <w:t xml:space="preserve">, </w:t>
      </w:r>
      <w:r w:rsidR="0008438F" w:rsidRPr="0008438F">
        <w:rPr>
          <w:rFonts w:ascii="Arial" w:hAnsi="Arial" w:cs="Arial"/>
          <w:sz w:val="24"/>
          <w:szCs w:val="24"/>
        </w:rPr>
        <w:t>the 2019 principal and interest disposition amounts that Chapleau</w:t>
      </w:r>
      <w:r w:rsidR="0008438F">
        <w:rPr>
          <w:rFonts w:ascii="Arial" w:hAnsi="Arial" w:cs="Arial"/>
          <w:sz w:val="24"/>
          <w:szCs w:val="24"/>
        </w:rPr>
        <w:t xml:space="preserve"> Public Utilities entered in control Account 1580 do not match the amounts in the final DVA Continuity Schedule filed with the 2019 settlement proposal (EB-2018-0087). Please review and make necessary updates to the current continuity schedule. Otherwise, please provide explanation for the discrepancies. </w:t>
      </w:r>
    </w:p>
    <w:p w14:paraId="7EDA29EE" w14:textId="6BE576F6" w:rsidR="00DA797A" w:rsidRDefault="00DA797A" w:rsidP="00DA797A">
      <w:pPr>
        <w:ind w:left="360" w:firstLine="360"/>
        <w:rPr>
          <w:rFonts w:ascii="Arial" w:hAnsi="Arial" w:cs="Arial"/>
          <w:color w:val="0070C0"/>
          <w:sz w:val="24"/>
          <w:szCs w:val="24"/>
        </w:rPr>
      </w:pPr>
      <w:r w:rsidRPr="00DA797A">
        <w:rPr>
          <w:rFonts w:ascii="Arial" w:hAnsi="Arial" w:cs="Arial"/>
          <w:color w:val="0070C0"/>
          <w:sz w:val="24"/>
          <w:szCs w:val="24"/>
        </w:rPr>
        <w:t>CPUC Response:</w:t>
      </w:r>
    </w:p>
    <w:p w14:paraId="38554AE0" w14:textId="12D258D7" w:rsidR="00DA797A" w:rsidRPr="00DA797A" w:rsidRDefault="00DA797A" w:rsidP="00DA797A">
      <w:pPr>
        <w:ind w:left="720"/>
        <w:rPr>
          <w:rFonts w:ascii="Arial" w:hAnsi="Arial" w:cs="Arial"/>
          <w:color w:val="0070C0"/>
          <w:sz w:val="24"/>
          <w:szCs w:val="24"/>
        </w:rPr>
      </w:pPr>
      <w:r>
        <w:rPr>
          <w:rFonts w:ascii="Arial" w:hAnsi="Arial" w:cs="Arial"/>
          <w:color w:val="0070C0"/>
          <w:sz w:val="24"/>
          <w:szCs w:val="24"/>
        </w:rPr>
        <w:t>At</w:t>
      </w:r>
      <w:r w:rsidRPr="00DA797A">
        <w:rPr>
          <w:rFonts w:ascii="Arial" w:hAnsi="Arial" w:cs="Arial"/>
          <w:color w:val="0070C0"/>
          <w:sz w:val="24"/>
          <w:szCs w:val="24"/>
        </w:rPr>
        <w:t xml:space="preserve"> the time of the Draft Rate Order, </w:t>
      </w:r>
      <w:r>
        <w:rPr>
          <w:rFonts w:ascii="Arial" w:hAnsi="Arial" w:cs="Arial"/>
          <w:color w:val="0070C0"/>
          <w:sz w:val="24"/>
          <w:szCs w:val="24"/>
        </w:rPr>
        <w:t xml:space="preserve">CPUC found an error in the mechanics of the </w:t>
      </w:r>
      <w:r w:rsidRPr="00DA797A">
        <w:rPr>
          <w:rFonts w:ascii="Arial" w:hAnsi="Arial" w:cs="Arial"/>
          <w:color w:val="0070C0"/>
          <w:sz w:val="24"/>
          <w:szCs w:val="24"/>
        </w:rPr>
        <w:t>DVA model</w:t>
      </w:r>
      <w:r>
        <w:rPr>
          <w:rFonts w:ascii="Arial" w:hAnsi="Arial" w:cs="Arial"/>
          <w:color w:val="0070C0"/>
          <w:sz w:val="24"/>
          <w:szCs w:val="24"/>
        </w:rPr>
        <w:t xml:space="preserve">. </w:t>
      </w:r>
      <w:r w:rsidRPr="00DA797A">
        <w:rPr>
          <w:rFonts w:ascii="Arial" w:hAnsi="Arial" w:cs="Arial"/>
          <w:color w:val="0070C0"/>
          <w:sz w:val="24"/>
          <w:szCs w:val="24"/>
        </w:rPr>
        <w:t xml:space="preserve">This </w:t>
      </w:r>
      <w:r>
        <w:rPr>
          <w:rFonts w:ascii="Arial" w:hAnsi="Arial" w:cs="Arial"/>
          <w:color w:val="0070C0"/>
          <w:sz w:val="24"/>
          <w:szCs w:val="24"/>
        </w:rPr>
        <w:t>issue was b</w:t>
      </w:r>
      <w:r w:rsidRPr="00DA797A">
        <w:rPr>
          <w:rFonts w:ascii="Arial" w:hAnsi="Arial" w:cs="Arial"/>
          <w:color w:val="0070C0"/>
          <w:sz w:val="24"/>
          <w:szCs w:val="24"/>
        </w:rPr>
        <w:t xml:space="preserve">rought up during the process, but it was too late and the balance too immaterial to warrant a change to the model since the decision had already been issued. </w:t>
      </w:r>
    </w:p>
    <w:p w14:paraId="46CEEFC4" w14:textId="1AD4F0BE" w:rsidR="00DA797A" w:rsidRPr="00DA797A" w:rsidRDefault="00DA797A" w:rsidP="00DA797A">
      <w:pPr>
        <w:ind w:left="720"/>
        <w:rPr>
          <w:rFonts w:ascii="Arial" w:hAnsi="Arial" w:cs="Arial"/>
          <w:color w:val="0070C0"/>
          <w:sz w:val="24"/>
          <w:szCs w:val="24"/>
        </w:rPr>
      </w:pPr>
      <w:r>
        <w:rPr>
          <w:rFonts w:ascii="Arial" w:hAnsi="Arial" w:cs="Arial"/>
          <w:color w:val="0070C0"/>
          <w:sz w:val="24"/>
          <w:szCs w:val="24"/>
        </w:rPr>
        <w:t xml:space="preserve">The error was in the calculation of the Rate Riders at Tab 7 where the </w:t>
      </w:r>
      <w:r w:rsidRPr="00DA797A">
        <w:rPr>
          <w:rFonts w:ascii="Arial" w:hAnsi="Arial" w:cs="Arial"/>
          <w:color w:val="0070C0"/>
          <w:sz w:val="24"/>
          <w:szCs w:val="24"/>
        </w:rPr>
        <w:t>1580 Sub-Account CBR Class B</w:t>
      </w:r>
      <w:r>
        <w:rPr>
          <w:rFonts w:ascii="Arial" w:hAnsi="Arial" w:cs="Arial"/>
          <w:color w:val="0070C0"/>
          <w:sz w:val="24"/>
          <w:szCs w:val="24"/>
        </w:rPr>
        <w:t xml:space="preserve"> is being removed from the control account which already includes the effects of the sub account. The model essentially removes the balance twice. </w:t>
      </w:r>
    </w:p>
    <w:p w14:paraId="09B63F07" w14:textId="615271B5" w:rsidR="00DA797A" w:rsidRPr="00DA797A" w:rsidRDefault="00DA797A" w:rsidP="00DA797A">
      <w:pPr>
        <w:ind w:left="720"/>
        <w:rPr>
          <w:rFonts w:ascii="Arial" w:hAnsi="Arial" w:cs="Arial"/>
          <w:color w:val="0070C0"/>
          <w:sz w:val="24"/>
          <w:szCs w:val="24"/>
        </w:rPr>
      </w:pPr>
      <w:r>
        <w:rPr>
          <w:rFonts w:ascii="Arial" w:hAnsi="Arial" w:cs="Arial"/>
          <w:color w:val="0070C0"/>
          <w:sz w:val="24"/>
          <w:szCs w:val="24"/>
        </w:rPr>
        <w:t xml:space="preserve">While populating the IRM model, Chapleau opted to use </w:t>
      </w:r>
      <w:proofErr w:type="gramStart"/>
      <w:r>
        <w:rPr>
          <w:rFonts w:ascii="Arial" w:hAnsi="Arial" w:cs="Arial"/>
          <w:color w:val="0070C0"/>
          <w:sz w:val="24"/>
          <w:szCs w:val="24"/>
        </w:rPr>
        <w:t>it’s</w:t>
      </w:r>
      <w:proofErr w:type="gramEnd"/>
      <w:r>
        <w:rPr>
          <w:rFonts w:ascii="Arial" w:hAnsi="Arial" w:cs="Arial"/>
          <w:color w:val="0070C0"/>
          <w:sz w:val="24"/>
          <w:szCs w:val="24"/>
        </w:rPr>
        <w:t xml:space="preserve"> actual balances instead of the incorrect balance created in Tab 7 of the 2019 Board Approved DVA model. Hence the slight difference between the settlement agreement and inputs in the IRM model.</w:t>
      </w:r>
    </w:p>
    <w:p w14:paraId="5D11B5E0" w14:textId="6A4EF837" w:rsidR="00DA797A" w:rsidRPr="00DA797A" w:rsidRDefault="00DA797A" w:rsidP="00DA797A">
      <w:pPr>
        <w:ind w:left="360" w:firstLine="360"/>
        <w:rPr>
          <w:rFonts w:ascii="Arial" w:hAnsi="Arial" w:cs="Arial"/>
          <w:color w:val="0070C0"/>
          <w:sz w:val="24"/>
          <w:szCs w:val="24"/>
        </w:rPr>
      </w:pPr>
      <w:r w:rsidRPr="00DA797A">
        <w:rPr>
          <w:rFonts w:ascii="Arial" w:hAnsi="Arial" w:cs="Arial"/>
          <w:color w:val="0070C0"/>
          <w:sz w:val="24"/>
          <w:szCs w:val="24"/>
        </w:rPr>
        <w:t>.</w:t>
      </w:r>
    </w:p>
    <w:p w14:paraId="376CFF8D" w14:textId="77777777" w:rsidR="00D3742A" w:rsidRDefault="0008438F" w:rsidP="008E6045">
      <w:pPr>
        <w:rPr>
          <w:noProof/>
          <w:lang w:val="en-US"/>
        </w:rPr>
      </w:pPr>
      <w:r>
        <w:rPr>
          <w:noProof/>
          <w:lang w:val="en-US"/>
        </w:rPr>
        <w:lastRenderedPageBreak/>
        <w:t xml:space="preserve">               </w:t>
      </w:r>
      <w:r>
        <w:rPr>
          <w:noProof/>
          <w:lang w:val="en-US"/>
        </w:rPr>
        <w:drawing>
          <wp:inline distT="0" distB="0" distL="0" distR="0" wp14:anchorId="4EC3E8AF" wp14:editId="4CC27291">
            <wp:extent cx="2724150" cy="283417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28357" cy="2838549"/>
                    </a:xfrm>
                    <a:prstGeom prst="rect">
                      <a:avLst/>
                    </a:prstGeom>
                  </pic:spPr>
                </pic:pic>
              </a:graphicData>
            </a:graphic>
          </wp:inline>
        </w:drawing>
      </w:r>
    </w:p>
    <w:p w14:paraId="6B94A720" w14:textId="77777777" w:rsidR="00286CF3" w:rsidRDefault="0008438F" w:rsidP="00C4070C">
      <w:pPr>
        <w:pStyle w:val="ListParagraph"/>
        <w:numPr>
          <w:ilvl w:val="0"/>
          <w:numId w:val="42"/>
        </w:numPr>
        <w:rPr>
          <w:rFonts w:ascii="Arial" w:hAnsi="Arial" w:cs="Arial"/>
          <w:sz w:val="24"/>
          <w:szCs w:val="24"/>
        </w:rPr>
      </w:pPr>
      <w:r>
        <w:rPr>
          <w:rFonts w:ascii="Arial" w:hAnsi="Arial" w:cs="Arial"/>
          <w:sz w:val="24"/>
          <w:szCs w:val="24"/>
        </w:rPr>
        <w:t>As shown in the continuity schedule, there are immaterial balances in Accounts 1595 (2013), 1595 (2014) and 1595 (2015) at the end of 2018. These accounts have been disposed of in the previous rate application. Please confirm whether or not Chapleau Public Utilities will write off the immaterial balances in the three 1595 accounts.</w:t>
      </w:r>
    </w:p>
    <w:p w14:paraId="748D7222" w14:textId="2AA9B2C8" w:rsidR="00DA797A" w:rsidRPr="00DA797A" w:rsidRDefault="00DA797A" w:rsidP="00A35114">
      <w:pPr>
        <w:ind w:left="720"/>
        <w:rPr>
          <w:rFonts w:ascii="Arial" w:hAnsi="Arial" w:cs="Arial"/>
          <w:color w:val="0070C0"/>
          <w:sz w:val="24"/>
          <w:szCs w:val="24"/>
        </w:rPr>
      </w:pPr>
      <w:r w:rsidRPr="00DA797A">
        <w:rPr>
          <w:rFonts w:ascii="Arial" w:hAnsi="Arial" w:cs="Arial"/>
          <w:color w:val="0070C0"/>
          <w:sz w:val="24"/>
          <w:szCs w:val="24"/>
        </w:rPr>
        <w:t>CPUC Response:</w:t>
      </w:r>
      <w:r w:rsidR="00A35114" w:rsidRPr="00A35114">
        <w:rPr>
          <w:rFonts w:ascii="Arial" w:hAnsi="Arial" w:cs="Arial"/>
          <w:color w:val="0070C0"/>
          <w:sz w:val="24"/>
          <w:szCs w:val="24"/>
        </w:rPr>
        <w:t xml:space="preserve"> </w:t>
      </w:r>
      <w:r w:rsidR="00A35114">
        <w:rPr>
          <w:rFonts w:ascii="Arial" w:hAnsi="Arial" w:cs="Arial"/>
          <w:color w:val="0070C0"/>
          <w:sz w:val="24"/>
          <w:szCs w:val="24"/>
        </w:rPr>
        <w:t xml:space="preserve">CPUC confirms that </w:t>
      </w:r>
      <w:r w:rsidR="00A35114">
        <w:rPr>
          <w:rFonts w:ascii="Arial" w:hAnsi="Arial" w:cs="Arial"/>
          <w:color w:val="0070C0"/>
          <w:sz w:val="24"/>
          <w:szCs w:val="24"/>
        </w:rPr>
        <w:t>it will write off the immaterial balances and the 3 1595 accounts.</w:t>
      </w:r>
    </w:p>
    <w:p w14:paraId="40DC6DD6" w14:textId="77777777" w:rsidR="00506DEA" w:rsidRPr="00C4070C" w:rsidRDefault="00506DEA" w:rsidP="00506DEA">
      <w:pPr>
        <w:pStyle w:val="ListParagraph"/>
        <w:rPr>
          <w:rFonts w:ascii="Arial" w:hAnsi="Arial" w:cs="Arial"/>
          <w:sz w:val="24"/>
          <w:szCs w:val="24"/>
        </w:rPr>
      </w:pPr>
    </w:p>
    <w:p w14:paraId="636E8448" w14:textId="77777777" w:rsidR="00B04BFB" w:rsidRDefault="00B04BFB" w:rsidP="00AC3F80">
      <w:pPr>
        <w:spacing w:after="0"/>
        <w:rPr>
          <w:rFonts w:ascii="Arial" w:hAnsi="Arial" w:cs="Arial"/>
          <w:b/>
          <w:sz w:val="24"/>
          <w:szCs w:val="24"/>
        </w:rPr>
      </w:pPr>
      <w:r>
        <w:rPr>
          <w:rFonts w:ascii="Arial" w:hAnsi="Arial" w:cs="Arial"/>
          <w:b/>
          <w:sz w:val="24"/>
          <w:szCs w:val="24"/>
        </w:rPr>
        <w:t>Staff Question-2</w:t>
      </w:r>
    </w:p>
    <w:p w14:paraId="21D59A52" w14:textId="77777777" w:rsidR="001D3B55" w:rsidRPr="00C4070C" w:rsidRDefault="00B04BFB" w:rsidP="00C4070C">
      <w:pPr>
        <w:rPr>
          <w:rFonts w:ascii="Arial" w:hAnsi="Arial" w:cs="Arial"/>
          <w:b/>
          <w:sz w:val="24"/>
          <w:szCs w:val="24"/>
        </w:rPr>
      </w:pPr>
      <w:r>
        <w:rPr>
          <w:rFonts w:ascii="Arial" w:hAnsi="Arial" w:cs="Arial"/>
          <w:b/>
          <w:sz w:val="24"/>
          <w:szCs w:val="24"/>
        </w:rPr>
        <w:t xml:space="preserve">Ref: </w:t>
      </w:r>
      <w:r w:rsidR="007B2F8D">
        <w:rPr>
          <w:rFonts w:ascii="Arial" w:hAnsi="Arial" w:cs="Arial"/>
          <w:b/>
          <w:sz w:val="24"/>
          <w:szCs w:val="24"/>
        </w:rPr>
        <w:t>Rate Generator Model - RTSRs</w:t>
      </w:r>
    </w:p>
    <w:p w14:paraId="1A8DFF4D" w14:textId="77777777" w:rsidR="00C4070C" w:rsidRDefault="00C4070C" w:rsidP="00C4070C">
      <w:pPr>
        <w:rPr>
          <w:rFonts w:ascii="Arial" w:hAnsi="Arial" w:cs="Arial"/>
          <w:sz w:val="24"/>
          <w:szCs w:val="24"/>
        </w:rPr>
      </w:pPr>
      <w:r>
        <w:rPr>
          <w:rFonts w:ascii="Arial" w:hAnsi="Arial" w:cs="Arial"/>
          <w:sz w:val="24"/>
          <w:szCs w:val="24"/>
        </w:rPr>
        <w:t>On Tab 12 RTSR Historical of the IRM model</w:t>
      </w:r>
      <w:r w:rsidR="001D3B55" w:rsidRPr="00AF3688">
        <w:rPr>
          <w:rFonts w:ascii="Arial" w:hAnsi="Arial" w:cs="Arial"/>
          <w:sz w:val="24"/>
          <w:szCs w:val="24"/>
        </w:rPr>
        <w:t xml:space="preserve">, </w:t>
      </w:r>
      <w:r>
        <w:rPr>
          <w:rFonts w:ascii="Arial" w:hAnsi="Arial" w:cs="Arial"/>
          <w:sz w:val="24"/>
          <w:szCs w:val="24"/>
        </w:rPr>
        <w:t>Chapleau Public Utilities entered the wholesale monthly billing information for Network charge and Line Connection charge sections in the IESO table and Hydro One table.</w:t>
      </w:r>
    </w:p>
    <w:p w14:paraId="5487F9B3" w14:textId="76684997" w:rsidR="00C4070C" w:rsidRDefault="00C4070C" w:rsidP="00506DEA">
      <w:pPr>
        <w:pStyle w:val="ListParagraph"/>
        <w:numPr>
          <w:ilvl w:val="0"/>
          <w:numId w:val="43"/>
        </w:numPr>
        <w:contextualSpacing w:val="0"/>
        <w:rPr>
          <w:rFonts w:ascii="Arial" w:hAnsi="Arial" w:cs="Arial"/>
          <w:sz w:val="24"/>
          <w:szCs w:val="24"/>
        </w:rPr>
      </w:pPr>
      <w:r>
        <w:rPr>
          <w:rFonts w:ascii="Arial" w:hAnsi="Arial" w:cs="Arial"/>
          <w:sz w:val="24"/>
          <w:szCs w:val="24"/>
        </w:rPr>
        <w:t>With respect to the Connection charge, please confirm that Chapleau Public Utilities is charged by IESO and Hydro One only for the Line Connection.</w:t>
      </w:r>
      <w:r w:rsidR="00506DEA">
        <w:rPr>
          <w:rFonts w:ascii="Arial" w:hAnsi="Arial" w:cs="Arial"/>
          <w:sz w:val="24"/>
          <w:szCs w:val="24"/>
        </w:rPr>
        <w:t xml:space="preserve"> (i.e. There’s no Transformation Connection charge paid to IESO or Hydro One.)</w:t>
      </w:r>
    </w:p>
    <w:p w14:paraId="2A8243AB" w14:textId="56A4A082" w:rsidR="00DA797A" w:rsidRPr="00DA797A" w:rsidRDefault="00DA797A" w:rsidP="00DA797A">
      <w:pPr>
        <w:ind w:left="720"/>
        <w:rPr>
          <w:rFonts w:ascii="Arial" w:hAnsi="Arial" w:cs="Arial"/>
          <w:color w:val="0070C0"/>
          <w:sz w:val="24"/>
          <w:szCs w:val="24"/>
        </w:rPr>
      </w:pPr>
      <w:r w:rsidRPr="00DA797A">
        <w:rPr>
          <w:rFonts w:ascii="Arial" w:hAnsi="Arial" w:cs="Arial"/>
          <w:color w:val="0070C0"/>
          <w:sz w:val="24"/>
          <w:szCs w:val="24"/>
        </w:rPr>
        <w:t>CPUC Response:</w:t>
      </w:r>
      <w:r w:rsidR="00A35114">
        <w:rPr>
          <w:rFonts w:ascii="Arial" w:hAnsi="Arial" w:cs="Arial"/>
          <w:color w:val="0070C0"/>
          <w:sz w:val="24"/>
          <w:szCs w:val="24"/>
        </w:rPr>
        <w:t xml:space="preserve"> CPUC confirms that above statement to be accurate.</w:t>
      </w:r>
    </w:p>
    <w:p w14:paraId="3E5F39EA" w14:textId="22DBF09E" w:rsidR="00A35114" w:rsidRPr="00C4070C" w:rsidRDefault="00506DEA" w:rsidP="00A35114">
      <w:pPr>
        <w:pStyle w:val="ListParagraph"/>
        <w:numPr>
          <w:ilvl w:val="0"/>
          <w:numId w:val="43"/>
        </w:numPr>
        <w:rPr>
          <w:rFonts w:ascii="Arial" w:hAnsi="Arial" w:cs="Arial"/>
          <w:sz w:val="24"/>
          <w:szCs w:val="24"/>
        </w:rPr>
      </w:pPr>
      <w:r>
        <w:rPr>
          <w:rFonts w:ascii="Arial" w:hAnsi="Arial" w:cs="Arial"/>
          <w:sz w:val="24"/>
          <w:szCs w:val="24"/>
        </w:rPr>
        <w:t>As shown in the screenshot below, based on the “Units Billed” and “Amount” billing information entered, the Hydro One – Network rates and Hydro One – Line Connection rates (for 9 months) are highlighted in red in the model. This means these rates do not match Hydro One sub-transmission rates approved for the</w:t>
      </w:r>
      <w:r w:rsidR="00A35114">
        <w:rPr>
          <w:rFonts w:ascii="Arial" w:hAnsi="Arial" w:cs="Arial"/>
          <w:sz w:val="24"/>
          <w:szCs w:val="24"/>
        </w:rPr>
        <w:t xml:space="preserve"> </w:t>
      </w:r>
      <w:r w:rsidR="00A35114">
        <w:rPr>
          <w:rFonts w:ascii="Arial" w:hAnsi="Arial" w:cs="Arial"/>
          <w:sz w:val="24"/>
          <w:szCs w:val="24"/>
        </w:rPr>
        <w:lastRenderedPageBreak/>
        <w:t>time period (2018). Please check the billing data entered to ensure accuracy. If the data has been entered correctly, please provide explanation for the discrepancies in rates.</w:t>
      </w:r>
    </w:p>
    <w:p w14:paraId="12AD8B54" w14:textId="7E10F01C" w:rsidR="00A35114" w:rsidRPr="00A35114" w:rsidRDefault="00DA797A" w:rsidP="00A35114">
      <w:pPr>
        <w:ind w:left="720"/>
        <w:rPr>
          <w:rFonts w:ascii="Arial" w:hAnsi="Arial" w:cs="Arial"/>
          <w:color w:val="0070C0"/>
          <w:sz w:val="24"/>
          <w:szCs w:val="24"/>
        </w:rPr>
      </w:pPr>
      <w:r w:rsidRPr="00A35114">
        <w:rPr>
          <w:rFonts w:ascii="Arial" w:hAnsi="Arial" w:cs="Arial"/>
          <w:color w:val="0070C0"/>
          <w:sz w:val="24"/>
          <w:szCs w:val="24"/>
        </w:rPr>
        <w:t>CPUC Response:</w:t>
      </w:r>
      <w:r w:rsidR="00A35114" w:rsidRPr="00A35114">
        <w:rPr>
          <w:rFonts w:ascii="Arial" w:hAnsi="Arial" w:cs="Arial"/>
          <w:color w:val="0070C0"/>
          <w:sz w:val="24"/>
          <w:szCs w:val="24"/>
        </w:rPr>
        <w:t xml:space="preserve"> CPUC </w:t>
      </w:r>
      <w:r w:rsidR="00A35114" w:rsidRPr="00A35114">
        <w:rPr>
          <w:rFonts w:ascii="Arial" w:hAnsi="Arial" w:cs="Arial"/>
          <w:color w:val="0070C0"/>
          <w:sz w:val="24"/>
          <w:szCs w:val="24"/>
        </w:rPr>
        <w:t>confirm</w:t>
      </w:r>
      <w:r w:rsidR="00A35114" w:rsidRPr="00A35114">
        <w:rPr>
          <w:rFonts w:ascii="Arial" w:hAnsi="Arial" w:cs="Arial"/>
          <w:color w:val="0070C0"/>
          <w:sz w:val="24"/>
          <w:szCs w:val="24"/>
        </w:rPr>
        <w:t>s</w:t>
      </w:r>
      <w:r w:rsidR="00A35114" w:rsidRPr="00A35114">
        <w:rPr>
          <w:rFonts w:ascii="Arial" w:hAnsi="Arial" w:cs="Arial"/>
          <w:color w:val="0070C0"/>
          <w:sz w:val="24"/>
          <w:szCs w:val="24"/>
        </w:rPr>
        <w:t xml:space="preserve"> that the data entered is accurate and that </w:t>
      </w:r>
      <w:r w:rsidR="00A35114" w:rsidRPr="00A35114">
        <w:rPr>
          <w:rFonts w:ascii="Arial" w:hAnsi="Arial" w:cs="Arial"/>
          <w:color w:val="0070C0"/>
          <w:sz w:val="24"/>
          <w:szCs w:val="24"/>
        </w:rPr>
        <w:t xml:space="preserve">it </w:t>
      </w:r>
      <w:r w:rsidR="00A35114" w:rsidRPr="00A35114">
        <w:rPr>
          <w:rFonts w:ascii="Arial" w:hAnsi="Arial" w:cs="Arial"/>
          <w:color w:val="0070C0"/>
          <w:sz w:val="24"/>
          <w:szCs w:val="24"/>
        </w:rPr>
        <w:t>consistently charged throughout the year $3.19420 for Network and $0.77100 for Line Connection.  The issue is rounding in the model.</w:t>
      </w:r>
    </w:p>
    <w:p w14:paraId="225B599B" w14:textId="26C6C22D" w:rsidR="00DA797A" w:rsidRPr="00DA797A" w:rsidRDefault="00DA797A" w:rsidP="00DA797A">
      <w:pPr>
        <w:ind w:left="720"/>
        <w:rPr>
          <w:rFonts w:ascii="Arial" w:hAnsi="Arial" w:cs="Arial"/>
          <w:color w:val="0070C0"/>
          <w:sz w:val="24"/>
          <w:szCs w:val="24"/>
        </w:rPr>
      </w:pPr>
    </w:p>
    <w:p w14:paraId="64B71352" w14:textId="77777777" w:rsidR="00506DEA" w:rsidRDefault="00506DEA" w:rsidP="00C4070C">
      <w:pPr>
        <w:rPr>
          <w:rFonts w:ascii="Arial" w:hAnsi="Arial" w:cs="Arial"/>
          <w:sz w:val="24"/>
          <w:szCs w:val="24"/>
        </w:rPr>
      </w:pPr>
      <w:r>
        <w:rPr>
          <w:noProof/>
          <w:lang w:val="en-US"/>
        </w:rPr>
        <w:drawing>
          <wp:inline distT="0" distB="0" distL="0" distR="0" wp14:anchorId="5AB1FB37" wp14:editId="78FF6550">
            <wp:extent cx="5943600" cy="25647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564765"/>
                    </a:xfrm>
                    <a:prstGeom prst="rect">
                      <a:avLst/>
                    </a:prstGeom>
                  </pic:spPr>
                </pic:pic>
              </a:graphicData>
            </a:graphic>
          </wp:inline>
        </w:drawing>
      </w:r>
    </w:p>
    <w:p w14:paraId="6DB9B6F2" w14:textId="77777777" w:rsidR="00DA797A" w:rsidRPr="00DA797A" w:rsidRDefault="00DA797A" w:rsidP="00DA797A">
      <w:pPr>
        <w:ind w:left="720"/>
        <w:rPr>
          <w:rFonts w:ascii="Arial" w:hAnsi="Arial" w:cs="Arial"/>
          <w:color w:val="0070C0"/>
          <w:sz w:val="24"/>
          <w:szCs w:val="24"/>
        </w:rPr>
      </w:pPr>
      <w:r w:rsidRPr="00DA797A">
        <w:rPr>
          <w:rFonts w:ascii="Arial" w:hAnsi="Arial" w:cs="Arial"/>
          <w:color w:val="0070C0"/>
          <w:sz w:val="24"/>
          <w:szCs w:val="24"/>
        </w:rPr>
        <w:t>CPUC Response:</w:t>
      </w:r>
    </w:p>
    <w:p w14:paraId="5E6D0A54" w14:textId="77777777" w:rsidR="00642CA4" w:rsidRPr="00C4070C" w:rsidRDefault="00642CA4" w:rsidP="00C4070C">
      <w:pPr>
        <w:rPr>
          <w:rFonts w:ascii="Arial" w:hAnsi="Arial" w:cs="Arial"/>
          <w:sz w:val="24"/>
          <w:szCs w:val="24"/>
        </w:rPr>
      </w:pPr>
    </w:p>
    <w:p w14:paraId="183214AE" w14:textId="77777777" w:rsidR="001D3B55" w:rsidRPr="001D3B55" w:rsidRDefault="001D3B55" w:rsidP="001D3B55">
      <w:pPr>
        <w:spacing w:after="0"/>
        <w:rPr>
          <w:rFonts w:ascii="Arial" w:hAnsi="Arial" w:cs="Arial"/>
          <w:b/>
          <w:sz w:val="24"/>
          <w:szCs w:val="24"/>
        </w:rPr>
      </w:pPr>
      <w:r w:rsidRPr="001D3B55">
        <w:rPr>
          <w:rFonts w:ascii="Arial" w:hAnsi="Arial" w:cs="Arial"/>
          <w:b/>
          <w:sz w:val="24"/>
          <w:szCs w:val="24"/>
        </w:rPr>
        <w:t>Staff Question-3</w:t>
      </w:r>
    </w:p>
    <w:p w14:paraId="54501AB8" w14:textId="77777777" w:rsidR="001D3B55" w:rsidRPr="00642CA4" w:rsidRDefault="001D3B55" w:rsidP="001D3B55">
      <w:pPr>
        <w:rPr>
          <w:rFonts w:ascii="Arial" w:hAnsi="Arial" w:cs="Arial"/>
          <w:b/>
          <w:sz w:val="24"/>
          <w:szCs w:val="24"/>
        </w:rPr>
      </w:pPr>
      <w:r w:rsidRPr="001D3B55">
        <w:rPr>
          <w:rFonts w:ascii="Arial" w:hAnsi="Arial" w:cs="Arial"/>
          <w:b/>
          <w:sz w:val="24"/>
          <w:szCs w:val="24"/>
        </w:rPr>
        <w:t>R</w:t>
      </w:r>
      <w:r w:rsidR="00286CF3">
        <w:rPr>
          <w:rFonts w:ascii="Arial" w:hAnsi="Arial" w:cs="Arial"/>
          <w:b/>
          <w:sz w:val="24"/>
          <w:szCs w:val="24"/>
        </w:rPr>
        <w:t xml:space="preserve">ef: </w:t>
      </w:r>
      <w:r w:rsidR="00642CA4">
        <w:rPr>
          <w:rFonts w:ascii="Arial" w:hAnsi="Arial" w:cs="Arial"/>
          <w:b/>
          <w:sz w:val="24"/>
          <w:szCs w:val="24"/>
        </w:rPr>
        <w:t>Residential Rate Design, Rate Generator Model Tab 16</w:t>
      </w:r>
    </w:p>
    <w:p w14:paraId="201DF7F0" w14:textId="77777777" w:rsidR="00642CA4" w:rsidRDefault="00642CA4" w:rsidP="00642CA4">
      <w:pPr>
        <w:rPr>
          <w:rFonts w:ascii="Arial" w:hAnsi="Arial" w:cs="Arial"/>
          <w:sz w:val="24"/>
          <w:szCs w:val="24"/>
        </w:rPr>
      </w:pPr>
      <w:r>
        <w:rPr>
          <w:rFonts w:ascii="Arial" w:hAnsi="Arial" w:cs="Arial"/>
          <w:sz w:val="24"/>
          <w:szCs w:val="24"/>
        </w:rPr>
        <w:t xml:space="preserve">As stated in the settlement proposal of Chapleau Public Utilities’ 2019 cost of service application (EB-2018-0087), the utility was approved for five-year transition to fully fixed residential rate. </w:t>
      </w:r>
    </w:p>
    <w:p w14:paraId="38BD65AA" w14:textId="77777777" w:rsidR="00642CA4" w:rsidRPr="00642CA4" w:rsidRDefault="00642CA4" w:rsidP="00642CA4">
      <w:pPr>
        <w:pStyle w:val="ListParagraph"/>
        <w:numPr>
          <w:ilvl w:val="0"/>
          <w:numId w:val="44"/>
        </w:numPr>
        <w:rPr>
          <w:rFonts w:ascii="Arial" w:hAnsi="Arial" w:cs="Arial"/>
          <w:sz w:val="24"/>
          <w:szCs w:val="24"/>
        </w:rPr>
      </w:pPr>
      <w:r>
        <w:rPr>
          <w:rFonts w:ascii="Arial" w:hAnsi="Arial" w:cs="Arial"/>
          <w:sz w:val="24"/>
          <w:szCs w:val="24"/>
        </w:rPr>
        <w:t>Based on the above information</w:t>
      </w:r>
      <w:r w:rsidR="00677F9A">
        <w:rPr>
          <w:rFonts w:ascii="Arial" w:hAnsi="Arial" w:cs="Arial"/>
          <w:sz w:val="24"/>
          <w:szCs w:val="24"/>
        </w:rPr>
        <w:t>, please review the information that Chapleau Public Utilities entered in Tab 12 of the IRM model (see the first screenshot below). Other than the # of Customers cell, OEB staff notes that information entered in the other three green cells are incorrect. Thus, OEB staff made corrections to the answers to the three questions (effective year, billed kWh and OEB-approved # of transition years) based on the settlement proposal (see the second screenshot). Please review and confirm if Chapleau Public Utilities agrees with the corrections made. If not, please provide explanation.</w:t>
      </w:r>
    </w:p>
    <w:p w14:paraId="54F1FC6E" w14:textId="77777777" w:rsidR="00642CA4" w:rsidRDefault="00642CA4" w:rsidP="00642CA4">
      <w:pPr>
        <w:ind w:left="360"/>
        <w:rPr>
          <w:rFonts w:ascii="Arial" w:hAnsi="Arial" w:cs="Arial"/>
          <w:sz w:val="24"/>
          <w:szCs w:val="24"/>
        </w:rPr>
      </w:pPr>
      <w:r>
        <w:rPr>
          <w:noProof/>
          <w:lang w:val="en-US"/>
        </w:rPr>
        <w:lastRenderedPageBreak/>
        <w:drawing>
          <wp:inline distT="0" distB="0" distL="0" distR="0" wp14:anchorId="78DEA352" wp14:editId="102C8B56">
            <wp:extent cx="4787638" cy="1930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97260" cy="1934280"/>
                    </a:xfrm>
                    <a:prstGeom prst="rect">
                      <a:avLst/>
                    </a:prstGeom>
                  </pic:spPr>
                </pic:pic>
              </a:graphicData>
            </a:graphic>
          </wp:inline>
        </w:drawing>
      </w:r>
    </w:p>
    <w:p w14:paraId="626DE159" w14:textId="77777777" w:rsidR="00642CA4" w:rsidRPr="00642CA4" w:rsidRDefault="00642CA4" w:rsidP="00642CA4">
      <w:pPr>
        <w:ind w:left="360"/>
        <w:rPr>
          <w:rFonts w:ascii="Arial" w:hAnsi="Arial" w:cs="Arial"/>
          <w:sz w:val="24"/>
          <w:szCs w:val="24"/>
        </w:rPr>
      </w:pPr>
    </w:p>
    <w:p w14:paraId="2C6B07EC" w14:textId="561AC337" w:rsidR="00E16C29" w:rsidRDefault="00642CA4" w:rsidP="00642CA4">
      <w:pPr>
        <w:rPr>
          <w:rFonts w:ascii="Arial" w:hAnsi="Arial" w:cs="Arial"/>
          <w:sz w:val="24"/>
          <w:szCs w:val="24"/>
        </w:rPr>
      </w:pPr>
      <w:r>
        <w:rPr>
          <w:noProof/>
          <w:lang w:val="en-US"/>
        </w:rPr>
        <w:drawing>
          <wp:inline distT="0" distB="0" distL="0" distR="0" wp14:anchorId="17EA102D" wp14:editId="097B4F17">
            <wp:extent cx="5275215" cy="233045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82420" cy="2333633"/>
                    </a:xfrm>
                    <a:prstGeom prst="rect">
                      <a:avLst/>
                    </a:prstGeom>
                  </pic:spPr>
                </pic:pic>
              </a:graphicData>
            </a:graphic>
          </wp:inline>
        </w:drawing>
      </w:r>
    </w:p>
    <w:p w14:paraId="708F798C" w14:textId="7EA86992" w:rsidR="00DA797A" w:rsidRPr="00DA797A" w:rsidRDefault="00DA797A" w:rsidP="00DA797A">
      <w:pPr>
        <w:rPr>
          <w:rFonts w:ascii="Arial" w:hAnsi="Arial" w:cs="Arial"/>
          <w:color w:val="0070C0"/>
          <w:sz w:val="24"/>
          <w:szCs w:val="24"/>
        </w:rPr>
      </w:pPr>
      <w:r w:rsidRPr="00DA797A">
        <w:rPr>
          <w:rFonts w:ascii="Arial" w:hAnsi="Arial" w:cs="Arial"/>
          <w:color w:val="0070C0"/>
          <w:sz w:val="24"/>
          <w:szCs w:val="24"/>
        </w:rPr>
        <w:t>CPUC Response:</w:t>
      </w:r>
      <w:r>
        <w:rPr>
          <w:rFonts w:ascii="Arial" w:hAnsi="Arial" w:cs="Arial"/>
          <w:color w:val="0070C0"/>
          <w:sz w:val="24"/>
          <w:szCs w:val="24"/>
        </w:rPr>
        <w:t xml:space="preserve"> Chapleau Hydro agrees with Board Staff’s corrections.</w:t>
      </w:r>
    </w:p>
    <w:p w14:paraId="5BC00512" w14:textId="77777777" w:rsidR="00DA797A" w:rsidRPr="00642CA4" w:rsidRDefault="00DA797A" w:rsidP="00642CA4">
      <w:pPr>
        <w:rPr>
          <w:rFonts w:ascii="Arial" w:hAnsi="Arial" w:cs="Arial"/>
          <w:sz w:val="24"/>
          <w:szCs w:val="24"/>
        </w:rPr>
      </w:pPr>
      <w:bookmarkStart w:id="0" w:name="_GoBack"/>
      <w:bookmarkEnd w:id="0"/>
    </w:p>
    <w:p w14:paraId="211BB47D" w14:textId="77777777" w:rsidR="001D3B55" w:rsidRDefault="001D3B55" w:rsidP="001D3B55">
      <w:pPr>
        <w:contextualSpacing/>
        <w:rPr>
          <w:rFonts w:ascii="Arial" w:hAnsi="Arial" w:cs="Arial"/>
          <w:b/>
          <w:sz w:val="24"/>
          <w:szCs w:val="24"/>
        </w:rPr>
      </w:pPr>
      <w:r w:rsidRPr="00AF3688">
        <w:rPr>
          <w:rFonts w:ascii="Arial" w:hAnsi="Arial" w:cs="Arial"/>
          <w:b/>
          <w:sz w:val="24"/>
          <w:szCs w:val="24"/>
        </w:rPr>
        <w:t>Staff</w:t>
      </w:r>
      <w:r>
        <w:rPr>
          <w:rFonts w:ascii="Arial" w:hAnsi="Arial" w:cs="Arial"/>
          <w:b/>
          <w:sz w:val="24"/>
          <w:szCs w:val="24"/>
        </w:rPr>
        <w:t xml:space="preserve"> Question-4</w:t>
      </w:r>
    </w:p>
    <w:p w14:paraId="3EE7EB63" w14:textId="77777777" w:rsidR="00676646" w:rsidRPr="00AF3688" w:rsidRDefault="00676646" w:rsidP="001D3B55">
      <w:pPr>
        <w:rPr>
          <w:rFonts w:ascii="Arial" w:hAnsi="Arial" w:cs="Arial"/>
          <w:b/>
          <w:sz w:val="24"/>
          <w:szCs w:val="24"/>
        </w:rPr>
      </w:pPr>
      <w:r>
        <w:rPr>
          <w:rFonts w:ascii="Arial" w:hAnsi="Arial" w:cs="Arial"/>
          <w:b/>
          <w:sz w:val="24"/>
          <w:szCs w:val="24"/>
        </w:rPr>
        <w:t>Ref: Revenue to Cost Ratio Adjustment Model</w:t>
      </w:r>
    </w:p>
    <w:p w14:paraId="623E15D8" w14:textId="77777777" w:rsidR="00676646" w:rsidRPr="00D3742A" w:rsidRDefault="00676646" w:rsidP="00676646">
      <w:pPr>
        <w:pStyle w:val="ListParagraph"/>
        <w:numPr>
          <w:ilvl w:val="0"/>
          <w:numId w:val="28"/>
        </w:numPr>
        <w:rPr>
          <w:rFonts w:ascii="Arial" w:hAnsi="Arial" w:cs="Arial"/>
          <w:sz w:val="24"/>
          <w:szCs w:val="24"/>
        </w:rPr>
      </w:pPr>
      <w:r>
        <w:rPr>
          <w:rFonts w:ascii="Arial" w:hAnsi="Arial" w:cs="Arial"/>
          <w:sz w:val="24"/>
          <w:szCs w:val="24"/>
        </w:rPr>
        <w:t>Tab 7 of the Revenue to Cost Ratio (R/C Ratio) Adjustment Model is to allocate the revenue offsets to each rate class. Chapleau Public Utilities has not entered the total miscellaneous revenue amount in cell F47 of Tab 7. As a result, the allocated revenue offset amounts are not captured in the calculations of this model. Please enter the total miscellaneous revenue amount in cell F47 and update later tabs of the R/C Ratio Model and Tab 16 of the IRM Model</w:t>
      </w:r>
      <w:r w:rsidR="006B48EB">
        <w:rPr>
          <w:rFonts w:ascii="Arial" w:hAnsi="Arial" w:cs="Arial"/>
          <w:sz w:val="24"/>
          <w:szCs w:val="24"/>
        </w:rPr>
        <w:t xml:space="preserve"> (MFC and DVR adjustments for the three classes)</w:t>
      </w:r>
      <w:r>
        <w:rPr>
          <w:rFonts w:ascii="Arial" w:hAnsi="Arial" w:cs="Arial"/>
          <w:sz w:val="24"/>
          <w:szCs w:val="24"/>
        </w:rPr>
        <w:t>.</w:t>
      </w:r>
    </w:p>
    <w:p w14:paraId="02D8FA5B" w14:textId="77777777" w:rsidR="001D3B55" w:rsidRPr="00AF3688" w:rsidRDefault="00676646" w:rsidP="001D3B55">
      <w:pPr>
        <w:pStyle w:val="ListParagraph"/>
        <w:rPr>
          <w:rFonts w:ascii="Arial" w:hAnsi="Arial" w:cs="Arial"/>
          <w:sz w:val="24"/>
          <w:szCs w:val="24"/>
        </w:rPr>
      </w:pPr>
      <w:r>
        <w:rPr>
          <w:noProof/>
          <w:lang w:val="en-US"/>
        </w:rPr>
        <w:lastRenderedPageBreak/>
        <w:drawing>
          <wp:inline distT="0" distB="0" distL="0" distR="0" wp14:anchorId="5A95D66F" wp14:editId="41503930">
            <wp:extent cx="5943600" cy="1362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362075"/>
                    </a:xfrm>
                    <a:prstGeom prst="rect">
                      <a:avLst/>
                    </a:prstGeom>
                  </pic:spPr>
                </pic:pic>
              </a:graphicData>
            </a:graphic>
          </wp:inline>
        </w:drawing>
      </w:r>
    </w:p>
    <w:p w14:paraId="449C369D" w14:textId="619D4A93" w:rsidR="00DA797A" w:rsidRPr="00DA797A" w:rsidRDefault="00286CF3" w:rsidP="00DA797A">
      <w:pPr>
        <w:rPr>
          <w:rFonts w:ascii="Arial" w:hAnsi="Arial" w:cs="Arial"/>
          <w:color w:val="0070C0"/>
          <w:sz w:val="24"/>
          <w:szCs w:val="24"/>
        </w:rPr>
      </w:pPr>
      <w:r w:rsidRPr="00CF05C2">
        <w:rPr>
          <w:rFonts w:ascii="Arial" w:hAnsi="Arial" w:cs="Arial"/>
          <w:sz w:val="24"/>
          <w:szCs w:val="24"/>
        </w:rPr>
        <w:t xml:space="preserve"> </w:t>
      </w:r>
      <w:r w:rsidR="00DA797A" w:rsidRPr="00DA797A">
        <w:rPr>
          <w:rFonts w:ascii="Arial" w:hAnsi="Arial" w:cs="Arial"/>
          <w:color w:val="0070C0"/>
          <w:sz w:val="24"/>
          <w:szCs w:val="24"/>
        </w:rPr>
        <w:t>CPUC Response:</w:t>
      </w:r>
      <w:r w:rsidR="00DA797A">
        <w:rPr>
          <w:rFonts w:ascii="Arial" w:hAnsi="Arial" w:cs="Arial"/>
          <w:color w:val="0070C0"/>
          <w:sz w:val="24"/>
          <w:szCs w:val="24"/>
        </w:rPr>
        <w:t xml:space="preserve"> Chapleau Hydro has updated both models accordingly. Both are being filed along with these responses.</w:t>
      </w:r>
    </w:p>
    <w:p w14:paraId="59092456" w14:textId="37E7F8CE" w:rsidR="00286CF3" w:rsidRPr="00AC3F80" w:rsidRDefault="00286CF3" w:rsidP="005C70CD">
      <w:pPr>
        <w:rPr>
          <w:rFonts w:ascii="Arial" w:hAnsi="Arial" w:cs="Arial"/>
          <w:sz w:val="24"/>
          <w:szCs w:val="24"/>
        </w:rPr>
      </w:pPr>
    </w:p>
    <w:sectPr w:rsidR="00286CF3" w:rsidRPr="00AC3F80" w:rsidSect="00EA0919">
      <w:headerReference w:type="default" r:id="rId13"/>
      <w:footerReference w:type="default" r:id="rId14"/>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61FF9" w14:textId="77777777" w:rsidR="001A728D" w:rsidRDefault="001A728D" w:rsidP="001A728D">
      <w:pPr>
        <w:spacing w:after="0" w:line="240" w:lineRule="auto"/>
      </w:pPr>
      <w:r>
        <w:separator/>
      </w:r>
    </w:p>
  </w:endnote>
  <w:endnote w:type="continuationSeparator" w:id="0">
    <w:p w14:paraId="79F8710D" w14:textId="77777777" w:rsidR="001A728D" w:rsidRDefault="001A728D" w:rsidP="001A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211800"/>
      <w:docPartObj>
        <w:docPartGallery w:val="Page Numbers (Bottom of Page)"/>
        <w:docPartUnique/>
      </w:docPartObj>
    </w:sdtPr>
    <w:sdtEndPr>
      <w:rPr>
        <w:noProof/>
      </w:rPr>
    </w:sdtEndPr>
    <w:sdtContent>
      <w:p w14:paraId="544418A1" w14:textId="77777777" w:rsidR="0059172B" w:rsidRDefault="0059172B">
        <w:pPr>
          <w:pStyle w:val="Footer"/>
          <w:jc w:val="center"/>
        </w:pPr>
        <w:r>
          <w:fldChar w:fldCharType="begin"/>
        </w:r>
        <w:r>
          <w:instrText xml:space="preserve"> PAGE   \* MERGEFORMAT </w:instrText>
        </w:r>
        <w:r>
          <w:fldChar w:fldCharType="separate"/>
        </w:r>
        <w:r w:rsidR="00C93525">
          <w:rPr>
            <w:noProof/>
          </w:rPr>
          <w:t>3</w:t>
        </w:r>
        <w:r>
          <w:rPr>
            <w:noProof/>
          </w:rPr>
          <w:fldChar w:fldCharType="end"/>
        </w:r>
      </w:p>
    </w:sdtContent>
  </w:sdt>
  <w:p w14:paraId="5371C270" w14:textId="77777777" w:rsidR="0059172B" w:rsidRDefault="00591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ED09D" w14:textId="77777777" w:rsidR="001A728D" w:rsidRDefault="001A728D" w:rsidP="001A728D">
      <w:pPr>
        <w:spacing w:after="0" w:line="240" w:lineRule="auto"/>
      </w:pPr>
      <w:r>
        <w:separator/>
      </w:r>
    </w:p>
  </w:footnote>
  <w:footnote w:type="continuationSeparator" w:id="0">
    <w:p w14:paraId="07ED1BCA" w14:textId="77777777" w:rsidR="001A728D" w:rsidRDefault="001A728D" w:rsidP="001A7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E8BFD" w14:textId="77777777" w:rsidR="0059172B" w:rsidRPr="00E16C29" w:rsidRDefault="0008438F" w:rsidP="0008438F">
    <w:pPr>
      <w:pStyle w:val="Header"/>
      <w:jc w:val="right"/>
      <w:rPr>
        <w:rFonts w:ascii="Arial" w:hAnsi="Arial" w:cs="Arial"/>
        <w:bCs/>
      </w:rPr>
    </w:pPr>
    <w:r w:rsidRPr="0008438F">
      <w:rPr>
        <w:rFonts w:ascii="Arial" w:hAnsi="Arial" w:cs="Arial"/>
      </w:rPr>
      <w:t>Chapleau Public Utilities Corporation</w:t>
    </w:r>
  </w:p>
  <w:p w14:paraId="5A2D1F02" w14:textId="77777777" w:rsidR="0059172B" w:rsidRPr="0059172B" w:rsidRDefault="0059172B">
    <w:pPr>
      <w:pStyle w:val="Header"/>
      <w:rPr>
        <w:rFonts w:ascii="Arial" w:hAnsi="Arial" w:cs="Arial"/>
      </w:rPr>
    </w:pPr>
    <w:r>
      <w:rPr>
        <w:rFonts w:ascii="Arial" w:hAnsi="Arial" w:cs="Arial"/>
        <w:bCs/>
      </w:rPr>
      <w:tab/>
    </w:r>
    <w:r>
      <w:rPr>
        <w:rFonts w:ascii="Arial" w:hAnsi="Arial" w:cs="Arial"/>
        <w:bCs/>
      </w:rPr>
      <w:tab/>
    </w:r>
    <w:r w:rsidR="001A728D" w:rsidRPr="0059172B">
      <w:rPr>
        <w:rFonts w:ascii="Arial" w:hAnsi="Arial" w:cs="Arial"/>
      </w:rPr>
      <w:t xml:space="preserve">OEB Staff Questions </w:t>
    </w:r>
  </w:p>
  <w:p w14:paraId="100B6F1D" w14:textId="77777777" w:rsidR="001A728D" w:rsidRDefault="0059172B">
    <w:pPr>
      <w:pStyle w:val="Header"/>
    </w:pPr>
    <w:r w:rsidRPr="0059172B">
      <w:rPr>
        <w:rFonts w:ascii="Arial" w:hAnsi="Arial" w:cs="Arial"/>
      </w:rPr>
      <w:tab/>
    </w:r>
    <w:r w:rsidRPr="0059172B">
      <w:rPr>
        <w:rFonts w:ascii="Arial" w:hAnsi="Arial" w:cs="Arial"/>
      </w:rPr>
      <w:tab/>
    </w:r>
    <w:r w:rsidR="0008438F">
      <w:rPr>
        <w:rFonts w:ascii="Arial" w:hAnsi="Arial" w:cs="Arial"/>
      </w:rPr>
      <w:t>EB-2019-0026</w:t>
    </w:r>
    <w:r w:rsidR="001A728D" w:rsidRPr="0059172B">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CC1480"/>
    <w:multiLevelType w:val="hybridMultilevel"/>
    <w:tmpl w:val="BCCEB8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E114694"/>
    <w:multiLevelType w:val="hybridMultilevel"/>
    <w:tmpl w:val="E79E19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725BD"/>
    <w:multiLevelType w:val="hybridMultilevel"/>
    <w:tmpl w:val="88CA3C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D3A41"/>
    <w:multiLevelType w:val="hybridMultilevel"/>
    <w:tmpl w:val="8ACE76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E46A1"/>
    <w:multiLevelType w:val="hybridMultilevel"/>
    <w:tmpl w:val="A074022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AAF707D"/>
    <w:multiLevelType w:val="hybridMultilevel"/>
    <w:tmpl w:val="52A861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6D73DA3"/>
    <w:multiLevelType w:val="hybridMultilevel"/>
    <w:tmpl w:val="C4B051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C4B29"/>
    <w:multiLevelType w:val="hybridMultilevel"/>
    <w:tmpl w:val="9198016E"/>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C1304"/>
    <w:multiLevelType w:val="hybridMultilevel"/>
    <w:tmpl w:val="BCCEB8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26B5264"/>
    <w:multiLevelType w:val="hybridMultilevel"/>
    <w:tmpl w:val="D8B4E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313A6"/>
    <w:multiLevelType w:val="hybridMultilevel"/>
    <w:tmpl w:val="8A1A9DAA"/>
    <w:lvl w:ilvl="0" w:tplc="04090017">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D5234"/>
    <w:multiLevelType w:val="hybridMultilevel"/>
    <w:tmpl w:val="7D5E03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968679B"/>
    <w:multiLevelType w:val="hybridMultilevel"/>
    <w:tmpl w:val="CA20A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2"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780744A"/>
    <w:multiLevelType w:val="hybridMultilevel"/>
    <w:tmpl w:val="D082A49C"/>
    <w:lvl w:ilvl="0" w:tplc="6B54E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527E0"/>
    <w:multiLevelType w:val="hybridMultilevel"/>
    <w:tmpl w:val="E20EEB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B3D62B5"/>
    <w:multiLevelType w:val="hybridMultilevel"/>
    <w:tmpl w:val="52A861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6184FE1"/>
    <w:multiLevelType w:val="hybridMultilevel"/>
    <w:tmpl w:val="0C70A092"/>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1"/>
  </w:num>
  <w:num w:numId="3">
    <w:abstractNumId w:val="32"/>
  </w:num>
  <w:num w:numId="4">
    <w:abstractNumId w:val="43"/>
  </w:num>
  <w:num w:numId="5">
    <w:abstractNumId w:val="19"/>
  </w:num>
  <w:num w:numId="6">
    <w:abstractNumId w:val="16"/>
  </w:num>
  <w:num w:numId="7">
    <w:abstractNumId w:val="28"/>
  </w:num>
  <w:num w:numId="8">
    <w:abstractNumId w:val="23"/>
  </w:num>
  <w:num w:numId="9">
    <w:abstractNumId w:val="25"/>
  </w:num>
  <w:num w:numId="10">
    <w:abstractNumId w:val="9"/>
  </w:num>
  <w:num w:numId="11">
    <w:abstractNumId w:val="27"/>
  </w:num>
  <w:num w:numId="12">
    <w:abstractNumId w:val="34"/>
  </w:num>
  <w:num w:numId="13">
    <w:abstractNumId w:val="8"/>
  </w:num>
  <w:num w:numId="14">
    <w:abstractNumId w:val="2"/>
  </w:num>
  <w:num w:numId="15">
    <w:abstractNumId w:val="42"/>
  </w:num>
  <w:num w:numId="16">
    <w:abstractNumId w:val="12"/>
  </w:num>
  <w:num w:numId="17">
    <w:abstractNumId w:val="30"/>
  </w:num>
  <w:num w:numId="18">
    <w:abstractNumId w:val="39"/>
  </w:num>
  <w:num w:numId="19">
    <w:abstractNumId w:val="40"/>
  </w:num>
  <w:num w:numId="20">
    <w:abstractNumId w:val="18"/>
  </w:num>
  <w:num w:numId="21">
    <w:abstractNumId w:val="37"/>
  </w:num>
  <w:num w:numId="22">
    <w:abstractNumId w:val="17"/>
  </w:num>
  <w:num w:numId="23">
    <w:abstractNumId w:val="33"/>
  </w:num>
  <w:num w:numId="24">
    <w:abstractNumId w:val="31"/>
  </w:num>
  <w:num w:numId="25">
    <w:abstractNumId w:val="3"/>
  </w:num>
  <w:num w:numId="26">
    <w:abstractNumId w:val="26"/>
  </w:num>
  <w:num w:numId="27">
    <w:abstractNumId w:val="29"/>
  </w:num>
  <w:num w:numId="28">
    <w:abstractNumId w:val="38"/>
  </w:num>
  <w:num w:numId="29">
    <w:abstractNumId w:val="10"/>
  </w:num>
  <w:num w:numId="30">
    <w:abstractNumId w:val="41"/>
  </w:num>
  <w:num w:numId="31">
    <w:abstractNumId w:val="14"/>
  </w:num>
  <w:num w:numId="32">
    <w:abstractNumId w:val="24"/>
  </w:num>
  <w:num w:numId="33">
    <w:abstractNumId w:val="6"/>
  </w:num>
  <w:num w:numId="34">
    <w:abstractNumId w:val="7"/>
  </w:num>
  <w:num w:numId="35">
    <w:abstractNumId w:val="35"/>
  </w:num>
  <w:num w:numId="36">
    <w:abstractNumId w:val="20"/>
  </w:num>
  <w:num w:numId="37">
    <w:abstractNumId w:val="21"/>
  </w:num>
  <w:num w:numId="38">
    <w:abstractNumId w:val="13"/>
  </w:num>
  <w:num w:numId="39">
    <w:abstractNumId w:val="5"/>
  </w:num>
  <w:num w:numId="40">
    <w:abstractNumId w:val="4"/>
  </w:num>
  <w:num w:numId="41">
    <w:abstractNumId w:val="22"/>
  </w:num>
  <w:num w:numId="42">
    <w:abstractNumId w:val="15"/>
  </w:num>
  <w:num w:numId="43">
    <w:abstractNumId w:val="1"/>
  </w:num>
  <w:num w:numId="44">
    <w:abstractNumId w:val="36"/>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66B7"/>
    <w:rsid w:val="0003073C"/>
    <w:rsid w:val="00035337"/>
    <w:rsid w:val="00054071"/>
    <w:rsid w:val="0006126D"/>
    <w:rsid w:val="00067F57"/>
    <w:rsid w:val="00071BEC"/>
    <w:rsid w:val="00074514"/>
    <w:rsid w:val="000832D4"/>
    <w:rsid w:val="0008438F"/>
    <w:rsid w:val="00090160"/>
    <w:rsid w:val="000B3E7E"/>
    <w:rsid w:val="000D223C"/>
    <w:rsid w:val="000E4006"/>
    <w:rsid w:val="000F1E3A"/>
    <w:rsid w:val="00164E99"/>
    <w:rsid w:val="001820C5"/>
    <w:rsid w:val="00183CC8"/>
    <w:rsid w:val="00187E9B"/>
    <w:rsid w:val="001927C2"/>
    <w:rsid w:val="001A4DCD"/>
    <w:rsid w:val="001A728D"/>
    <w:rsid w:val="001D3B55"/>
    <w:rsid w:val="001E3729"/>
    <w:rsid w:val="00203092"/>
    <w:rsid w:val="002208C0"/>
    <w:rsid w:val="00224C06"/>
    <w:rsid w:val="0025687C"/>
    <w:rsid w:val="00265C39"/>
    <w:rsid w:val="00274A48"/>
    <w:rsid w:val="00280CA6"/>
    <w:rsid w:val="00286CF3"/>
    <w:rsid w:val="00291CCC"/>
    <w:rsid w:val="002A6415"/>
    <w:rsid w:val="002B7B7C"/>
    <w:rsid w:val="002C2BF2"/>
    <w:rsid w:val="002C7EF6"/>
    <w:rsid w:val="002F2F7C"/>
    <w:rsid w:val="002F4756"/>
    <w:rsid w:val="00302509"/>
    <w:rsid w:val="003049C5"/>
    <w:rsid w:val="00340C00"/>
    <w:rsid w:val="00365C34"/>
    <w:rsid w:val="003702D1"/>
    <w:rsid w:val="00373FAD"/>
    <w:rsid w:val="003777B5"/>
    <w:rsid w:val="003832E7"/>
    <w:rsid w:val="003A20A0"/>
    <w:rsid w:val="003A58B0"/>
    <w:rsid w:val="003F34A6"/>
    <w:rsid w:val="00400DFC"/>
    <w:rsid w:val="00412DC6"/>
    <w:rsid w:val="004134EF"/>
    <w:rsid w:val="004377B0"/>
    <w:rsid w:val="00472C81"/>
    <w:rsid w:val="00475032"/>
    <w:rsid w:val="004859EF"/>
    <w:rsid w:val="00506DEA"/>
    <w:rsid w:val="005164F5"/>
    <w:rsid w:val="0052560F"/>
    <w:rsid w:val="005666F2"/>
    <w:rsid w:val="00572064"/>
    <w:rsid w:val="00584369"/>
    <w:rsid w:val="00587A35"/>
    <w:rsid w:val="0059172B"/>
    <w:rsid w:val="005A11B1"/>
    <w:rsid w:val="005C70CD"/>
    <w:rsid w:val="005F11B7"/>
    <w:rsid w:val="005F4693"/>
    <w:rsid w:val="006321A3"/>
    <w:rsid w:val="0064279A"/>
    <w:rsid w:val="00642CA4"/>
    <w:rsid w:val="00651C98"/>
    <w:rsid w:val="00676646"/>
    <w:rsid w:val="00677F9A"/>
    <w:rsid w:val="006A5D23"/>
    <w:rsid w:val="006B48EB"/>
    <w:rsid w:val="006E3D58"/>
    <w:rsid w:val="006F4FBD"/>
    <w:rsid w:val="00704EE5"/>
    <w:rsid w:val="007066E2"/>
    <w:rsid w:val="00711950"/>
    <w:rsid w:val="00722640"/>
    <w:rsid w:val="0073197E"/>
    <w:rsid w:val="00746080"/>
    <w:rsid w:val="00772B57"/>
    <w:rsid w:val="00775C21"/>
    <w:rsid w:val="00781D04"/>
    <w:rsid w:val="007B2F8D"/>
    <w:rsid w:val="007C2D45"/>
    <w:rsid w:val="007C761E"/>
    <w:rsid w:val="007F0871"/>
    <w:rsid w:val="007F49EB"/>
    <w:rsid w:val="00805FDA"/>
    <w:rsid w:val="00812C1B"/>
    <w:rsid w:val="00835AD0"/>
    <w:rsid w:val="008747B3"/>
    <w:rsid w:val="008813C3"/>
    <w:rsid w:val="008926F0"/>
    <w:rsid w:val="008964E8"/>
    <w:rsid w:val="008A48F6"/>
    <w:rsid w:val="008E6045"/>
    <w:rsid w:val="0090113B"/>
    <w:rsid w:val="0093258A"/>
    <w:rsid w:val="0094373C"/>
    <w:rsid w:val="00946DEE"/>
    <w:rsid w:val="00951E2B"/>
    <w:rsid w:val="00952939"/>
    <w:rsid w:val="00961EA0"/>
    <w:rsid w:val="00975348"/>
    <w:rsid w:val="009A5C44"/>
    <w:rsid w:val="009B03AF"/>
    <w:rsid w:val="009B6AB3"/>
    <w:rsid w:val="009C4216"/>
    <w:rsid w:val="009D5F4B"/>
    <w:rsid w:val="009E626E"/>
    <w:rsid w:val="009E760C"/>
    <w:rsid w:val="009E7CBF"/>
    <w:rsid w:val="00A07077"/>
    <w:rsid w:val="00A35114"/>
    <w:rsid w:val="00A50DD0"/>
    <w:rsid w:val="00A516B0"/>
    <w:rsid w:val="00A5620A"/>
    <w:rsid w:val="00A81B35"/>
    <w:rsid w:val="00A9357F"/>
    <w:rsid w:val="00AA06D9"/>
    <w:rsid w:val="00AC2406"/>
    <w:rsid w:val="00AC3F80"/>
    <w:rsid w:val="00AD3FCF"/>
    <w:rsid w:val="00B03802"/>
    <w:rsid w:val="00B04BFB"/>
    <w:rsid w:val="00B069AA"/>
    <w:rsid w:val="00B23A36"/>
    <w:rsid w:val="00B25576"/>
    <w:rsid w:val="00B25EF5"/>
    <w:rsid w:val="00B50EB2"/>
    <w:rsid w:val="00B6722A"/>
    <w:rsid w:val="00B82D78"/>
    <w:rsid w:val="00B93A4C"/>
    <w:rsid w:val="00BA434C"/>
    <w:rsid w:val="00BD4F65"/>
    <w:rsid w:val="00C06F9E"/>
    <w:rsid w:val="00C13E6B"/>
    <w:rsid w:val="00C2370B"/>
    <w:rsid w:val="00C4070C"/>
    <w:rsid w:val="00C624D5"/>
    <w:rsid w:val="00C848A0"/>
    <w:rsid w:val="00C878C5"/>
    <w:rsid w:val="00C93525"/>
    <w:rsid w:val="00C96AEA"/>
    <w:rsid w:val="00CC0B6D"/>
    <w:rsid w:val="00CC0EF2"/>
    <w:rsid w:val="00CE0AD7"/>
    <w:rsid w:val="00CE1CD3"/>
    <w:rsid w:val="00CE4F01"/>
    <w:rsid w:val="00D3742A"/>
    <w:rsid w:val="00D55546"/>
    <w:rsid w:val="00D6213C"/>
    <w:rsid w:val="00D647C0"/>
    <w:rsid w:val="00D77694"/>
    <w:rsid w:val="00D77B0F"/>
    <w:rsid w:val="00D84222"/>
    <w:rsid w:val="00DA797A"/>
    <w:rsid w:val="00DB6B52"/>
    <w:rsid w:val="00DC08C2"/>
    <w:rsid w:val="00DE5488"/>
    <w:rsid w:val="00DE75AC"/>
    <w:rsid w:val="00DF5A52"/>
    <w:rsid w:val="00E16C29"/>
    <w:rsid w:val="00E17C58"/>
    <w:rsid w:val="00E231C2"/>
    <w:rsid w:val="00E429DA"/>
    <w:rsid w:val="00E54ED5"/>
    <w:rsid w:val="00E62C2A"/>
    <w:rsid w:val="00E734DB"/>
    <w:rsid w:val="00E8586E"/>
    <w:rsid w:val="00E96A06"/>
    <w:rsid w:val="00EA0919"/>
    <w:rsid w:val="00EB5240"/>
    <w:rsid w:val="00EC0B55"/>
    <w:rsid w:val="00F034BF"/>
    <w:rsid w:val="00F233A3"/>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19C"/>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7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28D"/>
  </w:style>
  <w:style w:type="paragraph" w:styleId="NoSpacing">
    <w:name w:val="No Spacing"/>
    <w:uiPriority w:val="1"/>
    <w:qFormat/>
    <w:rsid w:val="001D3B5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77385">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FDCBD-70C4-49CE-9623-358E2159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Tandem Energy Services</cp:lastModifiedBy>
  <cp:revision>2</cp:revision>
  <cp:lastPrinted>2014-09-29T14:43:00Z</cp:lastPrinted>
  <dcterms:created xsi:type="dcterms:W3CDTF">2020-02-14T17:28:00Z</dcterms:created>
  <dcterms:modified xsi:type="dcterms:W3CDTF">2020-02-14T17:28:00Z</dcterms:modified>
</cp:coreProperties>
</file>