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29534" w14:textId="77777777" w:rsidR="00A07077" w:rsidRPr="0059172B" w:rsidRDefault="0008438F" w:rsidP="00A07077">
      <w:pPr>
        <w:pStyle w:val="Default"/>
        <w:jc w:val="center"/>
        <w:rPr>
          <w:rFonts w:ascii="Arial" w:hAnsi="Arial" w:cs="Arial"/>
          <w:sz w:val="28"/>
          <w:szCs w:val="28"/>
        </w:rPr>
      </w:pPr>
      <w:proofErr w:type="spellStart"/>
      <w:r>
        <w:rPr>
          <w:rFonts w:ascii="Arial" w:hAnsi="Arial" w:cs="Arial"/>
          <w:b/>
          <w:bCs/>
          <w:sz w:val="28"/>
          <w:szCs w:val="28"/>
        </w:rPr>
        <w:t>Chapleau</w:t>
      </w:r>
      <w:proofErr w:type="spellEnd"/>
      <w:r>
        <w:rPr>
          <w:rFonts w:ascii="Arial" w:hAnsi="Arial" w:cs="Arial"/>
          <w:b/>
          <w:bCs/>
          <w:sz w:val="28"/>
          <w:szCs w:val="28"/>
        </w:rPr>
        <w:t xml:space="preserve"> Public Utilities Corporation</w:t>
      </w:r>
      <w:r w:rsidR="0052560F" w:rsidRPr="0059172B">
        <w:rPr>
          <w:rFonts w:ascii="Arial" w:hAnsi="Arial" w:cs="Arial"/>
          <w:b/>
          <w:bCs/>
          <w:sz w:val="28"/>
          <w:szCs w:val="28"/>
        </w:rPr>
        <w:t xml:space="preserve"> </w:t>
      </w:r>
      <w:r w:rsidR="009E760C">
        <w:rPr>
          <w:rFonts w:ascii="Arial" w:hAnsi="Arial" w:cs="Arial"/>
          <w:b/>
          <w:bCs/>
          <w:sz w:val="28"/>
          <w:szCs w:val="28"/>
        </w:rPr>
        <w:t>(</w:t>
      </w:r>
      <w:proofErr w:type="spellStart"/>
      <w:r>
        <w:rPr>
          <w:rFonts w:ascii="Arial" w:hAnsi="Arial" w:cs="Arial"/>
          <w:b/>
          <w:bCs/>
          <w:sz w:val="28"/>
          <w:szCs w:val="28"/>
        </w:rPr>
        <w:t>Chapleau</w:t>
      </w:r>
      <w:proofErr w:type="spellEnd"/>
      <w:r>
        <w:rPr>
          <w:rFonts w:ascii="Arial" w:hAnsi="Arial" w:cs="Arial"/>
          <w:b/>
          <w:bCs/>
          <w:sz w:val="28"/>
          <w:szCs w:val="28"/>
        </w:rPr>
        <w:t xml:space="preserve"> Public Utilities</w:t>
      </w:r>
      <w:r w:rsidR="009E760C">
        <w:rPr>
          <w:rFonts w:ascii="Arial" w:hAnsi="Arial" w:cs="Arial"/>
          <w:b/>
          <w:bCs/>
          <w:sz w:val="28"/>
          <w:szCs w:val="28"/>
        </w:rPr>
        <w:t>)</w:t>
      </w:r>
    </w:p>
    <w:p w14:paraId="540298B2" w14:textId="77777777" w:rsidR="00A07077" w:rsidRPr="00120939" w:rsidRDefault="0008438F" w:rsidP="00A07077">
      <w:pPr>
        <w:pStyle w:val="Default"/>
        <w:jc w:val="center"/>
        <w:rPr>
          <w:rFonts w:ascii="Arial" w:hAnsi="Arial" w:cs="Arial"/>
          <w:b/>
          <w:bCs/>
          <w:sz w:val="28"/>
          <w:szCs w:val="28"/>
        </w:rPr>
      </w:pPr>
      <w:r w:rsidRPr="00120939">
        <w:rPr>
          <w:rFonts w:ascii="Arial" w:hAnsi="Arial" w:cs="Arial"/>
          <w:b/>
          <w:bCs/>
          <w:sz w:val="28"/>
          <w:szCs w:val="28"/>
        </w:rPr>
        <w:t>EB-2019-0026</w:t>
      </w:r>
    </w:p>
    <w:p w14:paraId="02A8D656" w14:textId="77777777" w:rsidR="0059172B" w:rsidRDefault="0059172B" w:rsidP="00A07077">
      <w:pPr>
        <w:pStyle w:val="Default"/>
        <w:jc w:val="center"/>
        <w:rPr>
          <w:rFonts w:ascii="Arial" w:hAnsi="Arial" w:cs="Arial"/>
          <w:b/>
          <w:bCs/>
          <w:sz w:val="28"/>
          <w:szCs w:val="28"/>
        </w:rPr>
      </w:pPr>
      <w:r>
        <w:rPr>
          <w:rFonts w:ascii="Arial" w:hAnsi="Arial" w:cs="Arial"/>
          <w:b/>
          <w:bCs/>
          <w:sz w:val="28"/>
          <w:szCs w:val="28"/>
        </w:rPr>
        <w:t>OEB Staff Questions</w:t>
      </w:r>
    </w:p>
    <w:p w14:paraId="22334369" w14:textId="77777777" w:rsidR="00A07077" w:rsidRDefault="001E3729" w:rsidP="00E54ED5">
      <w:pPr>
        <w:pStyle w:val="Default"/>
        <w:jc w:val="center"/>
        <w:rPr>
          <w:rFonts w:ascii="Arial" w:hAnsi="Arial" w:cs="Arial"/>
          <w:b/>
          <w:bCs/>
          <w:sz w:val="28"/>
          <w:szCs w:val="28"/>
        </w:rPr>
      </w:pPr>
      <w:r>
        <w:rPr>
          <w:rFonts w:ascii="Arial" w:hAnsi="Arial" w:cs="Arial"/>
          <w:b/>
          <w:bCs/>
          <w:sz w:val="28"/>
          <w:szCs w:val="28"/>
        </w:rPr>
        <w:t xml:space="preserve">February </w:t>
      </w:r>
      <w:r w:rsidR="00814D13">
        <w:rPr>
          <w:rFonts w:ascii="Arial" w:hAnsi="Arial" w:cs="Arial"/>
          <w:b/>
          <w:bCs/>
          <w:sz w:val="28"/>
          <w:szCs w:val="28"/>
        </w:rPr>
        <w:t>10</w:t>
      </w:r>
      <w:r w:rsidR="00711950">
        <w:rPr>
          <w:rFonts w:ascii="Arial" w:hAnsi="Arial" w:cs="Arial"/>
          <w:b/>
          <w:bCs/>
          <w:sz w:val="28"/>
          <w:szCs w:val="28"/>
        </w:rPr>
        <w:t>, 2020</w:t>
      </w:r>
    </w:p>
    <w:p w14:paraId="23ADE665" w14:textId="77777777" w:rsidR="00EC0B55" w:rsidRPr="00B93A4C" w:rsidRDefault="00EC0B55" w:rsidP="00302509">
      <w:pPr>
        <w:autoSpaceDE w:val="0"/>
        <w:autoSpaceDN w:val="0"/>
        <w:adjustRightInd w:val="0"/>
        <w:spacing w:after="0" w:line="240" w:lineRule="auto"/>
        <w:rPr>
          <w:rFonts w:ascii="Arial" w:hAnsi="Arial" w:cs="Arial"/>
          <w:b/>
          <w:bCs/>
          <w:color w:val="B2A1C7" w:themeColor="accent4" w:themeTint="99"/>
          <w:sz w:val="24"/>
          <w:szCs w:val="24"/>
        </w:rPr>
      </w:pPr>
    </w:p>
    <w:p w14:paraId="616C739A" w14:textId="77777777" w:rsidR="005C23AD" w:rsidRDefault="005C23AD" w:rsidP="00AC3F80">
      <w:pPr>
        <w:spacing w:after="0"/>
        <w:rPr>
          <w:rFonts w:ascii="Arial" w:hAnsi="Arial" w:cs="Arial"/>
          <w:b/>
          <w:sz w:val="24"/>
          <w:szCs w:val="24"/>
        </w:rPr>
      </w:pPr>
    </w:p>
    <w:p w14:paraId="189BBCA8" w14:textId="29404292" w:rsidR="00681CFE" w:rsidRPr="000F4A7C" w:rsidRDefault="00681CFE" w:rsidP="00681CFE">
      <w:pPr>
        <w:spacing w:after="0"/>
        <w:rPr>
          <w:rFonts w:ascii="Arial" w:hAnsi="Arial" w:cs="Arial"/>
          <w:bCs/>
          <w:sz w:val="24"/>
          <w:szCs w:val="24"/>
        </w:rPr>
      </w:pPr>
      <w:r w:rsidRPr="000F4A7C">
        <w:rPr>
          <w:rFonts w:ascii="Arial" w:hAnsi="Arial" w:cs="Arial"/>
          <w:bCs/>
          <w:sz w:val="24"/>
          <w:szCs w:val="24"/>
        </w:rPr>
        <w:t xml:space="preserve">OEB staff and CPUC held conference calls on February 4, February 7, and February 10, 2020. The </w:t>
      </w:r>
      <w:r w:rsidR="008E0A8E">
        <w:rPr>
          <w:rFonts w:ascii="Arial" w:hAnsi="Arial" w:cs="Arial"/>
          <w:bCs/>
          <w:sz w:val="24"/>
          <w:szCs w:val="24"/>
        </w:rPr>
        <w:t>questions</w:t>
      </w:r>
      <w:r w:rsidRPr="000F4A7C">
        <w:rPr>
          <w:rFonts w:ascii="Arial" w:hAnsi="Arial" w:cs="Arial"/>
          <w:bCs/>
          <w:sz w:val="24"/>
          <w:szCs w:val="24"/>
        </w:rPr>
        <w:t xml:space="preserve"> below </w:t>
      </w:r>
      <w:r w:rsidR="00737A02">
        <w:rPr>
          <w:rFonts w:ascii="Arial" w:hAnsi="Arial" w:cs="Arial"/>
          <w:bCs/>
          <w:sz w:val="24"/>
          <w:szCs w:val="24"/>
        </w:rPr>
        <w:t xml:space="preserve">substantially </w:t>
      </w:r>
      <w:r w:rsidRPr="000F4A7C">
        <w:rPr>
          <w:rFonts w:ascii="Arial" w:hAnsi="Arial" w:cs="Arial"/>
          <w:bCs/>
          <w:sz w:val="24"/>
          <w:szCs w:val="24"/>
        </w:rPr>
        <w:t>reflect the discussions that took place during the calls.</w:t>
      </w:r>
      <w:r w:rsidR="00AC52FC">
        <w:rPr>
          <w:rFonts w:ascii="Arial" w:hAnsi="Arial" w:cs="Arial"/>
          <w:bCs/>
          <w:sz w:val="24"/>
          <w:szCs w:val="24"/>
        </w:rPr>
        <w:t xml:space="preserve"> These questions are related to Account 1588 and Account 1589.</w:t>
      </w:r>
    </w:p>
    <w:p w14:paraId="29A1271D" w14:textId="77777777" w:rsidR="00681CFE" w:rsidRPr="000F4A7C" w:rsidRDefault="00681CFE" w:rsidP="00681CFE">
      <w:pPr>
        <w:spacing w:after="0"/>
        <w:rPr>
          <w:rFonts w:ascii="Arial" w:hAnsi="Arial" w:cs="Arial"/>
          <w:b/>
          <w:bCs/>
          <w:sz w:val="24"/>
          <w:szCs w:val="24"/>
        </w:rPr>
      </w:pPr>
    </w:p>
    <w:p w14:paraId="26665236" w14:textId="77777777" w:rsidR="00681CFE" w:rsidRPr="000F4A7C" w:rsidRDefault="007B28E7" w:rsidP="00681CFE">
      <w:pPr>
        <w:spacing w:after="0"/>
        <w:rPr>
          <w:rFonts w:ascii="Arial" w:hAnsi="Arial" w:cs="Arial"/>
          <w:b/>
          <w:sz w:val="24"/>
          <w:szCs w:val="24"/>
        </w:rPr>
      </w:pPr>
      <w:r>
        <w:rPr>
          <w:rFonts w:ascii="Arial" w:hAnsi="Arial" w:cs="Arial"/>
          <w:b/>
          <w:sz w:val="24"/>
          <w:szCs w:val="24"/>
        </w:rPr>
        <w:t>Staff Question-5</w:t>
      </w:r>
    </w:p>
    <w:p w14:paraId="3E6CB0D1" w14:textId="77777777" w:rsidR="00681CFE" w:rsidRPr="000F4A7C" w:rsidRDefault="00681CFE" w:rsidP="00681CFE">
      <w:pPr>
        <w:spacing w:after="0"/>
        <w:rPr>
          <w:rFonts w:ascii="Arial" w:hAnsi="Arial" w:cs="Arial"/>
          <w:b/>
          <w:sz w:val="24"/>
          <w:szCs w:val="24"/>
        </w:rPr>
      </w:pPr>
    </w:p>
    <w:p w14:paraId="6AC81B8A" w14:textId="77777777" w:rsidR="00681CFE" w:rsidRPr="000F4A7C" w:rsidRDefault="00681CFE" w:rsidP="00681CFE">
      <w:pPr>
        <w:spacing w:after="0"/>
        <w:rPr>
          <w:rFonts w:ascii="Arial" w:hAnsi="Arial" w:cs="Arial"/>
          <w:sz w:val="24"/>
          <w:szCs w:val="24"/>
        </w:rPr>
      </w:pPr>
      <w:r w:rsidRPr="000F4A7C">
        <w:rPr>
          <w:rFonts w:ascii="Arial" w:hAnsi="Arial" w:cs="Arial"/>
          <w:sz w:val="24"/>
          <w:szCs w:val="24"/>
        </w:rPr>
        <w:t>Ref:</w:t>
      </w:r>
      <w:r w:rsidRPr="000F4A7C">
        <w:rPr>
          <w:rFonts w:ascii="Arial" w:hAnsi="Arial" w:cs="Arial"/>
          <w:sz w:val="24"/>
          <w:szCs w:val="24"/>
        </w:rPr>
        <w:tab/>
        <w:t>(1) Manager’s Summary, page 14 &amp; 15</w:t>
      </w:r>
    </w:p>
    <w:p w14:paraId="19D56044" w14:textId="77777777" w:rsidR="00681CFE" w:rsidRPr="000F4A7C" w:rsidRDefault="00681CFE" w:rsidP="00681CFE">
      <w:pPr>
        <w:spacing w:after="0"/>
        <w:rPr>
          <w:rFonts w:ascii="Arial" w:hAnsi="Arial" w:cs="Arial"/>
          <w:sz w:val="24"/>
          <w:szCs w:val="24"/>
        </w:rPr>
      </w:pPr>
      <w:r w:rsidRPr="000F4A7C">
        <w:rPr>
          <w:rFonts w:ascii="Arial" w:hAnsi="Arial" w:cs="Arial"/>
          <w:sz w:val="24"/>
          <w:szCs w:val="24"/>
        </w:rPr>
        <w:tab/>
        <w:t xml:space="preserve">(2) Addendum to Filing Requirements For Electricity Distribution Rate </w:t>
      </w:r>
      <w:r w:rsidRPr="000F4A7C">
        <w:rPr>
          <w:rFonts w:ascii="Arial" w:hAnsi="Arial" w:cs="Arial"/>
          <w:sz w:val="24"/>
          <w:szCs w:val="24"/>
        </w:rPr>
        <w:tab/>
        <w:t>Applications - 2020 Rate Applications, page 12</w:t>
      </w:r>
    </w:p>
    <w:p w14:paraId="29DAD02B" w14:textId="77777777" w:rsidR="00681CFE" w:rsidRPr="000F4A7C" w:rsidRDefault="00681CFE" w:rsidP="00681CFE">
      <w:pPr>
        <w:spacing w:after="0"/>
        <w:ind w:firstLine="720"/>
        <w:rPr>
          <w:rFonts w:ascii="Arial" w:hAnsi="Arial" w:cs="Arial"/>
          <w:color w:val="000000"/>
          <w:sz w:val="24"/>
          <w:szCs w:val="24"/>
          <w:lang w:val="en-US"/>
        </w:rPr>
      </w:pPr>
    </w:p>
    <w:p w14:paraId="4A70D5B1" w14:textId="77777777" w:rsidR="00681CFE" w:rsidRPr="000F4A7C" w:rsidRDefault="00681CFE" w:rsidP="00681CFE">
      <w:pPr>
        <w:spacing w:after="0"/>
        <w:rPr>
          <w:rFonts w:ascii="Arial" w:hAnsi="Arial" w:cs="Arial"/>
          <w:b/>
          <w:color w:val="000000"/>
          <w:sz w:val="24"/>
          <w:szCs w:val="24"/>
          <w:lang w:val="en-US"/>
        </w:rPr>
      </w:pPr>
      <w:r w:rsidRPr="000F4A7C">
        <w:rPr>
          <w:rFonts w:ascii="Arial" w:hAnsi="Arial" w:cs="Arial"/>
          <w:b/>
          <w:color w:val="000000"/>
          <w:sz w:val="24"/>
          <w:szCs w:val="24"/>
          <w:lang w:val="en-US"/>
        </w:rPr>
        <w:t>Preamble:</w:t>
      </w:r>
    </w:p>
    <w:p w14:paraId="65C2B97F" w14:textId="77777777" w:rsidR="00681CFE" w:rsidRPr="000F4A7C" w:rsidRDefault="00681CFE" w:rsidP="00681CFE">
      <w:pPr>
        <w:spacing w:after="0"/>
        <w:rPr>
          <w:rFonts w:ascii="Arial" w:hAnsi="Arial" w:cs="Arial"/>
          <w:sz w:val="24"/>
          <w:szCs w:val="24"/>
        </w:rPr>
      </w:pPr>
    </w:p>
    <w:p w14:paraId="7A5320F0" w14:textId="77777777" w:rsidR="00681CFE" w:rsidRPr="000F4A7C" w:rsidRDefault="00681CFE" w:rsidP="00681CFE">
      <w:pPr>
        <w:spacing w:after="0"/>
        <w:rPr>
          <w:rFonts w:ascii="Arial" w:hAnsi="Arial" w:cs="Arial"/>
          <w:sz w:val="24"/>
          <w:szCs w:val="24"/>
        </w:rPr>
      </w:pPr>
      <w:r w:rsidRPr="000F4A7C">
        <w:rPr>
          <w:rFonts w:ascii="Arial" w:hAnsi="Arial" w:cs="Arial"/>
          <w:sz w:val="24"/>
          <w:szCs w:val="24"/>
        </w:rPr>
        <w:t>At the above noted first reference, CPUC stated the following:</w:t>
      </w:r>
    </w:p>
    <w:p w14:paraId="6223954A" w14:textId="77777777" w:rsidR="00681CFE" w:rsidRPr="000F4A7C" w:rsidRDefault="00681CFE" w:rsidP="00681CFE">
      <w:pPr>
        <w:spacing w:after="0"/>
        <w:rPr>
          <w:rFonts w:ascii="Arial" w:hAnsi="Arial" w:cs="Arial"/>
          <w:sz w:val="24"/>
          <w:szCs w:val="24"/>
        </w:rPr>
      </w:pPr>
    </w:p>
    <w:p w14:paraId="0A232CB3" w14:textId="77777777" w:rsidR="00681CFE" w:rsidRPr="000F4A7C" w:rsidRDefault="00681CFE" w:rsidP="00681CFE">
      <w:pPr>
        <w:spacing w:after="0"/>
        <w:ind w:left="720"/>
        <w:rPr>
          <w:rFonts w:ascii="Arial" w:hAnsi="Arial" w:cs="Arial"/>
          <w:sz w:val="24"/>
          <w:szCs w:val="24"/>
        </w:rPr>
      </w:pPr>
      <w:r w:rsidRPr="000F4A7C">
        <w:rPr>
          <w:rFonts w:ascii="Arial" w:hAnsi="Arial" w:cs="Arial"/>
          <w:sz w:val="24"/>
          <w:szCs w:val="24"/>
        </w:rPr>
        <w:t xml:space="preserve">Upon review of the new accounting guidance related to accounts 1588 and 1589 – Feb 21, 2019, CPUC, along with its accountants/auditors KPMG, confirm that it </w:t>
      </w:r>
    </w:p>
    <w:p w14:paraId="02768953" w14:textId="77777777" w:rsidR="00681CFE" w:rsidRPr="000F4A7C" w:rsidRDefault="00681CFE" w:rsidP="00681CFE">
      <w:pPr>
        <w:spacing w:after="0"/>
        <w:ind w:left="720"/>
        <w:rPr>
          <w:rFonts w:ascii="Arial" w:hAnsi="Arial" w:cs="Arial"/>
          <w:sz w:val="24"/>
          <w:szCs w:val="24"/>
        </w:rPr>
      </w:pPr>
      <w:r w:rsidRPr="000F4A7C">
        <w:rPr>
          <w:rFonts w:ascii="Arial" w:hAnsi="Arial" w:cs="Arial"/>
          <w:sz w:val="24"/>
          <w:szCs w:val="24"/>
        </w:rPr>
        <w:t>complies with the new policies that have come in effect on August 31, 2019. CPUC does not report any adjustments as it uses actual numbers for accounts 1588 and 1589.</w:t>
      </w:r>
    </w:p>
    <w:p w14:paraId="187EF4C5" w14:textId="77777777" w:rsidR="00681CFE" w:rsidRPr="000F4A7C" w:rsidRDefault="00681CFE" w:rsidP="00681CFE">
      <w:pPr>
        <w:spacing w:after="0"/>
        <w:ind w:left="720"/>
        <w:rPr>
          <w:rFonts w:ascii="Arial" w:hAnsi="Arial" w:cs="Arial"/>
          <w:sz w:val="24"/>
          <w:szCs w:val="24"/>
        </w:rPr>
      </w:pPr>
    </w:p>
    <w:p w14:paraId="5980E536" w14:textId="77777777" w:rsidR="00681CFE" w:rsidRPr="000F4A7C" w:rsidRDefault="00681CFE" w:rsidP="00681CFE">
      <w:pPr>
        <w:spacing w:after="0"/>
        <w:ind w:left="720"/>
        <w:rPr>
          <w:rFonts w:ascii="Arial" w:hAnsi="Arial" w:cs="Arial"/>
          <w:sz w:val="24"/>
          <w:szCs w:val="24"/>
        </w:rPr>
      </w:pPr>
      <w:r w:rsidRPr="000F4A7C">
        <w:rPr>
          <w:rFonts w:ascii="Arial" w:hAnsi="Arial" w:cs="Arial"/>
          <w:sz w:val="24"/>
          <w:szCs w:val="24"/>
        </w:rPr>
        <w:t>As part of its 2019 Cost of Service application, CPUC was asked by the OEB to complete an internal review of the balances in 1588 and 1589 going back to the last disposition which was in 2013. CPUC conducted its internal audit in September and October of 2019.</w:t>
      </w:r>
    </w:p>
    <w:p w14:paraId="40E62993" w14:textId="77777777" w:rsidR="00681CFE" w:rsidRPr="000F4A7C" w:rsidRDefault="00681CFE" w:rsidP="00681CFE">
      <w:pPr>
        <w:spacing w:after="0"/>
        <w:ind w:left="720"/>
        <w:rPr>
          <w:rFonts w:ascii="Arial" w:hAnsi="Arial" w:cs="Arial"/>
          <w:sz w:val="24"/>
          <w:szCs w:val="24"/>
        </w:rPr>
      </w:pPr>
    </w:p>
    <w:p w14:paraId="58D5C7E3" w14:textId="77777777" w:rsidR="00681CFE" w:rsidRPr="000F4A7C" w:rsidRDefault="00681CFE" w:rsidP="00681CFE">
      <w:pPr>
        <w:spacing w:after="0"/>
        <w:ind w:left="720"/>
        <w:rPr>
          <w:rFonts w:ascii="Arial" w:hAnsi="Arial" w:cs="Arial"/>
          <w:sz w:val="24"/>
          <w:szCs w:val="24"/>
        </w:rPr>
      </w:pPr>
      <w:r w:rsidRPr="000F4A7C">
        <w:rPr>
          <w:rFonts w:ascii="Arial" w:hAnsi="Arial" w:cs="Arial"/>
          <w:sz w:val="24"/>
          <w:szCs w:val="24"/>
        </w:rPr>
        <w:t xml:space="preserve">In performing its internal </w:t>
      </w:r>
      <w:r w:rsidRPr="000F4A7C">
        <w:rPr>
          <w:rFonts w:ascii="Arial" w:hAnsi="Arial" w:cs="Arial"/>
          <w:i/>
          <w:sz w:val="24"/>
          <w:szCs w:val="24"/>
        </w:rPr>
        <w:t>[sic]</w:t>
      </w:r>
      <w:r w:rsidRPr="000F4A7C">
        <w:rPr>
          <w:rFonts w:ascii="Arial" w:hAnsi="Arial" w:cs="Arial"/>
          <w:sz w:val="24"/>
          <w:szCs w:val="24"/>
        </w:rPr>
        <w:t xml:space="preserve"> audit, CPUC was expected to used the new accounting  guidance and used the OEB Illustrative Commodity Model to complete a review of each month for every year back to 2014 through 2019 (to date)…</w:t>
      </w:r>
    </w:p>
    <w:p w14:paraId="1C62475A" w14:textId="77777777" w:rsidR="00681CFE" w:rsidRPr="000F4A7C" w:rsidRDefault="00681CFE" w:rsidP="00681CFE">
      <w:pPr>
        <w:spacing w:after="0"/>
        <w:rPr>
          <w:rFonts w:ascii="Arial" w:hAnsi="Arial" w:cs="Arial"/>
          <w:sz w:val="24"/>
          <w:szCs w:val="24"/>
        </w:rPr>
      </w:pPr>
    </w:p>
    <w:p w14:paraId="01581327" w14:textId="77777777" w:rsidR="00681CFE" w:rsidRPr="000F4A7C" w:rsidRDefault="00681CFE" w:rsidP="00681CFE">
      <w:pPr>
        <w:spacing w:after="0"/>
        <w:rPr>
          <w:rFonts w:ascii="Arial" w:hAnsi="Arial" w:cs="Arial"/>
          <w:sz w:val="24"/>
          <w:szCs w:val="24"/>
        </w:rPr>
      </w:pPr>
      <w:r w:rsidRPr="000F4A7C">
        <w:rPr>
          <w:rFonts w:ascii="Arial" w:hAnsi="Arial" w:cs="Arial"/>
          <w:sz w:val="24"/>
          <w:szCs w:val="24"/>
        </w:rPr>
        <w:t xml:space="preserve">At the above noted second reference, the OEB referenced the OEB‘s February 21, 2019 letter entitled </w:t>
      </w:r>
      <w:r w:rsidRPr="000F4A7C">
        <w:rPr>
          <w:rFonts w:ascii="Arial" w:hAnsi="Arial" w:cs="Arial"/>
          <w:i/>
          <w:sz w:val="24"/>
          <w:szCs w:val="24"/>
        </w:rPr>
        <w:t>Accounting Guidance related to Accounts 1588 Power, and 1589 RSVA Global Adjustment</w:t>
      </w:r>
      <w:r w:rsidRPr="000F4A7C">
        <w:rPr>
          <w:rFonts w:ascii="Arial" w:hAnsi="Arial" w:cs="Arial"/>
          <w:sz w:val="24"/>
          <w:szCs w:val="24"/>
        </w:rPr>
        <w:t xml:space="preserve"> as well as the related accounting guidance. </w:t>
      </w:r>
    </w:p>
    <w:p w14:paraId="2AE36F46" w14:textId="77777777" w:rsidR="00681CFE" w:rsidRPr="000F4A7C" w:rsidRDefault="00681CFE" w:rsidP="00681CFE">
      <w:pPr>
        <w:spacing w:after="0"/>
        <w:rPr>
          <w:rFonts w:ascii="Arial" w:hAnsi="Arial" w:cs="Arial"/>
          <w:sz w:val="24"/>
          <w:szCs w:val="24"/>
        </w:rPr>
      </w:pPr>
    </w:p>
    <w:p w14:paraId="72309B6E" w14:textId="77777777" w:rsidR="00681CFE" w:rsidRPr="000F4A7C" w:rsidRDefault="00681CFE" w:rsidP="00681CFE">
      <w:pPr>
        <w:spacing w:after="0"/>
        <w:rPr>
          <w:rFonts w:ascii="Arial" w:hAnsi="Arial" w:cs="Arial"/>
          <w:sz w:val="24"/>
          <w:szCs w:val="24"/>
        </w:rPr>
      </w:pPr>
      <w:r w:rsidRPr="000F4A7C">
        <w:rPr>
          <w:rFonts w:ascii="Arial" w:hAnsi="Arial" w:cs="Arial"/>
          <w:sz w:val="24"/>
          <w:szCs w:val="24"/>
        </w:rPr>
        <w:lastRenderedPageBreak/>
        <w:t>As per the above noted first reference, “CPUC is asking for disposition of its 1588 and 1589 balances on a final basis.”</w:t>
      </w:r>
    </w:p>
    <w:p w14:paraId="4DC7CFD9" w14:textId="77777777" w:rsidR="00681CFE" w:rsidRPr="000F4A7C" w:rsidRDefault="00681CFE" w:rsidP="00681CFE">
      <w:pPr>
        <w:spacing w:after="0"/>
        <w:rPr>
          <w:rFonts w:ascii="Arial" w:hAnsi="Arial" w:cs="Arial"/>
          <w:sz w:val="24"/>
          <w:szCs w:val="24"/>
        </w:rPr>
      </w:pPr>
    </w:p>
    <w:p w14:paraId="057D83E3" w14:textId="77777777" w:rsidR="00681CFE" w:rsidRPr="000F4A7C" w:rsidRDefault="00681CFE" w:rsidP="00681CFE">
      <w:pPr>
        <w:spacing w:after="0"/>
        <w:rPr>
          <w:rFonts w:ascii="Arial" w:hAnsi="Arial" w:cs="Arial"/>
          <w:sz w:val="24"/>
          <w:szCs w:val="24"/>
        </w:rPr>
      </w:pPr>
      <w:r w:rsidRPr="000F4A7C">
        <w:rPr>
          <w:rFonts w:ascii="Arial" w:hAnsi="Arial" w:cs="Arial"/>
          <w:sz w:val="24"/>
          <w:szCs w:val="24"/>
        </w:rPr>
        <w:t>OEB staff notes that Account 1588 and Account 1589 balances were not cleared in CPUC’s 2019 proceeding,</w:t>
      </w:r>
      <w:r w:rsidRPr="000F4A7C">
        <w:rPr>
          <w:rStyle w:val="FootnoteReference"/>
          <w:rFonts w:ascii="Arial" w:hAnsi="Arial" w:cs="Arial"/>
          <w:sz w:val="24"/>
          <w:szCs w:val="24"/>
        </w:rPr>
        <w:footnoteReference w:id="1"/>
      </w:r>
      <w:r w:rsidRPr="000F4A7C">
        <w:rPr>
          <w:rFonts w:ascii="Arial" w:hAnsi="Arial" w:cs="Arial"/>
          <w:sz w:val="24"/>
          <w:szCs w:val="24"/>
        </w:rPr>
        <w:t xml:space="preserve"> due to concerns noted in that proceeding. The most recent year in which Accounts 1588 and 1589 were approved for disposition on a final basis related to 2013 balances in CPUC’s 2015 proceeding.</w:t>
      </w:r>
      <w:r w:rsidRPr="000F4A7C">
        <w:rPr>
          <w:rStyle w:val="FootnoteReference"/>
          <w:rFonts w:ascii="Arial" w:hAnsi="Arial" w:cs="Arial"/>
          <w:sz w:val="24"/>
          <w:szCs w:val="24"/>
        </w:rPr>
        <w:footnoteReference w:id="2"/>
      </w:r>
      <w:r w:rsidRPr="000F4A7C">
        <w:rPr>
          <w:rFonts w:ascii="Arial" w:hAnsi="Arial" w:cs="Arial"/>
          <w:sz w:val="24"/>
          <w:szCs w:val="24"/>
        </w:rPr>
        <w:t xml:space="preserve"> </w:t>
      </w:r>
    </w:p>
    <w:p w14:paraId="3B395CF4" w14:textId="77777777" w:rsidR="00681CFE" w:rsidRPr="000F4A7C" w:rsidRDefault="00681CFE" w:rsidP="00681CFE">
      <w:pPr>
        <w:spacing w:after="0"/>
        <w:rPr>
          <w:rFonts w:ascii="Arial" w:hAnsi="Arial" w:cs="Arial"/>
          <w:sz w:val="24"/>
          <w:szCs w:val="24"/>
        </w:rPr>
      </w:pPr>
    </w:p>
    <w:p w14:paraId="22AFCD0A" w14:textId="77777777" w:rsidR="00681CFE" w:rsidRPr="000F4A7C" w:rsidRDefault="00681CFE" w:rsidP="00681CFE">
      <w:pPr>
        <w:spacing w:after="0"/>
        <w:rPr>
          <w:rFonts w:ascii="Arial" w:hAnsi="Arial" w:cs="Arial"/>
          <w:b/>
          <w:sz w:val="24"/>
          <w:szCs w:val="24"/>
        </w:rPr>
      </w:pPr>
      <w:r w:rsidRPr="000F4A7C">
        <w:rPr>
          <w:rFonts w:ascii="Arial" w:hAnsi="Arial" w:cs="Arial"/>
          <w:b/>
          <w:sz w:val="24"/>
          <w:szCs w:val="24"/>
        </w:rPr>
        <w:t>Questions:</w:t>
      </w:r>
    </w:p>
    <w:p w14:paraId="4D59CEA6" w14:textId="77777777" w:rsidR="00681CFE" w:rsidRPr="000F4A7C" w:rsidRDefault="00681CFE" w:rsidP="00681CFE">
      <w:pPr>
        <w:spacing w:after="0"/>
        <w:rPr>
          <w:rFonts w:ascii="Arial" w:hAnsi="Arial" w:cs="Arial"/>
          <w:sz w:val="24"/>
          <w:szCs w:val="24"/>
        </w:rPr>
      </w:pPr>
    </w:p>
    <w:p w14:paraId="0959A43A" w14:textId="28FC7D1B" w:rsidR="00681CFE" w:rsidRPr="000F4A7C" w:rsidRDefault="00681CFE" w:rsidP="00681CFE">
      <w:pPr>
        <w:pStyle w:val="ListParagraph"/>
        <w:numPr>
          <w:ilvl w:val="0"/>
          <w:numId w:val="3"/>
        </w:numPr>
        <w:spacing w:after="0"/>
        <w:rPr>
          <w:rFonts w:ascii="Arial" w:hAnsi="Arial" w:cs="Arial"/>
          <w:sz w:val="24"/>
          <w:szCs w:val="24"/>
        </w:rPr>
      </w:pPr>
      <w:r w:rsidRPr="000F4A7C">
        <w:rPr>
          <w:rFonts w:ascii="Arial" w:hAnsi="Arial" w:cs="Arial"/>
          <w:sz w:val="24"/>
          <w:szCs w:val="24"/>
        </w:rPr>
        <w:t>Please confirm that CPUC is following the OEB’s new accounting guidance (including the timing of true-ups) both on a monthly basis and on a year-end basis.</w:t>
      </w:r>
      <w:r w:rsidR="003B3260">
        <w:rPr>
          <w:rFonts w:ascii="Arial" w:hAnsi="Arial" w:cs="Arial"/>
          <w:color w:val="FF0000"/>
          <w:sz w:val="24"/>
          <w:szCs w:val="24"/>
        </w:rPr>
        <w:t xml:space="preserve">  Yes we confirm.</w:t>
      </w:r>
    </w:p>
    <w:p w14:paraId="4EFE0A74" w14:textId="77777777" w:rsidR="00681CFE" w:rsidRPr="000F4A7C" w:rsidRDefault="00681CFE" w:rsidP="00681CFE">
      <w:pPr>
        <w:pStyle w:val="ListParagraph"/>
        <w:spacing w:after="0"/>
        <w:rPr>
          <w:rFonts w:ascii="Arial" w:hAnsi="Arial" w:cs="Arial"/>
          <w:sz w:val="24"/>
          <w:szCs w:val="24"/>
        </w:rPr>
      </w:pPr>
    </w:p>
    <w:p w14:paraId="02E3E5A0" w14:textId="7512853F" w:rsidR="00681CFE" w:rsidRPr="000F4A7C" w:rsidRDefault="00681CFE" w:rsidP="00681CFE">
      <w:pPr>
        <w:pStyle w:val="ListParagraph"/>
        <w:numPr>
          <w:ilvl w:val="0"/>
          <w:numId w:val="3"/>
        </w:numPr>
        <w:spacing w:after="0"/>
        <w:rPr>
          <w:rFonts w:ascii="Arial" w:hAnsi="Arial" w:cs="Arial"/>
          <w:sz w:val="24"/>
          <w:szCs w:val="24"/>
        </w:rPr>
      </w:pPr>
      <w:r w:rsidRPr="000F4A7C">
        <w:rPr>
          <w:rFonts w:ascii="Arial" w:hAnsi="Arial" w:cs="Arial"/>
          <w:sz w:val="24"/>
          <w:szCs w:val="24"/>
        </w:rPr>
        <w:t>CPUC indicated that the effective date of the alignment of its balances with the new accounting guidance was January 1, 2014. Please confirm.</w:t>
      </w:r>
      <w:r w:rsidR="003B3260">
        <w:rPr>
          <w:rFonts w:ascii="Arial" w:hAnsi="Arial" w:cs="Arial"/>
          <w:sz w:val="24"/>
          <w:szCs w:val="24"/>
        </w:rPr>
        <w:t xml:space="preserve"> </w:t>
      </w:r>
      <w:r w:rsidR="003B3260">
        <w:rPr>
          <w:rFonts w:ascii="Arial" w:hAnsi="Arial" w:cs="Arial"/>
          <w:color w:val="FF0000"/>
          <w:sz w:val="24"/>
          <w:szCs w:val="24"/>
        </w:rPr>
        <w:t>Yes we confirm.</w:t>
      </w:r>
      <w:r w:rsidRPr="000F4A7C">
        <w:rPr>
          <w:rFonts w:ascii="Arial" w:hAnsi="Arial" w:cs="Arial"/>
          <w:sz w:val="24"/>
          <w:szCs w:val="24"/>
        </w:rPr>
        <w:t xml:space="preserve"> </w:t>
      </w:r>
    </w:p>
    <w:p w14:paraId="7BECEAA9" w14:textId="77777777" w:rsidR="00681CFE" w:rsidRPr="000F4A7C" w:rsidRDefault="00681CFE" w:rsidP="00681CFE">
      <w:pPr>
        <w:pStyle w:val="ListParagraph"/>
        <w:spacing w:after="0"/>
        <w:rPr>
          <w:rFonts w:ascii="Arial" w:hAnsi="Arial" w:cs="Arial"/>
          <w:sz w:val="24"/>
          <w:szCs w:val="24"/>
        </w:rPr>
      </w:pPr>
    </w:p>
    <w:p w14:paraId="4AF356CC" w14:textId="18D333BC" w:rsidR="00681CFE" w:rsidRPr="000F4A7C" w:rsidRDefault="00681CFE" w:rsidP="00681CFE">
      <w:pPr>
        <w:pStyle w:val="ListParagraph"/>
        <w:numPr>
          <w:ilvl w:val="0"/>
          <w:numId w:val="3"/>
        </w:numPr>
        <w:spacing w:after="0"/>
        <w:rPr>
          <w:rFonts w:ascii="Arial" w:hAnsi="Arial" w:cs="Arial"/>
          <w:sz w:val="24"/>
          <w:szCs w:val="24"/>
        </w:rPr>
      </w:pPr>
      <w:r w:rsidRPr="000F4A7C">
        <w:rPr>
          <w:rFonts w:ascii="Arial" w:hAnsi="Arial" w:cs="Arial"/>
          <w:sz w:val="24"/>
          <w:szCs w:val="24"/>
        </w:rPr>
        <w:t>CPUC indicated that the task of aligning the new accounting guidance was completed by October 31, 2019. Please confirm.</w:t>
      </w:r>
      <w:r w:rsidR="003B3260">
        <w:rPr>
          <w:rFonts w:ascii="Arial" w:hAnsi="Arial" w:cs="Arial"/>
          <w:sz w:val="24"/>
          <w:szCs w:val="24"/>
        </w:rPr>
        <w:t xml:space="preserve">  </w:t>
      </w:r>
      <w:r w:rsidR="003B3260">
        <w:rPr>
          <w:rFonts w:ascii="Arial" w:hAnsi="Arial" w:cs="Arial"/>
          <w:color w:val="FF0000"/>
          <w:sz w:val="24"/>
          <w:szCs w:val="24"/>
        </w:rPr>
        <w:t>Yes we confirm.</w:t>
      </w:r>
    </w:p>
    <w:p w14:paraId="7455B52F" w14:textId="77777777" w:rsidR="00681CFE" w:rsidRPr="000F4A7C" w:rsidRDefault="00681CFE" w:rsidP="00681CFE">
      <w:pPr>
        <w:pStyle w:val="ListParagraph"/>
        <w:spacing w:after="0"/>
        <w:rPr>
          <w:rFonts w:ascii="Arial" w:hAnsi="Arial" w:cs="Arial"/>
          <w:sz w:val="24"/>
          <w:szCs w:val="24"/>
        </w:rPr>
      </w:pPr>
    </w:p>
    <w:p w14:paraId="1714CD8E" w14:textId="77777777" w:rsidR="00681CFE" w:rsidRPr="000F4A7C" w:rsidRDefault="00681CFE" w:rsidP="00681CFE">
      <w:pPr>
        <w:spacing w:after="0"/>
        <w:rPr>
          <w:rFonts w:ascii="Arial" w:hAnsi="Arial" w:cs="Arial"/>
          <w:b/>
          <w:bCs/>
          <w:sz w:val="24"/>
          <w:szCs w:val="24"/>
        </w:rPr>
      </w:pPr>
    </w:p>
    <w:p w14:paraId="141E6F45" w14:textId="77777777" w:rsidR="00681CFE" w:rsidRPr="000F4A7C" w:rsidRDefault="007B28E7" w:rsidP="00681CFE">
      <w:pPr>
        <w:spacing w:after="0"/>
        <w:rPr>
          <w:rFonts w:ascii="Arial" w:hAnsi="Arial" w:cs="Arial"/>
          <w:b/>
          <w:sz w:val="24"/>
          <w:szCs w:val="24"/>
        </w:rPr>
      </w:pPr>
      <w:r>
        <w:rPr>
          <w:rFonts w:ascii="Arial" w:hAnsi="Arial" w:cs="Arial"/>
          <w:b/>
          <w:sz w:val="24"/>
          <w:szCs w:val="24"/>
        </w:rPr>
        <w:t>Staff Question-6</w:t>
      </w:r>
    </w:p>
    <w:p w14:paraId="6E9F63C2" w14:textId="77777777" w:rsidR="00681CFE" w:rsidRPr="000F4A7C" w:rsidRDefault="00681CFE" w:rsidP="00681CFE">
      <w:pPr>
        <w:spacing w:after="0"/>
        <w:rPr>
          <w:rFonts w:ascii="Arial" w:hAnsi="Arial" w:cs="Arial"/>
          <w:b/>
          <w:sz w:val="24"/>
          <w:szCs w:val="24"/>
        </w:rPr>
      </w:pPr>
    </w:p>
    <w:p w14:paraId="73C3046E" w14:textId="77777777" w:rsidR="00681CFE" w:rsidRPr="000F4A7C" w:rsidRDefault="00681CFE" w:rsidP="00681CFE">
      <w:pPr>
        <w:spacing w:after="0"/>
        <w:rPr>
          <w:rFonts w:ascii="Arial" w:hAnsi="Arial" w:cs="Arial"/>
          <w:sz w:val="24"/>
          <w:szCs w:val="24"/>
        </w:rPr>
      </w:pPr>
      <w:r w:rsidRPr="000F4A7C">
        <w:rPr>
          <w:rFonts w:ascii="Arial" w:hAnsi="Arial" w:cs="Arial"/>
          <w:sz w:val="24"/>
          <w:szCs w:val="24"/>
        </w:rPr>
        <w:t>Ref:</w:t>
      </w:r>
      <w:r w:rsidRPr="000F4A7C">
        <w:rPr>
          <w:rFonts w:ascii="Arial" w:hAnsi="Arial" w:cs="Arial"/>
          <w:sz w:val="24"/>
          <w:szCs w:val="24"/>
        </w:rPr>
        <w:tab/>
        <w:t>(1) Manager’s Summary, page 14</w:t>
      </w:r>
    </w:p>
    <w:p w14:paraId="1B8DF303" w14:textId="77777777" w:rsidR="00681CFE" w:rsidRPr="000F4A7C" w:rsidRDefault="00681CFE" w:rsidP="00681CFE">
      <w:pPr>
        <w:spacing w:after="0"/>
        <w:rPr>
          <w:rFonts w:ascii="Arial" w:hAnsi="Arial" w:cs="Arial"/>
          <w:sz w:val="24"/>
          <w:szCs w:val="24"/>
        </w:rPr>
      </w:pPr>
      <w:r w:rsidRPr="000F4A7C">
        <w:rPr>
          <w:rFonts w:ascii="Arial" w:hAnsi="Arial" w:cs="Arial"/>
          <w:sz w:val="24"/>
          <w:szCs w:val="24"/>
        </w:rPr>
        <w:tab/>
        <w:t>(2) EB-2018-0087, June 6, 2019, Decision and Rate Order, page 6</w:t>
      </w:r>
    </w:p>
    <w:p w14:paraId="2FB08817" w14:textId="77777777" w:rsidR="00681CFE" w:rsidRPr="000F4A7C" w:rsidRDefault="00681CFE" w:rsidP="00681CFE">
      <w:pPr>
        <w:spacing w:after="0"/>
        <w:rPr>
          <w:rFonts w:ascii="Arial" w:hAnsi="Arial" w:cs="Arial"/>
          <w:color w:val="000000"/>
          <w:sz w:val="24"/>
          <w:szCs w:val="24"/>
          <w:lang w:val="en-US"/>
        </w:rPr>
      </w:pPr>
      <w:r w:rsidRPr="000F4A7C">
        <w:rPr>
          <w:rFonts w:ascii="Arial" w:hAnsi="Arial" w:cs="Arial"/>
          <w:sz w:val="24"/>
          <w:szCs w:val="24"/>
        </w:rPr>
        <w:tab/>
      </w:r>
    </w:p>
    <w:p w14:paraId="2261B792" w14:textId="77777777" w:rsidR="00681CFE" w:rsidRPr="000F4A7C" w:rsidRDefault="00681CFE" w:rsidP="00681CFE">
      <w:pPr>
        <w:spacing w:after="0"/>
        <w:rPr>
          <w:rFonts w:ascii="Arial" w:hAnsi="Arial" w:cs="Arial"/>
          <w:b/>
          <w:color w:val="000000"/>
          <w:sz w:val="24"/>
          <w:szCs w:val="24"/>
          <w:lang w:val="en-US"/>
        </w:rPr>
      </w:pPr>
      <w:r w:rsidRPr="000F4A7C">
        <w:rPr>
          <w:rFonts w:ascii="Arial" w:hAnsi="Arial" w:cs="Arial"/>
          <w:b/>
          <w:color w:val="000000"/>
          <w:sz w:val="24"/>
          <w:szCs w:val="24"/>
          <w:lang w:val="en-US"/>
        </w:rPr>
        <w:t>Preamble:</w:t>
      </w:r>
    </w:p>
    <w:p w14:paraId="19CC0E05" w14:textId="77777777" w:rsidR="00681CFE" w:rsidRPr="000F4A7C" w:rsidRDefault="00681CFE" w:rsidP="00681CFE">
      <w:pPr>
        <w:spacing w:after="0"/>
        <w:rPr>
          <w:rFonts w:ascii="Arial" w:hAnsi="Arial" w:cs="Arial"/>
          <w:sz w:val="24"/>
          <w:szCs w:val="24"/>
        </w:rPr>
      </w:pPr>
    </w:p>
    <w:p w14:paraId="44428F36" w14:textId="77777777" w:rsidR="00681CFE" w:rsidRPr="000F4A7C" w:rsidRDefault="00681CFE" w:rsidP="00681CFE">
      <w:pPr>
        <w:spacing w:after="0"/>
        <w:rPr>
          <w:rFonts w:ascii="Arial" w:hAnsi="Arial" w:cs="Arial"/>
          <w:sz w:val="24"/>
          <w:szCs w:val="24"/>
        </w:rPr>
      </w:pPr>
      <w:r w:rsidRPr="000F4A7C">
        <w:rPr>
          <w:rFonts w:ascii="Arial" w:hAnsi="Arial" w:cs="Arial"/>
          <w:sz w:val="24"/>
          <w:szCs w:val="24"/>
        </w:rPr>
        <w:t>At the above noted reference, CPUC stated the following:</w:t>
      </w:r>
    </w:p>
    <w:p w14:paraId="487CE9B3" w14:textId="77777777" w:rsidR="00681CFE" w:rsidRPr="000F4A7C" w:rsidRDefault="00681CFE" w:rsidP="00681CFE">
      <w:pPr>
        <w:spacing w:after="0"/>
        <w:rPr>
          <w:rFonts w:ascii="Arial" w:hAnsi="Arial" w:cs="Arial"/>
          <w:sz w:val="24"/>
          <w:szCs w:val="24"/>
        </w:rPr>
      </w:pPr>
    </w:p>
    <w:p w14:paraId="7B1E651F" w14:textId="77777777" w:rsidR="00681CFE" w:rsidRPr="000F4A7C" w:rsidRDefault="00681CFE" w:rsidP="00681CFE">
      <w:pPr>
        <w:spacing w:after="0"/>
        <w:ind w:left="720"/>
        <w:rPr>
          <w:rFonts w:ascii="Arial" w:hAnsi="Arial" w:cs="Arial"/>
          <w:sz w:val="24"/>
          <w:szCs w:val="24"/>
        </w:rPr>
      </w:pPr>
      <w:r w:rsidRPr="000F4A7C">
        <w:rPr>
          <w:rFonts w:ascii="Arial" w:hAnsi="Arial" w:cs="Arial"/>
          <w:sz w:val="24"/>
          <w:szCs w:val="24"/>
        </w:rPr>
        <w:t xml:space="preserve">Upon review of the new accounting guidance related to accounts 1588 and 1589 – Feb 21, 2019, CPUC, along with its accountants/auditors KPMG, confirm that it </w:t>
      </w:r>
    </w:p>
    <w:p w14:paraId="581A4215" w14:textId="77777777" w:rsidR="00681CFE" w:rsidRPr="000F4A7C" w:rsidRDefault="00681CFE" w:rsidP="00681CFE">
      <w:pPr>
        <w:spacing w:after="0"/>
        <w:ind w:left="720"/>
        <w:rPr>
          <w:rFonts w:ascii="Arial" w:hAnsi="Arial" w:cs="Arial"/>
          <w:sz w:val="24"/>
          <w:szCs w:val="24"/>
        </w:rPr>
      </w:pPr>
      <w:r w:rsidRPr="000F4A7C">
        <w:rPr>
          <w:rFonts w:ascii="Arial" w:hAnsi="Arial" w:cs="Arial"/>
          <w:sz w:val="24"/>
          <w:szCs w:val="24"/>
        </w:rPr>
        <w:t>complies with the new policies that have come in effect on August 31, 2019. CPUC does not report any adjustments as it uses actual numbers for accounts 1588 and 1589.</w:t>
      </w:r>
    </w:p>
    <w:p w14:paraId="02660828" w14:textId="77777777" w:rsidR="00681CFE" w:rsidRPr="000F4A7C" w:rsidRDefault="00681CFE" w:rsidP="00681CFE">
      <w:pPr>
        <w:spacing w:after="0"/>
        <w:ind w:left="720"/>
        <w:rPr>
          <w:rFonts w:ascii="Arial" w:hAnsi="Arial" w:cs="Arial"/>
          <w:sz w:val="24"/>
          <w:szCs w:val="24"/>
        </w:rPr>
      </w:pPr>
    </w:p>
    <w:p w14:paraId="1F53A8EC" w14:textId="77777777" w:rsidR="00681CFE" w:rsidRPr="000F4A7C" w:rsidRDefault="00681CFE" w:rsidP="00681CFE">
      <w:pPr>
        <w:spacing w:after="0"/>
        <w:ind w:left="720"/>
        <w:rPr>
          <w:rFonts w:ascii="Arial" w:hAnsi="Arial" w:cs="Arial"/>
          <w:sz w:val="24"/>
          <w:szCs w:val="24"/>
        </w:rPr>
      </w:pPr>
      <w:r w:rsidRPr="000F4A7C">
        <w:rPr>
          <w:rFonts w:ascii="Arial" w:hAnsi="Arial" w:cs="Arial"/>
          <w:sz w:val="24"/>
          <w:szCs w:val="24"/>
        </w:rPr>
        <w:t xml:space="preserve">As part of its 2019 Cost of Service application, CPUC was asked by the OEB to complete an internal review of the balances in 1588 and 1589 going back to the </w:t>
      </w:r>
      <w:r w:rsidRPr="000F4A7C">
        <w:rPr>
          <w:rFonts w:ascii="Arial" w:hAnsi="Arial" w:cs="Arial"/>
          <w:sz w:val="24"/>
          <w:szCs w:val="24"/>
        </w:rPr>
        <w:lastRenderedPageBreak/>
        <w:t>last disposition which was in 2013. CPUC conducted its internal audit in September and October of 2019.</w:t>
      </w:r>
    </w:p>
    <w:p w14:paraId="678416AA" w14:textId="77777777" w:rsidR="00681CFE" w:rsidRPr="000F4A7C" w:rsidRDefault="00681CFE" w:rsidP="00681CFE">
      <w:pPr>
        <w:spacing w:after="0"/>
        <w:rPr>
          <w:rFonts w:ascii="Arial" w:hAnsi="Arial" w:cs="Arial"/>
          <w:sz w:val="24"/>
          <w:szCs w:val="24"/>
        </w:rPr>
      </w:pPr>
    </w:p>
    <w:p w14:paraId="516659B0" w14:textId="77777777" w:rsidR="00681CFE" w:rsidRPr="000F4A7C" w:rsidRDefault="00681CFE" w:rsidP="00681CFE">
      <w:pPr>
        <w:spacing w:after="0"/>
        <w:rPr>
          <w:rFonts w:ascii="Arial" w:hAnsi="Arial" w:cs="Arial"/>
          <w:sz w:val="24"/>
          <w:szCs w:val="24"/>
        </w:rPr>
      </w:pPr>
      <w:r w:rsidRPr="000F4A7C">
        <w:rPr>
          <w:rFonts w:ascii="Arial" w:hAnsi="Arial" w:cs="Arial"/>
          <w:sz w:val="24"/>
          <w:szCs w:val="24"/>
        </w:rPr>
        <w:t>CPUC further indicated that as a result of its review, the following adjustments to Account 1588 and Account 1589 will be made in the year-end 2019 for 2018 balances:</w:t>
      </w:r>
    </w:p>
    <w:p w14:paraId="5E8B9E49" w14:textId="77777777" w:rsidR="00681CFE" w:rsidRPr="000F4A7C" w:rsidRDefault="00681CFE" w:rsidP="00681CFE">
      <w:pPr>
        <w:spacing w:after="0"/>
        <w:rPr>
          <w:rFonts w:ascii="Arial" w:hAnsi="Arial" w:cs="Arial"/>
          <w:sz w:val="24"/>
          <w:szCs w:val="24"/>
        </w:rPr>
      </w:pPr>
    </w:p>
    <w:p w14:paraId="2D443F32" w14:textId="77777777" w:rsidR="00681CFE" w:rsidRPr="000F4A7C" w:rsidRDefault="00681CFE" w:rsidP="00681CFE">
      <w:pPr>
        <w:spacing w:after="0"/>
        <w:ind w:left="720"/>
        <w:rPr>
          <w:rFonts w:ascii="Arial" w:hAnsi="Arial" w:cs="Arial"/>
          <w:i/>
          <w:sz w:val="24"/>
          <w:szCs w:val="24"/>
        </w:rPr>
      </w:pPr>
      <w:r w:rsidRPr="000F4A7C">
        <w:rPr>
          <w:rFonts w:ascii="Arial" w:hAnsi="Arial" w:cs="Arial"/>
          <w:sz w:val="24"/>
          <w:szCs w:val="24"/>
        </w:rPr>
        <w:t xml:space="preserve">DR 1588 $324,800.43 – Principal </w:t>
      </w:r>
      <w:r w:rsidRPr="000F4A7C">
        <w:rPr>
          <w:rFonts w:ascii="Arial" w:hAnsi="Arial" w:cs="Arial"/>
          <w:i/>
          <w:sz w:val="24"/>
          <w:szCs w:val="24"/>
        </w:rPr>
        <w:t>[sic]</w:t>
      </w:r>
    </w:p>
    <w:p w14:paraId="2E39317D" w14:textId="77777777" w:rsidR="00681CFE" w:rsidRPr="000F4A7C" w:rsidRDefault="00681CFE" w:rsidP="00681CFE">
      <w:pPr>
        <w:spacing w:after="0"/>
        <w:ind w:left="720"/>
        <w:rPr>
          <w:rFonts w:ascii="Arial" w:hAnsi="Arial" w:cs="Arial"/>
          <w:sz w:val="24"/>
          <w:szCs w:val="24"/>
        </w:rPr>
      </w:pPr>
      <w:r w:rsidRPr="000F4A7C">
        <w:rPr>
          <w:rFonts w:ascii="Arial" w:hAnsi="Arial" w:cs="Arial"/>
          <w:sz w:val="24"/>
          <w:szCs w:val="24"/>
        </w:rPr>
        <w:t>DR 1588 $15,861.91 – Interest</w:t>
      </w:r>
    </w:p>
    <w:p w14:paraId="632C5775" w14:textId="77777777" w:rsidR="00681CFE" w:rsidRPr="000F4A7C" w:rsidRDefault="00681CFE" w:rsidP="00681CFE">
      <w:pPr>
        <w:spacing w:after="0"/>
        <w:ind w:left="720"/>
        <w:rPr>
          <w:rFonts w:ascii="Arial" w:hAnsi="Arial" w:cs="Arial"/>
          <w:sz w:val="24"/>
          <w:szCs w:val="24"/>
        </w:rPr>
      </w:pPr>
      <w:r w:rsidRPr="000F4A7C">
        <w:rPr>
          <w:rFonts w:ascii="Arial" w:hAnsi="Arial" w:cs="Arial"/>
          <w:sz w:val="24"/>
          <w:szCs w:val="24"/>
        </w:rPr>
        <w:t xml:space="preserve">CR 1589 $88,911.38 – Principal </w:t>
      </w:r>
      <w:r w:rsidRPr="000F4A7C">
        <w:rPr>
          <w:rFonts w:ascii="Arial" w:hAnsi="Arial" w:cs="Arial"/>
          <w:i/>
          <w:sz w:val="24"/>
          <w:szCs w:val="24"/>
        </w:rPr>
        <w:t>[sic]</w:t>
      </w:r>
    </w:p>
    <w:p w14:paraId="3724158C" w14:textId="77777777" w:rsidR="00681CFE" w:rsidRPr="000F4A7C" w:rsidRDefault="00681CFE" w:rsidP="00681CFE">
      <w:pPr>
        <w:spacing w:after="0"/>
        <w:ind w:left="720"/>
        <w:rPr>
          <w:rFonts w:ascii="Arial" w:hAnsi="Arial" w:cs="Arial"/>
          <w:sz w:val="24"/>
          <w:szCs w:val="24"/>
        </w:rPr>
      </w:pPr>
      <w:r w:rsidRPr="000F4A7C">
        <w:rPr>
          <w:rFonts w:ascii="Arial" w:hAnsi="Arial" w:cs="Arial"/>
          <w:sz w:val="24"/>
          <w:szCs w:val="24"/>
        </w:rPr>
        <w:t>CR 1589 $1,199.70 – Interest</w:t>
      </w:r>
    </w:p>
    <w:p w14:paraId="7E5B60DD" w14:textId="77777777" w:rsidR="00681CFE" w:rsidRPr="000F4A7C" w:rsidRDefault="00681CFE" w:rsidP="00681CFE">
      <w:pPr>
        <w:spacing w:after="0"/>
        <w:rPr>
          <w:rFonts w:ascii="Arial" w:hAnsi="Arial" w:cs="Arial"/>
          <w:sz w:val="24"/>
          <w:szCs w:val="24"/>
        </w:rPr>
      </w:pPr>
    </w:p>
    <w:p w14:paraId="12A009A8" w14:textId="77777777" w:rsidR="00681CFE" w:rsidRPr="000F4A7C" w:rsidRDefault="00681CFE" w:rsidP="00681CFE">
      <w:pPr>
        <w:autoSpaceDE w:val="0"/>
        <w:autoSpaceDN w:val="0"/>
        <w:adjustRightInd w:val="0"/>
        <w:spacing w:after="0"/>
        <w:rPr>
          <w:rFonts w:ascii="Arial" w:hAnsi="Arial" w:cs="Arial"/>
          <w:sz w:val="24"/>
          <w:szCs w:val="24"/>
        </w:rPr>
      </w:pPr>
      <w:r w:rsidRPr="000F4A7C">
        <w:rPr>
          <w:rFonts w:ascii="Arial" w:hAnsi="Arial" w:cs="Arial"/>
          <w:sz w:val="24"/>
          <w:szCs w:val="24"/>
          <w:lang w:val="en-US"/>
        </w:rPr>
        <w:t xml:space="preserve">At the above noted second reference, it was noted that in the 2019 </w:t>
      </w:r>
      <w:proofErr w:type="spellStart"/>
      <w:r w:rsidRPr="000F4A7C">
        <w:rPr>
          <w:rFonts w:ascii="Arial" w:hAnsi="Arial" w:cs="Arial"/>
          <w:sz w:val="24"/>
          <w:szCs w:val="24"/>
          <w:lang w:val="en-US"/>
        </w:rPr>
        <w:t>CoS</w:t>
      </w:r>
      <w:proofErr w:type="spellEnd"/>
      <w:r w:rsidRPr="000F4A7C">
        <w:rPr>
          <w:rFonts w:ascii="Arial" w:hAnsi="Arial" w:cs="Arial"/>
          <w:sz w:val="24"/>
          <w:szCs w:val="24"/>
          <w:lang w:val="en-US"/>
        </w:rPr>
        <w:t xml:space="preserve"> proceeding, the parties agreed that it is appropriate for CPUC to “request clearance of Account 1588 and Account 1589 at its next proceeding after its internal review has been completed and any changes to the balances should be explained when proposing disposition of these accounts.”</w:t>
      </w:r>
    </w:p>
    <w:p w14:paraId="209F1FD1" w14:textId="77777777" w:rsidR="00681CFE" w:rsidRPr="000F4A7C" w:rsidRDefault="00681CFE" w:rsidP="00681CFE">
      <w:pPr>
        <w:spacing w:after="0"/>
        <w:rPr>
          <w:rFonts w:ascii="Arial" w:hAnsi="Arial" w:cs="Arial"/>
          <w:sz w:val="24"/>
          <w:szCs w:val="24"/>
        </w:rPr>
      </w:pPr>
    </w:p>
    <w:p w14:paraId="139447BB" w14:textId="77777777" w:rsidR="00681CFE" w:rsidRPr="000F4A7C" w:rsidRDefault="00681CFE" w:rsidP="00681CFE">
      <w:pPr>
        <w:spacing w:after="0"/>
        <w:rPr>
          <w:rFonts w:ascii="Arial" w:hAnsi="Arial" w:cs="Arial"/>
          <w:b/>
          <w:bCs/>
          <w:sz w:val="24"/>
          <w:szCs w:val="24"/>
        </w:rPr>
      </w:pPr>
      <w:r w:rsidRPr="000F4A7C">
        <w:rPr>
          <w:rFonts w:ascii="Arial" w:hAnsi="Arial" w:cs="Arial"/>
          <w:b/>
          <w:bCs/>
          <w:sz w:val="24"/>
          <w:szCs w:val="24"/>
        </w:rPr>
        <w:t>Questions:</w:t>
      </w:r>
    </w:p>
    <w:p w14:paraId="3A908A41" w14:textId="77777777" w:rsidR="00681CFE" w:rsidRPr="000F4A7C" w:rsidRDefault="00681CFE" w:rsidP="00681CFE">
      <w:pPr>
        <w:spacing w:after="0"/>
        <w:rPr>
          <w:rFonts w:ascii="Arial" w:hAnsi="Arial" w:cs="Arial"/>
          <w:b/>
          <w:bCs/>
          <w:sz w:val="24"/>
          <w:szCs w:val="24"/>
        </w:rPr>
      </w:pPr>
    </w:p>
    <w:p w14:paraId="5614B7BA" w14:textId="109EDB7E" w:rsidR="00681CFE" w:rsidRPr="000F4A7C" w:rsidRDefault="00681CFE" w:rsidP="00681CFE">
      <w:pPr>
        <w:pStyle w:val="ListParagraph"/>
        <w:numPr>
          <w:ilvl w:val="0"/>
          <w:numId w:val="11"/>
        </w:numPr>
        <w:spacing w:after="0"/>
        <w:rPr>
          <w:rFonts w:ascii="Arial" w:hAnsi="Arial" w:cs="Arial"/>
          <w:bCs/>
          <w:sz w:val="24"/>
          <w:szCs w:val="24"/>
        </w:rPr>
      </w:pPr>
      <w:r w:rsidRPr="000F4A7C">
        <w:rPr>
          <w:rFonts w:ascii="Arial" w:hAnsi="Arial" w:cs="Arial"/>
          <w:bCs/>
          <w:sz w:val="24"/>
          <w:szCs w:val="24"/>
        </w:rPr>
        <w:t>Please confirm that regarding CPUC’s statement above that it did “not report any adjustments as it uses actual numbers for accounts 1588 and 1589”, CPUC meant that when it went back and analysed its data effective January 1, 2014 and forward, it used actual numbers. Actual numbers were used for true-ups as CPUC has access to billing information on a timely basis, as well as it leaves its general ledger open long enough on a monthly basis. As a result, CPUC does not need to do a 2</w:t>
      </w:r>
      <w:r w:rsidRPr="000F4A7C">
        <w:rPr>
          <w:rFonts w:ascii="Arial" w:hAnsi="Arial" w:cs="Arial"/>
          <w:bCs/>
          <w:sz w:val="24"/>
          <w:szCs w:val="24"/>
          <w:vertAlign w:val="superscript"/>
        </w:rPr>
        <w:t>nd</w:t>
      </w:r>
      <w:r w:rsidRPr="000F4A7C">
        <w:rPr>
          <w:rFonts w:ascii="Arial" w:hAnsi="Arial" w:cs="Arial"/>
          <w:bCs/>
          <w:sz w:val="24"/>
          <w:szCs w:val="24"/>
        </w:rPr>
        <w:t xml:space="preserve"> true-up and the 1</w:t>
      </w:r>
      <w:r w:rsidRPr="000F4A7C">
        <w:rPr>
          <w:rFonts w:ascii="Arial" w:hAnsi="Arial" w:cs="Arial"/>
          <w:bCs/>
          <w:sz w:val="24"/>
          <w:szCs w:val="24"/>
          <w:vertAlign w:val="superscript"/>
        </w:rPr>
        <w:t>st</w:t>
      </w:r>
      <w:r w:rsidRPr="000F4A7C">
        <w:rPr>
          <w:rFonts w:ascii="Arial" w:hAnsi="Arial" w:cs="Arial"/>
          <w:bCs/>
          <w:sz w:val="24"/>
          <w:szCs w:val="24"/>
        </w:rPr>
        <w:t xml:space="preserve"> true-up is enough for settlement purposes with the IESO.</w:t>
      </w:r>
      <w:r w:rsidRPr="000F4A7C" w:rsidDel="00583582">
        <w:rPr>
          <w:rFonts w:ascii="Arial" w:hAnsi="Arial" w:cs="Arial"/>
          <w:bCs/>
          <w:sz w:val="24"/>
          <w:szCs w:val="24"/>
        </w:rPr>
        <w:t xml:space="preserve"> </w:t>
      </w:r>
      <w:r w:rsidR="003B3260">
        <w:rPr>
          <w:rFonts w:ascii="Arial" w:hAnsi="Arial" w:cs="Arial"/>
          <w:bCs/>
          <w:color w:val="FF0000"/>
          <w:sz w:val="24"/>
          <w:szCs w:val="24"/>
        </w:rPr>
        <w:t>Yes we confirm.</w:t>
      </w:r>
    </w:p>
    <w:p w14:paraId="73D94BC9" w14:textId="77777777" w:rsidR="00681CFE" w:rsidRPr="000F4A7C" w:rsidRDefault="00681CFE" w:rsidP="00681CFE">
      <w:pPr>
        <w:pStyle w:val="ListParagraph"/>
        <w:spacing w:after="0"/>
        <w:rPr>
          <w:rFonts w:ascii="Arial" w:hAnsi="Arial" w:cs="Arial"/>
          <w:bCs/>
          <w:sz w:val="24"/>
          <w:szCs w:val="24"/>
        </w:rPr>
      </w:pPr>
    </w:p>
    <w:p w14:paraId="723D4977" w14:textId="70044E7C" w:rsidR="00681CFE" w:rsidRPr="002274B9" w:rsidRDefault="00681CFE" w:rsidP="00681CFE">
      <w:pPr>
        <w:pStyle w:val="ListParagraph"/>
        <w:numPr>
          <w:ilvl w:val="0"/>
          <w:numId w:val="11"/>
        </w:numPr>
        <w:spacing w:after="0"/>
        <w:rPr>
          <w:rFonts w:ascii="Arial" w:hAnsi="Arial" w:cs="Arial"/>
          <w:bCs/>
          <w:sz w:val="24"/>
          <w:szCs w:val="24"/>
        </w:rPr>
      </w:pPr>
      <w:r w:rsidRPr="002274B9">
        <w:rPr>
          <w:rFonts w:ascii="Arial" w:hAnsi="Arial" w:cs="Arial"/>
          <w:bCs/>
          <w:sz w:val="24"/>
          <w:szCs w:val="24"/>
        </w:rPr>
        <w:t xml:space="preserve">Please confirm that the adjusting journal entry noted above needs to be revised to reflect an updated number for the Account 1589 balance in 2015, as described in more detail in a </w:t>
      </w:r>
      <w:r w:rsidR="008E0A8E">
        <w:rPr>
          <w:rFonts w:ascii="Arial" w:hAnsi="Arial" w:cs="Arial"/>
          <w:bCs/>
          <w:sz w:val="24"/>
          <w:szCs w:val="24"/>
        </w:rPr>
        <w:t>question</w:t>
      </w:r>
      <w:r w:rsidRPr="002274B9">
        <w:rPr>
          <w:rFonts w:ascii="Arial" w:hAnsi="Arial" w:cs="Arial"/>
          <w:bCs/>
          <w:sz w:val="24"/>
          <w:szCs w:val="24"/>
        </w:rPr>
        <w:t xml:space="preserve"> below.</w:t>
      </w:r>
      <w:r w:rsidR="003B3260" w:rsidRPr="002274B9">
        <w:rPr>
          <w:rFonts w:ascii="Arial" w:hAnsi="Arial" w:cs="Arial"/>
          <w:bCs/>
          <w:sz w:val="24"/>
          <w:szCs w:val="24"/>
        </w:rPr>
        <w:t xml:space="preserve"> </w:t>
      </w:r>
      <w:r w:rsidR="003B3260" w:rsidRPr="002274B9">
        <w:rPr>
          <w:rFonts w:ascii="Arial" w:hAnsi="Arial" w:cs="Arial"/>
          <w:bCs/>
          <w:color w:val="FF0000"/>
          <w:sz w:val="24"/>
          <w:szCs w:val="24"/>
        </w:rPr>
        <w:t xml:space="preserve">Yes we confirm that </w:t>
      </w:r>
      <w:r w:rsidR="002274B9">
        <w:rPr>
          <w:rFonts w:ascii="Arial" w:hAnsi="Arial" w:cs="Arial"/>
          <w:bCs/>
          <w:color w:val="FF0000"/>
          <w:sz w:val="24"/>
          <w:szCs w:val="24"/>
        </w:rPr>
        <w:t>the journal entry</w:t>
      </w:r>
      <w:r w:rsidR="003B3260" w:rsidRPr="002274B9">
        <w:rPr>
          <w:rFonts w:ascii="Arial" w:hAnsi="Arial" w:cs="Arial"/>
          <w:bCs/>
          <w:color w:val="FF0000"/>
          <w:sz w:val="24"/>
          <w:szCs w:val="24"/>
        </w:rPr>
        <w:t xml:space="preserve"> needs to be revised</w:t>
      </w:r>
      <w:r w:rsidR="002274B9">
        <w:rPr>
          <w:rFonts w:ascii="Arial" w:hAnsi="Arial" w:cs="Arial"/>
          <w:bCs/>
          <w:color w:val="FF0000"/>
          <w:sz w:val="24"/>
          <w:szCs w:val="24"/>
        </w:rPr>
        <w:t xml:space="preserve"> as per below.</w:t>
      </w:r>
    </w:p>
    <w:p w14:paraId="4538BCCE" w14:textId="08EDAA8C" w:rsidR="002274B9" w:rsidRDefault="002274B9" w:rsidP="002274B9">
      <w:pPr>
        <w:pStyle w:val="ListParagraph"/>
        <w:rPr>
          <w:rFonts w:ascii="Arial" w:hAnsi="Arial" w:cs="Arial"/>
          <w:bCs/>
          <w:sz w:val="24"/>
          <w:szCs w:val="24"/>
          <w:highlight w:val="yellow"/>
        </w:rPr>
      </w:pPr>
    </w:p>
    <w:p w14:paraId="443DF0D0" w14:textId="23E303B2" w:rsidR="002274B9" w:rsidRPr="002274B9" w:rsidRDefault="002274B9" w:rsidP="002274B9">
      <w:pPr>
        <w:spacing w:after="0"/>
        <w:ind w:left="720"/>
        <w:rPr>
          <w:rFonts w:ascii="Arial" w:hAnsi="Arial" w:cs="Arial"/>
          <w:i/>
          <w:color w:val="FF0000"/>
          <w:sz w:val="24"/>
          <w:szCs w:val="24"/>
        </w:rPr>
      </w:pPr>
      <w:r w:rsidRPr="002274B9">
        <w:rPr>
          <w:rFonts w:ascii="Arial" w:hAnsi="Arial" w:cs="Arial"/>
          <w:color w:val="FF0000"/>
          <w:sz w:val="24"/>
          <w:szCs w:val="24"/>
        </w:rPr>
        <w:t xml:space="preserve">DR 1588 $324,800.43 – Principal </w:t>
      </w:r>
    </w:p>
    <w:p w14:paraId="174C3076" w14:textId="77777777" w:rsidR="002274B9" w:rsidRPr="002274B9" w:rsidRDefault="002274B9" w:rsidP="002274B9">
      <w:pPr>
        <w:spacing w:after="0"/>
        <w:ind w:left="720"/>
        <w:rPr>
          <w:rFonts w:ascii="Arial" w:hAnsi="Arial" w:cs="Arial"/>
          <w:color w:val="FF0000"/>
          <w:sz w:val="24"/>
          <w:szCs w:val="24"/>
        </w:rPr>
      </w:pPr>
      <w:r w:rsidRPr="002274B9">
        <w:rPr>
          <w:rFonts w:ascii="Arial" w:hAnsi="Arial" w:cs="Arial"/>
          <w:color w:val="FF0000"/>
          <w:sz w:val="24"/>
          <w:szCs w:val="24"/>
        </w:rPr>
        <w:t>DR 1588 $15,861.91 – Interest</w:t>
      </w:r>
    </w:p>
    <w:p w14:paraId="60EBCAA0" w14:textId="05524E10" w:rsidR="002274B9" w:rsidRPr="002274B9" w:rsidRDefault="002274B9" w:rsidP="002274B9">
      <w:pPr>
        <w:spacing w:after="0"/>
        <w:ind w:left="720"/>
        <w:rPr>
          <w:rFonts w:ascii="Arial" w:hAnsi="Arial" w:cs="Arial"/>
          <w:color w:val="FF0000"/>
          <w:sz w:val="24"/>
          <w:szCs w:val="24"/>
        </w:rPr>
      </w:pPr>
      <w:r w:rsidRPr="002274B9">
        <w:rPr>
          <w:rFonts w:ascii="Arial" w:hAnsi="Arial" w:cs="Arial"/>
          <w:color w:val="FF0000"/>
          <w:sz w:val="24"/>
          <w:szCs w:val="24"/>
        </w:rPr>
        <w:t xml:space="preserve">CR 1589 $107,851.20 – Principal </w:t>
      </w:r>
    </w:p>
    <w:p w14:paraId="2BDC8074" w14:textId="6FBB9868" w:rsidR="002274B9" w:rsidRPr="002274B9" w:rsidRDefault="002274B9" w:rsidP="002274B9">
      <w:pPr>
        <w:spacing w:after="0"/>
        <w:ind w:left="720"/>
        <w:rPr>
          <w:rFonts w:ascii="Arial" w:hAnsi="Arial" w:cs="Arial"/>
          <w:color w:val="FF0000"/>
          <w:sz w:val="24"/>
          <w:szCs w:val="24"/>
        </w:rPr>
      </w:pPr>
      <w:r w:rsidRPr="002274B9">
        <w:rPr>
          <w:rFonts w:ascii="Arial" w:hAnsi="Arial" w:cs="Arial"/>
          <w:color w:val="FF0000"/>
          <w:sz w:val="24"/>
          <w:szCs w:val="24"/>
        </w:rPr>
        <w:t>CR 1589 $2,342.68 – Interest</w:t>
      </w:r>
    </w:p>
    <w:p w14:paraId="3438465A" w14:textId="77777777" w:rsidR="00681CFE" w:rsidRPr="000F4A7C" w:rsidRDefault="00681CFE" w:rsidP="00681CFE">
      <w:pPr>
        <w:pStyle w:val="ListParagraph"/>
        <w:spacing w:after="0"/>
        <w:rPr>
          <w:rFonts w:ascii="Arial" w:hAnsi="Arial" w:cs="Arial"/>
          <w:bCs/>
          <w:sz w:val="24"/>
          <w:szCs w:val="24"/>
        </w:rPr>
      </w:pPr>
    </w:p>
    <w:p w14:paraId="6DEFC8BA" w14:textId="6D10EB11" w:rsidR="00681CFE" w:rsidRPr="005E42C2" w:rsidRDefault="00681CFE" w:rsidP="00681CFE">
      <w:pPr>
        <w:pStyle w:val="ListParagraph"/>
        <w:numPr>
          <w:ilvl w:val="0"/>
          <w:numId w:val="11"/>
        </w:numPr>
        <w:spacing w:after="0"/>
        <w:contextualSpacing w:val="0"/>
        <w:rPr>
          <w:rFonts w:ascii="Arial" w:hAnsi="Arial" w:cs="Arial"/>
          <w:sz w:val="24"/>
          <w:szCs w:val="24"/>
        </w:rPr>
      </w:pPr>
      <w:r w:rsidRPr="005E42C2">
        <w:rPr>
          <w:rFonts w:ascii="Arial" w:hAnsi="Arial" w:cs="Arial"/>
          <w:sz w:val="24"/>
          <w:szCs w:val="24"/>
        </w:rPr>
        <w:t>Please provide an explanation for the adjusting journal entry, at a high level, including the identification of any systemic issues.</w:t>
      </w:r>
      <w:r w:rsidR="007E18F4" w:rsidRPr="005E42C2">
        <w:rPr>
          <w:rFonts w:ascii="Arial" w:hAnsi="Arial" w:cs="Arial"/>
          <w:sz w:val="24"/>
          <w:szCs w:val="24"/>
        </w:rPr>
        <w:t xml:space="preserve">  </w:t>
      </w:r>
      <w:r w:rsidR="002F26C6" w:rsidRPr="005E42C2">
        <w:rPr>
          <w:rFonts w:ascii="Arial" w:hAnsi="Arial" w:cs="Arial"/>
          <w:color w:val="FF0000"/>
          <w:sz w:val="24"/>
          <w:szCs w:val="24"/>
        </w:rPr>
        <w:t>With the turnover i</w:t>
      </w:r>
      <w:r w:rsidR="005E42C2" w:rsidRPr="005E42C2">
        <w:rPr>
          <w:rFonts w:ascii="Arial" w:hAnsi="Arial" w:cs="Arial"/>
          <w:color w:val="FF0000"/>
          <w:sz w:val="24"/>
          <w:szCs w:val="24"/>
        </w:rPr>
        <w:t xml:space="preserve">n </w:t>
      </w:r>
      <w:r w:rsidR="002F26C6" w:rsidRPr="005E42C2">
        <w:rPr>
          <w:rFonts w:ascii="Arial" w:hAnsi="Arial" w:cs="Arial"/>
          <w:color w:val="FF0000"/>
          <w:sz w:val="24"/>
          <w:szCs w:val="24"/>
        </w:rPr>
        <w:t xml:space="preserve">staff it </w:t>
      </w:r>
      <w:r w:rsidR="002F26C6" w:rsidRPr="005E42C2">
        <w:rPr>
          <w:rFonts w:ascii="Arial" w:hAnsi="Arial" w:cs="Arial"/>
          <w:color w:val="FF0000"/>
          <w:sz w:val="24"/>
          <w:szCs w:val="24"/>
        </w:rPr>
        <w:lastRenderedPageBreak/>
        <w:t>was difficult to analyze exactly how the process was done in the past.  I did see that t</w:t>
      </w:r>
      <w:r w:rsidR="007E18F4" w:rsidRPr="005E42C2">
        <w:rPr>
          <w:rFonts w:ascii="Arial" w:hAnsi="Arial" w:cs="Arial"/>
          <w:color w:val="FF0000"/>
          <w:sz w:val="24"/>
          <w:szCs w:val="24"/>
        </w:rPr>
        <w:t>rue ups were completed using the 2</w:t>
      </w:r>
      <w:r w:rsidR="007E18F4" w:rsidRPr="005E42C2">
        <w:rPr>
          <w:rFonts w:ascii="Arial" w:hAnsi="Arial" w:cs="Arial"/>
          <w:color w:val="FF0000"/>
          <w:sz w:val="24"/>
          <w:szCs w:val="24"/>
          <w:vertAlign w:val="superscript"/>
        </w:rPr>
        <w:t>nd</w:t>
      </w:r>
      <w:r w:rsidR="007E18F4" w:rsidRPr="005E42C2">
        <w:rPr>
          <w:rFonts w:ascii="Arial" w:hAnsi="Arial" w:cs="Arial"/>
          <w:color w:val="FF0000"/>
          <w:sz w:val="24"/>
          <w:szCs w:val="24"/>
        </w:rPr>
        <w:t xml:space="preserve"> GA Estimate Rate vs the Actual GA Rate and also </w:t>
      </w:r>
      <w:r w:rsidR="005E42C2" w:rsidRPr="005E42C2">
        <w:rPr>
          <w:rFonts w:ascii="Arial" w:hAnsi="Arial" w:cs="Arial"/>
          <w:color w:val="FF0000"/>
          <w:sz w:val="24"/>
          <w:szCs w:val="24"/>
        </w:rPr>
        <w:t xml:space="preserve">and in some instances, </w:t>
      </w:r>
      <w:bookmarkStart w:id="0" w:name="_Hlk33005042"/>
      <w:r w:rsidR="005E42C2" w:rsidRPr="005E42C2">
        <w:rPr>
          <w:rFonts w:ascii="Arial" w:hAnsi="Arial" w:cs="Arial"/>
          <w:color w:val="FF0000"/>
          <w:sz w:val="24"/>
          <w:szCs w:val="24"/>
        </w:rPr>
        <w:t>the</w:t>
      </w:r>
      <w:r w:rsidR="00624248">
        <w:rPr>
          <w:rFonts w:ascii="Arial" w:hAnsi="Arial" w:cs="Arial"/>
          <w:color w:val="FF0000"/>
          <w:sz w:val="24"/>
          <w:szCs w:val="24"/>
        </w:rPr>
        <w:t>y</w:t>
      </w:r>
      <w:r w:rsidR="005E42C2" w:rsidRPr="005E42C2">
        <w:rPr>
          <w:rFonts w:ascii="Arial" w:hAnsi="Arial" w:cs="Arial"/>
          <w:color w:val="FF0000"/>
          <w:sz w:val="24"/>
          <w:szCs w:val="24"/>
        </w:rPr>
        <w:t xml:space="preserve"> may have not been a true to actual </w:t>
      </w:r>
      <w:proofErr w:type="spellStart"/>
      <w:r w:rsidR="005E42C2" w:rsidRPr="005E42C2">
        <w:rPr>
          <w:rFonts w:ascii="Arial" w:hAnsi="Arial" w:cs="Arial"/>
          <w:color w:val="FF0000"/>
          <w:sz w:val="24"/>
          <w:szCs w:val="24"/>
        </w:rPr>
        <w:t>kWhs</w:t>
      </w:r>
      <w:proofErr w:type="spellEnd"/>
      <w:r w:rsidR="005E42C2" w:rsidRPr="005E42C2">
        <w:rPr>
          <w:rFonts w:ascii="Arial" w:hAnsi="Arial" w:cs="Arial"/>
          <w:color w:val="FF0000"/>
          <w:sz w:val="24"/>
          <w:szCs w:val="24"/>
        </w:rPr>
        <w:t xml:space="preserve">. </w:t>
      </w:r>
      <w:bookmarkEnd w:id="0"/>
    </w:p>
    <w:p w14:paraId="22F48634" w14:textId="77777777" w:rsidR="00681CFE" w:rsidRPr="000F4A7C" w:rsidRDefault="00681CFE" w:rsidP="00681CFE">
      <w:pPr>
        <w:pStyle w:val="CommentText"/>
        <w:spacing w:after="0" w:line="276" w:lineRule="auto"/>
        <w:ind w:left="720"/>
        <w:rPr>
          <w:rFonts w:ascii="Arial" w:hAnsi="Arial" w:cs="Arial"/>
          <w:sz w:val="24"/>
          <w:szCs w:val="24"/>
        </w:rPr>
      </w:pPr>
    </w:p>
    <w:p w14:paraId="19CD2B78" w14:textId="6A5BFBEC" w:rsidR="00681CFE" w:rsidRPr="000F4A7C" w:rsidRDefault="00681CFE" w:rsidP="00681CFE">
      <w:pPr>
        <w:pStyle w:val="CommentText"/>
        <w:numPr>
          <w:ilvl w:val="0"/>
          <w:numId w:val="11"/>
        </w:numPr>
        <w:spacing w:after="0" w:line="276" w:lineRule="auto"/>
        <w:rPr>
          <w:rFonts w:ascii="Arial" w:hAnsi="Arial" w:cs="Arial"/>
          <w:sz w:val="24"/>
          <w:szCs w:val="24"/>
        </w:rPr>
      </w:pPr>
      <w:r w:rsidRPr="000F4A7C">
        <w:rPr>
          <w:rFonts w:ascii="Arial" w:hAnsi="Arial" w:cs="Arial"/>
          <w:sz w:val="24"/>
          <w:szCs w:val="24"/>
        </w:rPr>
        <w:t>Please confirm that there are no remaining systemic issues with the RPP settlement or related accounting processes for Group 1 DVAs that have been identified from the review of the new accounting guidance, retroactive back to January 1, 2014.</w:t>
      </w:r>
      <w:r w:rsidR="00AC2242">
        <w:rPr>
          <w:rFonts w:ascii="Arial" w:hAnsi="Arial" w:cs="Arial"/>
          <w:sz w:val="24"/>
          <w:szCs w:val="24"/>
        </w:rPr>
        <w:t xml:space="preserve"> </w:t>
      </w:r>
      <w:r w:rsidR="00AC2242">
        <w:rPr>
          <w:rFonts w:ascii="Arial" w:hAnsi="Arial" w:cs="Arial"/>
          <w:color w:val="FF0000"/>
          <w:sz w:val="24"/>
          <w:szCs w:val="24"/>
        </w:rPr>
        <w:t>Yes we confirm.</w:t>
      </w:r>
    </w:p>
    <w:p w14:paraId="6F09655F" w14:textId="77777777" w:rsidR="00681CFE" w:rsidRPr="000F4A7C" w:rsidRDefault="00681CFE" w:rsidP="00681CFE">
      <w:pPr>
        <w:pStyle w:val="CommentText"/>
        <w:spacing w:after="0" w:line="276" w:lineRule="auto"/>
        <w:ind w:left="720"/>
        <w:rPr>
          <w:rFonts w:ascii="Arial" w:hAnsi="Arial" w:cs="Arial"/>
          <w:sz w:val="24"/>
          <w:szCs w:val="24"/>
        </w:rPr>
      </w:pPr>
    </w:p>
    <w:p w14:paraId="5682D1FD" w14:textId="77777777" w:rsidR="00681CFE" w:rsidRPr="000F4A7C" w:rsidRDefault="00681CFE" w:rsidP="00681CFE">
      <w:pPr>
        <w:spacing w:after="0"/>
        <w:rPr>
          <w:rFonts w:ascii="Arial" w:hAnsi="Arial" w:cs="Arial"/>
          <w:sz w:val="24"/>
          <w:szCs w:val="24"/>
        </w:rPr>
      </w:pPr>
    </w:p>
    <w:p w14:paraId="73BEC713" w14:textId="77777777" w:rsidR="00681CFE" w:rsidRPr="000F4A7C" w:rsidRDefault="00BE1F2D" w:rsidP="00681CFE">
      <w:pPr>
        <w:spacing w:after="0"/>
        <w:rPr>
          <w:rFonts w:ascii="Arial" w:hAnsi="Arial" w:cs="Arial"/>
          <w:b/>
          <w:sz w:val="24"/>
          <w:szCs w:val="24"/>
        </w:rPr>
      </w:pPr>
      <w:r>
        <w:rPr>
          <w:rFonts w:ascii="Arial" w:hAnsi="Arial" w:cs="Arial"/>
          <w:b/>
          <w:sz w:val="24"/>
          <w:szCs w:val="24"/>
        </w:rPr>
        <w:t>Staff Question-7</w:t>
      </w:r>
    </w:p>
    <w:p w14:paraId="78E820E1" w14:textId="77777777" w:rsidR="00681CFE" w:rsidRPr="000F4A7C" w:rsidRDefault="00681CFE" w:rsidP="00681CFE">
      <w:pPr>
        <w:spacing w:after="0"/>
        <w:rPr>
          <w:rFonts w:ascii="Arial" w:hAnsi="Arial" w:cs="Arial"/>
          <w:b/>
          <w:sz w:val="24"/>
          <w:szCs w:val="24"/>
        </w:rPr>
      </w:pPr>
    </w:p>
    <w:p w14:paraId="7C42570A" w14:textId="77777777" w:rsidR="00681CFE" w:rsidRPr="000F4A7C" w:rsidRDefault="00681CFE" w:rsidP="00681CFE">
      <w:pPr>
        <w:spacing w:after="0"/>
        <w:rPr>
          <w:rFonts w:ascii="Arial" w:hAnsi="Arial" w:cs="Arial"/>
          <w:sz w:val="24"/>
          <w:szCs w:val="24"/>
        </w:rPr>
      </w:pPr>
      <w:r w:rsidRPr="000F4A7C">
        <w:rPr>
          <w:rFonts w:ascii="Arial" w:hAnsi="Arial" w:cs="Arial"/>
          <w:sz w:val="24"/>
          <w:szCs w:val="24"/>
        </w:rPr>
        <w:t>Ref:</w:t>
      </w:r>
      <w:r w:rsidRPr="000F4A7C">
        <w:rPr>
          <w:rFonts w:ascii="Arial" w:hAnsi="Arial" w:cs="Arial"/>
          <w:sz w:val="24"/>
          <w:szCs w:val="24"/>
        </w:rPr>
        <w:tab/>
        <w:t>(1) Manager’s Summary, page 14</w:t>
      </w:r>
    </w:p>
    <w:p w14:paraId="18120BDA" w14:textId="77777777" w:rsidR="00681CFE" w:rsidRPr="000F4A7C" w:rsidRDefault="00681CFE" w:rsidP="00681CFE">
      <w:pPr>
        <w:spacing w:after="0"/>
        <w:ind w:left="720"/>
        <w:rPr>
          <w:rFonts w:ascii="Arial" w:hAnsi="Arial" w:cs="Arial"/>
          <w:sz w:val="24"/>
          <w:szCs w:val="24"/>
        </w:rPr>
      </w:pPr>
      <w:r w:rsidRPr="000F4A7C">
        <w:rPr>
          <w:rFonts w:ascii="Arial" w:hAnsi="Arial" w:cs="Arial"/>
          <w:sz w:val="24"/>
          <w:szCs w:val="24"/>
        </w:rPr>
        <w:t>(2) Appendix A GA Methodology Description Questions on Accounts 1588 &amp; 1589, page 23 of Manager’s Summary</w:t>
      </w:r>
    </w:p>
    <w:p w14:paraId="075D6F5C" w14:textId="77777777" w:rsidR="00681CFE" w:rsidRPr="000F4A7C" w:rsidRDefault="00681CFE" w:rsidP="00681CFE">
      <w:pPr>
        <w:spacing w:after="0"/>
        <w:rPr>
          <w:rFonts w:ascii="Arial" w:hAnsi="Arial" w:cs="Arial"/>
          <w:color w:val="000000"/>
          <w:sz w:val="24"/>
          <w:szCs w:val="24"/>
          <w:lang w:val="en-US"/>
        </w:rPr>
      </w:pPr>
      <w:r w:rsidRPr="000F4A7C">
        <w:rPr>
          <w:rFonts w:ascii="Arial" w:hAnsi="Arial" w:cs="Arial"/>
          <w:sz w:val="24"/>
          <w:szCs w:val="24"/>
        </w:rPr>
        <w:tab/>
      </w:r>
      <w:r w:rsidRPr="000F4A7C">
        <w:rPr>
          <w:rFonts w:ascii="Arial" w:hAnsi="Arial" w:cs="Arial"/>
          <w:sz w:val="24"/>
          <w:szCs w:val="24"/>
        </w:rPr>
        <w:tab/>
      </w:r>
    </w:p>
    <w:p w14:paraId="2685C2A3" w14:textId="77777777" w:rsidR="00681CFE" w:rsidRPr="000F4A7C" w:rsidRDefault="00681CFE" w:rsidP="00681CFE">
      <w:pPr>
        <w:spacing w:after="0"/>
        <w:rPr>
          <w:rFonts w:ascii="Arial" w:hAnsi="Arial" w:cs="Arial"/>
          <w:b/>
          <w:color w:val="000000"/>
          <w:sz w:val="24"/>
          <w:szCs w:val="24"/>
          <w:lang w:val="en-US"/>
        </w:rPr>
      </w:pPr>
      <w:r w:rsidRPr="000F4A7C">
        <w:rPr>
          <w:rFonts w:ascii="Arial" w:hAnsi="Arial" w:cs="Arial"/>
          <w:b/>
          <w:color w:val="000000"/>
          <w:sz w:val="24"/>
          <w:szCs w:val="24"/>
          <w:lang w:val="en-US"/>
        </w:rPr>
        <w:t>Preamble:</w:t>
      </w:r>
    </w:p>
    <w:p w14:paraId="7488B31D" w14:textId="77777777" w:rsidR="00681CFE" w:rsidRPr="000F4A7C" w:rsidRDefault="00681CFE" w:rsidP="00681CFE">
      <w:pPr>
        <w:spacing w:after="0"/>
        <w:rPr>
          <w:rFonts w:ascii="Arial" w:hAnsi="Arial" w:cs="Arial"/>
          <w:sz w:val="24"/>
          <w:szCs w:val="24"/>
        </w:rPr>
      </w:pPr>
    </w:p>
    <w:p w14:paraId="3B4C5FD0" w14:textId="77777777" w:rsidR="00681CFE" w:rsidRPr="000F4A7C" w:rsidRDefault="00681CFE" w:rsidP="00681CFE">
      <w:pPr>
        <w:spacing w:after="0"/>
        <w:rPr>
          <w:rFonts w:ascii="Arial" w:hAnsi="Arial" w:cs="Arial"/>
          <w:sz w:val="24"/>
          <w:szCs w:val="24"/>
        </w:rPr>
      </w:pPr>
      <w:r w:rsidRPr="000F4A7C">
        <w:rPr>
          <w:rFonts w:ascii="Arial" w:hAnsi="Arial" w:cs="Arial"/>
          <w:sz w:val="24"/>
          <w:szCs w:val="24"/>
        </w:rPr>
        <w:t>At the above noted first reference, indicated that as a result of its review, the following adjustments to Account 1588 and Account 1589 will be made in the year-end 2019 for 2018 balances:</w:t>
      </w:r>
    </w:p>
    <w:p w14:paraId="7C048733" w14:textId="77777777" w:rsidR="00681CFE" w:rsidRPr="000F4A7C" w:rsidRDefault="00681CFE" w:rsidP="00681CFE">
      <w:pPr>
        <w:spacing w:after="0"/>
        <w:rPr>
          <w:rFonts w:ascii="Arial" w:hAnsi="Arial" w:cs="Arial"/>
          <w:sz w:val="24"/>
          <w:szCs w:val="24"/>
        </w:rPr>
      </w:pPr>
    </w:p>
    <w:p w14:paraId="54C3AB28" w14:textId="77777777" w:rsidR="00681CFE" w:rsidRPr="000F4A7C" w:rsidRDefault="00681CFE" w:rsidP="00681CFE">
      <w:pPr>
        <w:spacing w:after="0"/>
        <w:ind w:left="720"/>
        <w:rPr>
          <w:rFonts w:ascii="Arial" w:hAnsi="Arial" w:cs="Arial"/>
          <w:i/>
          <w:sz w:val="24"/>
          <w:szCs w:val="24"/>
        </w:rPr>
      </w:pPr>
      <w:r w:rsidRPr="000F4A7C">
        <w:rPr>
          <w:rFonts w:ascii="Arial" w:hAnsi="Arial" w:cs="Arial"/>
          <w:sz w:val="24"/>
          <w:szCs w:val="24"/>
        </w:rPr>
        <w:t xml:space="preserve">DR 1588 $324,800.43 – Principal </w:t>
      </w:r>
      <w:r w:rsidRPr="000F4A7C">
        <w:rPr>
          <w:rFonts w:ascii="Arial" w:hAnsi="Arial" w:cs="Arial"/>
          <w:i/>
          <w:sz w:val="24"/>
          <w:szCs w:val="24"/>
        </w:rPr>
        <w:t>[sic]</w:t>
      </w:r>
    </w:p>
    <w:p w14:paraId="718A12A4" w14:textId="77777777" w:rsidR="00681CFE" w:rsidRPr="000F4A7C" w:rsidRDefault="00681CFE" w:rsidP="00681CFE">
      <w:pPr>
        <w:spacing w:after="0"/>
        <w:ind w:left="720"/>
        <w:rPr>
          <w:rFonts w:ascii="Arial" w:hAnsi="Arial" w:cs="Arial"/>
          <w:sz w:val="24"/>
          <w:szCs w:val="24"/>
        </w:rPr>
      </w:pPr>
      <w:r w:rsidRPr="000F4A7C">
        <w:rPr>
          <w:rFonts w:ascii="Arial" w:hAnsi="Arial" w:cs="Arial"/>
          <w:sz w:val="24"/>
          <w:szCs w:val="24"/>
        </w:rPr>
        <w:t>DR 1588 $15,861.91 – Interest</w:t>
      </w:r>
    </w:p>
    <w:p w14:paraId="58FA1A1C" w14:textId="77777777" w:rsidR="00681CFE" w:rsidRPr="000F4A7C" w:rsidRDefault="00681CFE" w:rsidP="00681CFE">
      <w:pPr>
        <w:spacing w:after="0"/>
        <w:ind w:left="720"/>
        <w:rPr>
          <w:rFonts w:ascii="Arial" w:hAnsi="Arial" w:cs="Arial"/>
          <w:sz w:val="24"/>
          <w:szCs w:val="24"/>
        </w:rPr>
      </w:pPr>
      <w:r w:rsidRPr="000F4A7C">
        <w:rPr>
          <w:rFonts w:ascii="Arial" w:hAnsi="Arial" w:cs="Arial"/>
          <w:sz w:val="24"/>
          <w:szCs w:val="24"/>
        </w:rPr>
        <w:t xml:space="preserve">CR 1589 $88,911.38 – Principal </w:t>
      </w:r>
      <w:r w:rsidRPr="000F4A7C">
        <w:rPr>
          <w:rFonts w:ascii="Arial" w:hAnsi="Arial" w:cs="Arial"/>
          <w:i/>
          <w:sz w:val="24"/>
          <w:szCs w:val="24"/>
        </w:rPr>
        <w:t>[sic]</w:t>
      </w:r>
    </w:p>
    <w:p w14:paraId="0DC879D1" w14:textId="77777777" w:rsidR="00681CFE" w:rsidRPr="000F4A7C" w:rsidRDefault="00681CFE" w:rsidP="00681CFE">
      <w:pPr>
        <w:spacing w:after="0"/>
        <w:ind w:left="720"/>
        <w:rPr>
          <w:rFonts w:ascii="Arial" w:hAnsi="Arial" w:cs="Arial"/>
          <w:sz w:val="24"/>
          <w:szCs w:val="24"/>
        </w:rPr>
      </w:pPr>
      <w:r w:rsidRPr="000F4A7C">
        <w:rPr>
          <w:rFonts w:ascii="Arial" w:hAnsi="Arial" w:cs="Arial"/>
          <w:sz w:val="24"/>
          <w:szCs w:val="24"/>
        </w:rPr>
        <w:t>CR 1589 $1,199.70 – Interest</w:t>
      </w:r>
    </w:p>
    <w:p w14:paraId="5EF61201" w14:textId="77777777" w:rsidR="00681CFE" w:rsidRPr="000F4A7C" w:rsidRDefault="00681CFE" w:rsidP="00681CFE">
      <w:pPr>
        <w:spacing w:after="0"/>
        <w:rPr>
          <w:rFonts w:ascii="Arial" w:hAnsi="Arial" w:cs="Arial"/>
          <w:sz w:val="24"/>
          <w:szCs w:val="24"/>
        </w:rPr>
      </w:pPr>
    </w:p>
    <w:p w14:paraId="211D8A5B" w14:textId="77777777" w:rsidR="00681CFE" w:rsidRPr="000F4A7C" w:rsidRDefault="00681CFE" w:rsidP="00681CFE">
      <w:pPr>
        <w:spacing w:after="0"/>
        <w:rPr>
          <w:rFonts w:ascii="Arial" w:hAnsi="Arial" w:cs="Arial"/>
          <w:sz w:val="24"/>
          <w:szCs w:val="24"/>
        </w:rPr>
      </w:pPr>
      <w:r w:rsidRPr="000F4A7C">
        <w:rPr>
          <w:rFonts w:ascii="Arial" w:hAnsi="Arial" w:cs="Arial"/>
          <w:sz w:val="24"/>
          <w:szCs w:val="24"/>
        </w:rPr>
        <w:t>At the above noted second reference, CPUC stated the following:</w:t>
      </w:r>
    </w:p>
    <w:p w14:paraId="05517E4F" w14:textId="77777777" w:rsidR="00681CFE" w:rsidRPr="000F4A7C" w:rsidRDefault="00681CFE" w:rsidP="00681CFE">
      <w:pPr>
        <w:spacing w:after="0"/>
        <w:rPr>
          <w:rFonts w:ascii="Arial" w:hAnsi="Arial" w:cs="Arial"/>
          <w:sz w:val="24"/>
          <w:szCs w:val="24"/>
        </w:rPr>
      </w:pPr>
    </w:p>
    <w:p w14:paraId="2267477C" w14:textId="77777777" w:rsidR="00681CFE" w:rsidRPr="000F4A7C" w:rsidRDefault="00681CFE" w:rsidP="00681CFE">
      <w:pPr>
        <w:spacing w:after="0"/>
        <w:ind w:left="720"/>
        <w:rPr>
          <w:rFonts w:ascii="Arial" w:hAnsi="Arial" w:cs="Arial"/>
          <w:sz w:val="24"/>
          <w:szCs w:val="24"/>
        </w:rPr>
      </w:pPr>
      <w:r w:rsidRPr="000F4A7C">
        <w:rPr>
          <w:rFonts w:ascii="Arial" w:hAnsi="Arial" w:cs="Arial"/>
          <w:sz w:val="24"/>
          <w:szCs w:val="24"/>
        </w:rPr>
        <w:t>Going back to 2015, CPUC determine that there were errors in calculating true ups. The net basis is an immaterial amount and will be trued up with the IESO in 2019 and will be reflected in the 2019 financial statements.</w:t>
      </w:r>
    </w:p>
    <w:p w14:paraId="6F2E2F05" w14:textId="77777777" w:rsidR="00681CFE" w:rsidRPr="000F4A7C" w:rsidRDefault="00681CFE" w:rsidP="00681CFE">
      <w:pPr>
        <w:spacing w:after="0"/>
        <w:rPr>
          <w:rFonts w:ascii="Arial" w:hAnsi="Arial" w:cs="Arial"/>
          <w:sz w:val="24"/>
          <w:szCs w:val="24"/>
        </w:rPr>
      </w:pPr>
    </w:p>
    <w:p w14:paraId="59CEBDE3" w14:textId="77777777" w:rsidR="00681CFE" w:rsidRPr="000F4A7C" w:rsidRDefault="00681CFE" w:rsidP="00681CFE">
      <w:pPr>
        <w:spacing w:after="0"/>
        <w:rPr>
          <w:rFonts w:ascii="Arial" w:hAnsi="Arial" w:cs="Arial"/>
          <w:b/>
          <w:bCs/>
          <w:sz w:val="24"/>
          <w:szCs w:val="24"/>
        </w:rPr>
      </w:pPr>
      <w:r w:rsidRPr="000F4A7C">
        <w:rPr>
          <w:rFonts w:ascii="Arial" w:hAnsi="Arial" w:cs="Arial"/>
          <w:b/>
          <w:bCs/>
          <w:sz w:val="24"/>
          <w:szCs w:val="24"/>
        </w:rPr>
        <w:t>Questions:</w:t>
      </w:r>
    </w:p>
    <w:p w14:paraId="6B579D08" w14:textId="77777777" w:rsidR="00681CFE" w:rsidRPr="000F4A7C" w:rsidRDefault="00681CFE" w:rsidP="00681CFE">
      <w:pPr>
        <w:spacing w:after="0"/>
        <w:rPr>
          <w:rFonts w:ascii="Arial" w:hAnsi="Arial" w:cs="Arial"/>
          <w:sz w:val="24"/>
          <w:szCs w:val="24"/>
        </w:rPr>
      </w:pPr>
    </w:p>
    <w:p w14:paraId="1B302781" w14:textId="38179B85" w:rsidR="00681CFE" w:rsidRPr="000F4A7C" w:rsidRDefault="00681CFE" w:rsidP="00681CFE">
      <w:pPr>
        <w:pStyle w:val="ListParagraph"/>
        <w:numPr>
          <w:ilvl w:val="0"/>
          <w:numId w:val="12"/>
        </w:numPr>
        <w:spacing w:after="0"/>
        <w:rPr>
          <w:rFonts w:ascii="Arial" w:hAnsi="Arial" w:cs="Arial"/>
          <w:sz w:val="24"/>
          <w:szCs w:val="24"/>
        </w:rPr>
      </w:pPr>
      <w:r w:rsidRPr="000F4A7C">
        <w:rPr>
          <w:rFonts w:ascii="Arial" w:hAnsi="Arial" w:cs="Arial"/>
          <w:sz w:val="24"/>
          <w:szCs w:val="24"/>
        </w:rPr>
        <w:t xml:space="preserve">Please confirm that what CPUC meant by its true-up adjustments being “an immaterial amount”, it meant that going back to January 1, 2015, it recalculated its settlements with the IESO to be a refund from the IESO of approximately $22k, which may be “immaterial”. </w:t>
      </w:r>
      <w:r w:rsidR="00A811FF">
        <w:rPr>
          <w:rFonts w:ascii="Arial" w:hAnsi="Arial" w:cs="Arial"/>
          <w:sz w:val="24"/>
          <w:szCs w:val="24"/>
        </w:rPr>
        <w:t xml:space="preserve"> </w:t>
      </w:r>
      <w:r w:rsidR="00A811FF">
        <w:rPr>
          <w:rFonts w:ascii="Arial" w:hAnsi="Arial" w:cs="Arial"/>
          <w:color w:val="FF0000"/>
          <w:sz w:val="24"/>
          <w:szCs w:val="24"/>
        </w:rPr>
        <w:t>Yes we confirm.</w:t>
      </w:r>
    </w:p>
    <w:p w14:paraId="21685369" w14:textId="77777777" w:rsidR="00681CFE" w:rsidRPr="000F4A7C" w:rsidRDefault="00681CFE" w:rsidP="00681CFE">
      <w:pPr>
        <w:spacing w:after="0"/>
        <w:rPr>
          <w:rFonts w:ascii="Arial" w:hAnsi="Arial" w:cs="Arial"/>
          <w:sz w:val="24"/>
          <w:szCs w:val="24"/>
        </w:rPr>
      </w:pPr>
    </w:p>
    <w:p w14:paraId="3A54AAED" w14:textId="6A7D879B" w:rsidR="00681CFE" w:rsidRPr="000F4A7C" w:rsidRDefault="00681CFE" w:rsidP="00681CFE">
      <w:pPr>
        <w:pStyle w:val="ListParagraph"/>
        <w:numPr>
          <w:ilvl w:val="0"/>
          <w:numId w:val="12"/>
        </w:numPr>
        <w:spacing w:after="0"/>
        <w:rPr>
          <w:rFonts w:ascii="Arial" w:hAnsi="Arial" w:cs="Arial"/>
          <w:sz w:val="24"/>
          <w:szCs w:val="24"/>
        </w:rPr>
      </w:pPr>
      <w:r w:rsidRPr="000F4A7C">
        <w:rPr>
          <w:rFonts w:ascii="Arial" w:hAnsi="Arial" w:cs="Arial"/>
          <w:sz w:val="24"/>
          <w:szCs w:val="24"/>
        </w:rPr>
        <w:t xml:space="preserve">Please confirm the refund from the IESO of approximately $22k covered the period January 1, 2015 to August 31, 2019, and state when this amount was settled with the IESO. </w:t>
      </w:r>
      <w:r w:rsidR="00A811FF">
        <w:rPr>
          <w:rFonts w:ascii="Arial" w:hAnsi="Arial" w:cs="Arial"/>
          <w:color w:val="FF0000"/>
          <w:sz w:val="24"/>
          <w:szCs w:val="24"/>
        </w:rPr>
        <w:t>Yes we confirm and it was settled with the IESO in December 2019 for the IESO November 2019 settlement period.</w:t>
      </w:r>
    </w:p>
    <w:p w14:paraId="5D2E2063" w14:textId="77777777" w:rsidR="00681CFE" w:rsidRPr="000F4A7C" w:rsidRDefault="00681CFE" w:rsidP="00681CFE">
      <w:pPr>
        <w:pStyle w:val="ListParagraph"/>
        <w:spacing w:after="0"/>
        <w:rPr>
          <w:rFonts w:ascii="Arial" w:hAnsi="Arial" w:cs="Arial"/>
          <w:sz w:val="24"/>
          <w:szCs w:val="24"/>
        </w:rPr>
      </w:pPr>
    </w:p>
    <w:p w14:paraId="4D9D4B15" w14:textId="7C64AA40" w:rsidR="00681CFE" w:rsidRPr="00A23F46" w:rsidRDefault="00681CFE" w:rsidP="00681CFE">
      <w:pPr>
        <w:pStyle w:val="ListParagraph"/>
        <w:numPr>
          <w:ilvl w:val="0"/>
          <w:numId w:val="12"/>
        </w:numPr>
        <w:spacing w:after="0"/>
        <w:rPr>
          <w:rFonts w:ascii="Arial" w:hAnsi="Arial" w:cs="Arial"/>
          <w:sz w:val="24"/>
          <w:szCs w:val="24"/>
        </w:rPr>
      </w:pPr>
      <w:r w:rsidRPr="00A23F46">
        <w:rPr>
          <w:rFonts w:ascii="Arial" w:hAnsi="Arial" w:cs="Arial"/>
          <w:sz w:val="24"/>
          <w:szCs w:val="24"/>
        </w:rPr>
        <w:t>Please provide a high level summary of the drivers of the $22k refund, including how it relates to CPUC’s adjusting journal entry.</w:t>
      </w:r>
      <w:r w:rsidR="00A811FF" w:rsidRPr="00A23F46">
        <w:rPr>
          <w:rFonts w:ascii="Arial" w:hAnsi="Arial" w:cs="Arial"/>
          <w:sz w:val="24"/>
          <w:szCs w:val="24"/>
        </w:rPr>
        <w:t xml:space="preserve">  </w:t>
      </w:r>
      <w:r w:rsidR="00624248">
        <w:rPr>
          <w:rFonts w:ascii="Arial" w:hAnsi="Arial" w:cs="Arial"/>
          <w:color w:val="FF0000"/>
          <w:sz w:val="24"/>
          <w:szCs w:val="24"/>
        </w:rPr>
        <w:t>Some t</w:t>
      </w:r>
      <w:r w:rsidR="00A811FF" w:rsidRPr="00A23F46">
        <w:rPr>
          <w:rFonts w:ascii="Arial" w:hAnsi="Arial" w:cs="Arial"/>
          <w:color w:val="FF0000"/>
          <w:sz w:val="24"/>
          <w:szCs w:val="24"/>
        </w:rPr>
        <w:t>rue ups in the past were completed using the 2</w:t>
      </w:r>
      <w:r w:rsidR="00A811FF" w:rsidRPr="00A23F46">
        <w:rPr>
          <w:rFonts w:ascii="Arial" w:hAnsi="Arial" w:cs="Arial"/>
          <w:color w:val="FF0000"/>
          <w:sz w:val="24"/>
          <w:szCs w:val="24"/>
          <w:vertAlign w:val="superscript"/>
        </w:rPr>
        <w:t>nd</w:t>
      </w:r>
      <w:r w:rsidR="00A811FF" w:rsidRPr="00A23F46">
        <w:rPr>
          <w:rFonts w:ascii="Arial" w:hAnsi="Arial" w:cs="Arial"/>
          <w:color w:val="FF0000"/>
          <w:sz w:val="24"/>
          <w:szCs w:val="24"/>
        </w:rPr>
        <w:t xml:space="preserve"> GA Estimate Rate vs the Actual GA Rate</w:t>
      </w:r>
      <w:r w:rsidR="00624248">
        <w:rPr>
          <w:rFonts w:ascii="Arial" w:hAnsi="Arial" w:cs="Arial"/>
          <w:color w:val="FF0000"/>
          <w:sz w:val="24"/>
          <w:szCs w:val="24"/>
        </w:rPr>
        <w:t xml:space="preserve"> and also in some instances </w:t>
      </w:r>
      <w:r w:rsidR="00624248" w:rsidRPr="005E42C2">
        <w:rPr>
          <w:rFonts w:ascii="Arial" w:hAnsi="Arial" w:cs="Arial"/>
          <w:color w:val="FF0000"/>
          <w:sz w:val="24"/>
          <w:szCs w:val="24"/>
        </w:rPr>
        <w:t>the</w:t>
      </w:r>
      <w:r w:rsidR="00624248">
        <w:rPr>
          <w:rFonts w:ascii="Arial" w:hAnsi="Arial" w:cs="Arial"/>
          <w:color w:val="FF0000"/>
          <w:sz w:val="24"/>
          <w:szCs w:val="24"/>
        </w:rPr>
        <w:t>y</w:t>
      </w:r>
      <w:r w:rsidR="00624248" w:rsidRPr="005E42C2">
        <w:rPr>
          <w:rFonts w:ascii="Arial" w:hAnsi="Arial" w:cs="Arial"/>
          <w:color w:val="FF0000"/>
          <w:sz w:val="24"/>
          <w:szCs w:val="24"/>
        </w:rPr>
        <w:t xml:space="preserve"> may have not been a true to actual </w:t>
      </w:r>
      <w:proofErr w:type="spellStart"/>
      <w:r w:rsidR="00624248" w:rsidRPr="005E42C2">
        <w:rPr>
          <w:rFonts w:ascii="Arial" w:hAnsi="Arial" w:cs="Arial"/>
          <w:color w:val="FF0000"/>
          <w:sz w:val="24"/>
          <w:szCs w:val="24"/>
        </w:rPr>
        <w:t>kWhs</w:t>
      </w:r>
      <w:proofErr w:type="spellEnd"/>
      <w:r w:rsidR="00624248" w:rsidRPr="005E42C2">
        <w:rPr>
          <w:rFonts w:ascii="Arial" w:hAnsi="Arial" w:cs="Arial"/>
          <w:color w:val="FF0000"/>
          <w:sz w:val="24"/>
          <w:szCs w:val="24"/>
        </w:rPr>
        <w:t>.</w:t>
      </w:r>
      <w:r w:rsidR="00624248">
        <w:rPr>
          <w:rFonts w:ascii="Arial" w:hAnsi="Arial" w:cs="Arial"/>
          <w:color w:val="FF0000"/>
          <w:sz w:val="24"/>
          <w:szCs w:val="24"/>
        </w:rPr>
        <w:t xml:space="preserve">  </w:t>
      </w:r>
      <w:r w:rsidR="001B1DD5">
        <w:rPr>
          <w:rFonts w:ascii="Arial" w:hAnsi="Arial" w:cs="Arial"/>
          <w:color w:val="FF0000"/>
          <w:sz w:val="24"/>
          <w:szCs w:val="24"/>
        </w:rPr>
        <w:t xml:space="preserve">In determining the refund </w:t>
      </w:r>
      <w:r w:rsidR="00624248">
        <w:rPr>
          <w:rFonts w:ascii="Arial" w:hAnsi="Arial" w:cs="Arial"/>
          <w:color w:val="FF0000"/>
          <w:sz w:val="24"/>
          <w:szCs w:val="24"/>
        </w:rPr>
        <w:t>amount,</w:t>
      </w:r>
      <w:r w:rsidR="001B1DD5">
        <w:rPr>
          <w:rFonts w:ascii="Arial" w:hAnsi="Arial" w:cs="Arial"/>
          <w:color w:val="FF0000"/>
          <w:sz w:val="24"/>
          <w:szCs w:val="24"/>
        </w:rPr>
        <w:t xml:space="preserve"> I</w:t>
      </w:r>
      <w:r w:rsidR="00D116FA">
        <w:rPr>
          <w:rFonts w:ascii="Arial" w:hAnsi="Arial" w:cs="Arial"/>
          <w:color w:val="FF0000"/>
          <w:sz w:val="24"/>
          <w:szCs w:val="24"/>
        </w:rPr>
        <w:t xml:space="preserve"> took each month from Jan 2015 through Aug 2019 and used the OEB Commodity Model to determine what the </w:t>
      </w:r>
      <w:r w:rsidR="001B1DD5">
        <w:rPr>
          <w:rFonts w:ascii="Arial" w:hAnsi="Arial" w:cs="Arial"/>
          <w:color w:val="FF0000"/>
          <w:sz w:val="24"/>
          <w:szCs w:val="24"/>
        </w:rPr>
        <w:t>actual true up amount should have been</w:t>
      </w:r>
      <w:r w:rsidR="00D116FA">
        <w:rPr>
          <w:rFonts w:ascii="Arial" w:hAnsi="Arial" w:cs="Arial"/>
          <w:color w:val="FF0000"/>
          <w:sz w:val="24"/>
          <w:szCs w:val="24"/>
        </w:rPr>
        <w:t>.  The difference between the actual true</w:t>
      </w:r>
      <w:r w:rsidR="001B1DD5">
        <w:rPr>
          <w:rFonts w:ascii="Arial" w:hAnsi="Arial" w:cs="Arial"/>
          <w:color w:val="FF0000"/>
          <w:sz w:val="24"/>
          <w:szCs w:val="24"/>
        </w:rPr>
        <w:t xml:space="preserve"> </w:t>
      </w:r>
      <w:r w:rsidR="00D116FA">
        <w:rPr>
          <w:rFonts w:ascii="Arial" w:hAnsi="Arial" w:cs="Arial"/>
          <w:color w:val="FF0000"/>
          <w:sz w:val="24"/>
          <w:szCs w:val="24"/>
        </w:rPr>
        <w:t xml:space="preserve">up </w:t>
      </w:r>
      <w:r w:rsidR="001B1DD5">
        <w:rPr>
          <w:rFonts w:ascii="Arial" w:hAnsi="Arial" w:cs="Arial"/>
          <w:color w:val="FF0000"/>
          <w:sz w:val="24"/>
          <w:szCs w:val="24"/>
        </w:rPr>
        <w:t>versus</w:t>
      </w:r>
      <w:r w:rsidR="00D116FA">
        <w:rPr>
          <w:rFonts w:ascii="Arial" w:hAnsi="Arial" w:cs="Arial"/>
          <w:color w:val="FF0000"/>
          <w:sz w:val="24"/>
          <w:szCs w:val="24"/>
        </w:rPr>
        <w:t xml:space="preserve"> the true up that</w:t>
      </w:r>
      <w:r w:rsidR="001B1DD5">
        <w:rPr>
          <w:rFonts w:ascii="Arial" w:hAnsi="Arial" w:cs="Arial"/>
          <w:color w:val="FF0000"/>
          <w:sz w:val="24"/>
          <w:szCs w:val="24"/>
        </w:rPr>
        <w:t xml:space="preserve"> we </w:t>
      </w:r>
      <w:r w:rsidR="00624248">
        <w:rPr>
          <w:rFonts w:ascii="Arial" w:hAnsi="Arial" w:cs="Arial"/>
          <w:color w:val="FF0000"/>
          <w:sz w:val="24"/>
          <w:szCs w:val="24"/>
        </w:rPr>
        <w:t xml:space="preserve">had </w:t>
      </w:r>
      <w:r w:rsidR="001B1DD5">
        <w:rPr>
          <w:rFonts w:ascii="Arial" w:hAnsi="Arial" w:cs="Arial"/>
          <w:color w:val="FF0000"/>
          <w:sz w:val="24"/>
          <w:szCs w:val="24"/>
        </w:rPr>
        <w:t>reported</w:t>
      </w:r>
      <w:r w:rsidR="00D116FA">
        <w:rPr>
          <w:rFonts w:ascii="Arial" w:hAnsi="Arial" w:cs="Arial"/>
          <w:color w:val="FF0000"/>
          <w:sz w:val="24"/>
          <w:szCs w:val="24"/>
        </w:rPr>
        <w:t xml:space="preserve"> </w:t>
      </w:r>
      <w:r w:rsidR="00624248">
        <w:rPr>
          <w:rFonts w:ascii="Arial" w:hAnsi="Arial" w:cs="Arial"/>
          <w:color w:val="FF0000"/>
          <w:sz w:val="24"/>
          <w:szCs w:val="24"/>
        </w:rPr>
        <w:t xml:space="preserve">resulted </w:t>
      </w:r>
      <w:r w:rsidR="00D116FA">
        <w:rPr>
          <w:rFonts w:ascii="Arial" w:hAnsi="Arial" w:cs="Arial"/>
          <w:color w:val="FF0000"/>
          <w:sz w:val="24"/>
          <w:szCs w:val="24"/>
        </w:rPr>
        <w:t>in an accumulation of the IESO owing us.</w:t>
      </w:r>
      <w:r w:rsidR="00624248">
        <w:rPr>
          <w:rFonts w:ascii="Arial" w:hAnsi="Arial" w:cs="Arial"/>
          <w:color w:val="FF0000"/>
          <w:sz w:val="24"/>
          <w:szCs w:val="24"/>
        </w:rPr>
        <w:t xml:space="preserve"> </w:t>
      </w:r>
      <w:bookmarkStart w:id="1" w:name="_GoBack"/>
      <w:bookmarkEnd w:id="1"/>
    </w:p>
    <w:p w14:paraId="26564BA8" w14:textId="77777777" w:rsidR="00681CFE" w:rsidRPr="00A23F46" w:rsidRDefault="00681CFE" w:rsidP="00681CFE">
      <w:pPr>
        <w:pStyle w:val="ListParagraph"/>
        <w:spacing w:after="0"/>
        <w:rPr>
          <w:rFonts w:ascii="Arial" w:hAnsi="Arial" w:cs="Arial"/>
          <w:sz w:val="24"/>
          <w:szCs w:val="24"/>
        </w:rPr>
      </w:pPr>
    </w:p>
    <w:p w14:paraId="57A13C81" w14:textId="0648C6AD" w:rsidR="00681CFE" w:rsidRPr="00A23F46" w:rsidRDefault="00681CFE" w:rsidP="00681CFE">
      <w:pPr>
        <w:pStyle w:val="ListParagraph"/>
        <w:numPr>
          <w:ilvl w:val="0"/>
          <w:numId w:val="12"/>
        </w:numPr>
        <w:spacing w:after="0"/>
        <w:rPr>
          <w:rFonts w:ascii="Arial" w:hAnsi="Arial" w:cs="Arial"/>
          <w:sz w:val="24"/>
          <w:szCs w:val="24"/>
        </w:rPr>
      </w:pPr>
      <w:r w:rsidRPr="00A23F46">
        <w:rPr>
          <w:rFonts w:ascii="Arial" w:hAnsi="Arial" w:cs="Arial"/>
          <w:sz w:val="24"/>
          <w:szCs w:val="24"/>
        </w:rPr>
        <w:t>Please confirm that CPUC did not ask the IESO to refund an additional amount of $13k which covered the period January 1, 2014 to December 31, 2014. Please provide the rationale for not requesting a refund from the IESO and provide a high level summary of the drivers of the additional $13k amount, including how it relates to CPUC’s adjusting journal entry.</w:t>
      </w:r>
      <w:r w:rsidR="00894785" w:rsidRPr="00A23F46">
        <w:rPr>
          <w:rFonts w:ascii="Arial" w:hAnsi="Arial" w:cs="Arial"/>
          <w:sz w:val="24"/>
          <w:szCs w:val="24"/>
        </w:rPr>
        <w:t xml:space="preserve"> </w:t>
      </w:r>
    </w:p>
    <w:p w14:paraId="5F9AFDD9" w14:textId="77777777" w:rsidR="00681CFE" w:rsidRPr="00A23F46" w:rsidRDefault="00681CFE" w:rsidP="00681CFE">
      <w:pPr>
        <w:pStyle w:val="ListParagraph"/>
        <w:spacing w:after="0"/>
        <w:rPr>
          <w:rFonts w:ascii="Arial" w:hAnsi="Arial" w:cs="Arial"/>
          <w:sz w:val="24"/>
          <w:szCs w:val="24"/>
        </w:rPr>
      </w:pPr>
    </w:p>
    <w:p w14:paraId="580957A1" w14:textId="35D7AAB7" w:rsidR="00681CFE" w:rsidRPr="00A23F46" w:rsidRDefault="00681CFE" w:rsidP="00681CFE">
      <w:pPr>
        <w:pStyle w:val="ListParagraph"/>
        <w:spacing w:after="0"/>
        <w:rPr>
          <w:rFonts w:ascii="Arial" w:hAnsi="Arial" w:cs="Arial"/>
          <w:color w:val="FF0000"/>
          <w:sz w:val="24"/>
          <w:szCs w:val="24"/>
        </w:rPr>
      </w:pPr>
      <w:r w:rsidRPr="00A23F46">
        <w:rPr>
          <w:rFonts w:ascii="Arial" w:hAnsi="Arial" w:cs="Arial"/>
          <w:sz w:val="24"/>
          <w:szCs w:val="24"/>
        </w:rPr>
        <w:t>Regarding the rationale, it is OEB staff’s understanding is that in part of the 2014 calendar year, CPUC used some RPP kWh in settlements which may not exactly match the consumption in the same periods. This issue goes back a long period of time (e.g. 2014) and cannot be fully substantiated and cannot be fully explained due to CPUC staff turnover. As a result, CPUC will leave the 2014 balance as is. Please confirm OEB staff’s understanding.</w:t>
      </w:r>
      <w:r w:rsidR="00A23F46">
        <w:rPr>
          <w:rFonts w:ascii="Arial" w:hAnsi="Arial" w:cs="Arial"/>
          <w:color w:val="FF0000"/>
          <w:sz w:val="24"/>
          <w:szCs w:val="24"/>
        </w:rPr>
        <w:t xml:space="preserve">  Yes we confirm.</w:t>
      </w:r>
    </w:p>
    <w:p w14:paraId="7973A79B" w14:textId="77777777" w:rsidR="00681CFE" w:rsidRPr="000F4A7C" w:rsidRDefault="00681CFE" w:rsidP="00681CFE">
      <w:pPr>
        <w:pStyle w:val="ListParagraph"/>
        <w:spacing w:after="0"/>
        <w:rPr>
          <w:rFonts w:ascii="Arial" w:hAnsi="Arial" w:cs="Arial"/>
          <w:sz w:val="24"/>
          <w:szCs w:val="24"/>
        </w:rPr>
      </w:pPr>
    </w:p>
    <w:p w14:paraId="64F1E9A1" w14:textId="77777777" w:rsidR="00681CFE" w:rsidRPr="000F4A7C" w:rsidRDefault="00681CFE" w:rsidP="00681CFE">
      <w:pPr>
        <w:spacing w:after="0"/>
        <w:rPr>
          <w:rFonts w:ascii="Arial" w:hAnsi="Arial" w:cs="Arial"/>
          <w:sz w:val="24"/>
          <w:szCs w:val="24"/>
        </w:rPr>
      </w:pPr>
    </w:p>
    <w:p w14:paraId="2F9CBD4D" w14:textId="77777777" w:rsidR="00681CFE" w:rsidRPr="000F4A7C" w:rsidRDefault="00BE1F2D" w:rsidP="00681CFE">
      <w:pPr>
        <w:spacing w:after="0"/>
        <w:rPr>
          <w:rFonts w:ascii="Arial" w:hAnsi="Arial" w:cs="Arial"/>
          <w:b/>
          <w:sz w:val="24"/>
          <w:szCs w:val="24"/>
        </w:rPr>
      </w:pPr>
      <w:r>
        <w:rPr>
          <w:rFonts w:ascii="Arial" w:hAnsi="Arial" w:cs="Arial"/>
          <w:b/>
          <w:sz w:val="24"/>
          <w:szCs w:val="24"/>
        </w:rPr>
        <w:t>Staff Question-8</w:t>
      </w:r>
    </w:p>
    <w:p w14:paraId="2B16F775" w14:textId="77777777" w:rsidR="00681CFE" w:rsidRPr="000F4A7C" w:rsidRDefault="00681CFE" w:rsidP="00681CFE">
      <w:pPr>
        <w:spacing w:after="0"/>
        <w:rPr>
          <w:rFonts w:ascii="Arial" w:hAnsi="Arial" w:cs="Arial"/>
          <w:b/>
          <w:sz w:val="24"/>
          <w:szCs w:val="24"/>
        </w:rPr>
      </w:pPr>
    </w:p>
    <w:p w14:paraId="2B201E18" w14:textId="77777777" w:rsidR="00681CFE" w:rsidRPr="000F4A7C" w:rsidRDefault="00681CFE" w:rsidP="00681CFE">
      <w:pPr>
        <w:spacing w:after="0"/>
        <w:ind w:left="720" w:hanging="720"/>
        <w:rPr>
          <w:rFonts w:ascii="Arial" w:hAnsi="Arial" w:cs="Arial"/>
          <w:sz w:val="24"/>
          <w:szCs w:val="24"/>
        </w:rPr>
      </w:pPr>
      <w:r w:rsidRPr="000F4A7C">
        <w:rPr>
          <w:rFonts w:ascii="Arial" w:hAnsi="Arial" w:cs="Arial"/>
          <w:sz w:val="24"/>
          <w:szCs w:val="24"/>
        </w:rPr>
        <w:t>Ref:</w:t>
      </w:r>
      <w:r w:rsidRPr="000F4A7C">
        <w:rPr>
          <w:rFonts w:ascii="Arial" w:hAnsi="Arial" w:cs="Arial"/>
          <w:sz w:val="24"/>
          <w:szCs w:val="24"/>
        </w:rPr>
        <w:tab/>
        <w:t>(1) Revised Manager’s Summary, December 17, 2019, Manager’s Summary, page 14 &amp; 15</w:t>
      </w:r>
    </w:p>
    <w:p w14:paraId="0A2F495A" w14:textId="77777777" w:rsidR="00681CFE" w:rsidRPr="000F4A7C" w:rsidRDefault="00681CFE" w:rsidP="00681CFE">
      <w:pPr>
        <w:spacing w:after="0"/>
        <w:ind w:firstLine="720"/>
        <w:rPr>
          <w:rFonts w:ascii="Arial" w:hAnsi="Arial" w:cs="Arial"/>
          <w:sz w:val="24"/>
          <w:szCs w:val="24"/>
        </w:rPr>
      </w:pPr>
      <w:r w:rsidRPr="000F4A7C">
        <w:rPr>
          <w:rFonts w:ascii="Arial" w:hAnsi="Arial" w:cs="Arial"/>
          <w:sz w:val="24"/>
          <w:szCs w:val="24"/>
        </w:rPr>
        <w:t>(2) 2020 IRM Rate Generator Model, Tab 3, November 25, 2019</w:t>
      </w:r>
    </w:p>
    <w:p w14:paraId="531DB1E0" w14:textId="77777777" w:rsidR="00681CFE" w:rsidRPr="000F4A7C" w:rsidRDefault="00681CFE" w:rsidP="00681CFE">
      <w:pPr>
        <w:spacing w:after="0"/>
        <w:ind w:left="720"/>
        <w:rPr>
          <w:rFonts w:ascii="Arial" w:hAnsi="Arial" w:cs="Arial"/>
          <w:sz w:val="24"/>
          <w:szCs w:val="24"/>
        </w:rPr>
      </w:pPr>
      <w:r w:rsidRPr="000F4A7C">
        <w:rPr>
          <w:rFonts w:ascii="Arial" w:hAnsi="Arial" w:cs="Arial"/>
          <w:sz w:val="24"/>
          <w:szCs w:val="24"/>
        </w:rPr>
        <w:t xml:space="preserve">(3) EB-2018-0087, 2019 </w:t>
      </w:r>
      <w:proofErr w:type="spellStart"/>
      <w:r w:rsidRPr="000F4A7C">
        <w:rPr>
          <w:rFonts w:ascii="Arial" w:hAnsi="Arial" w:cs="Arial"/>
          <w:sz w:val="24"/>
          <w:szCs w:val="24"/>
        </w:rPr>
        <w:t>CoS</w:t>
      </w:r>
      <w:proofErr w:type="spellEnd"/>
      <w:r w:rsidRPr="000F4A7C">
        <w:rPr>
          <w:rFonts w:ascii="Arial" w:hAnsi="Arial" w:cs="Arial"/>
          <w:sz w:val="24"/>
          <w:szCs w:val="24"/>
        </w:rPr>
        <w:t xml:space="preserve"> DVA Continuity Schedule Interrogatory Response, April 8, 2019</w:t>
      </w:r>
    </w:p>
    <w:p w14:paraId="353DB059" w14:textId="77777777" w:rsidR="00681CFE" w:rsidRPr="000F4A7C" w:rsidRDefault="00681CFE" w:rsidP="00681CFE">
      <w:pPr>
        <w:spacing w:after="0"/>
        <w:ind w:left="720"/>
        <w:rPr>
          <w:rFonts w:ascii="Arial" w:hAnsi="Arial" w:cs="Arial"/>
          <w:sz w:val="24"/>
          <w:szCs w:val="24"/>
        </w:rPr>
      </w:pPr>
      <w:r w:rsidRPr="000F4A7C">
        <w:rPr>
          <w:rFonts w:ascii="Arial" w:hAnsi="Arial" w:cs="Arial"/>
          <w:sz w:val="24"/>
          <w:szCs w:val="24"/>
        </w:rPr>
        <w:t xml:space="preserve">(4) EB-2018-0087, 2019 </w:t>
      </w:r>
      <w:proofErr w:type="spellStart"/>
      <w:r w:rsidRPr="000F4A7C">
        <w:rPr>
          <w:rFonts w:ascii="Arial" w:hAnsi="Arial" w:cs="Arial"/>
          <w:sz w:val="24"/>
          <w:szCs w:val="24"/>
        </w:rPr>
        <w:t>CoS</w:t>
      </w:r>
      <w:proofErr w:type="spellEnd"/>
      <w:r w:rsidRPr="000F4A7C">
        <w:rPr>
          <w:rFonts w:ascii="Arial" w:hAnsi="Arial" w:cs="Arial"/>
          <w:sz w:val="24"/>
          <w:szCs w:val="24"/>
        </w:rPr>
        <w:t xml:space="preserve"> DVA Continuity Schedule Settlement Agreement, May 22, 2019</w:t>
      </w:r>
    </w:p>
    <w:p w14:paraId="1AA3153C" w14:textId="77777777" w:rsidR="00681CFE" w:rsidRPr="000F4A7C" w:rsidRDefault="00681CFE" w:rsidP="00681CFE">
      <w:pPr>
        <w:spacing w:after="0"/>
        <w:rPr>
          <w:rFonts w:ascii="Arial" w:hAnsi="Arial" w:cs="Arial"/>
          <w:b/>
          <w:bCs/>
          <w:sz w:val="24"/>
          <w:szCs w:val="24"/>
        </w:rPr>
      </w:pPr>
    </w:p>
    <w:p w14:paraId="7D725C89" w14:textId="77777777" w:rsidR="00681CFE" w:rsidRPr="000F4A7C" w:rsidRDefault="00681CFE" w:rsidP="00681CFE">
      <w:pPr>
        <w:spacing w:after="0"/>
        <w:rPr>
          <w:rFonts w:ascii="Arial" w:hAnsi="Arial" w:cs="Arial"/>
          <w:b/>
          <w:bCs/>
          <w:sz w:val="24"/>
          <w:szCs w:val="24"/>
        </w:rPr>
      </w:pPr>
      <w:r w:rsidRPr="000F4A7C">
        <w:rPr>
          <w:rFonts w:ascii="Arial" w:hAnsi="Arial" w:cs="Arial"/>
          <w:b/>
          <w:bCs/>
          <w:sz w:val="24"/>
          <w:szCs w:val="24"/>
        </w:rPr>
        <w:t>Preamble:</w:t>
      </w:r>
    </w:p>
    <w:p w14:paraId="2754E763" w14:textId="77777777" w:rsidR="00681CFE" w:rsidRPr="000F4A7C" w:rsidRDefault="00681CFE" w:rsidP="00681CFE">
      <w:pPr>
        <w:spacing w:after="0"/>
        <w:rPr>
          <w:rFonts w:ascii="Arial" w:hAnsi="Arial" w:cs="Arial"/>
          <w:b/>
          <w:bCs/>
          <w:sz w:val="24"/>
          <w:szCs w:val="24"/>
        </w:rPr>
      </w:pPr>
    </w:p>
    <w:p w14:paraId="7F3D7EED" w14:textId="77777777" w:rsidR="00681CFE" w:rsidRPr="000F4A7C" w:rsidRDefault="00681CFE" w:rsidP="00681CFE">
      <w:pPr>
        <w:spacing w:after="0"/>
        <w:rPr>
          <w:rFonts w:ascii="Arial" w:hAnsi="Arial" w:cs="Arial"/>
          <w:bCs/>
          <w:sz w:val="24"/>
          <w:szCs w:val="24"/>
        </w:rPr>
      </w:pPr>
      <w:r w:rsidRPr="000F4A7C">
        <w:rPr>
          <w:rFonts w:ascii="Arial" w:hAnsi="Arial" w:cs="Arial"/>
          <w:bCs/>
          <w:sz w:val="24"/>
          <w:szCs w:val="24"/>
        </w:rPr>
        <w:t xml:space="preserve">OEB staff has prepared Table 1 below which summarizes the changes in Account 1588 and Account 1589 balances between the 2020 IRM proceeding and the 2019 </w:t>
      </w:r>
      <w:proofErr w:type="spellStart"/>
      <w:r w:rsidRPr="000F4A7C">
        <w:rPr>
          <w:rFonts w:ascii="Arial" w:hAnsi="Arial" w:cs="Arial"/>
          <w:bCs/>
          <w:sz w:val="24"/>
          <w:szCs w:val="24"/>
        </w:rPr>
        <w:t>CoS</w:t>
      </w:r>
      <w:proofErr w:type="spellEnd"/>
      <w:r w:rsidRPr="000F4A7C">
        <w:rPr>
          <w:rFonts w:ascii="Arial" w:hAnsi="Arial" w:cs="Arial"/>
          <w:bCs/>
          <w:sz w:val="24"/>
          <w:szCs w:val="24"/>
        </w:rPr>
        <w:t xml:space="preserve"> proceeding. OEB staff has relied on the underlying sources for the following columns:</w:t>
      </w:r>
    </w:p>
    <w:p w14:paraId="753B529D" w14:textId="77777777" w:rsidR="00681CFE" w:rsidRPr="000F4A7C" w:rsidRDefault="00681CFE" w:rsidP="00681CFE">
      <w:pPr>
        <w:spacing w:after="0"/>
        <w:rPr>
          <w:rFonts w:ascii="Arial" w:hAnsi="Arial" w:cs="Arial"/>
          <w:bCs/>
          <w:sz w:val="24"/>
          <w:szCs w:val="24"/>
        </w:rPr>
      </w:pPr>
    </w:p>
    <w:p w14:paraId="7FDD4F70" w14:textId="77777777" w:rsidR="00681CFE" w:rsidRPr="000F4A7C" w:rsidRDefault="00681CFE" w:rsidP="00681CFE">
      <w:pPr>
        <w:spacing w:after="0"/>
        <w:ind w:left="720" w:hanging="720"/>
        <w:rPr>
          <w:rFonts w:ascii="Arial" w:hAnsi="Arial" w:cs="Arial"/>
          <w:bCs/>
          <w:sz w:val="24"/>
          <w:szCs w:val="24"/>
        </w:rPr>
      </w:pPr>
      <w:r w:rsidRPr="000F4A7C">
        <w:rPr>
          <w:rFonts w:ascii="Arial" w:hAnsi="Arial" w:cs="Arial"/>
          <w:bCs/>
          <w:color w:val="FF0000"/>
          <w:sz w:val="24"/>
          <w:szCs w:val="24"/>
        </w:rPr>
        <w:t>“A”</w:t>
      </w:r>
      <w:r w:rsidRPr="000F4A7C">
        <w:rPr>
          <w:rFonts w:ascii="Arial" w:hAnsi="Arial" w:cs="Arial"/>
          <w:bCs/>
          <w:sz w:val="24"/>
          <w:szCs w:val="24"/>
        </w:rPr>
        <w:tab/>
        <w:t xml:space="preserve">2020 IRM DVA Continuity Schedule, November 25, 2019 (above noted second reference) </w:t>
      </w:r>
    </w:p>
    <w:p w14:paraId="683D6602" w14:textId="77777777" w:rsidR="00681CFE" w:rsidRPr="000F4A7C" w:rsidRDefault="00681CFE" w:rsidP="00681CFE">
      <w:pPr>
        <w:spacing w:after="0"/>
        <w:rPr>
          <w:rFonts w:ascii="Arial" w:hAnsi="Arial" w:cs="Arial"/>
          <w:bCs/>
          <w:sz w:val="24"/>
          <w:szCs w:val="24"/>
        </w:rPr>
      </w:pPr>
    </w:p>
    <w:p w14:paraId="167F5157" w14:textId="77777777" w:rsidR="00681CFE" w:rsidRPr="000F4A7C" w:rsidRDefault="00681CFE" w:rsidP="00681CFE">
      <w:pPr>
        <w:spacing w:after="0"/>
        <w:ind w:left="720" w:hanging="720"/>
        <w:rPr>
          <w:rFonts w:ascii="Arial" w:hAnsi="Arial" w:cs="Arial"/>
          <w:bCs/>
          <w:sz w:val="24"/>
          <w:szCs w:val="24"/>
        </w:rPr>
      </w:pPr>
      <w:r w:rsidRPr="000F4A7C">
        <w:rPr>
          <w:rFonts w:ascii="Arial" w:hAnsi="Arial" w:cs="Arial"/>
          <w:bCs/>
          <w:color w:val="FF0000"/>
          <w:sz w:val="24"/>
          <w:szCs w:val="24"/>
        </w:rPr>
        <w:t>“B”</w:t>
      </w:r>
      <w:r w:rsidRPr="000F4A7C">
        <w:rPr>
          <w:rFonts w:ascii="Arial" w:hAnsi="Arial" w:cs="Arial"/>
          <w:bCs/>
          <w:sz w:val="24"/>
          <w:szCs w:val="24"/>
        </w:rPr>
        <w:tab/>
        <w:t xml:space="preserve">2019 </w:t>
      </w:r>
      <w:proofErr w:type="spellStart"/>
      <w:r w:rsidRPr="000F4A7C">
        <w:rPr>
          <w:rFonts w:ascii="Arial" w:hAnsi="Arial" w:cs="Arial"/>
          <w:bCs/>
          <w:sz w:val="24"/>
          <w:szCs w:val="24"/>
        </w:rPr>
        <w:t>CoS</w:t>
      </w:r>
      <w:proofErr w:type="spellEnd"/>
      <w:r w:rsidRPr="000F4A7C">
        <w:rPr>
          <w:rFonts w:ascii="Arial" w:hAnsi="Arial" w:cs="Arial"/>
          <w:bCs/>
          <w:sz w:val="24"/>
          <w:szCs w:val="24"/>
        </w:rPr>
        <w:t xml:space="preserve"> IR Response DVA Continuity Schedule, Interrogatory Response, April 8, 2019 (above noted third reference)</w:t>
      </w:r>
    </w:p>
    <w:p w14:paraId="2D603EB0" w14:textId="77777777" w:rsidR="00681CFE" w:rsidRPr="000F4A7C" w:rsidRDefault="00681CFE" w:rsidP="00681CFE">
      <w:pPr>
        <w:spacing w:after="0"/>
        <w:rPr>
          <w:rFonts w:ascii="Arial" w:hAnsi="Arial" w:cs="Arial"/>
          <w:sz w:val="24"/>
          <w:szCs w:val="24"/>
        </w:rPr>
      </w:pPr>
    </w:p>
    <w:p w14:paraId="6051B5BC" w14:textId="77777777" w:rsidR="00681CFE" w:rsidRPr="000F4A7C" w:rsidRDefault="00681CFE" w:rsidP="00681CFE">
      <w:pPr>
        <w:spacing w:after="0"/>
        <w:ind w:left="720" w:hanging="720"/>
        <w:rPr>
          <w:rFonts w:ascii="Arial" w:hAnsi="Arial" w:cs="Arial"/>
          <w:bCs/>
          <w:sz w:val="24"/>
          <w:szCs w:val="24"/>
        </w:rPr>
      </w:pPr>
      <w:r w:rsidRPr="000F4A7C">
        <w:rPr>
          <w:rFonts w:ascii="Arial" w:hAnsi="Arial" w:cs="Arial"/>
          <w:bCs/>
          <w:color w:val="FF0000"/>
          <w:sz w:val="24"/>
          <w:szCs w:val="24"/>
        </w:rPr>
        <w:t>“D”</w:t>
      </w:r>
      <w:r w:rsidRPr="000F4A7C">
        <w:rPr>
          <w:rFonts w:ascii="Arial" w:hAnsi="Arial" w:cs="Arial"/>
          <w:bCs/>
          <w:sz w:val="24"/>
          <w:szCs w:val="24"/>
        </w:rPr>
        <w:tab/>
        <w:t>Account 1588 and Account 1589 Adjusting Journal Entry as per Revised 2020 IRM Application December 17, 2019, pages 14 &amp; 15 (above noted first reference)</w:t>
      </w:r>
    </w:p>
    <w:p w14:paraId="39B5D84C" w14:textId="77777777" w:rsidR="00681CFE" w:rsidRPr="000F4A7C" w:rsidRDefault="00681CFE" w:rsidP="00681CFE">
      <w:pPr>
        <w:spacing w:after="0"/>
        <w:rPr>
          <w:rFonts w:ascii="Arial" w:hAnsi="Arial" w:cs="Arial"/>
          <w:sz w:val="24"/>
          <w:szCs w:val="24"/>
        </w:rPr>
      </w:pPr>
    </w:p>
    <w:p w14:paraId="10379DC6" w14:textId="77777777" w:rsidR="00681CFE" w:rsidRPr="000F4A7C" w:rsidRDefault="00681CFE" w:rsidP="00681CFE">
      <w:pPr>
        <w:spacing w:after="0"/>
        <w:rPr>
          <w:rFonts w:ascii="Arial" w:hAnsi="Arial" w:cs="Arial"/>
          <w:sz w:val="24"/>
          <w:szCs w:val="24"/>
        </w:rPr>
      </w:pPr>
      <w:r w:rsidRPr="000F4A7C">
        <w:rPr>
          <w:rFonts w:ascii="Arial" w:hAnsi="Arial" w:cs="Arial"/>
          <w:sz w:val="24"/>
          <w:szCs w:val="24"/>
        </w:rPr>
        <w:t xml:space="preserve">OEB staff notes that since Account 1588 and Account 1589 were not cleared in the 2019 </w:t>
      </w:r>
      <w:proofErr w:type="spellStart"/>
      <w:r w:rsidRPr="000F4A7C">
        <w:rPr>
          <w:rFonts w:ascii="Arial" w:hAnsi="Arial" w:cs="Arial"/>
          <w:sz w:val="24"/>
          <w:szCs w:val="24"/>
        </w:rPr>
        <w:t>CoS</w:t>
      </w:r>
      <w:proofErr w:type="spellEnd"/>
      <w:r w:rsidRPr="000F4A7C">
        <w:rPr>
          <w:rFonts w:ascii="Arial" w:hAnsi="Arial" w:cs="Arial"/>
          <w:sz w:val="24"/>
          <w:szCs w:val="24"/>
        </w:rPr>
        <w:t xml:space="preserve"> proceeding, the amounts relating to these accounts are $0 in the 2019 </w:t>
      </w:r>
      <w:proofErr w:type="spellStart"/>
      <w:r w:rsidRPr="000F4A7C">
        <w:rPr>
          <w:rFonts w:ascii="Arial" w:hAnsi="Arial" w:cs="Arial"/>
          <w:sz w:val="24"/>
          <w:szCs w:val="24"/>
        </w:rPr>
        <w:t>CoS</w:t>
      </w:r>
      <w:proofErr w:type="spellEnd"/>
      <w:r w:rsidRPr="000F4A7C">
        <w:rPr>
          <w:rFonts w:ascii="Arial" w:hAnsi="Arial" w:cs="Arial"/>
          <w:sz w:val="24"/>
          <w:szCs w:val="24"/>
        </w:rPr>
        <w:t xml:space="preserve"> settlement agreement DVA Continuity Schedule (above noted fourth reference). Regarding balances filed in the 2019 </w:t>
      </w:r>
      <w:proofErr w:type="spellStart"/>
      <w:r w:rsidRPr="000F4A7C">
        <w:rPr>
          <w:rFonts w:ascii="Arial" w:hAnsi="Arial" w:cs="Arial"/>
          <w:sz w:val="24"/>
          <w:szCs w:val="24"/>
        </w:rPr>
        <w:t>CoS</w:t>
      </w:r>
      <w:proofErr w:type="spellEnd"/>
      <w:r w:rsidRPr="000F4A7C">
        <w:rPr>
          <w:rFonts w:ascii="Arial" w:hAnsi="Arial" w:cs="Arial"/>
          <w:sz w:val="24"/>
          <w:szCs w:val="24"/>
        </w:rPr>
        <w:t xml:space="preserve"> proceeding, OEB staff has instead worked from the Account 1588 and Account 1589 balances filed as part of the interrogatory response in the 2019 </w:t>
      </w:r>
      <w:proofErr w:type="spellStart"/>
      <w:r w:rsidRPr="000F4A7C">
        <w:rPr>
          <w:rFonts w:ascii="Arial" w:hAnsi="Arial" w:cs="Arial"/>
          <w:sz w:val="24"/>
          <w:szCs w:val="24"/>
        </w:rPr>
        <w:t>CoS</w:t>
      </w:r>
      <w:proofErr w:type="spellEnd"/>
      <w:r w:rsidRPr="000F4A7C">
        <w:rPr>
          <w:rFonts w:ascii="Arial" w:hAnsi="Arial" w:cs="Arial"/>
          <w:sz w:val="24"/>
          <w:szCs w:val="24"/>
        </w:rPr>
        <w:t xml:space="preserve"> proceeding (above noted third reference).</w:t>
      </w:r>
    </w:p>
    <w:p w14:paraId="40AC7751" w14:textId="77777777" w:rsidR="00681CFE" w:rsidRPr="000F4A7C" w:rsidRDefault="00681CFE" w:rsidP="00681CFE">
      <w:pPr>
        <w:spacing w:after="0"/>
        <w:rPr>
          <w:rFonts w:ascii="Arial" w:hAnsi="Arial" w:cs="Arial"/>
          <w:sz w:val="24"/>
          <w:szCs w:val="24"/>
        </w:rPr>
      </w:pPr>
    </w:p>
    <w:p w14:paraId="336A35B8" w14:textId="77777777" w:rsidR="00681CFE" w:rsidRPr="000F4A7C" w:rsidRDefault="00681CFE" w:rsidP="00681CFE">
      <w:pPr>
        <w:spacing w:after="0"/>
        <w:rPr>
          <w:rFonts w:ascii="Arial" w:hAnsi="Arial" w:cs="Arial"/>
          <w:sz w:val="24"/>
          <w:szCs w:val="24"/>
        </w:rPr>
      </w:pPr>
      <w:r w:rsidRPr="000F4A7C">
        <w:rPr>
          <w:rFonts w:ascii="Arial" w:hAnsi="Arial" w:cs="Arial"/>
          <w:sz w:val="24"/>
          <w:szCs w:val="24"/>
        </w:rPr>
        <w:t>Table 1 below summarizes the differences and information required from CPUC.</w:t>
      </w:r>
    </w:p>
    <w:p w14:paraId="0C9B9EC7" w14:textId="77777777" w:rsidR="00681CFE" w:rsidRPr="000F4A7C" w:rsidRDefault="00681CFE" w:rsidP="00681CFE">
      <w:pPr>
        <w:spacing w:after="0"/>
        <w:rPr>
          <w:rFonts w:ascii="Arial" w:hAnsi="Arial" w:cs="Arial"/>
          <w:sz w:val="24"/>
          <w:szCs w:val="24"/>
        </w:rPr>
      </w:pPr>
    </w:p>
    <w:p w14:paraId="4926DDFB" w14:textId="77777777" w:rsidR="00681CFE" w:rsidRPr="000F4A7C" w:rsidRDefault="00681CFE" w:rsidP="00681CFE">
      <w:pPr>
        <w:spacing w:after="0"/>
        <w:jc w:val="center"/>
        <w:rPr>
          <w:rFonts w:ascii="Arial" w:hAnsi="Arial" w:cs="Arial"/>
          <w:b/>
          <w:sz w:val="24"/>
          <w:szCs w:val="24"/>
        </w:rPr>
      </w:pPr>
      <w:r w:rsidRPr="000F4A7C">
        <w:rPr>
          <w:rFonts w:ascii="Arial" w:hAnsi="Arial" w:cs="Arial"/>
          <w:b/>
          <w:sz w:val="24"/>
          <w:szCs w:val="24"/>
        </w:rPr>
        <w:t>OEB Staff Table 1 – Discrepancies in Account 1588 and Account 1589 Balances –</w:t>
      </w:r>
    </w:p>
    <w:p w14:paraId="731ECE08" w14:textId="77777777" w:rsidR="00681CFE" w:rsidRPr="000F4A7C" w:rsidRDefault="00681CFE" w:rsidP="00681CFE">
      <w:pPr>
        <w:spacing w:after="0"/>
        <w:jc w:val="center"/>
        <w:rPr>
          <w:rFonts w:ascii="Arial" w:hAnsi="Arial" w:cs="Arial"/>
          <w:b/>
          <w:sz w:val="24"/>
          <w:szCs w:val="24"/>
        </w:rPr>
      </w:pPr>
      <w:r w:rsidRPr="000F4A7C">
        <w:rPr>
          <w:rFonts w:ascii="Arial" w:hAnsi="Arial" w:cs="Arial"/>
          <w:b/>
          <w:sz w:val="24"/>
          <w:szCs w:val="24"/>
        </w:rPr>
        <w:t xml:space="preserve">2020 IRM Proceeding and 2019 </w:t>
      </w:r>
      <w:proofErr w:type="spellStart"/>
      <w:r w:rsidRPr="000F4A7C">
        <w:rPr>
          <w:rFonts w:ascii="Arial" w:hAnsi="Arial" w:cs="Arial"/>
          <w:b/>
          <w:sz w:val="24"/>
          <w:szCs w:val="24"/>
        </w:rPr>
        <w:t>CoS</w:t>
      </w:r>
      <w:proofErr w:type="spellEnd"/>
      <w:r w:rsidRPr="000F4A7C">
        <w:rPr>
          <w:rFonts w:ascii="Arial" w:hAnsi="Arial" w:cs="Arial"/>
          <w:b/>
          <w:sz w:val="24"/>
          <w:szCs w:val="24"/>
        </w:rPr>
        <w:t xml:space="preserve"> Proceeding</w:t>
      </w:r>
    </w:p>
    <w:p w14:paraId="7FD2FFAA" w14:textId="77777777" w:rsidR="00681CFE" w:rsidRPr="000F4A7C" w:rsidRDefault="00681CFE" w:rsidP="00681CFE">
      <w:pPr>
        <w:spacing w:after="0"/>
        <w:rPr>
          <w:rFonts w:ascii="Arial" w:hAnsi="Arial" w:cs="Arial"/>
          <w:b/>
          <w:bCs/>
          <w:sz w:val="24"/>
          <w:szCs w:val="24"/>
        </w:rPr>
      </w:pPr>
    </w:p>
    <w:p w14:paraId="5CA71936" w14:textId="77777777" w:rsidR="00681CFE" w:rsidRPr="000F4A7C" w:rsidRDefault="00681CFE" w:rsidP="00681CFE">
      <w:pPr>
        <w:spacing w:after="0"/>
        <w:rPr>
          <w:rFonts w:ascii="Arial" w:hAnsi="Arial" w:cs="Arial"/>
          <w:b/>
          <w:bCs/>
          <w:sz w:val="24"/>
          <w:szCs w:val="24"/>
        </w:rPr>
      </w:pPr>
      <w:r w:rsidRPr="000F4A7C">
        <w:rPr>
          <w:rFonts w:ascii="Arial" w:hAnsi="Arial" w:cs="Arial"/>
          <w:noProof/>
          <w:sz w:val="24"/>
          <w:szCs w:val="24"/>
          <w:lang w:val="en-US"/>
        </w:rPr>
        <w:lastRenderedPageBreak/>
        <w:drawing>
          <wp:inline distT="0" distB="0" distL="0" distR="0" wp14:anchorId="10FAFE9C" wp14:editId="08065A4D">
            <wp:extent cx="5943600" cy="5481444"/>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5481444"/>
                    </a:xfrm>
                    <a:prstGeom prst="rect">
                      <a:avLst/>
                    </a:prstGeom>
                    <a:noFill/>
                    <a:ln>
                      <a:noFill/>
                    </a:ln>
                  </pic:spPr>
                </pic:pic>
              </a:graphicData>
            </a:graphic>
          </wp:inline>
        </w:drawing>
      </w:r>
    </w:p>
    <w:p w14:paraId="117F2195" w14:textId="77777777" w:rsidR="00681CFE" w:rsidRPr="000F4A7C" w:rsidRDefault="00681CFE" w:rsidP="00681CFE">
      <w:pPr>
        <w:spacing w:after="0"/>
        <w:rPr>
          <w:rFonts w:ascii="Arial" w:hAnsi="Arial" w:cs="Arial"/>
          <w:b/>
          <w:bCs/>
          <w:sz w:val="24"/>
          <w:szCs w:val="24"/>
        </w:rPr>
      </w:pPr>
    </w:p>
    <w:p w14:paraId="5538195C" w14:textId="77777777" w:rsidR="00681CFE" w:rsidRPr="000F4A7C" w:rsidRDefault="00681CFE" w:rsidP="00681CFE">
      <w:pPr>
        <w:spacing w:after="0"/>
        <w:rPr>
          <w:rFonts w:ascii="Arial" w:hAnsi="Arial" w:cs="Arial"/>
          <w:b/>
          <w:bCs/>
          <w:sz w:val="24"/>
          <w:szCs w:val="24"/>
        </w:rPr>
      </w:pPr>
      <w:r w:rsidRPr="000F4A7C">
        <w:rPr>
          <w:rFonts w:ascii="Arial" w:hAnsi="Arial" w:cs="Arial"/>
          <w:b/>
          <w:bCs/>
          <w:sz w:val="24"/>
          <w:szCs w:val="24"/>
        </w:rPr>
        <w:t>Questions:</w:t>
      </w:r>
    </w:p>
    <w:p w14:paraId="6431BC28" w14:textId="77777777" w:rsidR="00681CFE" w:rsidRPr="000F4A7C" w:rsidRDefault="00681CFE" w:rsidP="00681CFE">
      <w:pPr>
        <w:spacing w:after="0"/>
        <w:rPr>
          <w:rFonts w:ascii="Arial" w:hAnsi="Arial" w:cs="Arial"/>
          <w:b/>
          <w:bCs/>
          <w:sz w:val="24"/>
          <w:szCs w:val="24"/>
        </w:rPr>
      </w:pPr>
    </w:p>
    <w:p w14:paraId="630C2D49" w14:textId="23A5011E" w:rsidR="00681CFE" w:rsidRPr="000F4A7C" w:rsidRDefault="00681CFE" w:rsidP="00681CFE">
      <w:pPr>
        <w:pStyle w:val="ListParagraph"/>
        <w:numPr>
          <w:ilvl w:val="0"/>
          <w:numId w:val="6"/>
        </w:numPr>
        <w:spacing w:after="0"/>
        <w:rPr>
          <w:rFonts w:ascii="Arial" w:hAnsi="Arial" w:cs="Arial"/>
          <w:bCs/>
          <w:sz w:val="24"/>
          <w:szCs w:val="24"/>
        </w:rPr>
      </w:pPr>
      <w:r w:rsidRPr="000F4A7C">
        <w:rPr>
          <w:rFonts w:ascii="Arial" w:hAnsi="Arial" w:cs="Arial"/>
          <w:bCs/>
          <w:sz w:val="24"/>
          <w:szCs w:val="24"/>
        </w:rPr>
        <w:t xml:space="preserve">Please confirm whether CPUC is in agreement with OEB staff’s calculations in the above noted OEB Staff Table 1. </w:t>
      </w:r>
      <w:r w:rsidR="00531825">
        <w:rPr>
          <w:rFonts w:ascii="Arial" w:hAnsi="Arial" w:cs="Arial"/>
          <w:bCs/>
          <w:color w:val="FF0000"/>
          <w:sz w:val="24"/>
          <w:szCs w:val="24"/>
        </w:rPr>
        <w:t>Yes we confirm</w:t>
      </w:r>
      <w:r w:rsidR="00CB30BC">
        <w:rPr>
          <w:rFonts w:ascii="Arial" w:hAnsi="Arial" w:cs="Arial"/>
          <w:bCs/>
          <w:color w:val="FF0000"/>
          <w:sz w:val="24"/>
          <w:szCs w:val="24"/>
        </w:rPr>
        <w:t xml:space="preserve"> but </w:t>
      </w:r>
      <w:proofErr w:type="spellStart"/>
      <w:r w:rsidR="00CB30BC">
        <w:rPr>
          <w:rFonts w:ascii="Arial" w:hAnsi="Arial" w:cs="Arial"/>
          <w:bCs/>
          <w:color w:val="FF0000"/>
          <w:sz w:val="24"/>
          <w:szCs w:val="24"/>
        </w:rPr>
        <w:t>Chapleau</w:t>
      </w:r>
      <w:proofErr w:type="spellEnd"/>
      <w:r w:rsidR="00CB30BC">
        <w:rPr>
          <w:rFonts w:ascii="Arial" w:hAnsi="Arial" w:cs="Arial"/>
          <w:bCs/>
          <w:color w:val="FF0000"/>
          <w:sz w:val="24"/>
          <w:szCs w:val="24"/>
        </w:rPr>
        <w:t xml:space="preserve"> has made further changes in table as shown below.</w:t>
      </w:r>
    </w:p>
    <w:p w14:paraId="653232CB" w14:textId="77777777" w:rsidR="00681CFE" w:rsidRPr="000F4A7C" w:rsidRDefault="00681CFE" w:rsidP="00681CFE">
      <w:pPr>
        <w:pStyle w:val="ListParagraph"/>
        <w:spacing w:after="0"/>
        <w:rPr>
          <w:rFonts w:ascii="Arial" w:hAnsi="Arial" w:cs="Arial"/>
          <w:bCs/>
          <w:sz w:val="24"/>
          <w:szCs w:val="24"/>
        </w:rPr>
      </w:pPr>
    </w:p>
    <w:p w14:paraId="51D37774" w14:textId="3F1E7514" w:rsidR="00681CFE" w:rsidRPr="000F4A7C" w:rsidRDefault="00681CFE" w:rsidP="00681CFE">
      <w:pPr>
        <w:pStyle w:val="ListParagraph"/>
        <w:numPr>
          <w:ilvl w:val="0"/>
          <w:numId w:val="6"/>
        </w:numPr>
        <w:spacing w:after="0"/>
        <w:rPr>
          <w:rFonts w:ascii="Arial" w:hAnsi="Arial" w:cs="Arial"/>
          <w:sz w:val="24"/>
          <w:szCs w:val="24"/>
        </w:rPr>
      </w:pPr>
      <w:r w:rsidRPr="000F4A7C">
        <w:rPr>
          <w:rFonts w:ascii="Arial" w:hAnsi="Arial" w:cs="Arial"/>
          <w:sz w:val="24"/>
          <w:szCs w:val="24"/>
        </w:rPr>
        <w:t>Please confirm that OEB Staff Table 1 needs to be revised to reflect an updated number for the Account 1589 balance in 2015, as described in more detail in a</w:t>
      </w:r>
      <w:r w:rsidR="008E0A8E">
        <w:rPr>
          <w:rFonts w:ascii="Arial" w:hAnsi="Arial" w:cs="Arial"/>
          <w:sz w:val="24"/>
          <w:szCs w:val="24"/>
        </w:rPr>
        <w:t xml:space="preserve"> question</w:t>
      </w:r>
      <w:r w:rsidRPr="000F4A7C">
        <w:rPr>
          <w:rFonts w:ascii="Arial" w:hAnsi="Arial" w:cs="Arial"/>
          <w:sz w:val="24"/>
          <w:szCs w:val="24"/>
        </w:rPr>
        <w:t xml:space="preserve"> below.</w:t>
      </w:r>
      <w:r w:rsidR="00531825">
        <w:rPr>
          <w:rFonts w:ascii="Arial" w:hAnsi="Arial" w:cs="Arial"/>
          <w:sz w:val="24"/>
          <w:szCs w:val="24"/>
        </w:rPr>
        <w:t xml:space="preserve"> </w:t>
      </w:r>
      <w:r w:rsidR="00531825">
        <w:rPr>
          <w:rFonts w:ascii="Arial" w:hAnsi="Arial" w:cs="Arial"/>
          <w:color w:val="FF0000"/>
          <w:sz w:val="24"/>
          <w:szCs w:val="24"/>
        </w:rPr>
        <w:t>Yes we confirm.</w:t>
      </w:r>
    </w:p>
    <w:p w14:paraId="389A7196" w14:textId="77777777" w:rsidR="00681CFE" w:rsidRPr="000F4A7C" w:rsidRDefault="00681CFE" w:rsidP="00681CFE">
      <w:pPr>
        <w:pStyle w:val="ListParagraph"/>
        <w:spacing w:after="0"/>
        <w:rPr>
          <w:rFonts w:ascii="Arial" w:hAnsi="Arial" w:cs="Arial"/>
          <w:sz w:val="24"/>
          <w:szCs w:val="24"/>
        </w:rPr>
      </w:pPr>
    </w:p>
    <w:p w14:paraId="1804562B" w14:textId="4C812333" w:rsidR="00681CFE" w:rsidRPr="000F4A7C" w:rsidRDefault="00681CFE" w:rsidP="00681CFE">
      <w:pPr>
        <w:pStyle w:val="ListParagraph"/>
        <w:numPr>
          <w:ilvl w:val="0"/>
          <w:numId w:val="6"/>
        </w:numPr>
        <w:spacing w:after="0"/>
        <w:rPr>
          <w:rFonts w:ascii="Arial" w:hAnsi="Arial" w:cs="Arial"/>
          <w:sz w:val="24"/>
          <w:szCs w:val="24"/>
        </w:rPr>
      </w:pPr>
      <w:r w:rsidRPr="000F4A7C">
        <w:rPr>
          <w:rFonts w:ascii="Arial" w:hAnsi="Arial" w:cs="Arial"/>
          <w:sz w:val="24"/>
          <w:szCs w:val="24"/>
        </w:rPr>
        <w:t>Please confirm that column “B” represents the principal and interest amounts recorded in the general ledger for each respective year.</w:t>
      </w:r>
      <w:r w:rsidR="00531825">
        <w:rPr>
          <w:rFonts w:ascii="Arial" w:hAnsi="Arial" w:cs="Arial"/>
          <w:sz w:val="24"/>
          <w:szCs w:val="24"/>
        </w:rPr>
        <w:t xml:space="preserve">  </w:t>
      </w:r>
      <w:r w:rsidR="00531825">
        <w:rPr>
          <w:rFonts w:ascii="Arial" w:hAnsi="Arial" w:cs="Arial"/>
          <w:color w:val="FF0000"/>
          <w:sz w:val="24"/>
          <w:szCs w:val="24"/>
        </w:rPr>
        <w:t>Yes we confirm.</w:t>
      </w:r>
      <w:r w:rsidRPr="000F4A7C">
        <w:rPr>
          <w:rFonts w:ascii="Arial" w:hAnsi="Arial" w:cs="Arial"/>
          <w:sz w:val="24"/>
          <w:szCs w:val="24"/>
        </w:rPr>
        <w:t xml:space="preserve"> </w:t>
      </w:r>
    </w:p>
    <w:p w14:paraId="796A7ED1" w14:textId="77777777" w:rsidR="00681CFE" w:rsidRPr="000F4A7C" w:rsidRDefault="00681CFE" w:rsidP="00681CFE">
      <w:pPr>
        <w:pStyle w:val="ListParagraph"/>
        <w:spacing w:after="0"/>
        <w:rPr>
          <w:rFonts w:ascii="Arial" w:hAnsi="Arial" w:cs="Arial"/>
          <w:sz w:val="24"/>
          <w:szCs w:val="24"/>
        </w:rPr>
      </w:pPr>
    </w:p>
    <w:p w14:paraId="059017E8" w14:textId="31611F49" w:rsidR="00681CFE" w:rsidRPr="000F4A7C" w:rsidRDefault="00681CFE" w:rsidP="00681CFE">
      <w:pPr>
        <w:pStyle w:val="ListParagraph"/>
        <w:numPr>
          <w:ilvl w:val="0"/>
          <w:numId w:val="6"/>
        </w:numPr>
        <w:autoSpaceDE w:val="0"/>
        <w:autoSpaceDN w:val="0"/>
        <w:adjustRightInd w:val="0"/>
        <w:spacing w:after="0"/>
        <w:rPr>
          <w:rFonts w:ascii="Arial" w:hAnsi="Arial" w:cs="Arial"/>
          <w:sz w:val="24"/>
          <w:szCs w:val="24"/>
        </w:rPr>
      </w:pPr>
      <w:r w:rsidRPr="000F4A7C">
        <w:rPr>
          <w:rFonts w:ascii="Arial" w:hAnsi="Arial" w:cs="Arial"/>
          <w:sz w:val="24"/>
          <w:szCs w:val="24"/>
        </w:rPr>
        <w:t>Please confirm that column “A” includes adjustments to amounts recorded in the general ledger for each respective year (as shown in column “B”), generated as a result of CPUC’s review of these historical balances (2014 to 2019) to align with the new accounting guidance.</w:t>
      </w:r>
      <w:r w:rsidR="00492333">
        <w:rPr>
          <w:rFonts w:ascii="Arial" w:hAnsi="Arial" w:cs="Arial"/>
          <w:sz w:val="24"/>
          <w:szCs w:val="24"/>
        </w:rPr>
        <w:t xml:space="preserve"> </w:t>
      </w:r>
      <w:r w:rsidR="00492333">
        <w:rPr>
          <w:rFonts w:ascii="Arial" w:hAnsi="Arial" w:cs="Arial"/>
          <w:color w:val="FF0000"/>
          <w:sz w:val="24"/>
          <w:szCs w:val="24"/>
        </w:rPr>
        <w:t>Yes we confirm</w:t>
      </w:r>
      <w:r w:rsidR="00204EBF">
        <w:rPr>
          <w:rFonts w:ascii="Arial" w:hAnsi="Arial" w:cs="Arial"/>
          <w:color w:val="FF0000"/>
          <w:sz w:val="24"/>
          <w:szCs w:val="24"/>
        </w:rPr>
        <w:t xml:space="preserve"> and we confirm that column C represents the adjustments made to the GL balances and confirm that column D of table 1 journal entry as been updated from journal entry in the version including in the manager summary filed Dec 17, 2019, page 14 and page 15.  The change in journal entry resulted primarily from the change noted in staff question 10.</w:t>
      </w:r>
    </w:p>
    <w:p w14:paraId="03F1DC0D" w14:textId="77777777" w:rsidR="00681CFE" w:rsidRPr="000F4A7C" w:rsidRDefault="00681CFE" w:rsidP="00681CFE">
      <w:pPr>
        <w:pStyle w:val="ListParagraph"/>
        <w:spacing w:after="0"/>
        <w:rPr>
          <w:rFonts w:ascii="Arial" w:hAnsi="Arial" w:cs="Arial"/>
          <w:sz w:val="24"/>
          <w:szCs w:val="24"/>
        </w:rPr>
      </w:pPr>
    </w:p>
    <w:p w14:paraId="70939E1C" w14:textId="1A7FA283" w:rsidR="00681CFE" w:rsidRPr="00F33937" w:rsidRDefault="00681CFE" w:rsidP="00681CFE">
      <w:pPr>
        <w:pStyle w:val="ListParagraph"/>
        <w:numPr>
          <w:ilvl w:val="0"/>
          <w:numId w:val="6"/>
        </w:numPr>
        <w:autoSpaceDE w:val="0"/>
        <w:autoSpaceDN w:val="0"/>
        <w:adjustRightInd w:val="0"/>
        <w:spacing w:after="0"/>
        <w:rPr>
          <w:rFonts w:ascii="Arial" w:hAnsi="Arial" w:cs="Arial"/>
          <w:sz w:val="24"/>
          <w:szCs w:val="24"/>
        </w:rPr>
      </w:pPr>
      <w:r w:rsidRPr="00F33937">
        <w:rPr>
          <w:rFonts w:ascii="Arial" w:hAnsi="Arial" w:cs="Arial"/>
          <w:sz w:val="24"/>
          <w:szCs w:val="24"/>
        </w:rPr>
        <w:t>Please complete the cells that are shown as “TBD”. For the cells shown as “TBD” in column B, please also insert the general ledger balances.</w:t>
      </w:r>
      <w:r w:rsidR="00246C11">
        <w:rPr>
          <w:rFonts w:ascii="Arial" w:hAnsi="Arial" w:cs="Arial"/>
          <w:sz w:val="24"/>
          <w:szCs w:val="24"/>
        </w:rPr>
        <w:t xml:space="preserve">  </w:t>
      </w:r>
      <w:r w:rsidR="00246C11">
        <w:rPr>
          <w:rFonts w:ascii="Arial" w:hAnsi="Arial" w:cs="Arial"/>
          <w:color w:val="FF0000"/>
          <w:sz w:val="24"/>
          <w:szCs w:val="24"/>
        </w:rPr>
        <w:t>Please see the new OEB staff table 1 below which CPUC as revise</w:t>
      </w:r>
      <w:r w:rsidR="00F01716">
        <w:rPr>
          <w:rFonts w:ascii="Arial" w:hAnsi="Arial" w:cs="Arial"/>
          <w:color w:val="FF0000"/>
          <w:sz w:val="24"/>
          <w:szCs w:val="24"/>
        </w:rPr>
        <w:t>d, including populated cells previously noted as TBD.</w:t>
      </w:r>
    </w:p>
    <w:p w14:paraId="6C0DB573" w14:textId="77777777" w:rsidR="00F33937" w:rsidRPr="00F33937" w:rsidRDefault="00F33937" w:rsidP="00F33937">
      <w:pPr>
        <w:pStyle w:val="ListParagraph"/>
        <w:rPr>
          <w:rFonts w:ascii="Arial" w:hAnsi="Arial" w:cs="Arial"/>
          <w:sz w:val="24"/>
          <w:szCs w:val="24"/>
          <w:highlight w:val="yellow"/>
        </w:rPr>
      </w:pPr>
    </w:p>
    <w:p w14:paraId="5B266C18" w14:textId="3C13484F" w:rsidR="00F33937" w:rsidRPr="00492333" w:rsidRDefault="00F33937" w:rsidP="00F33937">
      <w:pPr>
        <w:pStyle w:val="ListParagraph"/>
        <w:autoSpaceDE w:val="0"/>
        <w:autoSpaceDN w:val="0"/>
        <w:adjustRightInd w:val="0"/>
        <w:spacing w:after="0"/>
        <w:rPr>
          <w:rFonts w:ascii="Arial" w:hAnsi="Arial" w:cs="Arial"/>
          <w:sz w:val="24"/>
          <w:szCs w:val="24"/>
          <w:highlight w:val="yellow"/>
        </w:rPr>
      </w:pPr>
      <w:r w:rsidRPr="00F33937">
        <w:rPr>
          <w:noProof/>
        </w:rPr>
        <w:lastRenderedPageBreak/>
        <w:drawing>
          <wp:inline distT="0" distB="0" distL="0" distR="0" wp14:anchorId="32C1DBE6" wp14:editId="70394966">
            <wp:extent cx="5943600" cy="646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465570"/>
                    </a:xfrm>
                    <a:prstGeom prst="rect">
                      <a:avLst/>
                    </a:prstGeom>
                    <a:noFill/>
                    <a:ln>
                      <a:noFill/>
                    </a:ln>
                  </pic:spPr>
                </pic:pic>
              </a:graphicData>
            </a:graphic>
          </wp:inline>
        </w:drawing>
      </w:r>
    </w:p>
    <w:p w14:paraId="6A258BA2" w14:textId="77777777" w:rsidR="00681CFE" w:rsidRPr="000F4A7C" w:rsidRDefault="00681CFE" w:rsidP="00681CFE">
      <w:pPr>
        <w:pStyle w:val="ListParagraph"/>
        <w:spacing w:after="0"/>
        <w:rPr>
          <w:rFonts w:ascii="Arial" w:hAnsi="Arial" w:cs="Arial"/>
          <w:sz w:val="24"/>
          <w:szCs w:val="24"/>
        </w:rPr>
      </w:pPr>
    </w:p>
    <w:p w14:paraId="3D6AC29C" w14:textId="25E2658C" w:rsidR="00681CFE" w:rsidRPr="00C93ECB" w:rsidRDefault="00681CFE" w:rsidP="00681CFE">
      <w:pPr>
        <w:pStyle w:val="ListParagraph"/>
        <w:numPr>
          <w:ilvl w:val="0"/>
          <w:numId w:val="6"/>
        </w:numPr>
        <w:autoSpaceDE w:val="0"/>
        <w:autoSpaceDN w:val="0"/>
        <w:adjustRightInd w:val="0"/>
        <w:spacing w:after="0"/>
        <w:rPr>
          <w:rFonts w:ascii="Arial" w:hAnsi="Arial" w:cs="Arial"/>
          <w:sz w:val="24"/>
          <w:szCs w:val="24"/>
        </w:rPr>
      </w:pPr>
      <w:r w:rsidRPr="00C93ECB">
        <w:rPr>
          <w:rFonts w:ascii="Arial" w:hAnsi="Arial" w:cs="Arial"/>
          <w:sz w:val="24"/>
          <w:szCs w:val="24"/>
        </w:rPr>
        <w:t>After completing these cells shown as “TBD”, please explain at a high level the differences shown in column C and column E.</w:t>
      </w:r>
      <w:r w:rsidR="00C93ECB">
        <w:rPr>
          <w:rFonts w:ascii="Arial" w:hAnsi="Arial" w:cs="Arial"/>
          <w:sz w:val="24"/>
          <w:szCs w:val="24"/>
        </w:rPr>
        <w:t xml:space="preserve"> </w:t>
      </w:r>
      <w:r w:rsidR="00C93ECB">
        <w:rPr>
          <w:rFonts w:ascii="Arial" w:hAnsi="Arial" w:cs="Arial"/>
          <w:color w:val="FF0000"/>
          <w:sz w:val="24"/>
          <w:szCs w:val="24"/>
        </w:rPr>
        <w:t>There</w:t>
      </w:r>
      <w:r w:rsidR="00490D52">
        <w:rPr>
          <w:rFonts w:ascii="Arial" w:hAnsi="Arial" w:cs="Arial"/>
          <w:color w:val="FF0000"/>
          <w:sz w:val="24"/>
          <w:szCs w:val="24"/>
        </w:rPr>
        <w:t xml:space="preserve"> is </w:t>
      </w:r>
      <w:r w:rsidR="00C93ECB">
        <w:rPr>
          <w:rFonts w:ascii="Arial" w:hAnsi="Arial" w:cs="Arial"/>
          <w:color w:val="FF0000"/>
          <w:sz w:val="24"/>
          <w:szCs w:val="24"/>
        </w:rPr>
        <w:t>no difference</w:t>
      </w:r>
      <w:r w:rsidR="00AD58D1">
        <w:rPr>
          <w:rFonts w:ascii="Arial" w:hAnsi="Arial" w:cs="Arial"/>
          <w:color w:val="FF0000"/>
          <w:sz w:val="24"/>
          <w:szCs w:val="24"/>
        </w:rPr>
        <w:t xml:space="preserve"> after updating the table.</w:t>
      </w:r>
    </w:p>
    <w:p w14:paraId="43B89EB5" w14:textId="77777777" w:rsidR="00681CFE" w:rsidRPr="000F4A7C" w:rsidRDefault="00681CFE" w:rsidP="00681CFE">
      <w:pPr>
        <w:pStyle w:val="ListParagraph"/>
        <w:spacing w:after="0"/>
        <w:rPr>
          <w:rFonts w:ascii="Arial" w:hAnsi="Arial" w:cs="Arial"/>
          <w:sz w:val="24"/>
          <w:szCs w:val="24"/>
        </w:rPr>
      </w:pPr>
    </w:p>
    <w:p w14:paraId="1CAD5CE6" w14:textId="4CC31639" w:rsidR="00681CFE" w:rsidRPr="000F4A7C" w:rsidRDefault="00681CFE" w:rsidP="00681CFE">
      <w:pPr>
        <w:pStyle w:val="ListParagraph"/>
        <w:numPr>
          <w:ilvl w:val="0"/>
          <w:numId w:val="6"/>
        </w:numPr>
        <w:spacing w:after="0"/>
        <w:rPr>
          <w:rFonts w:ascii="Arial" w:hAnsi="Arial" w:cs="Arial"/>
          <w:sz w:val="24"/>
          <w:szCs w:val="24"/>
        </w:rPr>
      </w:pPr>
      <w:r w:rsidRPr="000F4A7C">
        <w:rPr>
          <w:rFonts w:ascii="Arial" w:hAnsi="Arial" w:cs="Arial"/>
          <w:sz w:val="24"/>
          <w:szCs w:val="24"/>
        </w:rPr>
        <w:t>Please restate the</w:t>
      </w:r>
      <w:r w:rsidR="003B646D">
        <w:rPr>
          <w:rFonts w:ascii="Arial" w:hAnsi="Arial" w:cs="Arial"/>
          <w:sz w:val="24"/>
          <w:szCs w:val="24"/>
        </w:rPr>
        <w:t xml:space="preserve"> 2020 IRM</w:t>
      </w:r>
      <w:r w:rsidRPr="000F4A7C">
        <w:rPr>
          <w:rFonts w:ascii="Arial" w:hAnsi="Arial" w:cs="Arial"/>
          <w:sz w:val="24"/>
          <w:szCs w:val="24"/>
        </w:rPr>
        <w:t xml:space="preserve"> DVA Continuity Schedule to reflect the original general ledger balance in the “Transactions” columns and the difference between the original general ledger balance and the restated amounts in the “Principal </w:t>
      </w:r>
      <w:r w:rsidRPr="000F4A7C">
        <w:rPr>
          <w:rFonts w:ascii="Arial" w:hAnsi="Arial" w:cs="Arial"/>
          <w:sz w:val="24"/>
          <w:szCs w:val="24"/>
        </w:rPr>
        <w:lastRenderedPageBreak/>
        <w:t xml:space="preserve">Adjustments” columns. </w:t>
      </w:r>
      <w:r w:rsidR="005C1762">
        <w:rPr>
          <w:rFonts w:ascii="Arial" w:hAnsi="Arial" w:cs="Arial"/>
          <w:color w:val="FF0000"/>
          <w:sz w:val="24"/>
          <w:szCs w:val="24"/>
        </w:rPr>
        <w:t>Completed and will be uploaded with changes.</w:t>
      </w:r>
      <w:r w:rsidR="00B76972">
        <w:rPr>
          <w:rFonts w:ascii="Arial" w:hAnsi="Arial" w:cs="Arial"/>
          <w:color w:val="FF0000"/>
          <w:sz w:val="24"/>
          <w:szCs w:val="24"/>
        </w:rPr>
        <w:t xml:space="preserve">  </w:t>
      </w:r>
      <w:r w:rsidR="00375485">
        <w:rPr>
          <w:rFonts w:ascii="Arial" w:hAnsi="Arial" w:cs="Arial"/>
          <w:color w:val="FF0000"/>
          <w:sz w:val="24"/>
          <w:szCs w:val="24"/>
        </w:rPr>
        <w:t>We confirm that the transactions columns exclude OEB dispositions and we confirm that the OEB approved amounts in  2014 and 2015 were correctly recorded in the GL and no further adjustments are required.</w:t>
      </w:r>
    </w:p>
    <w:p w14:paraId="41D1A08C" w14:textId="77777777" w:rsidR="00681CFE" w:rsidRPr="000F4A7C" w:rsidRDefault="00681CFE" w:rsidP="00681CFE">
      <w:pPr>
        <w:pStyle w:val="ListParagraph"/>
        <w:spacing w:after="0"/>
        <w:rPr>
          <w:rFonts w:ascii="Arial" w:hAnsi="Arial" w:cs="Arial"/>
          <w:sz w:val="24"/>
          <w:szCs w:val="24"/>
        </w:rPr>
      </w:pPr>
    </w:p>
    <w:p w14:paraId="2208EF28" w14:textId="132C5D2E" w:rsidR="00681CFE" w:rsidRPr="000F4A7C" w:rsidRDefault="00681CFE" w:rsidP="00681CFE">
      <w:pPr>
        <w:pStyle w:val="ListParagraph"/>
        <w:numPr>
          <w:ilvl w:val="0"/>
          <w:numId w:val="6"/>
        </w:numPr>
        <w:spacing w:after="0"/>
        <w:rPr>
          <w:rFonts w:ascii="Arial" w:hAnsi="Arial" w:cs="Arial"/>
          <w:sz w:val="24"/>
          <w:szCs w:val="24"/>
        </w:rPr>
      </w:pPr>
      <w:r w:rsidRPr="000F4A7C">
        <w:rPr>
          <w:rFonts w:ascii="Arial" w:hAnsi="Arial" w:cs="Arial"/>
          <w:sz w:val="24"/>
          <w:szCs w:val="24"/>
        </w:rPr>
        <w:t>Please confirm that the amounts shown in the “Principal Adjustments” columns are restatements and do not reflect timing differences. Please confirm that these “Principal Adjustments” will not need to be reversed in subsequent periods, as they are not timing differences.</w:t>
      </w:r>
      <w:r w:rsidR="00AF053B">
        <w:rPr>
          <w:rFonts w:ascii="Arial" w:hAnsi="Arial" w:cs="Arial"/>
          <w:sz w:val="24"/>
          <w:szCs w:val="24"/>
        </w:rPr>
        <w:t xml:space="preserve"> </w:t>
      </w:r>
      <w:r w:rsidR="00AF053B">
        <w:rPr>
          <w:rFonts w:ascii="Arial" w:hAnsi="Arial" w:cs="Arial"/>
          <w:color w:val="FF0000"/>
          <w:sz w:val="24"/>
          <w:szCs w:val="24"/>
        </w:rPr>
        <w:t xml:space="preserve">Yes we confirm. </w:t>
      </w:r>
    </w:p>
    <w:p w14:paraId="4BCB9245" w14:textId="77777777" w:rsidR="00681CFE" w:rsidRPr="000F4A7C" w:rsidRDefault="00681CFE" w:rsidP="00681CFE">
      <w:pPr>
        <w:spacing w:after="0"/>
        <w:rPr>
          <w:rFonts w:ascii="Arial" w:hAnsi="Arial" w:cs="Arial"/>
          <w:sz w:val="24"/>
          <w:szCs w:val="24"/>
        </w:rPr>
      </w:pPr>
    </w:p>
    <w:p w14:paraId="5BB73882" w14:textId="77777777" w:rsidR="00681CFE" w:rsidRPr="000F4A7C" w:rsidRDefault="00681CFE" w:rsidP="00681CFE">
      <w:pPr>
        <w:spacing w:after="0"/>
        <w:rPr>
          <w:rFonts w:ascii="Arial" w:hAnsi="Arial" w:cs="Arial"/>
          <w:sz w:val="24"/>
          <w:szCs w:val="24"/>
        </w:rPr>
      </w:pPr>
    </w:p>
    <w:p w14:paraId="1EFFAC18" w14:textId="77777777" w:rsidR="00681CFE" w:rsidRPr="000F4A7C" w:rsidRDefault="00BE1F2D" w:rsidP="00681CFE">
      <w:pPr>
        <w:spacing w:after="0"/>
        <w:rPr>
          <w:rFonts w:ascii="Arial" w:hAnsi="Arial" w:cs="Arial"/>
          <w:b/>
          <w:sz w:val="24"/>
          <w:szCs w:val="24"/>
        </w:rPr>
      </w:pPr>
      <w:r>
        <w:rPr>
          <w:rFonts w:ascii="Arial" w:hAnsi="Arial" w:cs="Arial"/>
          <w:b/>
          <w:sz w:val="24"/>
          <w:szCs w:val="24"/>
        </w:rPr>
        <w:t>Staff Question-9</w:t>
      </w:r>
    </w:p>
    <w:p w14:paraId="5179D887" w14:textId="77777777" w:rsidR="00681CFE" w:rsidRPr="000F4A7C" w:rsidRDefault="00681CFE" w:rsidP="00681CFE">
      <w:pPr>
        <w:spacing w:after="0"/>
        <w:rPr>
          <w:rFonts w:ascii="Arial" w:hAnsi="Arial" w:cs="Arial"/>
          <w:b/>
          <w:sz w:val="24"/>
          <w:szCs w:val="24"/>
        </w:rPr>
      </w:pPr>
    </w:p>
    <w:p w14:paraId="4A749BA4" w14:textId="77777777" w:rsidR="00681CFE" w:rsidRPr="000F4A7C" w:rsidRDefault="00681CFE" w:rsidP="00681CFE">
      <w:pPr>
        <w:spacing w:after="0"/>
        <w:ind w:left="720" w:hanging="720"/>
        <w:rPr>
          <w:rFonts w:ascii="Arial" w:hAnsi="Arial" w:cs="Arial"/>
          <w:sz w:val="24"/>
          <w:szCs w:val="24"/>
        </w:rPr>
      </w:pPr>
      <w:r w:rsidRPr="000F4A7C">
        <w:rPr>
          <w:rFonts w:ascii="Arial" w:hAnsi="Arial" w:cs="Arial"/>
          <w:sz w:val="24"/>
          <w:szCs w:val="24"/>
        </w:rPr>
        <w:t>Ref:</w:t>
      </w:r>
      <w:r w:rsidRPr="000F4A7C">
        <w:rPr>
          <w:rFonts w:ascii="Arial" w:hAnsi="Arial" w:cs="Arial"/>
          <w:sz w:val="24"/>
          <w:szCs w:val="24"/>
        </w:rPr>
        <w:tab/>
        <w:t>(1) Appendix A GA Methodology Description Questions on Accounts 1588 &amp; 1589, page 22 of Manager’s Summary</w:t>
      </w:r>
    </w:p>
    <w:p w14:paraId="7683D24B" w14:textId="77777777" w:rsidR="00681CFE" w:rsidRPr="000F4A7C" w:rsidRDefault="00681CFE" w:rsidP="00681CFE">
      <w:pPr>
        <w:spacing w:after="0"/>
        <w:ind w:left="720" w:hanging="720"/>
        <w:rPr>
          <w:rFonts w:ascii="Arial" w:hAnsi="Arial" w:cs="Arial"/>
          <w:sz w:val="24"/>
          <w:szCs w:val="24"/>
        </w:rPr>
      </w:pPr>
    </w:p>
    <w:p w14:paraId="3A2780C8" w14:textId="77777777" w:rsidR="00681CFE" w:rsidRPr="000F4A7C" w:rsidRDefault="00681CFE" w:rsidP="00681CFE">
      <w:pPr>
        <w:spacing w:after="0"/>
        <w:ind w:left="720" w:hanging="720"/>
        <w:rPr>
          <w:rFonts w:ascii="Arial" w:hAnsi="Arial" w:cs="Arial"/>
          <w:b/>
          <w:sz w:val="24"/>
          <w:szCs w:val="24"/>
        </w:rPr>
      </w:pPr>
      <w:r w:rsidRPr="000F4A7C">
        <w:rPr>
          <w:rFonts w:ascii="Arial" w:hAnsi="Arial" w:cs="Arial"/>
          <w:b/>
          <w:sz w:val="24"/>
          <w:szCs w:val="24"/>
        </w:rPr>
        <w:t>Preamble:</w:t>
      </w:r>
    </w:p>
    <w:p w14:paraId="1884441D" w14:textId="77777777" w:rsidR="00681CFE" w:rsidRPr="000F4A7C" w:rsidRDefault="00681CFE" w:rsidP="00681CFE">
      <w:pPr>
        <w:spacing w:after="0"/>
        <w:rPr>
          <w:rFonts w:ascii="Arial" w:hAnsi="Arial" w:cs="Arial"/>
          <w:sz w:val="24"/>
          <w:szCs w:val="24"/>
        </w:rPr>
      </w:pPr>
    </w:p>
    <w:p w14:paraId="2535BCA4" w14:textId="77777777" w:rsidR="00681CFE" w:rsidRPr="000F4A7C" w:rsidRDefault="00681CFE" w:rsidP="00681CFE">
      <w:pPr>
        <w:spacing w:after="0"/>
        <w:rPr>
          <w:rFonts w:ascii="Arial" w:hAnsi="Arial" w:cs="Arial"/>
          <w:sz w:val="24"/>
          <w:szCs w:val="24"/>
        </w:rPr>
      </w:pPr>
      <w:r w:rsidRPr="000F4A7C">
        <w:rPr>
          <w:rFonts w:ascii="Arial" w:hAnsi="Arial" w:cs="Arial"/>
          <w:sz w:val="24"/>
          <w:szCs w:val="24"/>
        </w:rPr>
        <w:t>Regarding the file “GA-Analysis-Workform-Instructions-20190715.docx”, “Appendix A GA Methodology Description Questions on Accounts 1588 &amp; 1589” (or page 15 of the document), the table in Question 1 for Account 1588 requests the “Balance December 31, 2018”.</w:t>
      </w:r>
    </w:p>
    <w:p w14:paraId="1992AA96" w14:textId="77777777" w:rsidR="00681CFE" w:rsidRPr="000F4A7C" w:rsidRDefault="00681CFE" w:rsidP="00681CFE">
      <w:pPr>
        <w:spacing w:after="0"/>
        <w:rPr>
          <w:rFonts w:ascii="Arial" w:hAnsi="Arial" w:cs="Arial"/>
          <w:sz w:val="24"/>
          <w:szCs w:val="24"/>
        </w:rPr>
      </w:pPr>
    </w:p>
    <w:p w14:paraId="2AA6E927" w14:textId="77777777" w:rsidR="00681CFE" w:rsidRPr="000F4A7C" w:rsidRDefault="00681CFE" w:rsidP="00681CFE">
      <w:pPr>
        <w:spacing w:after="0"/>
        <w:rPr>
          <w:rFonts w:ascii="Arial" w:hAnsi="Arial" w:cs="Arial"/>
          <w:b/>
          <w:sz w:val="24"/>
          <w:szCs w:val="24"/>
        </w:rPr>
      </w:pPr>
      <w:r w:rsidRPr="000F4A7C">
        <w:rPr>
          <w:rFonts w:ascii="Arial" w:hAnsi="Arial" w:cs="Arial"/>
          <w:b/>
          <w:sz w:val="24"/>
          <w:szCs w:val="24"/>
        </w:rPr>
        <w:t>Question:</w:t>
      </w:r>
    </w:p>
    <w:p w14:paraId="604B3A88" w14:textId="77777777" w:rsidR="00681CFE" w:rsidRPr="000F4A7C" w:rsidRDefault="00681CFE" w:rsidP="00681CFE">
      <w:pPr>
        <w:spacing w:after="0"/>
        <w:rPr>
          <w:rFonts w:ascii="Arial" w:hAnsi="Arial" w:cs="Arial"/>
          <w:b/>
          <w:sz w:val="24"/>
          <w:szCs w:val="24"/>
        </w:rPr>
      </w:pPr>
    </w:p>
    <w:p w14:paraId="41116A8B" w14:textId="5CCE9EF8" w:rsidR="00681CFE" w:rsidRDefault="00681CFE" w:rsidP="00681CFE">
      <w:pPr>
        <w:pStyle w:val="ListParagraph"/>
        <w:numPr>
          <w:ilvl w:val="0"/>
          <w:numId w:val="4"/>
        </w:numPr>
        <w:spacing w:after="0"/>
        <w:rPr>
          <w:rFonts w:ascii="Arial" w:hAnsi="Arial" w:cs="Arial"/>
          <w:sz w:val="24"/>
          <w:szCs w:val="24"/>
        </w:rPr>
      </w:pPr>
      <w:r w:rsidRPr="00490D52">
        <w:rPr>
          <w:rFonts w:ascii="Arial" w:hAnsi="Arial" w:cs="Arial"/>
          <w:sz w:val="24"/>
          <w:szCs w:val="24"/>
        </w:rPr>
        <w:t xml:space="preserve">Please restate the Account 1588 table to show for each year, the original general ledger balance in the first row, the difference between the original general ledger balance and the restated amounts in the second row, and the restated amounts in the last row. </w:t>
      </w:r>
      <w:r w:rsidR="0077521A">
        <w:rPr>
          <w:rFonts w:ascii="Arial" w:hAnsi="Arial" w:cs="Arial"/>
          <w:color w:val="FF0000"/>
          <w:sz w:val="24"/>
          <w:szCs w:val="24"/>
        </w:rPr>
        <w:t>Completed, please see table below.</w:t>
      </w:r>
    </w:p>
    <w:p w14:paraId="20916E6C" w14:textId="7C6F460A" w:rsidR="00490D52" w:rsidRDefault="00490D52" w:rsidP="00490D52">
      <w:pPr>
        <w:spacing w:after="0"/>
        <w:rPr>
          <w:rFonts w:ascii="Arial" w:hAnsi="Arial" w:cs="Arial"/>
          <w:sz w:val="24"/>
          <w:szCs w:val="24"/>
        </w:rPr>
      </w:pPr>
    </w:p>
    <w:p w14:paraId="53DEDCAD" w14:textId="36B4D22E" w:rsidR="00490D52" w:rsidRPr="00490D52" w:rsidRDefault="00490D52" w:rsidP="00490D52">
      <w:pPr>
        <w:spacing w:after="0"/>
        <w:rPr>
          <w:rFonts w:ascii="Arial" w:hAnsi="Arial" w:cs="Arial"/>
          <w:sz w:val="24"/>
          <w:szCs w:val="24"/>
        </w:rPr>
      </w:pPr>
      <w:r w:rsidRPr="00490D52">
        <w:rPr>
          <w:noProof/>
        </w:rPr>
        <w:lastRenderedPageBreak/>
        <w:drawing>
          <wp:inline distT="0" distB="0" distL="0" distR="0" wp14:anchorId="70867198" wp14:editId="15E54A04">
            <wp:extent cx="5943600" cy="27419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741930"/>
                    </a:xfrm>
                    <a:prstGeom prst="rect">
                      <a:avLst/>
                    </a:prstGeom>
                    <a:noFill/>
                    <a:ln>
                      <a:noFill/>
                    </a:ln>
                  </pic:spPr>
                </pic:pic>
              </a:graphicData>
            </a:graphic>
          </wp:inline>
        </w:drawing>
      </w:r>
    </w:p>
    <w:p w14:paraId="3F6C8628" w14:textId="77777777" w:rsidR="00490D52" w:rsidRPr="00C25531" w:rsidRDefault="00490D52" w:rsidP="00490D52">
      <w:pPr>
        <w:pStyle w:val="ListParagraph"/>
        <w:spacing w:after="0"/>
        <w:ind w:left="360"/>
        <w:rPr>
          <w:rFonts w:ascii="Arial" w:hAnsi="Arial" w:cs="Arial"/>
          <w:sz w:val="24"/>
          <w:szCs w:val="24"/>
          <w:highlight w:val="yellow"/>
        </w:rPr>
      </w:pPr>
    </w:p>
    <w:p w14:paraId="543128FE" w14:textId="77777777" w:rsidR="00681CFE" w:rsidRDefault="00681CFE" w:rsidP="00681CFE">
      <w:pPr>
        <w:spacing w:after="0"/>
        <w:ind w:left="1080"/>
        <w:rPr>
          <w:rFonts w:ascii="Arial" w:hAnsi="Arial" w:cs="Arial"/>
          <w:sz w:val="24"/>
          <w:szCs w:val="24"/>
        </w:rPr>
      </w:pPr>
    </w:p>
    <w:p w14:paraId="7CFE7196" w14:textId="77777777" w:rsidR="00681CFE" w:rsidRPr="000F4A7C" w:rsidRDefault="00681CFE" w:rsidP="00681CFE">
      <w:pPr>
        <w:spacing w:after="0"/>
        <w:ind w:left="1080"/>
        <w:rPr>
          <w:rFonts w:ascii="Arial" w:hAnsi="Arial" w:cs="Arial"/>
          <w:sz w:val="24"/>
          <w:szCs w:val="24"/>
        </w:rPr>
      </w:pPr>
    </w:p>
    <w:p w14:paraId="4858751D" w14:textId="77777777" w:rsidR="00681CFE" w:rsidRPr="000F4A7C" w:rsidRDefault="00BE1F2D" w:rsidP="00681CFE">
      <w:pPr>
        <w:spacing w:after="0"/>
        <w:rPr>
          <w:rFonts w:ascii="Arial" w:hAnsi="Arial" w:cs="Arial"/>
          <w:b/>
          <w:sz w:val="24"/>
          <w:szCs w:val="24"/>
        </w:rPr>
      </w:pPr>
      <w:r>
        <w:rPr>
          <w:rFonts w:ascii="Arial" w:hAnsi="Arial" w:cs="Arial"/>
          <w:b/>
          <w:sz w:val="24"/>
          <w:szCs w:val="24"/>
        </w:rPr>
        <w:t>Staff Question-10</w:t>
      </w:r>
    </w:p>
    <w:p w14:paraId="0491A97D" w14:textId="77777777" w:rsidR="00681CFE" w:rsidRPr="000F4A7C" w:rsidRDefault="00681CFE" w:rsidP="00681CFE">
      <w:pPr>
        <w:spacing w:after="0"/>
        <w:rPr>
          <w:rFonts w:ascii="Arial" w:hAnsi="Arial" w:cs="Arial"/>
          <w:b/>
          <w:sz w:val="24"/>
          <w:szCs w:val="24"/>
        </w:rPr>
      </w:pPr>
    </w:p>
    <w:p w14:paraId="631FCC9E" w14:textId="77777777" w:rsidR="00681CFE" w:rsidRPr="000F4A7C" w:rsidRDefault="00681CFE" w:rsidP="00681CFE">
      <w:pPr>
        <w:spacing w:after="0"/>
        <w:ind w:left="720" w:hanging="720"/>
        <w:rPr>
          <w:rFonts w:ascii="Arial" w:hAnsi="Arial" w:cs="Arial"/>
          <w:sz w:val="24"/>
          <w:szCs w:val="24"/>
        </w:rPr>
      </w:pPr>
      <w:r w:rsidRPr="000F4A7C">
        <w:rPr>
          <w:rFonts w:ascii="Arial" w:hAnsi="Arial" w:cs="Arial"/>
          <w:sz w:val="24"/>
          <w:szCs w:val="24"/>
        </w:rPr>
        <w:t>Ref:</w:t>
      </w:r>
      <w:r w:rsidRPr="000F4A7C">
        <w:rPr>
          <w:rFonts w:ascii="Arial" w:hAnsi="Arial" w:cs="Arial"/>
          <w:sz w:val="24"/>
          <w:szCs w:val="24"/>
        </w:rPr>
        <w:tab/>
        <w:t xml:space="preserve">(1) 2015 GA Analysis </w:t>
      </w:r>
      <w:proofErr w:type="spellStart"/>
      <w:r w:rsidRPr="000F4A7C">
        <w:rPr>
          <w:rFonts w:ascii="Arial" w:hAnsi="Arial" w:cs="Arial"/>
          <w:sz w:val="24"/>
          <w:szCs w:val="24"/>
        </w:rPr>
        <w:t>Workform</w:t>
      </w:r>
      <w:proofErr w:type="spellEnd"/>
      <w:r w:rsidRPr="000F4A7C">
        <w:rPr>
          <w:rFonts w:ascii="Arial" w:hAnsi="Arial" w:cs="Arial"/>
          <w:sz w:val="24"/>
          <w:szCs w:val="24"/>
        </w:rPr>
        <w:t>, November 25, 2019, cell C62</w:t>
      </w:r>
    </w:p>
    <w:p w14:paraId="55F9A9AE" w14:textId="77777777" w:rsidR="00681CFE" w:rsidRPr="000F4A7C" w:rsidRDefault="00681CFE" w:rsidP="00681CFE">
      <w:pPr>
        <w:spacing w:after="0"/>
        <w:ind w:firstLine="720"/>
        <w:rPr>
          <w:rFonts w:ascii="Arial" w:hAnsi="Arial" w:cs="Arial"/>
          <w:sz w:val="24"/>
          <w:szCs w:val="24"/>
        </w:rPr>
      </w:pPr>
      <w:r w:rsidRPr="000F4A7C">
        <w:rPr>
          <w:rFonts w:ascii="Arial" w:hAnsi="Arial" w:cs="Arial"/>
          <w:sz w:val="24"/>
          <w:szCs w:val="24"/>
        </w:rPr>
        <w:t>(2) 2020 IRM Rate Generator Model, Tab 3, November 25, 2019, cell Z29</w:t>
      </w:r>
    </w:p>
    <w:p w14:paraId="65EF61B5" w14:textId="77777777" w:rsidR="00681CFE" w:rsidRPr="000F4A7C" w:rsidRDefault="00681CFE" w:rsidP="00681CFE">
      <w:pPr>
        <w:spacing w:after="0"/>
        <w:rPr>
          <w:rFonts w:ascii="Arial" w:hAnsi="Arial" w:cs="Arial"/>
          <w:b/>
          <w:bCs/>
          <w:sz w:val="24"/>
          <w:szCs w:val="24"/>
        </w:rPr>
      </w:pPr>
    </w:p>
    <w:p w14:paraId="2B84535E" w14:textId="77777777" w:rsidR="00681CFE" w:rsidRPr="000F4A7C" w:rsidRDefault="00681CFE" w:rsidP="00681CFE">
      <w:pPr>
        <w:spacing w:after="0"/>
        <w:rPr>
          <w:rFonts w:ascii="Arial" w:hAnsi="Arial" w:cs="Arial"/>
          <w:b/>
          <w:bCs/>
          <w:sz w:val="24"/>
          <w:szCs w:val="24"/>
        </w:rPr>
      </w:pPr>
      <w:r w:rsidRPr="000F4A7C">
        <w:rPr>
          <w:rFonts w:ascii="Arial" w:hAnsi="Arial" w:cs="Arial"/>
          <w:b/>
          <w:bCs/>
          <w:sz w:val="24"/>
          <w:szCs w:val="24"/>
        </w:rPr>
        <w:t>Preamble:</w:t>
      </w:r>
    </w:p>
    <w:p w14:paraId="0E7F053C" w14:textId="77777777" w:rsidR="00681CFE" w:rsidRPr="000F4A7C" w:rsidRDefault="00681CFE" w:rsidP="00681CFE">
      <w:pPr>
        <w:spacing w:after="0"/>
        <w:rPr>
          <w:rFonts w:ascii="Arial" w:hAnsi="Arial" w:cs="Arial"/>
          <w:b/>
          <w:bCs/>
          <w:sz w:val="24"/>
          <w:szCs w:val="24"/>
        </w:rPr>
      </w:pPr>
    </w:p>
    <w:p w14:paraId="39F8783C" w14:textId="77777777" w:rsidR="00681CFE" w:rsidRPr="000F4A7C" w:rsidRDefault="00681CFE" w:rsidP="00681CFE">
      <w:pPr>
        <w:spacing w:after="0"/>
        <w:rPr>
          <w:rFonts w:ascii="Arial" w:hAnsi="Arial" w:cs="Arial"/>
          <w:sz w:val="24"/>
          <w:szCs w:val="24"/>
        </w:rPr>
      </w:pPr>
      <w:r w:rsidRPr="000F4A7C">
        <w:rPr>
          <w:rFonts w:ascii="Arial" w:hAnsi="Arial" w:cs="Arial"/>
          <w:sz w:val="24"/>
          <w:szCs w:val="24"/>
        </w:rPr>
        <w:t xml:space="preserve">Regarding the “Net Change in Principal Balance in the GL”, on the 2015 GA Analysis </w:t>
      </w:r>
      <w:proofErr w:type="spellStart"/>
      <w:r w:rsidRPr="000F4A7C">
        <w:rPr>
          <w:rFonts w:ascii="Arial" w:hAnsi="Arial" w:cs="Arial"/>
          <w:sz w:val="24"/>
          <w:szCs w:val="24"/>
        </w:rPr>
        <w:t>Workform</w:t>
      </w:r>
      <w:proofErr w:type="spellEnd"/>
      <w:r w:rsidRPr="000F4A7C">
        <w:rPr>
          <w:rFonts w:ascii="Arial" w:hAnsi="Arial" w:cs="Arial"/>
          <w:sz w:val="24"/>
          <w:szCs w:val="24"/>
        </w:rPr>
        <w:t xml:space="preserve"> (above noted first reference), CPUC has shown an amount of $10,652. On the 2020 DVA Continuity Schedule (above noted second reference), CPUC has shown an amount of $29,592.</w:t>
      </w:r>
    </w:p>
    <w:p w14:paraId="0C295A6F" w14:textId="77777777" w:rsidR="00681CFE" w:rsidRPr="000F4A7C" w:rsidRDefault="00681CFE" w:rsidP="00681CFE">
      <w:pPr>
        <w:spacing w:after="0"/>
        <w:rPr>
          <w:rFonts w:ascii="Arial" w:hAnsi="Arial" w:cs="Arial"/>
          <w:b/>
          <w:sz w:val="24"/>
          <w:szCs w:val="24"/>
        </w:rPr>
      </w:pPr>
    </w:p>
    <w:p w14:paraId="297F167D" w14:textId="77777777" w:rsidR="00681CFE" w:rsidRPr="000F4A7C" w:rsidRDefault="00681CFE" w:rsidP="00681CFE">
      <w:pPr>
        <w:spacing w:after="0"/>
        <w:rPr>
          <w:rFonts w:ascii="Arial" w:hAnsi="Arial" w:cs="Arial"/>
          <w:b/>
          <w:sz w:val="24"/>
          <w:szCs w:val="24"/>
        </w:rPr>
      </w:pPr>
      <w:r w:rsidRPr="000F4A7C">
        <w:rPr>
          <w:rFonts w:ascii="Arial" w:hAnsi="Arial" w:cs="Arial"/>
          <w:b/>
          <w:sz w:val="24"/>
          <w:szCs w:val="24"/>
        </w:rPr>
        <w:t>Question:</w:t>
      </w:r>
    </w:p>
    <w:p w14:paraId="0B8E7BCD" w14:textId="77777777" w:rsidR="00681CFE" w:rsidRPr="000F4A7C" w:rsidRDefault="00681CFE" w:rsidP="00681CFE">
      <w:pPr>
        <w:spacing w:after="0"/>
        <w:rPr>
          <w:rFonts w:ascii="Arial" w:hAnsi="Arial" w:cs="Arial"/>
          <w:sz w:val="24"/>
          <w:szCs w:val="24"/>
        </w:rPr>
      </w:pPr>
    </w:p>
    <w:p w14:paraId="74301866" w14:textId="65E6FBFA" w:rsidR="00681CFE" w:rsidRPr="000F4A7C" w:rsidRDefault="00681CFE" w:rsidP="00681CFE">
      <w:pPr>
        <w:pStyle w:val="ListParagraph"/>
        <w:numPr>
          <w:ilvl w:val="0"/>
          <w:numId w:val="7"/>
        </w:numPr>
        <w:spacing w:after="0"/>
        <w:rPr>
          <w:rFonts w:ascii="Arial" w:hAnsi="Arial" w:cs="Arial"/>
          <w:sz w:val="24"/>
          <w:szCs w:val="24"/>
        </w:rPr>
      </w:pPr>
      <w:r w:rsidRPr="000F4A7C">
        <w:rPr>
          <w:rFonts w:ascii="Arial" w:hAnsi="Arial" w:cs="Arial"/>
          <w:sz w:val="24"/>
          <w:szCs w:val="24"/>
        </w:rPr>
        <w:t>Please confirm that the correct number for 2015 for Account 1589 should be $10,652 and CPUC will update the evidence accordingly.</w:t>
      </w:r>
      <w:r w:rsidR="00AD4BEB">
        <w:rPr>
          <w:rFonts w:ascii="Arial" w:hAnsi="Arial" w:cs="Arial"/>
          <w:color w:val="FF0000"/>
          <w:sz w:val="24"/>
          <w:szCs w:val="24"/>
        </w:rPr>
        <w:t xml:space="preserve"> Yes we confirm. </w:t>
      </w:r>
    </w:p>
    <w:p w14:paraId="7424F258" w14:textId="77777777" w:rsidR="00681CFE" w:rsidRPr="000F4A7C" w:rsidRDefault="00681CFE" w:rsidP="00681CFE">
      <w:pPr>
        <w:pStyle w:val="ListParagraph"/>
        <w:spacing w:after="0"/>
        <w:rPr>
          <w:rFonts w:ascii="Arial" w:hAnsi="Arial" w:cs="Arial"/>
          <w:sz w:val="24"/>
          <w:szCs w:val="24"/>
        </w:rPr>
      </w:pPr>
    </w:p>
    <w:p w14:paraId="48720C62" w14:textId="77777777" w:rsidR="00681CFE" w:rsidRPr="000F4A7C" w:rsidRDefault="00681CFE" w:rsidP="00681CFE">
      <w:pPr>
        <w:pStyle w:val="ListParagraph"/>
        <w:spacing w:after="0"/>
        <w:rPr>
          <w:rFonts w:ascii="Arial" w:hAnsi="Arial" w:cs="Arial"/>
          <w:sz w:val="24"/>
          <w:szCs w:val="24"/>
        </w:rPr>
      </w:pPr>
    </w:p>
    <w:p w14:paraId="5A51F387" w14:textId="77777777" w:rsidR="00681CFE" w:rsidRPr="000F4A7C" w:rsidRDefault="00681CFE" w:rsidP="00681CFE">
      <w:pPr>
        <w:spacing w:after="0"/>
        <w:rPr>
          <w:rFonts w:ascii="Arial" w:hAnsi="Arial" w:cs="Arial"/>
          <w:b/>
          <w:sz w:val="24"/>
          <w:szCs w:val="24"/>
        </w:rPr>
      </w:pPr>
      <w:r w:rsidRPr="000F4A7C">
        <w:rPr>
          <w:rFonts w:ascii="Arial" w:hAnsi="Arial" w:cs="Arial"/>
          <w:b/>
          <w:sz w:val="24"/>
          <w:szCs w:val="24"/>
        </w:rPr>
        <w:t>Staf</w:t>
      </w:r>
      <w:r w:rsidR="00BE1F2D">
        <w:rPr>
          <w:rFonts w:ascii="Arial" w:hAnsi="Arial" w:cs="Arial"/>
          <w:b/>
          <w:sz w:val="24"/>
          <w:szCs w:val="24"/>
        </w:rPr>
        <w:t>f Question-11</w:t>
      </w:r>
    </w:p>
    <w:p w14:paraId="14F8596A" w14:textId="77777777" w:rsidR="00681CFE" w:rsidRPr="000F4A7C" w:rsidRDefault="00681CFE" w:rsidP="00681CFE">
      <w:pPr>
        <w:spacing w:after="0"/>
        <w:rPr>
          <w:rFonts w:ascii="Arial" w:hAnsi="Arial" w:cs="Arial"/>
          <w:b/>
          <w:sz w:val="24"/>
          <w:szCs w:val="24"/>
        </w:rPr>
      </w:pPr>
    </w:p>
    <w:p w14:paraId="168AE30B" w14:textId="77777777" w:rsidR="00681CFE" w:rsidRPr="000F4A7C" w:rsidRDefault="00681CFE" w:rsidP="00681CFE">
      <w:pPr>
        <w:spacing w:after="0"/>
        <w:ind w:left="720" w:hanging="720"/>
        <w:rPr>
          <w:rFonts w:ascii="Arial" w:hAnsi="Arial" w:cs="Arial"/>
          <w:sz w:val="24"/>
          <w:szCs w:val="24"/>
        </w:rPr>
      </w:pPr>
      <w:r w:rsidRPr="000F4A7C">
        <w:rPr>
          <w:rFonts w:ascii="Arial" w:hAnsi="Arial" w:cs="Arial"/>
          <w:b/>
          <w:sz w:val="24"/>
          <w:szCs w:val="24"/>
        </w:rPr>
        <w:t>Ref:</w:t>
      </w:r>
      <w:r w:rsidRPr="000F4A7C">
        <w:rPr>
          <w:rFonts w:ascii="Arial" w:hAnsi="Arial" w:cs="Arial"/>
          <w:b/>
          <w:sz w:val="24"/>
          <w:szCs w:val="24"/>
        </w:rPr>
        <w:tab/>
      </w:r>
      <w:r w:rsidRPr="000F4A7C">
        <w:rPr>
          <w:rFonts w:ascii="Arial" w:hAnsi="Arial" w:cs="Arial"/>
          <w:sz w:val="24"/>
          <w:szCs w:val="24"/>
        </w:rPr>
        <w:t>(1) 2020 IRM Rate Generator Model, Tab 3, November 25, 2019, cell P28</w:t>
      </w:r>
    </w:p>
    <w:p w14:paraId="6934E4ED" w14:textId="77777777" w:rsidR="00681CFE" w:rsidRPr="000F4A7C" w:rsidRDefault="00681CFE" w:rsidP="00681CFE">
      <w:pPr>
        <w:spacing w:after="0"/>
        <w:ind w:left="720" w:hanging="720"/>
        <w:rPr>
          <w:rFonts w:ascii="Arial" w:hAnsi="Arial" w:cs="Arial"/>
          <w:sz w:val="24"/>
          <w:szCs w:val="24"/>
        </w:rPr>
      </w:pPr>
      <w:r w:rsidRPr="000F4A7C">
        <w:rPr>
          <w:rFonts w:ascii="Arial" w:hAnsi="Arial" w:cs="Arial"/>
          <w:b/>
          <w:sz w:val="24"/>
          <w:szCs w:val="24"/>
        </w:rPr>
        <w:tab/>
      </w:r>
      <w:r w:rsidRPr="000F4A7C">
        <w:rPr>
          <w:rFonts w:ascii="Arial" w:hAnsi="Arial" w:cs="Arial"/>
          <w:sz w:val="24"/>
          <w:szCs w:val="24"/>
        </w:rPr>
        <w:t>(2) Reporting and Record Keeping Requirements (RRR) 2.1.7</w:t>
      </w:r>
    </w:p>
    <w:p w14:paraId="2D3F4053" w14:textId="77777777" w:rsidR="00681CFE" w:rsidRPr="000F4A7C" w:rsidRDefault="00681CFE" w:rsidP="00681CFE">
      <w:pPr>
        <w:spacing w:after="0"/>
        <w:ind w:left="720" w:hanging="720"/>
        <w:rPr>
          <w:rFonts w:ascii="Arial" w:hAnsi="Arial" w:cs="Arial"/>
          <w:sz w:val="24"/>
          <w:szCs w:val="24"/>
        </w:rPr>
      </w:pPr>
      <w:r w:rsidRPr="000F4A7C">
        <w:rPr>
          <w:rFonts w:ascii="Arial" w:hAnsi="Arial" w:cs="Arial"/>
          <w:sz w:val="24"/>
          <w:szCs w:val="24"/>
        </w:rPr>
        <w:tab/>
        <w:t>(3) Addendum to Filing Requirements For Electricity Distribution Rate Applications - 2020 Rate Applications, July 15, 2019, page 18</w:t>
      </w:r>
    </w:p>
    <w:p w14:paraId="6E937D07" w14:textId="77777777" w:rsidR="00681CFE" w:rsidRPr="000F4A7C" w:rsidRDefault="00681CFE" w:rsidP="00681CFE">
      <w:pPr>
        <w:spacing w:after="0"/>
        <w:rPr>
          <w:rFonts w:ascii="Arial" w:hAnsi="Arial" w:cs="Arial"/>
          <w:b/>
          <w:sz w:val="24"/>
          <w:szCs w:val="24"/>
        </w:rPr>
      </w:pPr>
    </w:p>
    <w:p w14:paraId="2B305D52" w14:textId="77777777" w:rsidR="00681CFE" w:rsidRPr="000F4A7C" w:rsidRDefault="00681CFE" w:rsidP="00681CFE">
      <w:pPr>
        <w:spacing w:after="0"/>
        <w:rPr>
          <w:rFonts w:ascii="Arial" w:hAnsi="Arial" w:cs="Arial"/>
          <w:b/>
          <w:sz w:val="24"/>
          <w:szCs w:val="24"/>
        </w:rPr>
      </w:pPr>
      <w:r w:rsidRPr="000F4A7C">
        <w:rPr>
          <w:rFonts w:ascii="Arial" w:hAnsi="Arial" w:cs="Arial"/>
          <w:b/>
          <w:sz w:val="24"/>
          <w:szCs w:val="24"/>
        </w:rPr>
        <w:t>Preamble:</w:t>
      </w:r>
    </w:p>
    <w:p w14:paraId="7978DC4A" w14:textId="77777777" w:rsidR="00681CFE" w:rsidRPr="000F4A7C" w:rsidRDefault="00681CFE" w:rsidP="00681CFE">
      <w:pPr>
        <w:spacing w:after="0"/>
        <w:rPr>
          <w:rFonts w:ascii="Arial" w:hAnsi="Arial" w:cs="Arial"/>
          <w:b/>
          <w:sz w:val="24"/>
          <w:szCs w:val="24"/>
        </w:rPr>
      </w:pPr>
    </w:p>
    <w:p w14:paraId="2CA80A5B" w14:textId="77777777" w:rsidR="00681CFE" w:rsidRPr="000F4A7C" w:rsidRDefault="00681CFE" w:rsidP="00681CFE">
      <w:pPr>
        <w:spacing w:after="0"/>
        <w:rPr>
          <w:rFonts w:ascii="Arial" w:hAnsi="Arial" w:cs="Arial"/>
          <w:bCs/>
          <w:sz w:val="24"/>
          <w:szCs w:val="24"/>
        </w:rPr>
      </w:pPr>
      <w:r w:rsidRPr="000F4A7C">
        <w:rPr>
          <w:rFonts w:ascii="Arial" w:hAnsi="Arial" w:cs="Arial"/>
          <w:bCs/>
          <w:sz w:val="24"/>
          <w:szCs w:val="24"/>
        </w:rPr>
        <w:t>OEB staff has prepared the following table based on data provided at the above noted first reference and second reference. OEB staff notes that the percentage of the sum of Account 1588 2014 principal transactions plus adjustments, divided by 2014 cost of power is high at 2.3%.</w:t>
      </w:r>
    </w:p>
    <w:p w14:paraId="45A2081F" w14:textId="77777777" w:rsidR="00681CFE" w:rsidRPr="000F4A7C" w:rsidRDefault="00681CFE" w:rsidP="00681CFE">
      <w:pPr>
        <w:spacing w:after="0"/>
        <w:rPr>
          <w:rFonts w:ascii="Arial" w:hAnsi="Arial" w:cs="Arial"/>
          <w:bCs/>
          <w:sz w:val="24"/>
          <w:szCs w:val="24"/>
        </w:rPr>
      </w:pPr>
    </w:p>
    <w:p w14:paraId="741E568A" w14:textId="77777777" w:rsidR="00681CFE" w:rsidRPr="000F4A7C" w:rsidRDefault="00681CFE" w:rsidP="00681CFE">
      <w:pPr>
        <w:spacing w:after="0"/>
        <w:jc w:val="center"/>
        <w:rPr>
          <w:rFonts w:ascii="Arial" w:hAnsi="Arial" w:cs="Arial"/>
          <w:b/>
          <w:sz w:val="24"/>
          <w:szCs w:val="24"/>
        </w:rPr>
      </w:pPr>
      <w:r w:rsidRPr="000F4A7C">
        <w:rPr>
          <w:rFonts w:ascii="Arial" w:hAnsi="Arial" w:cs="Arial"/>
          <w:b/>
          <w:sz w:val="24"/>
          <w:szCs w:val="24"/>
        </w:rPr>
        <w:t>OEB Staff Table 2 – Analysis of Large 2014 Balance in Account 1588</w:t>
      </w:r>
    </w:p>
    <w:p w14:paraId="4AEADEB3" w14:textId="77777777" w:rsidR="00681CFE" w:rsidRPr="000F4A7C" w:rsidRDefault="00681CFE" w:rsidP="00681CFE">
      <w:pPr>
        <w:spacing w:after="0"/>
        <w:jc w:val="center"/>
        <w:rPr>
          <w:rFonts w:ascii="Arial" w:hAnsi="Arial" w:cs="Arial"/>
          <w:b/>
          <w:sz w:val="24"/>
          <w:szCs w:val="24"/>
        </w:rPr>
      </w:pPr>
    </w:p>
    <w:p w14:paraId="2F6E4887" w14:textId="77777777" w:rsidR="00681CFE" w:rsidRPr="000F4A7C" w:rsidRDefault="00681CFE" w:rsidP="00681CFE">
      <w:pPr>
        <w:spacing w:after="0"/>
        <w:jc w:val="center"/>
        <w:rPr>
          <w:rFonts w:ascii="Arial" w:hAnsi="Arial" w:cs="Arial"/>
          <w:b/>
          <w:sz w:val="24"/>
          <w:szCs w:val="24"/>
        </w:rPr>
      </w:pPr>
      <w:r w:rsidRPr="000F4A7C">
        <w:rPr>
          <w:rFonts w:ascii="Arial" w:hAnsi="Arial" w:cs="Arial"/>
          <w:noProof/>
          <w:sz w:val="24"/>
          <w:szCs w:val="24"/>
          <w:lang w:val="en-US"/>
        </w:rPr>
        <w:drawing>
          <wp:inline distT="0" distB="0" distL="0" distR="0" wp14:anchorId="76C2F537" wp14:editId="3046367E">
            <wp:extent cx="5943600" cy="1196442"/>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196442"/>
                    </a:xfrm>
                    <a:prstGeom prst="rect">
                      <a:avLst/>
                    </a:prstGeom>
                    <a:noFill/>
                    <a:ln>
                      <a:noFill/>
                    </a:ln>
                  </pic:spPr>
                </pic:pic>
              </a:graphicData>
            </a:graphic>
          </wp:inline>
        </w:drawing>
      </w:r>
    </w:p>
    <w:p w14:paraId="34E1322B" w14:textId="77777777" w:rsidR="00681CFE" w:rsidRPr="000F4A7C" w:rsidRDefault="00681CFE" w:rsidP="00681CFE">
      <w:pPr>
        <w:spacing w:after="0"/>
        <w:jc w:val="center"/>
        <w:rPr>
          <w:rFonts w:ascii="Arial" w:hAnsi="Arial" w:cs="Arial"/>
          <w:b/>
          <w:sz w:val="24"/>
          <w:szCs w:val="24"/>
        </w:rPr>
      </w:pPr>
    </w:p>
    <w:p w14:paraId="3E4E6E44" w14:textId="77777777" w:rsidR="00681CFE" w:rsidRPr="000F4A7C" w:rsidRDefault="00681CFE" w:rsidP="00681CFE">
      <w:pPr>
        <w:spacing w:after="0"/>
        <w:rPr>
          <w:rFonts w:ascii="Arial" w:hAnsi="Arial" w:cs="Arial"/>
          <w:bCs/>
          <w:sz w:val="24"/>
          <w:szCs w:val="24"/>
        </w:rPr>
      </w:pPr>
      <w:r w:rsidRPr="000F4A7C">
        <w:rPr>
          <w:rFonts w:ascii="Arial" w:hAnsi="Arial" w:cs="Arial"/>
          <w:bCs/>
          <w:sz w:val="24"/>
          <w:szCs w:val="24"/>
        </w:rPr>
        <w:t>At the above noted third reference, the OEB described its expectations regarding material discrepancies for Account 1589.</w:t>
      </w:r>
      <w:r w:rsidRPr="000F4A7C">
        <w:rPr>
          <w:rStyle w:val="FootnoteReference"/>
          <w:rFonts w:ascii="Arial" w:hAnsi="Arial" w:cs="Arial"/>
          <w:bCs/>
          <w:sz w:val="24"/>
          <w:szCs w:val="24"/>
        </w:rPr>
        <w:footnoteReference w:id="3"/>
      </w:r>
      <w:r w:rsidRPr="000F4A7C">
        <w:rPr>
          <w:rFonts w:ascii="Arial" w:hAnsi="Arial" w:cs="Arial"/>
          <w:bCs/>
          <w:sz w:val="24"/>
          <w:szCs w:val="24"/>
        </w:rPr>
        <w:t xml:space="preserve"> Although this reference relates to Account 1589, OEB staff has used the same materiality threshold of +/- 1% in analyzing the Account 1588 balance.</w:t>
      </w:r>
    </w:p>
    <w:p w14:paraId="61E90DF4" w14:textId="77777777" w:rsidR="00681CFE" w:rsidRPr="000F4A7C" w:rsidRDefault="00681CFE" w:rsidP="00681CFE">
      <w:pPr>
        <w:spacing w:after="0"/>
        <w:rPr>
          <w:rFonts w:ascii="Arial" w:hAnsi="Arial" w:cs="Arial"/>
          <w:sz w:val="24"/>
          <w:szCs w:val="24"/>
        </w:rPr>
      </w:pPr>
    </w:p>
    <w:p w14:paraId="44C92F05" w14:textId="77777777" w:rsidR="00681CFE" w:rsidRPr="000F4A7C" w:rsidRDefault="00681CFE" w:rsidP="00681CFE">
      <w:pPr>
        <w:spacing w:after="0"/>
        <w:rPr>
          <w:rFonts w:ascii="Arial" w:hAnsi="Arial" w:cs="Arial"/>
          <w:b/>
          <w:sz w:val="24"/>
          <w:szCs w:val="24"/>
        </w:rPr>
      </w:pPr>
      <w:r w:rsidRPr="000F4A7C">
        <w:rPr>
          <w:rFonts w:ascii="Arial" w:hAnsi="Arial" w:cs="Arial"/>
          <w:b/>
          <w:sz w:val="24"/>
          <w:szCs w:val="24"/>
        </w:rPr>
        <w:t>Questions:</w:t>
      </w:r>
    </w:p>
    <w:p w14:paraId="751DA370" w14:textId="77777777" w:rsidR="00681CFE" w:rsidRPr="000F4A7C" w:rsidRDefault="00681CFE" w:rsidP="00681CFE">
      <w:pPr>
        <w:spacing w:after="0"/>
        <w:rPr>
          <w:rFonts w:ascii="Arial" w:hAnsi="Arial" w:cs="Arial"/>
          <w:b/>
          <w:sz w:val="24"/>
          <w:szCs w:val="24"/>
        </w:rPr>
      </w:pPr>
    </w:p>
    <w:p w14:paraId="0D13EA9D" w14:textId="127895E4" w:rsidR="00681CFE" w:rsidRPr="000F4A7C" w:rsidRDefault="00681CFE" w:rsidP="00681CFE">
      <w:pPr>
        <w:pStyle w:val="ListParagraph"/>
        <w:numPr>
          <w:ilvl w:val="0"/>
          <w:numId w:val="5"/>
        </w:numPr>
        <w:spacing w:after="0"/>
        <w:rPr>
          <w:rFonts w:ascii="Arial" w:hAnsi="Arial" w:cs="Arial"/>
          <w:sz w:val="24"/>
          <w:szCs w:val="24"/>
        </w:rPr>
      </w:pPr>
      <w:r w:rsidRPr="000F4A7C">
        <w:rPr>
          <w:rFonts w:ascii="Arial" w:hAnsi="Arial" w:cs="Arial"/>
          <w:sz w:val="24"/>
          <w:szCs w:val="24"/>
        </w:rPr>
        <w:t xml:space="preserve">Please confirm whether CPUC is in agreement with OEB staff’s calculations in the above noted OEB Staff Table 2. </w:t>
      </w:r>
      <w:r w:rsidR="009628A6">
        <w:rPr>
          <w:rFonts w:ascii="Arial" w:hAnsi="Arial" w:cs="Arial"/>
          <w:color w:val="FF0000"/>
          <w:sz w:val="24"/>
          <w:szCs w:val="24"/>
        </w:rPr>
        <w:t>Yes we confirm.</w:t>
      </w:r>
    </w:p>
    <w:p w14:paraId="501C444E" w14:textId="77777777" w:rsidR="00681CFE" w:rsidRPr="000F4A7C" w:rsidRDefault="00681CFE" w:rsidP="00681CFE">
      <w:pPr>
        <w:pStyle w:val="ListParagraph"/>
        <w:spacing w:after="0"/>
        <w:rPr>
          <w:rFonts w:ascii="Arial" w:hAnsi="Arial" w:cs="Arial"/>
          <w:sz w:val="24"/>
          <w:szCs w:val="24"/>
        </w:rPr>
      </w:pPr>
    </w:p>
    <w:p w14:paraId="677531CF" w14:textId="530B9C3E" w:rsidR="00681CFE" w:rsidRPr="000F4A7C" w:rsidRDefault="00681CFE" w:rsidP="00681CFE">
      <w:pPr>
        <w:pStyle w:val="ListParagraph"/>
        <w:numPr>
          <w:ilvl w:val="0"/>
          <w:numId w:val="5"/>
        </w:numPr>
        <w:spacing w:after="0"/>
        <w:rPr>
          <w:rFonts w:ascii="Arial" w:hAnsi="Arial" w:cs="Arial"/>
          <w:sz w:val="24"/>
          <w:szCs w:val="24"/>
        </w:rPr>
      </w:pPr>
      <w:r w:rsidRPr="000F4A7C">
        <w:rPr>
          <w:rFonts w:ascii="Arial" w:hAnsi="Arial" w:cs="Arial"/>
          <w:sz w:val="24"/>
          <w:szCs w:val="24"/>
        </w:rPr>
        <w:t>Please confirm that the rationale for the high computed ratio of 2.3% noted in OEB Staff Table 2, may be based on OEB staff’s understanding – please confirm. OEB staff’s understanding is that part of the large balance driven in the 2014 calendar year is due to CPUC using some RPP kWh in settlements which may not exactly match the consumption in the same periods. This issue goes back a long period of time (e.g. 2014) and cannot be fully substantiated and cannot be fully explained due to CPUC staff turnover. As a result, CPUC will leave the 2014 balance as is.</w:t>
      </w:r>
      <w:r w:rsidR="009628A6">
        <w:rPr>
          <w:rFonts w:ascii="Arial" w:hAnsi="Arial" w:cs="Arial"/>
          <w:sz w:val="24"/>
          <w:szCs w:val="24"/>
        </w:rPr>
        <w:t xml:space="preserve">  </w:t>
      </w:r>
      <w:r w:rsidR="009628A6">
        <w:rPr>
          <w:rFonts w:ascii="Arial" w:hAnsi="Arial" w:cs="Arial"/>
          <w:color w:val="FF0000"/>
          <w:sz w:val="24"/>
          <w:szCs w:val="24"/>
        </w:rPr>
        <w:t xml:space="preserve">Yes we confirm. </w:t>
      </w:r>
      <w:r w:rsidR="005D7D39">
        <w:rPr>
          <w:rFonts w:ascii="Arial" w:hAnsi="Arial" w:cs="Arial"/>
          <w:color w:val="FF0000"/>
          <w:sz w:val="24"/>
          <w:szCs w:val="24"/>
        </w:rPr>
        <w:t xml:space="preserve"> This issue has been mitigated from Aug 1, 2014 forward due changes in billing RPP customers to a monthly calendar basis.</w:t>
      </w:r>
    </w:p>
    <w:p w14:paraId="1604CB5C" w14:textId="77777777" w:rsidR="00681CFE" w:rsidRPr="000F4A7C" w:rsidRDefault="00681CFE" w:rsidP="00681CFE">
      <w:pPr>
        <w:spacing w:after="0"/>
        <w:rPr>
          <w:rFonts w:ascii="Arial" w:hAnsi="Arial" w:cs="Arial"/>
          <w:sz w:val="24"/>
          <w:szCs w:val="24"/>
        </w:rPr>
      </w:pPr>
    </w:p>
    <w:p w14:paraId="50FA573F" w14:textId="77777777" w:rsidR="00681CFE" w:rsidRPr="000F4A7C" w:rsidRDefault="00681CFE" w:rsidP="00681CFE">
      <w:pPr>
        <w:spacing w:after="0"/>
        <w:rPr>
          <w:rFonts w:ascii="Arial" w:hAnsi="Arial" w:cs="Arial"/>
          <w:sz w:val="24"/>
          <w:szCs w:val="24"/>
        </w:rPr>
      </w:pPr>
    </w:p>
    <w:p w14:paraId="2EF1E906" w14:textId="77777777" w:rsidR="00681CFE" w:rsidRPr="000F4A7C" w:rsidRDefault="00BE1F2D" w:rsidP="00681CFE">
      <w:pPr>
        <w:spacing w:after="0"/>
        <w:rPr>
          <w:rFonts w:ascii="Arial" w:hAnsi="Arial" w:cs="Arial"/>
          <w:b/>
          <w:sz w:val="24"/>
          <w:szCs w:val="24"/>
        </w:rPr>
      </w:pPr>
      <w:r>
        <w:rPr>
          <w:rFonts w:ascii="Arial" w:hAnsi="Arial" w:cs="Arial"/>
          <w:b/>
          <w:sz w:val="24"/>
          <w:szCs w:val="24"/>
        </w:rPr>
        <w:t>Staff Question-12</w:t>
      </w:r>
    </w:p>
    <w:p w14:paraId="11855C8E" w14:textId="77777777" w:rsidR="00681CFE" w:rsidRPr="000F4A7C" w:rsidRDefault="00681CFE" w:rsidP="00681CFE">
      <w:pPr>
        <w:spacing w:after="0"/>
        <w:rPr>
          <w:rFonts w:ascii="Arial" w:hAnsi="Arial" w:cs="Arial"/>
          <w:b/>
          <w:sz w:val="24"/>
          <w:szCs w:val="24"/>
        </w:rPr>
      </w:pPr>
    </w:p>
    <w:p w14:paraId="443C711A" w14:textId="77777777" w:rsidR="00681CFE" w:rsidRPr="000F4A7C" w:rsidRDefault="00681CFE" w:rsidP="00681CFE">
      <w:pPr>
        <w:spacing w:after="0"/>
        <w:ind w:left="720" w:hanging="720"/>
        <w:rPr>
          <w:rFonts w:ascii="Arial" w:hAnsi="Arial" w:cs="Arial"/>
          <w:sz w:val="24"/>
          <w:szCs w:val="24"/>
        </w:rPr>
      </w:pPr>
      <w:r w:rsidRPr="000F4A7C">
        <w:rPr>
          <w:rFonts w:ascii="Arial" w:hAnsi="Arial" w:cs="Arial"/>
          <w:sz w:val="24"/>
          <w:szCs w:val="24"/>
        </w:rPr>
        <w:t>Ref:</w:t>
      </w:r>
      <w:r w:rsidRPr="000F4A7C">
        <w:rPr>
          <w:rFonts w:ascii="Arial" w:hAnsi="Arial" w:cs="Arial"/>
          <w:sz w:val="24"/>
          <w:szCs w:val="24"/>
        </w:rPr>
        <w:tab/>
        <w:t xml:space="preserve">(1) 2014 GA Analysis </w:t>
      </w:r>
      <w:proofErr w:type="spellStart"/>
      <w:r w:rsidRPr="000F4A7C">
        <w:rPr>
          <w:rFonts w:ascii="Arial" w:hAnsi="Arial" w:cs="Arial"/>
          <w:sz w:val="24"/>
          <w:szCs w:val="24"/>
        </w:rPr>
        <w:t>Workform</w:t>
      </w:r>
      <w:proofErr w:type="spellEnd"/>
      <w:r w:rsidRPr="000F4A7C">
        <w:rPr>
          <w:rFonts w:ascii="Arial" w:hAnsi="Arial" w:cs="Arial"/>
          <w:sz w:val="24"/>
          <w:szCs w:val="24"/>
        </w:rPr>
        <w:t>, November 25, 2019</w:t>
      </w:r>
    </w:p>
    <w:p w14:paraId="5DCBD127" w14:textId="77777777" w:rsidR="00681CFE" w:rsidRPr="000F4A7C" w:rsidRDefault="00681CFE" w:rsidP="00681CFE">
      <w:pPr>
        <w:pStyle w:val="ListParagraph"/>
        <w:numPr>
          <w:ilvl w:val="0"/>
          <w:numId w:val="8"/>
        </w:numPr>
        <w:spacing w:after="0"/>
        <w:rPr>
          <w:rFonts w:ascii="Arial" w:hAnsi="Arial" w:cs="Arial"/>
          <w:sz w:val="24"/>
          <w:szCs w:val="24"/>
        </w:rPr>
      </w:pPr>
      <w:r w:rsidRPr="000F4A7C">
        <w:rPr>
          <w:rFonts w:ascii="Arial" w:hAnsi="Arial" w:cs="Arial"/>
          <w:sz w:val="24"/>
          <w:szCs w:val="24"/>
        </w:rPr>
        <w:t xml:space="preserve">2015 GA Analysis </w:t>
      </w:r>
      <w:proofErr w:type="spellStart"/>
      <w:r w:rsidRPr="000F4A7C">
        <w:rPr>
          <w:rFonts w:ascii="Arial" w:hAnsi="Arial" w:cs="Arial"/>
          <w:sz w:val="24"/>
          <w:szCs w:val="24"/>
        </w:rPr>
        <w:t>Workform</w:t>
      </w:r>
      <w:proofErr w:type="spellEnd"/>
      <w:r w:rsidRPr="000F4A7C">
        <w:rPr>
          <w:rFonts w:ascii="Arial" w:hAnsi="Arial" w:cs="Arial"/>
          <w:sz w:val="24"/>
          <w:szCs w:val="24"/>
        </w:rPr>
        <w:t>, November 25, 2019</w:t>
      </w:r>
    </w:p>
    <w:p w14:paraId="6F23B5C8" w14:textId="77777777" w:rsidR="00681CFE" w:rsidRPr="000F4A7C" w:rsidRDefault="00681CFE" w:rsidP="00681CFE">
      <w:pPr>
        <w:spacing w:after="0"/>
        <w:ind w:left="720"/>
        <w:rPr>
          <w:rFonts w:ascii="Arial" w:hAnsi="Arial" w:cs="Arial"/>
          <w:sz w:val="24"/>
          <w:szCs w:val="24"/>
        </w:rPr>
      </w:pPr>
      <w:r w:rsidRPr="000F4A7C">
        <w:rPr>
          <w:rFonts w:ascii="Arial" w:hAnsi="Arial" w:cs="Arial"/>
          <w:sz w:val="24"/>
          <w:szCs w:val="24"/>
        </w:rPr>
        <w:t xml:space="preserve">(3) 2016 GA Analysis </w:t>
      </w:r>
      <w:proofErr w:type="spellStart"/>
      <w:r w:rsidRPr="000F4A7C">
        <w:rPr>
          <w:rFonts w:ascii="Arial" w:hAnsi="Arial" w:cs="Arial"/>
          <w:sz w:val="24"/>
          <w:szCs w:val="24"/>
        </w:rPr>
        <w:t>Workform</w:t>
      </w:r>
      <w:proofErr w:type="spellEnd"/>
      <w:r w:rsidRPr="000F4A7C">
        <w:rPr>
          <w:rFonts w:ascii="Arial" w:hAnsi="Arial" w:cs="Arial"/>
          <w:sz w:val="24"/>
          <w:szCs w:val="24"/>
        </w:rPr>
        <w:t>, November 25, 2019</w:t>
      </w:r>
    </w:p>
    <w:p w14:paraId="4801BA15" w14:textId="77777777" w:rsidR="00681CFE" w:rsidRPr="000F4A7C" w:rsidRDefault="00681CFE" w:rsidP="00681CFE">
      <w:pPr>
        <w:spacing w:after="0"/>
        <w:ind w:left="720"/>
        <w:rPr>
          <w:rFonts w:ascii="Arial" w:hAnsi="Arial" w:cs="Arial"/>
          <w:sz w:val="24"/>
          <w:szCs w:val="24"/>
        </w:rPr>
      </w:pPr>
      <w:r w:rsidRPr="000F4A7C">
        <w:rPr>
          <w:rFonts w:ascii="Arial" w:hAnsi="Arial" w:cs="Arial"/>
          <w:sz w:val="24"/>
          <w:szCs w:val="24"/>
        </w:rPr>
        <w:t>(4) RRR 2.1.5.4</w:t>
      </w:r>
    </w:p>
    <w:p w14:paraId="054C9E5C" w14:textId="77777777" w:rsidR="00681CFE" w:rsidRPr="000F4A7C" w:rsidRDefault="00681CFE" w:rsidP="00681CFE">
      <w:pPr>
        <w:spacing w:after="0"/>
        <w:ind w:left="720"/>
        <w:rPr>
          <w:rFonts w:ascii="Arial" w:hAnsi="Arial" w:cs="Arial"/>
          <w:sz w:val="24"/>
          <w:szCs w:val="24"/>
        </w:rPr>
      </w:pPr>
    </w:p>
    <w:p w14:paraId="6763E405" w14:textId="77777777" w:rsidR="00681CFE" w:rsidRPr="000F4A7C" w:rsidRDefault="00681CFE" w:rsidP="00681CFE">
      <w:pPr>
        <w:spacing w:after="0"/>
        <w:rPr>
          <w:rFonts w:ascii="Arial" w:hAnsi="Arial" w:cs="Arial"/>
          <w:b/>
          <w:bCs/>
          <w:sz w:val="24"/>
          <w:szCs w:val="24"/>
        </w:rPr>
      </w:pPr>
      <w:r w:rsidRPr="000F4A7C">
        <w:rPr>
          <w:rFonts w:ascii="Arial" w:hAnsi="Arial" w:cs="Arial"/>
          <w:b/>
          <w:bCs/>
          <w:sz w:val="24"/>
          <w:szCs w:val="24"/>
        </w:rPr>
        <w:t>Preamble:</w:t>
      </w:r>
    </w:p>
    <w:p w14:paraId="7E2F8148" w14:textId="77777777" w:rsidR="00681CFE" w:rsidRPr="000F4A7C" w:rsidRDefault="00681CFE" w:rsidP="00681CFE">
      <w:pPr>
        <w:spacing w:after="0"/>
        <w:rPr>
          <w:rFonts w:ascii="Arial" w:hAnsi="Arial" w:cs="Arial"/>
          <w:b/>
          <w:bCs/>
          <w:sz w:val="24"/>
          <w:szCs w:val="24"/>
        </w:rPr>
      </w:pPr>
    </w:p>
    <w:p w14:paraId="7F7FB5D1" w14:textId="77777777" w:rsidR="00681CFE" w:rsidRPr="000F4A7C" w:rsidRDefault="00681CFE" w:rsidP="00681CFE">
      <w:pPr>
        <w:spacing w:after="0"/>
        <w:rPr>
          <w:rFonts w:ascii="Arial" w:hAnsi="Arial" w:cs="Arial"/>
          <w:bCs/>
          <w:sz w:val="24"/>
          <w:szCs w:val="24"/>
        </w:rPr>
      </w:pPr>
      <w:r w:rsidRPr="000F4A7C">
        <w:rPr>
          <w:rFonts w:ascii="Arial" w:hAnsi="Arial" w:cs="Arial"/>
          <w:bCs/>
          <w:sz w:val="24"/>
          <w:szCs w:val="24"/>
        </w:rPr>
        <w:t xml:space="preserve">OEB staff has prepared the following table based on comparing data provided at the above noted first, second, and third references to the data reflected at the fourth reference. </w:t>
      </w:r>
    </w:p>
    <w:p w14:paraId="616F0D22" w14:textId="77777777" w:rsidR="00681CFE" w:rsidRPr="000F4A7C" w:rsidRDefault="00681CFE" w:rsidP="00681CFE">
      <w:pPr>
        <w:spacing w:after="0"/>
        <w:rPr>
          <w:rFonts w:ascii="Arial" w:hAnsi="Arial" w:cs="Arial"/>
          <w:bCs/>
          <w:sz w:val="24"/>
          <w:szCs w:val="24"/>
        </w:rPr>
      </w:pPr>
    </w:p>
    <w:p w14:paraId="7C57B514" w14:textId="77777777" w:rsidR="00681CFE" w:rsidRPr="000F4A7C" w:rsidRDefault="00681CFE" w:rsidP="00681CFE">
      <w:pPr>
        <w:spacing w:after="0"/>
        <w:rPr>
          <w:rFonts w:ascii="Arial" w:hAnsi="Arial" w:cs="Arial"/>
          <w:bCs/>
          <w:sz w:val="24"/>
          <w:szCs w:val="24"/>
        </w:rPr>
      </w:pPr>
      <w:r w:rsidRPr="000F4A7C">
        <w:rPr>
          <w:rFonts w:ascii="Arial" w:hAnsi="Arial" w:cs="Arial"/>
          <w:bCs/>
          <w:sz w:val="24"/>
          <w:szCs w:val="24"/>
        </w:rPr>
        <w:t xml:space="preserve">OEB staff notes that there are consumption differences between the kWh data listed in the 2014, 2015, and 2016 GA Analysis </w:t>
      </w:r>
      <w:proofErr w:type="spellStart"/>
      <w:r w:rsidRPr="000F4A7C">
        <w:rPr>
          <w:rFonts w:ascii="Arial" w:hAnsi="Arial" w:cs="Arial"/>
          <w:bCs/>
          <w:sz w:val="24"/>
          <w:szCs w:val="24"/>
        </w:rPr>
        <w:t>Workforms</w:t>
      </w:r>
      <w:proofErr w:type="spellEnd"/>
      <w:r w:rsidRPr="000F4A7C">
        <w:rPr>
          <w:rFonts w:ascii="Arial" w:hAnsi="Arial" w:cs="Arial"/>
          <w:bCs/>
          <w:sz w:val="24"/>
          <w:szCs w:val="24"/>
        </w:rPr>
        <w:t xml:space="preserve"> when compared to the RRR 2.1.5.4.</w:t>
      </w:r>
    </w:p>
    <w:p w14:paraId="4BCAB767" w14:textId="77777777" w:rsidR="00681CFE" w:rsidRPr="000F4A7C" w:rsidRDefault="00681CFE" w:rsidP="00681CFE">
      <w:pPr>
        <w:spacing w:after="0"/>
        <w:rPr>
          <w:rFonts w:ascii="Arial" w:hAnsi="Arial" w:cs="Arial"/>
          <w:bCs/>
          <w:sz w:val="24"/>
          <w:szCs w:val="24"/>
        </w:rPr>
      </w:pPr>
    </w:p>
    <w:p w14:paraId="3AEABD11" w14:textId="77777777" w:rsidR="00681CFE" w:rsidRPr="000F4A7C" w:rsidRDefault="00681CFE" w:rsidP="00681CFE">
      <w:pPr>
        <w:spacing w:after="0"/>
        <w:jc w:val="center"/>
        <w:rPr>
          <w:rFonts w:ascii="Arial" w:hAnsi="Arial" w:cs="Arial"/>
          <w:b/>
          <w:sz w:val="24"/>
          <w:szCs w:val="24"/>
        </w:rPr>
      </w:pPr>
      <w:r w:rsidRPr="000F4A7C">
        <w:rPr>
          <w:rFonts w:ascii="Arial" w:hAnsi="Arial" w:cs="Arial"/>
          <w:b/>
          <w:sz w:val="24"/>
          <w:szCs w:val="24"/>
        </w:rPr>
        <w:t>OEB Staff Table 3 – Consumption Differences in 2014, 2015, and 2016</w:t>
      </w:r>
    </w:p>
    <w:p w14:paraId="5A63F610" w14:textId="77777777" w:rsidR="00681CFE" w:rsidRPr="000F4A7C" w:rsidRDefault="00681CFE" w:rsidP="00681CFE">
      <w:pPr>
        <w:spacing w:after="0"/>
        <w:jc w:val="center"/>
        <w:rPr>
          <w:rFonts w:ascii="Arial" w:hAnsi="Arial" w:cs="Arial"/>
          <w:b/>
          <w:sz w:val="24"/>
          <w:szCs w:val="24"/>
        </w:rPr>
      </w:pPr>
      <w:r w:rsidRPr="000F4A7C">
        <w:rPr>
          <w:rFonts w:ascii="Arial" w:hAnsi="Arial" w:cs="Arial"/>
          <w:b/>
          <w:sz w:val="24"/>
          <w:szCs w:val="24"/>
        </w:rPr>
        <w:t xml:space="preserve">GA Analysis </w:t>
      </w:r>
      <w:proofErr w:type="spellStart"/>
      <w:r w:rsidRPr="000F4A7C">
        <w:rPr>
          <w:rFonts w:ascii="Arial" w:hAnsi="Arial" w:cs="Arial"/>
          <w:b/>
          <w:sz w:val="24"/>
          <w:szCs w:val="24"/>
        </w:rPr>
        <w:t>Workforms</w:t>
      </w:r>
      <w:proofErr w:type="spellEnd"/>
      <w:r w:rsidRPr="000F4A7C">
        <w:rPr>
          <w:rFonts w:ascii="Arial" w:hAnsi="Arial" w:cs="Arial"/>
          <w:b/>
          <w:sz w:val="24"/>
          <w:szCs w:val="24"/>
        </w:rPr>
        <w:t xml:space="preserve"> </w:t>
      </w:r>
    </w:p>
    <w:p w14:paraId="47E3A931" w14:textId="77777777" w:rsidR="00681CFE" w:rsidRPr="000F4A7C" w:rsidRDefault="00681CFE" w:rsidP="00681CFE">
      <w:pPr>
        <w:spacing w:after="0"/>
        <w:jc w:val="center"/>
        <w:rPr>
          <w:rFonts w:ascii="Arial" w:hAnsi="Arial" w:cs="Arial"/>
          <w:b/>
          <w:sz w:val="24"/>
          <w:szCs w:val="24"/>
        </w:rPr>
      </w:pPr>
    </w:p>
    <w:p w14:paraId="03DE8D6D" w14:textId="77777777" w:rsidR="00681CFE" w:rsidRPr="000F4A7C" w:rsidRDefault="00681CFE" w:rsidP="00681CFE">
      <w:pPr>
        <w:spacing w:after="0"/>
        <w:rPr>
          <w:rFonts w:ascii="Arial" w:hAnsi="Arial" w:cs="Arial"/>
          <w:sz w:val="24"/>
          <w:szCs w:val="24"/>
        </w:rPr>
      </w:pPr>
      <w:r w:rsidRPr="000F4A7C">
        <w:rPr>
          <w:rFonts w:ascii="Arial" w:hAnsi="Arial" w:cs="Arial"/>
          <w:noProof/>
          <w:sz w:val="24"/>
          <w:szCs w:val="24"/>
          <w:lang w:val="en-US"/>
        </w:rPr>
        <w:lastRenderedPageBreak/>
        <w:drawing>
          <wp:inline distT="0" distB="0" distL="0" distR="0" wp14:anchorId="10A54ED3" wp14:editId="30CDC055">
            <wp:extent cx="5943600" cy="44219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4421915"/>
                    </a:xfrm>
                    <a:prstGeom prst="rect">
                      <a:avLst/>
                    </a:prstGeom>
                    <a:noFill/>
                    <a:ln>
                      <a:noFill/>
                    </a:ln>
                  </pic:spPr>
                </pic:pic>
              </a:graphicData>
            </a:graphic>
          </wp:inline>
        </w:drawing>
      </w:r>
    </w:p>
    <w:p w14:paraId="0BE45329" w14:textId="77777777" w:rsidR="00681CFE" w:rsidRPr="000F4A7C" w:rsidRDefault="00681CFE" w:rsidP="00681CFE">
      <w:pPr>
        <w:spacing w:after="0"/>
        <w:rPr>
          <w:rFonts w:ascii="Arial" w:hAnsi="Arial" w:cs="Arial"/>
          <w:b/>
          <w:bCs/>
          <w:sz w:val="24"/>
          <w:szCs w:val="24"/>
        </w:rPr>
      </w:pPr>
    </w:p>
    <w:p w14:paraId="51570716" w14:textId="77777777" w:rsidR="00681CFE" w:rsidRPr="000F4A7C" w:rsidRDefault="00681CFE" w:rsidP="00681CFE">
      <w:pPr>
        <w:spacing w:after="0"/>
        <w:rPr>
          <w:rFonts w:ascii="Arial" w:hAnsi="Arial" w:cs="Arial"/>
          <w:b/>
          <w:sz w:val="24"/>
          <w:szCs w:val="24"/>
        </w:rPr>
      </w:pPr>
      <w:r w:rsidRPr="000F4A7C">
        <w:rPr>
          <w:rFonts w:ascii="Arial" w:hAnsi="Arial" w:cs="Arial"/>
          <w:b/>
          <w:sz w:val="24"/>
          <w:szCs w:val="24"/>
        </w:rPr>
        <w:t>Questions:</w:t>
      </w:r>
    </w:p>
    <w:p w14:paraId="12B7C3DE" w14:textId="77777777" w:rsidR="00681CFE" w:rsidRPr="000F4A7C" w:rsidRDefault="00681CFE" w:rsidP="00681CFE">
      <w:pPr>
        <w:spacing w:after="0"/>
        <w:rPr>
          <w:rFonts w:ascii="Arial" w:hAnsi="Arial" w:cs="Arial"/>
          <w:b/>
          <w:sz w:val="24"/>
          <w:szCs w:val="24"/>
        </w:rPr>
      </w:pPr>
    </w:p>
    <w:p w14:paraId="2EE1CC34" w14:textId="096FC579" w:rsidR="00681CFE" w:rsidRPr="000F4A7C" w:rsidRDefault="00681CFE" w:rsidP="00681CFE">
      <w:pPr>
        <w:pStyle w:val="ListParagraph"/>
        <w:numPr>
          <w:ilvl w:val="0"/>
          <w:numId w:val="9"/>
        </w:numPr>
        <w:spacing w:after="0"/>
        <w:rPr>
          <w:rFonts w:ascii="Arial" w:hAnsi="Arial" w:cs="Arial"/>
          <w:sz w:val="24"/>
          <w:szCs w:val="24"/>
        </w:rPr>
      </w:pPr>
      <w:r w:rsidRPr="000F4A7C">
        <w:rPr>
          <w:rFonts w:ascii="Arial" w:hAnsi="Arial" w:cs="Arial"/>
          <w:sz w:val="24"/>
          <w:szCs w:val="24"/>
        </w:rPr>
        <w:t xml:space="preserve">Please confirm whether CPUC is in agreement with OEB staff’s calculations in the above noted OEB Staff Table 3. </w:t>
      </w:r>
      <w:r w:rsidR="00D96B7C">
        <w:rPr>
          <w:rFonts w:ascii="Arial" w:hAnsi="Arial" w:cs="Arial"/>
          <w:color w:val="FF0000"/>
          <w:sz w:val="24"/>
          <w:szCs w:val="24"/>
        </w:rPr>
        <w:t>Yes we confirm.</w:t>
      </w:r>
    </w:p>
    <w:p w14:paraId="2763B558" w14:textId="77777777" w:rsidR="00681CFE" w:rsidRPr="000F4A7C" w:rsidRDefault="00681CFE" w:rsidP="00681CFE">
      <w:pPr>
        <w:pStyle w:val="ListParagraph"/>
        <w:spacing w:after="0"/>
        <w:rPr>
          <w:rFonts w:ascii="Arial" w:hAnsi="Arial" w:cs="Arial"/>
          <w:sz w:val="24"/>
          <w:szCs w:val="24"/>
        </w:rPr>
      </w:pPr>
    </w:p>
    <w:p w14:paraId="3730AB44" w14:textId="1C37DB1F" w:rsidR="00681CFE" w:rsidRPr="000F4A7C" w:rsidRDefault="00681CFE" w:rsidP="00681CFE">
      <w:pPr>
        <w:pStyle w:val="ListParagraph"/>
        <w:numPr>
          <w:ilvl w:val="0"/>
          <w:numId w:val="9"/>
        </w:numPr>
        <w:spacing w:after="0"/>
        <w:rPr>
          <w:rFonts w:ascii="Arial" w:hAnsi="Arial" w:cs="Arial"/>
          <w:sz w:val="24"/>
          <w:szCs w:val="24"/>
        </w:rPr>
      </w:pPr>
      <w:r w:rsidRPr="000F4A7C">
        <w:rPr>
          <w:rFonts w:ascii="Arial" w:hAnsi="Arial" w:cs="Arial"/>
          <w:sz w:val="24"/>
          <w:szCs w:val="24"/>
        </w:rPr>
        <w:t xml:space="preserve">Please confirm that the data used in the 2014, 2015, and 2016 GA Analysis </w:t>
      </w:r>
      <w:proofErr w:type="spellStart"/>
      <w:r w:rsidRPr="000F4A7C">
        <w:rPr>
          <w:rFonts w:ascii="Arial" w:hAnsi="Arial" w:cs="Arial"/>
          <w:sz w:val="24"/>
          <w:szCs w:val="24"/>
        </w:rPr>
        <w:t>Workforms</w:t>
      </w:r>
      <w:proofErr w:type="spellEnd"/>
      <w:r w:rsidRPr="000F4A7C">
        <w:rPr>
          <w:rFonts w:ascii="Arial" w:hAnsi="Arial" w:cs="Arial"/>
          <w:sz w:val="24"/>
          <w:szCs w:val="24"/>
        </w:rPr>
        <w:t xml:space="preserve"> do not reflect the RRR 2.1.5.4 data, but reflect data from CPUC’s billing system. Please confirm that due to CPUC staff turnover, the differences between the RRR data and the data from the billing system could not be explained, and</w:t>
      </w:r>
      <w:r w:rsidR="00D96B7C">
        <w:rPr>
          <w:rFonts w:ascii="Arial" w:hAnsi="Arial" w:cs="Arial"/>
          <w:sz w:val="24"/>
          <w:szCs w:val="24"/>
        </w:rPr>
        <w:t xml:space="preserve"> </w:t>
      </w:r>
      <w:r w:rsidRPr="000F4A7C">
        <w:rPr>
          <w:rFonts w:ascii="Arial" w:hAnsi="Arial" w:cs="Arial"/>
          <w:sz w:val="24"/>
          <w:szCs w:val="24"/>
        </w:rPr>
        <w:t xml:space="preserve">CPUC will instead use the data from its billing system in the GA Analysis </w:t>
      </w:r>
      <w:proofErr w:type="spellStart"/>
      <w:r w:rsidRPr="000F4A7C">
        <w:rPr>
          <w:rFonts w:ascii="Arial" w:hAnsi="Arial" w:cs="Arial"/>
          <w:sz w:val="24"/>
          <w:szCs w:val="24"/>
        </w:rPr>
        <w:t>Workforms</w:t>
      </w:r>
      <w:proofErr w:type="spellEnd"/>
      <w:r w:rsidRPr="000F4A7C">
        <w:rPr>
          <w:rFonts w:ascii="Arial" w:hAnsi="Arial" w:cs="Arial"/>
          <w:sz w:val="24"/>
          <w:szCs w:val="24"/>
        </w:rPr>
        <w:t xml:space="preserve"> for the period 2014, 2015, and 2016.</w:t>
      </w:r>
      <w:r w:rsidR="00D96B7C">
        <w:rPr>
          <w:rFonts w:ascii="Arial" w:hAnsi="Arial" w:cs="Arial"/>
          <w:sz w:val="24"/>
          <w:szCs w:val="24"/>
        </w:rPr>
        <w:t xml:space="preserve">  </w:t>
      </w:r>
      <w:r w:rsidR="00D96B7C">
        <w:rPr>
          <w:rFonts w:ascii="Arial" w:hAnsi="Arial" w:cs="Arial"/>
          <w:color w:val="FF0000"/>
          <w:sz w:val="24"/>
          <w:szCs w:val="24"/>
        </w:rPr>
        <w:t xml:space="preserve">Yes we confirm that that after discussion with the OEB staff it was agreed we use the billing system data. </w:t>
      </w:r>
    </w:p>
    <w:p w14:paraId="61270F51" w14:textId="77777777" w:rsidR="00681CFE" w:rsidRPr="000F4A7C" w:rsidRDefault="00681CFE" w:rsidP="00681CFE">
      <w:pPr>
        <w:pStyle w:val="ListParagraph"/>
        <w:spacing w:after="0"/>
        <w:rPr>
          <w:rFonts w:ascii="Arial" w:hAnsi="Arial" w:cs="Arial"/>
          <w:sz w:val="24"/>
          <w:szCs w:val="24"/>
        </w:rPr>
      </w:pPr>
    </w:p>
    <w:p w14:paraId="3283786F" w14:textId="77777777" w:rsidR="00681CFE" w:rsidRPr="000F4A7C" w:rsidRDefault="00681CFE" w:rsidP="00681CFE">
      <w:pPr>
        <w:spacing w:after="0"/>
        <w:rPr>
          <w:rFonts w:ascii="Arial" w:hAnsi="Arial" w:cs="Arial"/>
          <w:b/>
          <w:sz w:val="24"/>
          <w:szCs w:val="24"/>
        </w:rPr>
      </w:pPr>
    </w:p>
    <w:p w14:paraId="78B00446" w14:textId="77777777" w:rsidR="00681CFE" w:rsidRPr="000F4A7C" w:rsidRDefault="00BE1F2D" w:rsidP="00681CFE">
      <w:pPr>
        <w:spacing w:after="0"/>
        <w:rPr>
          <w:rFonts w:ascii="Arial" w:hAnsi="Arial" w:cs="Arial"/>
          <w:b/>
          <w:sz w:val="24"/>
          <w:szCs w:val="24"/>
        </w:rPr>
      </w:pPr>
      <w:r>
        <w:rPr>
          <w:rFonts w:ascii="Arial" w:hAnsi="Arial" w:cs="Arial"/>
          <w:b/>
          <w:sz w:val="24"/>
          <w:szCs w:val="24"/>
        </w:rPr>
        <w:t>Staff Question-13</w:t>
      </w:r>
    </w:p>
    <w:p w14:paraId="13A0FC5A" w14:textId="77777777" w:rsidR="00681CFE" w:rsidRPr="000F4A7C" w:rsidRDefault="00681CFE" w:rsidP="00681CFE">
      <w:pPr>
        <w:spacing w:after="0"/>
        <w:rPr>
          <w:rFonts w:ascii="Arial" w:hAnsi="Arial" w:cs="Arial"/>
          <w:b/>
          <w:sz w:val="24"/>
          <w:szCs w:val="24"/>
        </w:rPr>
      </w:pPr>
    </w:p>
    <w:p w14:paraId="21FDB32F" w14:textId="77777777" w:rsidR="00681CFE" w:rsidRPr="000F4A7C" w:rsidRDefault="00681CFE" w:rsidP="00681CFE">
      <w:pPr>
        <w:spacing w:after="0"/>
        <w:rPr>
          <w:rFonts w:ascii="Arial" w:hAnsi="Arial" w:cs="Arial"/>
          <w:sz w:val="24"/>
          <w:szCs w:val="24"/>
        </w:rPr>
      </w:pPr>
      <w:r w:rsidRPr="000F4A7C">
        <w:rPr>
          <w:rFonts w:ascii="Arial" w:hAnsi="Arial" w:cs="Arial"/>
          <w:sz w:val="24"/>
          <w:szCs w:val="24"/>
        </w:rPr>
        <w:lastRenderedPageBreak/>
        <w:t>Ref:</w:t>
      </w:r>
      <w:r w:rsidRPr="000F4A7C">
        <w:rPr>
          <w:rFonts w:ascii="Arial" w:hAnsi="Arial" w:cs="Arial"/>
          <w:sz w:val="24"/>
          <w:szCs w:val="24"/>
        </w:rPr>
        <w:tab/>
        <w:t>(1) Accounting-Guidance-on-Accounts-1588-1589-QA-20190711, Q6</w:t>
      </w:r>
    </w:p>
    <w:p w14:paraId="1CCFC52E" w14:textId="77777777" w:rsidR="00681CFE" w:rsidRPr="000F4A7C" w:rsidRDefault="00681CFE" w:rsidP="00681CFE">
      <w:pPr>
        <w:spacing w:after="0"/>
        <w:ind w:firstLine="720"/>
        <w:rPr>
          <w:rFonts w:ascii="Arial" w:hAnsi="Arial" w:cs="Arial"/>
          <w:sz w:val="24"/>
          <w:szCs w:val="24"/>
        </w:rPr>
      </w:pPr>
      <w:r w:rsidRPr="000F4A7C">
        <w:rPr>
          <w:rFonts w:ascii="Arial" w:hAnsi="Arial" w:cs="Arial"/>
          <w:sz w:val="24"/>
          <w:szCs w:val="24"/>
        </w:rPr>
        <w:t>(2) Accounting-Guidance-on-Accounts-1588-1589-QA-20190711, Q30</w:t>
      </w:r>
    </w:p>
    <w:p w14:paraId="69CC248A" w14:textId="77777777" w:rsidR="00681CFE" w:rsidRPr="000F4A7C" w:rsidRDefault="00681CFE" w:rsidP="00681CFE">
      <w:pPr>
        <w:spacing w:after="0"/>
        <w:ind w:firstLine="720"/>
        <w:rPr>
          <w:rFonts w:ascii="Arial" w:hAnsi="Arial" w:cs="Arial"/>
          <w:sz w:val="24"/>
          <w:szCs w:val="24"/>
        </w:rPr>
      </w:pPr>
      <w:r w:rsidRPr="000F4A7C">
        <w:rPr>
          <w:rFonts w:ascii="Arial" w:hAnsi="Arial" w:cs="Arial"/>
          <w:sz w:val="24"/>
          <w:szCs w:val="24"/>
        </w:rPr>
        <w:t>(3) Manager’s Summary, page 19</w:t>
      </w:r>
    </w:p>
    <w:p w14:paraId="57A2B020" w14:textId="77777777" w:rsidR="00681CFE" w:rsidRPr="000F4A7C" w:rsidRDefault="00681CFE" w:rsidP="00681CFE">
      <w:pPr>
        <w:spacing w:after="0"/>
        <w:ind w:left="720"/>
        <w:rPr>
          <w:rFonts w:ascii="Arial" w:hAnsi="Arial" w:cs="Arial"/>
          <w:sz w:val="24"/>
          <w:szCs w:val="24"/>
        </w:rPr>
      </w:pPr>
      <w:r w:rsidRPr="000F4A7C">
        <w:rPr>
          <w:rFonts w:ascii="Arial" w:hAnsi="Arial" w:cs="Arial"/>
          <w:sz w:val="24"/>
          <w:szCs w:val="24"/>
        </w:rPr>
        <w:t xml:space="preserve">(5) 2014, 2015, 2016, 2017, and 2018 GA Analysis </w:t>
      </w:r>
      <w:proofErr w:type="spellStart"/>
      <w:r w:rsidRPr="000F4A7C">
        <w:rPr>
          <w:rFonts w:ascii="Arial" w:hAnsi="Arial" w:cs="Arial"/>
          <w:sz w:val="24"/>
          <w:szCs w:val="24"/>
        </w:rPr>
        <w:t>Workforms</w:t>
      </w:r>
      <w:proofErr w:type="spellEnd"/>
      <w:r w:rsidRPr="000F4A7C">
        <w:rPr>
          <w:rFonts w:ascii="Arial" w:hAnsi="Arial" w:cs="Arial"/>
          <w:sz w:val="24"/>
          <w:szCs w:val="24"/>
        </w:rPr>
        <w:t>, November 25, 2019</w:t>
      </w:r>
    </w:p>
    <w:p w14:paraId="174BAE58" w14:textId="77777777" w:rsidR="00681CFE" w:rsidRPr="000F4A7C" w:rsidRDefault="00681CFE" w:rsidP="00681CFE">
      <w:pPr>
        <w:spacing w:after="0"/>
        <w:rPr>
          <w:rFonts w:ascii="Arial" w:hAnsi="Arial" w:cs="Arial"/>
          <w:color w:val="000000"/>
          <w:sz w:val="24"/>
          <w:szCs w:val="24"/>
          <w:lang w:val="en-US"/>
        </w:rPr>
      </w:pPr>
    </w:p>
    <w:p w14:paraId="4D6C1CF7" w14:textId="77777777" w:rsidR="00681CFE" w:rsidRPr="000F4A7C" w:rsidRDefault="00681CFE" w:rsidP="00681CFE">
      <w:pPr>
        <w:spacing w:after="0"/>
        <w:rPr>
          <w:rFonts w:ascii="Arial" w:hAnsi="Arial" w:cs="Arial"/>
          <w:b/>
          <w:color w:val="000000"/>
          <w:sz w:val="24"/>
          <w:szCs w:val="24"/>
          <w:lang w:val="en-US"/>
        </w:rPr>
      </w:pPr>
      <w:r w:rsidRPr="000F4A7C">
        <w:rPr>
          <w:rFonts w:ascii="Arial" w:hAnsi="Arial" w:cs="Arial"/>
          <w:b/>
          <w:color w:val="000000"/>
          <w:sz w:val="24"/>
          <w:szCs w:val="24"/>
          <w:lang w:val="en-US"/>
        </w:rPr>
        <w:t>Preamble:</w:t>
      </w:r>
    </w:p>
    <w:p w14:paraId="47A01602" w14:textId="77777777" w:rsidR="00681CFE" w:rsidRPr="000F4A7C" w:rsidRDefault="00681CFE" w:rsidP="00681CFE">
      <w:pPr>
        <w:spacing w:after="0"/>
        <w:rPr>
          <w:rFonts w:ascii="Arial" w:hAnsi="Arial" w:cs="Arial"/>
          <w:b/>
          <w:color w:val="000000"/>
          <w:sz w:val="24"/>
          <w:szCs w:val="24"/>
          <w:lang w:val="en-US"/>
        </w:rPr>
      </w:pPr>
    </w:p>
    <w:p w14:paraId="6379223E" w14:textId="77777777" w:rsidR="00681CFE" w:rsidRPr="000F4A7C" w:rsidRDefault="00681CFE" w:rsidP="00681CFE">
      <w:pPr>
        <w:spacing w:after="0"/>
        <w:rPr>
          <w:rFonts w:ascii="Arial" w:hAnsi="Arial" w:cs="Arial"/>
          <w:sz w:val="24"/>
          <w:szCs w:val="24"/>
        </w:rPr>
      </w:pPr>
      <w:r w:rsidRPr="000F4A7C">
        <w:rPr>
          <w:rFonts w:ascii="Arial" w:hAnsi="Arial" w:cs="Arial"/>
          <w:sz w:val="24"/>
          <w:szCs w:val="24"/>
        </w:rPr>
        <w:t>At the above noted first reference, the OEB stated that distributors should use the best data available for recording unbilled revenues. Whether a distributor records unbilled revenue at year end based on estimates as a journal entry would depend on a utility’s timing and practices. The key is that any estimated revenue is ultimately trued up to actuals.</w:t>
      </w:r>
    </w:p>
    <w:p w14:paraId="3923845C" w14:textId="77777777" w:rsidR="00681CFE" w:rsidRPr="000F4A7C" w:rsidRDefault="00681CFE" w:rsidP="00681CFE">
      <w:pPr>
        <w:spacing w:after="0"/>
        <w:rPr>
          <w:rFonts w:ascii="Arial" w:hAnsi="Arial" w:cs="Arial"/>
          <w:sz w:val="24"/>
          <w:szCs w:val="24"/>
        </w:rPr>
      </w:pPr>
    </w:p>
    <w:p w14:paraId="22997D1D" w14:textId="77777777" w:rsidR="00681CFE" w:rsidRPr="000F4A7C" w:rsidRDefault="00681CFE" w:rsidP="00681CFE">
      <w:pPr>
        <w:spacing w:after="0"/>
        <w:rPr>
          <w:rFonts w:ascii="Arial" w:hAnsi="Arial" w:cs="Arial"/>
          <w:sz w:val="24"/>
          <w:szCs w:val="24"/>
        </w:rPr>
      </w:pPr>
      <w:r w:rsidRPr="000F4A7C">
        <w:rPr>
          <w:rFonts w:ascii="Arial" w:hAnsi="Arial" w:cs="Arial"/>
          <w:sz w:val="24"/>
          <w:szCs w:val="24"/>
        </w:rPr>
        <w:t>At the above noted second reference, the OEB stated that not truing up estimated revenues to actuals and not truing up RPP settlements would fall in the category of systemic issues. The OEB noted that distributors must assess whether these issues have resulted in material errors or discrepancies.</w:t>
      </w:r>
    </w:p>
    <w:p w14:paraId="75618425" w14:textId="77777777" w:rsidR="00681CFE" w:rsidRPr="000F4A7C" w:rsidRDefault="00681CFE" w:rsidP="00681CFE">
      <w:pPr>
        <w:spacing w:after="0"/>
        <w:rPr>
          <w:rFonts w:ascii="Arial" w:hAnsi="Arial" w:cs="Arial"/>
          <w:sz w:val="24"/>
          <w:szCs w:val="24"/>
        </w:rPr>
      </w:pPr>
    </w:p>
    <w:p w14:paraId="39176BA3" w14:textId="77777777" w:rsidR="00681CFE" w:rsidRPr="000F4A7C" w:rsidRDefault="00681CFE" w:rsidP="00681CFE">
      <w:pPr>
        <w:spacing w:after="0"/>
        <w:rPr>
          <w:rFonts w:ascii="Arial" w:hAnsi="Arial" w:cs="Arial"/>
          <w:sz w:val="24"/>
          <w:szCs w:val="24"/>
        </w:rPr>
      </w:pPr>
      <w:r w:rsidRPr="000F4A7C">
        <w:rPr>
          <w:rFonts w:ascii="Arial" w:hAnsi="Arial" w:cs="Arial"/>
          <w:sz w:val="24"/>
          <w:szCs w:val="24"/>
        </w:rPr>
        <w:t>At the above noted third reference, CPUC references a “billed-to-actual variance” for both Account 1588 and Account 1589.</w:t>
      </w:r>
    </w:p>
    <w:p w14:paraId="52893124" w14:textId="77777777" w:rsidR="00681CFE" w:rsidRPr="000F4A7C" w:rsidRDefault="00681CFE" w:rsidP="00681CFE">
      <w:pPr>
        <w:spacing w:after="0"/>
        <w:rPr>
          <w:rFonts w:ascii="Arial" w:hAnsi="Arial" w:cs="Arial"/>
          <w:sz w:val="24"/>
          <w:szCs w:val="24"/>
        </w:rPr>
      </w:pPr>
    </w:p>
    <w:p w14:paraId="742F259D" w14:textId="77777777" w:rsidR="00681CFE" w:rsidRPr="000F4A7C" w:rsidRDefault="00681CFE" w:rsidP="00681CFE">
      <w:pPr>
        <w:spacing w:after="0"/>
        <w:rPr>
          <w:rFonts w:ascii="Arial" w:hAnsi="Arial" w:cs="Arial"/>
          <w:b/>
          <w:sz w:val="24"/>
          <w:szCs w:val="24"/>
        </w:rPr>
      </w:pPr>
      <w:r w:rsidRPr="000F4A7C">
        <w:rPr>
          <w:rFonts w:ascii="Arial" w:hAnsi="Arial" w:cs="Arial"/>
          <w:b/>
          <w:sz w:val="24"/>
          <w:szCs w:val="24"/>
        </w:rPr>
        <w:t>Questions:</w:t>
      </w:r>
    </w:p>
    <w:p w14:paraId="4FC2FBAF" w14:textId="77777777" w:rsidR="00681CFE" w:rsidRPr="000F4A7C" w:rsidRDefault="00681CFE" w:rsidP="00681CFE">
      <w:pPr>
        <w:pStyle w:val="ListParagraph"/>
        <w:spacing w:after="0"/>
        <w:ind w:left="1440"/>
        <w:rPr>
          <w:rFonts w:ascii="Arial" w:hAnsi="Arial" w:cs="Arial"/>
          <w:sz w:val="24"/>
          <w:szCs w:val="24"/>
        </w:rPr>
      </w:pPr>
    </w:p>
    <w:p w14:paraId="063E47F6" w14:textId="611C0B1E" w:rsidR="00681CFE" w:rsidRPr="0043048F" w:rsidRDefault="00681CFE" w:rsidP="00681CFE">
      <w:pPr>
        <w:pStyle w:val="ListParagraph"/>
        <w:numPr>
          <w:ilvl w:val="0"/>
          <w:numId w:val="13"/>
        </w:numPr>
        <w:spacing w:after="0"/>
        <w:rPr>
          <w:rFonts w:ascii="Arial" w:hAnsi="Arial" w:cs="Arial"/>
          <w:sz w:val="24"/>
          <w:szCs w:val="24"/>
        </w:rPr>
      </w:pPr>
      <w:r w:rsidRPr="0043048F">
        <w:rPr>
          <w:rFonts w:ascii="Arial" w:hAnsi="Arial" w:cs="Arial"/>
          <w:sz w:val="24"/>
          <w:szCs w:val="24"/>
        </w:rPr>
        <w:t xml:space="preserve">Please confirm that CPUC leaves its general ledger open long enough at year-end to make actual accruals. For example, the unbilled amounts accrued in the general ledger at year-end incorporate the actual post year-end billings made in a subsequent year (e.g. 2019) and actual true-ups that reflect the consumption for the previous calendar year (e.g. 2018). </w:t>
      </w:r>
      <w:r w:rsidR="00AC47E0" w:rsidRPr="0043048F">
        <w:rPr>
          <w:rFonts w:ascii="Arial" w:hAnsi="Arial" w:cs="Arial"/>
          <w:color w:val="FF0000"/>
          <w:sz w:val="24"/>
          <w:szCs w:val="24"/>
        </w:rPr>
        <w:t>Yes we confirm</w:t>
      </w:r>
    </w:p>
    <w:p w14:paraId="1E5B649D" w14:textId="77777777" w:rsidR="00681CFE" w:rsidRPr="0043048F" w:rsidRDefault="00681CFE" w:rsidP="00681CFE">
      <w:pPr>
        <w:pStyle w:val="ListParagraph"/>
        <w:spacing w:after="0"/>
        <w:rPr>
          <w:rFonts w:ascii="Arial" w:hAnsi="Arial" w:cs="Arial"/>
          <w:sz w:val="24"/>
          <w:szCs w:val="24"/>
        </w:rPr>
      </w:pPr>
    </w:p>
    <w:p w14:paraId="332F9003" w14:textId="4C5D2CC1" w:rsidR="00681CFE" w:rsidRPr="0043048F" w:rsidRDefault="00681CFE" w:rsidP="00681CFE">
      <w:pPr>
        <w:pStyle w:val="ListParagraph"/>
        <w:numPr>
          <w:ilvl w:val="0"/>
          <w:numId w:val="13"/>
        </w:numPr>
        <w:spacing w:after="0"/>
        <w:rPr>
          <w:rFonts w:ascii="Arial" w:hAnsi="Arial" w:cs="Arial"/>
          <w:sz w:val="24"/>
          <w:szCs w:val="24"/>
        </w:rPr>
      </w:pPr>
      <w:r w:rsidRPr="0043048F">
        <w:rPr>
          <w:rFonts w:ascii="Arial" w:hAnsi="Arial" w:cs="Arial"/>
          <w:sz w:val="24"/>
          <w:szCs w:val="24"/>
        </w:rPr>
        <w:t>If this is the case, please confirm that there is no need for CPUC to true up estimated revenues to actuals, as actuals are being used.</w:t>
      </w:r>
      <w:r w:rsidR="00AC47E0" w:rsidRPr="0043048F">
        <w:rPr>
          <w:rFonts w:ascii="Arial" w:hAnsi="Arial" w:cs="Arial"/>
          <w:sz w:val="24"/>
          <w:szCs w:val="24"/>
        </w:rPr>
        <w:t xml:space="preserve"> </w:t>
      </w:r>
      <w:r w:rsidR="00AC47E0" w:rsidRPr="0043048F">
        <w:rPr>
          <w:rFonts w:ascii="Arial" w:hAnsi="Arial" w:cs="Arial"/>
          <w:color w:val="FF0000"/>
          <w:sz w:val="24"/>
          <w:szCs w:val="24"/>
        </w:rPr>
        <w:t>Yes we confirm</w:t>
      </w:r>
    </w:p>
    <w:p w14:paraId="42B486AD" w14:textId="77777777" w:rsidR="00681CFE" w:rsidRPr="000F4A7C" w:rsidRDefault="00681CFE" w:rsidP="00681CFE">
      <w:pPr>
        <w:pStyle w:val="ListParagraph"/>
        <w:spacing w:after="0"/>
        <w:ind w:left="1440"/>
        <w:rPr>
          <w:rFonts w:ascii="Arial" w:hAnsi="Arial" w:cs="Arial"/>
          <w:sz w:val="24"/>
          <w:szCs w:val="24"/>
        </w:rPr>
      </w:pPr>
    </w:p>
    <w:p w14:paraId="229F6E8B" w14:textId="77777777" w:rsidR="00681CFE" w:rsidRPr="000F4A7C" w:rsidRDefault="00681CFE" w:rsidP="00681CFE">
      <w:pPr>
        <w:pStyle w:val="Heading2"/>
        <w:spacing w:before="0" w:line="276" w:lineRule="auto"/>
        <w:rPr>
          <w:rFonts w:cs="Arial"/>
          <w:szCs w:val="24"/>
        </w:rPr>
      </w:pPr>
    </w:p>
    <w:p w14:paraId="5960A036" w14:textId="77777777" w:rsidR="00681CFE" w:rsidRPr="000F4A7C" w:rsidRDefault="00681CFE" w:rsidP="00681CFE">
      <w:pPr>
        <w:pStyle w:val="Heading2"/>
        <w:spacing w:before="0" w:line="276" w:lineRule="auto"/>
        <w:rPr>
          <w:rFonts w:cs="Arial"/>
          <w:szCs w:val="24"/>
        </w:rPr>
      </w:pPr>
      <w:r w:rsidRPr="000F4A7C">
        <w:rPr>
          <w:rFonts w:cs="Arial"/>
          <w:szCs w:val="24"/>
        </w:rPr>
        <w:t>Staff Question-</w:t>
      </w:r>
      <w:r w:rsidR="00BE1F2D">
        <w:rPr>
          <w:rFonts w:cs="Arial"/>
          <w:szCs w:val="24"/>
        </w:rPr>
        <w:t>14</w:t>
      </w:r>
    </w:p>
    <w:p w14:paraId="6AEF3006" w14:textId="77777777" w:rsidR="00681CFE" w:rsidRPr="000F4A7C" w:rsidRDefault="00681CFE" w:rsidP="00681CFE">
      <w:pPr>
        <w:spacing w:after="0"/>
        <w:rPr>
          <w:rFonts w:ascii="Arial" w:hAnsi="Arial" w:cs="Arial"/>
          <w:sz w:val="24"/>
          <w:szCs w:val="24"/>
        </w:rPr>
      </w:pPr>
    </w:p>
    <w:p w14:paraId="75125268" w14:textId="77777777" w:rsidR="00681CFE" w:rsidRPr="000F4A7C" w:rsidRDefault="00681CFE" w:rsidP="00681CFE">
      <w:pPr>
        <w:spacing w:after="0"/>
        <w:ind w:left="720" w:hanging="720"/>
        <w:rPr>
          <w:rFonts w:ascii="Arial" w:hAnsi="Arial" w:cs="Arial"/>
          <w:sz w:val="24"/>
          <w:szCs w:val="24"/>
        </w:rPr>
      </w:pPr>
      <w:r w:rsidRPr="000F4A7C">
        <w:rPr>
          <w:rFonts w:ascii="Arial" w:hAnsi="Arial" w:cs="Arial"/>
          <w:sz w:val="24"/>
          <w:szCs w:val="24"/>
        </w:rPr>
        <w:t>Ref:</w:t>
      </w:r>
      <w:r w:rsidRPr="000F4A7C">
        <w:rPr>
          <w:rFonts w:ascii="Arial" w:hAnsi="Arial" w:cs="Arial"/>
          <w:sz w:val="24"/>
          <w:szCs w:val="24"/>
        </w:rPr>
        <w:tab/>
        <w:t xml:space="preserve">(1) Appendix A GA Methodology Description Questions on Accounts 1588 &amp; 1589, page 23 of Manager’s Summary </w:t>
      </w:r>
    </w:p>
    <w:p w14:paraId="5AF06647" w14:textId="77777777" w:rsidR="00681CFE" w:rsidRPr="000F4A7C" w:rsidRDefault="00681CFE" w:rsidP="00681CFE">
      <w:pPr>
        <w:spacing w:after="0"/>
        <w:ind w:left="720" w:hanging="720"/>
        <w:rPr>
          <w:rFonts w:ascii="Arial" w:hAnsi="Arial" w:cs="Arial"/>
          <w:sz w:val="24"/>
          <w:szCs w:val="24"/>
        </w:rPr>
      </w:pPr>
    </w:p>
    <w:p w14:paraId="53908D6E" w14:textId="77777777" w:rsidR="00681CFE" w:rsidRPr="000F4A7C" w:rsidRDefault="00681CFE" w:rsidP="00681CFE">
      <w:pPr>
        <w:spacing w:after="0"/>
        <w:rPr>
          <w:rFonts w:ascii="Arial" w:hAnsi="Arial" w:cs="Arial"/>
          <w:b/>
          <w:sz w:val="24"/>
          <w:szCs w:val="24"/>
        </w:rPr>
      </w:pPr>
      <w:r w:rsidRPr="000F4A7C">
        <w:rPr>
          <w:rFonts w:ascii="Arial" w:hAnsi="Arial" w:cs="Arial"/>
          <w:b/>
          <w:sz w:val="24"/>
          <w:szCs w:val="24"/>
        </w:rPr>
        <w:t>Preamble:</w:t>
      </w:r>
    </w:p>
    <w:p w14:paraId="6B8E946B" w14:textId="77777777" w:rsidR="00681CFE" w:rsidRPr="000F4A7C" w:rsidRDefault="00681CFE" w:rsidP="00681CFE">
      <w:pPr>
        <w:spacing w:after="0"/>
        <w:rPr>
          <w:rFonts w:ascii="Arial" w:hAnsi="Arial" w:cs="Arial"/>
          <w:sz w:val="24"/>
          <w:szCs w:val="24"/>
          <w:u w:val="single"/>
        </w:rPr>
      </w:pPr>
    </w:p>
    <w:p w14:paraId="57E0B672" w14:textId="77777777" w:rsidR="00681CFE" w:rsidRPr="000F4A7C" w:rsidRDefault="00681CFE" w:rsidP="00681CFE">
      <w:pPr>
        <w:spacing w:after="0"/>
        <w:rPr>
          <w:rFonts w:ascii="Arial" w:hAnsi="Arial" w:cs="Arial"/>
          <w:sz w:val="24"/>
          <w:szCs w:val="24"/>
        </w:rPr>
      </w:pPr>
      <w:r w:rsidRPr="000F4A7C">
        <w:rPr>
          <w:rFonts w:ascii="Arial" w:hAnsi="Arial" w:cs="Arial"/>
          <w:sz w:val="24"/>
          <w:szCs w:val="24"/>
        </w:rPr>
        <w:t>At the above-noted reference, CPUC stated that in booking expense journal entries for Charge Type (CT) 1142 and CT 148 from the IESO invoice, it utilizes approach “b.” In approach “b” CT 148 is booked into Account 1589. The portion of CT 1142 equaling RPP minus HOEP for RPP consumption is booked into Account 1588. The portion of CT 1142 equaling GA RPP is credited into Account 1589.</w:t>
      </w:r>
    </w:p>
    <w:p w14:paraId="62C40AB4" w14:textId="77777777" w:rsidR="00681CFE" w:rsidRPr="000F4A7C" w:rsidRDefault="00681CFE" w:rsidP="00681CFE">
      <w:pPr>
        <w:spacing w:after="0"/>
        <w:rPr>
          <w:rFonts w:ascii="Arial" w:hAnsi="Arial" w:cs="Arial"/>
          <w:sz w:val="24"/>
          <w:szCs w:val="24"/>
        </w:rPr>
      </w:pPr>
    </w:p>
    <w:p w14:paraId="15DB8CAF" w14:textId="77777777" w:rsidR="00681CFE" w:rsidRPr="000F4A7C" w:rsidRDefault="00681CFE" w:rsidP="00681CFE">
      <w:pPr>
        <w:spacing w:after="0"/>
        <w:rPr>
          <w:rFonts w:ascii="Arial" w:hAnsi="Arial" w:cs="Arial"/>
          <w:b/>
          <w:sz w:val="24"/>
          <w:szCs w:val="24"/>
        </w:rPr>
      </w:pPr>
      <w:r w:rsidRPr="000F4A7C">
        <w:rPr>
          <w:rFonts w:ascii="Arial" w:hAnsi="Arial" w:cs="Arial"/>
          <w:b/>
          <w:sz w:val="24"/>
          <w:szCs w:val="24"/>
        </w:rPr>
        <w:t>Question:</w:t>
      </w:r>
    </w:p>
    <w:p w14:paraId="22B0E1A1" w14:textId="77777777" w:rsidR="00681CFE" w:rsidRPr="000F4A7C" w:rsidRDefault="00681CFE" w:rsidP="00681CFE">
      <w:pPr>
        <w:spacing w:after="0"/>
        <w:rPr>
          <w:rFonts w:ascii="Arial" w:hAnsi="Arial" w:cs="Arial"/>
          <w:sz w:val="24"/>
          <w:szCs w:val="24"/>
        </w:rPr>
      </w:pPr>
    </w:p>
    <w:p w14:paraId="76CC9EF9" w14:textId="17AFB2BF" w:rsidR="00681CFE" w:rsidRPr="000F4A7C" w:rsidRDefault="00681CFE" w:rsidP="00681CFE">
      <w:pPr>
        <w:pStyle w:val="ListParagraph"/>
        <w:numPr>
          <w:ilvl w:val="0"/>
          <w:numId w:val="2"/>
        </w:numPr>
        <w:spacing w:after="0"/>
        <w:rPr>
          <w:rFonts w:ascii="Arial" w:hAnsi="Arial" w:cs="Arial"/>
          <w:sz w:val="24"/>
          <w:szCs w:val="24"/>
        </w:rPr>
      </w:pPr>
      <w:r w:rsidRPr="000F4A7C">
        <w:rPr>
          <w:rFonts w:ascii="Arial" w:hAnsi="Arial" w:cs="Arial"/>
          <w:sz w:val="24"/>
          <w:szCs w:val="24"/>
        </w:rPr>
        <w:t>Please confirm that CPUC meant that is using approach “a”, and not approach “b”. Approach “a” is consistent with the OEB’s methodology.</w:t>
      </w:r>
      <w:r w:rsidR="00910DDF">
        <w:rPr>
          <w:rFonts w:ascii="Arial" w:hAnsi="Arial" w:cs="Arial"/>
          <w:sz w:val="24"/>
          <w:szCs w:val="24"/>
        </w:rPr>
        <w:t xml:space="preserve">  </w:t>
      </w:r>
      <w:r w:rsidR="00910DDF">
        <w:rPr>
          <w:rFonts w:ascii="Arial" w:hAnsi="Arial" w:cs="Arial"/>
          <w:color w:val="FF0000"/>
          <w:sz w:val="24"/>
          <w:szCs w:val="24"/>
        </w:rPr>
        <w:t xml:space="preserve">Yes we confirm. </w:t>
      </w:r>
    </w:p>
    <w:p w14:paraId="22FBAD38" w14:textId="77777777" w:rsidR="00681CFE" w:rsidRPr="000F4A7C" w:rsidRDefault="00681CFE" w:rsidP="00681CFE">
      <w:pPr>
        <w:pStyle w:val="ListParagraph"/>
        <w:spacing w:after="0"/>
        <w:rPr>
          <w:rFonts w:ascii="Arial" w:hAnsi="Arial" w:cs="Arial"/>
          <w:sz w:val="24"/>
          <w:szCs w:val="24"/>
        </w:rPr>
      </w:pPr>
    </w:p>
    <w:p w14:paraId="2C311370" w14:textId="77777777" w:rsidR="00681CFE" w:rsidRPr="000F4A7C" w:rsidRDefault="00681CFE" w:rsidP="00681CFE">
      <w:pPr>
        <w:spacing w:after="0"/>
        <w:rPr>
          <w:rFonts w:ascii="Arial" w:hAnsi="Arial" w:cs="Arial"/>
          <w:b/>
          <w:sz w:val="24"/>
          <w:szCs w:val="24"/>
          <w:highlight w:val="yellow"/>
        </w:rPr>
      </w:pPr>
    </w:p>
    <w:p w14:paraId="71C37E36" w14:textId="77777777" w:rsidR="00681CFE" w:rsidRPr="000F4A7C" w:rsidRDefault="00BE1F2D" w:rsidP="00681CFE">
      <w:pPr>
        <w:pStyle w:val="Heading2"/>
        <w:spacing w:before="0" w:line="276" w:lineRule="auto"/>
        <w:rPr>
          <w:rFonts w:cs="Arial"/>
          <w:szCs w:val="24"/>
        </w:rPr>
      </w:pPr>
      <w:r>
        <w:rPr>
          <w:rFonts w:cs="Arial"/>
          <w:szCs w:val="24"/>
        </w:rPr>
        <w:t>Staff Question-15</w:t>
      </w:r>
    </w:p>
    <w:p w14:paraId="73CDC53D" w14:textId="77777777" w:rsidR="00681CFE" w:rsidRPr="000F4A7C" w:rsidRDefault="00681CFE" w:rsidP="00681CFE">
      <w:pPr>
        <w:spacing w:after="0"/>
        <w:rPr>
          <w:rFonts w:ascii="Arial" w:hAnsi="Arial" w:cs="Arial"/>
          <w:b/>
          <w:sz w:val="24"/>
          <w:szCs w:val="24"/>
        </w:rPr>
      </w:pPr>
    </w:p>
    <w:p w14:paraId="3814BD75" w14:textId="77777777" w:rsidR="00681CFE" w:rsidRPr="000F4A7C" w:rsidRDefault="00681CFE" w:rsidP="00681CFE">
      <w:pPr>
        <w:spacing w:after="0"/>
        <w:ind w:left="720" w:hanging="720"/>
        <w:rPr>
          <w:rFonts w:ascii="Arial" w:hAnsi="Arial" w:cs="Arial"/>
          <w:sz w:val="24"/>
          <w:szCs w:val="24"/>
        </w:rPr>
      </w:pPr>
      <w:r w:rsidRPr="000F4A7C">
        <w:rPr>
          <w:rFonts w:ascii="Arial" w:hAnsi="Arial" w:cs="Arial"/>
          <w:sz w:val="24"/>
          <w:szCs w:val="24"/>
        </w:rPr>
        <w:t>Ref:</w:t>
      </w:r>
      <w:r w:rsidRPr="000F4A7C">
        <w:rPr>
          <w:rFonts w:ascii="Arial" w:hAnsi="Arial" w:cs="Arial"/>
          <w:sz w:val="24"/>
          <w:szCs w:val="24"/>
        </w:rPr>
        <w:tab/>
        <w:t>(1) Accounting-Guidance-on-Accounts-1588-1589-QA-20190711, Q22</w:t>
      </w:r>
    </w:p>
    <w:p w14:paraId="0EB4F491" w14:textId="77777777" w:rsidR="00681CFE" w:rsidRPr="000F4A7C" w:rsidRDefault="00681CFE" w:rsidP="00681CFE">
      <w:pPr>
        <w:spacing w:after="0"/>
        <w:ind w:left="720" w:hanging="720"/>
        <w:rPr>
          <w:rFonts w:ascii="Arial" w:hAnsi="Arial" w:cs="Arial"/>
          <w:sz w:val="24"/>
          <w:szCs w:val="24"/>
        </w:rPr>
      </w:pPr>
      <w:r w:rsidRPr="000F4A7C">
        <w:rPr>
          <w:rFonts w:ascii="Arial" w:hAnsi="Arial" w:cs="Arial"/>
          <w:sz w:val="24"/>
          <w:szCs w:val="24"/>
        </w:rPr>
        <w:tab/>
        <w:t>(2) Manager’s Summary, page 17</w:t>
      </w:r>
    </w:p>
    <w:p w14:paraId="4F1727F4" w14:textId="77777777" w:rsidR="00681CFE" w:rsidRPr="000F4A7C" w:rsidRDefault="00681CFE" w:rsidP="00681CFE">
      <w:pPr>
        <w:spacing w:after="0"/>
        <w:ind w:left="720" w:hanging="720"/>
        <w:rPr>
          <w:rFonts w:ascii="Arial" w:hAnsi="Arial" w:cs="Arial"/>
          <w:sz w:val="24"/>
          <w:szCs w:val="24"/>
        </w:rPr>
      </w:pPr>
    </w:p>
    <w:p w14:paraId="4664AE35" w14:textId="77777777" w:rsidR="00681CFE" w:rsidRPr="000F4A7C" w:rsidRDefault="00681CFE" w:rsidP="00681CFE">
      <w:pPr>
        <w:spacing w:after="0"/>
        <w:rPr>
          <w:rFonts w:ascii="Arial" w:hAnsi="Arial" w:cs="Arial"/>
          <w:b/>
          <w:sz w:val="24"/>
          <w:szCs w:val="24"/>
        </w:rPr>
      </w:pPr>
      <w:r w:rsidRPr="000F4A7C">
        <w:rPr>
          <w:rFonts w:ascii="Arial" w:hAnsi="Arial" w:cs="Arial"/>
          <w:b/>
          <w:sz w:val="24"/>
          <w:szCs w:val="24"/>
        </w:rPr>
        <w:t>Preamble:</w:t>
      </w:r>
    </w:p>
    <w:p w14:paraId="1F7BF6AE" w14:textId="77777777" w:rsidR="00681CFE" w:rsidRPr="000F4A7C" w:rsidRDefault="00681CFE" w:rsidP="00681CFE">
      <w:pPr>
        <w:spacing w:after="0"/>
        <w:rPr>
          <w:rFonts w:ascii="Arial" w:hAnsi="Arial" w:cs="Arial"/>
          <w:sz w:val="24"/>
          <w:szCs w:val="24"/>
        </w:rPr>
      </w:pPr>
    </w:p>
    <w:p w14:paraId="71B3395D" w14:textId="77777777" w:rsidR="00681CFE" w:rsidRPr="000F4A7C" w:rsidRDefault="00681CFE" w:rsidP="00681CFE">
      <w:pPr>
        <w:spacing w:after="0"/>
        <w:rPr>
          <w:rFonts w:ascii="Arial" w:hAnsi="Arial" w:cs="Arial"/>
          <w:color w:val="000000"/>
          <w:sz w:val="24"/>
          <w:szCs w:val="24"/>
        </w:rPr>
      </w:pPr>
      <w:r w:rsidRPr="000F4A7C">
        <w:rPr>
          <w:rFonts w:ascii="Arial" w:hAnsi="Arial" w:cs="Arial"/>
          <w:color w:val="000000"/>
          <w:sz w:val="24"/>
          <w:szCs w:val="24"/>
        </w:rPr>
        <w:t xml:space="preserve">At the above-noted first reference, the OEB confirmed that the total volumes used in the RPP settlement process are based on wholesale volumes. </w:t>
      </w:r>
      <w:bookmarkStart w:id="2" w:name="_Hlk32242103"/>
      <w:r w:rsidRPr="000F4A7C">
        <w:rPr>
          <w:rFonts w:ascii="Arial" w:hAnsi="Arial" w:cs="Arial"/>
          <w:color w:val="000000"/>
          <w:sz w:val="24"/>
          <w:szCs w:val="24"/>
        </w:rPr>
        <w:t>The OEB noted that the IESO invoice is based on wholesale volumes, therefore, the RPP settlement is also to be completed based on wholesale volumes. However, the OEB stated that the proportions between the tiers and time of use periods are based on retail volumes</w:t>
      </w:r>
      <w:bookmarkEnd w:id="2"/>
      <w:r w:rsidRPr="000F4A7C">
        <w:rPr>
          <w:rFonts w:ascii="Arial" w:hAnsi="Arial" w:cs="Arial"/>
          <w:color w:val="000000"/>
          <w:sz w:val="24"/>
          <w:szCs w:val="24"/>
        </w:rPr>
        <w:t>.</w:t>
      </w:r>
    </w:p>
    <w:p w14:paraId="03ACA1EB" w14:textId="77777777" w:rsidR="00681CFE" w:rsidRPr="000F4A7C" w:rsidRDefault="00681CFE" w:rsidP="00681CFE">
      <w:pPr>
        <w:spacing w:after="0"/>
        <w:rPr>
          <w:rFonts w:ascii="Arial" w:hAnsi="Arial" w:cs="Arial"/>
          <w:color w:val="000000"/>
          <w:sz w:val="24"/>
          <w:szCs w:val="24"/>
        </w:rPr>
      </w:pPr>
    </w:p>
    <w:p w14:paraId="10CC750A" w14:textId="77777777" w:rsidR="00681CFE" w:rsidRPr="000F4A7C" w:rsidRDefault="00681CFE" w:rsidP="00681CFE">
      <w:pPr>
        <w:spacing w:after="0"/>
        <w:rPr>
          <w:rFonts w:ascii="Arial" w:hAnsi="Arial" w:cs="Arial"/>
          <w:color w:val="000000"/>
          <w:sz w:val="24"/>
          <w:szCs w:val="24"/>
        </w:rPr>
      </w:pPr>
      <w:r w:rsidRPr="000F4A7C">
        <w:rPr>
          <w:rFonts w:ascii="Arial" w:hAnsi="Arial" w:cs="Arial"/>
          <w:color w:val="000000"/>
          <w:sz w:val="24"/>
          <w:szCs w:val="24"/>
        </w:rPr>
        <w:t xml:space="preserve">At the above-noted second reference, CPUC makes a reference to wholesale metering data. </w:t>
      </w:r>
    </w:p>
    <w:p w14:paraId="0EB2AABF" w14:textId="77777777" w:rsidR="00681CFE" w:rsidRPr="000F4A7C" w:rsidRDefault="00681CFE" w:rsidP="00681CFE">
      <w:pPr>
        <w:spacing w:after="0"/>
        <w:rPr>
          <w:rFonts w:ascii="Arial" w:hAnsi="Arial" w:cs="Arial"/>
          <w:color w:val="000000"/>
          <w:sz w:val="24"/>
          <w:szCs w:val="24"/>
        </w:rPr>
      </w:pPr>
    </w:p>
    <w:p w14:paraId="774D1802" w14:textId="77777777" w:rsidR="00681CFE" w:rsidRPr="000F4A7C" w:rsidRDefault="00681CFE" w:rsidP="00681CFE">
      <w:pPr>
        <w:spacing w:after="0"/>
        <w:rPr>
          <w:rFonts w:ascii="Arial" w:hAnsi="Arial" w:cs="Arial"/>
          <w:b/>
          <w:color w:val="000000"/>
          <w:sz w:val="24"/>
          <w:szCs w:val="24"/>
        </w:rPr>
      </w:pPr>
      <w:r w:rsidRPr="000F4A7C">
        <w:rPr>
          <w:rFonts w:ascii="Arial" w:hAnsi="Arial" w:cs="Arial"/>
          <w:b/>
          <w:color w:val="000000"/>
          <w:sz w:val="24"/>
          <w:szCs w:val="24"/>
        </w:rPr>
        <w:t>Question:</w:t>
      </w:r>
    </w:p>
    <w:p w14:paraId="639EEE86" w14:textId="77777777" w:rsidR="00681CFE" w:rsidRPr="000F4A7C" w:rsidRDefault="00681CFE" w:rsidP="00681CFE">
      <w:pPr>
        <w:spacing w:after="0"/>
        <w:rPr>
          <w:rFonts w:ascii="Arial" w:hAnsi="Arial" w:cs="Arial"/>
          <w:sz w:val="24"/>
          <w:szCs w:val="24"/>
        </w:rPr>
      </w:pPr>
    </w:p>
    <w:p w14:paraId="633176CD" w14:textId="27A638A2" w:rsidR="00681CFE" w:rsidRPr="00D56BA4" w:rsidRDefault="00681CFE" w:rsidP="00681CFE">
      <w:pPr>
        <w:pStyle w:val="ListParagraph"/>
        <w:numPr>
          <w:ilvl w:val="0"/>
          <w:numId w:val="10"/>
        </w:numPr>
        <w:spacing w:after="0"/>
        <w:rPr>
          <w:rFonts w:ascii="Arial" w:hAnsi="Arial" w:cs="Arial"/>
          <w:sz w:val="24"/>
          <w:szCs w:val="24"/>
        </w:rPr>
      </w:pPr>
      <w:r w:rsidRPr="00D56BA4">
        <w:rPr>
          <w:rFonts w:ascii="Arial" w:hAnsi="Arial" w:cs="Arial"/>
          <w:sz w:val="24"/>
          <w:szCs w:val="24"/>
        </w:rPr>
        <w:t>Please confirm that CPUC has reflected the above noted OEB requirements in its settlement processes, as part of its exercise to restate balances from January 1, 2014 and forward.</w:t>
      </w:r>
      <w:r w:rsidR="00910DDF" w:rsidRPr="00D56BA4">
        <w:rPr>
          <w:rFonts w:ascii="Arial" w:hAnsi="Arial" w:cs="Arial"/>
          <w:sz w:val="24"/>
          <w:szCs w:val="24"/>
        </w:rPr>
        <w:t xml:space="preserve">  </w:t>
      </w:r>
      <w:r w:rsidR="00910DDF" w:rsidRPr="00D56BA4">
        <w:rPr>
          <w:rFonts w:ascii="Arial" w:hAnsi="Arial" w:cs="Arial"/>
          <w:color w:val="FF0000"/>
          <w:sz w:val="24"/>
          <w:szCs w:val="24"/>
        </w:rPr>
        <w:t>Yes we confirm.</w:t>
      </w:r>
    </w:p>
    <w:p w14:paraId="7BA7746E" w14:textId="77777777" w:rsidR="00681CFE" w:rsidRPr="000F4A7C" w:rsidRDefault="00681CFE" w:rsidP="00681CFE">
      <w:pPr>
        <w:pStyle w:val="ListParagraph"/>
        <w:spacing w:after="0"/>
        <w:rPr>
          <w:rFonts w:ascii="Arial" w:hAnsi="Arial" w:cs="Arial"/>
          <w:sz w:val="24"/>
          <w:szCs w:val="24"/>
        </w:rPr>
      </w:pPr>
    </w:p>
    <w:p w14:paraId="622A979F" w14:textId="77777777" w:rsidR="00681CFE" w:rsidRPr="000F4A7C" w:rsidRDefault="00681CFE" w:rsidP="00681CFE">
      <w:pPr>
        <w:pStyle w:val="ListParagraph"/>
        <w:spacing w:after="0"/>
        <w:rPr>
          <w:rFonts w:ascii="Arial" w:hAnsi="Arial" w:cs="Arial"/>
          <w:sz w:val="24"/>
          <w:szCs w:val="24"/>
        </w:rPr>
      </w:pPr>
    </w:p>
    <w:p w14:paraId="17078BC0" w14:textId="77777777" w:rsidR="00681CFE" w:rsidRPr="000F4A7C" w:rsidRDefault="00BE1F2D" w:rsidP="00681CFE">
      <w:pPr>
        <w:spacing w:after="0"/>
        <w:rPr>
          <w:rFonts w:ascii="Arial" w:hAnsi="Arial" w:cs="Arial"/>
          <w:b/>
          <w:sz w:val="24"/>
          <w:szCs w:val="24"/>
        </w:rPr>
      </w:pPr>
      <w:r>
        <w:rPr>
          <w:rFonts w:ascii="Arial" w:hAnsi="Arial" w:cs="Arial"/>
          <w:b/>
          <w:sz w:val="24"/>
          <w:szCs w:val="24"/>
        </w:rPr>
        <w:t>Staff Question-16</w:t>
      </w:r>
    </w:p>
    <w:p w14:paraId="17890830" w14:textId="77777777" w:rsidR="00681CFE" w:rsidRPr="000F4A7C" w:rsidRDefault="00681CFE" w:rsidP="00681CFE">
      <w:pPr>
        <w:spacing w:after="0"/>
        <w:rPr>
          <w:rFonts w:ascii="Arial" w:hAnsi="Arial" w:cs="Arial"/>
          <w:b/>
          <w:sz w:val="24"/>
          <w:szCs w:val="24"/>
        </w:rPr>
      </w:pPr>
    </w:p>
    <w:p w14:paraId="7F0BDF31" w14:textId="77777777" w:rsidR="00681CFE" w:rsidRPr="000F4A7C" w:rsidRDefault="00681CFE" w:rsidP="00681CFE">
      <w:pPr>
        <w:spacing w:after="0"/>
        <w:ind w:left="720" w:hanging="720"/>
        <w:rPr>
          <w:rFonts w:ascii="Arial" w:hAnsi="Arial" w:cs="Arial"/>
          <w:sz w:val="24"/>
          <w:szCs w:val="24"/>
        </w:rPr>
      </w:pPr>
      <w:r w:rsidRPr="000F4A7C">
        <w:rPr>
          <w:rFonts w:ascii="Arial" w:hAnsi="Arial" w:cs="Arial"/>
          <w:sz w:val="24"/>
          <w:szCs w:val="24"/>
        </w:rPr>
        <w:t>Ref:</w:t>
      </w:r>
      <w:r w:rsidRPr="000F4A7C">
        <w:rPr>
          <w:rFonts w:ascii="Arial" w:hAnsi="Arial" w:cs="Arial"/>
          <w:b/>
          <w:sz w:val="24"/>
          <w:szCs w:val="24"/>
        </w:rPr>
        <w:tab/>
      </w:r>
      <w:r w:rsidRPr="000F4A7C">
        <w:rPr>
          <w:rFonts w:ascii="Arial" w:hAnsi="Arial" w:cs="Arial"/>
          <w:sz w:val="24"/>
          <w:szCs w:val="24"/>
        </w:rPr>
        <w:t>(1) Manager’s Summary, page 17</w:t>
      </w:r>
    </w:p>
    <w:p w14:paraId="057E5F21" w14:textId="77777777" w:rsidR="00681CFE" w:rsidRPr="000F4A7C" w:rsidRDefault="00681CFE" w:rsidP="00681CFE">
      <w:pPr>
        <w:spacing w:after="0"/>
        <w:ind w:left="720"/>
        <w:rPr>
          <w:rFonts w:ascii="Arial" w:hAnsi="Arial" w:cs="Arial"/>
          <w:sz w:val="24"/>
          <w:szCs w:val="24"/>
        </w:rPr>
      </w:pPr>
      <w:r w:rsidRPr="000F4A7C">
        <w:rPr>
          <w:rFonts w:ascii="Arial" w:hAnsi="Arial" w:cs="Arial"/>
          <w:sz w:val="24"/>
          <w:szCs w:val="24"/>
        </w:rPr>
        <w:t>(2) Accounting-Guidance-on-Accounts-1588-1589-QA-20190711, Q20</w:t>
      </w:r>
    </w:p>
    <w:p w14:paraId="5C142012" w14:textId="77777777" w:rsidR="00681CFE" w:rsidRPr="000F4A7C" w:rsidRDefault="00681CFE" w:rsidP="00681CFE">
      <w:pPr>
        <w:spacing w:after="0"/>
        <w:rPr>
          <w:rFonts w:ascii="Arial" w:hAnsi="Arial" w:cs="Arial"/>
          <w:sz w:val="24"/>
          <w:szCs w:val="24"/>
        </w:rPr>
      </w:pPr>
    </w:p>
    <w:p w14:paraId="0B1F3D64" w14:textId="77777777" w:rsidR="00681CFE" w:rsidRPr="000F4A7C" w:rsidRDefault="00681CFE" w:rsidP="00681CFE">
      <w:pPr>
        <w:spacing w:after="0"/>
        <w:rPr>
          <w:rFonts w:ascii="Arial" w:hAnsi="Arial" w:cs="Arial"/>
          <w:b/>
          <w:sz w:val="24"/>
          <w:szCs w:val="24"/>
        </w:rPr>
      </w:pPr>
      <w:r w:rsidRPr="000F4A7C">
        <w:rPr>
          <w:rFonts w:ascii="Arial" w:hAnsi="Arial" w:cs="Arial"/>
          <w:b/>
          <w:sz w:val="24"/>
          <w:szCs w:val="24"/>
        </w:rPr>
        <w:t>Preamble:</w:t>
      </w:r>
    </w:p>
    <w:p w14:paraId="4882D98E" w14:textId="77777777" w:rsidR="00681CFE" w:rsidRPr="000F4A7C" w:rsidRDefault="00681CFE" w:rsidP="00681CFE">
      <w:pPr>
        <w:spacing w:after="0"/>
        <w:rPr>
          <w:rFonts w:ascii="Arial" w:hAnsi="Arial" w:cs="Arial"/>
          <w:b/>
          <w:sz w:val="24"/>
          <w:szCs w:val="24"/>
        </w:rPr>
      </w:pPr>
    </w:p>
    <w:p w14:paraId="5EE0E737" w14:textId="77777777" w:rsidR="00681CFE" w:rsidRPr="000F4A7C" w:rsidRDefault="00681CFE" w:rsidP="00681CFE">
      <w:pPr>
        <w:spacing w:after="0"/>
        <w:rPr>
          <w:rFonts w:ascii="Arial" w:hAnsi="Arial" w:cs="Arial"/>
          <w:sz w:val="24"/>
          <w:szCs w:val="24"/>
        </w:rPr>
      </w:pPr>
      <w:r w:rsidRPr="000F4A7C">
        <w:rPr>
          <w:rFonts w:ascii="Arial" w:hAnsi="Arial" w:cs="Arial"/>
          <w:sz w:val="24"/>
          <w:szCs w:val="24"/>
        </w:rPr>
        <w:t>At the above noted first reference, CPUC stated that “once the actual GA rate is known, an adjustment is made to true-up in the following month.”</w:t>
      </w:r>
    </w:p>
    <w:p w14:paraId="7512FF85" w14:textId="77777777" w:rsidR="00681CFE" w:rsidRPr="000F4A7C" w:rsidRDefault="00681CFE" w:rsidP="00681CFE">
      <w:pPr>
        <w:spacing w:after="0"/>
        <w:rPr>
          <w:rFonts w:ascii="Arial" w:hAnsi="Arial" w:cs="Arial"/>
          <w:b/>
          <w:sz w:val="24"/>
          <w:szCs w:val="24"/>
        </w:rPr>
      </w:pPr>
    </w:p>
    <w:p w14:paraId="74E189A6" w14:textId="77777777" w:rsidR="00681CFE" w:rsidRPr="000F4A7C" w:rsidRDefault="00681CFE" w:rsidP="00681CFE">
      <w:pPr>
        <w:spacing w:after="0"/>
        <w:rPr>
          <w:rFonts w:ascii="Arial" w:hAnsi="Arial" w:cs="Arial"/>
          <w:sz w:val="24"/>
          <w:szCs w:val="24"/>
        </w:rPr>
      </w:pPr>
      <w:r w:rsidRPr="000F4A7C">
        <w:rPr>
          <w:rFonts w:ascii="Arial" w:hAnsi="Arial" w:cs="Arial"/>
          <w:color w:val="000000"/>
          <w:sz w:val="24"/>
          <w:szCs w:val="24"/>
          <w:lang w:val="en-US"/>
        </w:rPr>
        <w:t xml:space="preserve">At the above noted second reference, the OEB confirmed that </w:t>
      </w:r>
      <w:r w:rsidRPr="000F4A7C">
        <w:rPr>
          <w:rFonts w:ascii="Arial" w:hAnsi="Arial" w:cs="Arial"/>
          <w:sz w:val="24"/>
          <w:szCs w:val="24"/>
        </w:rPr>
        <w:t>the GA price used for RPP settlements should be the invoiced GA price. However, the OEB noted that the invoiced GA price should generally equal the posted price, except in some circumstances.</w:t>
      </w:r>
    </w:p>
    <w:p w14:paraId="0B6A9AB9" w14:textId="77777777" w:rsidR="00681CFE" w:rsidRPr="000F4A7C" w:rsidRDefault="00681CFE" w:rsidP="00681CFE">
      <w:pPr>
        <w:spacing w:after="0"/>
        <w:rPr>
          <w:rFonts w:ascii="Arial" w:hAnsi="Arial" w:cs="Arial"/>
          <w:sz w:val="24"/>
          <w:szCs w:val="24"/>
        </w:rPr>
      </w:pPr>
    </w:p>
    <w:p w14:paraId="13BE5099" w14:textId="77777777" w:rsidR="00681CFE" w:rsidRPr="000F4A7C" w:rsidRDefault="00681CFE" w:rsidP="00681CFE">
      <w:pPr>
        <w:spacing w:after="0"/>
        <w:rPr>
          <w:rFonts w:ascii="Arial" w:hAnsi="Arial" w:cs="Arial"/>
          <w:b/>
          <w:color w:val="000000"/>
          <w:sz w:val="24"/>
          <w:szCs w:val="24"/>
          <w:lang w:val="en-US"/>
        </w:rPr>
      </w:pPr>
      <w:r w:rsidRPr="000F4A7C">
        <w:rPr>
          <w:rFonts w:ascii="Arial" w:hAnsi="Arial" w:cs="Arial"/>
          <w:b/>
          <w:color w:val="000000"/>
          <w:sz w:val="24"/>
          <w:szCs w:val="24"/>
          <w:lang w:val="en-US"/>
        </w:rPr>
        <w:t>Question:</w:t>
      </w:r>
    </w:p>
    <w:p w14:paraId="0726C990" w14:textId="77777777" w:rsidR="00681CFE" w:rsidRPr="000F4A7C" w:rsidRDefault="00681CFE" w:rsidP="00681CFE">
      <w:pPr>
        <w:spacing w:after="0"/>
        <w:rPr>
          <w:rFonts w:ascii="Arial" w:hAnsi="Arial" w:cs="Arial"/>
          <w:b/>
          <w:color w:val="000000"/>
          <w:sz w:val="24"/>
          <w:szCs w:val="24"/>
          <w:lang w:val="en-US"/>
        </w:rPr>
      </w:pPr>
    </w:p>
    <w:p w14:paraId="760F53D4" w14:textId="00E5D1A5" w:rsidR="00681CFE" w:rsidRPr="000F4A7C" w:rsidRDefault="00681CFE" w:rsidP="00681CFE">
      <w:pPr>
        <w:pStyle w:val="ListParagraph"/>
        <w:numPr>
          <w:ilvl w:val="0"/>
          <w:numId w:val="1"/>
        </w:numPr>
        <w:spacing w:after="0"/>
        <w:rPr>
          <w:rFonts w:ascii="Arial" w:hAnsi="Arial" w:cs="Arial"/>
          <w:sz w:val="24"/>
          <w:szCs w:val="24"/>
        </w:rPr>
      </w:pPr>
      <w:r w:rsidRPr="000F4A7C">
        <w:rPr>
          <w:rFonts w:ascii="Arial" w:hAnsi="Arial" w:cs="Arial"/>
          <w:sz w:val="24"/>
          <w:szCs w:val="24"/>
        </w:rPr>
        <w:t>Please confirm that CPUC performs its final RPP settlements based on the invoiced GA price, versus the final posted GA rate, as part of its exercise to restate balances from January 1, 2014 and forward.</w:t>
      </w:r>
      <w:r w:rsidR="00910DDF">
        <w:rPr>
          <w:rFonts w:ascii="Arial" w:hAnsi="Arial" w:cs="Arial"/>
          <w:color w:val="FF0000"/>
          <w:sz w:val="24"/>
          <w:szCs w:val="24"/>
        </w:rPr>
        <w:t xml:space="preserve">  Yes we confirm. </w:t>
      </w:r>
    </w:p>
    <w:p w14:paraId="450FE6E6" w14:textId="77777777" w:rsidR="00681CFE" w:rsidRPr="000F4A7C" w:rsidRDefault="00681CFE" w:rsidP="00681CFE">
      <w:pPr>
        <w:pStyle w:val="ListParagraph"/>
        <w:tabs>
          <w:tab w:val="left" w:pos="1224"/>
        </w:tabs>
        <w:spacing w:after="0"/>
        <w:rPr>
          <w:rFonts w:ascii="Arial" w:hAnsi="Arial" w:cs="Arial"/>
          <w:sz w:val="24"/>
          <w:szCs w:val="24"/>
        </w:rPr>
      </w:pPr>
    </w:p>
    <w:p w14:paraId="0E19DB33" w14:textId="77777777" w:rsidR="00286CF3" w:rsidRPr="00AC3F80" w:rsidRDefault="00286CF3" w:rsidP="005C70CD">
      <w:pPr>
        <w:rPr>
          <w:rFonts w:ascii="Arial" w:hAnsi="Arial" w:cs="Arial"/>
          <w:sz w:val="24"/>
          <w:szCs w:val="24"/>
        </w:rPr>
      </w:pPr>
    </w:p>
    <w:sectPr w:rsidR="00286CF3" w:rsidRPr="00AC3F80" w:rsidSect="00EA0919">
      <w:headerReference w:type="default" r:id="rId13"/>
      <w:footerReference w:type="default" r:id="rId14"/>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D4257" w14:textId="77777777" w:rsidR="001A728D" w:rsidRDefault="001A728D" w:rsidP="001A728D">
      <w:pPr>
        <w:spacing w:after="0" w:line="240" w:lineRule="auto"/>
      </w:pPr>
      <w:r>
        <w:separator/>
      </w:r>
    </w:p>
  </w:endnote>
  <w:endnote w:type="continuationSeparator" w:id="0">
    <w:p w14:paraId="5FF85546" w14:textId="77777777" w:rsidR="001A728D" w:rsidRDefault="001A728D" w:rsidP="001A7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7211800"/>
      <w:docPartObj>
        <w:docPartGallery w:val="Page Numbers (Bottom of Page)"/>
        <w:docPartUnique/>
      </w:docPartObj>
    </w:sdtPr>
    <w:sdtEndPr>
      <w:rPr>
        <w:noProof/>
      </w:rPr>
    </w:sdtEndPr>
    <w:sdtContent>
      <w:p w14:paraId="778A66CD" w14:textId="77777777" w:rsidR="0059172B" w:rsidRDefault="0059172B">
        <w:pPr>
          <w:pStyle w:val="Footer"/>
          <w:jc w:val="center"/>
        </w:pPr>
        <w:r>
          <w:fldChar w:fldCharType="begin"/>
        </w:r>
        <w:r>
          <w:instrText xml:space="preserve"> PAGE   \* MERGEFORMAT </w:instrText>
        </w:r>
        <w:r>
          <w:fldChar w:fldCharType="separate"/>
        </w:r>
        <w:r w:rsidR="00AC52FC">
          <w:rPr>
            <w:noProof/>
          </w:rPr>
          <w:t>1</w:t>
        </w:r>
        <w:r>
          <w:rPr>
            <w:noProof/>
          </w:rPr>
          <w:fldChar w:fldCharType="end"/>
        </w:r>
      </w:p>
    </w:sdtContent>
  </w:sdt>
  <w:p w14:paraId="1396BB70" w14:textId="77777777" w:rsidR="0059172B" w:rsidRDefault="00591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841E3" w14:textId="77777777" w:rsidR="001A728D" w:rsidRDefault="001A728D" w:rsidP="001A728D">
      <w:pPr>
        <w:spacing w:after="0" w:line="240" w:lineRule="auto"/>
      </w:pPr>
      <w:r>
        <w:separator/>
      </w:r>
    </w:p>
  </w:footnote>
  <w:footnote w:type="continuationSeparator" w:id="0">
    <w:p w14:paraId="3E077DBD" w14:textId="77777777" w:rsidR="001A728D" w:rsidRDefault="001A728D" w:rsidP="001A728D">
      <w:pPr>
        <w:spacing w:after="0" w:line="240" w:lineRule="auto"/>
      </w:pPr>
      <w:r>
        <w:continuationSeparator/>
      </w:r>
    </w:p>
  </w:footnote>
  <w:footnote w:id="1">
    <w:p w14:paraId="5F7CB074" w14:textId="77777777" w:rsidR="00681CFE" w:rsidRPr="00991B22" w:rsidRDefault="00681CFE" w:rsidP="00681CFE">
      <w:pPr>
        <w:pStyle w:val="FootnoteText"/>
        <w:rPr>
          <w:rFonts w:ascii="Arial" w:hAnsi="Arial" w:cs="Arial"/>
        </w:rPr>
      </w:pPr>
      <w:r w:rsidRPr="00991B22">
        <w:rPr>
          <w:rStyle w:val="FootnoteReference"/>
          <w:rFonts w:ascii="Arial" w:hAnsi="Arial" w:cs="Arial"/>
        </w:rPr>
        <w:footnoteRef/>
      </w:r>
      <w:r>
        <w:rPr>
          <w:rFonts w:ascii="Arial" w:hAnsi="Arial" w:cs="Arial"/>
        </w:rPr>
        <w:t xml:space="preserve"> EB-2018-0087</w:t>
      </w:r>
    </w:p>
  </w:footnote>
  <w:footnote w:id="2">
    <w:p w14:paraId="4D8A3BCA" w14:textId="77777777" w:rsidR="00681CFE" w:rsidRPr="00991B22" w:rsidRDefault="00681CFE" w:rsidP="00681CFE">
      <w:pPr>
        <w:pStyle w:val="FootnoteText"/>
        <w:rPr>
          <w:rFonts w:ascii="Arial" w:hAnsi="Arial" w:cs="Arial"/>
        </w:rPr>
      </w:pPr>
      <w:r w:rsidRPr="00991B22">
        <w:rPr>
          <w:rStyle w:val="FootnoteReference"/>
          <w:rFonts w:ascii="Arial" w:hAnsi="Arial" w:cs="Arial"/>
        </w:rPr>
        <w:footnoteRef/>
      </w:r>
      <w:r>
        <w:rPr>
          <w:rFonts w:ascii="Arial" w:hAnsi="Arial" w:cs="Arial"/>
        </w:rPr>
        <w:t xml:space="preserve"> </w:t>
      </w:r>
      <w:r w:rsidRPr="00D4082B">
        <w:rPr>
          <w:rFonts w:ascii="Arial" w:hAnsi="Arial" w:cs="Arial"/>
        </w:rPr>
        <w:t>EB-2014-0063</w:t>
      </w:r>
    </w:p>
  </w:footnote>
  <w:footnote w:id="3">
    <w:p w14:paraId="4B249291" w14:textId="77777777" w:rsidR="00681CFE" w:rsidRPr="00272AD1" w:rsidRDefault="00681CFE" w:rsidP="00681CFE">
      <w:pPr>
        <w:pStyle w:val="FootnoteText"/>
        <w:rPr>
          <w:rFonts w:ascii="Arial" w:hAnsi="Arial" w:cs="Arial"/>
          <w:lang w:val="en-US"/>
        </w:rPr>
      </w:pPr>
      <w:r w:rsidRPr="00272AD1">
        <w:rPr>
          <w:rStyle w:val="FootnoteReference"/>
          <w:rFonts w:ascii="Arial" w:hAnsi="Arial" w:cs="Arial"/>
        </w:rPr>
        <w:footnoteRef/>
      </w:r>
      <w:r w:rsidRPr="00272AD1">
        <w:rPr>
          <w:rFonts w:ascii="Arial" w:hAnsi="Arial" w:cs="Arial"/>
        </w:rPr>
        <w:t xml:space="preserve"> Unexplained discrepancies should be calculated separately for each calendar year and any unexplained discrepancy for each year greater than +/- 1% of total annual IESO GA charges will be considered material.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DE239" w14:textId="77777777" w:rsidR="0059172B" w:rsidRPr="00E16C29" w:rsidRDefault="0008438F" w:rsidP="0008438F">
    <w:pPr>
      <w:pStyle w:val="Header"/>
      <w:jc w:val="right"/>
      <w:rPr>
        <w:rFonts w:ascii="Arial" w:hAnsi="Arial" w:cs="Arial"/>
        <w:bCs/>
      </w:rPr>
    </w:pPr>
    <w:proofErr w:type="spellStart"/>
    <w:r w:rsidRPr="0008438F">
      <w:rPr>
        <w:rFonts w:ascii="Arial" w:hAnsi="Arial" w:cs="Arial"/>
      </w:rPr>
      <w:t>Chapleau</w:t>
    </w:r>
    <w:proofErr w:type="spellEnd"/>
    <w:r w:rsidRPr="0008438F">
      <w:rPr>
        <w:rFonts w:ascii="Arial" w:hAnsi="Arial" w:cs="Arial"/>
      </w:rPr>
      <w:t xml:space="preserve"> Public Utilities Corporation</w:t>
    </w:r>
  </w:p>
  <w:p w14:paraId="663C4A3E" w14:textId="77777777" w:rsidR="0059172B" w:rsidRPr="0059172B" w:rsidRDefault="0059172B">
    <w:pPr>
      <w:pStyle w:val="Header"/>
      <w:rPr>
        <w:rFonts w:ascii="Arial" w:hAnsi="Arial" w:cs="Arial"/>
      </w:rPr>
    </w:pPr>
    <w:r>
      <w:rPr>
        <w:rFonts w:ascii="Arial" w:hAnsi="Arial" w:cs="Arial"/>
        <w:bCs/>
      </w:rPr>
      <w:tab/>
    </w:r>
    <w:r>
      <w:rPr>
        <w:rFonts w:ascii="Arial" w:hAnsi="Arial" w:cs="Arial"/>
        <w:bCs/>
      </w:rPr>
      <w:tab/>
    </w:r>
    <w:r w:rsidR="001A728D" w:rsidRPr="0059172B">
      <w:rPr>
        <w:rFonts w:ascii="Arial" w:hAnsi="Arial" w:cs="Arial"/>
      </w:rPr>
      <w:t xml:space="preserve">OEB Staff Questions </w:t>
    </w:r>
  </w:p>
  <w:p w14:paraId="31F92CCD" w14:textId="77777777" w:rsidR="001A728D" w:rsidRDefault="0059172B">
    <w:pPr>
      <w:pStyle w:val="Header"/>
    </w:pPr>
    <w:r w:rsidRPr="0059172B">
      <w:rPr>
        <w:rFonts w:ascii="Arial" w:hAnsi="Arial" w:cs="Arial"/>
      </w:rPr>
      <w:tab/>
    </w:r>
    <w:r w:rsidRPr="0059172B">
      <w:rPr>
        <w:rFonts w:ascii="Arial" w:hAnsi="Arial" w:cs="Arial"/>
      </w:rPr>
      <w:tab/>
    </w:r>
    <w:r w:rsidR="0008438F">
      <w:rPr>
        <w:rFonts w:ascii="Arial" w:hAnsi="Arial" w:cs="Arial"/>
      </w:rPr>
      <w:t>EB-2019-0026</w:t>
    </w:r>
    <w:r w:rsidR="001A728D" w:rsidRPr="0059172B">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E41"/>
    <w:multiLevelType w:val="hybridMultilevel"/>
    <w:tmpl w:val="82ACA100"/>
    <w:lvl w:ilvl="0" w:tplc="04090017">
      <w:start w:val="1"/>
      <w:numFmt w:val="lowerLetter"/>
      <w:lvlText w:val="%1)"/>
      <w:lvlJc w:val="left"/>
      <w:pPr>
        <w:ind w:left="360" w:hanging="360"/>
      </w:pPr>
      <w:rPr>
        <w:rFonts w:hint="default"/>
      </w:rPr>
    </w:lvl>
    <w:lvl w:ilvl="1" w:tplc="241C9BFE">
      <w:start w:val="1"/>
      <w:numFmt w:val="lowerLetter"/>
      <w:lvlText w:val="%2)"/>
      <w:lvlJc w:val="right"/>
      <w:pPr>
        <w:ind w:left="1080" w:hanging="360"/>
      </w:pPr>
      <w:rPr>
        <w:rFonts w:ascii="Arial" w:eastAsiaTheme="minorHAnsi" w:hAnsi="Arial" w:cs="Arial"/>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82785E"/>
    <w:multiLevelType w:val="hybridMultilevel"/>
    <w:tmpl w:val="700E3E0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A6705"/>
    <w:multiLevelType w:val="hybridMultilevel"/>
    <w:tmpl w:val="9704FC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53018D"/>
    <w:multiLevelType w:val="hybridMultilevel"/>
    <w:tmpl w:val="2CD0B6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750E93"/>
    <w:multiLevelType w:val="hybridMultilevel"/>
    <w:tmpl w:val="69682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F953F4"/>
    <w:multiLevelType w:val="hybridMultilevel"/>
    <w:tmpl w:val="884430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3D0F39"/>
    <w:multiLevelType w:val="hybridMultilevel"/>
    <w:tmpl w:val="7696BB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12710"/>
    <w:multiLevelType w:val="hybridMultilevel"/>
    <w:tmpl w:val="ED50D1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B13DDA"/>
    <w:multiLevelType w:val="hybridMultilevel"/>
    <w:tmpl w:val="27B21E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92EEB"/>
    <w:multiLevelType w:val="hybridMultilevel"/>
    <w:tmpl w:val="69682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086095"/>
    <w:multiLevelType w:val="hybridMultilevel"/>
    <w:tmpl w:val="EC2C02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9D1E90"/>
    <w:multiLevelType w:val="hybridMultilevel"/>
    <w:tmpl w:val="1DEEA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570FFB"/>
    <w:multiLevelType w:val="hybridMultilevel"/>
    <w:tmpl w:val="1982142E"/>
    <w:lvl w:ilvl="0" w:tplc="98D4690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7"/>
  </w:num>
  <w:num w:numId="3">
    <w:abstractNumId w:val="1"/>
  </w:num>
  <w:num w:numId="4">
    <w:abstractNumId w:val="0"/>
  </w:num>
  <w:num w:numId="5">
    <w:abstractNumId w:val="9"/>
  </w:num>
  <w:num w:numId="6">
    <w:abstractNumId w:val="3"/>
  </w:num>
  <w:num w:numId="7">
    <w:abstractNumId w:val="6"/>
  </w:num>
  <w:num w:numId="8">
    <w:abstractNumId w:val="12"/>
  </w:num>
  <w:num w:numId="9">
    <w:abstractNumId w:val="4"/>
  </w:num>
  <w:num w:numId="10">
    <w:abstractNumId w:val="2"/>
  </w:num>
  <w:num w:numId="11">
    <w:abstractNumId w:val="10"/>
  </w:num>
  <w:num w:numId="12">
    <w:abstractNumId w:val="5"/>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166B7"/>
    <w:rsid w:val="0003073C"/>
    <w:rsid w:val="00035337"/>
    <w:rsid w:val="00054071"/>
    <w:rsid w:val="00057AAC"/>
    <w:rsid w:val="0006126D"/>
    <w:rsid w:val="00067F57"/>
    <w:rsid w:val="00071BEC"/>
    <w:rsid w:val="00074514"/>
    <w:rsid w:val="000832D4"/>
    <w:rsid w:val="0008438F"/>
    <w:rsid w:val="00090160"/>
    <w:rsid w:val="000B3E7E"/>
    <w:rsid w:val="000D223C"/>
    <w:rsid w:val="000E4006"/>
    <w:rsid w:val="000F1E3A"/>
    <w:rsid w:val="001044D4"/>
    <w:rsid w:val="00120939"/>
    <w:rsid w:val="00164E99"/>
    <w:rsid w:val="001820C5"/>
    <w:rsid w:val="00183CC8"/>
    <w:rsid w:val="00187E9B"/>
    <w:rsid w:val="001927C2"/>
    <w:rsid w:val="001A4DCD"/>
    <w:rsid w:val="001A728D"/>
    <w:rsid w:val="001B1DD5"/>
    <w:rsid w:val="001D3B55"/>
    <w:rsid w:val="001E3729"/>
    <w:rsid w:val="00203092"/>
    <w:rsid w:val="00204EBF"/>
    <w:rsid w:val="00215BB0"/>
    <w:rsid w:val="002208C0"/>
    <w:rsid w:val="00224C06"/>
    <w:rsid w:val="002274B9"/>
    <w:rsid w:val="00246C11"/>
    <w:rsid w:val="0025687C"/>
    <w:rsid w:val="00265C39"/>
    <w:rsid w:val="00274A48"/>
    <w:rsid w:val="00280CA6"/>
    <w:rsid w:val="00286CF3"/>
    <w:rsid w:val="00291CCC"/>
    <w:rsid w:val="002A6415"/>
    <w:rsid w:val="002B7B7C"/>
    <w:rsid w:val="002C2BF2"/>
    <w:rsid w:val="002C7EF6"/>
    <w:rsid w:val="002F26C6"/>
    <w:rsid w:val="002F2F7C"/>
    <w:rsid w:val="002F4756"/>
    <w:rsid w:val="00302509"/>
    <w:rsid w:val="003049C5"/>
    <w:rsid w:val="00340C00"/>
    <w:rsid w:val="00365C34"/>
    <w:rsid w:val="003702D1"/>
    <w:rsid w:val="00373FAD"/>
    <w:rsid w:val="00375485"/>
    <w:rsid w:val="003777B5"/>
    <w:rsid w:val="003832E7"/>
    <w:rsid w:val="003A20A0"/>
    <w:rsid w:val="003A58B0"/>
    <w:rsid w:val="003B3260"/>
    <w:rsid w:val="003B646D"/>
    <w:rsid w:val="003C110F"/>
    <w:rsid w:val="003F34A6"/>
    <w:rsid w:val="00400DFC"/>
    <w:rsid w:val="00412DC6"/>
    <w:rsid w:val="004134EF"/>
    <w:rsid w:val="0043048F"/>
    <w:rsid w:val="004377B0"/>
    <w:rsid w:val="00472C81"/>
    <w:rsid w:val="00475032"/>
    <w:rsid w:val="004859EF"/>
    <w:rsid w:val="00490D52"/>
    <w:rsid w:val="00492333"/>
    <w:rsid w:val="00506DEA"/>
    <w:rsid w:val="005164F5"/>
    <w:rsid w:val="0052560F"/>
    <w:rsid w:val="00531825"/>
    <w:rsid w:val="005666F2"/>
    <w:rsid w:val="00572064"/>
    <w:rsid w:val="005824A8"/>
    <w:rsid w:val="00584369"/>
    <w:rsid w:val="00587A35"/>
    <w:rsid w:val="0059172B"/>
    <w:rsid w:val="005A11B1"/>
    <w:rsid w:val="005C1762"/>
    <w:rsid w:val="005C23AD"/>
    <w:rsid w:val="005C70CD"/>
    <w:rsid w:val="005D7D39"/>
    <w:rsid w:val="005E42C2"/>
    <w:rsid w:val="005F11B7"/>
    <w:rsid w:val="005F4693"/>
    <w:rsid w:val="00624248"/>
    <w:rsid w:val="006321A3"/>
    <w:rsid w:val="00637FFA"/>
    <w:rsid w:val="0064279A"/>
    <w:rsid w:val="00642CA4"/>
    <w:rsid w:val="00650ADE"/>
    <w:rsid w:val="00651C98"/>
    <w:rsid w:val="00676646"/>
    <w:rsid w:val="00677F9A"/>
    <w:rsid w:val="00681CFE"/>
    <w:rsid w:val="006A5D23"/>
    <w:rsid w:val="006B48EB"/>
    <w:rsid w:val="006C573A"/>
    <w:rsid w:val="006E3D58"/>
    <w:rsid w:val="006F4FBD"/>
    <w:rsid w:val="00704EE5"/>
    <w:rsid w:val="007066E2"/>
    <w:rsid w:val="00711950"/>
    <w:rsid w:val="00722640"/>
    <w:rsid w:val="0073197E"/>
    <w:rsid w:val="00737A02"/>
    <w:rsid w:val="00746080"/>
    <w:rsid w:val="00772B57"/>
    <w:rsid w:val="0077521A"/>
    <w:rsid w:val="00775C21"/>
    <w:rsid w:val="00781D04"/>
    <w:rsid w:val="007B28E7"/>
    <w:rsid w:val="007B2F8D"/>
    <w:rsid w:val="007C2D45"/>
    <w:rsid w:val="007C761E"/>
    <w:rsid w:val="007E18F4"/>
    <w:rsid w:val="007F0871"/>
    <w:rsid w:val="007F49EB"/>
    <w:rsid w:val="00805FDA"/>
    <w:rsid w:val="00812C1B"/>
    <w:rsid w:val="00814D13"/>
    <w:rsid w:val="00835AD0"/>
    <w:rsid w:val="008747B3"/>
    <w:rsid w:val="008813C3"/>
    <w:rsid w:val="008926F0"/>
    <w:rsid w:val="00894785"/>
    <w:rsid w:val="0089593D"/>
    <w:rsid w:val="008964E8"/>
    <w:rsid w:val="008A48F6"/>
    <w:rsid w:val="008B0FDA"/>
    <w:rsid w:val="008E0A8E"/>
    <w:rsid w:val="008E6045"/>
    <w:rsid w:val="0090113B"/>
    <w:rsid w:val="00910DDF"/>
    <w:rsid w:val="0093258A"/>
    <w:rsid w:val="00936465"/>
    <w:rsid w:val="0094373C"/>
    <w:rsid w:val="00946DEE"/>
    <w:rsid w:val="00951E2B"/>
    <w:rsid w:val="00952939"/>
    <w:rsid w:val="00961EA0"/>
    <w:rsid w:val="009628A6"/>
    <w:rsid w:val="00975348"/>
    <w:rsid w:val="009A2585"/>
    <w:rsid w:val="009A5C44"/>
    <w:rsid w:val="009B03AF"/>
    <w:rsid w:val="009B6AB3"/>
    <w:rsid w:val="009C4216"/>
    <w:rsid w:val="009D5F4B"/>
    <w:rsid w:val="009E626E"/>
    <w:rsid w:val="009E760C"/>
    <w:rsid w:val="009E7CBF"/>
    <w:rsid w:val="00A07077"/>
    <w:rsid w:val="00A23F46"/>
    <w:rsid w:val="00A50DD0"/>
    <w:rsid w:val="00A516B0"/>
    <w:rsid w:val="00A5620A"/>
    <w:rsid w:val="00A811FF"/>
    <w:rsid w:val="00A81B35"/>
    <w:rsid w:val="00A9357F"/>
    <w:rsid w:val="00AA06D9"/>
    <w:rsid w:val="00AC2242"/>
    <w:rsid w:val="00AC2406"/>
    <w:rsid w:val="00AC3F80"/>
    <w:rsid w:val="00AC47E0"/>
    <w:rsid w:val="00AC52FC"/>
    <w:rsid w:val="00AD3FCF"/>
    <w:rsid w:val="00AD40E8"/>
    <w:rsid w:val="00AD4BEB"/>
    <w:rsid w:val="00AD58D1"/>
    <w:rsid w:val="00AF053B"/>
    <w:rsid w:val="00B03802"/>
    <w:rsid w:val="00B04BFB"/>
    <w:rsid w:val="00B069AA"/>
    <w:rsid w:val="00B23A36"/>
    <w:rsid w:val="00B25576"/>
    <w:rsid w:val="00B25EF5"/>
    <w:rsid w:val="00B323F5"/>
    <w:rsid w:val="00B50EB2"/>
    <w:rsid w:val="00B6722A"/>
    <w:rsid w:val="00B76972"/>
    <w:rsid w:val="00B82D78"/>
    <w:rsid w:val="00B93A4C"/>
    <w:rsid w:val="00BA434C"/>
    <w:rsid w:val="00BD4F65"/>
    <w:rsid w:val="00BE1F2D"/>
    <w:rsid w:val="00C06F9E"/>
    <w:rsid w:val="00C13E6B"/>
    <w:rsid w:val="00C2370B"/>
    <w:rsid w:val="00C25531"/>
    <w:rsid w:val="00C4070C"/>
    <w:rsid w:val="00C624D5"/>
    <w:rsid w:val="00C848A0"/>
    <w:rsid w:val="00C878C5"/>
    <w:rsid w:val="00C93525"/>
    <w:rsid w:val="00C93ECB"/>
    <w:rsid w:val="00C96AEA"/>
    <w:rsid w:val="00CA65F4"/>
    <w:rsid w:val="00CB30BC"/>
    <w:rsid w:val="00CC0B6D"/>
    <w:rsid w:val="00CC0EF2"/>
    <w:rsid w:val="00CE0AD7"/>
    <w:rsid w:val="00CE1CD3"/>
    <w:rsid w:val="00CE4F01"/>
    <w:rsid w:val="00D116FA"/>
    <w:rsid w:val="00D3742A"/>
    <w:rsid w:val="00D55546"/>
    <w:rsid w:val="00D56BA4"/>
    <w:rsid w:val="00D6213C"/>
    <w:rsid w:val="00D647C0"/>
    <w:rsid w:val="00D77694"/>
    <w:rsid w:val="00D77B0F"/>
    <w:rsid w:val="00D84039"/>
    <w:rsid w:val="00D84222"/>
    <w:rsid w:val="00D96B7C"/>
    <w:rsid w:val="00DB6B52"/>
    <w:rsid w:val="00DC08C2"/>
    <w:rsid w:val="00DE5488"/>
    <w:rsid w:val="00DE75AC"/>
    <w:rsid w:val="00DF5A52"/>
    <w:rsid w:val="00E16C29"/>
    <w:rsid w:val="00E17C58"/>
    <w:rsid w:val="00E231C2"/>
    <w:rsid w:val="00E25193"/>
    <w:rsid w:val="00E429DA"/>
    <w:rsid w:val="00E54ED5"/>
    <w:rsid w:val="00E62C2A"/>
    <w:rsid w:val="00E734DB"/>
    <w:rsid w:val="00E8586E"/>
    <w:rsid w:val="00E96A06"/>
    <w:rsid w:val="00EA0919"/>
    <w:rsid w:val="00EB5240"/>
    <w:rsid w:val="00EC0B55"/>
    <w:rsid w:val="00F01716"/>
    <w:rsid w:val="00F034BF"/>
    <w:rsid w:val="00F233A3"/>
    <w:rsid w:val="00F26D30"/>
    <w:rsid w:val="00F33937"/>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5B67A"/>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81CFE"/>
    <w:pPr>
      <w:keepNext/>
      <w:keepLines/>
      <w:spacing w:before="40" w:after="0" w:line="259" w:lineRule="auto"/>
      <w:outlineLvl w:val="1"/>
    </w:pPr>
    <w:rPr>
      <w:rFonts w:ascii="Arial" w:eastAsiaTheme="majorEastAsia" w:hAnsi="Arial" w:cstheme="majorBidi"/>
      <w:b/>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7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28D"/>
  </w:style>
  <w:style w:type="paragraph" w:styleId="NoSpacing">
    <w:name w:val="No Spacing"/>
    <w:uiPriority w:val="1"/>
    <w:qFormat/>
    <w:rsid w:val="001D3B55"/>
    <w:pPr>
      <w:spacing w:after="0" w:line="240" w:lineRule="auto"/>
    </w:pPr>
    <w:rPr>
      <w:lang w:val="en-US"/>
    </w:rPr>
  </w:style>
  <w:style w:type="character" w:customStyle="1" w:styleId="Heading2Char">
    <w:name w:val="Heading 2 Char"/>
    <w:basedOn w:val="DefaultParagraphFont"/>
    <w:link w:val="Heading2"/>
    <w:uiPriority w:val="9"/>
    <w:rsid w:val="00681CFE"/>
    <w:rPr>
      <w:rFonts w:ascii="Arial" w:eastAsiaTheme="majorEastAsia" w:hAnsi="Arial" w:cstheme="majorBidi"/>
      <w:b/>
      <w:sz w:val="24"/>
      <w:szCs w:val="26"/>
      <w:lang w:val="en-US"/>
    </w:rPr>
  </w:style>
  <w:style w:type="paragraph" w:styleId="FootnoteText">
    <w:name w:val="footnote text"/>
    <w:basedOn w:val="Normal"/>
    <w:link w:val="FootnoteTextChar"/>
    <w:unhideWhenUsed/>
    <w:rsid w:val="00681CFE"/>
    <w:pPr>
      <w:spacing w:after="0" w:line="240" w:lineRule="auto"/>
    </w:pPr>
    <w:rPr>
      <w:sz w:val="20"/>
      <w:szCs w:val="20"/>
    </w:rPr>
  </w:style>
  <w:style w:type="character" w:customStyle="1" w:styleId="FootnoteTextChar">
    <w:name w:val="Footnote Text Char"/>
    <w:basedOn w:val="DefaultParagraphFont"/>
    <w:link w:val="FootnoteText"/>
    <w:rsid w:val="00681CFE"/>
    <w:rPr>
      <w:sz w:val="20"/>
      <w:szCs w:val="20"/>
    </w:rPr>
  </w:style>
  <w:style w:type="character" w:styleId="FootnoteReference">
    <w:name w:val="footnote reference"/>
    <w:basedOn w:val="DefaultParagraphFont"/>
    <w:unhideWhenUsed/>
    <w:rsid w:val="00681C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5F1F9-7FC0-4714-8641-B1CC60A2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17</Pages>
  <Words>3106</Words>
  <Characters>17706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Jennifer Cyr</cp:lastModifiedBy>
  <cp:revision>6</cp:revision>
  <cp:lastPrinted>2020-02-10T17:23:00Z</cp:lastPrinted>
  <dcterms:created xsi:type="dcterms:W3CDTF">2020-02-18T14:28:00Z</dcterms:created>
  <dcterms:modified xsi:type="dcterms:W3CDTF">2020-02-19T17:18:00Z</dcterms:modified>
</cp:coreProperties>
</file>