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CBFED" w14:textId="77777777" w:rsidR="00BA0E32" w:rsidRPr="00F53643" w:rsidRDefault="00BA0E32" w:rsidP="00521997">
      <w:pPr>
        <w:pStyle w:val="Default"/>
        <w:spacing w:after="87"/>
        <w:rPr>
          <w:sz w:val="23"/>
          <w:szCs w:val="23"/>
        </w:rPr>
      </w:pPr>
    </w:p>
    <w:p w14:paraId="7F8BE93F" w14:textId="7969D208" w:rsidR="00EC5ED8" w:rsidRPr="00F53643" w:rsidRDefault="009477F1" w:rsidP="001553C2">
      <w:pPr>
        <w:pStyle w:val="Default"/>
        <w:spacing w:after="87" w:line="276" w:lineRule="auto"/>
        <w:jc w:val="right"/>
      </w:pPr>
      <w:r w:rsidRPr="00F53643">
        <w:t xml:space="preserve">March </w:t>
      </w:r>
      <w:r w:rsidR="00007F8E" w:rsidRPr="00F53643">
        <w:t>2</w:t>
      </w:r>
      <w:r w:rsidR="000F334D">
        <w:t>7</w:t>
      </w:r>
      <w:r w:rsidR="006A7DBD" w:rsidRPr="00F53643">
        <w:t>, 20</w:t>
      </w:r>
      <w:r w:rsidR="00007F8E" w:rsidRPr="00F53643">
        <w:t>20</w:t>
      </w:r>
    </w:p>
    <w:p w14:paraId="3580035C" w14:textId="77777777" w:rsidR="003249AB" w:rsidRPr="00F53643" w:rsidRDefault="003249AB" w:rsidP="001553C2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sz w:val="24"/>
          <w:szCs w:val="24"/>
        </w:rPr>
        <w:t>Ontario Energy Board</w:t>
      </w:r>
    </w:p>
    <w:p w14:paraId="0B0DA270" w14:textId="77777777" w:rsidR="003249AB" w:rsidRPr="00F53643" w:rsidRDefault="003249AB" w:rsidP="001553C2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sz w:val="24"/>
          <w:szCs w:val="24"/>
        </w:rPr>
        <w:t>2300 Yonge Street</w:t>
      </w:r>
      <w:bookmarkStart w:id="0" w:name="_GoBack"/>
      <w:bookmarkEnd w:id="0"/>
    </w:p>
    <w:p w14:paraId="251D5724" w14:textId="77777777" w:rsidR="003249AB" w:rsidRPr="00F53643" w:rsidRDefault="003249AB" w:rsidP="001553C2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sz w:val="24"/>
          <w:szCs w:val="24"/>
        </w:rPr>
        <w:t>P.O. Box 2319</w:t>
      </w:r>
    </w:p>
    <w:p w14:paraId="71A4B93F" w14:textId="77777777" w:rsidR="003249AB" w:rsidRPr="00F53643" w:rsidRDefault="003249AB" w:rsidP="001553C2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sz w:val="24"/>
          <w:szCs w:val="24"/>
        </w:rPr>
        <w:t>Suite 2700</w:t>
      </w:r>
    </w:p>
    <w:p w14:paraId="5763966E" w14:textId="77777777" w:rsidR="003249AB" w:rsidRPr="00F53643" w:rsidRDefault="003249AB" w:rsidP="001553C2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sz w:val="24"/>
          <w:szCs w:val="24"/>
        </w:rPr>
        <w:t>Toronto, ON M4P 1E4</w:t>
      </w:r>
    </w:p>
    <w:p w14:paraId="30BDAE20" w14:textId="77777777" w:rsidR="00B41640" w:rsidRPr="00F53643" w:rsidRDefault="00B41640" w:rsidP="009477F1">
      <w:pPr>
        <w:pStyle w:val="Default"/>
        <w:spacing w:line="276" w:lineRule="auto"/>
        <w:rPr>
          <w:b/>
          <w:bCs/>
          <w:sz w:val="18"/>
        </w:rPr>
      </w:pPr>
    </w:p>
    <w:p w14:paraId="12FBDCD1" w14:textId="77777777" w:rsidR="00007F8E" w:rsidRPr="00F53643" w:rsidRDefault="003249AB" w:rsidP="00007F8E">
      <w:pPr>
        <w:pStyle w:val="Default"/>
        <w:spacing w:before="0" w:line="276" w:lineRule="auto"/>
        <w:rPr>
          <w:b/>
          <w:bCs/>
        </w:rPr>
      </w:pPr>
      <w:r w:rsidRPr="00F53643">
        <w:rPr>
          <w:b/>
          <w:bCs/>
        </w:rPr>
        <w:t xml:space="preserve">Attention: </w:t>
      </w:r>
      <w:r w:rsidR="00007F8E" w:rsidRPr="00F53643">
        <w:rPr>
          <w:b/>
          <w:bCs/>
        </w:rPr>
        <w:t>Christine E. Long</w:t>
      </w:r>
    </w:p>
    <w:p w14:paraId="0915CB75" w14:textId="2E5A5D2A" w:rsidR="003249AB" w:rsidRPr="00F53643" w:rsidRDefault="003249AB" w:rsidP="00007F8E">
      <w:pPr>
        <w:pStyle w:val="Default"/>
        <w:spacing w:before="0" w:line="276" w:lineRule="auto"/>
        <w:rPr>
          <w:b/>
          <w:bCs/>
        </w:rPr>
      </w:pPr>
      <w:r w:rsidRPr="00F53643">
        <w:rPr>
          <w:b/>
          <w:bCs/>
        </w:rPr>
        <w:tab/>
        <w:t xml:space="preserve">       </w:t>
      </w:r>
      <w:r w:rsidR="00007F8E" w:rsidRPr="00F53643">
        <w:rPr>
          <w:b/>
          <w:bCs/>
        </w:rPr>
        <w:t xml:space="preserve">Registrar and </w:t>
      </w:r>
      <w:r w:rsidRPr="00F53643">
        <w:rPr>
          <w:b/>
          <w:bCs/>
        </w:rPr>
        <w:t>Board Secretary</w:t>
      </w:r>
    </w:p>
    <w:p w14:paraId="1EFCAB98" w14:textId="06C25A39" w:rsidR="00135162" w:rsidRPr="00F53643" w:rsidRDefault="00135162" w:rsidP="001553C2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14:paraId="5E4F9605" w14:textId="392FB7EF" w:rsidR="003249AB" w:rsidRPr="00F53643" w:rsidRDefault="003249AB" w:rsidP="001553C2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sz w:val="24"/>
          <w:szCs w:val="24"/>
        </w:rPr>
        <w:t xml:space="preserve">Dear Ms. </w:t>
      </w:r>
      <w:r w:rsidR="00007F8E" w:rsidRPr="00F53643">
        <w:rPr>
          <w:rFonts w:ascii="Arial" w:hAnsi="Arial" w:cs="Arial"/>
          <w:sz w:val="24"/>
          <w:szCs w:val="24"/>
        </w:rPr>
        <w:t>Long</w:t>
      </w:r>
      <w:r w:rsidRPr="00F53643">
        <w:rPr>
          <w:rFonts w:ascii="Arial" w:hAnsi="Arial" w:cs="Arial"/>
          <w:sz w:val="24"/>
          <w:szCs w:val="24"/>
        </w:rPr>
        <w:t>:</w:t>
      </w:r>
    </w:p>
    <w:p w14:paraId="481DCA7C" w14:textId="7D2FA307" w:rsidR="00063BF9" w:rsidRPr="00F53643" w:rsidRDefault="00063BF9" w:rsidP="001553C2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14:paraId="096918C1" w14:textId="1782FFE8" w:rsidR="006A7DBD" w:rsidRPr="00F53643" w:rsidRDefault="00063BF9" w:rsidP="006A7DBD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4"/>
          <w:szCs w:val="24"/>
        </w:rPr>
      </w:pPr>
      <w:r w:rsidRPr="00F53643">
        <w:rPr>
          <w:rFonts w:ascii="Arial" w:hAnsi="Arial" w:cs="Arial"/>
          <w:b/>
          <w:sz w:val="24"/>
          <w:szCs w:val="24"/>
        </w:rPr>
        <w:t>RE:</w:t>
      </w:r>
      <w:r w:rsidRPr="00F53643">
        <w:rPr>
          <w:rFonts w:ascii="Arial" w:hAnsi="Arial" w:cs="Arial"/>
          <w:b/>
          <w:sz w:val="24"/>
          <w:szCs w:val="24"/>
        </w:rPr>
        <w:tab/>
      </w:r>
      <w:bookmarkStart w:id="1" w:name="_Hlk2947414"/>
      <w:r w:rsidR="006A7DBD" w:rsidRPr="00F53643">
        <w:rPr>
          <w:rFonts w:ascii="Arial" w:hAnsi="Arial" w:cs="Arial"/>
          <w:b/>
          <w:bCs/>
          <w:sz w:val="24"/>
          <w:szCs w:val="24"/>
        </w:rPr>
        <w:t>Newmarket-Tay Power Distribution Ltd. (“NT Power”)</w:t>
      </w:r>
    </w:p>
    <w:p w14:paraId="1FE7507A" w14:textId="56F0E9DF" w:rsidR="006A7DBD" w:rsidRPr="00F53643" w:rsidRDefault="006A7DBD" w:rsidP="006D6A31">
      <w:pPr>
        <w:autoSpaceDE w:val="0"/>
        <w:autoSpaceDN w:val="0"/>
        <w:adjustRightInd w:val="0"/>
        <w:spacing w:before="0"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F53643">
        <w:rPr>
          <w:rFonts w:ascii="Arial" w:hAnsi="Arial" w:cs="Arial"/>
          <w:b/>
          <w:bCs/>
          <w:sz w:val="24"/>
          <w:szCs w:val="24"/>
        </w:rPr>
        <w:t>20</w:t>
      </w:r>
      <w:r w:rsidR="00007F8E" w:rsidRPr="00F53643">
        <w:rPr>
          <w:rFonts w:ascii="Arial" w:hAnsi="Arial" w:cs="Arial"/>
          <w:b/>
          <w:bCs/>
          <w:sz w:val="24"/>
          <w:szCs w:val="24"/>
        </w:rPr>
        <w:t>20</w:t>
      </w:r>
      <w:r w:rsidRPr="00F53643">
        <w:rPr>
          <w:rFonts w:ascii="Arial" w:hAnsi="Arial" w:cs="Arial"/>
          <w:b/>
          <w:bCs/>
          <w:sz w:val="24"/>
          <w:szCs w:val="24"/>
        </w:rPr>
        <w:t xml:space="preserve"> IRM Distribution Rate Application</w:t>
      </w:r>
    </w:p>
    <w:p w14:paraId="2F01D11C" w14:textId="5367B204" w:rsidR="006A7DBD" w:rsidRPr="00F53643" w:rsidRDefault="006A7DBD" w:rsidP="006D6A31">
      <w:pPr>
        <w:autoSpaceDE w:val="0"/>
        <w:autoSpaceDN w:val="0"/>
        <w:adjustRightInd w:val="0"/>
        <w:spacing w:before="0"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F53643">
        <w:rPr>
          <w:rFonts w:ascii="Arial" w:hAnsi="Arial" w:cs="Arial"/>
          <w:b/>
          <w:bCs/>
          <w:sz w:val="24"/>
          <w:szCs w:val="24"/>
        </w:rPr>
        <w:t>OEB File No. EB-201</w:t>
      </w:r>
      <w:r w:rsidR="00007F8E" w:rsidRPr="00F53643">
        <w:rPr>
          <w:rFonts w:ascii="Arial" w:hAnsi="Arial" w:cs="Arial"/>
          <w:b/>
          <w:bCs/>
          <w:sz w:val="24"/>
          <w:szCs w:val="24"/>
        </w:rPr>
        <w:t>9</w:t>
      </w:r>
      <w:r w:rsidRPr="00F53643">
        <w:rPr>
          <w:rFonts w:ascii="Arial" w:hAnsi="Arial" w:cs="Arial"/>
          <w:b/>
          <w:bCs/>
          <w:sz w:val="24"/>
          <w:szCs w:val="24"/>
        </w:rPr>
        <w:t>-005</w:t>
      </w:r>
      <w:r w:rsidR="00ED0C42" w:rsidRPr="00F53643">
        <w:rPr>
          <w:rFonts w:ascii="Arial" w:hAnsi="Arial" w:cs="Arial"/>
          <w:b/>
          <w:bCs/>
          <w:sz w:val="24"/>
          <w:szCs w:val="24"/>
        </w:rPr>
        <w:t>5</w:t>
      </w:r>
    </w:p>
    <w:p w14:paraId="242C3494" w14:textId="41DEF5F3" w:rsidR="00C21F92" w:rsidRPr="00F53643" w:rsidRDefault="00C21F92" w:rsidP="006D6A31">
      <w:pPr>
        <w:autoSpaceDE w:val="0"/>
        <w:autoSpaceDN w:val="0"/>
        <w:adjustRightInd w:val="0"/>
        <w:spacing w:before="0" w:after="0"/>
        <w:ind w:firstLine="720"/>
        <w:rPr>
          <w:rFonts w:ascii="Arial" w:hAnsi="Arial" w:cs="Arial"/>
          <w:b/>
          <w:bCs/>
          <w:sz w:val="24"/>
          <w:szCs w:val="24"/>
        </w:rPr>
      </w:pPr>
      <w:r w:rsidRPr="00F53643">
        <w:rPr>
          <w:rFonts w:ascii="Arial" w:hAnsi="Arial" w:cs="Arial"/>
          <w:b/>
          <w:bCs/>
          <w:sz w:val="24"/>
          <w:szCs w:val="24"/>
        </w:rPr>
        <w:t>Reply Submission</w:t>
      </w:r>
    </w:p>
    <w:bookmarkEnd w:id="1"/>
    <w:p w14:paraId="209E2DF1" w14:textId="63041761" w:rsidR="003249AB" w:rsidRPr="00F53643" w:rsidRDefault="009477F1" w:rsidP="006A7DBD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39BD2" wp14:editId="781B00A6">
                <wp:simplePos x="0" y="0"/>
                <wp:positionH relativeFrom="column">
                  <wp:posOffset>9525</wp:posOffset>
                </wp:positionH>
                <wp:positionV relativeFrom="paragraph">
                  <wp:posOffset>54867</wp:posOffset>
                </wp:positionV>
                <wp:extent cx="57721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7DC2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3pt" to="455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" strokecolor="#2c2c2c [3200]"/>
            </w:pict>
          </mc:Fallback>
        </mc:AlternateContent>
      </w:r>
    </w:p>
    <w:p w14:paraId="1F882E23" w14:textId="77777777" w:rsidR="00F67D18" w:rsidRPr="00F53643" w:rsidRDefault="00F67D18" w:rsidP="009477F1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14:paraId="136D4750" w14:textId="68924617" w:rsidR="009477F1" w:rsidRPr="00F53643" w:rsidRDefault="009477F1" w:rsidP="009477F1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sz w:val="24"/>
          <w:szCs w:val="24"/>
        </w:rPr>
        <w:t xml:space="preserve">On </w:t>
      </w:r>
      <w:r w:rsidR="00007F8E" w:rsidRPr="00F53643">
        <w:rPr>
          <w:rFonts w:ascii="Arial" w:hAnsi="Arial" w:cs="Arial"/>
          <w:sz w:val="24"/>
          <w:szCs w:val="24"/>
        </w:rPr>
        <w:t>March 19</w:t>
      </w:r>
      <w:r w:rsidR="006A7DBD" w:rsidRPr="00F53643">
        <w:rPr>
          <w:rFonts w:ascii="Arial" w:hAnsi="Arial" w:cs="Arial"/>
          <w:sz w:val="24"/>
          <w:szCs w:val="24"/>
        </w:rPr>
        <w:t>, 20</w:t>
      </w:r>
      <w:r w:rsidR="00007F8E" w:rsidRPr="00F53643">
        <w:rPr>
          <w:rFonts w:ascii="Arial" w:hAnsi="Arial" w:cs="Arial"/>
          <w:sz w:val="24"/>
          <w:szCs w:val="24"/>
        </w:rPr>
        <w:t>20</w:t>
      </w:r>
      <w:r w:rsidRPr="00F53643">
        <w:rPr>
          <w:rFonts w:ascii="Arial" w:hAnsi="Arial" w:cs="Arial"/>
          <w:sz w:val="24"/>
          <w:szCs w:val="24"/>
        </w:rPr>
        <w:t xml:space="preserve">, </w:t>
      </w:r>
      <w:r w:rsidR="00527D04" w:rsidRPr="00F53643">
        <w:rPr>
          <w:rFonts w:ascii="Arial" w:hAnsi="Arial" w:cs="Arial"/>
          <w:sz w:val="24"/>
          <w:szCs w:val="24"/>
        </w:rPr>
        <w:t>NT Power received the OEB</w:t>
      </w:r>
      <w:r w:rsidRPr="00F53643">
        <w:rPr>
          <w:rFonts w:ascii="Arial" w:hAnsi="Arial" w:cs="Arial"/>
          <w:sz w:val="24"/>
          <w:szCs w:val="24"/>
        </w:rPr>
        <w:t xml:space="preserve"> Staff Submission </w:t>
      </w:r>
      <w:r w:rsidR="00527D04" w:rsidRPr="00F53643">
        <w:rPr>
          <w:rFonts w:ascii="Arial" w:hAnsi="Arial" w:cs="Arial"/>
          <w:sz w:val="24"/>
          <w:szCs w:val="24"/>
        </w:rPr>
        <w:t xml:space="preserve">with respect to its </w:t>
      </w:r>
      <w:r w:rsidRPr="00F53643">
        <w:rPr>
          <w:rFonts w:ascii="Arial" w:hAnsi="Arial" w:cs="Arial"/>
          <w:sz w:val="24"/>
          <w:szCs w:val="24"/>
        </w:rPr>
        <w:t>Incentive Rate Mechanism Adjustment Application for 20</w:t>
      </w:r>
      <w:r w:rsidR="00007F8E" w:rsidRPr="00F53643">
        <w:rPr>
          <w:rFonts w:ascii="Arial" w:hAnsi="Arial" w:cs="Arial"/>
          <w:sz w:val="24"/>
          <w:szCs w:val="24"/>
        </w:rPr>
        <w:t>20</w:t>
      </w:r>
      <w:r w:rsidRPr="00F53643">
        <w:rPr>
          <w:rFonts w:ascii="Arial" w:hAnsi="Arial" w:cs="Arial"/>
          <w:sz w:val="24"/>
          <w:szCs w:val="24"/>
        </w:rPr>
        <w:t xml:space="preserve"> Distribution Rates (EB-</w:t>
      </w:r>
      <w:r w:rsidR="006A7DBD" w:rsidRPr="00F53643">
        <w:rPr>
          <w:rFonts w:ascii="Arial" w:hAnsi="Arial" w:cs="Arial"/>
          <w:sz w:val="24"/>
          <w:szCs w:val="24"/>
        </w:rPr>
        <w:t>201</w:t>
      </w:r>
      <w:r w:rsidR="00007F8E" w:rsidRPr="00F53643">
        <w:rPr>
          <w:rFonts w:ascii="Arial" w:hAnsi="Arial" w:cs="Arial"/>
          <w:sz w:val="24"/>
          <w:szCs w:val="24"/>
        </w:rPr>
        <w:t>9</w:t>
      </w:r>
      <w:r w:rsidR="006A7DBD" w:rsidRPr="00F53643">
        <w:rPr>
          <w:rFonts w:ascii="Arial" w:hAnsi="Arial" w:cs="Arial"/>
          <w:sz w:val="24"/>
          <w:szCs w:val="24"/>
        </w:rPr>
        <w:t>-0055</w:t>
      </w:r>
      <w:r w:rsidRPr="00F53643">
        <w:rPr>
          <w:rFonts w:ascii="Arial" w:hAnsi="Arial" w:cs="Arial"/>
          <w:sz w:val="24"/>
          <w:szCs w:val="24"/>
        </w:rPr>
        <w:t>).</w:t>
      </w:r>
    </w:p>
    <w:p w14:paraId="74327C4A" w14:textId="77777777" w:rsidR="009477F1" w:rsidRPr="00F53643" w:rsidRDefault="009477F1" w:rsidP="009477F1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14:paraId="5AC8D72F" w14:textId="3A5F0845" w:rsidR="00814460" w:rsidRPr="00F53643" w:rsidRDefault="00A84BB7" w:rsidP="009477F1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sz w:val="24"/>
          <w:szCs w:val="24"/>
        </w:rPr>
        <w:t xml:space="preserve">NT Power has reviewed the </w:t>
      </w:r>
      <w:r w:rsidR="0072589B">
        <w:rPr>
          <w:rFonts w:ascii="Arial" w:hAnsi="Arial" w:cs="Arial"/>
          <w:sz w:val="24"/>
          <w:szCs w:val="24"/>
        </w:rPr>
        <w:t xml:space="preserve">OEB </w:t>
      </w:r>
      <w:r w:rsidRPr="00F53643">
        <w:rPr>
          <w:rFonts w:ascii="Arial" w:hAnsi="Arial" w:cs="Arial"/>
          <w:sz w:val="24"/>
          <w:szCs w:val="24"/>
        </w:rPr>
        <w:t xml:space="preserve">Staff </w:t>
      </w:r>
      <w:r w:rsidR="00ED0C42" w:rsidRPr="00F53643">
        <w:rPr>
          <w:rFonts w:ascii="Arial" w:hAnsi="Arial" w:cs="Arial"/>
          <w:sz w:val="24"/>
          <w:szCs w:val="24"/>
        </w:rPr>
        <w:t>S</w:t>
      </w:r>
      <w:r w:rsidRPr="00F53643">
        <w:rPr>
          <w:rFonts w:ascii="Arial" w:hAnsi="Arial" w:cs="Arial"/>
          <w:sz w:val="24"/>
          <w:szCs w:val="24"/>
        </w:rPr>
        <w:t xml:space="preserve">ubmission and </w:t>
      </w:r>
      <w:r w:rsidR="00814460" w:rsidRPr="00F53643">
        <w:rPr>
          <w:rFonts w:ascii="Arial" w:hAnsi="Arial" w:cs="Arial"/>
          <w:sz w:val="24"/>
          <w:szCs w:val="24"/>
        </w:rPr>
        <w:t>offers the following comments:</w:t>
      </w:r>
    </w:p>
    <w:p w14:paraId="67CF7C53" w14:textId="075B3549" w:rsidR="009477F1" w:rsidRDefault="009477F1" w:rsidP="009477F1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14:paraId="5117E119" w14:textId="77777777" w:rsidR="001F7E6A" w:rsidRPr="00F53643" w:rsidRDefault="001F7E6A" w:rsidP="009477F1">
      <w:pPr>
        <w:autoSpaceDE w:val="0"/>
        <w:autoSpaceDN w:val="0"/>
        <w:adjustRightInd w:val="0"/>
        <w:spacing w:before="0" w:after="0"/>
        <w:rPr>
          <w:rFonts w:ascii="Arial" w:hAnsi="Arial" w:cs="Arial"/>
          <w:sz w:val="24"/>
          <w:szCs w:val="24"/>
        </w:rPr>
      </w:pPr>
    </w:p>
    <w:p w14:paraId="2B3737C7" w14:textId="435C7554" w:rsidR="00BF71CD" w:rsidRPr="00F53643" w:rsidRDefault="002114DE" w:rsidP="001553C2">
      <w:pPr>
        <w:spacing w:before="0"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53643">
        <w:rPr>
          <w:rFonts w:ascii="Arial" w:hAnsi="Arial" w:cs="Arial"/>
          <w:b/>
          <w:bCs/>
          <w:sz w:val="24"/>
          <w:szCs w:val="24"/>
          <w:u w:val="single"/>
        </w:rPr>
        <w:t>Partial Settlement Proposal</w:t>
      </w:r>
    </w:p>
    <w:p w14:paraId="4D0DDE9F" w14:textId="28226210" w:rsidR="002114DE" w:rsidRPr="00F53643" w:rsidRDefault="002114DE" w:rsidP="001553C2">
      <w:pPr>
        <w:spacing w:before="0"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18D3A8" w14:textId="4D9FEED5" w:rsidR="002114DE" w:rsidRPr="00F53643" w:rsidRDefault="002114DE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F53643">
        <w:rPr>
          <w:rFonts w:ascii="Arial" w:hAnsi="Arial" w:cs="Arial"/>
          <w:sz w:val="24"/>
          <w:szCs w:val="24"/>
        </w:rPr>
        <w:t>NT Power is in agreement with OEB Staff’s Conclusion.</w:t>
      </w:r>
    </w:p>
    <w:p w14:paraId="0B9A3587" w14:textId="1C236309" w:rsidR="002114DE" w:rsidRDefault="002114DE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149B19C7" w14:textId="77777777" w:rsidR="001F7E6A" w:rsidRPr="00F53643" w:rsidRDefault="001F7E6A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5985F427" w14:textId="65C94228" w:rsidR="002114DE" w:rsidRPr="00F53643" w:rsidRDefault="002114DE" w:rsidP="001553C2">
      <w:pPr>
        <w:spacing w:before="0"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F53643">
        <w:rPr>
          <w:rFonts w:ascii="Arial" w:hAnsi="Arial" w:cs="Arial"/>
          <w:b/>
          <w:bCs/>
          <w:sz w:val="24"/>
          <w:szCs w:val="24"/>
          <w:u w:val="single"/>
        </w:rPr>
        <w:t>Unsettled Issues</w:t>
      </w:r>
    </w:p>
    <w:p w14:paraId="74FBF343" w14:textId="00B03F6A" w:rsidR="002114DE" w:rsidRPr="00F53643" w:rsidRDefault="002114DE" w:rsidP="001553C2">
      <w:pPr>
        <w:spacing w:before="0"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29C3F4" w14:textId="588B02A6" w:rsidR="002114DE" w:rsidRPr="00F53643" w:rsidRDefault="002114DE" w:rsidP="002114DE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b/>
          <w:bCs/>
          <w:sz w:val="24"/>
          <w:szCs w:val="24"/>
        </w:rPr>
      </w:pPr>
      <w:r w:rsidRPr="00F53643">
        <w:rPr>
          <w:rFonts w:ascii="Arial" w:hAnsi="Arial" w:cs="Arial"/>
          <w:b/>
          <w:bCs/>
          <w:sz w:val="24"/>
          <w:szCs w:val="24"/>
        </w:rPr>
        <w:t xml:space="preserve">Proposal for Account 1576 </w:t>
      </w:r>
    </w:p>
    <w:p w14:paraId="67F170B2" w14:textId="4D325D79" w:rsidR="002114DE" w:rsidRDefault="0072589B" w:rsidP="002114DE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NT Power is in agreement with OEB Staff’s recommendation that Account 1576 balance for year 2020 will be </w:t>
      </w:r>
      <w:r w:rsidR="00FF1C1C">
        <w:rPr>
          <w:rFonts w:ascii="Arial" w:hAnsi="Arial" w:cs="Arial"/>
          <w:sz w:val="24"/>
          <w:szCs w:val="24"/>
        </w:rPr>
        <w:t>submitt</w:t>
      </w:r>
      <w:r>
        <w:rPr>
          <w:rFonts w:ascii="Arial" w:hAnsi="Arial" w:cs="Arial"/>
          <w:sz w:val="24"/>
          <w:szCs w:val="24"/>
        </w:rPr>
        <w:t>ed on a forecast basis when requesting disposition of Account 1576 in 2021 on a final basis</w:t>
      </w:r>
      <w:r w:rsidR="00E022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02210">
        <w:rPr>
          <w:rFonts w:ascii="Arial" w:hAnsi="Arial" w:cs="Arial"/>
          <w:sz w:val="24"/>
          <w:szCs w:val="24"/>
        </w:rPr>
        <w:t xml:space="preserve">along </w:t>
      </w:r>
      <w:r>
        <w:rPr>
          <w:rFonts w:ascii="Arial" w:hAnsi="Arial" w:cs="Arial"/>
          <w:sz w:val="24"/>
          <w:szCs w:val="24"/>
        </w:rPr>
        <w:t>with proposed changes to base rates.</w:t>
      </w:r>
    </w:p>
    <w:p w14:paraId="270E77A1" w14:textId="77777777" w:rsidR="0072589B" w:rsidRPr="00F53643" w:rsidRDefault="0072589B" w:rsidP="002114DE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4"/>
          <w:szCs w:val="24"/>
        </w:rPr>
      </w:pPr>
    </w:p>
    <w:p w14:paraId="4F4F28E7" w14:textId="6010283B" w:rsidR="002114DE" w:rsidRDefault="002114DE" w:rsidP="002114DE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b/>
          <w:bCs/>
          <w:sz w:val="24"/>
          <w:szCs w:val="24"/>
        </w:rPr>
      </w:pPr>
      <w:r w:rsidRPr="00F53643">
        <w:rPr>
          <w:rFonts w:ascii="Arial" w:hAnsi="Arial" w:cs="Arial"/>
          <w:b/>
          <w:bCs/>
          <w:sz w:val="24"/>
          <w:szCs w:val="24"/>
        </w:rPr>
        <w:lastRenderedPageBreak/>
        <w:t xml:space="preserve">Lost Revenue Adjustment Mechanism Variance Account (LRAMVA) </w:t>
      </w:r>
    </w:p>
    <w:p w14:paraId="66E43B72" w14:textId="21BB136B" w:rsidR="002F2D55" w:rsidRDefault="002F2D55" w:rsidP="002F2D55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NT Power is in agreement </w:t>
      </w:r>
      <w:r w:rsidR="00A2575F"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  <w:sz w:val="24"/>
          <w:szCs w:val="24"/>
        </w:rPr>
        <w:t>OEB Staff submission that the transactions to be recorded in the continuity schedules</w:t>
      </w:r>
      <w:r w:rsidR="00646404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646404">
        <w:rPr>
          <w:rStyle w:val="FootnoteReference"/>
          <w:rFonts w:ascii="Arial" w:hAnsi="Arial" w:cs="Arial"/>
          <w:sz w:val="24"/>
          <w:szCs w:val="24"/>
        </w:rPr>
        <w:footnoteReference w:id="2"/>
      </w:r>
      <w:r w:rsidR="006464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 the principal and carrying charges amounts as calculated in the LRAMVA models. NT Power will revise the continuity schedules</w:t>
      </w:r>
      <w:r w:rsidR="006464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reflect $</w:t>
      </w:r>
      <w:r w:rsidRPr="002F2D55">
        <w:rPr>
          <w:rFonts w:ascii="Arial" w:hAnsi="Arial" w:cs="Arial"/>
          <w:sz w:val="24"/>
          <w:szCs w:val="24"/>
        </w:rPr>
        <w:t xml:space="preserve">434,272 principal and $13,740 carrying charges for NTRZ and $64,497 principal and $2,041 interest for MRZ. </w:t>
      </w:r>
    </w:p>
    <w:p w14:paraId="26FF4182" w14:textId="67612670" w:rsidR="002F2D55" w:rsidRDefault="002F2D55" w:rsidP="002F2D55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NT Power is in agreement that the amounts calculated for the rate riders are correctly allocated to the rate classes.</w:t>
      </w:r>
    </w:p>
    <w:p w14:paraId="7F4CF628" w14:textId="77777777" w:rsidR="002F2D55" w:rsidRPr="002F2D55" w:rsidRDefault="002F2D55" w:rsidP="002F2D55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4"/>
          <w:szCs w:val="24"/>
        </w:rPr>
      </w:pPr>
    </w:p>
    <w:p w14:paraId="2AE107C7" w14:textId="57AD8F49" w:rsidR="002114DE" w:rsidRPr="00F53643" w:rsidRDefault="002114DE" w:rsidP="002114DE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b/>
          <w:bCs/>
          <w:sz w:val="24"/>
          <w:szCs w:val="24"/>
        </w:rPr>
      </w:pPr>
      <w:r w:rsidRPr="00F53643">
        <w:rPr>
          <w:rFonts w:ascii="Arial" w:hAnsi="Arial" w:cs="Arial"/>
          <w:b/>
          <w:bCs/>
          <w:sz w:val="24"/>
          <w:szCs w:val="24"/>
        </w:rPr>
        <w:t xml:space="preserve">Group 1 Deferral and Variance Accounts </w:t>
      </w:r>
    </w:p>
    <w:p w14:paraId="01A21D5B" w14:textId="20E4BD0D" w:rsidR="00A33FCA" w:rsidRPr="00A33FCA" w:rsidRDefault="00A33FCA" w:rsidP="001553C2">
      <w:pPr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Newmarket Tay Rate Zone</w:t>
      </w:r>
    </w:p>
    <w:p w14:paraId="03F201FC" w14:textId="77777777" w:rsidR="00A33FCA" w:rsidRDefault="00A33FCA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3C66FD58" w14:textId="75466EC8" w:rsidR="00FF1C1C" w:rsidRDefault="008C67AC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F244FB">
        <w:rPr>
          <w:rFonts w:ascii="Arial" w:hAnsi="Arial" w:cs="Arial"/>
          <w:sz w:val="24"/>
          <w:szCs w:val="24"/>
        </w:rPr>
        <w:t xml:space="preserve">NTRZ </w:t>
      </w:r>
      <w:r>
        <w:rPr>
          <w:rFonts w:ascii="Arial" w:hAnsi="Arial" w:cs="Arial"/>
          <w:sz w:val="24"/>
          <w:szCs w:val="24"/>
        </w:rPr>
        <w:t>contracted an</w:t>
      </w:r>
      <w:r w:rsidRPr="00F244FB">
        <w:rPr>
          <w:rFonts w:ascii="Arial" w:hAnsi="Arial" w:cs="Arial"/>
          <w:sz w:val="24"/>
          <w:szCs w:val="24"/>
        </w:rPr>
        <w:t xml:space="preserve"> independent special purpose audit </w:t>
      </w:r>
      <w:r>
        <w:rPr>
          <w:rFonts w:ascii="Arial" w:hAnsi="Arial" w:cs="Arial"/>
          <w:sz w:val="24"/>
          <w:szCs w:val="24"/>
        </w:rPr>
        <w:t>of the DVA accounts 1588 and 1589</w:t>
      </w:r>
      <w:r w:rsidRPr="00F244FB">
        <w:rPr>
          <w:rFonts w:ascii="Arial" w:hAnsi="Arial" w:cs="Arial"/>
          <w:sz w:val="24"/>
          <w:szCs w:val="24"/>
        </w:rPr>
        <w:t xml:space="preserve"> f</w:t>
      </w:r>
      <w:r w:rsidR="00355DA3">
        <w:rPr>
          <w:rFonts w:ascii="Arial" w:hAnsi="Arial" w:cs="Arial"/>
          <w:sz w:val="24"/>
          <w:szCs w:val="24"/>
        </w:rPr>
        <w:t>rom</w:t>
      </w:r>
      <w:r w:rsidRPr="00F244FB">
        <w:rPr>
          <w:rFonts w:ascii="Arial" w:hAnsi="Arial" w:cs="Arial"/>
          <w:sz w:val="24"/>
          <w:szCs w:val="24"/>
        </w:rPr>
        <w:t xml:space="preserve"> 2013 to 2017 prior to the new accounting guidelines.  </w:t>
      </w:r>
      <w:r w:rsidR="00F244FB" w:rsidRPr="00F244FB">
        <w:rPr>
          <w:rFonts w:ascii="Arial" w:hAnsi="Arial" w:cs="Arial"/>
          <w:sz w:val="24"/>
          <w:szCs w:val="24"/>
        </w:rPr>
        <w:t xml:space="preserve">NT Power submits </w:t>
      </w:r>
      <w:r>
        <w:rPr>
          <w:rFonts w:ascii="Arial" w:hAnsi="Arial" w:cs="Arial"/>
          <w:sz w:val="24"/>
          <w:szCs w:val="24"/>
        </w:rPr>
        <w:t>that</w:t>
      </w:r>
      <w:r w:rsidR="007751D4">
        <w:rPr>
          <w:rFonts w:ascii="Arial" w:hAnsi="Arial" w:cs="Arial"/>
          <w:sz w:val="24"/>
          <w:szCs w:val="24"/>
        </w:rPr>
        <w:t xml:space="preserve"> redoing</w:t>
      </w:r>
      <w:r w:rsidR="002552FB">
        <w:rPr>
          <w:rFonts w:ascii="Arial" w:hAnsi="Arial" w:cs="Arial"/>
          <w:sz w:val="24"/>
          <w:szCs w:val="24"/>
        </w:rPr>
        <w:t xml:space="preserve"> </w:t>
      </w:r>
      <w:r w:rsidR="00355DA3">
        <w:rPr>
          <w:rFonts w:ascii="Arial" w:hAnsi="Arial" w:cs="Arial"/>
          <w:sz w:val="24"/>
          <w:szCs w:val="24"/>
        </w:rPr>
        <w:t>the</w:t>
      </w:r>
      <w:r w:rsidR="007751D4">
        <w:rPr>
          <w:rFonts w:ascii="Arial" w:hAnsi="Arial" w:cs="Arial"/>
          <w:sz w:val="24"/>
          <w:szCs w:val="24"/>
        </w:rPr>
        <w:t xml:space="preserve"> recent audit</w:t>
      </w:r>
      <w:r>
        <w:rPr>
          <w:rFonts w:ascii="Arial" w:hAnsi="Arial" w:cs="Arial"/>
          <w:sz w:val="24"/>
          <w:szCs w:val="24"/>
        </w:rPr>
        <w:t xml:space="preserve"> </w:t>
      </w:r>
      <w:r w:rsidR="007751D4">
        <w:rPr>
          <w:rFonts w:ascii="Arial" w:hAnsi="Arial" w:cs="Arial"/>
          <w:sz w:val="24"/>
          <w:szCs w:val="24"/>
        </w:rPr>
        <w:t>would be an in</w:t>
      </w:r>
      <w:r>
        <w:rPr>
          <w:rFonts w:ascii="Arial" w:hAnsi="Arial" w:cs="Arial"/>
          <w:sz w:val="24"/>
          <w:szCs w:val="24"/>
        </w:rPr>
        <w:t>effective utilization of resources</w:t>
      </w:r>
      <w:r w:rsidR="00F244FB" w:rsidRPr="00F244FB">
        <w:rPr>
          <w:rFonts w:ascii="Arial" w:hAnsi="Arial" w:cs="Arial"/>
          <w:sz w:val="24"/>
          <w:szCs w:val="24"/>
        </w:rPr>
        <w:t xml:space="preserve">.  </w:t>
      </w:r>
    </w:p>
    <w:p w14:paraId="7EB498E5" w14:textId="57225C39" w:rsidR="00F244FB" w:rsidRDefault="00F244FB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5C38D50A" w14:textId="2F773C4E" w:rsidR="00091999" w:rsidRDefault="00091999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OEB staff </w:t>
      </w:r>
      <w:r w:rsidR="002552FB">
        <w:rPr>
          <w:rFonts w:ascii="Arial" w:hAnsi="Arial" w:cs="Arial"/>
          <w:sz w:val="24"/>
          <w:szCs w:val="24"/>
        </w:rPr>
        <w:t xml:space="preserve">addressed </w:t>
      </w:r>
      <w:r w:rsidR="00700C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$4.5</w:t>
      </w:r>
      <w:r w:rsidR="002552F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2552FB">
        <w:rPr>
          <w:rFonts w:ascii="Arial" w:hAnsi="Arial" w:cs="Arial"/>
          <w:sz w:val="24"/>
          <w:szCs w:val="24"/>
        </w:rPr>
        <w:t>variance</w:t>
      </w:r>
      <w:r>
        <w:rPr>
          <w:rFonts w:ascii="Arial" w:hAnsi="Arial" w:cs="Arial"/>
          <w:sz w:val="24"/>
          <w:szCs w:val="24"/>
        </w:rPr>
        <w:t xml:space="preserve"> in account 1588 </w:t>
      </w:r>
      <w:r w:rsidR="002552FB">
        <w:rPr>
          <w:rFonts w:ascii="Arial" w:hAnsi="Arial" w:cs="Arial"/>
          <w:sz w:val="24"/>
          <w:szCs w:val="24"/>
        </w:rPr>
        <w:t xml:space="preserve">for NTRZ </w:t>
      </w:r>
      <w:r>
        <w:rPr>
          <w:rFonts w:ascii="Arial" w:hAnsi="Arial" w:cs="Arial"/>
          <w:sz w:val="24"/>
          <w:szCs w:val="24"/>
        </w:rPr>
        <w:t xml:space="preserve">as </w:t>
      </w:r>
      <w:r w:rsidR="002552FB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December 31, 2018.  NTRZ </w:t>
      </w:r>
      <w:r w:rsidR="00546E52">
        <w:rPr>
          <w:rFonts w:ascii="Arial" w:hAnsi="Arial" w:cs="Arial"/>
          <w:sz w:val="24"/>
          <w:szCs w:val="24"/>
        </w:rPr>
        <w:t xml:space="preserve">has </w:t>
      </w:r>
      <w:r>
        <w:rPr>
          <w:rFonts w:ascii="Arial" w:hAnsi="Arial" w:cs="Arial"/>
          <w:sz w:val="24"/>
          <w:szCs w:val="24"/>
        </w:rPr>
        <w:t xml:space="preserve">identified $3.3m as a settlement error </w:t>
      </w:r>
      <w:r w:rsidR="002552FB">
        <w:rPr>
          <w:rFonts w:ascii="Arial" w:hAnsi="Arial" w:cs="Arial"/>
          <w:sz w:val="24"/>
          <w:szCs w:val="24"/>
        </w:rPr>
        <w:t xml:space="preserve">that began in March, 2018. </w:t>
      </w:r>
      <w:r w:rsidR="00546E52">
        <w:rPr>
          <w:rFonts w:ascii="Arial" w:hAnsi="Arial" w:cs="Arial"/>
          <w:sz w:val="24"/>
          <w:szCs w:val="24"/>
        </w:rPr>
        <w:t xml:space="preserve">After accounting for the identified settlement error, there </w:t>
      </w:r>
      <w:r w:rsidR="00700CB7">
        <w:rPr>
          <w:rFonts w:ascii="Arial" w:hAnsi="Arial" w:cs="Arial"/>
          <w:sz w:val="24"/>
          <w:szCs w:val="24"/>
        </w:rPr>
        <w:t>is</w:t>
      </w:r>
      <w:r w:rsidR="002552FB">
        <w:rPr>
          <w:rFonts w:ascii="Arial" w:hAnsi="Arial" w:cs="Arial"/>
          <w:sz w:val="24"/>
          <w:szCs w:val="24"/>
        </w:rPr>
        <w:t xml:space="preserve"> a</w:t>
      </w:r>
      <w:r w:rsidR="00546E52">
        <w:rPr>
          <w:rFonts w:ascii="Arial" w:hAnsi="Arial" w:cs="Arial"/>
          <w:sz w:val="24"/>
          <w:szCs w:val="24"/>
        </w:rPr>
        <w:t xml:space="preserve"> remaining</w:t>
      </w:r>
      <w:r>
        <w:rPr>
          <w:rFonts w:ascii="Arial" w:hAnsi="Arial" w:cs="Arial"/>
          <w:sz w:val="24"/>
          <w:szCs w:val="24"/>
        </w:rPr>
        <w:t xml:space="preserve"> $1.2m</w:t>
      </w:r>
      <w:r w:rsidR="00546E52">
        <w:rPr>
          <w:rFonts w:ascii="Arial" w:hAnsi="Arial" w:cs="Arial"/>
          <w:sz w:val="24"/>
          <w:szCs w:val="24"/>
        </w:rPr>
        <w:t xml:space="preserve"> variance in account 1588 </w:t>
      </w:r>
      <w:r>
        <w:rPr>
          <w:rFonts w:ascii="Arial" w:hAnsi="Arial" w:cs="Arial"/>
          <w:sz w:val="24"/>
          <w:szCs w:val="24"/>
        </w:rPr>
        <w:t>or 1.8%</w:t>
      </w:r>
      <w:r w:rsidR="00255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relation to the power expense account 4705 </w:t>
      </w:r>
      <w:r w:rsidR="00700CB7">
        <w:rPr>
          <w:rFonts w:ascii="Arial" w:hAnsi="Arial" w:cs="Arial"/>
          <w:sz w:val="24"/>
          <w:szCs w:val="24"/>
        </w:rPr>
        <w:t xml:space="preserve">in </w:t>
      </w:r>
      <w:r w:rsidR="002552FB">
        <w:rPr>
          <w:rFonts w:ascii="Arial" w:hAnsi="Arial" w:cs="Arial"/>
          <w:sz w:val="24"/>
          <w:szCs w:val="24"/>
        </w:rPr>
        <w:t xml:space="preserve">the year </w:t>
      </w:r>
      <w:r>
        <w:rPr>
          <w:rFonts w:ascii="Arial" w:hAnsi="Arial" w:cs="Arial"/>
          <w:sz w:val="24"/>
          <w:szCs w:val="24"/>
        </w:rPr>
        <w:t>2018.  NT Power agree</w:t>
      </w:r>
      <w:r w:rsidR="002552F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</w:t>
      </w:r>
      <w:r w:rsidRPr="00F244FB">
        <w:rPr>
          <w:rFonts w:ascii="Arial" w:hAnsi="Arial" w:cs="Arial"/>
          <w:sz w:val="24"/>
          <w:szCs w:val="24"/>
        </w:rPr>
        <w:t xml:space="preserve"> undertake a review of the 2018 to 2019 DVA accounts 1588 and 1589 for NTRZ and MR</w:t>
      </w:r>
      <w:r>
        <w:rPr>
          <w:rFonts w:ascii="Arial" w:hAnsi="Arial" w:cs="Arial"/>
          <w:sz w:val="24"/>
          <w:szCs w:val="24"/>
        </w:rPr>
        <w:t>Z</w:t>
      </w:r>
      <w:r w:rsidRPr="00F244F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Pr="00F244FB">
        <w:rPr>
          <w:rFonts w:ascii="Arial" w:hAnsi="Arial" w:cs="Arial"/>
          <w:sz w:val="24"/>
          <w:szCs w:val="24"/>
        </w:rPr>
        <w:t xml:space="preserve">NT Power submits </w:t>
      </w:r>
      <w:r>
        <w:rPr>
          <w:rFonts w:ascii="Arial" w:hAnsi="Arial" w:cs="Arial"/>
          <w:sz w:val="24"/>
          <w:szCs w:val="24"/>
        </w:rPr>
        <w:t xml:space="preserve">that </w:t>
      </w:r>
      <w:r w:rsidR="002552FB">
        <w:rPr>
          <w:rFonts w:ascii="Arial" w:hAnsi="Arial" w:cs="Arial"/>
          <w:sz w:val="24"/>
          <w:szCs w:val="24"/>
        </w:rPr>
        <w:t xml:space="preserve">repeating </w:t>
      </w:r>
      <w:r w:rsidR="00613D2C">
        <w:rPr>
          <w:rFonts w:ascii="Arial" w:hAnsi="Arial" w:cs="Arial"/>
          <w:sz w:val="24"/>
          <w:szCs w:val="24"/>
        </w:rPr>
        <w:t>the recent special purpose</w:t>
      </w:r>
      <w:r w:rsidR="002552FB">
        <w:rPr>
          <w:rFonts w:ascii="Arial" w:hAnsi="Arial" w:cs="Arial"/>
          <w:sz w:val="24"/>
          <w:szCs w:val="24"/>
        </w:rPr>
        <w:t xml:space="preserve"> audit for 2013 to 2017</w:t>
      </w:r>
      <w:r w:rsidR="00613D2C">
        <w:rPr>
          <w:rFonts w:ascii="Arial" w:hAnsi="Arial" w:cs="Arial"/>
          <w:sz w:val="24"/>
          <w:szCs w:val="24"/>
        </w:rPr>
        <w:t xml:space="preserve"> would provide limited value for the cost and resource utilization required.</w:t>
      </w:r>
    </w:p>
    <w:p w14:paraId="26F66F8E" w14:textId="77777777" w:rsidR="00091999" w:rsidRDefault="00091999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4AE39555" w14:textId="605A03B6" w:rsidR="00FF1C1C" w:rsidRDefault="00FF1C1C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NT Power seeks to clarify OEB’s submission on page 12 that states,</w:t>
      </w:r>
    </w:p>
    <w:p w14:paraId="03A39218" w14:textId="2A14A09C" w:rsidR="00FF1C1C" w:rsidRDefault="00FF1C1C" w:rsidP="00FF1C1C">
      <w:pPr>
        <w:spacing w:before="0"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7E283A">
        <w:rPr>
          <w:rFonts w:ascii="Arial" w:hAnsi="Arial" w:cs="Arial"/>
          <w:i/>
          <w:iCs/>
          <w:sz w:val="24"/>
          <w:szCs w:val="24"/>
        </w:rPr>
        <w:t>“Newmarket-Tay Power does not appear to be properly accounting for Account 1595 for NTRZ as it has balances in Account 1595 sub-accounts dating back to 2008 (as per its 2018 2.1.7 RRR reporting) and showed residual amounts in sub-accounts for 2015 and 2016, which had already been disposed in 2019.</w:t>
      </w:r>
      <w:r w:rsidRPr="007E283A">
        <w:rPr>
          <w:rStyle w:val="FootnoteReference"/>
          <w:rFonts w:ascii="Arial" w:hAnsi="Arial" w:cs="Arial"/>
          <w:i/>
          <w:iCs/>
          <w:sz w:val="24"/>
          <w:szCs w:val="24"/>
        </w:rPr>
        <w:footnoteReference w:id="3"/>
      </w:r>
      <w:r w:rsidRPr="007E283A">
        <w:rPr>
          <w:rFonts w:ascii="Arial" w:hAnsi="Arial" w:cs="Arial"/>
          <w:i/>
          <w:iCs/>
          <w:sz w:val="24"/>
          <w:szCs w:val="24"/>
        </w:rPr>
        <w:t>”</w:t>
      </w:r>
    </w:p>
    <w:p w14:paraId="74623AE3" w14:textId="77777777" w:rsidR="00F12BEB" w:rsidRPr="007E283A" w:rsidRDefault="00F12BEB" w:rsidP="00FF1C1C">
      <w:pPr>
        <w:spacing w:before="0" w:after="0" w:line="240" w:lineRule="auto"/>
        <w:ind w:left="720"/>
        <w:rPr>
          <w:rFonts w:ascii="Arial" w:hAnsi="Arial" w:cs="Arial"/>
          <w:i/>
          <w:iCs/>
          <w:sz w:val="24"/>
          <w:szCs w:val="24"/>
        </w:rPr>
      </w:pPr>
    </w:p>
    <w:p w14:paraId="09361215" w14:textId="3B1DCF3E" w:rsidR="00FF1C1C" w:rsidRDefault="00FF1C1C" w:rsidP="00FF1C1C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FF1C1C">
        <w:rPr>
          <w:rFonts w:ascii="Arial" w:hAnsi="Arial" w:cs="Arial"/>
          <w:sz w:val="24"/>
          <w:szCs w:val="24"/>
        </w:rPr>
        <w:t>Interrogatory Response, G-Staff-2 b), February 7, 2020</w:t>
      </w:r>
      <w:r>
        <w:rPr>
          <w:rFonts w:ascii="Arial" w:hAnsi="Arial" w:cs="Arial"/>
          <w:sz w:val="24"/>
          <w:szCs w:val="24"/>
        </w:rPr>
        <w:t xml:space="preserve"> pertains to the MRZ rate zone</w:t>
      </w:r>
      <w:r w:rsidR="00355DA3">
        <w:rPr>
          <w:rFonts w:ascii="Arial" w:hAnsi="Arial" w:cs="Arial"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 xml:space="preserve">. </w:t>
      </w:r>
      <w:r w:rsidR="007E283A">
        <w:rPr>
          <w:rFonts w:ascii="Arial" w:hAnsi="Arial" w:cs="Arial"/>
          <w:sz w:val="24"/>
          <w:szCs w:val="24"/>
        </w:rPr>
        <w:t>NTRZ last disposal of A</w:t>
      </w:r>
      <w:r>
        <w:rPr>
          <w:rFonts w:ascii="Arial" w:hAnsi="Arial" w:cs="Arial"/>
          <w:sz w:val="24"/>
          <w:szCs w:val="24"/>
        </w:rPr>
        <w:t xml:space="preserve">ccount 1595 </w:t>
      </w:r>
      <w:r w:rsidR="007E283A">
        <w:rPr>
          <w:rFonts w:ascii="Arial" w:hAnsi="Arial" w:cs="Arial"/>
          <w:sz w:val="24"/>
          <w:szCs w:val="24"/>
        </w:rPr>
        <w:t>was in the year</w:t>
      </w:r>
      <w:r>
        <w:rPr>
          <w:rFonts w:ascii="Arial" w:hAnsi="Arial" w:cs="Arial"/>
          <w:sz w:val="24"/>
          <w:szCs w:val="24"/>
        </w:rPr>
        <w:t xml:space="preserve"> 20</w:t>
      </w:r>
      <w:r w:rsidR="008873EE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.</w:t>
      </w:r>
    </w:p>
    <w:p w14:paraId="01A44C34" w14:textId="170C0FBB" w:rsidR="00AF6A0D" w:rsidRDefault="00AF6A0D" w:rsidP="00FF1C1C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4DA93155" w14:textId="5C53B6A6" w:rsidR="00A33FCA" w:rsidRDefault="00A33FCA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14423136" w14:textId="77777777" w:rsidR="00F20EFA" w:rsidRDefault="00F20EFA" w:rsidP="001553C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6A9EB2A1" w14:textId="38628B5D" w:rsidR="00A33FCA" w:rsidRPr="00A33FCA" w:rsidRDefault="00A33FCA" w:rsidP="00A33FCA">
      <w:pPr>
        <w:spacing w:before="0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Midland Rate Zone</w:t>
      </w:r>
    </w:p>
    <w:p w14:paraId="6537AF0A" w14:textId="77777777" w:rsidR="00A33FCA" w:rsidRDefault="00A33FCA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0E2D8DA6" w14:textId="77777777" w:rsidR="00430D1D" w:rsidRDefault="00A33FCA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NT Power is in agreement with OEB Staff that the Group 1 accounts for MRZ will not be disposed of in this application. </w:t>
      </w:r>
    </w:p>
    <w:p w14:paraId="03AAAD5F" w14:textId="77777777" w:rsidR="00430D1D" w:rsidRDefault="00430D1D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244309B2" w14:textId="049FDB3F" w:rsidR="00A33FCA" w:rsidRDefault="00A33FCA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NT Power is in agreement that a review will be conducted of MRZ’s accounting and settlement practices for Account 1588 and 1589 for 201</w:t>
      </w:r>
      <w:r w:rsidR="00F12BE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and 201</w:t>
      </w:r>
      <w:r w:rsidR="00F12BE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14:paraId="2ECDCF84" w14:textId="289ECB5A" w:rsidR="00EB5B2D" w:rsidRDefault="00EB5B2D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3F766AAB" w14:textId="3F9807FA" w:rsidR="00EB5B2D" w:rsidRDefault="00A76B4B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B0C9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31A11B" w14:textId="7EFE43B3" w:rsidR="004E6C23" w:rsidRDefault="004E6C23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7B782163" w14:textId="159400CC" w:rsidR="004E6C23" w:rsidRDefault="004E6C23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Should the OEB Staff have questions regarding this reply submission please contact the undersigned. </w:t>
      </w:r>
    </w:p>
    <w:p w14:paraId="69EF4595" w14:textId="1B4D5D2B" w:rsidR="004E6C23" w:rsidRDefault="004E6C23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01FBEDA7" w14:textId="38D8C788" w:rsidR="004E6C23" w:rsidRDefault="004E6C23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6F6B7829" w14:textId="79A54CC7" w:rsidR="004E6C23" w:rsidRDefault="004E6C23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557F7730" w14:textId="77777777" w:rsidR="00704BE9" w:rsidRDefault="00704BE9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733860A5" w14:textId="54E08A7C" w:rsidR="004E6C23" w:rsidRDefault="004E6C23" w:rsidP="00A33FCA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452D8A4B" w14:textId="77777777" w:rsidR="004E6C23" w:rsidRPr="00704BE9" w:rsidRDefault="004E6C23" w:rsidP="00A33FCA">
      <w:pPr>
        <w:spacing w:before="0"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2116C64D" w14:textId="77777777" w:rsidR="00704BE9" w:rsidRPr="00704BE9" w:rsidRDefault="00704BE9" w:rsidP="00704BE9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704BE9">
        <w:rPr>
          <w:rFonts w:ascii="Arial" w:hAnsi="Arial" w:cs="Arial"/>
          <w:sz w:val="24"/>
          <w:szCs w:val="24"/>
        </w:rPr>
        <w:t>Laurie Ann Cooledge, CPA, CMA, CPA</w:t>
      </w:r>
    </w:p>
    <w:p w14:paraId="01C23F9C" w14:textId="77777777" w:rsidR="00704BE9" w:rsidRPr="00704BE9" w:rsidRDefault="00704BE9" w:rsidP="00704BE9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704BE9">
        <w:rPr>
          <w:rFonts w:ascii="Arial" w:hAnsi="Arial" w:cs="Arial"/>
          <w:sz w:val="24"/>
          <w:szCs w:val="24"/>
        </w:rPr>
        <w:t xml:space="preserve">Chief Financial Officer                                     </w:t>
      </w:r>
    </w:p>
    <w:p w14:paraId="140EE9AA" w14:textId="77777777" w:rsidR="00704BE9" w:rsidRPr="00704BE9" w:rsidRDefault="000F334D" w:rsidP="00704BE9">
      <w:pPr>
        <w:spacing w:before="0" w:after="0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704BE9" w:rsidRPr="00704BE9">
          <w:rPr>
            <w:rFonts w:ascii="Arial" w:hAnsi="Arial" w:cs="Arial"/>
            <w:sz w:val="24"/>
            <w:szCs w:val="24"/>
          </w:rPr>
          <w:t>lauriec@nmhydro.ca</w:t>
        </w:r>
      </w:hyperlink>
      <w:r w:rsidR="00704BE9" w:rsidRPr="00704BE9">
        <w:rPr>
          <w:rFonts w:ascii="Arial" w:hAnsi="Arial" w:cs="Arial"/>
          <w:sz w:val="24"/>
          <w:szCs w:val="24"/>
        </w:rPr>
        <w:t xml:space="preserve">                                        </w:t>
      </w:r>
    </w:p>
    <w:p w14:paraId="1B26D5C3" w14:textId="77777777" w:rsidR="00704BE9" w:rsidRPr="00704BE9" w:rsidRDefault="00704BE9" w:rsidP="00704BE9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704BE9">
        <w:rPr>
          <w:rFonts w:ascii="Arial" w:hAnsi="Arial" w:cs="Arial"/>
          <w:sz w:val="24"/>
          <w:szCs w:val="24"/>
        </w:rPr>
        <w:t>phone: (905) 953-8548 X2268</w:t>
      </w:r>
    </w:p>
    <w:p w14:paraId="338E0691" w14:textId="77777777" w:rsidR="00A33FCA" w:rsidRPr="00F53643" w:rsidRDefault="00A33FCA" w:rsidP="001553C2">
      <w:pPr>
        <w:spacing w:before="0" w:after="0"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sectPr w:rsidR="00A33FCA" w:rsidRPr="00F53643" w:rsidSect="006D6A31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AE4C1" w14:textId="77777777" w:rsidR="008B18DC" w:rsidRDefault="008B18DC" w:rsidP="00BF71CD">
      <w:pPr>
        <w:spacing w:before="0" w:after="0" w:line="240" w:lineRule="auto"/>
      </w:pPr>
      <w:r>
        <w:separator/>
      </w:r>
    </w:p>
  </w:endnote>
  <w:endnote w:type="continuationSeparator" w:id="0">
    <w:p w14:paraId="3AC94E72" w14:textId="77777777" w:rsidR="008B18DC" w:rsidRDefault="008B18DC" w:rsidP="00BF71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8478419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AAEBDB" w14:textId="62FFE963" w:rsidR="00C13A40" w:rsidRPr="00C13A40" w:rsidRDefault="00C13A40">
            <w:pPr>
              <w:pStyle w:val="Footer"/>
              <w:jc w:val="right"/>
              <w:rPr>
                <w:rFonts w:ascii="Arial" w:hAnsi="Arial" w:cs="Arial"/>
              </w:rPr>
            </w:pPr>
            <w:r w:rsidRPr="00C13A40">
              <w:rPr>
                <w:rFonts w:ascii="Arial" w:hAnsi="Arial" w:cs="Arial"/>
              </w:rPr>
              <w:t xml:space="preserve">Page </w:t>
            </w:r>
            <w:r w:rsidRPr="00C13A4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13A4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13A4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C13A4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13A40">
              <w:rPr>
                <w:rFonts w:ascii="Arial" w:hAnsi="Arial" w:cs="Arial"/>
              </w:rPr>
              <w:t xml:space="preserve"> of </w:t>
            </w:r>
            <w:r w:rsidRPr="00C13A4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13A4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13A4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2</w:t>
            </w:r>
            <w:r w:rsidRPr="00C13A4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B5536F" w14:textId="77777777" w:rsidR="00C13A40" w:rsidRDefault="00C13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CC762" w14:textId="77777777" w:rsidR="008B18DC" w:rsidRDefault="008B18DC" w:rsidP="00BF71CD">
      <w:pPr>
        <w:spacing w:before="0" w:after="0" w:line="240" w:lineRule="auto"/>
      </w:pPr>
      <w:r>
        <w:separator/>
      </w:r>
    </w:p>
  </w:footnote>
  <w:footnote w:type="continuationSeparator" w:id="0">
    <w:p w14:paraId="5EAF1EF5" w14:textId="77777777" w:rsidR="008B18DC" w:rsidRDefault="008B18DC" w:rsidP="00BF71CD">
      <w:pPr>
        <w:spacing w:before="0" w:after="0" w:line="240" w:lineRule="auto"/>
      </w:pPr>
      <w:r>
        <w:continuationSeparator/>
      </w:r>
    </w:p>
  </w:footnote>
  <w:footnote w:id="1">
    <w:p w14:paraId="77341FB5" w14:textId="77777777" w:rsidR="00646404" w:rsidRPr="00F3249D" w:rsidRDefault="00646404" w:rsidP="00646404">
      <w:pPr>
        <w:pStyle w:val="FootnoteText"/>
        <w:rPr>
          <w:rFonts w:ascii="Arial" w:hAnsi="Arial" w:cs="Arial"/>
        </w:rPr>
      </w:pPr>
      <w:r w:rsidRPr="00F3249D">
        <w:rPr>
          <w:rStyle w:val="FootnoteReference"/>
          <w:rFonts w:ascii="Arial" w:hAnsi="Arial" w:cs="Arial"/>
        </w:rPr>
        <w:footnoteRef/>
      </w:r>
      <w:r w:rsidRPr="00F3249D">
        <w:rPr>
          <w:rFonts w:ascii="Arial" w:hAnsi="Arial" w:cs="Arial"/>
        </w:rPr>
        <w:t xml:space="preserve"> NTRZ Rate Generator Model, Tab 3. Continuity Schedule</w:t>
      </w:r>
    </w:p>
  </w:footnote>
  <w:footnote w:id="2">
    <w:p w14:paraId="25B166A2" w14:textId="77777777" w:rsidR="00646404" w:rsidRPr="00F3249D" w:rsidRDefault="00646404" w:rsidP="00646404">
      <w:pPr>
        <w:pStyle w:val="FootnoteText"/>
        <w:rPr>
          <w:rFonts w:ascii="Arial" w:hAnsi="Arial" w:cs="Arial"/>
        </w:rPr>
      </w:pPr>
      <w:r w:rsidRPr="00F3249D">
        <w:rPr>
          <w:rStyle w:val="FootnoteReference"/>
          <w:rFonts w:ascii="Arial" w:hAnsi="Arial" w:cs="Arial"/>
        </w:rPr>
        <w:footnoteRef/>
      </w:r>
      <w:r w:rsidRPr="00F3249D">
        <w:rPr>
          <w:rFonts w:ascii="Arial" w:hAnsi="Arial" w:cs="Arial"/>
        </w:rPr>
        <w:t xml:space="preserve"> MRZ Rate Generator Model, Tab 3. Continuity Schedule</w:t>
      </w:r>
    </w:p>
  </w:footnote>
  <w:footnote w:id="3">
    <w:p w14:paraId="20795734" w14:textId="64748ACE" w:rsidR="00FF1C1C" w:rsidRDefault="00FF1C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1C1C">
        <w:rPr>
          <w:rFonts w:ascii="Arial" w:hAnsi="Arial" w:cs="Arial"/>
        </w:rPr>
        <w:t xml:space="preserve">Interrogatory Response, </w:t>
      </w:r>
      <w:r w:rsidR="00426129">
        <w:rPr>
          <w:rFonts w:ascii="Arial" w:hAnsi="Arial" w:cs="Arial"/>
        </w:rPr>
        <w:t xml:space="preserve">OEB Staff </w:t>
      </w:r>
      <w:r w:rsidRPr="00FF1C1C">
        <w:rPr>
          <w:rFonts w:ascii="Arial" w:hAnsi="Arial" w:cs="Arial"/>
        </w:rPr>
        <w:t>2 b), February 7,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92ED" w14:textId="0F8484E2" w:rsidR="00527D04" w:rsidRPr="006D6A31" w:rsidRDefault="00527D04" w:rsidP="006D6A31">
    <w:pPr>
      <w:autoSpaceDE w:val="0"/>
      <w:autoSpaceDN w:val="0"/>
      <w:adjustRightInd w:val="0"/>
      <w:spacing w:before="0" w:after="0"/>
      <w:jc w:val="center"/>
      <w:rPr>
        <w:rFonts w:ascii="Arial" w:hAnsi="Arial" w:cs="Arial"/>
        <w:b/>
        <w:bCs/>
      </w:rPr>
    </w:pPr>
    <w:r w:rsidRPr="006D6A31">
      <w:rPr>
        <w:rFonts w:ascii="Arial" w:hAnsi="Arial" w:cs="Arial"/>
        <w:b/>
        <w:bCs/>
      </w:rPr>
      <w:t>Newmarket-Tay Power Distribution Ltd.</w:t>
    </w:r>
  </w:p>
  <w:p w14:paraId="74BB31B0" w14:textId="77777777" w:rsidR="00527D04" w:rsidRPr="006D6A31" w:rsidRDefault="00527D04" w:rsidP="006D6A31">
    <w:pPr>
      <w:autoSpaceDE w:val="0"/>
      <w:autoSpaceDN w:val="0"/>
      <w:adjustRightInd w:val="0"/>
      <w:spacing w:before="0" w:after="0"/>
      <w:jc w:val="center"/>
      <w:rPr>
        <w:rFonts w:ascii="Arial" w:hAnsi="Arial" w:cs="Arial"/>
        <w:b/>
        <w:bCs/>
      </w:rPr>
    </w:pPr>
    <w:r w:rsidRPr="006D6A31">
      <w:rPr>
        <w:rFonts w:ascii="Arial" w:hAnsi="Arial" w:cs="Arial"/>
        <w:b/>
        <w:bCs/>
      </w:rPr>
      <w:t>2019 IRM Distribution Rate Application</w:t>
    </w:r>
  </w:p>
  <w:p w14:paraId="35A1DF9F" w14:textId="0907B22E" w:rsidR="00527D04" w:rsidRPr="006D6A31" w:rsidRDefault="00527D04" w:rsidP="006D6A31">
    <w:pPr>
      <w:autoSpaceDE w:val="0"/>
      <w:autoSpaceDN w:val="0"/>
      <w:adjustRightInd w:val="0"/>
      <w:spacing w:before="0" w:after="0"/>
      <w:jc w:val="center"/>
      <w:rPr>
        <w:rFonts w:ascii="Arial" w:hAnsi="Arial" w:cs="Arial"/>
        <w:b/>
        <w:bCs/>
      </w:rPr>
    </w:pPr>
    <w:r w:rsidRPr="006D6A31">
      <w:rPr>
        <w:rFonts w:ascii="Arial" w:hAnsi="Arial" w:cs="Arial"/>
        <w:b/>
        <w:bCs/>
      </w:rPr>
      <w:t>II. Process for 2019 Incentive Regulation Mechanism (IRM) Distribution</w:t>
    </w:r>
    <w:r>
      <w:rPr>
        <w:rFonts w:ascii="Arial" w:hAnsi="Arial" w:cs="Arial"/>
        <w:b/>
        <w:bCs/>
      </w:rPr>
      <w:t xml:space="preserve"> </w:t>
    </w:r>
    <w:r w:rsidRPr="006D6A31">
      <w:rPr>
        <w:rFonts w:ascii="Arial" w:hAnsi="Arial" w:cs="Arial"/>
        <w:b/>
        <w:bCs/>
      </w:rPr>
      <w:t>Rate Applications</w:t>
    </w:r>
  </w:p>
  <w:p w14:paraId="1E0CB03A" w14:textId="4C828E9C" w:rsidR="00527D04" w:rsidRDefault="00527D04" w:rsidP="00527D04">
    <w:pPr>
      <w:autoSpaceDE w:val="0"/>
      <w:autoSpaceDN w:val="0"/>
      <w:adjustRightInd w:val="0"/>
      <w:spacing w:before="0" w:after="0"/>
      <w:jc w:val="center"/>
      <w:rPr>
        <w:rFonts w:ascii="Arial" w:hAnsi="Arial" w:cs="Arial"/>
        <w:b/>
        <w:bCs/>
      </w:rPr>
    </w:pPr>
    <w:r w:rsidRPr="006D6A31">
      <w:rPr>
        <w:rFonts w:ascii="Arial" w:hAnsi="Arial" w:cs="Arial"/>
        <w:b/>
        <w:bCs/>
      </w:rPr>
      <w:t>OEB File No. EB-2018-0055</w:t>
    </w:r>
  </w:p>
  <w:p w14:paraId="47A5C99E" w14:textId="3E348F29" w:rsidR="00527D04" w:rsidRDefault="00527D04" w:rsidP="00527D04">
    <w:pPr>
      <w:autoSpaceDE w:val="0"/>
      <w:autoSpaceDN w:val="0"/>
      <w:adjustRightInd w:val="0"/>
      <w:spacing w:before="0" w:after="0"/>
      <w:jc w:val="center"/>
      <w:rPr>
        <w:rFonts w:ascii="Arial" w:hAnsi="Arial" w:cs="Arial"/>
        <w:b/>
        <w:bCs/>
      </w:rPr>
    </w:pPr>
  </w:p>
  <w:p w14:paraId="0164ECCB" w14:textId="7EE96315" w:rsidR="00527D04" w:rsidRPr="006D6A31" w:rsidRDefault="00527D04" w:rsidP="006D6A31">
    <w:pPr>
      <w:autoSpaceDE w:val="0"/>
      <w:autoSpaceDN w:val="0"/>
      <w:adjustRightInd w:val="0"/>
      <w:spacing w:before="0" w:after="0"/>
      <w:jc w:val="center"/>
      <w:rPr>
        <w:rFonts w:ascii="Arial" w:hAnsi="Arial" w:cs="Arial"/>
        <w:b/>
        <w:bCs/>
        <w:u w:val="single"/>
      </w:rPr>
    </w:pPr>
    <w:r w:rsidRPr="006D6A31">
      <w:rPr>
        <w:rFonts w:ascii="Arial" w:hAnsi="Arial" w:cs="Arial"/>
        <w:b/>
        <w:bCs/>
        <w:u w:val="single"/>
      </w:rPr>
      <w:t>Reply Submission</w:t>
    </w:r>
  </w:p>
  <w:p w14:paraId="5BBCFFEF" w14:textId="73A5E248" w:rsidR="00111FC5" w:rsidRDefault="00527D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5B4C4" wp14:editId="4555ECD0">
              <wp:simplePos x="0" y="0"/>
              <wp:positionH relativeFrom="column">
                <wp:posOffset>0</wp:posOffset>
              </wp:positionH>
              <wp:positionV relativeFrom="paragraph">
                <wp:posOffset>67310</wp:posOffset>
              </wp:positionV>
              <wp:extent cx="579882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88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B56E31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3pt" to="456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" strokecolor="#2c2c2c [3213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B5D8F" w14:textId="7C32E985" w:rsidR="00527D04" w:rsidRDefault="00527D04">
    <w:pPr>
      <w:pStyle w:val="Header"/>
    </w:pPr>
    <w:r w:rsidRPr="00111FC5" w:rsidDel="007323F9">
      <w:rPr>
        <w:noProof/>
      </w:rPr>
      <w:drawing>
        <wp:inline distT="0" distB="0" distL="0" distR="0" wp14:anchorId="483580DD" wp14:editId="28E7897B">
          <wp:extent cx="5943600" cy="742315"/>
          <wp:effectExtent l="0" t="0" r="0" b="635"/>
          <wp:docPr id="2" name="Picture 2" descr="C:\Users\mreesor\AppData\Local\Microsoft\Windows\Temporary Internet Files\Content.Outlook\9PZ7F2IG\NMH_TAY_PD_logo1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reesor\AppData\Local\Microsoft\Windows\Temporary Internet Files\Content.Outlook\9PZ7F2IG\NMH_TAY_PD_logo1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4150F"/>
    <w:multiLevelType w:val="hybridMultilevel"/>
    <w:tmpl w:val="3FC285C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A592A"/>
    <w:multiLevelType w:val="hybridMultilevel"/>
    <w:tmpl w:val="0F4AD08C"/>
    <w:lvl w:ilvl="0" w:tplc="125CC6A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F70EE4"/>
    <w:multiLevelType w:val="hybridMultilevel"/>
    <w:tmpl w:val="8D6E61CA"/>
    <w:lvl w:ilvl="0" w:tplc="A41067C6">
      <w:numFmt w:val="bullet"/>
      <w:lvlText w:val="•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97"/>
    <w:rsid w:val="00007F8E"/>
    <w:rsid w:val="00063BF9"/>
    <w:rsid w:val="00091999"/>
    <w:rsid w:val="000972E1"/>
    <w:rsid w:val="000C6CC6"/>
    <w:rsid w:val="000E1254"/>
    <w:rsid w:val="000F334D"/>
    <w:rsid w:val="00111FC5"/>
    <w:rsid w:val="00135162"/>
    <w:rsid w:val="001436A9"/>
    <w:rsid w:val="001553C2"/>
    <w:rsid w:val="00155FD3"/>
    <w:rsid w:val="0018139B"/>
    <w:rsid w:val="001D1D04"/>
    <w:rsid w:val="001F7E6A"/>
    <w:rsid w:val="002111FC"/>
    <w:rsid w:val="002114DE"/>
    <w:rsid w:val="00242414"/>
    <w:rsid w:val="002552FB"/>
    <w:rsid w:val="00272401"/>
    <w:rsid w:val="002A2810"/>
    <w:rsid w:val="002D2422"/>
    <w:rsid w:val="002F2D55"/>
    <w:rsid w:val="003024A5"/>
    <w:rsid w:val="00304369"/>
    <w:rsid w:val="00312DC7"/>
    <w:rsid w:val="003249AB"/>
    <w:rsid w:val="00326A82"/>
    <w:rsid w:val="00341312"/>
    <w:rsid w:val="00355DA3"/>
    <w:rsid w:val="003C55B2"/>
    <w:rsid w:val="00426129"/>
    <w:rsid w:val="00430D1D"/>
    <w:rsid w:val="00431AFC"/>
    <w:rsid w:val="00465EC6"/>
    <w:rsid w:val="00480486"/>
    <w:rsid w:val="004E6C23"/>
    <w:rsid w:val="004F259E"/>
    <w:rsid w:val="00521997"/>
    <w:rsid w:val="00523FB5"/>
    <w:rsid w:val="00527D04"/>
    <w:rsid w:val="00546E52"/>
    <w:rsid w:val="005B6CB2"/>
    <w:rsid w:val="005E0C4C"/>
    <w:rsid w:val="00612A6D"/>
    <w:rsid w:val="00613D2C"/>
    <w:rsid w:val="00646404"/>
    <w:rsid w:val="006722AC"/>
    <w:rsid w:val="00684414"/>
    <w:rsid w:val="006A7DBD"/>
    <w:rsid w:val="006D6A31"/>
    <w:rsid w:val="00700CB7"/>
    <w:rsid w:val="00704BE9"/>
    <w:rsid w:val="00704D29"/>
    <w:rsid w:val="0072589B"/>
    <w:rsid w:val="007323F9"/>
    <w:rsid w:val="007751D4"/>
    <w:rsid w:val="007A5B5D"/>
    <w:rsid w:val="007D0F93"/>
    <w:rsid w:val="007E283A"/>
    <w:rsid w:val="00814460"/>
    <w:rsid w:val="008745D5"/>
    <w:rsid w:val="008873EE"/>
    <w:rsid w:val="008B18DC"/>
    <w:rsid w:val="008C67AC"/>
    <w:rsid w:val="008D673B"/>
    <w:rsid w:val="00923C23"/>
    <w:rsid w:val="00930E5C"/>
    <w:rsid w:val="009477F1"/>
    <w:rsid w:val="009D53B4"/>
    <w:rsid w:val="009F6AB2"/>
    <w:rsid w:val="00A13793"/>
    <w:rsid w:val="00A23402"/>
    <w:rsid w:val="00A2575F"/>
    <w:rsid w:val="00A33FCA"/>
    <w:rsid w:val="00A76B4B"/>
    <w:rsid w:val="00A81DA5"/>
    <w:rsid w:val="00A84BB7"/>
    <w:rsid w:val="00AD08A5"/>
    <w:rsid w:val="00AF0987"/>
    <w:rsid w:val="00AF6A0D"/>
    <w:rsid w:val="00B41640"/>
    <w:rsid w:val="00BA0E32"/>
    <w:rsid w:val="00BF71CD"/>
    <w:rsid w:val="00C0555D"/>
    <w:rsid w:val="00C13A40"/>
    <w:rsid w:val="00C21F92"/>
    <w:rsid w:val="00C252CB"/>
    <w:rsid w:val="00C32733"/>
    <w:rsid w:val="00C46B91"/>
    <w:rsid w:val="00CA1456"/>
    <w:rsid w:val="00CB0C9D"/>
    <w:rsid w:val="00D37B0A"/>
    <w:rsid w:val="00DF4B70"/>
    <w:rsid w:val="00E02210"/>
    <w:rsid w:val="00E1112E"/>
    <w:rsid w:val="00E53C9B"/>
    <w:rsid w:val="00E82A62"/>
    <w:rsid w:val="00E9464E"/>
    <w:rsid w:val="00EB5B2D"/>
    <w:rsid w:val="00EB77B9"/>
    <w:rsid w:val="00EC5ED8"/>
    <w:rsid w:val="00ED0C42"/>
    <w:rsid w:val="00F12BEB"/>
    <w:rsid w:val="00F177D4"/>
    <w:rsid w:val="00F208EB"/>
    <w:rsid w:val="00F20EFA"/>
    <w:rsid w:val="00F244FB"/>
    <w:rsid w:val="00F3249D"/>
    <w:rsid w:val="00F465A9"/>
    <w:rsid w:val="00F53643"/>
    <w:rsid w:val="00F545C1"/>
    <w:rsid w:val="00F62EF0"/>
    <w:rsid w:val="00F67D18"/>
    <w:rsid w:val="00FF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80022D"/>
  <w15:chartTrackingRefBased/>
  <w15:docId w15:val="{A0BC0BD8-7899-43A0-BB7E-BC0CFB75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32"/>
  </w:style>
  <w:style w:type="paragraph" w:styleId="Heading1">
    <w:name w:val="heading 1"/>
    <w:basedOn w:val="Normal"/>
    <w:next w:val="Normal"/>
    <w:link w:val="Heading1Char"/>
    <w:uiPriority w:val="9"/>
    <w:qFormat/>
    <w:rsid w:val="00BA0E32"/>
    <w:pPr>
      <w:pBdr>
        <w:top w:val="single" w:sz="24" w:space="0" w:color="FFC000" w:themeColor="accent1"/>
        <w:left w:val="single" w:sz="24" w:space="0" w:color="FFC000" w:themeColor="accent1"/>
        <w:bottom w:val="single" w:sz="24" w:space="0" w:color="FFC000" w:themeColor="accent1"/>
        <w:right w:val="single" w:sz="24" w:space="0" w:color="FFC000" w:themeColor="accent1"/>
      </w:pBdr>
      <w:shd w:val="clear" w:color="auto" w:fill="FFC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E32"/>
    <w:pPr>
      <w:pBdr>
        <w:top w:val="single" w:sz="24" w:space="0" w:color="FFF2CC" w:themeColor="accent1" w:themeTint="33"/>
        <w:left w:val="single" w:sz="24" w:space="0" w:color="FFF2CC" w:themeColor="accent1" w:themeTint="33"/>
        <w:bottom w:val="single" w:sz="24" w:space="0" w:color="FFF2CC" w:themeColor="accent1" w:themeTint="33"/>
        <w:right w:val="single" w:sz="24" w:space="0" w:color="FFF2CC" w:themeColor="accent1" w:themeTint="33"/>
      </w:pBdr>
      <w:shd w:val="clear" w:color="auto" w:fill="FFF2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E32"/>
    <w:pPr>
      <w:pBdr>
        <w:top w:val="single" w:sz="6" w:space="2" w:color="FFC000" w:themeColor="accent1"/>
      </w:pBdr>
      <w:spacing w:before="300" w:after="0"/>
      <w:outlineLvl w:val="2"/>
    </w:pPr>
    <w:rPr>
      <w:caps/>
      <w:color w:val="7F5F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E32"/>
    <w:pPr>
      <w:pBdr>
        <w:top w:val="dotted" w:sz="6" w:space="2" w:color="FFC000" w:themeColor="accent1"/>
      </w:pBdr>
      <w:spacing w:before="200" w:after="0"/>
      <w:outlineLvl w:val="3"/>
    </w:pPr>
    <w:rPr>
      <w:caps/>
      <w:color w:val="BF8F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E32"/>
    <w:pPr>
      <w:pBdr>
        <w:bottom w:val="single" w:sz="6" w:space="1" w:color="FFC000" w:themeColor="accent1"/>
      </w:pBdr>
      <w:spacing w:before="200" w:after="0"/>
      <w:outlineLvl w:val="4"/>
    </w:pPr>
    <w:rPr>
      <w:caps/>
      <w:color w:val="BF8F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E32"/>
    <w:pPr>
      <w:pBdr>
        <w:bottom w:val="dotted" w:sz="6" w:space="1" w:color="FFC000" w:themeColor="accent1"/>
      </w:pBdr>
      <w:spacing w:before="200" w:after="0"/>
      <w:outlineLvl w:val="5"/>
    </w:pPr>
    <w:rPr>
      <w:caps/>
      <w:color w:val="BF8F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E32"/>
    <w:pPr>
      <w:spacing w:before="200" w:after="0"/>
      <w:outlineLvl w:val="6"/>
    </w:pPr>
    <w:rPr>
      <w:caps/>
      <w:color w:val="BF8F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E3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E3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19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7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CD"/>
  </w:style>
  <w:style w:type="paragraph" w:styleId="Footer">
    <w:name w:val="footer"/>
    <w:basedOn w:val="Normal"/>
    <w:link w:val="FooterChar"/>
    <w:uiPriority w:val="99"/>
    <w:unhideWhenUsed/>
    <w:rsid w:val="00BF7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CD"/>
  </w:style>
  <w:style w:type="character" w:styleId="Hyperlink">
    <w:name w:val="Hyperlink"/>
    <w:basedOn w:val="DefaultParagraphFont"/>
    <w:uiPriority w:val="99"/>
    <w:semiHidden/>
    <w:unhideWhenUsed/>
    <w:rsid w:val="000C6CC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0E32"/>
    <w:rPr>
      <w:caps/>
      <w:color w:val="FFFFFF" w:themeColor="background1"/>
      <w:spacing w:val="15"/>
      <w:sz w:val="22"/>
      <w:szCs w:val="22"/>
      <w:shd w:val="clear" w:color="auto" w:fill="FFC000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E32"/>
    <w:rPr>
      <w:caps/>
      <w:spacing w:val="15"/>
      <w:shd w:val="clear" w:color="auto" w:fill="FFF2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E32"/>
    <w:rPr>
      <w:caps/>
      <w:color w:val="7F5F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E32"/>
    <w:rPr>
      <w:caps/>
      <w:color w:val="BF8F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E32"/>
    <w:rPr>
      <w:caps/>
      <w:color w:val="BF8F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E32"/>
    <w:rPr>
      <w:caps/>
      <w:color w:val="BF8F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E32"/>
    <w:rPr>
      <w:caps/>
      <w:color w:val="BF8F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E3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E32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0E32"/>
    <w:rPr>
      <w:b/>
      <w:bCs/>
      <w:color w:val="BF8F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A0E32"/>
    <w:pPr>
      <w:spacing w:before="0" w:after="0"/>
    </w:pPr>
    <w:rPr>
      <w:rFonts w:asciiTheme="majorHAnsi" w:eastAsiaTheme="majorEastAsia" w:hAnsiTheme="majorHAnsi" w:cstheme="majorBidi"/>
      <w:caps/>
      <w:color w:val="FFC000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0E32"/>
    <w:rPr>
      <w:rFonts w:asciiTheme="majorHAnsi" w:eastAsiaTheme="majorEastAsia" w:hAnsiTheme="majorHAnsi" w:cstheme="majorBidi"/>
      <w:caps/>
      <w:color w:val="FFC000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E32"/>
    <w:pPr>
      <w:spacing w:before="0" w:after="500" w:line="240" w:lineRule="auto"/>
    </w:pPr>
    <w:rPr>
      <w:caps/>
      <w:color w:val="757575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A0E32"/>
    <w:rPr>
      <w:caps/>
      <w:color w:val="757575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A0E32"/>
    <w:rPr>
      <w:b/>
      <w:bCs/>
    </w:rPr>
  </w:style>
  <w:style w:type="character" w:styleId="Emphasis">
    <w:name w:val="Emphasis"/>
    <w:uiPriority w:val="20"/>
    <w:qFormat/>
    <w:rsid w:val="00BA0E32"/>
    <w:rPr>
      <w:caps/>
      <w:color w:val="7F5F00" w:themeColor="accent1" w:themeShade="7F"/>
      <w:spacing w:val="5"/>
    </w:rPr>
  </w:style>
  <w:style w:type="paragraph" w:styleId="NoSpacing">
    <w:name w:val="No Spacing"/>
    <w:uiPriority w:val="1"/>
    <w:qFormat/>
    <w:rsid w:val="00BA0E3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0E32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0E32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E32"/>
    <w:pPr>
      <w:spacing w:before="240" w:after="240" w:line="240" w:lineRule="auto"/>
      <w:ind w:left="1080" w:right="1080"/>
      <w:jc w:val="center"/>
    </w:pPr>
    <w:rPr>
      <w:color w:val="FFC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E32"/>
    <w:rPr>
      <w:color w:val="FFC000" w:themeColor="accent1"/>
      <w:sz w:val="24"/>
      <w:szCs w:val="24"/>
    </w:rPr>
  </w:style>
  <w:style w:type="character" w:styleId="SubtleEmphasis">
    <w:name w:val="Subtle Emphasis"/>
    <w:uiPriority w:val="19"/>
    <w:qFormat/>
    <w:rsid w:val="00BA0E32"/>
    <w:rPr>
      <w:i/>
      <w:iCs/>
      <w:color w:val="7F5F00" w:themeColor="accent1" w:themeShade="7F"/>
    </w:rPr>
  </w:style>
  <w:style w:type="character" w:styleId="IntenseEmphasis">
    <w:name w:val="Intense Emphasis"/>
    <w:uiPriority w:val="21"/>
    <w:qFormat/>
    <w:rsid w:val="00BA0E32"/>
    <w:rPr>
      <w:b/>
      <w:bCs/>
      <w:caps/>
      <w:color w:val="7F5F00" w:themeColor="accent1" w:themeShade="7F"/>
      <w:spacing w:val="10"/>
    </w:rPr>
  </w:style>
  <w:style w:type="character" w:styleId="SubtleReference">
    <w:name w:val="Subtle Reference"/>
    <w:uiPriority w:val="31"/>
    <w:qFormat/>
    <w:rsid w:val="00BA0E32"/>
    <w:rPr>
      <w:b/>
      <w:bCs/>
      <w:color w:val="FFC000" w:themeColor="accent1"/>
    </w:rPr>
  </w:style>
  <w:style w:type="character" w:styleId="IntenseReference">
    <w:name w:val="Intense Reference"/>
    <w:uiPriority w:val="32"/>
    <w:qFormat/>
    <w:rsid w:val="00BA0E32"/>
    <w:rPr>
      <w:b/>
      <w:bCs/>
      <w:i/>
      <w:iCs/>
      <w:caps/>
      <w:color w:val="FFC000" w:themeColor="accent1"/>
    </w:rPr>
  </w:style>
  <w:style w:type="character" w:styleId="BookTitle">
    <w:name w:val="Book Title"/>
    <w:uiPriority w:val="33"/>
    <w:qFormat/>
    <w:rsid w:val="00BA0E32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0E3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14D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249D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49D"/>
  </w:style>
  <w:style w:type="character" w:styleId="FootnoteReference">
    <w:name w:val="footnote reference"/>
    <w:basedOn w:val="DefaultParagraphFont"/>
    <w:uiPriority w:val="99"/>
    <w:semiHidden/>
    <w:unhideWhenUsed/>
    <w:rsid w:val="00F32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2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iec@nmhydr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660C-9AC4-4D5E-8CB2-8C121D24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Reesor</dc:creator>
  <cp:keywords/>
  <dc:description/>
  <cp:lastModifiedBy>Michelle Reesor</cp:lastModifiedBy>
  <cp:revision>2</cp:revision>
  <cp:lastPrinted>2018-02-26T13:58:00Z</cp:lastPrinted>
  <dcterms:created xsi:type="dcterms:W3CDTF">2020-03-27T14:35:00Z</dcterms:created>
  <dcterms:modified xsi:type="dcterms:W3CDTF">2020-03-27T14:35:00Z</dcterms:modified>
</cp:coreProperties>
</file>